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E19BCE">
      <w:pPr>
        <w:snapToGrid w:val="0"/>
        <w:spacing w:line="360" w:lineRule="auto"/>
        <w:ind w:right="17"/>
        <w:rPr>
          <w:rFonts w:hint="eastAsia" w:ascii="宋体" w:hAnsi="宋体" w:eastAsia="宋体" w:cs="宋体"/>
          <w:color w:val="auto"/>
          <w:highlight w:val="none"/>
        </w:rPr>
      </w:pPr>
    </w:p>
    <w:p w14:paraId="4FC6CE7A">
      <w:pPr>
        <w:snapToGrid w:val="0"/>
        <w:spacing w:line="360" w:lineRule="auto"/>
        <w:ind w:right="17"/>
        <w:rPr>
          <w:rFonts w:hint="eastAsia" w:ascii="宋体" w:hAnsi="宋体" w:eastAsia="宋体" w:cs="宋体"/>
          <w:color w:val="auto"/>
          <w:highlight w:val="none"/>
        </w:rPr>
      </w:pPr>
    </w:p>
    <w:p w14:paraId="459657EE">
      <w:pPr>
        <w:spacing w:line="360" w:lineRule="auto"/>
        <w:jc w:val="center"/>
        <w:rPr>
          <w:rFonts w:hint="eastAsia" w:ascii="宋体" w:hAnsi="宋体" w:eastAsia="宋体" w:cs="宋体"/>
          <w:color w:val="auto"/>
          <w:kern w:val="36"/>
          <w:sz w:val="52"/>
          <w:szCs w:val="52"/>
          <w:highlight w:val="none"/>
          <w:lang w:eastAsia="zh-CN"/>
        </w:rPr>
      </w:pPr>
      <w:r>
        <w:rPr>
          <w:rFonts w:hint="eastAsia" w:ascii="宋体" w:hAnsi="宋体" w:cs="宋体"/>
          <w:color w:val="auto"/>
          <w:kern w:val="36"/>
          <w:sz w:val="52"/>
          <w:szCs w:val="52"/>
          <w:highlight w:val="none"/>
          <w:lang w:eastAsia="zh-CN"/>
        </w:rPr>
        <w:t>中华人民共和国吉木乃出入境边防检查站主副食配送服务采购项目</w:t>
      </w:r>
    </w:p>
    <w:p w14:paraId="611FA57D">
      <w:pPr>
        <w:spacing w:line="360" w:lineRule="auto"/>
        <w:jc w:val="center"/>
        <w:rPr>
          <w:rFonts w:hint="eastAsia" w:ascii="宋体" w:hAnsi="宋体" w:eastAsia="宋体" w:cs="宋体"/>
          <w:color w:val="auto"/>
          <w:kern w:val="36"/>
          <w:sz w:val="52"/>
          <w:szCs w:val="52"/>
          <w:highlight w:val="none"/>
          <w:lang w:eastAsia="zh-CN"/>
        </w:rPr>
      </w:pPr>
    </w:p>
    <w:p w14:paraId="5316D5CB">
      <w:pPr>
        <w:snapToGrid w:val="0"/>
        <w:spacing w:line="720" w:lineRule="auto"/>
        <w:ind w:right="17"/>
        <w:jc w:val="center"/>
        <w:rPr>
          <w:rFonts w:hint="eastAsia" w:ascii="宋体" w:hAnsi="宋体" w:eastAsia="宋体" w:cs="宋体"/>
          <w:color w:val="auto"/>
          <w:kern w:val="36"/>
          <w:sz w:val="48"/>
          <w:szCs w:val="48"/>
          <w:highlight w:val="none"/>
        </w:rPr>
      </w:pPr>
      <w:r>
        <w:rPr>
          <w:rFonts w:hint="eastAsia" w:ascii="宋体" w:hAnsi="宋体" w:eastAsia="宋体" w:cs="宋体"/>
          <w:color w:val="auto"/>
          <w:kern w:val="36"/>
          <w:sz w:val="52"/>
          <w:szCs w:val="52"/>
          <w:highlight w:val="none"/>
        </w:rPr>
        <w:t>招标文件</w:t>
      </w:r>
    </w:p>
    <w:p w14:paraId="21F1BD55">
      <w:pPr>
        <w:snapToGrid w:val="0"/>
        <w:spacing w:line="720" w:lineRule="auto"/>
        <w:ind w:right="17"/>
        <w:jc w:val="center"/>
        <w:rPr>
          <w:rFonts w:hint="default" w:ascii="宋体" w:hAnsi="宋体" w:eastAsia="宋体" w:cs="宋体"/>
          <w:color w:val="auto"/>
          <w:kern w:val="0"/>
          <w:sz w:val="28"/>
          <w:szCs w:val="28"/>
          <w:highlight w:val="none"/>
          <w:lang w:val="en-US" w:eastAsia="zh-CN"/>
        </w:rPr>
      </w:pPr>
      <w:r>
        <w:rPr>
          <w:rFonts w:hint="eastAsia" w:ascii="宋体" w:hAnsi="宋体" w:eastAsia="宋体" w:cs="宋体"/>
          <w:color w:val="auto"/>
          <w:kern w:val="36"/>
          <w:sz w:val="28"/>
          <w:szCs w:val="28"/>
          <w:highlight w:val="none"/>
        </w:rPr>
        <w:t>项</w:t>
      </w:r>
      <w:r>
        <w:rPr>
          <w:rFonts w:hint="eastAsia" w:ascii="宋体" w:hAnsi="宋体" w:eastAsia="宋体" w:cs="宋体"/>
          <w:color w:val="auto"/>
          <w:sz w:val="28"/>
          <w:szCs w:val="28"/>
          <w:highlight w:val="none"/>
        </w:rPr>
        <w:t>目编号：</w:t>
      </w:r>
      <w:bookmarkStart w:id="0" w:name="OLE_LINK72"/>
      <w:r>
        <w:rPr>
          <w:rFonts w:hint="eastAsia" w:ascii="宋体" w:hAnsi="宋体" w:cs="宋体"/>
          <w:color w:val="auto"/>
          <w:sz w:val="28"/>
          <w:szCs w:val="28"/>
          <w:highlight w:val="none"/>
          <w:lang w:eastAsia="zh-CN"/>
        </w:rPr>
        <w:t>ZFCG-JTSZZB2025-21</w:t>
      </w:r>
    </w:p>
    <w:bookmarkEnd w:id="0"/>
    <w:p w14:paraId="501BED08">
      <w:pPr>
        <w:pStyle w:val="23"/>
        <w:tabs>
          <w:tab w:val="left" w:pos="8460"/>
        </w:tabs>
        <w:snapToGrid w:val="0"/>
        <w:spacing w:line="360" w:lineRule="auto"/>
        <w:ind w:right="-334" w:rightChars="-159"/>
        <w:jc w:val="both"/>
        <w:rPr>
          <w:rFonts w:hint="eastAsia" w:ascii="宋体" w:hAnsi="宋体" w:eastAsia="宋体" w:cs="宋体"/>
          <w:b/>
          <w:bCs/>
          <w:color w:val="auto"/>
          <w:sz w:val="28"/>
          <w:szCs w:val="28"/>
          <w:highlight w:val="none"/>
        </w:rPr>
      </w:pPr>
    </w:p>
    <w:p w14:paraId="14C694A9">
      <w:pPr>
        <w:snapToGrid w:val="0"/>
        <w:spacing w:line="480" w:lineRule="auto"/>
        <w:jc w:val="left"/>
        <w:rPr>
          <w:rFonts w:hint="eastAsia" w:ascii="宋体" w:hAnsi="宋体" w:cs="宋体"/>
          <w:color w:val="auto"/>
          <w:kern w:val="0"/>
          <w:sz w:val="28"/>
          <w:szCs w:val="28"/>
          <w:highlight w:val="none"/>
          <w:lang w:val="en-US" w:eastAsia="zh-CN"/>
        </w:rPr>
      </w:pPr>
    </w:p>
    <w:p w14:paraId="0B2C74DB">
      <w:pPr>
        <w:snapToGrid w:val="0"/>
        <w:spacing w:line="480" w:lineRule="auto"/>
        <w:jc w:val="left"/>
        <w:rPr>
          <w:rFonts w:hint="eastAsia" w:ascii="宋体" w:hAnsi="宋体" w:cs="宋体"/>
          <w:color w:val="auto"/>
          <w:kern w:val="0"/>
          <w:sz w:val="28"/>
          <w:szCs w:val="28"/>
          <w:highlight w:val="none"/>
          <w:lang w:val="en-US" w:eastAsia="zh-CN"/>
        </w:rPr>
      </w:pPr>
    </w:p>
    <w:p w14:paraId="24099D7A">
      <w:pPr>
        <w:snapToGrid w:val="0"/>
        <w:spacing w:line="480" w:lineRule="auto"/>
        <w:jc w:val="left"/>
        <w:rPr>
          <w:rFonts w:hint="eastAsia" w:ascii="宋体" w:hAnsi="宋体" w:cs="宋体"/>
          <w:color w:val="auto"/>
          <w:kern w:val="0"/>
          <w:sz w:val="28"/>
          <w:szCs w:val="28"/>
          <w:highlight w:val="none"/>
          <w:lang w:val="en-US" w:eastAsia="zh-CN"/>
        </w:rPr>
      </w:pPr>
    </w:p>
    <w:p w14:paraId="1B65A99F">
      <w:pPr>
        <w:snapToGrid w:val="0"/>
        <w:spacing w:line="480" w:lineRule="auto"/>
        <w:jc w:val="left"/>
        <w:rPr>
          <w:rFonts w:hint="eastAsia" w:ascii="宋体" w:hAnsi="宋体" w:eastAsia="宋体" w:cs="宋体"/>
          <w:color w:val="auto"/>
          <w:kern w:val="0"/>
          <w:sz w:val="28"/>
          <w:szCs w:val="28"/>
          <w:highlight w:val="none"/>
        </w:rPr>
      </w:pPr>
      <w:r>
        <w:rPr>
          <w:rFonts w:hint="eastAsia" w:ascii="宋体" w:hAnsi="宋体" w:cs="宋体"/>
          <w:color w:val="auto"/>
          <w:kern w:val="0"/>
          <w:sz w:val="28"/>
          <w:szCs w:val="28"/>
          <w:highlight w:val="none"/>
          <w:lang w:val="en-US" w:eastAsia="zh-CN"/>
        </w:rPr>
        <w:t>采购人</w:t>
      </w:r>
      <w:r>
        <w:rPr>
          <w:rFonts w:hint="eastAsia" w:ascii="宋体" w:hAnsi="宋体" w:eastAsia="宋体" w:cs="宋体"/>
          <w:color w:val="auto"/>
          <w:kern w:val="0"/>
          <w:sz w:val="28"/>
          <w:szCs w:val="28"/>
          <w:highlight w:val="none"/>
        </w:rPr>
        <w:t>：</w:t>
      </w:r>
      <w:r>
        <w:rPr>
          <w:rFonts w:hint="eastAsia" w:ascii="宋体" w:hAnsi="宋体" w:cs="宋体"/>
          <w:color w:val="auto"/>
          <w:kern w:val="0"/>
          <w:sz w:val="28"/>
          <w:szCs w:val="28"/>
          <w:highlight w:val="none"/>
          <w:lang w:eastAsia="zh-CN"/>
        </w:rPr>
        <w:t>中华人民共和国吉木乃出入境边防检查站</w:t>
      </w:r>
    </w:p>
    <w:p w14:paraId="41C6A0D9">
      <w:pPr>
        <w:snapToGrid w:val="0"/>
        <w:spacing w:line="480" w:lineRule="auto"/>
        <w:jc w:val="left"/>
        <w:rPr>
          <w:rFonts w:hint="eastAsia" w:ascii="宋体" w:hAnsi="宋体" w:eastAsia="宋体" w:cs="宋体"/>
          <w:color w:val="auto"/>
          <w:kern w:val="0"/>
          <w:sz w:val="28"/>
          <w:szCs w:val="28"/>
          <w:highlight w:val="none"/>
          <w:lang w:eastAsia="zh-CN"/>
        </w:rPr>
      </w:pPr>
      <w:r>
        <w:rPr>
          <w:rFonts w:hint="eastAsia" w:ascii="宋体" w:hAnsi="宋体" w:cs="宋体"/>
          <w:color w:val="auto"/>
          <w:kern w:val="0"/>
          <w:sz w:val="28"/>
          <w:szCs w:val="28"/>
          <w:highlight w:val="none"/>
          <w:lang w:val="en-US" w:eastAsia="zh-CN"/>
        </w:rPr>
        <w:t>采购</w:t>
      </w:r>
      <w:r>
        <w:rPr>
          <w:rFonts w:hint="eastAsia" w:ascii="宋体" w:hAnsi="宋体" w:eastAsia="宋体" w:cs="宋体"/>
          <w:color w:val="auto"/>
          <w:kern w:val="0"/>
          <w:sz w:val="28"/>
          <w:szCs w:val="28"/>
          <w:highlight w:val="none"/>
          <w:lang w:eastAsia="zh-CN"/>
        </w:rPr>
        <w:t>代理机构</w:t>
      </w:r>
      <w:r>
        <w:rPr>
          <w:rFonts w:hint="eastAsia" w:ascii="宋体" w:hAnsi="宋体" w:eastAsia="宋体" w:cs="宋体"/>
          <w:color w:val="auto"/>
          <w:kern w:val="0"/>
          <w:sz w:val="28"/>
          <w:szCs w:val="28"/>
          <w:highlight w:val="none"/>
        </w:rPr>
        <w:t>：</w:t>
      </w:r>
      <w:r>
        <w:rPr>
          <w:rFonts w:hint="eastAsia" w:ascii="宋体" w:hAnsi="宋体" w:eastAsia="宋体" w:cs="宋体"/>
          <w:color w:val="auto"/>
          <w:kern w:val="0"/>
          <w:sz w:val="28"/>
          <w:szCs w:val="28"/>
          <w:highlight w:val="none"/>
          <w:lang w:eastAsia="zh-CN"/>
        </w:rPr>
        <w:t>新疆金泰首致项目管理咨询有限公司</w:t>
      </w:r>
    </w:p>
    <w:p w14:paraId="39D94AC1">
      <w:pPr>
        <w:snapToGrid w:val="0"/>
        <w:spacing w:line="480" w:lineRule="auto"/>
        <w:jc w:val="left"/>
        <w:rPr>
          <w:rFonts w:hint="eastAsia" w:ascii="宋体" w:hAnsi="宋体" w:eastAsia="宋体" w:cs="宋体"/>
          <w:color w:val="auto"/>
          <w:kern w:val="0"/>
          <w:sz w:val="28"/>
          <w:szCs w:val="28"/>
          <w:highlight w:val="none"/>
          <w:lang w:eastAsia="zh-CN"/>
        </w:rPr>
      </w:pPr>
    </w:p>
    <w:p w14:paraId="6D2BFEB4">
      <w:pPr>
        <w:snapToGrid w:val="0"/>
        <w:spacing w:line="480" w:lineRule="auto"/>
        <w:jc w:val="left"/>
        <w:rPr>
          <w:rFonts w:hint="eastAsia" w:ascii="宋体" w:hAnsi="宋体" w:eastAsia="宋体" w:cs="宋体"/>
          <w:color w:val="auto"/>
          <w:kern w:val="0"/>
          <w:sz w:val="28"/>
          <w:szCs w:val="28"/>
          <w:highlight w:val="none"/>
          <w:lang w:eastAsia="zh-CN"/>
        </w:rPr>
      </w:pPr>
    </w:p>
    <w:p w14:paraId="7042FF9E">
      <w:pPr>
        <w:snapToGrid w:val="0"/>
        <w:spacing w:line="480" w:lineRule="auto"/>
        <w:jc w:val="left"/>
        <w:rPr>
          <w:rFonts w:hint="eastAsia" w:ascii="宋体" w:hAnsi="宋体" w:eastAsia="宋体" w:cs="宋体"/>
          <w:color w:val="auto"/>
          <w:kern w:val="0"/>
          <w:sz w:val="28"/>
          <w:szCs w:val="28"/>
          <w:highlight w:val="none"/>
          <w:lang w:eastAsia="zh-CN"/>
        </w:rPr>
      </w:pPr>
    </w:p>
    <w:p w14:paraId="2EB89701">
      <w:pPr>
        <w:snapToGrid w:val="0"/>
        <w:spacing w:line="480" w:lineRule="auto"/>
        <w:jc w:val="left"/>
        <w:rPr>
          <w:rFonts w:hint="eastAsia" w:ascii="宋体" w:hAnsi="宋体" w:eastAsia="宋体" w:cs="宋体"/>
          <w:color w:val="auto"/>
          <w:kern w:val="0"/>
          <w:sz w:val="28"/>
          <w:szCs w:val="28"/>
          <w:highlight w:val="none"/>
          <w:lang w:eastAsia="zh-CN"/>
        </w:rPr>
      </w:pPr>
    </w:p>
    <w:p w14:paraId="7B5E8718">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目录</w:t>
      </w:r>
    </w:p>
    <w:p w14:paraId="7BB56AFA">
      <w:pPr>
        <w:snapToGrid w:val="0"/>
        <w:spacing w:line="360" w:lineRule="auto"/>
        <w:jc w:val="center"/>
        <w:rPr>
          <w:rFonts w:hint="eastAsia" w:ascii="宋体" w:hAnsi="宋体" w:eastAsia="宋体" w:cs="宋体"/>
          <w:b/>
          <w:color w:val="auto"/>
          <w:sz w:val="32"/>
          <w:szCs w:val="32"/>
          <w:highlight w:val="none"/>
        </w:rPr>
      </w:pPr>
    </w:p>
    <w:p w14:paraId="02F387E6">
      <w:pPr>
        <w:adjustRightInd w:val="0"/>
        <w:snapToGrid w:val="0"/>
        <w:spacing w:line="480" w:lineRule="auto"/>
        <w:jc w:val="distribute"/>
        <w:rPr>
          <w:rFonts w:hint="eastAsia" w:ascii="宋体" w:hAnsi="宋体" w:eastAsia="宋体" w:cs="宋体"/>
          <w:color w:val="auto"/>
          <w:sz w:val="24"/>
          <w:highlight w:val="none"/>
        </w:rPr>
      </w:pPr>
      <w:r>
        <w:rPr>
          <w:rFonts w:hint="eastAsia" w:ascii="宋体" w:hAnsi="宋体" w:eastAsia="宋体" w:cs="宋体"/>
          <w:color w:val="auto"/>
          <w:sz w:val="24"/>
          <w:highlight w:val="none"/>
        </w:rPr>
        <w:t>第一部分    招标公告………………………………………………………………3</w:t>
      </w:r>
    </w:p>
    <w:p w14:paraId="659D130D">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第二部分    投标人须知前附表……………………………………………………</w:t>
      </w:r>
      <w:r>
        <w:rPr>
          <w:rFonts w:hint="eastAsia" w:ascii="宋体" w:hAnsi="宋体" w:cs="宋体"/>
          <w:color w:val="auto"/>
          <w:sz w:val="24"/>
          <w:highlight w:val="none"/>
          <w:lang w:val="en-US" w:eastAsia="zh-CN"/>
        </w:rPr>
        <w:t>7</w:t>
      </w:r>
    </w:p>
    <w:p w14:paraId="321A79C0">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一、总则………………………………………………………………………………</w:t>
      </w:r>
      <w:r>
        <w:rPr>
          <w:rFonts w:hint="eastAsia" w:ascii="宋体" w:hAnsi="宋体" w:cs="宋体"/>
          <w:color w:val="auto"/>
          <w:sz w:val="24"/>
          <w:highlight w:val="none"/>
          <w:lang w:val="en-US" w:eastAsia="zh-CN"/>
        </w:rPr>
        <w:t>15</w:t>
      </w:r>
    </w:p>
    <w:p w14:paraId="44E1B13B">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二、招标文件…………………………………………………………………………1</w:t>
      </w:r>
      <w:r>
        <w:rPr>
          <w:rFonts w:hint="eastAsia" w:ascii="宋体" w:hAnsi="宋体" w:cs="宋体"/>
          <w:color w:val="auto"/>
          <w:sz w:val="24"/>
          <w:highlight w:val="none"/>
          <w:lang w:val="en-US" w:eastAsia="zh-CN"/>
        </w:rPr>
        <w:t>5</w:t>
      </w:r>
    </w:p>
    <w:p w14:paraId="2DB81930">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三、投标文件的编制…………………………………………………………………1</w:t>
      </w:r>
      <w:r>
        <w:rPr>
          <w:rFonts w:hint="eastAsia" w:ascii="宋体" w:hAnsi="宋体" w:cs="宋体"/>
          <w:color w:val="auto"/>
          <w:sz w:val="24"/>
          <w:highlight w:val="none"/>
          <w:lang w:val="en-US" w:eastAsia="zh-CN"/>
        </w:rPr>
        <w:t>6</w:t>
      </w:r>
    </w:p>
    <w:p w14:paraId="26E742AC">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四、投标文件的递交…………………………………………………………………1</w:t>
      </w:r>
      <w:r>
        <w:rPr>
          <w:rFonts w:hint="eastAsia" w:ascii="宋体" w:hAnsi="宋体" w:cs="宋体"/>
          <w:color w:val="auto"/>
          <w:sz w:val="24"/>
          <w:highlight w:val="none"/>
          <w:lang w:val="en-US" w:eastAsia="zh-CN"/>
        </w:rPr>
        <w:t>8</w:t>
      </w:r>
    </w:p>
    <w:p w14:paraId="3B33C3F3">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五、无效标、废标条款………………………………………………………………1</w:t>
      </w:r>
      <w:r>
        <w:rPr>
          <w:rFonts w:hint="eastAsia" w:ascii="宋体" w:hAnsi="宋体" w:cs="宋体"/>
          <w:color w:val="auto"/>
          <w:sz w:val="24"/>
          <w:highlight w:val="none"/>
          <w:lang w:val="en-US" w:eastAsia="zh-CN"/>
        </w:rPr>
        <w:t>9</w:t>
      </w:r>
    </w:p>
    <w:p w14:paraId="322620DE">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六、</w:t>
      </w:r>
      <w:r>
        <w:rPr>
          <w:rFonts w:hint="eastAsia" w:ascii="宋体" w:hAnsi="宋体" w:cs="宋体"/>
          <w:color w:val="auto"/>
          <w:sz w:val="24"/>
          <w:highlight w:val="none"/>
          <w:lang w:val="en-US" w:eastAsia="zh-CN"/>
        </w:rPr>
        <w:t>开（</w:t>
      </w:r>
      <w:r>
        <w:rPr>
          <w:rFonts w:hint="eastAsia" w:ascii="宋体" w:hAnsi="宋体" w:eastAsia="宋体" w:cs="宋体"/>
          <w:color w:val="auto"/>
          <w:sz w:val="24"/>
          <w:highlight w:val="none"/>
        </w:rPr>
        <w:t>评</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rPr>
        <w:t>标程序……………………………………………………………</w:t>
      </w:r>
      <w:r>
        <w:rPr>
          <w:rFonts w:hint="eastAsia" w:ascii="宋体" w:hAnsi="宋体" w:cs="宋体"/>
          <w:color w:val="auto"/>
          <w:sz w:val="24"/>
          <w:highlight w:val="none"/>
          <w:lang w:val="en-US" w:eastAsia="zh-CN"/>
        </w:rPr>
        <w:t>20</w:t>
      </w:r>
    </w:p>
    <w:p w14:paraId="14B105A2">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七、评标办法…………………………………………………………………………2</w:t>
      </w:r>
      <w:r>
        <w:rPr>
          <w:rFonts w:hint="eastAsia" w:ascii="宋体" w:hAnsi="宋体" w:cs="宋体"/>
          <w:color w:val="auto"/>
          <w:sz w:val="24"/>
          <w:highlight w:val="none"/>
          <w:lang w:val="en-US" w:eastAsia="zh-CN"/>
        </w:rPr>
        <w:t>4</w:t>
      </w:r>
    </w:p>
    <w:p w14:paraId="07EAE48D">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八、中标及合同签订…………………………………………………………………</w:t>
      </w:r>
      <w:r>
        <w:rPr>
          <w:rFonts w:hint="eastAsia" w:ascii="宋体" w:hAnsi="宋体" w:cs="宋体"/>
          <w:color w:val="auto"/>
          <w:sz w:val="24"/>
          <w:highlight w:val="none"/>
          <w:lang w:val="en-US" w:eastAsia="zh-CN"/>
        </w:rPr>
        <w:t>32</w:t>
      </w:r>
    </w:p>
    <w:p w14:paraId="2FBF463B">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九、验收及付款……………………………………………………………………</w:t>
      </w:r>
      <w:r>
        <w:rPr>
          <w:rFonts w:hint="eastAsia" w:ascii="宋体" w:hAnsi="宋体" w:cs="宋体"/>
          <w:color w:val="auto"/>
          <w:sz w:val="24"/>
          <w:highlight w:val="none"/>
          <w:lang w:val="en-US" w:eastAsia="zh-CN"/>
        </w:rPr>
        <w:t>32</w:t>
      </w:r>
    </w:p>
    <w:p w14:paraId="1918DC19">
      <w:pPr>
        <w:adjustRightInd w:val="0"/>
        <w:snapToGrid w:val="0"/>
        <w:spacing w:line="480" w:lineRule="auto"/>
        <w:jc w:val="distribut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十、质疑的提出与接受</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33</w:t>
      </w:r>
    </w:p>
    <w:p w14:paraId="12986FCF">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第三部分 </w:t>
      </w:r>
      <w:r>
        <w:rPr>
          <w:rFonts w:hint="eastAsia" w:ascii="宋体" w:hAnsi="宋体" w:cs="宋体"/>
          <w:color w:val="auto"/>
          <w:sz w:val="24"/>
          <w:highlight w:val="none"/>
          <w:lang w:val="en-US" w:eastAsia="zh-CN"/>
        </w:rPr>
        <w:t xml:space="preserve"> 采购</w:t>
      </w:r>
      <w:r>
        <w:rPr>
          <w:rFonts w:hint="eastAsia" w:ascii="宋体" w:hAnsi="宋体" w:eastAsia="宋体" w:cs="宋体"/>
          <w:color w:val="auto"/>
          <w:sz w:val="24"/>
          <w:highlight w:val="none"/>
        </w:rPr>
        <w:t>合同…………………………………………………………………</w:t>
      </w:r>
      <w:r>
        <w:rPr>
          <w:rFonts w:hint="eastAsia" w:ascii="宋体" w:hAnsi="宋体" w:cs="宋体"/>
          <w:color w:val="auto"/>
          <w:sz w:val="24"/>
          <w:highlight w:val="none"/>
          <w:lang w:val="en-US" w:eastAsia="zh-CN"/>
        </w:rPr>
        <w:t>34</w:t>
      </w:r>
    </w:p>
    <w:p w14:paraId="5716A091">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第四部分</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采购</w:t>
      </w:r>
      <w:r>
        <w:rPr>
          <w:rFonts w:hint="eastAsia" w:ascii="宋体" w:hAnsi="宋体" w:cs="宋体"/>
          <w:color w:val="auto"/>
          <w:sz w:val="24"/>
          <w:highlight w:val="none"/>
          <w:lang w:val="en-US" w:eastAsia="zh-CN"/>
        </w:rPr>
        <w:t>项目</w:t>
      </w:r>
      <w:r>
        <w:rPr>
          <w:rFonts w:hint="eastAsia" w:ascii="宋体" w:hAnsi="宋体" w:eastAsia="宋体" w:cs="宋体"/>
          <w:color w:val="auto"/>
          <w:sz w:val="24"/>
          <w:highlight w:val="none"/>
        </w:rPr>
        <w:t>需求………………………………………………………</w:t>
      </w:r>
      <w:r>
        <w:rPr>
          <w:rFonts w:hint="eastAsia" w:ascii="宋体" w:hAnsi="宋体" w:cs="宋体"/>
          <w:color w:val="auto"/>
          <w:sz w:val="24"/>
          <w:highlight w:val="none"/>
          <w:lang w:val="en-US" w:eastAsia="zh-CN"/>
        </w:rPr>
        <w:t>43</w:t>
      </w:r>
    </w:p>
    <w:p w14:paraId="2B3B51EB">
      <w:pPr>
        <w:adjustRightInd w:val="0"/>
        <w:snapToGrid w:val="0"/>
        <w:spacing w:line="480" w:lineRule="auto"/>
        <w:jc w:val="distribut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第五部分 投标文件格式………………………………………………………</w:t>
      </w:r>
      <w:r>
        <w:rPr>
          <w:rFonts w:hint="eastAsia" w:ascii="宋体" w:hAnsi="宋体" w:cs="宋体"/>
          <w:color w:val="auto"/>
          <w:sz w:val="24"/>
          <w:highlight w:val="none"/>
          <w:lang w:val="en-US" w:eastAsia="zh-CN"/>
        </w:rPr>
        <w:t>47</w:t>
      </w:r>
    </w:p>
    <w:p w14:paraId="67705602">
      <w:pPr>
        <w:snapToGrid w:val="0"/>
        <w:spacing w:line="360" w:lineRule="auto"/>
        <w:rPr>
          <w:rFonts w:hint="eastAsia" w:ascii="宋体" w:hAnsi="宋体" w:eastAsia="宋体" w:cs="宋体"/>
          <w:bCs/>
          <w:color w:val="auto"/>
          <w:sz w:val="36"/>
          <w:szCs w:val="36"/>
          <w:highlight w:val="none"/>
        </w:rPr>
      </w:pPr>
    </w:p>
    <w:p w14:paraId="147AA2C6">
      <w:pPr>
        <w:snapToGrid w:val="0"/>
        <w:spacing w:line="360" w:lineRule="auto"/>
        <w:rPr>
          <w:rFonts w:hint="eastAsia" w:ascii="宋体" w:hAnsi="宋体" w:eastAsia="宋体" w:cs="宋体"/>
          <w:bCs/>
          <w:color w:val="auto"/>
          <w:sz w:val="36"/>
          <w:szCs w:val="36"/>
          <w:highlight w:val="none"/>
        </w:rPr>
      </w:pPr>
    </w:p>
    <w:p w14:paraId="6F5CF951">
      <w:pPr>
        <w:snapToGrid w:val="0"/>
        <w:spacing w:beforeLines="0" w:afterLines="0" w:line="360" w:lineRule="auto"/>
        <w:ind w:firstLine="200"/>
        <w:jc w:val="center"/>
        <w:rPr>
          <w:rFonts w:hint="eastAsia" w:ascii="宋体" w:hAnsi="宋体" w:eastAsia="宋体" w:cs="宋体"/>
          <w:color w:val="auto"/>
          <w:sz w:val="21"/>
          <w:szCs w:val="21"/>
          <w:highlight w:val="none"/>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第一部分   招标公告</w:t>
      </w:r>
      <w:r>
        <w:rPr>
          <w:rFonts w:hint="eastAsia" w:ascii="宋体" w:hAnsi="宋体" w:eastAsia="宋体" w:cs="宋体"/>
          <w:color w:val="auto"/>
          <w:sz w:val="21"/>
          <w:szCs w:val="21"/>
          <w:highlight w:val="none"/>
        </w:rPr>
        <w:t>  </w:t>
      </w:r>
    </w:p>
    <w:p w14:paraId="3B297489">
      <w:pPr>
        <w:pBdr>
          <w:top w:val="single" w:color="auto" w:sz="4" w:space="1"/>
          <w:left w:val="single" w:color="auto" w:sz="4" w:space="4"/>
          <w:bottom w:val="single" w:color="auto" w:sz="4" w:space="1"/>
          <w:right w:val="single" w:color="auto" w:sz="4" w:space="4"/>
        </w:pBdr>
        <w:spacing w:beforeLines="0" w:afterLines="0"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14:paraId="59D15F9C">
      <w:pPr>
        <w:pBdr>
          <w:top w:val="single" w:color="auto" w:sz="4" w:space="1"/>
          <w:left w:val="single" w:color="auto" w:sz="4" w:space="4"/>
          <w:bottom w:val="single" w:color="auto" w:sz="4" w:space="1"/>
          <w:right w:val="single" w:color="auto" w:sz="4" w:space="4"/>
        </w:pBdr>
        <w:spacing w:beforeLines="0" w:afterLines="0" w:line="36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u w:val="single"/>
          <w:lang w:eastAsia="zh-CN"/>
        </w:rPr>
        <w:t>中华人民共和国吉木乃出入境边防检查站主副食配送服务采购项目</w:t>
      </w:r>
      <w:r>
        <w:rPr>
          <w:rFonts w:hint="eastAsia" w:ascii="仿宋" w:hAnsi="仿宋" w:eastAsia="仿宋" w:cs="仿宋"/>
          <w:color w:val="auto"/>
          <w:sz w:val="28"/>
          <w:szCs w:val="28"/>
          <w:highlight w:val="none"/>
        </w:rPr>
        <w:t>的潜在投标人应在</w:t>
      </w:r>
      <w:r>
        <w:rPr>
          <w:rFonts w:hint="eastAsia" w:ascii="仿宋" w:hAnsi="仿宋" w:eastAsia="仿宋" w:cs="仿宋"/>
          <w:sz w:val="28"/>
          <w:szCs w:val="28"/>
          <w:highlight w:val="none"/>
          <w:u w:val="single"/>
        </w:rPr>
        <w:t>政采云平台（https://www.zcygov.cn/）</w:t>
      </w:r>
      <w:r>
        <w:rPr>
          <w:rFonts w:hint="eastAsia" w:ascii="仿宋" w:hAnsi="仿宋" w:eastAsia="仿宋" w:cs="仿宋"/>
          <w:color w:val="auto"/>
          <w:sz w:val="28"/>
          <w:szCs w:val="28"/>
          <w:highlight w:val="none"/>
          <w:u w:val="single"/>
          <w:lang w:val="en-US" w:eastAsia="zh-CN"/>
        </w:rPr>
        <w:t>线上</w:t>
      </w:r>
      <w:r>
        <w:rPr>
          <w:rFonts w:hint="eastAsia" w:ascii="仿宋" w:hAnsi="仿宋" w:eastAsia="仿宋" w:cs="仿宋"/>
          <w:color w:val="auto"/>
          <w:sz w:val="28"/>
          <w:szCs w:val="28"/>
          <w:highlight w:val="none"/>
        </w:rPr>
        <w:t>获取招标文件，并于</w:t>
      </w:r>
      <w:r>
        <w:rPr>
          <w:rFonts w:hint="eastAsia" w:ascii="仿宋" w:hAnsi="仿宋" w:eastAsia="仿宋" w:cs="仿宋"/>
          <w:color w:val="auto"/>
          <w:sz w:val="28"/>
          <w:szCs w:val="28"/>
          <w:highlight w:val="none"/>
          <w:u w:val="single"/>
        </w:rPr>
        <w:t>202</w:t>
      </w:r>
      <w:r>
        <w:rPr>
          <w:rFonts w:hint="eastAsia" w:ascii="仿宋" w:hAnsi="仿宋" w:eastAsia="仿宋" w:cs="仿宋"/>
          <w:color w:val="auto"/>
          <w:sz w:val="28"/>
          <w:szCs w:val="28"/>
          <w:highlight w:val="none"/>
          <w:u w:val="single"/>
          <w:lang w:val="en-US" w:eastAsia="zh-CN"/>
        </w:rPr>
        <w:t>5</w:t>
      </w:r>
      <w:r>
        <w:rPr>
          <w:rFonts w:hint="eastAsia" w:ascii="仿宋" w:hAnsi="仿宋" w:eastAsia="仿宋" w:cs="仿宋"/>
          <w:color w:val="auto"/>
          <w:sz w:val="28"/>
          <w:szCs w:val="28"/>
          <w:highlight w:val="none"/>
          <w:u w:val="single"/>
        </w:rPr>
        <w:t>年</w:t>
      </w:r>
      <w:r>
        <w:rPr>
          <w:rFonts w:hint="eastAsia" w:ascii="仿宋" w:hAnsi="仿宋" w:eastAsia="仿宋" w:cs="仿宋"/>
          <w:color w:val="auto"/>
          <w:sz w:val="28"/>
          <w:szCs w:val="28"/>
          <w:highlight w:val="none"/>
          <w:u w:val="single"/>
          <w:lang w:val="en-US" w:eastAsia="zh-CN"/>
        </w:rPr>
        <w:t>5月7日10点30分</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rPr>
        <w:t>北京时间）前递交投标文件。</w:t>
      </w:r>
    </w:p>
    <w:p w14:paraId="149D22ED">
      <w:pPr>
        <w:spacing w:beforeLines="0" w:afterLines="0"/>
        <w:rPr>
          <w:rFonts w:hint="eastAsia" w:ascii="仿宋" w:hAnsi="仿宋" w:eastAsia="仿宋" w:cs="仿宋"/>
          <w:color w:val="auto"/>
          <w:sz w:val="28"/>
          <w:szCs w:val="28"/>
          <w:highlight w:val="none"/>
        </w:rPr>
      </w:pPr>
    </w:p>
    <w:p w14:paraId="536D1DAE">
      <w:pPr>
        <w:pStyle w:val="3"/>
        <w:keepNext/>
        <w:keepLines/>
        <w:pageBreakBefore w:val="0"/>
        <w:widowControl w:val="0"/>
        <w:kinsoku/>
        <w:wordWrap/>
        <w:overflowPunct/>
        <w:topLinePunct w:val="0"/>
        <w:autoSpaceDE/>
        <w:autoSpaceDN/>
        <w:bidi w:val="0"/>
        <w:adjustRightInd/>
        <w:snapToGrid/>
        <w:spacing w:beforeLines="0" w:afterLines="0"/>
        <w:ind w:firstLine="562" w:firstLineChars="200"/>
        <w:jc w:val="both"/>
        <w:rPr>
          <w:rFonts w:hint="eastAsia" w:ascii="仿宋" w:hAnsi="仿宋" w:eastAsia="仿宋" w:cs="仿宋"/>
          <w:b w:val="0"/>
          <w:color w:val="000000"/>
          <w:sz w:val="28"/>
          <w:szCs w:val="28"/>
          <w:highlight w:val="none"/>
        </w:rPr>
      </w:pPr>
      <w:bookmarkStart w:id="1" w:name="_Toc28359079"/>
      <w:bookmarkStart w:id="2" w:name="_Toc35393790"/>
      <w:bookmarkStart w:id="3" w:name="_Toc28359002"/>
      <w:bookmarkStart w:id="4" w:name="_Toc35393621"/>
      <w:bookmarkStart w:id="5" w:name="_Hlk24379207"/>
      <w:r>
        <w:rPr>
          <w:rFonts w:hint="eastAsia" w:ascii="仿宋" w:hAnsi="仿宋" w:eastAsia="仿宋" w:cs="仿宋"/>
          <w:b/>
          <w:bCs/>
          <w:color w:val="000000"/>
          <w:sz w:val="28"/>
          <w:szCs w:val="28"/>
          <w:highlight w:val="none"/>
        </w:rPr>
        <w:t>一、项</w:t>
      </w:r>
      <w:bookmarkStart w:id="83" w:name="_GoBack"/>
      <w:bookmarkEnd w:id="83"/>
      <w:r>
        <w:rPr>
          <w:rFonts w:hint="eastAsia" w:ascii="仿宋" w:hAnsi="仿宋" w:eastAsia="仿宋" w:cs="仿宋"/>
          <w:b/>
          <w:bCs/>
          <w:color w:val="000000"/>
          <w:sz w:val="28"/>
          <w:szCs w:val="28"/>
          <w:highlight w:val="none"/>
        </w:rPr>
        <w:t>目基本情况</w:t>
      </w:r>
      <w:bookmarkEnd w:id="1"/>
      <w:bookmarkEnd w:id="2"/>
      <w:bookmarkEnd w:id="3"/>
      <w:bookmarkEnd w:id="4"/>
    </w:p>
    <w:p w14:paraId="7F4BD944">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lang w:eastAsia="zh-CN"/>
        </w:rPr>
        <w:t>ZFCG-JTSZZB2025-21</w:t>
      </w:r>
    </w:p>
    <w:p w14:paraId="2600AC81">
      <w:pPr>
        <w:pageBreakBefore w:val="0"/>
        <w:widowControl w:val="0"/>
        <w:kinsoku/>
        <w:wordWrap/>
        <w:overflowPunct/>
        <w:topLinePunct w:val="0"/>
        <w:autoSpaceDE/>
        <w:autoSpaceDN/>
        <w:bidi w:val="0"/>
        <w:adjustRightInd/>
        <w:snapToGrid/>
        <w:spacing w:beforeLines="0" w:afterLines="0" w:line="360" w:lineRule="auto"/>
        <w:ind w:left="1959" w:leftChars="266" w:hanging="1400" w:hangingChars="5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项目名称：</w:t>
      </w:r>
      <w:bookmarkEnd w:id="5"/>
      <w:r>
        <w:rPr>
          <w:rFonts w:hint="eastAsia" w:ascii="仿宋" w:hAnsi="仿宋" w:eastAsia="仿宋" w:cs="仿宋"/>
          <w:color w:val="auto"/>
          <w:sz w:val="28"/>
          <w:szCs w:val="28"/>
          <w:highlight w:val="none"/>
          <w:lang w:eastAsia="zh-CN"/>
        </w:rPr>
        <w:t>中华人民共和国吉木乃出入境边防检查站主副食配送服务</w:t>
      </w:r>
    </w:p>
    <w:p w14:paraId="08C14D84">
      <w:pPr>
        <w:pageBreakBefore w:val="0"/>
        <w:widowControl w:val="0"/>
        <w:kinsoku/>
        <w:wordWrap/>
        <w:overflowPunct/>
        <w:topLinePunct w:val="0"/>
        <w:autoSpaceDE/>
        <w:autoSpaceDN/>
        <w:bidi w:val="0"/>
        <w:adjustRightInd/>
        <w:snapToGrid/>
        <w:spacing w:beforeLines="0" w:afterLines="0" w:line="360" w:lineRule="auto"/>
        <w:ind w:left="1959" w:leftChars="266" w:hanging="1400" w:hangingChars="5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采购项目</w:t>
      </w:r>
    </w:p>
    <w:p w14:paraId="6362EC25">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预算金额：</w:t>
      </w:r>
      <w:r>
        <w:rPr>
          <w:rFonts w:hint="eastAsia" w:ascii="仿宋" w:hAnsi="仿宋" w:eastAsia="仿宋" w:cs="仿宋"/>
          <w:color w:val="auto"/>
          <w:sz w:val="28"/>
          <w:szCs w:val="28"/>
          <w:highlight w:val="none"/>
          <w:lang w:eastAsia="zh-CN"/>
        </w:rPr>
        <w:t>122.18</w:t>
      </w:r>
      <w:r>
        <w:rPr>
          <w:rFonts w:hint="eastAsia" w:ascii="仿宋" w:hAnsi="仿宋" w:eastAsia="仿宋" w:cs="仿宋"/>
          <w:color w:val="auto"/>
          <w:sz w:val="28"/>
          <w:szCs w:val="28"/>
          <w:highlight w:val="none"/>
        </w:rPr>
        <w:t>万</w:t>
      </w:r>
    </w:p>
    <w:p w14:paraId="643579CC">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最高限价：/</w:t>
      </w:r>
    </w:p>
    <w:p w14:paraId="5A4D04E4">
      <w:pPr>
        <w:pageBreakBefore w:val="0"/>
        <w:widowControl w:val="0"/>
        <w:kinsoku/>
        <w:wordWrap/>
        <w:overflowPunct/>
        <w:topLinePunct w:val="0"/>
        <w:autoSpaceDE/>
        <w:autoSpaceDN/>
        <w:bidi w:val="0"/>
        <w:adjustRightInd/>
        <w:snapToGrid/>
        <w:spacing w:beforeLines="0" w:afterLines="0" w:line="360" w:lineRule="auto"/>
        <w:ind w:left="1679" w:leftChars="266" w:hanging="1120" w:hangingChars="400"/>
        <w:jc w:val="left"/>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采购需求：</w:t>
      </w:r>
      <w:bookmarkStart w:id="6" w:name="OLE_LINK10"/>
      <w:bookmarkStart w:id="7" w:name="OLE_LINK78"/>
      <w:r>
        <w:rPr>
          <w:rFonts w:hint="default" w:ascii="仿宋" w:hAnsi="仿宋" w:eastAsia="仿宋" w:cs="仿宋"/>
          <w:color w:val="auto"/>
          <w:sz w:val="28"/>
          <w:szCs w:val="28"/>
          <w:highlight w:val="none"/>
          <w:lang w:val="en-US" w:eastAsia="zh-CN"/>
        </w:rPr>
        <w:t>为</w:t>
      </w:r>
      <w:r>
        <w:rPr>
          <w:rFonts w:hint="eastAsia" w:ascii="仿宋" w:hAnsi="仿宋" w:eastAsia="仿宋" w:cs="仿宋"/>
          <w:color w:val="auto"/>
          <w:sz w:val="28"/>
          <w:szCs w:val="28"/>
          <w:highlight w:val="none"/>
          <w:lang w:val="en-US" w:eastAsia="zh-CN"/>
        </w:rPr>
        <w:t>中华人民共和国吉木乃出入境边防检查站</w:t>
      </w:r>
      <w:r>
        <w:rPr>
          <w:rFonts w:hint="default" w:ascii="仿宋" w:hAnsi="仿宋" w:eastAsia="仿宋" w:cs="仿宋"/>
          <w:color w:val="auto"/>
          <w:sz w:val="28"/>
          <w:szCs w:val="28"/>
          <w:highlight w:val="none"/>
          <w:lang w:val="en-US" w:eastAsia="zh-CN"/>
        </w:rPr>
        <w:t>提供日常所需</w:t>
      </w:r>
    </w:p>
    <w:p w14:paraId="0DBDCF2E">
      <w:pPr>
        <w:pageBreakBefore w:val="0"/>
        <w:widowControl w:val="0"/>
        <w:kinsoku/>
        <w:wordWrap/>
        <w:overflowPunct/>
        <w:topLinePunct w:val="0"/>
        <w:autoSpaceDE/>
        <w:autoSpaceDN/>
        <w:bidi w:val="0"/>
        <w:adjustRightInd/>
        <w:snapToGrid/>
        <w:spacing w:beforeLines="0" w:afterLines="0" w:line="360" w:lineRule="auto"/>
        <w:jc w:val="left"/>
        <w:rPr>
          <w:rFonts w:hint="eastAsia" w:ascii="仿宋" w:hAnsi="仿宋" w:eastAsia="仿宋" w:cs="仿宋"/>
          <w:color w:val="auto"/>
          <w:sz w:val="28"/>
          <w:szCs w:val="28"/>
          <w:highlight w:val="none"/>
          <w:lang w:val="en-US" w:eastAsia="zh-CN"/>
        </w:rPr>
      </w:pPr>
      <w:r>
        <w:rPr>
          <w:rFonts w:hint="default" w:ascii="仿宋" w:hAnsi="仿宋" w:eastAsia="仿宋" w:cs="仿宋"/>
          <w:color w:val="auto"/>
          <w:sz w:val="28"/>
          <w:szCs w:val="28"/>
          <w:highlight w:val="none"/>
          <w:lang w:val="en-US" w:eastAsia="zh-CN"/>
        </w:rPr>
        <w:t>的主副食材（米面粮油、调料、禽蛋、禽肉、蔬菜水果、牛羊猪肉、水产、乳制品、饮品等）</w:t>
      </w:r>
      <w:r>
        <w:rPr>
          <w:rFonts w:hint="eastAsia" w:ascii="仿宋" w:hAnsi="仿宋" w:eastAsia="仿宋" w:cs="仿宋"/>
          <w:color w:val="auto"/>
          <w:sz w:val="28"/>
          <w:szCs w:val="28"/>
          <w:highlight w:val="none"/>
          <w:lang w:val="en-US" w:eastAsia="zh-CN"/>
        </w:rPr>
        <w:t>配送服务。</w:t>
      </w:r>
    </w:p>
    <w:bookmarkEnd w:id="6"/>
    <w:p w14:paraId="65AC64F6">
      <w:pPr>
        <w:pageBreakBefore w:val="0"/>
        <w:widowControl w:val="0"/>
        <w:kinsoku/>
        <w:wordWrap/>
        <w:overflowPunct/>
        <w:topLinePunct w:val="0"/>
        <w:autoSpaceDE/>
        <w:autoSpaceDN/>
        <w:bidi w:val="0"/>
        <w:adjustRightInd/>
        <w:snapToGrid/>
        <w:spacing w:beforeLines="0" w:afterLines="0" w:line="360" w:lineRule="auto"/>
        <w:jc w:val="both"/>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合同履行期限：</w:t>
      </w:r>
      <w:r>
        <w:rPr>
          <w:rFonts w:hint="eastAsia" w:ascii="仿宋" w:hAnsi="仿宋" w:eastAsia="仿宋" w:cs="仿宋"/>
          <w:color w:val="auto"/>
          <w:sz w:val="28"/>
          <w:szCs w:val="28"/>
          <w:highlight w:val="none"/>
          <w:lang w:val="en-US" w:eastAsia="zh-CN"/>
        </w:rPr>
        <w:t>2025年5月23日至2026年5月22日。</w:t>
      </w:r>
    </w:p>
    <w:p w14:paraId="5F9EB44C">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本项目不接受联合体投标。</w:t>
      </w:r>
      <w:bookmarkEnd w:id="7"/>
    </w:p>
    <w:p w14:paraId="66E05BB2">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color w:val="auto"/>
          <w:sz w:val="28"/>
          <w:szCs w:val="28"/>
          <w:highlight w:val="none"/>
        </w:rPr>
      </w:pPr>
      <w:bookmarkStart w:id="8" w:name="_Toc28359003"/>
      <w:bookmarkStart w:id="9" w:name="_Toc35393622"/>
      <w:bookmarkStart w:id="10" w:name="_Toc35393791"/>
      <w:bookmarkStart w:id="11" w:name="_Toc28359080"/>
      <w:r>
        <w:rPr>
          <w:rFonts w:hint="eastAsia" w:ascii="仿宋" w:hAnsi="仿宋" w:eastAsia="仿宋" w:cs="仿宋"/>
          <w:b/>
          <w:bCs/>
          <w:color w:val="auto"/>
          <w:sz w:val="28"/>
          <w:szCs w:val="28"/>
          <w:highlight w:val="none"/>
        </w:rPr>
        <w:t>二、申请人的资格要求</w:t>
      </w:r>
      <w:bookmarkEnd w:id="8"/>
      <w:bookmarkEnd w:id="9"/>
      <w:bookmarkEnd w:id="10"/>
      <w:bookmarkEnd w:id="11"/>
    </w:p>
    <w:p w14:paraId="646AD650">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sz w:val="28"/>
          <w:szCs w:val="28"/>
          <w:highlight w:val="none"/>
          <w:lang w:val="en-US" w:eastAsia="zh-CN"/>
        </w:rPr>
      </w:pPr>
      <w:bookmarkStart w:id="12" w:name="_Toc28359004"/>
      <w:bookmarkStart w:id="13" w:name="_Toc28359081"/>
      <w:bookmarkStart w:id="14" w:name="_Toc35393792"/>
      <w:bookmarkStart w:id="15" w:name="_Toc35393623"/>
      <w:r>
        <w:rPr>
          <w:rFonts w:hint="eastAsia" w:ascii="仿宋" w:hAnsi="仿宋" w:eastAsia="仿宋" w:cs="仿宋"/>
          <w:color w:val="auto"/>
          <w:sz w:val="28"/>
          <w:szCs w:val="28"/>
          <w:highlight w:val="none"/>
        </w:rPr>
        <w:t>1.满足《中华人民共和国政府采购法》第二十二条规定</w:t>
      </w:r>
      <w:r>
        <w:rPr>
          <w:rFonts w:hint="eastAsia" w:ascii="仿宋" w:hAnsi="仿宋" w:eastAsia="仿宋" w:cs="仿宋"/>
          <w:color w:val="auto"/>
          <w:sz w:val="28"/>
          <w:szCs w:val="28"/>
          <w:highlight w:val="none"/>
          <w:u w:val="none"/>
          <w:lang w:val="en-US" w:eastAsia="zh-CN"/>
        </w:rPr>
        <w:t>；</w:t>
      </w:r>
    </w:p>
    <w:p w14:paraId="6B7A3E25">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2.落实政府采购政策需满足的资格要求：</w:t>
      </w:r>
      <w:bookmarkStart w:id="16" w:name="OLE_LINK34"/>
      <w:bookmarkStart w:id="17" w:name="OLE_LINK31"/>
      <w:r>
        <w:rPr>
          <w:rFonts w:hint="eastAsia" w:ascii="仿宋" w:hAnsi="仿宋" w:eastAsia="仿宋" w:cs="仿宋"/>
          <w:color w:val="auto"/>
          <w:sz w:val="28"/>
          <w:szCs w:val="28"/>
          <w:highlight w:val="none"/>
        </w:rPr>
        <w:t>财政部《关于进一步加大政府采购支持中小企业力度的通知》财库</w:t>
      </w:r>
      <w:r>
        <w:rPr>
          <w:rFonts w:hint="eastAsia" w:ascii="仿宋" w:hAnsi="仿宋" w:eastAsia="仿宋" w:cs="仿宋"/>
          <w:b w:val="0"/>
          <w:bCs w:val="0"/>
          <w:color w:val="auto"/>
          <w:kern w:val="2"/>
          <w:sz w:val="28"/>
          <w:szCs w:val="28"/>
          <w:highlight w:val="none"/>
          <w:lang w:val="en-US" w:eastAsia="zh-CN" w:bidi="ar-SA"/>
        </w:rPr>
        <w:t>（财库【2022】19号）、</w:t>
      </w:r>
      <w:r>
        <w:rPr>
          <w:rFonts w:hint="eastAsia" w:ascii="仿宋" w:hAnsi="仿宋" w:eastAsia="仿宋" w:cs="仿宋"/>
          <w:i w:val="0"/>
          <w:iCs w:val="0"/>
          <w:caps w:val="0"/>
          <w:color w:val="auto"/>
          <w:spacing w:val="0"/>
          <w:sz w:val="27"/>
          <w:szCs w:val="27"/>
          <w:highlight w:val="none"/>
        </w:rPr>
        <w:t>《政府采购促进中小企业发展管理办法》（财库</w:t>
      </w:r>
      <w:r>
        <w:rPr>
          <w:rFonts w:hint="eastAsia" w:ascii="仿宋" w:hAnsi="仿宋" w:eastAsia="仿宋" w:cs="仿宋"/>
          <w:b w:val="0"/>
          <w:bCs w:val="0"/>
          <w:color w:val="auto"/>
          <w:kern w:val="2"/>
          <w:sz w:val="28"/>
          <w:szCs w:val="28"/>
          <w:highlight w:val="none"/>
          <w:lang w:val="en-US" w:eastAsia="zh-CN" w:bidi="ar-SA"/>
        </w:rPr>
        <w:t>【</w:t>
      </w:r>
      <w:r>
        <w:rPr>
          <w:rFonts w:hint="eastAsia" w:ascii="仿宋" w:hAnsi="仿宋" w:eastAsia="仿宋" w:cs="仿宋"/>
          <w:i w:val="0"/>
          <w:iCs w:val="0"/>
          <w:caps w:val="0"/>
          <w:color w:val="auto"/>
          <w:spacing w:val="0"/>
          <w:sz w:val="27"/>
          <w:szCs w:val="27"/>
          <w:highlight w:val="none"/>
        </w:rPr>
        <w:t>2020</w:t>
      </w:r>
      <w:r>
        <w:rPr>
          <w:rFonts w:hint="eastAsia" w:ascii="仿宋" w:hAnsi="仿宋" w:eastAsia="仿宋" w:cs="仿宋"/>
          <w:b w:val="0"/>
          <w:bCs w:val="0"/>
          <w:color w:val="auto"/>
          <w:kern w:val="2"/>
          <w:sz w:val="28"/>
          <w:szCs w:val="28"/>
          <w:highlight w:val="none"/>
          <w:lang w:val="en-US" w:eastAsia="zh-CN" w:bidi="ar-SA"/>
        </w:rPr>
        <w:t>】</w:t>
      </w:r>
      <w:r>
        <w:rPr>
          <w:rFonts w:hint="eastAsia" w:ascii="仿宋" w:hAnsi="仿宋" w:eastAsia="仿宋" w:cs="仿宋"/>
          <w:i w:val="0"/>
          <w:iCs w:val="0"/>
          <w:caps w:val="0"/>
          <w:color w:val="auto"/>
          <w:spacing w:val="0"/>
          <w:sz w:val="27"/>
          <w:szCs w:val="27"/>
          <w:highlight w:val="none"/>
        </w:rPr>
        <w:t>46号）</w:t>
      </w:r>
      <w:r>
        <w:rPr>
          <w:rFonts w:hint="eastAsia" w:ascii="仿宋" w:hAnsi="仿宋" w:eastAsia="仿宋" w:cs="仿宋"/>
          <w:i w:val="0"/>
          <w:iCs w:val="0"/>
          <w:caps w:val="0"/>
          <w:color w:val="auto"/>
          <w:spacing w:val="0"/>
          <w:sz w:val="27"/>
          <w:szCs w:val="27"/>
          <w:highlight w:val="none"/>
          <w:lang w:eastAsia="zh-CN"/>
        </w:rPr>
        <w:t>。</w:t>
      </w:r>
      <w:r>
        <w:rPr>
          <w:rFonts w:hint="eastAsia" w:ascii="仿宋" w:hAnsi="仿宋" w:eastAsia="仿宋" w:cs="仿宋"/>
          <w:color w:val="auto"/>
          <w:sz w:val="28"/>
          <w:szCs w:val="28"/>
          <w:highlight w:val="none"/>
          <w:lang w:val="en-US" w:eastAsia="zh-CN"/>
        </w:rPr>
        <w:t>本项目采购专门面向小微企业</w:t>
      </w:r>
      <w:r>
        <w:rPr>
          <w:rFonts w:hint="eastAsia" w:ascii="仿宋" w:hAnsi="仿宋" w:eastAsia="仿宋" w:cs="仿宋"/>
          <w:color w:val="auto"/>
          <w:sz w:val="28"/>
          <w:szCs w:val="28"/>
          <w:highlight w:val="none"/>
          <w:lang w:val="en-US" w:eastAsia="zh-CN"/>
        </w:rPr>
        <w:t>。</w:t>
      </w:r>
      <w:bookmarkEnd w:id="16"/>
    </w:p>
    <w:bookmarkEnd w:id="17"/>
    <w:p w14:paraId="43E538F1">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3.本项目的特定资格要求：</w:t>
      </w:r>
      <w:bookmarkStart w:id="18" w:name="OLE_LINK77"/>
      <w:bookmarkStart w:id="19" w:name="OLE_LINK32"/>
      <w:bookmarkStart w:id="20" w:name="OLE_LINK33"/>
      <w:r>
        <w:rPr>
          <w:rFonts w:hint="eastAsia" w:ascii="仿宋" w:hAnsi="仿宋" w:eastAsia="仿宋" w:cs="仿宋"/>
          <w:color w:val="auto"/>
          <w:sz w:val="28"/>
          <w:szCs w:val="28"/>
          <w:highlight w:val="none"/>
        </w:rPr>
        <w:t>投标</w:t>
      </w:r>
      <w:r>
        <w:rPr>
          <w:rFonts w:hint="eastAsia" w:ascii="仿宋" w:hAnsi="仿宋" w:eastAsia="仿宋" w:cs="仿宋"/>
          <w:color w:val="auto"/>
          <w:sz w:val="28"/>
          <w:szCs w:val="28"/>
          <w:highlight w:val="none"/>
          <w:lang w:val="en-US" w:eastAsia="zh-CN"/>
        </w:rPr>
        <w:t>人</w:t>
      </w:r>
      <w:r>
        <w:rPr>
          <w:rFonts w:hint="eastAsia" w:ascii="仿宋" w:hAnsi="仿宋" w:eastAsia="仿宋" w:cs="仿宋"/>
          <w:color w:val="auto"/>
          <w:sz w:val="28"/>
          <w:szCs w:val="28"/>
          <w:highlight w:val="none"/>
        </w:rPr>
        <w:t>须具备有效的《食品经营许可证》。</w:t>
      </w:r>
      <w:bookmarkEnd w:id="18"/>
      <w:bookmarkEnd w:id="19"/>
      <w:bookmarkEnd w:id="20"/>
    </w:p>
    <w:p w14:paraId="0FDA0BDA">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三、获取招标文件</w:t>
      </w:r>
      <w:bookmarkEnd w:id="12"/>
      <w:bookmarkEnd w:id="13"/>
      <w:bookmarkEnd w:id="14"/>
      <w:bookmarkEnd w:id="15"/>
    </w:p>
    <w:p w14:paraId="31EEFCC1">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时间：202</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年</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lang w:eastAsia="zh-CN"/>
        </w:rPr>
        <w:t>月</w:t>
      </w:r>
      <w:r>
        <w:rPr>
          <w:rFonts w:hint="eastAsia" w:ascii="仿宋" w:hAnsi="仿宋" w:eastAsia="仿宋" w:cs="仿宋"/>
          <w:color w:val="auto"/>
          <w:sz w:val="28"/>
          <w:szCs w:val="28"/>
          <w:highlight w:val="none"/>
          <w:lang w:val="en-US" w:eastAsia="zh-CN"/>
        </w:rPr>
        <w:t>16</w:t>
      </w:r>
      <w:r>
        <w:rPr>
          <w:rFonts w:hint="eastAsia" w:ascii="仿宋" w:hAnsi="仿宋" w:eastAsia="仿宋" w:cs="仿宋"/>
          <w:color w:val="auto"/>
          <w:sz w:val="28"/>
          <w:szCs w:val="28"/>
          <w:highlight w:val="none"/>
          <w:lang w:eastAsia="zh-CN"/>
        </w:rPr>
        <w:t>日至202</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年</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lang w:eastAsia="zh-CN"/>
        </w:rPr>
        <w:t>月</w:t>
      </w:r>
      <w:r>
        <w:rPr>
          <w:rFonts w:hint="eastAsia" w:ascii="仿宋" w:hAnsi="仿宋" w:eastAsia="仿宋" w:cs="仿宋"/>
          <w:color w:val="auto"/>
          <w:sz w:val="28"/>
          <w:szCs w:val="28"/>
          <w:highlight w:val="none"/>
          <w:lang w:val="en-US" w:eastAsia="zh-CN"/>
        </w:rPr>
        <w:t>23</w:t>
      </w:r>
      <w:r>
        <w:rPr>
          <w:rFonts w:hint="eastAsia" w:ascii="仿宋" w:hAnsi="仿宋" w:eastAsia="仿宋" w:cs="仿宋"/>
          <w:color w:val="auto"/>
          <w:sz w:val="28"/>
          <w:szCs w:val="28"/>
          <w:highlight w:val="none"/>
          <w:lang w:eastAsia="zh-CN"/>
        </w:rPr>
        <w:t>日，</w:t>
      </w:r>
      <w:r>
        <w:rPr>
          <w:rFonts w:hint="eastAsia" w:ascii="仿宋" w:hAnsi="仿宋" w:eastAsia="仿宋" w:cs="仿宋"/>
          <w:color w:val="auto"/>
          <w:sz w:val="28"/>
          <w:szCs w:val="28"/>
          <w:highlight w:val="none"/>
          <w:lang w:eastAsia="zh-CN"/>
        </w:rPr>
        <w:t>每天上午10:30至13:30，下午16:30至19:30（北京时间，法定节假日除外）</w:t>
      </w:r>
    </w:p>
    <w:p w14:paraId="13632101">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地点：</w:t>
      </w:r>
      <w:bookmarkStart w:id="21" w:name="OLE_LINK74"/>
      <w:r>
        <w:rPr>
          <w:rFonts w:hint="eastAsia" w:ascii="仿宋" w:hAnsi="仿宋" w:eastAsia="仿宋" w:cs="仿宋"/>
          <w:color w:val="auto"/>
          <w:sz w:val="28"/>
          <w:szCs w:val="28"/>
          <w:highlight w:val="none"/>
          <w:lang w:eastAsia="zh-CN"/>
        </w:rPr>
        <w:t>政采云平台（https://www.zcygov.cn/）</w:t>
      </w:r>
      <w:bookmarkEnd w:id="21"/>
    </w:p>
    <w:p w14:paraId="0582F952">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方式：</w:t>
      </w:r>
      <w:bookmarkStart w:id="22" w:name="OLE_LINK75"/>
      <w:r>
        <w:rPr>
          <w:rFonts w:hint="eastAsia" w:ascii="仿宋" w:hAnsi="仿宋" w:eastAsia="仿宋" w:cs="仿宋"/>
          <w:color w:val="auto"/>
          <w:sz w:val="28"/>
          <w:szCs w:val="28"/>
          <w:highlight w:val="none"/>
          <w:lang w:eastAsia="zh-CN"/>
        </w:rPr>
        <w:t>投标人登录政采云平台https://www.zcygov.cn/在线申请获取采购文件（进入“项目采购”应用，在获取采购文件菜单中选择项目，申请获取采购文件）</w:t>
      </w:r>
      <w:bookmarkEnd w:id="22"/>
    </w:p>
    <w:p w14:paraId="21611503">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售价：</w:t>
      </w:r>
      <w:r>
        <w:rPr>
          <w:rFonts w:hint="eastAsia" w:ascii="仿宋" w:hAnsi="仿宋" w:eastAsia="仿宋" w:cs="仿宋"/>
          <w:color w:val="auto"/>
          <w:sz w:val="28"/>
          <w:szCs w:val="28"/>
          <w:highlight w:val="none"/>
          <w:lang w:val="en-US" w:eastAsia="zh-CN"/>
        </w:rPr>
        <w:t>0</w:t>
      </w:r>
      <w:r>
        <w:rPr>
          <w:rFonts w:hint="eastAsia" w:ascii="仿宋" w:hAnsi="仿宋" w:eastAsia="仿宋" w:cs="仿宋"/>
          <w:color w:val="auto"/>
          <w:sz w:val="28"/>
          <w:szCs w:val="28"/>
          <w:highlight w:val="none"/>
          <w:lang w:eastAsia="zh-CN"/>
        </w:rPr>
        <w:t>元/套</w:t>
      </w:r>
    </w:p>
    <w:p w14:paraId="098F21B8">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b/>
          <w:bCs/>
          <w:color w:val="auto"/>
          <w:sz w:val="28"/>
          <w:szCs w:val="28"/>
          <w:highlight w:val="none"/>
          <w:lang w:eastAsia="zh-CN"/>
        </w:rPr>
      </w:pPr>
      <w:bookmarkStart w:id="23" w:name="_Toc28359005"/>
      <w:bookmarkStart w:id="24" w:name="_Toc28359082"/>
      <w:bookmarkStart w:id="25" w:name="_Toc35393624"/>
      <w:bookmarkStart w:id="26" w:name="_Toc35393793"/>
      <w:r>
        <w:rPr>
          <w:rFonts w:hint="eastAsia" w:ascii="仿宋" w:hAnsi="仿宋" w:eastAsia="仿宋" w:cs="仿宋"/>
          <w:b/>
          <w:bCs/>
          <w:color w:val="auto"/>
          <w:sz w:val="28"/>
          <w:szCs w:val="28"/>
          <w:highlight w:val="none"/>
          <w:lang w:eastAsia="zh-CN"/>
        </w:rPr>
        <w:t>四、提交投标文件</w:t>
      </w:r>
      <w:bookmarkEnd w:id="23"/>
      <w:bookmarkEnd w:id="24"/>
      <w:r>
        <w:rPr>
          <w:rFonts w:hint="eastAsia" w:ascii="仿宋" w:hAnsi="仿宋" w:eastAsia="仿宋" w:cs="仿宋"/>
          <w:b/>
          <w:bCs/>
          <w:color w:val="auto"/>
          <w:sz w:val="28"/>
          <w:szCs w:val="28"/>
          <w:highlight w:val="none"/>
          <w:lang w:eastAsia="zh-CN"/>
        </w:rPr>
        <w:t>截止时间、开标时间和地点</w:t>
      </w:r>
      <w:bookmarkEnd w:id="25"/>
      <w:bookmarkEnd w:id="26"/>
    </w:p>
    <w:p w14:paraId="4173433C">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截止时间</w:t>
      </w:r>
      <w:r>
        <w:rPr>
          <w:rFonts w:hint="eastAsia" w:ascii="仿宋" w:hAnsi="仿宋" w:eastAsia="仿宋" w:cs="仿宋"/>
          <w:color w:val="auto"/>
          <w:sz w:val="28"/>
          <w:szCs w:val="28"/>
          <w:highlight w:val="none"/>
          <w:lang w:eastAsia="zh-CN"/>
        </w:rPr>
        <w:t>：202</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lang w:eastAsia="zh-CN"/>
        </w:rPr>
        <w:t>年</w:t>
      </w:r>
      <w:r>
        <w:rPr>
          <w:rFonts w:hint="eastAsia" w:ascii="仿宋" w:hAnsi="仿宋" w:eastAsia="仿宋" w:cs="仿宋"/>
          <w:color w:val="auto"/>
          <w:sz w:val="28"/>
          <w:szCs w:val="28"/>
          <w:highlight w:val="none"/>
          <w:lang w:val="en-US" w:eastAsia="zh-CN"/>
        </w:rPr>
        <w:t>5月7日10点30分</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eastAsia="zh-CN"/>
        </w:rPr>
        <w:t>北京时间）</w:t>
      </w:r>
    </w:p>
    <w:p w14:paraId="6301D218">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地点：</w:t>
      </w:r>
      <w:bookmarkStart w:id="27" w:name="_Toc28359084"/>
      <w:bookmarkStart w:id="28" w:name="_Toc35393625"/>
      <w:bookmarkStart w:id="29" w:name="_Toc28359007"/>
      <w:bookmarkStart w:id="30" w:name="_Toc35393794"/>
      <w:r>
        <w:rPr>
          <w:rFonts w:hint="eastAsia" w:ascii="仿宋" w:hAnsi="仿宋" w:eastAsia="仿宋" w:cs="仿宋"/>
          <w:color w:val="auto"/>
          <w:sz w:val="28"/>
          <w:szCs w:val="28"/>
          <w:highlight w:val="none"/>
          <w:lang w:eastAsia="zh-CN"/>
        </w:rPr>
        <w:t>政采云平台（https://www.zcygov.cn/）</w:t>
      </w:r>
    </w:p>
    <w:p w14:paraId="2D8CE677">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b/>
          <w:bCs/>
          <w:color w:val="auto"/>
          <w:sz w:val="28"/>
          <w:szCs w:val="28"/>
          <w:highlight w:val="none"/>
          <w:lang w:eastAsia="zh-CN"/>
        </w:rPr>
        <w:t>五、公告期限</w:t>
      </w:r>
      <w:bookmarkEnd w:id="27"/>
      <w:bookmarkEnd w:id="28"/>
      <w:bookmarkEnd w:id="29"/>
      <w:bookmarkEnd w:id="30"/>
    </w:p>
    <w:p w14:paraId="7433D237">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自本公告发布之日起5个工作日。</w:t>
      </w:r>
    </w:p>
    <w:p w14:paraId="6E5E6639">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b/>
          <w:bCs/>
          <w:color w:val="auto"/>
          <w:sz w:val="28"/>
          <w:szCs w:val="28"/>
          <w:highlight w:val="none"/>
          <w:lang w:eastAsia="zh-CN"/>
        </w:rPr>
      </w:pPr>
      <w:bookmarkStart w:id="31" w:name="_Toc35393795"/>
      <w:bookmarkStart w:id="32" w:name="_Toc35393626"/>
      <w:r>
        <w:rPr>
          <w:rFonts w:hint="eastAsia" w:ascii="仿宋" w:hAnsi="仿宋" w:eastAsia="仿宋" w:cs="仿宋"/>
          <w:b/>
          <w:bCs/>
          <w:color w:val="auto"/>
          <w:sz w:val="28"/>
          <w:szCs w:val="28"/>
          <w:highlight w:val="none"/>
          <w:lang w:eastAsia="zh-CN"/>
        </w:rPr>
        <w:t>六、其他补充事宜</w:t>
      </w:r>
      <w:bookmarkEnd w:id="31"/>
      <w:bookmarkEnd w:id="32"/>
    </w:p>
    <w:p w14:paraId="1AC478F6">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bookmarkStart w:id="33" w:name="OLE_LINK35"/>
      <w:r>
        <w:rPr>
          <w:rFonts w:hint="eastAsia" w:ascii="仿宋" w:hAnsi="仿宋" w:eastAsia="仿宋" w:cs="仿宋"/>
          <w:color w:val="auto"/>
          <w:sz w:val="28"/>
          <w:szCs w:val="28"/>
          <w:highlight w:val="none"/>
          <w:lang w:eastAsia="zh-CN"/>
        </w:rPr>
        <w:t>1</w:t>
      </w:r>
      <w:r>
        <w:rPr>
          <w:rFonts w:hint="eastAsia" w:ascii="仿宋" w:hAnsi="仿宋" w:eastAsia="仿宋" w:cs="仿宋"/>
          <w:color w:val="auto"/>
          <w:sz w:val="28"/>
          <w:szCs w:val="28"/>
          <w:highlight w:val="none"/>
          <w:lang w:val="en-US" w:eastAsia="zh-CN"/>
        </w:rPr>
        <w:t>.本公告在新疆政府采购网、中国政府采购网发布</w:t>
      </w:r>
      <w:r>
        <w:rPr>
          <w:rFonts w:hint="eastAsia" w:ascii="仿宋" w:hAnsi="仿宋" w:eastAsia="仿宋" w:cs="仿宋"/>
          <w:b w:val="0"/>
          <w:bCs w:val="0"/>
          <w:color w:val="auto"/>
          <w:sz w:val="28"/>
          <w:szCs w:val="28"/>
          <w:highlight w:val="none"/>
          <w:lang w:eastAsia="zh-CN"/>
        </w:rPr>
        <w:t>。</w:t>
      </w:r>
    </w:p>
    <w:p w14:paraId="4C351A71">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2</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请投标人随时关注本项目的澄清、答疑、变更事项。</w:t>
      </w:r>
    </w:p>
    <w:p w14:paraId="443E3F32">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3</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本项目实行网上投标，采用电子投标文件；投标人需要使用CA加密设备，投标人可通过新疆数字证书认证中心官网（https://www.xjca.com.cn/）或下载“新疆政务通”APP自行进行申领。</w:t>
      </w:r>
    </w:p>
    <w:p w14:paraId="79D3629D">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4</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与采购人存在利害关系可能影响招标公正性的法人、其他组织或者个人，不得参加投标；单位负责人为同一人或者存在直接控股、管理关系的</w:t>
      </w:r>
      <w:r>
        <w:rPr>
          <w:rFonts w:hint="eastAsia" w:ascii="仿宋" w:hAnsi="仿宋" w:eastAsia="仿宋" w:cs="仿宋"/>
          <w:color w:val="auto"/>
          <w:sz w:val="28"/>
          <w:szCs w:val="28"/>
          <w:highlight w:val="none"/>
          <w:lang w:val="en-US" w:eastAsia="zh-CN"/>
        </w:rPr>
        <w:t>不同供应商</w:t>
      </w:r>
      <w:r>
        <w:rPr>
          <w:rFonts w:hint="eastAsia" w:ascii="仿宋" w:hAnsi="仿宋" w:eastAsia="仿宋" w:cs="仿宋"/>
          <w:color w:val="auto"/>
          <w:sz w:val="28"/>
          <w:szCs w:val="28"/>
          <w:highlight w:val="none"/>
          <w:lang w:eastAsia="zh-CN"/>
        </w:rPr>
        <w:t>，不得参加同一</w:t>
      </w:r>
      <w:r>
        <w:rPr>
          <w:rFonts w:hint="eastAsia" w:ascii="仿宋" w:hAnsi="仿宋" w:eastAsia="仿宋" w:cs="仿宋"/>
          <w:color w:val="auto"/>
          <w:sz w:val="28"/>
          <w:szCs w:val="28"/>
          <w:highlight w:val="none"/>
          <w:lang w:val="en-US" w:eastAsia="zh-CN"/>
        </w:rPr>
        <w:t>合同项下的政府采购活动。</w:t>
      </w:r>
    </w:p>
    <w:p w14:paraId="4F99B126">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5</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本项目实行网上投标，采用加密电子投标文件(投标人须使用CA加密设备通过政采云电子投标客户端制作投标文件)。若投标人参与投标，自行承担投标一切费用。</w:t>
      </w:r>
    </w:p>
    <w:p w14:paraId="797DBC14">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6</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投标人在开标前应确保成为新疆维吾尔自治区政府采购网正式注册入库，（已在政采云平台其他省份入驻的投标人无需重复注册），并完成CA数字证书申领。因未注册入库、未办理CA数字证书等原因造成无法投标或投标失败等后果由投标人自行承担。</w:t>
      </w:r>
    </w:p>
    <w:p w14:paraId="6327D75B">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7</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投标人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400-881-7190进行咨询。</w:t>
      </w:r>
    </w:p>
    <w:p w14:paraId="086E78D4">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8</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投标人应当在投标截止时间前，将生成的“电子加密投标文件”上传递交至“政府采购云平台”，投标截止时间以后上传递交投标文件将被“政府采购云平台”拒收。</w:t>
      </w:r>
    </w:p>
    <w:p w14:paraId="6A9DD8BB">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9</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lang w:eastAsia="zh-CN"/>
        </w:rPr>
        <w:t>投标人登录政采云平台，在开标时间后30分钟内用“项目采购-开标评标”功能进行解密投标文件。若投标人在规定时间内未按时解密的，视为无效投标。解密与加密投标文件须使用同一个CA。如需进行多轮报价，必须使用“点聚签章服务”，请确保报价时已启动该服务。本项目投标文件解密时间定为30分钟，如因自身原因导致无法正常解密，后果由投标人自行承担。 </w:t>
      </w:r>
      <w:bookmarkEnd w:id="33"/>
    </w:p>
    <w:p w14:paraId="089BCAB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560" w:firstLineChars="200"/>
        <w:jc w:val="both"/>
        <w:textAlignment w:val="baseline"/>
        <w:rPr>
          <w:rFonts w:hint="default"/>
          <w:highlight w:val="none"/>
          <w:lang w:val="en-US"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lang w:eastAsia="zh-CN"/>
        </w:rPr>
        <w:t>投标人</w:t>
      </w:r>
      <w:r>
        <w:rPr>
          <w:rFonts w:hint="eastAsia" w:ascii="仿宋" w:hAnsi="仿宋" w:eastAsia="仿宋" w:cs="宋体"/>
          <w:color w:val="auto"/>
          <w:sz w:val="28"/>
          <w:szCs w:val="28"/>
          <w:highlight w:val="none"/>
        </w:rPr>
        <w:t>应</w:t>
      </w:r>
      <w:r>
        <w:rPr>
          <w:rFonts w:hint="eastAsia" w:ascii="仿宋" w:hAnsi="仿宋" w:eastAsia="仿宋" w:cs="宋体"/>
          <w:color w:val="auto"/>
          <w:sz w:val="28"/>
          <w:szCs w:val="28"/>
          <w:highlight w:val="none"/>
          <w:lang w:val="en-US" w:eastAsia="zh-CN"/>
        </w:rPr>
        <w:t>在</w:t>
      </w:r>
      <w:r>
        <w:rPr>
          <w:rFonts w:hint="eastAsia" w:ascii="仿宋" w:hAnsi="仿宋" w:eastAsia="仿宋" w:cs="宋体"/>
          <w:color w:val="auto"/>
          <w:sz w:val="28"/>
          <w:szCs w:val="28"/>
          <w:highlight w:val="none"/>
        </w:rPr>
        <w:t>投标截止时间</w:t>
      </w:r>
      <w:r>
        <w:rPr>
          <w:rFonts w:hint="eastAsia" w:ascii="仿宋" w:hAnsi="仿宋" w:eastAsia="仿宋" w:cs="宋体"/>
          <w:sz w:val="28"/>
          <w:szCs w:val="28"/>
          <w:highlight w:val="none"/>
          <w:lang w:val="en-US" w:eastAsia="zh-CN"/>
        </w:rPr>
        <w:t>后随时关注该项目开评标进度，保持通讯通畅，在规定时间内完成解密、答疑澄清回复、报价签章等</w:t>
      </w:r>
      <w:r>
        <w:rPr>
          <w:rFonts w:hint="eastAsia" w:ascii="仿宋" w:hAnsi="仿宋" w:eastAsia="仿宋" w:cs="宋体"/>
          <w:sz w:val="28"/>
          <w:szCs w:val="28"/>
          <w:highlight w:val="none"/>
          <w:lang w:eastAsia="zh-CN"/>
        </w:rPr>
        <w:t>。</w:t>
      </w:r>
    </w:p>
    <w:p w14:paraId="3D912743">
      <w:pPr>
        <w:pageBreakBefore w:val="0"/>
        <w:widowControl w:val="0"/>
        <w:kinsoku/>
        <w:wordWrap/>
        <w:overflowPunct/>
        <w:topLinePunct w:val="0"/>
        <w:autoSpaceDE/>
        <w:autoSpaceDN/>
        <w:bidi w:val="0"/>
        <w:adjustRightInd/>
        <w:snapToGrid/>
        <w:spacing w:beforeLines="0" w:afterLines="0" w:line="360" w:lineRule="auto"/>
        <w:ind w:firstLine="562" w:firstLineChars="200"/>
        <w:jc w:val="both"/>
        <w:rPr>
          <w:rFonts w:hint="eastAsia" w:ascii="仿宋" w:hAnsi="仿宋" w:eastAsia="仿宋" w:cs="仿宋"/>
          <w:b/>
          <w:bCs/>
          <w:color w:val="auto"/>
          <w:sz w:val="28"/>
          <w:szCs w:val="28"/>
          <w:highlight w:val="none"/>
          <w:lang w:eastAsia="zh-CN"/>
        </w:rPr>
      </w:pPr>
      <w:bookmarkStart w:id="34" w:name="_Toc28359008"/>
      <w:bookmarkStart w:id="35" w:name="_Toc35393796"/>
      <w:bookmarkStart w:id="36" w:name="_Toc35393627"/>
      <w:bookmarkStart w:id="37" w:name="_Toc28359085"/>
      <w:r>
        <w:rPr>
          <w:rFonts w:hint="eastAsia" w:ascii="仿宋" w:hAnsi="仿宋" w:eastAsia="仿宋" w:cs="仿宋"/>
          <w:b/>
          <w:bCs/>
          <w:color w:val="auto"/>
          <w:sz w:val="28"/>
          <w:szCs w:val="28"/>
          <w:highlight w:val="none"/>
          <w:lang w:eastAsia="zh-CN"/>
        </w:rPr>
        <w:t>七、对本次招标提出询问，请按以下方式联系</w:t>
      </w:r>
      <w:bookmarkEnd w:id="34"/>
      <w:bookmarkEnd w:id="35"/>
      <w:bookmarkEnd w:id="36"/>
      <w:bookmarkEnd w:id="37"/>
      <w:bookmarkStart w:id="38" w:name="_Toc28359096"/>
      <w:bookmarkStart w:id="39" w:name="_Toc28359019"/>
      <w:bookmarkStart w:id="40" w:name="_Toc35393637"/>
      <w:bookmarkStart w:id="41" w:name="_Toc35393806"/>
    </w:p>
    <w:bookmarkEnd w:id="38"/>
    <w:bookmarkEnd w:id="39"/>
    <w:bookmarkEnd w:id="40"/>
    <w:bookmarkEnd w:id="41"/>
    <w:p w14:paraId="20D98889">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1.采购人信息</w:t>
      </w:r>
    </w:p>
    <w:p w14:paraId="219F666C">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名    称：中华人民共和国吉木乃出入境边防检查站　　</w:t>
      </w:r>
    </w:p>
    <w:p w14:paraId="317DACD0">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地    址：新疆阿勒泰地区吉木乃县186团　　</w:t>
      </w:r>
    </w:p>
    <w:p w14:paraId="32C88571">
      <w:pPr>
        <w:pageBreakBefore w:val="0"/>
        <w:widowControl w:val="0"/>
        <w:numPr>
          <w:ilvl w:val="0"/>
          <w:numId w:val="0"/>
        </w:numPr>
        <w:kinsoku/>
        <w:wordWrap/>
        <w:overflowPunct/>
        <w:topLinePunct w:val="0"/>
        <w:autoSpaceDE/>
        <w:autoSpaceDN/>
        <w:bidi w:val="0"/>
        <w:snapToGrid/>
        <w:spacing w:line="600" w:lineRule="exact"/>
        <w:ind w:firstLine="560" w:firstLineChars="200"/>
        <w:textAlignment w:val="auto"/>
        <w:rPr>
          <w:rFonts w:hint="default" w:ascii="Times New Roman" w:hAnsi="Times New Roman" w:eastAsia="仿宋" w:cs="Times New Roman"/>
          <w:color w:val="000000"/>
          <w:sz w:val="28"/>
          <w:szCs w:val="28"/>
          <w:highlight w:val="none"/>
          <w:u w:val="none"/>
          <w:lang w:val="en-US" w:eastAsia="zh-CN"/>
        </w:rPr>
      </w:pPr>
      <w:bookmarkStart w:id="42" w:name="_Toc28359020"/>
      <w:bookmarkStart w:id="43" w:name="_Toc35393807"/>
      <w:bookmarkStart w:id="44" w:name="_Toc35393638"/>
      <w:bookmarkStart w:id="45" w:name="_Toc28359097"/>
      <w:r>
        <w:rPr>
          <w:rFonts w:hint="default" w:ascii="Times New Roman" w:hAnsi="Times New Roman" w:eastAsia="仿宋" w:cs="Times New Roman"/>
          <w:color w:val="000000"/>
          <w:sz w:val="28"/>
          <w:szCs w:val="28"/>
          <w:highlight w:val="none"/>
          <w:u w:val="none"/>
          <w:lang w:val="en-US" w:eastAsia="zh-CN"/>
        </w:rPr>
        <w:t>联系方式：</w:t>
      </w:r>
      <w:r>
        <w:rPr>
          <w:rFonts w:hint="eastAsia" w:eastAsia="仿宋" w:cs="Times New Roman"/>
          <w:color w:val="000000"/>
          <w:sz w:val="28"/>
          <w:szCs w:val="28"/>
          <w:highlight w:val="none"/>
          <w:u w:val="none"/>
          <w:lang w:val="en-US" w:eastAsia="zh-CN"/>
        </w:rPr>
        <w:t>华警官0906-6491234</w:t>
      </w:r>
    </w:p>
    <w:p w14:paraId="1C80262D">
      <w:pPr>
        <w:pageBreakBefore w:val="0"/>
        <w:widowControl w:val="0"/>
        <w:numPr>
          <w:ilvl w:val="0"/>
          <w:numId w:val="0"/>
        </w:numPr>
        <w:kinsoku/>
        <w:wordWrap/>
        <w:overflowPunct/>
        <w:topLinePunct w:val="0"/>
        <w:autoSpaceDE/>
        <w:autoSpaceDN/>
        <w:bidi w:val="0"/>
        <w:snapToGrid/>
        <w:spacing w:line="600" w:lineRule="exact"/>
        <w:ind w:firstLine="560" w:firstLineChars="200"/>
        <w:textAlignment w:val="auto"/>
        <w:rPr>
          <w:rFonts w:hint="default" w:ascii="Times New Roman" w:hAnsi="Times New Roman" w:eastAsia="仿宋" w:cs="Times New Roman"/>
          <w:color w:val="000000"/>
          <w:sz w:val="28"/>
          <w:szCs w:val="28"/>
          <w:highlight w:val="none"/>
          <w:u w:val="none"/>
          <w:lang w:val="en-US" w:eastAsia="zh-CN"/>
        </w:rPr>
      </w:pPr>
      <w:r>
        <w:rPr>
          <w:rFonts w:hint="default" w:ascii="Times New Roman" w:hAnsi="Times New Roman" w:eastAsia="仿宋" w:cs="Times New Roman"/>
          <w:color w:val="000000"/>
          <w:sz w:val="28"/>
          <w:szCs w:val="28"/>
          <w:highlight w:val="none"/>
          <w:u w:val="none"/>
          <w:lang w:val="en-US" w:eastAsia="zh-CN"/>
        </w:rPr>
        <w:t>监督电话：</w:t>
      </w:r>
      <w:r>
        <w:rPr>
          <w:rFonts w:hint="eastAsia" w:eastAsia="仿宋" w:cs="Times New Roman"/>
          <w:color w:val="000000"/>
          <w:sz w:val="28"/>
          <w:szCs w:val="28"/>
          <w:highlight w:val="none"/>
          <w:u w:val="none"/>
          <w:lang w:val="en-US" w:eastAsia="zh-CN"/>
        </w:rPr>
        <w:t>0906-6491234</w:t>
      </w:r>
    </w:p>
    <w:p w14:paraId="0D3F46F6">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2.</w:t>
      </w:r>
      <w:r>
        <w:rPr>
          <w:rFonts w:hint="eastAsia" w:ascii="仿宋" w:hAnsi="仿宋" w:eastAsia="仿宋" w:cs="仿宋"/>
          <w:color w:val="auto"/>
          <w:sz w:val="28"/>
          <w:szCs w:val="28"/>
          <w:highlight w:val="none"/>
          <w:lang w:val="en-US" w:eastAsia="zh-CN"/>
        </w:rPr>
        <w:t>采购</w:t>
      </w:r>
      <w:r>
        <w:rPr>
          <w:rFonts w:hint="eastAsia" w:ascii="仿宋" w:hAnsi="仿宋" w:eastAsia="仿宋" w:cs="仿宋"/>
          <w:color w:val="auto"/>
          <w:sz w:val="28"/>
          <w:szCs w:val="28"/>
          <w:highlight w:val="none"/>
          <w:lang w:eastAsia="zh-CN"/>
        </w:rPr>
        <w:t>代理机构信息</w:t>
      </w:r>
      <w:bookmarkEnd w:id="42"/>
      <w:bookmarkEnd w:id="43"/>
      <w:bookmarkEnd w:id="44"/>
      <w:bookmarkEnd w:id="45"/>
    </w:p>
    <w:p w14:paraId="2C9BB2E3">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bookmarkStart w:id="46" w:name="_Toc28359098"/>
      <w:bookmarkStart w:id="47" w:name="_Toc35393808"/>
      <w:bookmarkStart w:id="48" w:name="_Toc35393639"/>
      <w:bookmarkStart w:id="49" w:name="_Toc28359021"/>
      <w:r>
        <w:rPr>
          <w:rFonts w:hint="eastAsia" w:ascii="仿宋" w:hAnsi="仿宋" w:eastAsia="仿宋" w:cs="仿宋"/>
          <w:color w:val="auto"/>
          <w:sz w:val="28"/>
          <w:szCs w:val="28"/>
          <w:highlight w:val="none"/>
          <w:lang w:eastAsia="zh-CN"/>
        </w:rPr>
        <w:t>名    称：新疆金泰首致项目管理咨询有限公司　　　　　　　　　　　　</w:t>
      </w:r>
    </w:p>
    <w:p w14:paraId="551C12EA">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地　　址：</w:t>
      </w:r>
      <w:bookmarkStart w:id="50" w:name="OLE_LINK37"/>
      <w:bookmarkStart w:id="51" w:name="OLE_LINK76"/>
      <w:r>
        <w:rPr>
          <w:rFonts w:hint="eastAsia" w:ascii="仿宋" w:hAnsi="仿宋" w:eastAsia="仿宋" w:cs="仿宋"/>
          <w:color w:val="auto"/>
          <w:sz w:val="28"/>
          <w:szCs w:val="28"/>
          <w:highlight w:val="none"/>
          <w:lang w:eastAsia="zh-CN"/>
        </w:rPr>
        <w:t>阿勒泰市佰颂广场亦岚酒店6楼</w:t>
      </w:r>
      <w:bookmarkEnd w:id="50"/>
      <w:r>
        <w:rPr>
          <w:rFonts w:hint="eastAsia" w:ascii="仿宋" w:hAnsi="仿宋" w:eastAsia="仿宋" w:cs="仿宋"/>
          <w:color w:val="auto"/>
          <w:sz w:val="28"/>
          <w:szCs w:val="28"/>
          <w:highlight w:val="none"/>
          <w:lang w:eastAsia="zh-CN"/>
        </w:rPr>
        <w:t>　　</w:t>
      </w:r>
      <w:bookmarkEnd w:id="51"/>
      <w:r>
        <w:rPr>
          <w:rFonts w:hint="eastAsia" w:ascii="仿宋" w:hAnsi="仿宋" w:eastAsia="仿宋" w:cs="仿宋"/>
          <w:color w:val="auto"/>
          <w:sz w:val="28"/>
          <w:szCs w:val="28"/>
          <w:highlight w:val="none"/>
          <w:lang w:eastAsia="zh-CN"/>
        </w:rPr>
        <w:t>　　　　　　</w:t>
      </w:r>
    </w:p>
    <w:p w14:paraId="403CE0E4">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联系方式：13095016175　</w:t>
      </w:r>
    </w:p>
    <w:p w14:paraId="41456FAB">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3.项目联系方式</w:t>
      </w:r>
      <w:bookmarkEnd w:id="46"/>
      <w:bookmarkEnd w:id="47"/>
      <w:bookmarkEnd w:id="48"/>
      <w:bookmarkEnd w:id="49"/>
    </w:p>
    <w:p w14:paraId="77A7ADA5">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项目联系人：张晶  </w:t>
      </w:r>
    </w:p>
    <w:p w14:paraId="6AA4767B">
      <w:pPr>
        <w:pageBreakBefore w:val="0"/>
        <w:widowControl w:val="0"/>
        <w:kinsoku/>
        <w:wordWrap/>
        <w:overflowPunct/>
        <w:topLinePunct w:val="0"/>
        <w:autoSpaceDE/>
        <w:autoSpaceDN/>
        <w:bidi w:val="0"/>
        <w:adjustRightInd/>
        <w:snapToGrid/>
        <w:spacing w:beforeLines="0" w:afterLines="0" w:line="360" w:lineRule="auto"/>
        <w:ind w:firstLine="560" w:firstLineChars="200"/>
        <w:jc w:val="both"/>
        <w:rPr>
          <w:rFonts w:hint="eastAsia" w:ascii="宋体" w:hAnsi="宋体" w:eastAsia="宋体" w:cs="宋体"/>
          <w:color w:val="auto"/>
          <w:sz w:val="28"/>
          <w:szCs w:val="21"/>
          <w:highlight w:val="none"/>
          <w:lang w:eastAsia="zh-CN"/>
        </w:rPr>
      </w:pPr>
      <w:r>
        <w:rPr>
          <w:rFonts w:hint="eastAsia" w:ascii="仿宋" w:hAnsi="仿宋" w:eastAsia="仿宋" w:cs="仿宋"/>
          <w:color w:val="auto"/>
          <w:sz w:val="28"/>
          <w:szCs w:val="28"/>
          <w:highlight w:val="none"/>
          <w:lang w:eastAsia="zh-CN"/>
        </w:rPr>
        <w:t>电　　 话：13095016175</w:t>
      </w:r>
      <w:r>
        <w:rPr>
          <w:rFonts w:hint="eastAsia" w:ascii="宋体" w:hAnsi="宋体" w:eastAsia="宋体" w:cs="宋体"/>
          <w:color w:val="auto"/>
          <w:sz w:val="28"/>
          <w:szCs w:val="21"/>
          <w:highlight w:val="none"/>
          <w:lang w:eastAsia="zh-CN"/>
        </w:rPr>
        <w:t>　</w:t>
      </w:r>
    </w:p>
    <w:p w14:paraId="7A025FDE">
      <w:pPr>
        <w:pStyle w:val="11"/>
        <w:rPr>
          <w:rFonts w:hint="eastAsia"/>
          <w:highlight w:val="none"/>
          <w:lang w:eastAsia="zh-CN"/>
        </w:rPr>
      </w:pPr>
    </w:p>
    <w:p w14:paraId="1BDAD229">
      <w:pPr>
        <w:pStyle w:val="11"/>
        <w:rPr>
          <w:rFonts w:hint="eastAsia"/>
          <w:highlight w:val="none"/>
          <w:lang w:eastAsia="zh-CN"/>
        </w:rPr>
      </w:pPr>
    </w:p>
    <w:p w14:paraId="442D3124">
      <w:pPr>
        <w:pStyle w:val="11"/>
        <w:rPr>
          <w:rFonts w:hint="eastAsia"/>
          <w:highlight w:val="none"/>
          <w:lang w:eastAsia="zh-CN"/>
        </w:rPr>
      </w:pPr>
    </w:p>
    <w:p w14:paraId="2A2C702D">
      <w:pPr>
        <w:pStyle w:val="11"/>
        <w:rPr>
          <w:rFonts w:hint="eastAsia"/>
          <w:highlight w:val="none"/>
        </w:rPr>
      </w:pPr>
    </w:p>
    <w:p w14:paraId="48D87B55">
      <w:pPr>
        <w:snapToGrid w:val="0"/>
        <w:spacing w:line="360" w:lineRule="auto"/>
        <w:ind w:firstLine="20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第二部分  投标人须知前附表</w:t>
      </w:r>
    </w:p>
    <w:tbl>
      <w:tblPr>
        <w:tblStyle w:val="25"/>
        <w:tblW w:w="1037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5"/>
        <w:gridCol w:w="2469"/>
        <w:gridCol w:w="7170"/>
      </w:tblGrid>
      <w:tr w14:paraId="3E6BF1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3" w:hRule="atLeast"/>
          <w:tblHeader/>
          <w:jc w:val="center"/>
        </w:trPr>
        <w:tc>
          <w:tcPr>
            <w:tcW w:w="735" w:type="dxa"/>
            <w:vAlign w:val="center"/>
          </w:tcPr>
          <w:p w14:paraId="18D47E2C">
            <w:pPr>
              <w:adjustRightInd w:val="0"/>
              <w:snapToGrid w:val="0"/>
              <w:spacing w:before="120" w:before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469" w:type="dxa"/>
            <w:vAlign w:val="center"/>
          </w:tcPr>
          <w:p w14:paraId="27AACC0A">
            <w:pPr>
              <w:adjustRightInd w:val="0"/>
              <w:snapToGrid w:val="0"/>
              <w:spacing w:before="120" w:before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7170" w:type="dxa"/>
            <w:vAlign w:val="center"/>
          </w:tcPr>
          <w:p w14:paraId="2631F114">
            <w:pPr>
              <w:adjustRightInd w:val="0"/>
              <w:snapToGrid w:val="0"/>
              <w:spacing w:before="120" w:before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编列内容规定</w:t>
            </w:r>
          </w:p>
        </w:tc>
      </w:tr>
      <w:tr w14:paraId="451D0F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1" w:hRule="atLeast"/>
          <w:jc w:val="center"/>
        </w:trPr>
        <w:tc>
          <w:tcPr>
            <w:tcW w:w="735" w:type="dxa"/>
            <w:vAlign w:val="center"/>
          </w:tcPr>
          <w:p w14:paraId="3CFA9183">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2469" w:type="dxa"/>
            <w:vAlign w:val="center"/>
          </w:tcPr>
          <w:p w14:paraId="330EC362">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7170" w:type="dxa"/>
            <w:vAlign w:val="center"/>
          </w:tcPr>
          <w:p w14:paraId="44A11D40">
            <w:pPr>
              <w:adjustRightInd w:val="0"/>
              <w:snapToGrid w:val="0"/>
              <w:spacing w:before="120" w:beforeLines="5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中华人民共和国吉木乃出入境边防检查站主副食配送服务采购项目</w:t>
            </w:r>
          </w:p>
        </w:tc>
      </w:tr>
      <w:tr w14:paraId="16F6B0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88" w:hRule="atLeast"/>
          <w:jc w:val="center"/>
        </w:trPr>
        <w:tc>
          <w:tcPr>
            <w:tcW w:w="735" w:type="dxa"/>
            <w:vAlign w:val="center"/>
          </w:tcPr>
          <w:p w14:paraId="69E1188D">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p>
        </w:tc>
        <w:tc>
          <w:tcPr>
            <w:tcW w:w="2469" w:type="dxa"/>
            <w:vAlign w:val="center"/>
          </w:tcPr>
          <w:p w14:paraId="2CA4A6A7">
            <w:pPr>
              <w:adjustRightInd w:val="0"/>
              <w:snapToGrid w:val="0"/>
              <w:spacing w:before="120" w:beforeLines="50"/>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采购人</w:t>
            </w:r>
          </w:p>
        </w:tc>
        <w:tc>
          <w:tcPr>
            <w:tcW w:w="7170" w:type="dxa"/>
            <w:vAlign w:val="center"/>
          </w:tcPr>
          <w:p w14:paraId="79D20A1F">
            <w:pPr>
              <w:adjustRightInd w:val="0"/>
              <w:snapToGrid w:val="0"/>
              <w:spacing w:before="120" w:beforeLines="50"/>
              <w:jc w:val="left"/>
              <w:rPr>
                <w:rFonts w:hint="eastAsia" w:ascii="宋体" w:hAnsi="宋体" w:eastAsia="宋体" w:cs="宋体"/>
                <w:color w:val="auto"/>
                <w:w w:val="95"/>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eastAsia="zh-CN"/>
              </w:rPr>
              <w:t>中华人民共和国吉木乃出入境边防检查站</w:t>
            </w:r>
            <w:r>
              <w:rPr>
                <w:rFonts w:hint="eastAsia" w:ascii="宋体" w:hAnsi="宋体" w:eastAsia="宋体" w:cs="宋体"/>
                <w:color w:val="auto"/>
                <w:w w:val="95"/>
                <w:sz w:val="24"/>
                <w:szCs w:val="24"/>
                <w:highlight w:val="none"/>
              </w:rPr>
              <w:t xml:space="preserve">         </w:t>
            </w:r>
          </w:p>
          <w:p w14:paraId="1BD5C1F5">
            <w:pPr>
              <w:adjustRightInd w:val="0"/>
              <w:snapToGrid w:val="0"/>
              <w:spacing w:before="120" w:beforeLines="5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华警官</w:t>
            </w:r>
          </w:p>
          <w:p w14:paraId="06965B90">
            <w:pPr>
              <w:adjustRightInd w:val="0"/>
              <w:snapToGrid w:val="0"/>
              <w:spacing w:before="120" w:beforeLines="5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lang w:val="en-US" w:eastAsia="zh-CN"/>
              </w:rPr>
              <w:t>0906-6491234</w:t>
            </w:r>
          </w:p>
        </w:tc>
      </w:tr>
      <w:tr w14:paraId="5FBB6A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09" w:hRule="atLeast"/>
          <w:jc w:val="center"/>
        </w:trPr>
        <w:tc>
          <w:tcPr>
            <w:tcW w:w="735" w:type="dxa"/>
            <w:vAlign w:val="center"/>
          </w:tcPr>
          <w:p w14:paraId="2308F4DB">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p>
        </w:tc>
        <w:tc>
          <w:tcPr>
            <w:tcW w:w="2469" w:type="dxa"/>
            <w:vAlign w:val="center"/>
          </w:tcPr>
          <w:p w14:paraId="3F555B0F">
            <w:pPr>
              <w:adjustRightInd w:val="0"/>
              <w:snapToGrid w:val="0"/>
              <w:spacing w:before="120" w:beforeLines="50"/>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采购</w:t>
            </w:r>
            <w:r>
              <w:rPr>
                <w:rFonts w:hint="eastAsia" w:ascii="宋体" w:hAnsi="宋体" w:eastAsia="宋体" w:cs="宋体"/>
                <w:b/>
                <w:bCs/>
                <w:color w:val="auto"/>
                <w:sz w:val="24"/>
                <w:szCs w:val="24"/>
                <w:highlight w:val="none"/>
                <w:lang w:eastAsia="zh-CN"/>
              </w:rPr>
              <w:t>代理机构</w:t>
            </w:r>
          </w:p>
        </w:tc>
        <w:tc>
          <w:tcPr>
            <w:tcW w:w="7170" w:type="dxa"/>
            <w:vAlign w:val="center"/>
          </w:tcPr>
          <w:p w14:paraId="377E4408">
            <w:pPr>
              <w:adjustRightInd w:val="0"/>
              <w:snapToGrid w:val="0"/>
              <w:spacing w:before="120" w:beforeLine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新疆金泰首致项目管理咨询有限公司</w:t>
            </w:r>
            <w:r>
              <w:rPr>
                <w:rFonts w:hint="eastAsia" w:ascii="宋体" w:hAnsi="宋体" w:eastAsia="宋体" w:cs="宋体"/>
                <w:color w:val="auto"/>
                <w:sz w:val="24"/>
                <w:szCs w:val="24"/>
                <w:highlight w:val="none"/>
              </w:rPr>
              <w:t xml:space="preserve">     </w:t>
            </w:r>
          </w:p>
          <w:p w14:paraId="3FDAC0A5">
            <w:pPr>
              <w:adjustRightInd w:val="0"/>
              <w:snapToGrid w:val="0"/>
              <w:spacing w:before="120" w:beforeLines="5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阿勒泰市佰颂广场亦岚酒店6楼　　</w:t>
            </w:r>
          </w:p>
          <w:p w14:paraId="01570666">
            <w:pPr>
              <w:adjustRightInd w:val="0"/>
              <w:snapToGrid w:val="0"/>
              <w:spacing w:before="120" w:beforeLines="5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张晶</w:t>
            </w:r>
          </w:p>
          <w:p w14:paraId="60F373B4">
            <w:pPr>
              <w:adjustRightInd w:val="0"/>
              <w:snapToGrid w:val="0"/>
              <w:spacing w:before="120" w:beforeLines="5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联系电话：</w:t>
            </w:r>
            <w:r>
              <w:rPr>
                <w:rFonts w:hint="eastAsia" w:ascii="宋体" w:hAnsi="宋体" w:cs="宋体"/>
                <w:color w:val="auto"/>
                <w:sz w:val="24"/>
                <w:szCs w:val="24"/>
                <w:highlight w:val="none"/>
                <w:lang w:eastAsia="zh-CN"/>
              </w:rPr>
              <w:t>13095016175</w:t>
            </w:r>
          </w:p>
        </w:tc>
      </w:tr>
      <w:tr w14:paraId="48A0C3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44" w:hRule="atLeast"/>
          <w:jc w:val="center"/>
        </w:trPr>
        <w:tc>
          <w:tcPr>
            <w:tcW w:w="735" w:type="dxa"/>
            <w:vAlign w:val="center"/>
          </w:tcPr>
          <w:p w14:paraId="4807F2AA">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w:t>
            </w:r>
          </w:p>
        </w:tc>
        <w:tc>
          <w:tcPr>
            <w:tcW w:w="2469" w:type="dxa"/>
            <w:vAlign w:val="center"/>
          </w:tcPr>
          <w:p w14:paraId="7D6C9421">
            <w:pPr>
              <w:adjustRightInd w:val="0"/>
              <w:snapToGrid w:val="0"/>
              <w:spacing w:before="120" w:beforeLines="5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采购</w:t>
            </w:r>
            <w:r>
              <w:rPr>
                <w:rFonts w:hint="eastAsia" w:ascii="宋体" w:hAnsi="宋体" w:eastAsia="宋体" w:cs="宋体"/>
                <w:b/>
                <w:bCs/>
                <w:color w:val="auto"/>
                <w:sz w:val="24"/>
                <w:szCs w:val="24"/>
                <w:highlight w:val="none"/>
                <w:lang w:val="en-US" w:eastAsia="zh-CN"/>
              </w:rPr>
              <w:t>需求</w:t>
            </w:r>
          </w:p>
        </w:tc>
        <w:tc>
          <w:tcPr>
            <w:tcW w:w="7170" w:type="dxa"/>
            <w:vAlign w:val="center"/>
          </w:tcPr>
          <w:p w14:paraId="79C69F92">
            <w:pPr>
              <w:spacing w:line="360" w:lineRule="auto"/>
              <w:ind w:firstLine="480" w:firstLineChars="200"/>
              <w:rPr>
                <w:rFonts w:hint="default" w:ascii="宋体" w:hAnsi="宋体" w:eastAsia="宋体" w:cs="宋体"/>
                <w:color w:val="auto"/>
                <w:sz w:val="24"/>
                <w:szCs w:val="24"/>
                <w:highlight w:val="none"/>
                <w:lang w:val="en-US"/>
              </w:rPr>
            </w:pPr>
            <w:r>
              <w:rPr>
                <w:rFonts w:hint="default" w:ascii="宋体" w:hAnsi="宋体" w:eastAsia="宋体" w:cs="宋体"/>
                <w:color w:val="auto"/>
                <w:sz w:val="24"/>
                <w:szCs w:val="24"/>
                <w:highlight w:val="none"/>
                <w:lang w:val="en-US" w:eastAsia="zh-CN"/>
              </w:rPr>
              <w:t>为</w:t>
            </w:r>
            <w:r>
              <w:rPr>
                <w:rFonts w:hint="eastAsia" w:ascii="宋体" w:hAnsi="宋体" w:cs="宋体"/>
                <w:color w:val="auto"/>
                <w:sz w:val="24"/>
                <w:szCs w:val="24"/>
                <w:highlight w:val="none"/>
                <w:lang w:val="en-US" w:eastAsia="zh-CN"/>
              </w:rPr>
              <w:t>中华人民共和国吉木乃出入境边防检查站</w:t>
            </w:r>
            <w:r>
              <w:rPr>
                <w:rFonts w:hint="default" w:ascii="宋体" w:hAnsi="宋体" w:eastAsia="宋体" w:cs="宋体"/>
                <w:color w:val="auto"/>
                <w:sz w:val="24"/>
                <w:szCs w:val="24"/>
                <w:highlight w:val="none"/>
                <w:lang w:val="en-US" w:eastAsia="zh-CN"/>
              </w:rPr>
              <w:t>提供日常所需的主副食材（米面粮油、调料、禽蛋、禽肉、蔬菜水果、牛羊猪肉、水产、乳制品、饮品等）</w:t>
            </w:r>
            <w:r>
              <w:rPr>
                <w:rFonts w:hint="eastAsia" w:ascii="宋体" w:hAnsi="宋体" w:cs="宋体"/>
                <w:color w:val="auto"/>
                <w:sz w:val="24"/>
                <w:szCs w:val="24"/>
                <w:highlight w:val="none"/>
                <w:lang w:val="en-US" w:eastAsia="zh-CN"/>
              </w:rPr>
              <w:t>配送服务。</w:t>
            </w:r>
          </w:p>
        </w:tc>
      </w:tr>
      <w:tr w14:paraId="54A78F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735" w:type="dxa"/>
            <w:vAlign w:val="center"/>
          </w:tcPr>
          <w:p w14:paraId="13D16E70">
            <w:pPr>
              <w:adjustRightInd w:val="0"/>
              <w:snapToGrid w:val="0"/>
              <w:spacing w:before="120" w:beforeLines="5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w:t>
            </w:r>
          </w:p>
        </w:tc>
        <w:tc>
          <w:tcPr>
            <w:tcW w:w="2469" w:type="dxa"/>
            <w:shd w:val="clear" w:color="auto" w:fill="auto"/>
            <w:vAlign w:val="center"/>
          </w:tcPr>
          <w:p w14:paraId="7EB6EA17">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合同</w:t>
            </w:r>
            <w:r>
              <w:rPr>
                <w:rFonts w:hint="eastAsia" w:ascii="宋体" w:hAnsi="宋体" w:eastAsia="宋体" w:cs="宋体"/>
                <w:b/>
                <w:bCs/>
                <w:color w:val="auto"/>
                <w:sz w:val="24"/>
                <w:szCs w:val="24"/>
                <w:highlight w:val="none"/>
                <w:lang w:val="en-US" w:eastAsia="zh-CN"/>
              </w:rPr>
              <w:t>履</w:t>
            </w:r>
            <w:r>
              <w:rPr>
                <w:rFonts w:hint="eastAsia" w:ascii="宋体" w:hAnsi="宋体" w:cs="宋体"/>
                <w:b/>
                <w:bCs/>
                <w:color w:val="auto"/>
                <w:sz w:val="24"/>
                <w:szCs w:val="24"/>
                <w:highlight w:val="none"/>
                <w:lang w:val="en-US" w:eastAsia="zh-CN"/>
              </w:rPr>
              <w:t>行</w:t>
            </w:r>
            <w:r>
              <w:rPr>
                <w:rFonts w:hint="eastAsia" w:ascii="宋体" w:hAnsi="宋体" w:eastAsia="宋体" w:cs="宋体"/>
                <w:b/>
                <w:bCs/>
                <w:color w:val="auto"/>
                <w:sz w:val="24"/>
                <w:szCs w:val="24"/>
                <w:highlight w:val="none"/>
              </w:rPr>
              <w:t>期限</w:t>
            </w:r>
          </w:p>
        </w:tc>
        <w:tc>
          <w:tcPr>
            <w:tcW w:w="7170" w:type="dxa"/>
            <w:shd w:val="clear" w:color="auto" w:fill="auto"/>
            <w:vAlign w:val="center"/>
          </w:tcPr>
          <w:p w14:paraId="6E46ABD5">
            <w:pPr>
              <w:spacing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2025年5月23日至2026年5月22日。</w:t>
            </w:r>
          </w:p>
        </w:tc>
      </w:tr>
      <w:tr w14:paraId="59E7E2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44" w:hRule="atLeast"/>
          <w:jc w:val="center"/>
        </w:trPr>
        <w:tc>
          <w:tcPr>
            <w:tcW w:w="735" w:type="dxa"/>
            <w:shd w:val="clear" w:color="auto" w:fill="auto"/>
            <w:vAlign w:val="center"/>
          </w:tcPr>
          <w:p w14:paraId="459B0A9E">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6</w:t>
            </w:r>
          </w:p>
        </w:tc>
        <w:tc>
          <w:tcPr>
            <w:tcW w:w="2469" w:type="dxa"/>
            <w:shd w:val="clear" w:color="auto" w:fill="auto"/>
            <w:vAlign w:val="center"/>
          </w:tcPr>
          <w:p w14:paraId="48A58E5B">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履约地点</w:t>
            </w:r>
          </w:p>
        </w:tc>
        <w:tc>
          <w:tcPr>
            <w:tcW w:w="7170" w:type="dxa"/>
            <w:shd w:val="clear" w:color="auto" w:fill="auto"/>
            <w:vAlign w:val="center"/>
          </w:tcPr>
          <w:p w14:paraId="22A2D28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中华人民共和国吉木乃出入境边防检查站</w:t>
            </w:r>
          </w:p>
        </w:tc>
      </w:tr>
      <w:tr w14:paraId="4F832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9" w:hRule="atLeast"/>
          <w:jc w:val="center"/>
        </w:trPr>
        <w:tc>
          <w:tcPr>
            <w:tcW w:w="735" w:type="dxa"/>
            <w:shd w:val="clear" w:color="auto" w:fill="auto"/>
            <w:vAlign w:val="center"/>
          </w:tcPr>
          <w:p w14:paraId="1CF05EC6">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7</w:t>
            </w:r>
          </w:p>
        </w:tc>
        <w:tc>
          <w:tcPr>
            <w:tcW w:w="2469" w:type="dxa"/>
            <w:shd w:val="clear" w:color="auto" w:fill="auto"/>
            <w:vAlign w:val="center"/>
          </w:tcPr>
          <w:p w14:paraId="5F3A01CB">
            <w:pPr>
              <w:adjustRightInd w:val="0"/>
              <w:snapToGrid w:val="0"/>
              <w:spacing w:before="120" w:beforeLines="50"/>
              <w:jc w:val="center"/>
              <w:rPr>
                <w:rFonts w:hint="default" w:ascii="宋体" w:hAnsi="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供货方式</w:t>
            </w:r>
          </w:p>
        </w:tc>
        <w:tc>
          <w:tcPr>
            <w:tcW w:w="7170" w:type="dxa"/>
            <w:shd w:val="clear" w:color="auto" w:fill="auto"/>
            <w:vAlign w:val="center"/>
          </w:tcPr>
          <w:p w14:paraId="3B5FD911">
            <w:pPr>
              <w:pStyle w:val="31"/>
              <w:spacing w:line="360" w:lineRule="auto"/>
              <w:rPr>
                <w:rFonts w:hint="eastAsia" w:ascii="宋体" w:hAnsi="宋体" w:eastAsia="宋体" w:cs="宋体"/>
                <w:color w:val="auto"/>
                <w:sz w:val="24"/>
                <w:szCs w:val="24"/>
                <w:highlight w:val="none"/>
                <w:lang w:val="en-US" w:eastAsia="zh-CN"/>
              </w:rPr>
            </w:pPr>
            <w:r>
              <w:rPr>
                <w:rFonts w:hint="eastAsia" w:asciiTheme="majorEastAsia" w:hAnsiTheme="majorEastAsia" w:eastAsiaTheme="majorEastAsia" w:cstheme="majorEastAsia"/>
                <w:b/>
                <w:bCs/>
                <w:kern w:val="2"/>
                <w:sz w:val="24"/>
                <w:szCs w:val="24"/>
                <w:highlight w:val="none"/>
                <w:lang w:val="en-US" w:eastAsia="zh-CN" w:bidi="ar-SA"/>
              </w:rPr>
              <w:t>送货上门</w:t>
            </w:r>
          </w:p>
        </w:tc>
      </w:tr>
      <w:tr w14:paraId="0858B4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44" w:hRule="atLeast"/>
          <w:jc w:val="center"/>
        </w:trPr>
        <w:tc>
          <w:tcPr>
            <w:tcW w:w="735" w:type="dxa"/>
            <w:shd w:val="clear" w:color="auto" w:fill="auto"/>
            <w:vAlign w:val="center"/>
          </w:tcPr>
          <w:p w14:paraId="4A9CA40E">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8</w:t>
            </w:r>
          </w:p>
        </w:tc>
        <w:tc>
          <w:tcPr>
            <w:tcW w:w="2469" w:type="dxa"/>
            <w:shd w:val="clear" w:color="auto" w:fill="auto"/>
            <w:vAlign w:val="center"/>
          </w:tcPr>
          <w:p w14:paraId="08B59FA9">
            <w:pPr>
              <w:adjustRightInd w:val="0"/>
              <w:snapToGrid w:val="0"/>
              <w:spacing w:before="120" w:beforeLines="50"/>
              <w:jc w:val="center"/>
              <w:rPr>
                <w:rFonts w:hint="default" w:ascii="宋体" w:hAnsi="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质量标准</w:t>
            </w:r>
          </w:p>
        </w:tc>
        <w:tc>
          <w:tcPr>
            <w:tcW w:w="7170" w:type="dxa"/>
            <w:shd w:val="clear" w:color="auto" w:fill="auto"/>
            <w:vAlign w:val="center"/>
          </w:tcPr>
          <w:p w14:paraId="375C3A73">
            <w:pPr>
              <w:pStyle w:val="6"/>
              <w:spacing w:line="360" w:lineRule="auto"/>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u w:val="none"/>
                <w:lang w:val="en-US" w:eastAsia="zh-CN" w:bidi="ar-SA"/>
              </w:rPr>
              <w:t>乙方对合同项下的各类产品均按产品包装上的质保期限供货；符合国家食品、药品监督局的质量要求。所需食材须保证新鲜，质量及包装、运输等须符合国家或行业标准要求。（具体参考标准如下：①除初级农产品外的其他包装类食材交货时质保期不少于三分之二；②蔬菜应符合以下新鲜度标准：叶片完整舒展，无发黄、枯萎、腐烂迹象，色泽鲜亮翠绿，根部无明显腐烂霉变，无软烂发黏，无泥土结巴情况；③水果应符合以下新鲜度标准：表皮光滑，色泽自然鲜艳，无黑斑、软烂、碰伤痕迹，果蒂新鲜翠绿，无干枯变色，无发软凹陷情况；④水产应符合以下新鲜度标准：鱼鳃完整且紧贴鱼身，鱼体肉质紧实，富有弹性，鱼身挺直，鱼腹不膨胀；⑤肉类应符合以下新鲜度标准：肌肉有光泽，红色均匀，如猪肉呈淡红色至淡棕色，牛肉呈暗红色等。脂肪洁白或淡黄色，外表微干或微湿润，不粘手，无异味臭味）</w:t>
            </w:r>
            <w:r>
              <w:rPr>
                <w:rFonts w:hint="eastAsia" w:ascii="宋体" w:hAnsi="宋体" w:cs="宋体"/>
                <w:color w:val="auto"/>
                <w:kern w:val="2"/>
                <w:sz w:val="24"/>
                <w:szCs w:val="24"/>
                <w:highlight w:val="none"/>
                <w:u w:val="none"/>
                <w:lang w:val="en-US" w:eastAsia="zh-CN" w:bidi="ar-SA"/>
              </w:rPr>
              <w:t>。</w:t>
            </w:r>
          </w:p>
        </w:tc>
      </w:tr>
      <w:tr w14:paraId="619E53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44" w:hRule="atLeast"/>
          <w:jc w:val="center"/>
        </w:trPr>
        <w:tc>
          <w:tcPr>
            <w:tcW w:w="735" w:type="dxa"/>
            <w:shd w:val="clear" w:color="auto" w:fill="auto"/>
            <w:vAlign w:val="center"/>
          </w:tcPr>
          <w:p w14:paraId="17C8A318">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9</w:t>
            </w:r>
          </w:p>
        </w:tc>
        <w:tc>
          <w:tcPr>
            <w:tcW w:w="2469" w:type="dxa"/>
            <w:shd w:val="clear" w:color="auto" w:fill="auto"/>
            <w:vAlign w:val="center"/>
          </w:tcPr>
          <w:p w14:paraId="038E580B">
            <w:pPr>
              <w:adjustRightInd w:val="0"/>
              <w:snapToGrid w:val="0"/>
              <w:spacing w:before="120" w:beforeLines="5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sz w:val="24"/>
                <w:szCs w:val="24"/>
                <w:highlight w:val="none"/>
                <w:lang w:val="en-US" w:eastAsia="zh-CN" w:bidi="ar-SA"/>
              </w:rPr>
              <w:t>验收方式及标准</w:t>
            </w:r>
          </w:p>
        </w:tc>
        <w:tc>
          <w:tcPr>
            <w:tcW w:w="7170" w:type="dxa"/>
            <w:shd w:val="clear" w:color="auto" w:fill="auto"/>
            <w:vAlign w:val="center"/>
          </w:tcPr>
          <w:p w14:paraId="68484233">
            <w:pPr>
              <w:pStyle w:val="6"/>
              <w:spacing w:line="360" w:lineRule="auto"/>
              <w:ind w:left="0" w:leftChars="0" w:firstLine="482" w:firstLineChars="200"/>
              <w:rPr>
                <w:rFonts w:hint="eastAsia" w:asciiTheme="majorEastAsia" w:hAnsiTheme="majorEastAsia" w:eastAsiaTheme="majorEastAsia" w:cstheme="majorEastAsia"/>
                <w:b/>
                <w:bCs/>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①</w:t>
            </w:r>
            <w:r>
              <w:rPr>
                <w:rFonts w:hint="eastAsia" w:asciiTheme="majorEastAsia" w:hAnsiTheme="majorEastAsia" w:eastAsiaTheme="majorEastAsia" w:cstheme="majorEastAsia"/>
                <w:b/>
                <w:bCs/>
                <w:kern w:val="2"/>
                <w:sz w:val="24"/>
                <w:szCs w:val="24"/>
                <w:highlight w:val="none"/>
                <w:lang w:val="en-US" w:eastAsia="zh-CN" w:bidi="ar-SA"/>
              </w:rPr>
              <w:t>对主副食材数质量验收：</w:t>
            </w:r>
            <w:r>
              <w:rPr>
                <w:rFonts w:hint="eastAsia" w:asciiTheme="majorEastAsia" w:hAnsiTheme="majorEastAsia" w:eastAsiaTheme="majorEastAsia" w:cstheme="majorEastAsia"/>
                <w:b w:val="0"/>
                <w:bCs w:val="0"/>
                <w:kern w:val="2"/>
                <w:sz w:val="24"/>
                <w:szCs w:val="24"/>
                <w:highlight w:val="none"/>
                <w:lang w:val="en-US" w:eastAsia="zh-CN" w:bidi="ar-SA"/>
              </w:rPr>
              <w:t>采购人对每批次食材数质量对照采购清单和质量标准进行现场检查核对清点和称重验收，如验收通过则验收人员在该批次采购清单上联签确认。如验收不通过，由中标人及时调换，直至通过验收。【合同履约过程中，如因食材数质量不合格造成验收不通过，第一次采购人将对中标人予以书面警告并责令当天限时完成整改；第二次采购人将核减中标人当月应结款项的5%作为违约金，并责令当天限时完成整改。以此类推，每发现一次除责令当天限时完成整改的同时，将当月应结款项核减比例递增1%，合同履行期限内如验收不通过累计达到5次，采购人有权取消中标人供货资格并单方面终止合同】</w:t>
            </w:r>
          </w:p>
          <w:p w14:paraId="7664AB14">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②对下浮率执行情况验收：</w:t>
            </w:r>
            <w:r>
              <w:rPr>
                <w:rFonts w:hint="eastAsia" w:asciiTheme="majorEastAsia" w:hAnsiTheme="majorEastAsia" w:eastAsiaTheme="majorEastAsia" w:cstheme="majorEastAsia"/>
                <w:b w:val="0"/>
                <w:bCs w:val="0"/>
                <w:kern w:val="2"/>
                <w:sz w:val="24"/>
                <w:szCs w:val="24"/>
                <w:highlight w:val="none"/>
                <w:lang w:val="en-US" w:eastAsia="zh-CN" w:bidi="ar-SA"/>
              </w:rPr>
              <w:t>合同履行期限内，采购人和中标人双方将以定期市场询价结果和约定的下浮率作为当月食材结算依据。如中标人未按照双方确定的单价和下浮率进行结算的，第一次采购人将对中标人予以书面警告并责令当月限期整改（采购人按照事先明确的结算价进行结算支付。如已支付的，中标人按照超出结算价部分向采购人进行退差）；第二次采购人将核减中标人当月应结款项的10%作为违约金，并责令当月限期整改（同上）；第三次采购人将核减中标人当月应结款项的20%作为违约金，并责令当月限期整改（同上），同时取消中标人供货资格并单方面终止合同。</w:t>
            </w:r>
          </w:p>
          <w:p w14:paraId="319AD5B9">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 xml:space="preserve"> ③市场价确定标准：</w:t>
            </w:r>
            <w:r>
              <w:rPr>
                <w:rFonts w:hint="eastAsia" w:asciiTheme="majorEastAsia" w:hAnsiTheme="majorEastAsia" w:eastAsiaTheme="majorEastAsia" w:cstheme="majorEastAsia"/>
                <w:b w:val="0"/>
                <w:bCs w:val="0"/>
                <w:kern w:val="2"/>
                <w:sz w:val="24"/>
                <w:szCs w:val="24"/>
                <w:highlight w:val="none"/>
                <w:lang w:val="en-US" w:eastAsia="zh-CN" w:bidi="ar-SA"/>
              </w:rPr>
              <w:t>每次供货时，中标人需根据每批次供货产品提供《配送清单》，其中：《配送清单》内的产品在阿勒泰市发改委定期发布的《阿勒泰市重要农副产品零售价格监测周报表》中予以公布监测价格的，按照当周阿勒泰市发改委公布产品的中间价为基准价进行下浮后确定结算价。即：基准价为当周阿勒泰市发改委公布的产品中间价；结算价=（1-报价下浮率)*基准价。</w:t>
            </w:r>
          </w:p>
          <w:p w14:paraId="56A10E07">
            <w:pPr>
              <w:pStyle w:val="6"/>
              <w:spacing w:line="360" w:lineRule="auto"/>
              <w:ind w:left="0" w:leftChars="0" w:firstLine="480"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val="0"/>
                <w:bCs w:val="0"/>
                <w:kern w:val="2"/>
                <w:sz w:val="24"/>
                <w:szCs w:val="24"/>
                <w:highlight w:val="none"/>
                <w:lang w:val="en-US" w:eastAsia="zh-CN" w:bidi="ar-SA"/>
              </w:rPr>
              <w:t>《配送清单》内的产品未在阿勒泰市发改委公布的《阿勒泰市重要农副产品零售价格监测周报表》中予以公布监测价格的，其产品基准价为市场价，市场价为采购人（中标人可一并参加）在每周对阿勒泰市中心市场、俄罗斯步行街等农贸市场或大型商超的询价结果（采取选择不少于三家供应商询价后确定产</w:t>
            </w:r>
            <w:r>
              <w:rPr>
                <w:rFonts w:hint="eastAsia" w:asciiTheme="majorEastAsia" w:hAnsiTheme="majorEastAsia" w:eastAsiaTheme="majorEastAsia" w:cstheme="majorEastAsia"/>
                <w:b w:val="0"/>
                <w:bCs w:val="0"/>
                <w:color w:val="000000" w:themeColor="text1"/>
                <w:kern w:val="2"/>
                <w:sz w:val="24"/>
                <w:szCs w:val="24"/>
                <w:highlight w:val="none"/>
                <w:lang w:val="en-US" w:eastAsia="zh-CN" w:bidi="ar-SA"/>
                <w14:textFill>
                  <w14:solidFill>
                    <w14:schemeClr w14:val="tx1"/>
                  </w14:solidFill>
                </w14:textFill>
              </w:rPr>
              <w:t>品平均价</w:t>
            </w:r>
            <w:r>
              <w:rPr>
                <w:rFonts w:hint="eastAsia" w:asciiTheme="majorEastAsia" w:hAnsiTheme="majorEastAsia" w:eastAsiaTheme="majorEastAsia" w:cstheme="majorEastAsia"/>
                <w:b w:val="0"/>
                <w:bCs w:val="0"/>
                <w:kern w:val="2"/>
                <w:sz w:val="24"/>
                <w:szCs w:val="24"/>
                <w:highlight w:val="none"/>
                <w:lang w:val="en-US" w:eastAsia="zh-CN" w:bidi="ar-SA"/>
              </w:rPr>
              <w:t>的方式进行），采购人、中标人双方以市场价为基准价进行下浮后确定结算价。即：结算价=（1-报价下浮率)*基准价（市场价）。</w:t>
            </w:r>
          </w:p>
          <w:p w14:paraId="153A2635">
            <w:pPr>
              <w:spacing w:line="360" w:lineRule="auto"/>
              <w:ind w:firstLine="480" w:firstLineChars="200"/>
              <w:rPr>
                <w:rFonts w:hint="default"/>
                <w:highlight w:val="none"/>
                <w:lang w:val="en-US" w:eastAsia="zh-CN"/>
              </w:rPr>
            </w:pPr>
            <w:r>
              <w:rPr>
                <w:rFonts w:hint="eastAsia" w:asciiTheme="majorEastAsia" w:hAnsiTheme="majorEastAsia" w:eastAsiaTheme="majorEastAsia" w:cstheme="majorEastAsia"/>
                <w:b w:val="0"/>
                <w:bCs w:val="0"/>
                <w:kern w:val="2"/>
                <w:sz w:val="24"/>
                <w:szCs w:val="24"/>
                <w:highlight w:val="none"/>
                <w:lang w:val="en-US" w:eastAsia="zh-CN" w:bidi="ar-SA"/>
              </w:rPr>
              <w:t>若乙方对甲方市场价认定有争议或不予认可，拒绝履行合同义务的，甲方有权终止与乙方合同，在投标有效期内授予下一中标候选人采购合同。超过投标有效期的，甲方将重新组织采购。</w:t>
            </w:r>
          </w:p>
        </w:tc>
      </w:tr>
      <w:tr w14:paraId="63365C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735" w:type="dxa"/>
            <w:shd w:val="clear" w:color="auto" w:fill="auto"/>
            <w:vAlign w:val="center"/>
          </w:tcPr>
          <w:p w14:paraId="758C7FFB">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10</w:t>
            </w:r>
          </w:p>
        </w:tc>
        <w:tc>
          <w:tcPr>
            <w:tcW w:w="2469" w:type="dxa"/>
            <w:shd w:val="clear" w:color="auto" w:fill="auto"/>
            <w:vAlign w:val="center"/>
          </w:tcPr>
          <w:p w14:paraId="5687ADE4">
            <w:pPr>
              <w:jc w:val="center"/>
              <w:rPr>
                <w:rFonts w:hint="eastAsia" w:ascii="Times New Roman" w:hAnsi="Times New Roman" w:eastAsia="宋体" w:cs="Times New Roman"/>
                <w:b/>
                <w:bCs/>
                <w:color w:val="auto"/>
                <w:kern w:val="2"/>
                <w:sz w:val="24"/>
                <w:szCs w:val="24"/>
                <w:highlight w:val="none"/>
                <w:lang w:val="en-US" w:eastAsia="zh-CN" w:bidi="ar-SA"/>
              </w:rPr>
            </w:pPr>
            <w:r>
              <w:rPr>
                <w:rFonts w:hint="default" w:ascii="宋体" w:hAnsi="宋体" w:eastAsia="宋体" w:cs="宋体"/>
                <w:b/>
                <w:bCs/>
                <w:color w:val="auto"/>
                <w:sz w:val="24"/>
                <w:szCs w:val="24"/>
                <w:highlight w:val="none"/>
                <w:lang w:val="en-US" w:eastAsia="zh-CN"/>
              </w:rPr>
              <w:t>节能、环保要求</w:t>
            </w:r>
          </w:p>
        </w:tc>
        <w:tc>
          <w:tcPr>
            <w:tcW w:w="7170" w:type="dxa"/>
            <w:shd w:val="clear" w:color="auto" w:fill="auto"/>
            <w:vAlign w:val="center"/>
          </w:tcPr>
          <w:p w14:paraId="290D87AC">
            <w:pPr>
              <w:autoSpaceDE w:val="0"/>
              <w:autoSpaceDN w:val="0"/>
              <w:adjustRightInd w:val="0"/>
              <w:rPr>
                <w:rFonts w:hint="eastAsia"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sz w:val="24"/>
                <w:szCs w:val="24"/>
                <w:highlight w:val="none"/>
              </w:rPr>
              <w:t xml:space="preserve">按国家有关节能环保政策执行                                               </w:t>
            </w:r>
          </w:p>
        </w:tc>
      </w:tr>
      <w:tr w14:paraId="06354F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735" w:type="dxa"/>
            <w:shd w:val="clear" w:color="auto" w:fill="auto"/>
            <w:vAlign w:val="center"/>
          </w:tcPr>
          <w:p w14:paraId="4F1803AB">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11</w:t>
            </w:r>
          </w:p>
        </w:tc>
        <w:tc>
          <w:tcPr>
            <w:tcW w:w="2469" w:type="dxa"/>
            <w:shd w:val="clear" w:color="auto" w:fill="auto"/>
            <w:vAlign w:val="center"/>
          </w:tcPr>
          <w:p w14:paraId="065746D7">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付款方式</w:t>
            </w:r>
          </w:p>
        </w:tc>
        <w:tc>
          <w:tcPr>
            <w:tcW w:w="7170" w:type="dxa"/>
            <w:shd w:val="clear" w:color="auto" w:fill="auto"/>
            <w:vAlign w:val="center"/>
          </w:tcPr>
          <w:p w14:paraId="76403AF3">
            <w:pPr>
              <w:pStyle w:val="6"/>
              <w:spacing w:line="360" w:lineRule="auto"/>
              <w:ind w:left="0" w:leftChars="0" w:firstLine="480" w:firstLineChars="200"/>
              <w:rPr>
                <w:rFonts w:hint="default" w:asciiTheme="majorEastAsia" w:hAnsiTheme="majorEastAsia" w:eastAsiaTheme="majorEastAsia" w:cstheme="majorEastAsia"/>
                <w:b w:val="0"/>
                <w:bCs w:val="0"/>
                <w:sz w:val="24"/>
                <w:szCs w:val="24"/>
                <w:highlight w:val="none"/>
                <w:lang w:val="en-US" w:eastAsia="zh-CN" w:bidi="ar-SA"/>
              </w:rPr>
            </w:pPr>
            <w:r>
              <w:rPr>
                <w:rFonts w:hint="default" w:asciiTheme="majorEastAsia" w:hAnsiTheme="majorEastAsia" w:eastAsiaTheme="majorEastAsia" w:cstheme="majorEastAsia"/>
                <w:b w:val="0"/>
                <w:bCs w:val="0"/>
                <w:sz w:val="24"/>
                <w:szCs w:val="24"/>
                <w:highlight w:val="none"/>
                <w:lang w:val="en-US" w:eastAsia="zh-CN" w:bidi="ar-SA"/>
              </w:rPr>
              <w:t>采购人每月分1日-15日、16日-本月底共计两个采购周期，中标人应在每个采购周期结束后15天内，提交本周期采购清单(中标人应做好费用的统计</w:t>
            </w:r>
            <w:r>
              <w:rPr>
                <w:rFonts w:hint="eastAsia" w:asciiTheme="majorEastAsia" w:hAnsiTheme="majorEastAsia" w:eastAsiaTheme="majorEastAsia" w:cstheme="majorEastAsia"/>
                <w:b w:val="0"/>
                <w:bCs w:val="0"/>
                <w:sz w:val="24"/>
                <w:szCs w:val="24"/>
                <w:highlight w:val="none"/>
                <w:lang w:val="en-US" w:eastAsia="zh-CN" w:bidi="ar-SA"/>
              </w:rPr>
              <w:t>，</w:t>
            </w:r>
            <w:r>
              <w:rPr>
                <w:rFonts w:hint="default" w:asciiTheme="majorEastAsia" w:hAnsiTheme="majorEastAsia" w:eastAsiaTheme="majorEastAsia" w:cstheme="majorEastAsia"/>
                <w:b w:val="0"/>
                <w:bCs w:val="0"/>
                <w:sz w:val="24"/>
                <w:szCs w:val="24"/>
                <w:highlight w:val="none"/>
                <w:lang w:val="en-US" w:eastAsia="zh-CN" w:bidi="ar-SA"/>
              </w:rPr>
              <w:t>并对采购入书面履行提醒义务)给采购人伙食管理部门</w:t>
            </w:r>
            <w:r>
              <w:rPr>
                <w:rFonts w:hint="eastAsia" w:asciiTheme="majorEastAsia" w:hAnsiTheme="majorEastAsia" w:eastAsiaTheme="majorEastAsia" w:cstheme="majorEastAsia"/>
                <w:b w:val="0"/>
                <w:bCs w:val="0"/>
                <w:sz w:val="24"/>
                <w:szCs w:val="24"/>
                <w:highlight w:val="none"/>
                <w:lang w:val="en-US" w:eastAsia="zh-CN" w:bidi="ar-SA"/>
              </w:rPr>
              <w:t>，</w:t>
            </w:r>
            <w:r>
              <w:rPr>
                <w:rFonts w:hint="default" w:asciiTheme="majorEastAsia" w:hAnsiTheme="majorEastAsia" w:eastAsiaTheme="majorEastAsia" w:cstheme="majorEastAsia"/>
                <w:b w:val="0"/>
                <w:bCs w:val="0"/>
                <w:sz w:val="24"/>
                <w:szCs w:val="24"/>
                <w:highlight w:val="none"/>
                <w:lang w:val="en-US" w:eastAsia="zh-CN" w:bidi="ar-SA"/>
              </w:rPr>
              <w:t>经核实无误后，按中标人提供的正式发票和清单</w:t>
            </w:r>
            <w:r>
              <w:rPr>
                <w:rFonts w:hint="eastAsia" w:asciiTheme="majorEastAsia" w:hAnsiTheme="majorEastAsia" w:eastAsiaTheme="majorEastAsia" w:cstheme="majorEastAsia"/>
                <w:b w:val="0"/>
                <w:bCs w:val="0"/>
                <w:sz w:val="24"/>
                <w:szCs w:val="24"/>
                <w:highlight w:val="none"/>
                <w:lang w:val="en-US" w:eastAsia="zh-CN" w:bidi="ar-SA"/>
              </w:rPr>
              <w:t>，</w:t>
            </w:r>
            <w:r>
              <w:rPr>
                <w:rFonts w:hint="default" w:asciiTheme="majorEastAsia" w:hAnsiTheme="majorEastAsia" w:eastAsiaTheme="majorEastAsia" w:cstheme="majorEastAsia"/>
                <w:b w:val="0"/>
                <w:bCs w:val="0"/>
                <w:sz w:val="24"/>
                <w:szCs w:val="24"/>
                <w:highlight w:val="none"/>
                <w:lang w:val="en-US" w:eastAsia="zh-CN" w:bidi="ar-SA"/>
              </w:rPr>
              <w:t>办理支付采购周期的相关手续。</w:t>
            </w:r>
          </w:p>
        </w:tc>
      </w:tr>
      <w:tr w14:paraId="63822C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735" w:type="dxa"/>
            <w:shd w:val="clear" w:color="auto" w:fill="auto"/>
            <w:vAlign w:val="center"/>
          </w:tcPr>
          <w:p w14:paraId="5329042D">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12</w:t>
            </w:r>
          </w:p>
        </w:tc>
        <w:tc>
          <w:tcPr>
            <w:tcW w:w="2469" w:type="dxa"/>
            <w:shd w:val="clear" w:color="auto" w:fill="auto"/>
            <w:vAlign w:val="center"/>
          </w:tcPr>
          <w:p w14:paraId="29979CA0">
            <w:pPr>
              <w:adjustRightInd w:val="0"/>
              <w:snapToGrid w:val="0"/>
              <w:spacing w:before="120" w:beforeLines="50"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其他要求</w:t>
            </w:r>
          </w:p>
        </w:tc>
        <w:tc>
          <w:tcPr>
            <w:tcW w:w="7170" w:type="dxa"/>
            <w:shd w:val="clear" w:color="auto" w:fill="auto"/>
            <w:vAlign w:val="center"/>
          </w:tcPr>
          <w:p w14:paraId="707011DF">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日常供货时限</w:t>
            </w:r>
            <w:r>
              <w:rPr>
                <w:rFonts w:hint="eastAsia" w:asciiTheme="majorEastAsia" w:hAnsiTheme="majorEastAsia" w:eastAsiaTheme="majorEastAsia" w:cstheme="majorEastAsia"/>
                <w:b w:val="0"/>
                <w:bCs w:val="0"/>
                <w:kern w:val="2"/>
                <w:sz w:val="24"/>
                <w:szCs w:val="24"/>
                <w:highlight w:val="none"/>
                <w:lang w:val="en-US" w:eastAsia="zh-CN" w:bidi="ar-SA"/>
              </w:rPr>
              <w:t>所需食材须在合同约定的时间内由中标人送达到指定地点；</w:t>
            </w:r>
          </w:p>
          <w:p w14:paraId="763EDA21">
            <w:pPr>
              <w:spacing w:line="360" w:lineRule="auto"/>
              <w:ind w:firstLine="482" w:firstLineChars="200"/>
              <w:rPr>
                <w:rFonts w:hint="default" w:ascii="宋体" w:hAnsi="宋体" w:eastAsia="宋体" w:cs="宋体"/>
                <w:color w:val="auto"/>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紧急需求供货时限：</w:t>
            </w:r>
            <w:r>
              <w:rPr>
                <w:rFonts w:hint="eastAsia" w:asciiTheme="majorEastAsia" w:hAnsiTheme="majorEastAsia" w:eastAsiaTheme="majorEastAsia" w:cstheme="majorEastAsia"/>
                <w:b w:val="0"/>
                <w:bCs w:val="0"/>
                <w:kern w:val="2"/>
                <w:sz w:val="24"/>
                <w:szCs w:val="24"/>
                <w:highlight w:val="none"/>
                <w:lang w:val="en-US" w:eastAsia="zh-CN" w:bidi="ar-SA"/>
              </w:rPr>
              <w:t>如遇紧急需求时，中标人应在接到采购点位通知后2小时内送达至指定地点。</w:t>
            </w:r>
          </w:p>
        </w:tc>
      </w:tr>
      <w:tr w14:paraId="2BBC03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8" w:hRule="atLeast"/>
          <w:jc w:val="center"/>
        </w:trPr>
        <w:tc>
          <w:tcPr>
            <w:tcW w:w="735" w:type="dxa"/>
            <w:shd w:val="clear" w:color="auto" w:fill="auto"/>
            <w:vAlign w:val="center"/>
          </w:tcPr>
          <w:p w14:paraId="0B3ADCA2">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3</w:t>
            </w:r>
          </w:p>
        </w:tc>
        <w:tc>
          <w:tcPr>
            <w:tcW w:w="2469" w:type="dxa"/>
            <w:shd w:val="clear" w:color="auto" w:fill="auto"/>
            <w:vAlign w:val="center"/>
          </w:tcPr>
          <w:p w14:paraId="73886FF9">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资格条件</w:t>
            </w:r>
          </w:p>
        </w:tc>
        <w:tc>
          <w:tcPr>
            <w:tcW w:w="7170" w:type="dxa"/>
            <w:shd w:val="clear" w:color="auto" w:fill="auto"/>
            <w:vAlign w:val="center"/>
          </w:tcPr>
          <w:p w14:paraId="28695230">
            <w:pPr>
              <w:numPr>
                <w:ilvl w:val="0"/>
                <w:numId w:val="1"/>
              </w:num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满足《中华人民共和国政府采购法》第二十二条规定；</w:t>
            </w:r>
          </w:p>
          <w:p w14:paraId="29DD1312">
            <w:pPr>
              <w:numPr>
                <w:ilvl w:val="0"/>
                <w:numId w:val="0"/>
              </w:num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2.落实政府采购政策需满足的资格要求：财政部《关于进一步加大政府采购支持中小企业力度的通知》财库</w:t>
            </w:r>
            <w:r>
              <w:rPr>
                <w:rFonts w:hint="eastAsia" w:ascii="宋体" w:hAnsi="宋体" w:eastAsia="宋体" w:cs="宋体"/>
                <w:color w:val="auto"/>
                <w:sz w:val="24"/>
                <w:szCs w:val="24"/>
                <w:highlight w:val="none"/>
                <w:lang w:val="en-US" w:eastAsia="zh-CN"/>
              </w:rPr>
              <w:t>（财库【2022】19号）</w:t>
            </w:r>
            <w:r>
              <w:rPr>
                <w:rFonts w:hint="eastAsia" w:ascii="宋体" w:hAnsi="宋体" w:cs="宋体"/>
                <w:color w:val="auto"/>
                <w:sz w:val="24"/>
                <w:szCs w:val="24"/>
                <w:highlight w:val="none"/>
                <w:lang w:eastAsia="zh-CN"/>
              </w:rPr>
              <w:t>、</w:t>
            </w:r>
            <w:r>
              <w:rPr>
                <w:rFonts w:hint="eastAsia" w:ascii="仿宋" w:hAnsi="仿宋" w:eastAsia="仿宋" w:cs="仿宋"/>
                <w:i w:val="0"/>
                <w:iCs w:val="0"/>
                <w:caps w:val="0"/>
                <w:color w:val="auto"/>
                <w:spacing w:val="0"/>
                <w:sz w:val="27"/>
                <w:szCs w:val="27"/>
                <w:highlight w:val="none"/>
              </w:rPr>
              <w:t>《</w:t>
            </w:r>
            <w:r>
              <w:rPr>
                <w:rFonts w:hint="eastAsia" w:ascii="宋体" w:hAnsi="宋体" w:eastAsia="宋体" w:cs="宋体"/>
                <w:color w:val="auto"/>
                <w:sz w:val="24"/>
                <w:szCs w:val="24"/>
                <w:highlight w:val="none"/>
              </w:rPr>
              <w:t>政府采购促进中小企业发展管理办法》（财库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rPr>
              <w:t>专门面向</w:t>
            </w:r>
            <w:r>
              <w:rPr>
                <w:rFonts w:hint="eastAsia" w:ascii="宋体" w:hAnsi="宋体" w:cs="宋体"/>
                <w:color w:val="auto"/>
                <w:sz w:val="24"/>
                <w:szCs w:val="24"/>
                <w:highlight w:val="none"/>
                <w:lang w:val="en-US" w:eastAsia="zh-CN"/>
              </w:rPr>
              <w:t>小微企业</w:t>
            </w:r>
            <w:r>
              <w:rPr>
                <w:rFonts w:hint="eastAsia" w:ascii="宋体" w:hAnsi="宋体" w:eastAsia="宋体" w:cs="宋体"/>
                <w:color w:val="auto"/>
                <w:sz w:val="24"/>
                <w:szCs w:val="24"/>
                <w:highlight w:val="none"/>
              </w:rPr>
              <w:t>。</w:t>
            </w:r>
          </w:p>
          <w:p w14:paraId="76B56867">
            <w:pPr>
              <w:adjustRightInd w:val="0"/>
              <w:snapToGrid w:val="0"/>
              <w:spacing w:before="120" w:beforeLines="50"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3.本项目的特定资格要求：投标人须具备有效的《食品经营许可证》。</w:t>
            </w:r>
          </w:p>
        </w:tc>
      </w:tr>
      <w:tr w14:paraId="50A89F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8" w:hRule="atLeast"/>
          <w:jc w:val="center"/>
        </w:trPr>
        <w:tc>
          <w:tcPr>
            <w:tcW w:w="735" w:type="dxa"/>
            <w:shd w:val="clear" w:color="auto" w:fill="auto"/>
            <w:vAlign w:val="center"/>
          </w:tcPr>
          <w:p w14:paraId="3C1870A3">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14</w:t>
            </w:r>
          </w:p>
        </w:tc>
        <w:tc>
          <w:tcPr>
            <w:tcW w:w="2469" w:type="dxa"/>
            <w:shd w:val="clear" w:color="auto" w:fill="auto"/>
            <w:vAlign w:val="center"/>
          </w:tcPr>
          <w:p w14:paraId="74DD8EA3">
            <w:pPr>
              <w:pStyle w:val="52"/>
              <w:spacing w:line="360" w:lineRule="auto"/>
              <w:ind w:left="1205" w:leftChars="0" w:hanging="1205" w:hangingChars="500"/>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信用情况</w:t>
            </w:r>
          </w:p>
        </w:tc>
        <w:tc>
          <w:tcPr>
            <w:tcW w:w="7170" w:type="dxa"/>
            <w:shd w:val="clear" w:color="auto" w:fill="auto"/>
            <w:vAlign w:val="center"/>
          </w:tcPr>
          <w:p w14:paraId="42BC11B7">
            <w:pPr>
              <w:autoSpaceDE w:val="0"/>
              <w:autoSpaceDN w:val="0"/>
              <w:spacing w:line="360" w:lineRule="auto"/>
              <w:rPr>
                <w:rFonts w:hint="eastAsia" w:ascii="宋体" w:hAnsi="宋体" w:eastAsia="宋体" w:cs="Times New Roman"/>
                <w:bCs/>
                <w:color w:val="0000FF"/>
                <w:kern w:val="0"/>
                <w:sz w:val="24"/>
                <w:szCs w:val="21"/>
                <w:highlight w:val="none"/>
                <w:lang w:val="en-US" w:eastAsia="zh-CN" w:bidi="ar-SA"/>
              </w:rPr>
            </w:pPr>
            <w:r>
              <w:rPr>
                <w:rFonts w:hint="eastAsia" w:ascii="宋体" w:hAnsi="宋体" w:eastAsia="宋体" w:cs="宋体"/>
                <w:bCs/>
                <w:color w:val="000000" w:themeColor="text1"/>
                <w:kern w:val="0"/>
                <w:sz w:val="24"/>
                <w:highlight w:val="none"/>
                <w:lang w:val="en-US" w:eastAsia="zh-CN"/>
                <w14:textFill>
                  <w14:solidFill>
                    <w14:schemeClr w14:val="tx1"/>
                  </w14:solidFill>
                </w14:textFill>
              </w:rPr>
              <w:t>投标人在“信用中国”（www.creditchina.gov.cn）和中国政府采购网（www.ccgp.gov.cn）网站上如被列入失信被执行人、重大税收违法案件当事人名单以及政府采购严重违法失信行为记录名单的投标无效，以开标当天网站查询为准。</w:t>
            </w:r>
          </w:p>
        </w:tc>
      </w:tr>
      <w:tr w14:paraId="139837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1" w:hRule="atLeast"/>
          <w:jc w:val="center"/>
        </w:trPr>
        <w:tc>
          <w:tcPr>
            <w:tcW w:w="735" w:type="dxa"/>
            <w:shd w:val="clear" w:color="auto" w:fill="auto"/>
            <w:vAlign w:val="center"/>
          </w:tcPr>
          <w:p w14:paraId="5EBEA678">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15</w:t>
            </w:r>
          </w:p>
        </w:tc>
        <w:tc>
          <w:tcPr>
            <w:tcW w:w="2469" w:type="dxa"/>
            <w:shd w:val="clear" w:color="auto" w:fill="auto"/>
            <w:vAlign w:val="center"/>
          </w:tcPr>
          <w:p w14:paraId="702CD017">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 xml:space="preserve">联合体投标    </w:t>
            </w:r>
          </w:p>
        </w:tc>
        <w:tc>
          <w:tcPr>
            <w:tcW w:w="7170" w:type="dxa"/>
            <w:shd w:val="clear" w:color="auto" w:fill="auto"/>
            <w:vAlign w:val="center"/>
          </w:tcPr>
          <w:p w14:paraId="15135AFD">
            <w:pPr>
              <w:adjustRightInd w:val="0"/>
              <w:snapToGrid w:val="0"/>
              <w:spacing w:before="120" w:beforeLines="5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 xml:space="preserve">不接受                                 </w:t>
            </w:r>
          </w:p>
        </w:tc>
      </w:tr>
      <w:tr w14:paraId="78A127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5" w:hRule="atLeast"/>
          <w:jc w:val="center"/>
        </w:trPr>
        <w:tc>
          <w:tcPr>
            <w:tcW w:w="735" w:type="dxa"/>
            <w:shd w:val="clear" w:color="auto" w:fill="auto"/>
            <w:vAlign w:val="center"/>
          </w:tcPr>
          <w:p w14:paraId="44DC636E">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16</w:t>
            </w:r>
          </w:p>
        </w:tc>
        <w:tc>
          <w:tcPr>
            <w:tcW w:w="2469" w:type="dxa"/>
            <w:shd w:val="clear" w:color="auto" w:fill="auto"/>
            <w:vAlign w:val="center"/>
          </w:tcPr>
          <w:p w14:paraId="57078BF8">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备选方案</w:t>
            </w:r>
          </w:p>
        </w:tc>
        <w:tc>
          <w:tcPr>
            <w:tcW w:w="7170" w:type="dxa"/>
            <w:shd w:val="clear" w:color="auto" w:fill="auto"/>
            <w:vAlign w:val="center"/>
          </w:tcPr>
          <w:p w14:paraId="1F88B300">
            <w:pPr>
              <w:adjustRightInd w:val="0"/>
              <w:snapToGrid w:val="0"/>
              <w:spacing w:before="120" w:beforeLines="5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不接受</w:t>
            </w:r>
          </w:p>
        </w:tc>
      </w:tr>
      <w:tr w14:paraId="71B804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735" w:type="dxa"/>
            <w:shd w:val="clear" w:color="auto" w:fill="auto"/>
            <w:vAlign w:val="center"/>
          </w:tcPr>
          <w:p w14:paraId="591F0C79">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17</w:t>
            </w:r>
          </w:p>
        </w:tc>
        <w:tc>
          <w:tcPr>
            <w:tcW w:w="2469" w:type="dxa"/>
            <w:shd w:val="clear" w:color="auto" w:fill="auto"/>
            <w:vAlign w:val="center"/>
          </w:tcPr>
          <w:p w14:paraId="29F8D502">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递交截止时间</w:t>
            </w:r>
          </w:p>
        </w:tc>
        <w:tc>
          <w:tcPr>
            <w:tcW w:w="7170" w:type="dxa"/>
            <w:shd w:val="clear" w:color="auto" w:fill="auto"/>
            <w:vAlign w:val="center"/>
          </w:tcPr>
          <w:p w14:paraId="1F333E2B">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highlight w:val="none"/>
                <w:lang w:eastAsia="zh-CN"/>
              </w:rPr>
              <w:t>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w:t>
            </w:r>
            <w:r>
              <w:rPr>
                <w:rFonts w:hint="eastAsia" w:ascii="宋体" w:hAnsi="宋体" w:cs="宋体"/>
                <w:bCs/>
                <w:color w:val="auto"/>
                <w:sz w:val="24"/>
                <w:highlight w:val="none"/>
                <w:lang w:val="en-US" w:eastAsia="zh-CN"/>
              </w:rPr>
              <w:t>5月7日10点30分</w:t>
            </w:r>
            <w:r>
              <w:rPr>
                <w:rFonts w:hint="eastAsia" w:ascii="宋体" w:hAnsi="宋体" w:eastAsia="宋体" w:cs="宋体"/>
                <w:bCs/>
                <w:color w:val="auto"/>
                <w:sz w:val="24"/>
                <w:highlight w:val="none"/>
              </w:rPr>
              <w:t>（北京时间）</w:t>
            </w:r>
          </w:p>
        </w:tc>
      </w:tr>
      <w:tr w14:paraId="445BF9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35" w:type="dxa"/>
            <w:shd w:val="clear" w:color="auto" w:fill="auto"/>
            <w:vAlign w:val="center"/>
          </w:tcPr>
          <w:p w14:paraId="0720B615">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18</w:t>
            </w:r>
          </w:p>
        </w:tc>
        <w:tc>
          <w:tcPr>
            <w:tcW w:w="2469" w:type="dxa"/>
            <w:shd w:val="clear" w:color="auto" w:fill="auto"/>
            <w:vAlign w:val="center"/>
          </w:tcPr>
          <w:p w14:paraId="4B97D2F7">
            <w:pPr>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开标时间、地点</w:t>
            </w:r>
          </w:p>
        </w:tc>
        <w:tc>
          <w:tcPr>
            <w:tcW w:w="7170" w:type="dxa"/>
            <w:shd w:val="clear" w:color="auto" w:fill="auto"/>
            <w:vAlign w:val="center"/>
          </w:tcPr>
          <w:p w14:paraId="38820608">
            <w:pPr>
              <w:adjustRightInd w:val="0"/>
              <w:snapToGrid w:val="0"/>
              <w:spacing w:before="120" w:beforeLines="5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bCs/>
                <w:color w:val="auto"/>
                <w:sz w:val="24"/>
                <w:highlight w:val="none"/>
                <w:lang w:eastAsia="zh-CN"/>
              </w:rPr>
              <w:t>202</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年</w:t>
            </w:r>
            <w:r>
              <w:rPr>
                <w:rFonts w:hint="eastAsia" w:ascii="宋体" w:hAnsi="宋体" w:cs="宋体"/>
                <w:bCs/>
                <w:color w:val="auto"/>
                <w:sz w:val="24"/>
                <w:highlight w:val="none"/>
                <w:lang w:val="en-US" w:eastAsia="zh-CN"/>
              </w:rPr>
              <w:t>5月7日10点30分</w:t>
            </w:r>
            <w:r>
              <w:rPr>
                <w:rFonts w:hint="eastAsia" w:ascii="宋体" w:hAnsi="宋体" w:eastAsia="宋体" w:cs="宋体"/>
                <w:bCs/>
                <w:color w:val="auto"/>
                <w:sz w:val="24"/>
                <w:highlight w:val="none"/>
              </w:rPr>
              <w:t>（北京时间）</w:t>
            </w:r>
            <w:r>
              <w:rPr>
                <w:rFonts w:hint="eastAsia" w:ascii="宋体" w:hAnsi="宋体" w:eastAsia="宋体" w:cs="宋体"/>
                <w:color w:val="auto"/>
                <w:sz w:val="24"/>
                <w:szCs w:val="24"/>
                <w:highlight w:val="none"/>
              </w:rPr>
              <w:t xml:space="preserve">                        </w:t>
            </w:r>
          </w:p>
          <w:p w14:paraId="3EC78BC3">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开标地点：政采云平台（https://www.zcygov.cn/）</w:t>
            </w:r>
          </w:p>
        </w:tc>
      </w:tr>
      <w:tr w14:paraId="43245F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7" w:hRule="atLeast"/>
          <w:jc w:val="center"/>
        </w:trPr>
        <w:tc>
          <w:tcPr>
            <w:tcW w:w="735" w:type="dxa"/>
            <w:shd w:val="clear" w:color="auto" w:fill="auto"/>
            <w:vAlign w:val="center"/>
          </w:tcPr>
          <w:p w14:paraId="39632BBF">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19</w:t>
            </w:r>
          </w:p>
        </w:tc>
        <w:tc>
          <w:tcPr>
            <w:tcW w:w="2469" w:type="dxa"/>
            <w:shd w:val="clear" w:color="auto" w:fill="auto"/>
            <w:vAlign w:val="center"/>
          </w:tcPr>
          <w:p w14:paraId="3165BDEA">
            <w:pPr>
              <w:adjustRightInd w:val="0"/>
              <w:snapToGrid w:val="0"/>
              <w:spacing w:before="120" w:beforeLines="5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评标委员会</w:t>
            </w:r>
            <w:r>
              <w:rPr>
                <w:rFonts w:hint="eastAsia" w:ascii="宋体" w:hAnsi="宋体" w:eastAsia="宋体" w:cs="宋体"/>
                <w:b/>
                <w:bCs/>
                <w:color w:val="auto"/>
                <w:sz w:val="24"/>
                <w:szCs w:val="24"/>
                <w:highlight w:val="none"/>
              </w:rPr>
              <w:t>的组建及评审专家的确定方式</w:t>
            </w:r>
          </w:p>
        </w:tc>
        <w:tc>
          <w:tcPr>
            <w:tcW w:w="7170" w:type="dxa"/>
            <w:shd w:val="clear" w:color="auto" w:fill="auto"/>
            <w:vAlign w:val="center"/>
          </w:tcPr>
          <w:p w14:paraId="1A5B2592">
            <w:pPr>
              <w:adjustRightInd w:val="0"/>
              <w:snapToGrid w:val="0"/>
              <w:spacing w:before="120" w:beforeLines="50"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u w:val="none"/>
                <w:lang w:val="en-US" w:eastAsia="zh-CN" w:bidi="ar-SA"/>
              </w:rPr>
              <w:t>本项目采用远程异地评审。</w:t>
            </w:r>
            <w:r>
              <w:rPr>
                <w:rFonts w:hint="eastAsia" w:ascii="宋体" w:hAnsi="宋体" w:cs="宋体"/>
                <w:color w:val="auto"/>
                <w:sz w:val="24"/>
                <w:szCs w:val="24"/>
                <w:highlight w:val="none"/>
                <w:lang w:val="en-US" w:eastAsia="zh-CN"/>
              </w:rPr>
              <w:t>采购人</w:t>
            </w:r>
            <w:r>
              <w:rPr>
                <w:rFonts w:hint="eastAsia" w:ascii="宋体" w:hAnsi="宋体" w:eastAsia="宋体" w:cs="宋体"/>
                <w:color w:val="auto"/>
                <w:sz w:val="24"/>
                <w:szCs w:val="24"/>
                <w:highlight w:val="none"/>
              </w:rPr>
              <w:t>依法组建</w:t>
            </w:r>
            <w:r>
              <w:rPr>
                <w:rFonts w:hint="eastAsia" w:ascii="宋体" w:hAnsi="宋体" w:eastAsia="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共</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sz w:val="24"/>
                <w:szCs w:val="24"/>
                <w:highlight w:val="none"/>
              </w:rPr>
              <w:t>由采购人代表</w:t>
            </w:r>
            <w:r>
              <w:rPr>
                <w:rFonts w:hint="eastAsia" w:ascii="宋体" w:hAnsi="宋体" w:cs="宋体"/>
                <w:sz w:val="24"/>
                <w:szCs w:val="24"/>
                <w:highlight w:val="none"/>
                <w:lang w:val="en-US" w:eastAsia="zh-CN"/>
              </w:rPr>
              <w:t>1名</w:t>
            </w:r>
            <w:r>
              <w:rPr>
                <w:rFonts w:hint="eastAsia" w:ascii="宋体" w:hAnsi="宋体" w:cs="宋体"/>
                <w:sz w:val="24"/>
                <w:szCs w:val="24"/>
                <w:highlight w:val="none"/>
              </w:rPr>
              <w:t>和评审专家组建</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其中4名</w:t>
            </w:r>
            <w:r>
              <w:rPr>
                <w:rFonts w:hint="eastAsia" w:ascii="宋体" w:hAnsi="宋体" w:cs="宋体"/>
                <w:sz w:val="24"/>
                <w:szCs w:val="24"/>
                <w:highlight w:val="none"/>
              </w:rPr>
              <w:t>评审专家从</w:t>
            </w:r>
            <w:r>
              <w:rPr>
                <w:rFonts w:hint="eastAsia" w:ascii="宋体" w:hAnsi="宋体" w:cs="宋体"/>
                <w:sz w:val="24"/>
                <w:szCs w:val="24"/>
                <w:highlight w:val="none"/>
                <w:lang w:val="en-US" w:eastAsia="zh-CN"/>
              </w:rPr>
              <w:t>乌鲁木齐</w:t>
            </w:r>
            <w:r>
              <w:rPr>
                <w:rFonts w:hint="eastAsia" w:ascii="宋体" w:hAnsi="宋体" w:cs="宋体"/>
                <w:sz w:val="24"/>
                <w:szCs w:val="24"/>
                <w:highlight w:val="none"/>
              </w:rPr>
              <w:t>政府采购评审专家库中随机抽取</w:t>
            </w:r>
            <w:r>
              <w:rPr>
                <w:rFonts w:hint="eastAsia" w:ascii="宋体" w:hAnsi="宋体" w:cs="宋体"/>
                <w:sz w:val="24"/>
                <w:szCs w:val="24"/>
                <w:highlight w:val="none"/>
                <w:lang w:eastAsia="zh-CN"/>
              </w:rPr>
              <w:t>。</w:t>
            </w:r>
            <w:r>
              <w:rPr>
                <w:rFonts w:hint="eastAsia" w:ascii="宋体" w:hAnsi="宋体" w:eastAsia="宋体" w:cs="宋体"/>
                <w:color w:val="auto"/>
                <w:sz w:val="24"/>
                <w:szCs w:val="24"/>
                <w:highlight w:val="none"/>
              </w:rPr>
              <w:t xml:space="preserve">         </w:t>
            </w:r>
          </w:p>
        </w:tc>
      </w:tr>
      <w:tr w14:paraId="11CBC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80" w:hRule="atLeast"/>
          <w:jc w:val="center"/>
        </w:trPr>
        <w:tc>
          <w:tcPr>
            <w:tcW w:w="735" w:type="dxa"/>
            <w:shd w:val="clear" w:color="auto" w:fill="auto"/>
            <w:vAlign w:val="center"/>
          </w:tcPr>
          <w:p w14:paraId="3F8238C6">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20</w:t>
            </w:r>
          </w:p>
        </w:tc>
        <w:tc>
          <w:tcPr>
            <w:tcW w:w="2469" w:type="dxa"/>
            <w:shd w:val="clear" w:color="auto" w:fill="auto"/>
            <w:vAlign w:val="center"/>
          </w:tcPr>
          <w:p w14:paraId="192E7F73">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投标保证金</w:t>
            </w:r>
          </w:p>
        </w:tc>
        <w:tc>
          <w:tcPr>
            <w:tcW w:w="7170" w:type="dxa"/>
            <w:shd w:val="clear" w:color="auto" w:fill="auto"/>
            <w:vAlign w:val="center"/>
          </w:tcPr>
          <w:p w14:paraId="0CD53446">
            <w:pPr>
              <w:adjustRightInd w:val="0"/>
              <w:snapToGrid w:val="0"/>
              <w:spacing w:line="360" w:lineRule="auto"/>
              <w:rPr>
                <w:rFonts w:ascii="宋体" w:hAnsi="宋体" w:cs="宋体"/>
                <w:sz w:val="24"/>
                <w:highlight w:val="none"/>
              </w:rPr>
            </w:pPr>
            <w:r>
              <w:rPr>
                <w:rFonts w:hint="eastAsia" w:ascii="宋体" w:hAnsi="宋体" w:cs="宋体"/>
                <w:sz w:val="24"/>
                <w:highlight w:val="none"/>
              </w:rPr>
              <w:t>本项目须提交</w:t>
            </w:r>
            <w:r>
              <w:rPr>
                <w:rFonts w:hint="eastAsia" w:ascii="宋体" w:hAnsi="宋体" w:cs="宋体"/>
                <w:sz w:val="24"/>
                <w:highlight w:val="none"/>
                <w:lang w:val="en-US" w:eastAsia="zh-CN"/>
              </w:rPr>
              <w:t>投标</w:t>
            </w:r>
            <w:r>
              <w:rPr>
                <w:rFonts w:hint="eastAsia" w:ascii="宋体" w:hAnsi="宋体" w:cs="宋体"/>
                <w:sz w:val="24"/>
                <w:highlight w:val="none"/>
              </w:rPr>
              <w:t>保证金</w:t>
            </w:r>
          </w:p>
          <w:p w14:paraId="07B57AB7">
            <w:pPr>
              <w:adjustRightInd w:val="0"/>
              <w:snapToGrid w:val="0"/>
              <w:spacing w:line="360" w:lineRule="auto"/>
              <w:rPr>
                <w:rFonts w:ascii="宋体" w:hAnsi="宋体" w:cs="宋体"/>
                <w:sz w:val="24"/>
                <w:highlight w:val="none"/>
              </w:rPr>
            </w:pPr>
            <w:r>
              <w:rPr>
                <w:rFonts w:hint="eastAsia" w:ascii="宋体" w:hAnsi="宋体" w:cs="宋体"/>
                <w:sz w:val="24"/>
                <w:highlight w:val="none"/>
              </w:rPr>
              <w:t>保证金数额：¥</w:t>
            </w:r>
            <w:r>
              <w:rPr>
                <w:rFonts w:hint="eastAsia" w:ascii="宋体" w:hAnsi="宋体" w:cs="宋体"/>
                <w:sz w:val="24"/>
                <w:highlight w:val="none"/>
                <w:lang w:val="en-US" w:eastAsia="zh-CN"/>
              </w:rPr>
              <w:t>20</w:t>
            </w:r>
            <w:r>
              <w:rPr>
                <w:rFonts w:hint="eastAsia" w:ascii="宋体" w:hAnsi="宋体" w:cs="宋体"/>
                <w:sz w:val="24"/>
                <w:highlight w:val="none"/>
              </w:rPr>
              <w:t>00</w:t>
            </w:r>
            <w:r>
              <w:rPr>
                <w:rFonts w:hint="eastAsia" w:ascii="宋体" w:hAnsi="宋体" w:cs="宋体"/>
                <w:sz w:val="24"/>
                <w:highlight w:val="none"/>
                <w:lang w:val="en-US" w:eastAsia="zh-CN"/>
              </w:rPr>
              <w:t>0</w:t>
            </w:r>
            <w:r>
              <w:rPr>
                <w:rFonts w:hint="eastAsia" w:ascii="宋体" w:hAnsi="宋体" w:cs="宋体"/>
                <w:sz w:val="24"/>
                <w:highlight w:val="none"/>
              </w:rPr>
              <w:t>元（</w:t>
            </w:r>
            <w:r>
              <w:rPr>
                <w:rFonts w:hint="eastAsia" w:ascii="宋体" w:hAnsi="宋体" w:cs="宋体"/>
                <w:sz w:val="24"/>
                <w:highlight w:val="none"/>
                <w:lang w:val="en-US" w:eastAsia="zh-CN"/>
              </w:rPr>
              <w:t>贰万</w:t>
            </w:r>
            <w:r>
              <w:rPr>
                <w:rFonts w:hint="eastAsia" w:ascii="宋体" w:hAnsi="宋体" w:cs="宋体"/>
                <w:sz w:val="24"/>
                <w:highlight w:val="none"/>
              </w:rPr>
              <w:t>元整）</w:t>
            </w:r>
          </w:p>
          <w:p w14:paraId="187BAFBA">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cs="宋体"/>
                <w:sz w:val="24"/>
                <w:highlight w:val="none"/>
              </w:rPr>
              <w:t>保证金形式：以支票、汇票、本票或者金融机构、担保机构出具的保函等非现金形式提交</w:t>
            </w:r>
          </w:p>
          <w:p w14:paraId="05F2AD59">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提交保证金的开户银行及账号如下：</w:t>
            </w:r>
          </w:p>
          <w:p w14:paraId="0EDC5227">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开户名称：新疆金泰首致项目管理咨询有限公司</w:t>
            </w:r>
          </w:p>
          <w:p w14:paraId="795E8FC8">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开户银行：中国农业银行股份有限公司阿勒泰市支行</w:t>
            </w:r>
          </w:p>
          <w:p w14:paraId="2DBE07AD">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号：30150801040007147</w:t>
            </w:r>
          </w:p>
          <w:p w14:paraId="605993EB">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行    号：103902015081 </w:t>
            </w:r>
          </w:p>
          <w:p w14:paraId="27F480EB">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注：1）保证金必须于202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日1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rPr>
              <w:t>之前交纳，以到账时间为准，逾期不交者视为自动放弃，逾期交纳者视为无效；</w:t>
            </w:r>
          </w:p>
          <w:p w14:paraId="6AAFDD25">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2）投标人应充分考虑保证金在银行之间划转所需要的时间，以确保其在截止时间之前到达指定账户，否则后果自负。</w:t>
            </w:r>
          </w:p>
          <w:p w14:paraId="1A95FBE5">
            <w:pPr>
              <w:adjustRightInd w:val="0"/>
              <w:snapToGrid w:val="0"/>
              <w:spacing w:before="120" w:beforeLines="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b w:val="0"/>
                <w:bCs w:val="0"/>
                <w:color w:val="auto"/>
                <w:sz w:val="24"/>
                <w:highlight w:val="none"/>
                <w:lang w:val="en-US" w:eastAsia="zh-CN" w:bidi="ar-SA"/>
              </w:rPr>
              <w:t>以</w:t>
            </w:r>
            <w:r>
              <w:rPr>
                <w:rFonts w:hint="eastAsia" w:ascii="宋体" w:hAnsi="宋体" w:eastAsia="宋体" w:cs="宋体"/>
                <w:b w:val="0"/>
                <w:bCs w:val="0"/>
                <w:color w:val="auto"/>
                <w:sz w:val="24"/>
                <w:highlight w:val="none"/>
                <w:lang w:val="en-GB" w:eastAsia="zh-CN" w:bidi="ar-SA"/>
              </w:rPr>
              <w:t>电汇回单作为投标保证金形式，递交保证金时</w:t>
            </w:r>
            <w:r>
              <w:rPr>
                <w:rFonts w:hint="eastAsia" w:ascii="宋体" w:hAnsi="宋体" w:cs="宋体"/>
                <w:b w:val="0"/>
                <w:bCs w:val="0"/>
                <w:color w:val="auto"/>
                <w:sz w:val="24"/>
                <w:highlight w:val="none"/>
                <w:lang w:val="en-US" w:eastAsia="zh-CN" w:bidi="ar-SA"/>
              </w:rPr>
              <w:t>须</w:t>
            </w:r>
            <w:r>
              <w:rPr>
                <w:rFonts w:hint="eastAsia" w:ascii="宋体" w:hAnsi="宋体" w:eastAsia="宋体" w:cs="宋体"/>
                <w:b w:val="0"/>
                <w:bCs w:val="0"/>
                <w:color w:val="auto"/>
                <w:sz w:val="24"/>
                <w:highlight w:val="none"/>
                <w:lang w:val="en-GB" w:eastAsia="zh-CN" w:bidi="ar-SA"/>
              </w:rPr>
              <w:t>注明项目</w:t>
            </w:r>
            <w:r>
              <w:rPr>
                <w:rFonts w:hint="eastAsia" w:ascii="宋体" w:hAnsi="宋体" w:cs="宋体"/>
                <w:b w:val="0"/>
                <w:bCs w:val="0"/>
                <w:color w:val="auto"/>
                <w:sz w:val="24"/>
                <w:highlight w:val="none"/>
                <w:lang w:val="en-US" w:eastAsia="zh-CN" w:bidi="ar-SA"/>
              </w:rPr>
              <w:t>名称</w:t>
            </w:r>
            <w:r>
              <w:rPr>
                <w:rFonts w:hint="eastAsia" w:ascii="宋体" w:hAnsi="宋体" w:eastAsia="宋体" w:cs="宋体"/>
                <w:b w:val="0"/>
                <w:bCs w:val="0"/>
                <w:color w:val="auto"/>
                <w:sz w:val="24"/>
                <w:highlight w:val="none"/>
                <w:lang w:val="en-GB" w:eastAsia="zh-CN" w:bidi="ar-SA"/>
              </w:rPr>
              <w:t>及用途（</w:t>
            </w:r>
            <w:r>
              <w:rPr>
                <w:rFonts w:hint="eastAsia" w:ascii="宋体" w:hAnsi="宋体" w:eastAsia="宋体" w:cs="宋体"/>
                <w:b w:val="0"/>
                <w:bCs w:val="0"/>
                <w:color w:val="auto"/>
                <w:sz w:val="24"/>
                <w:highlight w:val="none"/>
                <w:lang w:val="en-US" w:eastAsia="zh-CN" w:bidi="ar-SA"/>
              </w:rPr>
              <w:t>可简写</w:t>
            </w:r>
            <w:r>
              <w:rPr>
                <w:rFonts w:hint="eastAsia" w:ascii="宋体" w:hAnsi="宋体" w:eastAsia="宋体" w:cs="宋体"/>
                <w:b w:val="0"/>
                <w:bCs w:val="0"/>
                <w:color w:val="auto"/>
                <w:sz w:val="24"/>
                <w:highlight w:val="none"/>
                <w:lang w:val="en-GB" w:eastAsia="zh-CN" w:bidi="ar-SA"/>
              </w:rPr>
              <w:t>）。</w:t>
            </w:r>
          </w:p>
          <w:p w14:paraId="7434C73F">
            <w:pPr>
              <w:numPr>
                <w:ilvl w:val="0"/>
                <w:numId w:val="0"/>
              </w:numPr>
              <w:shd w:val="clear"/>
              <w:autoSpaceDE w:val="0"/>
              <w:autoSpaceDN w:val="0"/>
              <w:spacing w:line="360" w:lineRule="auto"/>
              <w:rPr>
                <w:rFonts w:hint="default" w:ascii="宋体" w:hAnsi="宋体" w:eastAsia="宋体" w:cs="宋体"/>
                <w:b w:val="0"/>
                <w:bCs w:val="0"/>
                <w:color w:val="auto"/>
                <w:sz w:val="24"/>
                <w:highlight w:val="none"/>
                <w:lang w:val="en-US" w:eastAsia="zh-CN" w:bidi="ar-SA"/>
              </w:rPr>
            </w:pPr>
            <w:r>
              <w:rPr>
                <w:rFonts w:hint="eastAsia" w:ascii="宋体" w:hAnsi="宋体" w:eastAsia="宋体" w:cs="宋体"/>
                <w:color w:val="auto"/>
                <w:sz w:val="24"/>
                <w:szCs w:val="24"/>
                <w:highlight w:val="none"/>
              </w:rPr>
              <w:t>4）</w:t>
            </w:r>
            <w:r>
              <w:rPr>
                <w:rFonts w:hint="eastAsia" w:ascii="宋体" w:hAnsi="宋体" w:cs="宋体"/>
                <w:b w:val="0"/>
                <w:bCs w:val="0"/>
                <w:color w:val="auto"/>
                <w:sz w:val="24"/>
                <w:highlight w:val="none"/>
                <w:lang w:val="en-US" w:eastAsia="zh-CN" w:bidi="ar-SA"/>
              </w:rPr>
              <w:t>以</w:t>
            </w:r>
            <w:r>
              <w:rPr>
                <w:rFonts w:hint="eastAsia" w:ascii="宋体" w:hAnsi="宋体" w:eastAsia="宋体" w:cs="宋体"/>
                <w:b w:val="0"/>
                <w:bCs w:val="0"/>
                <w:color w:val="auto"/>
                <w:sz w:val="24"/>
                <w:highlight w:val="none"/>
                <w:lang w:val="en-GB" w:eastAsia="zh-CN" w:bidi="ar-SA"/>
              </w:rPr>
              <w:t>保函作为投标保证金形式，</w:t>
            </w:r>
            <w:r>
              <w:rPr>
                <w:rFonts w:hint="eastAsia" w:ascii="宋体" w:hAnsi="宋体" w:cs="宋体"/>
                <w:b w:val="0"/>
                <w:bCs w:val="0"/>
                <w:color w:val="auto"/>
                <w:sz w:val="24"/>
                <w:highlight w:val="none"/>
                <w:lang w:val="en-GB" w:eastAsia="zh-CN" w:bidi="ar-SA"/>
              </w:rPr>
              <w:t>投标人</w:t>
            </w:r>
            <w:r>
              <w:rPr>
                <w:rFonts w:hint="eastAsia" w:ascii="宋体" w:hAnsi="宋体" w:cs="宋体"/>
                <w:b w:val="0"/>
                <w:bCs w:val="0"/>
                <w:color w:val="auto"/>
                <w:sz w:val="24"/>
                <w:highlight w:val="none"/>
                <w:lang w:val="en-US" w:eastAsia="zh-CN" w:bidi="ar-SA"/>
              </w:rPr>
              <w:t>须</w:t>
            </w:r>
            <w:r>
              <w:rPr>
                <w:rFonts w:hint="eastAsia" w:ascii="宋体" w:hAnsi="宋体" w:eastAsia="宋体" w:cs="宋体"/>
                <w:b w:val="0"/>
                <w:bCs w:val="0"/>
                <w:color w:val="auto"/>
                <w:sz w:val="24"/>
                <w:highlight w:val="none"/>
                <w:lang w:val="en-GB" w:eastAsia="zh-CN" w:bidi="ar-SA"/>
              </w:rPr>
              <w:t>将保函及保费支付凭证列入</w:t>
            </w:r>
            <w:r>
              <w:rPr>
                <w:rFonts w:hint="eastAsia" w:ascii="宋体" w:hAnsi="宋体" w:cs="宋体"/>
                <w:b w:val="0"/>
                <w:bCs w:val="0"/>
                <w:color w:val="auto"/>
                <w:sz w:val="24"/>
                <w:highlight w:val="none"/>
                <w:lang w:val="en-US" w:eastAsia="zh-CN" w:bidi="ar-SA"/>
              </w:rPr>
              <w:t>投标</w:t>
            </w:r>
            <w:r>
              <w:rPr>
                <w:rFonts w:hint="eastAsia" w:ascii="宋体" w:hAnsi="宋体" w:cs="宋体"/>
                <w:b w:val="0"/>
                <w:bCs w:val="0"/>
                <w:color w:val="auto"/>
                <w:sz w:val="24"/>
                <w:highlight w:val="none"/>
                <w:lang w:val="en-GB" w:eastAsia="zh-CN" w:bidi="ar-SA"/>
              </w:rPr>
              <w:t>文件</w:t>
            </w:r>
            <w:r>
              <w:rPr>
                <w:rFonts w:hint="eastAsia" w:ascii="宋体" w:hAnsi="宋体" w:eastAsia="宋体" w:cs="宋体"/>
                <w:b w:val="0"/>
                <w:bCs w:val="0"/>
                <w:color w:val="auto"/>
                <w:sz w:val="24"/>
                <w:highlight w:val="none"/>
                <w:lang w:val="en-GB" w:eastAsia="zh-CN" w:bidi="ar-SA"/>
              </w:rPr>
              <w:t>并加盖公章</w:t>
            </w:r>
            <w:r>
              <w:rPr>
                <w:rFonts w:hint="eastAsia" w:ascii="宋体" w:hAnsi="宋体" w:cs="宋体"/>
                <w:b w:val="0"/>
                <w:bCs w:val="0"/>
                <w:color w:val="auto"/>
                <w:sz w:val="24"/>
                <w:highlight w:val="none"/>
                <w:lang w:val="en-GB" w:eastAsia="zh-CN" w:bidi="ar-SA"/>
              </w:rPr>
              <w:t>。</w:t>
            </w:r>
          </w:p>
          <w:p w14:paraId="16E3324A">
            <w:pPr>
              <w:numPr>
                <w:ilvl w:val="0"/>
                <w:numId w:val="0"/>
              </w:numPr>
              <w:shd w:val="clear"/>
              <w:autoSpaceDE w:val="0"/>
              <w:autoSpaceDN w:val="0"/>
              <w:spacing w:line="360" w:lineRule="auto"/>
              <w:ind w:firstLine="240" w:firstLineChars="100"/>
              <w:rPr>
                <w:rFonts w:hint="eastAsia" w:ascii="宋体" w:hAnsi="宋体" w:eastAsia="宋体" w:cs="宋体"/>
                <w:b w:val="0"/>
                <w:bCs w:val="0"/>
                <w:color w:val="auto"/>
                <w:sz w:val="24"/>
                <w:highlight w:val="none"/>
                <w:lang w:val="en-GB" w:eastAsia="zh-CN" w:bidi="ar-SA"/>
              </w:rPr>
            </w:pPr>
            <w:r>
              <w:rPr>
                <w:rFonts w:hint="eastAsia" w:ascii="宋体" w:hAnsi="宋体" w:eastAsia="宋体" w:cs="宋体"/>
                <w:b w:val="0"/>
                <w:bCs w:val="0"/>
                <w:color w:val="auto"/>
                <w:sz w:val="24"/>
                <w:highlight w:val="none"/>
                <w:lang w:val="en-US" w:eastAsia="zh-CN" w:bidi="ar-SA"/>
              </w:rPr>
              <w:t xml:space="preserve">4.1 </w:t>
            </w:r>
            <w:r>
              <w:rPr>
                <w:rFonts w:hint="eastAsia" w:ascii="宋体" w:hAnsi="宋体" w:eastAsia="宋体" w:cs="宋体"/>
                <w:b w:val="0"/>
                <w:bCs w:val="0"/>
                <w:color w:val="auto"/>
                <w:sz w:val="24"/>
                <w:highlight w:val="none"/>
                <w:lang w:val="en-GB" w:eastAsia="zh-CN" w:bidi="ar-SA"/>
              </w:rPr>
              <w:t>金融机构、担保机构出具的保函必须注明项目名称及单位名称，保函的有效期不得少于投标有效期，且必须包含以下内容：在本保证担保的保证期间内，如果被保证人出现下列情形之一，受益人可以向担保机构提起索赔:【1】在提交</w:t>
            </w:r>
            <w:r>
              <w:rPr>
                <w:rFonts w:hint="eastAsia" w:ascii="宋体" w:hAnsi="宋体" w:cs="宋体"/>
                <w:b w:val="0"/>
                <w:bCs w:val="0"/>
                <w:color w:val="auto"/>
                <w:sz w:val="24"/>
                <w:highlight w:val="none"/>
                <w:lang w:val="en-GB" w:eastAsia="zh-CN" w:bidi="ar-SA"/>
              </w:rPr>
              <w:t>投标文件</w:t>
            </w:r>
            <w:r>
              <w:rPr>
                <w:rFonts w:hint="eastAsia" w:ascii="宋体" w:hAnsi="宋体" w:eastAsia="宋体" w:cs="宋体"/>
                <w:b w:val="0"/>
                <w:bCs w:val="0"/>
                <w:color w:val="auto"/>
                <w:sz w:val="24"/>
                <w:highlight w:val="none"/>
                <w:lang w:val="en-GB" w:eastAsia="zh-CN" w:bidi="ar-SA"/>
              </w:rPr>
              <w:t>截止时间后到</w:t>
            </w:r>
            <w:r>
              <w:rPr>
                <w:rFonts w:hint="eastAsia" w:ascii="宋体" w:hAnsi="宋体" w:cs="宋体"/>
                <w:b w:val="0"/>
                <w:bCs w:val="0"/>
                <w:color w:val="auto"/>
                <w:sz w:val="24"/>
                <w:highlight w:val="none"/>
                <w:lang w:val="en-US" w:eastAsia="zh-CN" w:bidi="ar-SA"/>
              </w:rPr>
              <w:t>招标</w:t>
            </w:r>
            <w:r>
              <w:rPr>
                <w:rFonts w:hint="eastAsia" w:ascii="宋体" w:hAnsi="宋体" w:eastAsia="宋体" w:cs="宋体"/>
                <w:b w:val="0"/>
                <w:bCs w:val="0"/>
                <w:color w:val="auto"/>
                <w:sz w:val="24"/>
                <w:highlight w:val="none"/>
                <w:lang w:val="en-GB" w:eastAsia="zh-CN" w:bidi="ar-SA"/>
              </w:rPr>
              <w:t>文件规定的投标有效期终止之前，投标投标人要求撤销、修改、补充或替代</w:t>
            </w:r>
            <w:r>
              <w:rPr>
                <w:rFonts w:hint="eastAsia" w:ascii="宋体" w:hAnsi="宋体" w:cs="宋体"/>
                <w:b w:val="0"/>
                <w:bCs w:val="0"/>
                <w:color w:val="auto"/>
                <w:sz w:val="24"/>
                <w:highlight w:val="none"/>
                <w:lang w:val="en-GB" w:eastAsia="zh-CN" w:bidi="ar-SA"/>
              </w:rPr>
              <w:t>投标文件</w:t>
            </w:r>
            <w:r>
              <w:rPr>
                <w:rFonts w:hint="eastAsia" w:ascii="宋体" w:hAnsi="宋体" w:eastAsia="宋体" w:cs="宋体"/>
                <w:b w:val="0"/>
                <w:bCs w:val="0"/>
                <w:color w:val="auto"/>
                <w:sz w:val="24"/>
                <w:highlight w:val="none"/>
                <w:lang w:val="en-GB" w:eastAsia="zh-CN" w:bidi="ar-SA"/>
              </w:rPr>
              <w:t>的；【2】中标通知书发出后，中标人放弃中标项</w:t>
            </w:r>
            <w:r>
              <w:rPr>
                <w:rFonts w:hint="eastAsia" w:ascii="宋体" w:hAnsi="宋体" w:cs="宋体"/>
                <w:b w:val="0"/>
                <w:bCs w:val="0"/>
                <w:color w:val="auto"/>
                <w:sz w:val="24"/>
                <w:highlight w:val="none"/>
                <w:lang w:val="en-US" w:eastAsia="zh-CN" w:bidi="ar-SA"/>
              </w:rPr>
              <w:t>标</w:t>
            </w:r>
            <w:r>
              <w:rPr>
                <w:rFonts w:hint="eastAsia" w:ascii="宋体" w:hAnsi="宋体" w:eastAsia="宋体" w:cs="宋体"/>
                <w:b w:val="0"/>
                <w:bCs w:val="0"/>
                <w:color w:val="auto"/>
                <w:sz w:val="24"/>
                <w:highlight w:val="none"/>
                <w:lang w:val="en-GB" w:eastAsia="zh-CN" w:bidi="ar-SA"/>
              </w:rPr>
              <w:t>的，无正当理由不与</w:t>
            </w:r>
            <w:r>
              <w:rPr>
                <w:rFonts w:hint="eastAsia" w:ascii="宋体" w:hAnsi="宋体" w:cs="宋体"/>
                <w:b w:val="0"/>
                <w:bCs w:val="0"/>
                <w:color w:val="auto"/>
                <w:sz w:val="24"/>
                <w:highlight w:val="none"/>
                <w:lang w:val="en-GB" w:eastAsia="zh-CN" w:bidi="ar-SA"/>
              </w:rPr>
              <w:t>采购人</w:t>
            </w:r>
            <w:r>
              <w:rPr>
                <w:rFonts w:hint="eastAsia" w:ascii="宋体" w:hAnsi="宋体" w:eastAsia="宋体" w:cs="宋体"/>
                <w:b w:val="0"/>
                <w:bCs w:val="0"/>
                <w:color w:val="auto"/>
                <w:sz w:val="24"/>
                <w:highlight w:val="none"/>
                <w:lang w:val="en-GB" w:eastAsia="zh-CN" w:bidi="ar-SA"/>
              </w:rPr>
              <w:t>签订合同的，在签订合同时向</w:t>
            </w:r>
            <w:r>
              <w:rPr>
                <w:rFonts w:hint="eastAsia" w:ascii="宋体" w:hAnsi="宋体" w:cs="宋体"/>
                <w:b w:val="0"/>
                <w:bCs w:val="0"/>
                <w:color w:val="auto"/>
                <w:sz w:val="24"/>
                <w:highlight w:val="none"/>
                <w:lang w:val="en-GB" w:eastAsia="zh-CN" w:bidi="ar-SA"/>
              </w:rPr>
              <w:t>采购人</w:t>
            </w:r>
            <w:r>
              <w:rPr>
                <w:rFonts w:hint="eastAsia" w:ascii="宋体" w:hAnsi="宋体" w:eastAsia="宋体" w:cs="宋体"/>
                <w:b w:val="0"/>
                <w:bCs w:val="0"/>
                <w:color w:val="auto"/>
                <w:sz w:val="24"/>
                <w:highlight w:val="none"/>
                <w:lang w:val="en-GB" w:eastAsia="zh-CN" w:bidi="ar-SA"/>
              </w:rPr>
              <w:t>提出附加条件或者更改合同实质性内容的，或者拒不提交所要求的履约保证金的；【3】投标人在投标活动中串通投标、弄虚作假的；【4】法律法规规定不予退还的其他情形。【</w:t>
            </w:r>
            <w:r>
              <w:rPr>
                <w:rFonts w:hint="eastAsia" w:ascii="宋体" w:hAnsi="宋体" w:eastAsia="宋体" w:cs="宋体"/>
                <w:b w:val="0"/>
                <w:bCs w:val="0"/>
                <w:color w:val="auto"/>
                <w:sz w:val="24"/>
                <w:highlight w:val="none"/>
                <w:lang w:val="en-US" w:eastAsia="zh-CN" w:bidi="ar-SA"/>
              </w:rPr>
              <w:t>5</w:t>
            </w:r>
            <w:r>
              <w:rPr>
                <w:rFonts w:hint="eastAsia" w:ascii="宋体" w:hAnsi="宋体" w:eastAsia="宋体" w:cs="宋体"/>
                <w:b w:val="0"/>
                <w:bCs w:val="0"/>
                <w:color w:val="auto"/>
                <w:sz w:val="24"/>
                <w:highlight w:val="none"/>
                <w:lang w:val="en-GB" w:eastAsia="zh-CN" w:bidi="ar-SA"/>
              </w:rPr>
              <w:t>】后期如无故不与</w:t>
            </w:r>
            <w:r>
              <w:rPr>
                <w:rFonts w:hint="eastAsia" w:ascii="宋体" w:hAnsi="宋体" w:cs="宋体"/>
                <w:b w:val="0"/>
                <w:bCs w:val="0"/>
                <w:color w:val="auto"/>
                <w:sz w:val="24"/>
                <w:highlight w:val="none"/>
                <w:lang w:val="en-GB" w:eastAsia="zh-CN" w:bidi="ar-SA"/>
              </w:rPr>
              <w:t>采购人</w:t>
            </w:r>
            <w:r>
              <w:rPr>
                <w:rFonts w:hint="eastAsia" w:ascii="宋体" w:hAnsi="宋体" w:eastAsia="宋体" w:cs="宋体"/>
                <w:b w:val="0"/>
                <w:bCs w:val="0"/>
                <w:color w:val="auto"/>
                <w:sz w:val="24"/>
                <w:highlight w:val="none"/>
                <w:lang w:val="en-GB" w:eastAsia="zh-CN" w:bidi="ar-SA"/>
              </w:rPr>
              <w:t>签订合同或违约。</w:t>
            </w:r>
          </w:p>
          <w:p w14:paraId="1DDA059D">
            <w:pPr>
              <w:numPr>
                <w:ilvl w:val="0"/>
                <w:numId w:val="0"/>
              </w:numPr>
              <w:shd w:val="clear"/>
              <w:autoSpaceDE w:val="0"/>
              <w:autoSpaceDN w:val="0"/>
              <w:spacing w:line="360" w:lineRule="auto"/>
              <w:ind w:firstLine="240" w:firstLineChars="100"/>
              <w:rPr>
                <w:rFonts w:hint="eastAsia"/>
                <w:highlight w:val="none"/>
                <w:lang w:val="en-US" w:eastAsia="zh-CN"/>
              </w:rPr>
            </w:pPr>
            <w:r>
              <w:rPr>
                <w:rFonts w:hint="eastAsia" w:ascii="宋体" w:hAnsi="宋体" w:eastAsia="宋体" w:cs="宋体"/>
                <w:b w:val="0"/>
                <w:bCs w:val="0"/>
                <w:color w:val="auto"/>
                <w:sz w:val="24"/>
                <w:highlight w:val="none"/>
                <w:lang w:val="en-US" w:eastAsia="zh-CN" w:bidi="ar-SA"/>
              </w:rPr>
              <w:t>4.2 如从政采云平台开具的保函以系统格式为准。</w:t>
            </w:r>
          </w:p>
        </w:tc>
      </w:tr>
      <w:tr w14:paraId="27F176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35" w:type="dxa"/>
            <w:shd w:val="clear" w:color="auto" w:fill="auto"/>
            <w:vAlign w:val="center"/>
          </w:tcPr>
          <w:p w14:paraId="51FDF0CE">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21</w:t>
            </w:r>
          </w:p>
        </w:tc>
        <w:tc>
          <w:tcPr>
            <w:tcW w:w="2469" w:type="dxa"/>
            <w:shd w:val="clear" w:color="auto" w:fill="auto"/>
            <w:vAlign w:val="center"/>
          </w:tcPr>
          <w:p w14:paraId="44CEED52">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szCs w:val="24"/>
                <w:highlight w:val="none"/>
                <w:lang w:val="en-US" w:eastAsia="zh-CN"/>
              </w:rPr>
              <w:t>招标方式及</w:t>
            </w:r>
            <w:r>
              <w:rPr>
                <w:rFonts w:hint="eastAsia" w:ascii="宋体" w:hAnsi="宋体" w:eastAsia="宋体" w:cs="宋体"/>
                <w:b/>
                <w:bCs/>
                <w:color w:val="auto"/>
                <w:sz w:val="24"/>
                <w:szCs w:val="24"/>
                <w:highlight w:val="none"/>
              </w:rPr>
              <w:t>评审办法</w:t>
            </w:r>
          </w:p>
        </w:tc>
        <w:tc>
          <w:tcPr>
            <w:tcW w:w="7170" w:type="dxa"/>
            <w:shd w:val="clear" w:color="auto" w:fill="auto"/>
            <w:vAlign w:val="center"/>
          </w:tcPr>
          <w:p w14:paraId="6720B3C0">
            <w:pPr>
              <w:spacing w:line="360" w:lineRule="auto"/>
              <w:ind w:firstLine="240" w:firstLineChars="10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lang w:val="en-US" w:eastAsia="zh-CN"/>
              </w:rPr>
              <w:t>本项目招标方式为公开招标。采用综合评分法，</w:t>
            </w:r>
            <w:r>
              <w:rPr>
                <w:rFonts w:hint="eastAsia" w:ascii="宋体" w:hAnsi="宋体" w:eastAsia="宋体" w:cs="宋体"/>
                <w:bCs/>
                <w:color w:val="auto"/>
                <w:sz w:val="24"/>
                <w:szCs w:val="24"/>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tc>
      </w:tr>
      <w:tr w14:paraId="7442E2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jc w:val="center"/>
        </w:trPr>
        <w:tc>
          <w:tcPr>
            <w:tcW w:w="735" w:type="dxa"/>
            <w:shd w:val="clear" w:color="auto" w:fill="auto"/>
            <w:vAlign w:val="center"/>
          </w:tcPr>
          <w:p w14:paraId="3D943E13">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22</w:t>
            </w:r>
          </w:p>
        </w:tc>
        <w:tc>
          <w:tcPr>
            <w:tcW w:w="2469" w:type="dxa"/>
            <w:shd w:val="clear" w:color="auto" w:fill="auto"/>
            <w:vAlign w:val="center"/>
          </w:tcPr>
          <w:p w14:paraId="16389288">
            <w:pPr>
              <w:adjustRightInd w:val="0"/>
              <w:snapToGrid w:val="0"/>
              <w:spacing w:before="120" w:beforeLines="5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投标有效期</w:t>
            </w:r>
          </w:p>
        </w:tc>
        <w:tc>
          <w:tcPr>
            <w:tcW w:w="7170" w:type="dxa"/>
            <w:shd w:val="clear" w:color="auto" w:fill="auto"/>
            <w:vAlign w:val="center"/>
          </w:tcPr>
          <w:p w14:paraId="5823A0FB">
            <w:pPr>
              <w:adjustRightInd w:val="0"/>
              <w:snapToGrid w:val="0"/>
              <w:spacing w:before="120" w:beforeLines="5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szCs w:val="24"/>
                <w:highlight w:val="none"/>
              </w:rPr>
              <w:t>自提交投标文件截止之日起不少于</w:t>
            </w:r>
            <w:r>
              <w:rPr>
                <w:rFonts w:hint="eastAsia" w:ascii="宋体" w:hAnsi="宋体" w:eastAsia="宋体" w:cs="宋体"/>
                <w:bCs/>
                <w:color w:val="auto"/>
                <w:sz w:val="24"/>
                <w:szCs w:val="24"/>
                <w:highlight w:val="none"/>
                <w:u w:val="none"/>
                <w:lang w:val="en-US" w:eastAsia="zh-CN"/>
              </w:rPr>
              <w:t>60</w:t>
            </w:r>
            <w:r>
              <w:rPr>
                <w:rFonts w:hint="eastAsia" w:ascii="宋体" w:hAnsi="宋体" w:eastAsia="宋体" w:cs="宋体"/>
                <w:bCs/>
                <w:color w:val="auto"/>
                <w:sz w:val="24"/>
                <w:szCs w:val="24"/>
                <w:highlight w:val="none"/>
                <w:lang w:val="en-US" w:eastAsia="zh-CN"/>
              </w:rPr>
              <w:t>个</w:t>
            </w:r>
            <w:r>
              <w:rPr>
                <w:rFonts w:hint="eastAsia" w:ascii="宋体" w:hAnsi="宋体" w:eastAsia="宋体" w:cs="宋体"/>
                <w:bCs/>
                <w:color w:val="auto"/>
                <w:sz w:val="24"/>
                <w:szCs w:val="24"/>
                <w:highlight w:val="none"/>
              </w:rPr>
              <w:t>日历日</w:t>
            </w:r>
          </w:p>
        </w:tc>
      </w:tr>
      <w:tr w14:paraId="1A0151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735" w:type="dxa"/>
            <w:shd w:val="clear" w:color="auto" w:fill="auto"/>
            <w:vAlign w:val="center"/>
          </w:tcPr>
          <w:p w14:paraId="73F527AA">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23</w:t>
            </w:r>
          </w:p>
        </w:tc>
        <w:tc>
          <w:tcPr>
            <w:tcW w:w="2469" w:type="dxa"/>
            <w:vAlign w:val="center"/>
          </w:tcPr>
          <w:p w14:paraId="452222BE">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纸质版</w:t>
            </w:r>
            <w:r>
              <w:rPr>
                <w:rFonts w:hint="eastAsia" w:ascii="宋体" w:hAnsi="宋体" w:eastAsia="宋体" w:cs="宋体"/>
                <w:b/>
                <w:bCs/>
                <w:color w:val="auto"/>
                <w:sz w:val="24"/>
                <w:szCs w:val="24"/>
                <w:highlight w:val="none"/>
              </w:rPr>
              <w:t>投标文件</w:t>
            </w:r>
          </w:p>
        </w:tc>
        <w:tc>
          <w:tcPr>
            <w:tcW w:w="7170" w:type="dxa"/>
            <w:vAlign w:val="center"/>
          </w:tcPr>
          <w:p w14:paraId="6AE19148">
            <w:pPr>
              <w:numPr>
                <w:ilvl w:val="0"/>
                <w:numId w:val="0"/>
              </w:numPr>
              <w:autoSpaceDE w:val="0"/>
              <w:autoSpaceDN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Times New Roman"/>
                <w:bCs/>
                <w:color w:val="auto"/>
                <w:kern w:val="0"/>
                <w:sz w:val="24"/>
                <w:highlight w:val="none"/>
                <w:lang w:val="en-US" w:eastAsia="zh-CN" w:bidi="ar-SA"/>
              </w:rPr>
              <w:t>所有投标</w:t>
            </w:r>
            <w:r>
              <w:rPr>
                <w:rFonts w:hint="eastAsia" w:ascii="宋体" w:hAnsi="宋体" w:cs="Times New Roman"/>
                <w:bCs/>
                <w:color w:val="auto"/>
                <w:kern w:val="0"/>
                <w:sz w:val="24"/>
                <w:highlight w:val="none"/>
                <w:lang w:val="en-US" w:eastAsia="zh-CN" w:bidi="ar-SA"/>
              </w:rPr>
              <w:t>人在本项目评审</w:t>
            </w:r>
            <w:r>
              <w:rPr>
                <w:rFonts w:hint="eastAsia" w:ascii="宋体" w:hAnsi="宋体" w:eastAsia="宋体" w:cs="Times New Roman"/>
                <w:bCs/>
                <w:color w:val="auto"/>
                <w:kern w:val="0"/>
                <w:sz w:val="24"/>
                <w:highlight w:val="none"/>
                <w:lang w:val="en-US" w:eastAsia="zh-CN" w:bidi="ar-SA"/>
              </w:rPr>
              <w:t>结束</w:t>
            </w:r>
            <w:r>
              <w:rPr>
                <w:rFonts w:hint="default" w:ascii="宋体" w:hAnsi="宋体" w:eastAsia="宋体" w:cs="Times New Roman"/>
                <w:bCs/>
                <w:color w:val="auto"/>
                <w:kern w:val="0"/>
                <w:sz w:val="24"/>
                <w:highlight w:val="none"/>
                <w:lang w:val="en-US" w:eastAsia="zh-CN" w:bidi="ar-SA"/>
              </w:rPr>
              <w:t>后</w:t>
            </w:r>
            <w:r>
              <w:rPr>
                <w:rFonts w:hint="eastAsia" w:ascii="宋体" w:hAnsi="宋体" w:eastAsia="宋体" w:cs="Times New Roman"/>
                <w:bCs/>
                <w:color w:val="auto"/>
                <w:kern w:val="0"/>
                <w:sz w:val="24"/>
                <w:highlight w:val="none"/>
                <w:lang w:val="en-US" w:eastAsia="zh-CN" w:bidi="ar-SA"/>
              </w:rPr>
              <w:t>须</w:t>
            </w:r>
            <w:r>
              <w:rPr>
                <w:rFonts w:hint="default" w:ascii="宋体" w:hAnsi="宋体" w:eastAsia="宋体" w:cs="Times New Roman"/>
                <w:bCs/>
                <w:color w:val="auto"/>
                <w:kern w:val="0"/>
                <w:sz w:val="24"/>
                <w:highlight w:val="none"/>
                <w:lang w:val="en-US" w:eastAsia="zh-CN" w:bidi="ar-SA"/>
              </w:rPr>
              <w:t>另行提供与</w:t>
            </w:r>
            <w:r>
              <w:rPr>
                <w:rFonts w:hint="eastAsia" w:ascii="宋体" w:hAnsi="宋体" w:eastAsia="宋体" w:cs="Times New Roman"/>
                <w:bCs/>
                <w:color w:val="auto"/>
                <w:kern w:val="0"/>
                <w:sz w:val="24"/>
                <w:highlight w:val="none"/>
                <w:lang w:val="en-US" w:eastAsia="zh-CN" w:bidi="ar-SA"/>
              </w:rPr>
              <w:t>上传政采云系统</w:t>
            </w:r>
            <w:r>
              <w:rPr>
                <w:rFonts w:hint="default" w:ascii="宋体" w:hAnsi="宋体" w:eastAsia="宋体" w:cs="Times New Roman"/>
                <w:bCs/>
                <w:color w:val="auto"/>
                <w:kern w:val="0"/>
                <w:sz w:val="24"/>
                <w:highlight w:val="none"/>
                <w:lang w:val="en-US" w:eastAsia="zh-CN" w:bidi="ar-SA"/>
              </w:rPr>
              <w:t>一致</w:t>
            </w:r>
            <w:r>
              <w:rPr>
                <w:rFonts w:hint="eastAsia" w:ascii="宋体" w:hAnsi="宋体" w:eastAsia="宋体" w:cs="Times New Roman"/>
                <w:bCs/>
                <w:color w:val="auto"/>
                <w:kern w:val="0"/>
                <w:sz w:val="24"/>
                <w:highlight w:val="none"/>
                <w:lang w:val="en-US" w:eastAsia="zh-CN" w:bidi="ar-SA"/>
              </w:rPr>
              <w:t>的</w:t>
            </w:r>
            <w:r>
              <w:rPr>
                <w:rFonts w:hint="eastAsia" w:ascii="宋体" w:hAnsi="宋体" w:cs="Times New Roman"/>
                <w:bCs/>
                <w:color w:val="auto"/>
                <w:kern w:val="0"/>
                <w:sz w:val="24"/>
                <w:highlight w:val="none"/>
                <w:lang w:val="en-US" w:eastAsia="zh-CN" w:bidi="ar-SA"/>
              </w:rPr>
              <w:t>投标文件</w:t>
            </w:r>
            <w:r>
              <w:rPr>
                <w:rFonts w:hint="default" w:ascii="宋体" w:hAnsi="宋体" w:eastAsia="宋体" w:cs="Times New Roman"/>
                <w:bCs/>
                <w:color w:val="auto"/>
                <w:kern w:val="0"/>
                <w:sz w:val="24"/>
                <w:highlight w:val="none"/>
                <w:lang w:val="en-US" w:eastAsia="zh-CN" w:bidi="ar-SA"/>
              </w:rPr>
              <w:t>纸质版一正一副</w:t>
            </w:r>
            <w:r>
              <w:rPr>
                <w:rFonts w:hint="eastAsia" w:ascii="宋体" w:hAnsi="宋体" w:eastAsia="宋体" w:cs="Times New Roman"/>
                <w:bCs/>
                <w:color w:val="auto"/>
                <w:kern w:val="0"/>
                <w:sz w:val="24"/>
                <w:highlight w:val="none"/>
                <w:lang w:val="en-US" w:eastAsia="zh-CN" w:bidi="ar-SA"/>
              </w:rPr>
              <w:t>及电子版（存放U盘）邮寄或送至采购代理机构。地址：阿勒泰市亦岚酒店6层新疆金泰首致项目管理咨询有限公司，所产生的费用由</w:t>
            </w:r>
            <w:r>
              <w:rPr>
                <w:rFonts w:hint="eastAsia" w:ascii="宋体" w:hAnsi="宋体" w:cs="Times New Roman"/>
                <w:bCs/>
                <w:color w:val="auto"/>
                <w:kern w:val="0"/>
                <w:sz w:val="24"/>
                <w:highlight w:val="none"/>
                <w:lang w:val="en-US" w:eastAsia="zh-CN" w:bidi="ar-SA"/>
              </w:rPr>
              <w:t>投标人</w:t>
            </w:r>
            <w:r>
              <w:rPr>
                <w:rFonts w:hint="eastAsia" w:ascii="宋体" w:hAnsi="宋体" w:eastAsia="宋体" w:cs="Times New Roman"/>
                <w:bCs/>
                <w:color w:val="auto"/>
                <w:kern w:val="0"/>
                <w:sz w:val="24"/>
                <w:highlight w:val="none"/>
                <w:lang w:val="en-US" w:eastAsia="zh-CN" w:bidi="ar-SA"/>
              </w:rPr>
              <w:t>自行承担。</w:t>
            </w:r>
          </w:p>
        </w:tc>
      </w:tr>
      <w:tr w14:paraId="380CE5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9" w:hRule="atLeast"/>
          <w:jc w:val="center"/>
        </w:trPr>
        <w:tc>
          <w:tcPr>
            <w:tcW w:w="735" w:type="dxa"/>
            <w:shd w:val="clear" w:color="auto" w:fill="auto"/>
            <w:vAlign w:val="center"/>
          </w:tcPr>
          <w:p w14:paraId="71136FC6">
            <w:pPr>
              <w:adjustRightInd w:val="0"/>
              <w:snapToGrid w:val="0"/>
              <w:spacing w:before="120" w:beforeLines="50"/>
              <w:jc w:val="center"/>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2</w:t>
            </w:r>
            <w:r>
              <w:rPr>
                <w:rFonts w:hint="eastAsia" w:ascii="宋体" w:hAnsi="宋体" w:cs="宋体"/>
                <w:b/>
                <w:bCs/>
                <w:color w:val="auto"/>
                <w:sz w:val="24"/>
                <w:szCs w:val="24"/>
                <w:highlight w:val="none"/>
                <w:lang w:val="en-US" w:eastAsia="zh-CN"/>
              </w:rPr>
              <w:t>4</w:t>
            </w:r>
          </w:p>
        </w:tc>
        <w:tc>
          <w:tcPr>
            <w:tcW w:w="2469" w:type="dxa"/>
            <w:vAlign w:val="center"/>
          </w:tcPr>
          <w:p w14:paraId="0E799008">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是否允许投报进口产品</w:t>
            </w:r>
          </w:p>
        </w:tc>
        <w:tc>
          <w:tcPr>
            <w:tcW w:w="7170" w:type="dxa"/>
            <w:vAlign w:val="center"/>
          </w:tcPr>
          <w:p w14:paraId="61232992">
            <w:pPr>
              <w:autoSpaceDE w:val="0"/>
              <w:autoSpaceDN w:val="0"/>
              <w:adjustRightInd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否                                             </w:t>
            </w:r>
          </w:p>
        </w:tc>
      </w:tr>
      <w:tr w14:paraId="5721AC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735" w:type="dxa"/>
            <w:vAlign w:val="center"/>
          </w:tcPr>
          <w:p w14:paraId="3774CD45">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r>
              <w:rPr>
                <w:rFonts w:hint="eastAsia" w:ascii="宋体" w:hAnsi="宋体" w:cs="宋体"/>
                <w:b/>
                <w:bCs/>
                <w:color w:val="auto"/>
                <w:sz w:val="24"/>
                <w:szCs w:val="24"/>
                <w:highlight w:val="none"/>
                <w:lang w:val="en-US" w:eastAsia="zh-CN"/>
              </w:rPr>
              <w:t>5</w:t>
            </w:r>
          </w:p>
        </w:tc>
        <w:tc>
          <w:tcPr>
            <w:tcW w:w="2469" w:type="dxa"/>
            <w:vAlign w:val="center"/>
          </w:tcPr>
          <w:p w14:paraId="7F977C75">
            <w:pPr>
              <w:adjustRightInd w:val="0"/>
              <w:snapToGrid w:val="0"/>
              <w:spacing w:before="120" w:beforeLines="5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★投标报价</w:t>
            </w:r>
          </w:p>
        </w:tc>
        <w:tc>
          <w:tcPr>
            <w:tcW w:w="7170" w:type="dxa"/>
            <w:vAlign w:val="center"/>
          </w:tcPr>
          <w:p w14:paraId="12C3CF4F">
            <w:pPr>
              <w:spacing w:line="360" w:lineRule="auto"/>
              <w:ind w:firstLine="240" w:firstLineChars="100"/>
              <w:rPr>
                <w:rFonts w:hint="eastAsia" w:ascii="宋体" w:hAnsi="宋体" w:eastAsia="宋体" w:cs="Times New Roman"/>
                <w:bCs/>
                <w:color w:val="auto"/>
                <w:kern w:val="0"/>
                <w:sz w:val="24"/>
                <w:highlight w:val="none"/>
                <w:lang w:val="en-US" w:eastAsia="zh-CN" w:bidi="ar-SA"/>
              </w:rPr>
            </w:pPr>
            <w:r>
              <w:rPr>
                <w:rFonts w:hint="eastAsia" w:ascii="宋体" w:hAnsi="宋体" w:eastAsia="宋体" w:cs="Times New Roman"/>
                <w:bCs/>
                <w:color w:val="auto"/>
                <w:kern w:val="0"/>
                <w:sz w:val="24"/>
                <w:highlight w:val="none"/>
                <w:lang w:val="en-US" w:eastAsia="zh-CN" w:bidi="ar-SA"/>
              </w:rPr>
              <w:t>1.投标人的报价以市场价的下浮率形式体现（投标报价不设上限控制价，由投标人自主根据市场价下浮）。</w:t>
            </w:r>
          </w:p>
          <w:p w14:paraId="49891C3B">
            <w:pPr>
              <w:spacing w:line="360" w:lineRule="auto"/>
              <w:ind w:firstLine="240" w:firstLineChars="100"/>
              <w:rPr>
                <w:rFonts w:hint="eastAsia" w:ascii="宋体" w:hAnsi="宋体" w:eastAsia="宋体" w:cs="Times New Roman"/>
                <w:bCs/>
                <w:color w:val="auto"/>
                <w:kern w:val="0"/>
                <w:sz w:val="24"/>
                <w:highlight w:val="none"/>
                <w:lang w:val="en-US" w:eastAsia="zh-CN" w:bidi="ar-SA"/>
              </w:rPr>
            </w:pPr>
            <w:r>
              <w:rPr>
                <w:rFonts w:hint="eastAsia" w:ascii="宋体" w:hAnsi="宋体" w:eastAsia="宋体" w:cs="Times New Roman"/>
                <w:bCs/>
                <w:color w:val="auto"/>
                <w:kern w:val="0"/>
                <w:sz w:val="24"/>
                <w:highlight w:val="none"/>
                <w:lang w:val="en-US" w:eastAsia="zh-CN" w:bidi="ar-SA"/>
              </w:rPr>
              <w:t>1）</w:t>
            </w:r>
            <w:r>
              <w:rPr>
                <w:rFonts w:hint="eastAsia" w:cs="Times New Roman"/>
                <w:color w:val="auto"/>
                <w:sz w:val="24"/>
                <w:szCs w:val="24"/>
                <w:highlight w:val="none"/>
                <w:lang w:eastAsia="zh-CN"/>
              </w:rPr>
              <w:t>供货数量及品目以</w:t>
            </w:r>
            <w:r>
              <w:rPr>
                <w:rFonts w:hint="eastAsia" w:cs="Times New Roman"/>
                <w:color w:val="auto"/>
                <w:sz w:val="24"/>
                <w:szCs w:val="24"/>
                <w:highlight w:val="none"/>
                <w:lang w:val="en-US" w:eastAsia="zh-CN"/>
              </w:rPr>
              <w:t>采购人需求点位实际发出的</w:t>
            </w:r>
            <w:r>
              <w:rPr>
                <w:rFonts w:hint="eastAsia" w:cs="Times New Roman"/>
                <w:color w:val="auto"/>
                <w:sz w:val="24"/>
                <w:szCs w:val="24"/>
                <w:highlight w:val="none"/>
                <w:lang w:eastAsia="zh-CN"/>
              </w:rPr>
              <w:t>需求为准。</w:t>
            </w:r>
          </w:p>
          <w:p w14:paraId="4A3364C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Times New Roman"/>
                <w:bCs/>
                <w:color w:val="auto"/>
                <w:kern w:val="0"/>
                <w:sz w:val="24"/>
                <w:highlight w:val="none"/>
                <w:lang w:val="en-US" w:eastAsia="zh-CN" w:bidi="ar-SA"/>
              </w:rPr>
              <w:t>2）报价包含但不限于农副品价格、产品检验检疫费、运输、包装、装卸、损耗、税金、</w:t>
            </w:r>
            <w:r>
              <w:rPr>
                <w:rFonts w:hint="eastAsia" w:ascii="Times New Roman" w:hAnsi="Times New Roman" w:eastAsia="宋体" w:cs="Times New Roman"/>
                <w:color w:val="auto"/>
                <w:sz w:val="24"/>
                <w:szCs w:val="24"/>
                <w:highlight w:val="none"/>
              </w:rPr>
              <w:t>各类劳保、保险</w:t>
            </w:r>
            <w:r>
              <w:rPr>
                <w:rFonts w:hint="eastAsia" w:ascii="Times New Roman" w:hAnsi="Times New Roman" w:eastAsia="宋体" w:cs="Times New Roman"/>
                <w:color w:val="auto"/>
                <w:sz w:val="24"/>
                <w:szCs w:val="24"/>
                <w:highlight w:val="none"/>
                <w:lang w:val="en-US" w:eastAsia="zh-CN"/>
              </w:rPr>
              <w:t>等</w:t>
            </w:r>
            <w:r>
              <w:rPr>
                <w:rFonts w:hint="default" w:ascii="Times New Roman" w:hAnsi="Times New Roman" w:cs="Times New Roman"/>
                <w:color w:val="auto"/>
                <w:sz w:val="24"/>
                <w:szCs w:val="24"/>
                <w:highlight w:val="none"/>
              </w:rPr>
              <w:t>其它一切费用</w:t>
            </w:r>
            <w:r>
              <w:rPr>
                <w:rFonts w:hint="eastAsia" w:ascii="宋体" w:hAnsi="宋体" w:eastAsia="宋体" w:cs="Times New Roman"/>
                <w:bCs/>
                <w:color w:val="auto"/>
                <w:kern w:val="0"/>
                <w:sz w:val="24"/>
                <w:highlight w:val="none"/>
                <w:lang w:val="en-US" w:eastAsia="zh-CN" w:bidi="ar-SA"/>
              </w:rPr>
              <w:t>，</w:t>
            </w:r>
            <w:r>
              <w:rPr>
                <w:rFonts w:hint="eastAsia" w:ascii="宋体" w:hAnsi="宋体" w:cs="Times New Roman"/>
                <w:bCs/>
                <w:color w:val="auto"/>
                <w:kern w:val="0"/>
                <w:sz w:val="24"/>
                <w:highlight w:val="none"/>
                <w:lang w:val="en-US" w:eastAsia="zh-CN" w:bidi="ar-SA"/>
              </w:rPr>
              <w:t>合同履约</w:t>
            </w:r>
            <w:r>
              <w:rPr>
                <w:rFonts w:hint="eastAsia" w:ascii="宋体" w:hAnsi="宋体" w:eastAsia="宋体" w:cs="Times New Roman"/>
                <w:bCs/>
                <w:color w:val="auto"/>
                <w:kern w:val="0"/>
                <w:sz w:val="24"/>
                <w:highlight w:val="none"/>
                <w:lang w:val="en-US" w:eastAsia="zh-CN" w:bidi="ar-SA"/>
              </w:rPr>
              <w:t>过程中不再单独结算</w:t>
            </w:r>
            <w:r>
              <w:rPr>
                <w:rFonts w:hint="eastAsia" w:ascii="宋体" w:hAnsi="宋体" w:eastAsia="宋体" w:cs="宋体"/>
                <w:color w:val="auto"/>
                <w:sz w:val="24"/>
                <w:szCs w:val="24"/>
                <w:highlight w:val="none"/>
              </w:rPr>
              <w:t>。</w:t>
            </w:r>
          </w:p>
          <w:p w14:paraId="651C1D58">
            <w:pPr>
              <w:pStyle w:val="31"/>
              <w:spacing w:line="360" w:lineRule="auto"/>
              <w:ind w:firstLine="240" w:firstLineChars="100"/>
              <w:rPr>
                <w:rFonts w:hint="eastAsia" w:eastAsia="宋体"/>
                <w:highlight w:val="none"/>
                <w:lang w:val="en-US" w:eastAsia="zh-CN"/>
              </w:rPr>
            </w:pPr>
            <w:r>
              <w:rPr>
                <w:rFonts w:hint="eastAsia" w:ascii="宋体" w:hAnsi="宋体" w:eastAsia="宋体" w:cs="宋体"/>
                <w:color w:val="auto"/>
                <w:sz w:val="24"/>
                <w:szCs w:val="24"/>
                <w:highlight w:val="none"/>
                <w:lang w:val="en-US" w:eastAsia="zh-CN"/>
              </w:rPr>
              <w:t>2.评标委员会</w:t>
            </w:r>
            <w:r>
              <w:rPr>
                <w:rFonts w:hint="eastAsia" w:ascii="宋体" w:hAnsi="宋体" w:eastAsia="宋体" w:cs="宋体"/>
                <w:color w:val="auto"/>
                <w:kern w:val="2"/>
                <w:sz w:val="24"/>
                <w:szCs w:val="24"/>
                <w:highlight w:val="none"/>
                <w:u w:val="none"/>
                <w:lang w:val="en-US" w:eastAsia="zh-CN" w:bidi="ar-SA"/>
              </w:rPr>
              <w:t>认为投标人的报价明显低于其他通过符合性审查投标人的报价，有可能影响产品质量或者不能诚信履约的，应当要求其在评审过程中合理的时间内提供书面说明，必要时提交相关证明材料；投标人不能证明其报价合理性的，</w:t>
            </w:r>
            <w:r>
              <w:rPr>
                <w:rFonts w:hint="eastAsia" w:ascii="宋体" w:hAnsi="宋体" w:eastAsia="宋体" w:cs="宋体"/>
                <w:color w:val="auto"/>
                <w:sz w:val="24"/>
                <w:szCs w:val="24"/>
                <w:highlight w:val="none"/>
                <w:lang w:val="en-US" w:eastAsia="zh-CN"/>
              </w:rPr>
              <w:t>评标委员会</w:t>
            </w:r>
            <w:r>
              <w:rPr>
                <w:rFonts w:hint="eastAsia" w:ascii="宋体" w:hAnsi="宋体" w:eastAsia="宋体" w:cs="宋体"/>
                <w:color w:val="auto"/>
                <w:kern w:val="2"/>
                <w:sz w:val="24"/>
                <w:szCs w:val="24"/>
                <w:highlight w:val="none"/>
                <w:u w:val="none"/>
                <w:lang w:val="en-US" w:eastAsia="zh-CN" w:bidi="ar-SA"/>
              </w:rPr>
              <w:t>将作无效响应处理。</w:t>
            </w:r>
          </w:p>
        </w:tc>
      </w:tr>
      <w:tr w14:paraId="698EC6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735" w:type="dxa"/>
            <w:vAlign w:val="center"/>
          </w:tcPr>
          <w:p w14:paraId="77524406">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26</w:t>
            </w:r>
          </w:p>
        </w:tc>
        <w:tc>
          <w:tcPr>
            <w:tcW w:w="2469" w:type="dxa"/>
            <w:vAlign w:val="center"/>
          </w:tcPr>
          <w:p w14:paraId="4C59C68C">
            <w:pPr>
              <w:adjustRightInd w:val="0"/>
              <w:snapToGrid w:val="0"/>
              <w:spacing w:before="120" w:beforeLines="5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投标文件编制</w:t>
            </w:r>
          </w:p>
        </w:tc>
        <w:tc>
          <w:tcPr>
            <w:tcW w:w="7170" w:type="dxa"/>
            <w:vAlign w:val="center"/>
          </w:tcPr>
          <w:p w14:paraId="122172CD">
            <w:pPr>
              <w:spacing w:line="360" w:lineRule="auto"/>
              <w:ind w:firstLine="240" w:firstLineChars="1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1.签字盖章要求：</w:t>
            </w:r>
          </w:p>
          <w:p w14:paraId="23724940">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1）投标人</w:t>
            </w:r>
            <w:r>
              <w:rPr>
                <w:rFonts w:hint="eastAsia" w:ascii="宋体" w:hAnsi="宋体" w:eastAsia="宋体" w:cs="宋体"/>
                <w:color w:val="auto"/>
                <w:sz w:val="24"/>
                <w:szCs w:val="24"/>
                <w:highlight w:val="none"/>
              </w:rPr>
              <w:t>资格证明材料、法定代表人身份证明或法定代表人授权委托书应加盖公章；</w:t>
            </w:r>
          </w:p>
          <w:p w14:paraId="399A928B">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其他证明</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资格的文件或证明材料应为加盖单位公章，样式可参照“投标文件格式”编制；</w:t>
            </w:r>
          </w:p>
          <w:p w14:paraId="20171A24">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3）招标文件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lang w:val="en-US" w:eastAsia="zh-CN"/>
              </w:rPr>
              <w:t>关于签字、盖章有</w:t>
            </w:r>
            <w:r>
              <w:rPr>
                <w:rFonts w:hint="eastAsia" w:ascii="宋体" w:hAnsi="宋体" w:eastAsia="宋体" w:cs="宋体"/>
                <w:color w:val="auto"/>
                <w:sz w:val="24"/>
                <w:szCs w:val="24"/>
                <w:highlight w:val="none"/>
              </w:rPr>
              <w:t>明确要求的，</w:t>
            </w:r>
            <w:r>
              <w:rPr>
                <w:rFonts w:hint="eastAsia" w:ascii="宋体" w:hAnsi="宋体" w:eastAsia="宋体" w:cs="宋体"/>
                <w:color w:val="auto"/>
                <w:sz w:val="24"/>
                <w:szCs w:val="24"/>
                <w:highlight w:val="none"/>
                <w:lang w:val="en-US" w:eastAsia="zh-CN"/>
              </w:rPr>
              <w:t>按其要求执行</w:t>
            </w:r>
            <w:r>
              <w:rPr>
                <w:rFonts w:hint="eastAsia" w:ascii="宋体" w:hAnsi="宋体" w:eastAsia="宋体" w:cs="宋体"/>
                <w:color w:val="auto"/>
                <w:sz w:val="24"/>
                <w:szCs w:val="24"/>
                <w:highlight w:val="none"/>
              </w:rPr>
              <w:t>。</w:t>
            </w:r>
          </w:p>
          <w:p w14:paraId="33C41355">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提供的投标文件应当使用招标文件所提供投标文件格式（表格可按照同样格式扩展）。未提供格式的，需要时由</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用文字或者表格、图片等其它形式提供。</w:t>
            </w:r>
          </w:p>
          <w:p w14:paraId="49F2E663">
            <w:pPr>
              <w:spacing w:line="360" w:lineRule="auto"/>
              <w:ind w:firstLine="240" w:firstLineChars="1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为保证本项目质量</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lang w:val="zh-CN"/>
              </w:rPr>
              <w:t>良好服务，最低报价不作为中标的唯一依据。</w:t>
            </w:r>
          </w:p>
          <w:p w14:paraId="6B3E417A">
            <w:pPr>
              <w:spacing w:line="360" w:lineRule="auto"/>
              <w:ind w:firstLine="240" w:firstLineChars="1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各投标人</w:t>
            </w:r>
            <w:r>
              <w:rPr>
                <w:rFonts w:hint="eastAsia" w:ascii="宋体" w:hAnsi="宋体" w:eastAsia="宋体" w:cs="宋体"/>
                <w:color w:val="auto"/>
                <w:sz w:val="24"/>
                <w:szCs w:val="24"/>
                <w:highlight w:val="none"/>
              </w:rPr>
              <w:t>投标期间所产生的</w:t>
            </w:r>
            <w:r>
              <w:rPr>
                <w:rFonts w:hint="eastAsia" w:ascii="宋体" w:hAnsi="宋体" w:eastAsia="宋体" w:cs="宋体"/>
                <w:color w:val="auto"/>
                <w:sz w:val="24"/>
                <w:szCs w:val="24"/>
                <w:highlight w:val="none"/>
                <w:lang w:val="zh-CN"/>
              </w:rPr>
              <w:t>费用自理。无论结果如何，投标人均应自行承担投标所需一切费用。</w:t>
            </w:r>
          </w:p>
          <w:p w14:paraId="42E16AD1">
            <w:pPr>
              <w:pStyle w:val="31"/>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采购人若发现中标候选人在投标过程中提供虚假证明文件，故意隐瞒不良信誉和财务状况，以及存在可能对合同</w:t>
            </w:r>
            <w:r>
              <w:rPr>
                <w:rFonts w:hint="eastAsia" w:ascii="宋体" w:hAnsi="宋体" w:eastAsia="宋体" w:cs="宋体"/>
                <w:color w:val="auto"/>
                <w:sz w:val="24"/>
                <w:szCs w:val="24"/>
                <w:highlight w:val="none"/>
              </w:rPr>
              <w:t>正常</w:t>
            </w:r>
            <w:r>
              <w:rPr>
                <w:rFonts w:hint="eastAsia" w:ascii="宋体" w:hAnsi="宋体" w:eastAsia="宋体" w:cs="宋体"/>
                <w:color w:val="auto"/>
                <w:sz w:val="24"/>
                <w:szCs w:val="24"/>
                <w:highlight w:val="none"/>
                <w:lang w:val="zh-CN"/>
              </w:rPr>
              <w:t>履行造成风险的其他因素等，则按规定取消其中标资格。</w:t>
            </w:r>
          </w:p>
        </w:tc>
      </w:tr>
      <w:tr w14:paraId="477248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6" w:hRule="atLeast"/>
          <w:jc w:val="center"/>
        </w:trPr>
        <w:tc>
          <w:tcPr>
            <w:tcW w:w="735" w:type="dxa"/>
            <w:vAlign w:val="center"/>
          </w:tcPr>
          <w:p w14:paraId="6FC9A450">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27</w:t>
            </w:r>
          </w:p>
        </w:tc>
        <w:tc>
          <w:tcPr>
            <w:tcW w:w="2469" w:type="dxa"/>
            <w:vAlign w:val="center"/>
          </w:tcPr>
          <w:p w14:paraId="497A3763">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采购</w:t>
            </w:r>
            <w:r>
              <w:rPr>
                <w:rFonts w:hint="eastAsia" w:ascii="宋体" w:hAnsi="宋体" w:eastAsia="宋体" w:cs="宋体"/>
                <w:b/>
                <w:bCs/>
                <w:color w:val="auto"/>
                <w:sz w:val="24"/>
                <w:szCs w:val="24"/>
                <w:highlight w:val="none"/>
              </w:rPr>
              <w:t>代理服务费</w:t>
            </w:r>
          </w:p>
        </w:tc>
        <w:tc>
          <w:tcPr>
            <w:tcW w:w="7170" w:type="dxa"/>
            <w:vAlign w:val="center"/>
          </w:tcPr>
          <w:p w14:paraId="5B80EDAE">
            <w:pPr>
              <w:autoSpaceDE w:val="0"/>
              <w:autoSpaceDN w:val="0"/>
              <w:adjustRightInd w:val="0"/>
              <w:spacing w:line="360" w:lineRule="auto"/>
              <w:ind w:firstLine="240" w:firstLineChars="100"/>
              <w:rPr>
                <w:rFonts w:hint="eastAsia" w:ascii="宋体" w:hAnsi="宋体" w:eastAsia="宋体" w:cs="Times New Roman"/>
                <w:bCs/>
                <w:color w:val="auto"/>
                <w:kern w:val="0"/>
                <w:sz w:val="24"/>
                <w:highlight w:val="none"/>
                <w:lang w:val="en-US" w:eastAsia="zh-CN" w:bidi="ar-SA"/>
              </w:rPr>
            </w:pPr>
            <w:r>
              <w:rPr>
                <w:rFonts w:hint="eastAsia" w:ascii="宋体" w:hAnsi="宋体" w:eastAsia="宋体" w:cs="宋体"/>
                <w:color w:val="auto"/>
                <w:kern w:val="0"/>
                <w:sz w:val="24"/>
                <w:szCs w:val="24"/>
                <w:highlight w:val="none"/>
                <w:lang w:val="zh-CN" w:eastAsia="zh-CN" w:bidi="ar-SA"/>
              </w:rPr>
              <w:t>参考新疆维吾尔自治区关于印发《新疆维吾尔自治区招标代理服务收费指导意见》的通知（新建招协</w:t>
            </w:r>
            <w:r>
              <w:rPr>
                <w:rFonts w:hint="eastAsia" w:ascii="宋体" w:hAnsi="宋体" w:eastAsia="宋体" w:cs="宋体"/>
                <w:color w:val="auto"/>
                <w:kern w:val="0"/>
                <w:sz w:val="24"/>
                <w:szCs w:val="24"/>
                <w:highlight w:val="none"/>
                <w:lang w:val="en-US" w:eastAsia="zh-CN" w:bidi="ar-SA"/>
              </w:rPr>
              <w:t>[2024]4号</w:t>
            </w:r>
            <w:r>
              <w:rPr>
                <w:rFonts w:hint="eastAsia" w:ascii="宋体" w:hAnsi="宋体" w:eastAsia="宋体" w:cs="宋体"/>
                <w:color w:val="auto"/>
                <w:kern w:val="0"/>
                <w:sz w:val="24"/>
                <w:szCs w:val="24"/>
                <w:highlight w:val="none"/>
                <w:lang w:val="zh-CN" w:eastAsia="zh-CN" w:bidi="ar-SA"/>
              </w:rPr>
              <w:t>）文件计算规定执行，</w:t>
            </w:r>
            <w:r>
              <w:rPr>
                <w:rFonts w:hint="eastAsia" w:ascii="宋体" w:hAnsi="宋体" w:eastAsia="宋体" w:cs="宋体"/>
                <w:color w:val="auto"/>
                <w:kern w:val="0"/>
                <w:sz w:val="24"/>
                <w:szCs w:val="24"/>
                <w:highlight w:val="none"/>
                <w:lang w:val="en-US" w:eastAsia="zh-CN" w:bidi="ar-SA"/>
              </w:rPr>
              <w:t>本项目代理服务费为</w:t>
            </w:r>
            <w:r>
              <w:rPr>
                <w:rFonts w:hint="eastAsia" w:ascii="宋体" w:hAnsi="宋体" w:cs="宋体"/>
                <w:color w:val="auto"/>
                <w:kern w:val="0"/>
                <w:sz w:val="24"/>
                <w:szCs w:val="24"/>
                <w:highlight w:val="none"/>
                <w:lang w:val="en-US" w:eastAsia="zh-CN" w:bidi="ar-SA"/>
              </w:rPr>
              <w:t>18400</w:t>
            </w:r>
            <w:r>
              <w:rPr>
                <w:rFonts w:hint="eastAsia" w:ascii="宋体" w:hAnsi="宋体" w:eastAsia="宋体" w:cs="宋体"/>
                <w:color w:val="auto"/>
                <w:kern w:val="0"/>
                <w:sz w:val="24"/>
                <w:szCs w:val="24"/>
                <w:highlight w:val="none"/>
                <w:lang w:val="en-US" w:eastAsia="zh-CN" w:bidi="ar-SA"/>
              </w:rPr>
              <w:t>元，由中标人支付。</w:t>
            </w:r>
          </w:p>
        </w:tc>
      </w:tr>
      <w:tr w14:paraId="07ADA7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6" w:hRule="atLeast"/>
          <w:jc w:val="center"/>
        </w:trPr>
        <w:tc>
          <w:tcPr>
            <w:tcW w:w="735" w:type="dxa"/>
            <w:vAlign w:val="center"/>
          </w:tcPr>
          <w:p w14:paraId="05277578">
            <w:pPr>
              <w:adjustRightInd w:val="0"/>
              <w:snapToGrid w:val="0"/>
              <w:spacing w:before="120" w:beforeLines="50"/>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28</w:t>
            </w:r>
          </w:p>
        </w:tc>
        <w:tc>
          <w:tcPr>
            <w:tcW w:w="2469" w:type="dxa"/>
            <w:vAlign w:val="center"/>
          </w:tcPr>
          <w:p w14:paraId="6C33FF42">
            <w:pPr>
              <w:adjustRightInd w:val="0"/>
              <w:snapToGrid w:val="0"/>
              <w:spacing w:before="120" w:beforeLines="5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履约保证金</w:t>
            </w:r>
          </w:p>
        </w:tc>
        <w:tc>
          <w:tcPr>
            <w:tcW w:w="7170" w:type="dxa"/>
            <w:vAlign w:val="center"/>
          </w:tcPr>
          <w:p w14:paraId="42A2828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7F5AFD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9" w:hRule="atLeast"/>
          <w:jc w:val="center"/>
        </w:trPr>
        <w:tc>
          <w:tcPr>
            <w:tcW w:w="735" w:type="dxa"/>
            <w:vAlign w:val="center"/>
          </w:tcPr>
          <w:p w14:paraId="6931424B">
            <w:pPr>
              <w:pStyle w:val="6"/>
              <w:ind w:left="482" w:hanging="482" w:hangingChars="200"/>
              <w:contextualSpacing/>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w:t>
            </w:r>
          </w:p>
          <w:p w14:paraId="47215F34">
            <w:pPr>
              <w:pStyle w:val="6"/>
              <w:ind w:left="482" w:hanging="482" w:hangingChars="200"/>
              <w:contextualSpacing/>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事项</w:t>
            </w:r>
          </w:p>
        </w:tc>
        <w:tc>
          <w:tcPr>
            <w:tcW w:w="9639" w:type="dxa"/>
            <w:gridSpan w:val="2"/>
            <w:vAlign w:val="center"/>
          </w:tcPr>
          <w:p w14:paraId="48B07991">
            <w:pPr>
              <w:spacing w:line="360" w:lineRule="auto"/>
              <w:ind w:firstLine="480" w:firstLineChars="200"/>
              <w:rPr>
                <w:rFonts w:hint="eastAsia" w:ascii="宋体" w:hAnsi="宋体" w:eastAsia="宋体" w:cs="宋体"/>
                <w:color w:val="auto"/>
                <w:sz w:val="24"/>
                <w:szCs w:val="24"/>
                <w:highlight w:val="none"/>
                <w:lang w:val="en-US" w:eastAsia="zh-CN"/>
              </w:rPr>
            </w:pPr>
            <w:bookmarkStart w:id="52" w:name="OLE_LINK1"/>
            <w:r>
              <w:rPr>
                <w:rFonts w:hint="eastAsia" w:ascii="宋体" w:hAnsi="宋体" w:eastAsia="宋体" w:cs="宋体"/>
                <w:color w:val="auto"/>
                <w:sz w:val="24"/>
                <w:szCs w:val="24"/>
                <w:highlight w:val="none"/>
                <w:lang w:val="en-US" w:eastAsia="zh-CN"/>
              </w:rPr>
              <w:t>1.本项目为</w:t>
            </w:r>
            <w:r>
              <w:rPr>
                <w:rFonts w:hint="eastAsia" w:ascii="宋体" w:hAnsi="宋体" w:eastAsia="宋体" w:cs="宋体"/>
                <w:b/>
                <w:bCs/>
                <w:color w:val="auto"/>
                <w:sz w:val="24"/>
                <w:szCs w:val="24"/>
                <w:highlight w:val="none"/>
                <w:lang w:val="en-US" w:eastAsia="zh-CN"/>
              </w:rPr>
              <w:t>专门面向</w:t>
            </w:r>
            <w:r>
              <w:rPr>
                <w:rFonts w:hint="eastAsia" w:ascii="宋体" w:hAnsi="宋体" w:cs="宋体"/>
                <w:b/>
                <w:bCs/>
                <w:color w:val="auto"/>
                <w:sz w:val="24"/>
                <w:szCs w:val="24"/>
                <w:highlight w:val="none"/>
                <w:lang w:val="en-US" w:eastAsia="zh-CN"/>
              </w:rPr>
              <w:t>小微企业</w:t>
            </w:r>
            <w:r>
              <w:rPr>
                <w:rFonts w:hint="eastAsia" w:ascii="宋体" w:hAnsi="宋体" w:eastAsia="宋体" w:cs="宋体"/>
                <w:color w:val="auto"/>
                <w:sz w:val="24"/>
                <w:szCs w:val="24"/>
                <w:highlight w:val="none"/>
                <w:lang w:val="en-US" w:eastAsia="zh-CN"/>
              </w:rPr>
              <w:t>（含</w:t>
            </w:r>
            <w:r>
              <w:rPr>
                <w:rFonts w:hint="eastAsia" w:ascii="宋体" w:hAnsi="宋体" w:cs="宋体"/>
                <w:color w:val="auto"/>
                <w:sz w:val="24"/>
                <w:szCs w:val="24"/>
                <w:highlight w:val="none"/>
                <w:lang w:val="en-US" w:eastAsia="zh-CN"/>
              </w:rPr>
              <w:t>中型、</w:t>
            </w:r>
            <w:r>
              <w:rPr>
                <w:rFonts w:hint="eastAsia" w:ascii="宋体" w:hAnsi="宋体" w:eastAsia="宋体" w:cs="宋体"/>
                <w:color w:val="auto"/>
                <w:sz w:val="24"/>
                <w:szCs w:val="24"/>
                <w:highlight w:val="none"/>
                <w:lang w:val="en-US" w:eastAsia="zh-CN"/>
              </w:rPr>
              <w:t xml:space="preserve">小型、微型企业）采购项目。依据本办法规定享受扶持政策获得政府采购合同的，小微企业不得将合同分包给大中型企业，中型企业不得将合同分包给大型企业；政府采购政策根据财库《2020》46号第五条财政部发布的《政府采购促进中小企业发展暂行办法》的通知。 </w:t>
            </w:r>
          </w:p>
          <w:p w14:paraId="6A02F299">
            <w:pPr>
              <w:spacing w:line="360" w:lineRule="auto"/>
              <w:ind w:firstLine="480" w:firstLineChars="200"/>
              <w:rPr>
                <w:rFonts w:hint="eastAsia" w:ascii="宋体" w:hAnsi="宋体" w:eastAsia="宋体" w:cs="宋体"/>
                <w:color w:val="auto"/>
                <w:sz w:val="24"/>
                <w:szCs w:val="24"/>
                <w:highlight w:val="none"/>
                <w:lang w:val="en-US" w:eastAsia="zh-CN"/>
              </w:rPr>
            </w:pPr>
            <w:bookmarkStart w:id="53" w:name="OLE_LINK22"/>
            <w:r>
              <w:rPr>
                <w:rFonts w:hint="eastAsia" w:ascii="宋体" w:hAnsi="宋体" w:eastAsia="宋体" w:cs="宋体"/>
                <w:color w:val="auto"/>
                <w:sz w:val="24"/>
                <w:szCs w:val="24"/>
                <w:highlight w:val="none"/>
                <w:lang w:val="en-US" w:eastAsia="zh-CN"/>
              </w:rPr>
              <w:t>2.本项目标的所属行业：</w:t>
            </w:r>
            <w:bookmarkStart w:id="54" w:name="OLE_LINK3"/>
            <w:r>
              <w:rPr>
                <w:rFonts w:hint="eastAsia" w:ascii="宋体" w:hAnsi="宋体" w:eastAsia="宋体" w:cs="宋体"/>
                <w:b/>
                <w:bCs/>
                <w:color w:val="auto"/>
                <w:sz w:val="24"/>
                <w:szCs w:val="24"/>
                <w:highlight w:val="none"/>
                <w:u w:val="single"/>
                <w:lang w:val="en-US" w:eastAsia="zh-CN"/>
              </w:rPr>
              <w:t>零售业</w:t>
            </w:r>
            <w:bookmarkEnd w:id="54"/>
            <w:r>
              <w:rPr>
                <w:rFonts w:hint="eastAsia" w:ascii="宋体" w:hAnsi="宋体" w:eastAsia="宋体" w:cs="宋体"/>
                <w:color w:val="auto"/>
                <w:sz w:val="24"/>
                <w:szCs w:val="24"/>
                <w:highlight w:val="none"/>
                <w:lang w:val="en-US" w:eastAsia="zh-CN"/>
              </w:rPr>
              <w:t>。</w:t>
            </w:r>
            <w:bookmarkEnd w:id="53"/>
            <w:r>
              <w:rPr>
                <w:rFonts w:hint="eastAsia" w:ascii="宋体" w:hAnsi="宋体" w:eastAsia="宋体" w:cs="宋体"/>
                <w:color w:val="auto"/>
                <w:sz w:val="24"/>
                <w:szCs w:val="24"/>
                <w:highlight w:val="none"/>
                <w:lang w:val="en-US" w:eastAsia="zh-CN"/>
              </w:rPr>
              <w:t>根据《关于印发中小企业划型标准规定的通知》工信部联企业〔2011〕300号的规定。投标人需提供有效的《中小企业声明函》，否则做无效响应处理。</w:t>
            </w:r>
          </w:p>
          <w:p w14:paraId="1651EA23">
            <w:pPr>
              <w:pStyle w:val="6"/>
              <w:spacing w:line="360" w:lineRule="auto"/>
              <w:ind w:firstLine="480" w:firstLineChars="200"/>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3.投标人须提供的《中小企业声明函》与事实不符，构成提供虚假材料谋取中标、成交的，将依照《中华人民共和国政府采购法》第七十七条第一款的规定：</w:t>
            </w:r>
            <w:r>
              <w:rPr>
                <w:rFonts w:hint="eastAsia" w:ascii="宋体" w:hAnsi="宋体" w:eastAsia="宋体" w:cs="宋体"/>
                <w:b/>
                <w:bCs/>
                <w:color w:val="auto"/>
                <w:sz w:val="24"/>
                <w:szCs w:val="24"/>
                <w:highlight w:val="none"/>
                <w:lang w:val="en-US" w:eastAsia="zh-CN"/>
              </w:rPr>
              <w:t>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bookmarkEnd w:id="52"/>
          </w:p>
        </w:tc>
      </w:tr>
    </w:tbl>
    <w:p w14:paraId="582549D8">
      <w:pPr>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eastAsia="zh-CN"/>
        </w:rPr>
        <w:t>带“★”符号的为</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需重点关注的事项</w:t>
      </w:r>
    </w:p>
    <w:p w14:paraId="6941777E">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本表内容与招标文件其它内容不一致的，应当以本表内容为准。</w:t>
      </w:r>
    </w:p>
    <w:p w14:paraId="45B4E1B6">
      <w:pPr>
        <w:snapToGrid w:val="0"/>
        <w:spacing w:line="360" w:lineRule="auto"/>
        <w:jc w:val="center"/>
        <w:outlineLvl w:val="0"/>
        <w:rPr>
          <w:rFonts w:hint="eastAsia" w:ascii="宋体" w:hAnsi="宋体" w:eastAsia="宋体" w:cs="宋体"/>
          <w:b/>
          <w:color w:val="auto"/>
          <w:sz w:val="30"/>
          <w:szCs w:val="30"/>
          <w:highlight w:val="none"/>
        </w:rPr>
      </w:pPr>
    </w:p>
    <w:p w14:paraId="29FB20EC">
      <w:pPr>
        <w:snapToGrid w:val="0"/>
        <w:spacing w:line="360" w:lineRule="auto"/>
        <w:jc w:val="both"/>
        <w:outlineLvl w:val="0"/>
        <w:rPr>
          <w:rFonts w:hint="eastAsia" w:ascii="宋体" w:hAnsi="宋体" w:eastAsia="宋体" w:cs="宋体"/>
          <w:b/>
          <w:color w:val="auto"/>
          <w:sz w:val="30"/>
          <w:szCs w:val="30"/>
          <w:highlight w:val="none"/>
        </w:rPr>
      </w:pPr>
    </w:p>
    <w:p w14:paraId="4A11ACCF">
      <w:pPr>
        <w:snapToGrid w:val="0"/>
        <w:spacing w:line="360" w:lineRule="auto"/>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一、总则</w:t>
      </w:r>
    </w:p>
    <w:p w14:paraId="72105130">
      <w:pPr>
        <w:pStyle w:val="23"/>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color w:val="auto"/>
          <w:highlight w:val="none"/>
        </w:rPr>
      </w:pPr>
      <w:r>
        <w:rPr>
          <w:rFonts w:hint="eastAsia" w:ascii="宋体" w:hAnsi="宋体" w:eastAsia="宋体" w:cs="宋体"/>
          <w:b/>
          <w:bCs/>
          <w:color w:val="auto"/>
          <w:kern w:val="2"/>
          <w:szCs w:val="22"/>
          <w:highlight w:val="none"/>
        </w:rPr>
        <w:t>1</w:t>
      </w:r>
      <w:r>
        <w:rPr>
          <w:rFonts w:hint="eastAsia" w:ascii="宋体" w:hAnsi="宋体" w:eastAsia="宋体" w:cs="宋体"/>
          <w:b/>
          <w:bCs/>
          <w:color w:val="auto"/>
          <w:kern w:val="2"/>
          <w:szCs w:val="22"/>
          <w:highlight w:val="none"/>
          <w:lang w:eastAsia="zh-CN"/>
        </w:rPr>
        <w:t>.</w:t>
      </w:r>
      <w:r>
        <w:rPr>
          <w:rFonts w:hint="eastAsia" w:ascii="宋体" w:hAnsi="宋体" w:eastAsia="宋体" w:cs="宋体"/>
          <w:b/>
          <w:bCs/>
          <w:color w:val="auto"/>
          <w:kern w:val="2"/>
          <w:szCs w:val="22"/>
          <w:highlight w:val="none"/>
        </w:rPr>
        <w:t>项目概况</w:t>
      </w:r>
      <w:r>
        <w:rPr>
          <w:rFonts w:hint="eastAsia" w:ascii="宋体" w:hAnsi="宋体" w:eastAsia="宋体" w:cs="宋体"/>
          <w:color w:val="auto"/>
          <w:highlight w:val="none"/>
        </w:rPr>
        <w:t>：详见“投标人须知前附表”</w:t>
      </w:r>
    </w:p>
    <w:p w14:paraId="55E63A21">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采购方式</w:t>
      </w:r>
      <w:r>
        <w:rPr>
          <w:rFonts w:hint="eastAsia" w:ascii="宋体" w:hAnsi="宋体" w:eastAsia="宋体" w:cs="宋体"/>
          <w:color w:val="auto"/>
          <w:sz w:val="24"/>
          <w:highlight w:val="none"/>
        </w:rPr>
        <w:t>：本项目采取公开招标方式采购。</w:t>
      </w:r>
    </w:p>
    <w:p w14:paraId="675178C7">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合格的投标人</w:t>
      </w:r>
    </w:p>
    <w:p w14:paraId="4A5716E6">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3.1合格的投标人必须是有能力按照本招标文件规定的要求提供货物及服务，且具有独立承担民事等法律责任的法定代表人或其</w:t>
      </w:r>
      <w:r>
        <w:rPr>
          <w:rFonts w:hint="eastAsia" w:ascii="宋体" w:hAnsi="宋体" w:eastAsia="宋体" w:cs="宋体"/>
          <w:color w:val="auto"/>
          <w:sz w:val="24"/>
          <w:highlight w:val="none"/>
          <w:lang w:val="en-US" w:eastAsia="zh-CN"/>
        </w:rPr>
        <w:t>他</w:t>
      </w:r>
      <w:r>
        <w:rPr>
          <w:rFonts w:hint="eastAsia" w:ascii="宋体" w:hAnsi="宋体" w:eastAsia="宋体" w:cs="宋体"/>
          <w:color w:val="auto"/>
          <w:sz w:val="24"/>
          <w:highlight w:val="none"/>
        </w:rPr>
        <w:t>经济组织。</w:t>
      </w:r>
    </w:p>
    <w:p w14:paraId="63D5D059">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3.2合格的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必须符合招标文件第一部分《招标公告》第二条“申请人的资格要求”规定且具备独立完成本项目的能力。</w:t>
      </w:r>
    </w:p>
    <w:p w14:paraId="01460CCB">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3.3合格的投标人应遵守《</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color w:val="auto"/>
          <w:sz w:val="24"/>
          <w:highlight w:val="none"/>
        </w:rPr>
        <w:t>》及其实施条例、《中华人民共和国民法典》和《反不正当竞争法》等有关法律、法规。</w:t>
      </w:r>
    </w:p>
    <w:p w14:paraId="0B294D34">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3.4单位负责人为同一人或者存在直接控股、管理关系的</w:t>
      </w:r>
      <w:r>
        <w:rPr>
          <w:rFonts w:hint="eastAsia" w:ascii="宋体" w:hAnsi="宋体" w:cs="宋体"/>
          <w:color w:val="auto"/>
          <w:sz w:val="24"/>
          <w:highlight w:val="none"/>
          <w:lang w:val="en-US" w:eastAsia="zh-CN"/>
        </w:rPr>
        <w:t>不同供应商</w:t>
      </w:r>
      <w:r>
        <w:rPr>
          <w:rFonts w:hint="eastAsia" w:ascii="宋体" w:hAnsi="宋体" w:eastAsia="宋体" w:cs="宋体"/>
          <w:color w:val="auto"/>
          <w:sz w:val="24"/>
          <w:highlight w:val="none"/>
        </w:rPr>
        <w:t>，不得参加同一</w:t>
      </w:r>
      <w:r>
        <w:rPr>
          <w:rFonts w:hint="eastAsia" w:ascii="宋体" w:hAnsi="宋体" w:cs="宋体"/>
          <w:color w:val="auto"/>
          <w:sz w:val="24"/>
          <w:highlight w:val="none"/>
          <w:lang w:val="en-US" w:eastAsia="zh-CN"/>
        </w:rPr>
        <w:t>合同项下的政府采购活动</w:t>
      </w:r>
      <w:r>
        <w:rPr>
          <w:rFonts w:hint="eastAsia" w:ascii="宋体" w:hAnsi="宋体" w:eastAsia="宋体" w:cs="宋体"/>
          <w:color w:val="auto"/>
          <w:sz w:val="24"/>
          <w:highlight w:val="none"/>
        </w:rPr>
        <w:t>。</w:t>
      </w:r>
    </w:p>
    <w:p w14:paraId="1385EC18">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适用法律及定义</w:t>
      </w:r>
    </w:p>
    <w:p w14:paraId="68FC386A">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本次评标及由本次评标产生的合同受中华人民共和国的相关法律、法规制约和保护。</w:t>
      </w:r>
    </w:p>
    <w:p w14:paraId="61B6F627">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4.1“</w:t>
      </w:r>
      <w:r>
        <w:rPr>
          <w:rFonts w:hint="eastAsia" w:ascii="宋体" w:hAnsi="宋体" w:cs="宋体"/>
          <w:bCs/>
          <w:color w:val="auto"/>
          <w:sz w:val="24"/>
          <w:highlight w:val="none"/>
          <w:lang w:eastAsia="zh-CN"/>
        </w:rPr>
        <w:t>采购人</w:t>
      </w:r>
      <w:r>
        <w:rPr>
          <w:rFonts w:hint="eastAsia" w:ascii="宋体" w:hAnsi="宋体" w:eastAsia="宋体" w:cs="宋体"/>
          <w:bCs/>
          <w:color w:val="auto"/>
          <w:sz w:val="24"/>
          <w:highlight w:val="none"/>
        </w:rPr>
        <w:t>”系</w:t>
      </w:r>
      <w:r>
        <w:rPr>
          <w:rFonts w:hint="eastAsia" w:ascii="宋体" w:hAnsi="宋体" w:cs="宋体"/>
          <w:bCs/>
          <w:color w:val="auto"/>
          <w:sz w:val="24"/>
          <w:highlight w:val="none"/>
          <w:lang w:eastAsia="zh-CN"/>
        </w:rPr>
        <w:t>中华人民共和国吉木乃出入境边防检查站</w:t>
      </w:r>
      <w:r>
        <w:rPr>
          <w:rFonts w:hint="eastAsia" w:ascii="宋体" w:hAnsi="宋体" w:eastAsia="宋体" w:cs="宋体"/>
          <w:bCs/>
          <w:color w:val="auto"/>
          <w:sz w:val="24"/>
          <w:highlight w:val="none"/>
        </w:rPr>
        <w:t>。</w:t>
      </w:r>
    </w:p>
    <w:p w14:paraId="11BEF4E5">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4.2“投标人”系指符合本次招标采购规定资格条件</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参加投标竞争的法人、其他组织或者自然人。</w:t>
      </w:r>
    </w:p>
    <w:p w14:paraId="20E4A76C">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4.3“</w:t>
      </w:r>
      <w:r>
        <w:rPr>
          <w:rFonts w:hint="eastAsia" w:ascii="宋体" w:hAnsi="宋体" w:cs="宋体"/>
          <w:bCs/>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bCs/>
          <w:color w:val="auto"/>
          <w:sz w:val="24"/>
          <w:highlight w:val="none"/>
        </w:rPr>
        <w:t>”系</w:t>
      </w:r>
      <w:r>
        <w:rPr>
          <w:rFonts w:hint="eastAsia" w:ascii="宋体" w:hAnsi="宋体" w:eastAsia="宋体" w:cs="宋体"/>
          <w:bCs/>
          <w:color w:val="auto"/>
          <w:sz w:val="24"/>
          <w:highlight w:val="none"/>
          <w:lang w:eastAsia="zh-CN"/>
        </w:rPr>
        <w:t>新疆金泰首致项目管理咨询有限公司</w:t>
      </w:r>
      <w:r>
        <w:rPr>
          <w:rFonts w:hint="eastAsia" w:ascii="宋体" w:hAnsi="宋体" w:eastAsia="宋体" w:cs="宋体"/>
          <w:bCs/>
          <w:color w:val="auto"/>
          <w:sz w:val="24"/>
          <w:highlight w:val="none"/>
        </w:rPr>
        <w:t>。</w:t>
      </w:r>
    </w:p>
    <w:p w14:paraId="4E36F23A">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5</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代理服务费用</w:t>
      </w:r>
    </w:p>
    <w:p w14:paraId="6380FA94">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投标人应自行承担所有参加投标、评标有关的费用。</w:t>
      </w:r>
    </w:p>
    <w:p w14:paraId="636F6B8C">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6</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招标文件的约束力</w:t>
      </w:r>
    </w:p>
    <w:p w14:paraId="4566AC12">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 xml:space="preserve"> </w:t>
      </w:r>
      <w:r>
        <w:rPr>
          <w:rFonts w:hint="eastAsia" w:ascii="宋体" w:hAnsi="宋体" w:eastAsia="宋体" w:cs="宋体"/>
          <w:bCs/>
          <w:color w:val="auto"/>
          <w:sz w:val="24"/>
          <w:highlight w:val="none"/>
        </w:rPr>
        <w:t>投标人一旦报名参加本项目投标，即被认为接受了本招标文件中的所有条件和规定。</w:t>
      </w:r>
    </w:p>
    <w:p w14:paraId="6A1C740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Cs/>
          <w:color w:val="auto"/>
          <w:sz w:val="24"/>
          <w:highlight w:val="none"/>
        </w:rPr>
      </w:pPr>
    </w:p>
    <w:p w14:paraId="667A3E6F">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二、招标文件</w:t>
      </w:r>
    </w:p>
    <w:p w14:paraId="6D604EE5">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7</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招标文件构成</w:t>
      </w:r>
    </w:p>
    <w:p w14:paraId="597C2BDA">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招标</w:t>
      </w:r>
      <w:r>
        <w:rPr>
          <w:rFonts w:hint="eastAsia" w:ascii="宋体" w:hAnsi="宋体" w:eastAsia="宋体" w:cs="宋体"/>
          <w:color w:val="auto"/>
          <w:sz w:val="24"/>
          <w:highlight w:val="none"/>
        </w:rPr>
        <w:t>公告；</w:t>
      </w:r>
    </w:p>
    <w:p w14:paraId="270695F9">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须知前附表及</w:t>
      </w:r>
      <w:r>
        <w:rPr>
          <w:rFonts w:hint="eastAsia" w:ascii="宋体" w:hAnsi="宋体" w:cs="宋体"/>
          <w:color w:val="auto"/>
          <w:sz w:val="24"/>
          <w:highlight w:val="none"/>
          <w:lang w:val="en-US" w:eastAsia="zh-CN"/>
        </w:rPr>
        <w:t>正文</w:t>
      </w:r>
      <w:r>
        <w:rPr>
          <w:rFonts w:hint="eastAsia" w:ascii="宋体" w:hAnsi="宋体" w:eastAsia="宋体" w:cs="宋体"/>
          <w:color w:val="auto"/>
          <w:sz w:val="24"/>
          <w:highlight w:val="none"/>
        </w:rPr>
        <w:t>；</w:t>
      </w:r>
    </w:p>
    <w:p w14:paraId="5ED4E9D4">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合同；</w:t>
      </w:r>
    </w:p>
    <w:p w14:paraId="52EAACEF">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w:t>
      </w:r>
      <w:r>
        <w:rPr>
          <w:rFonts w:hint="eastAsia" w:ascii="宋体" w:hAnsi="宋体" w:cs="宋体"/>
          <w:color w:val="auto"/>
          <w:sz w:val="24"/>
          <w:highlight w:val="none"/>
          <w:lang w:val="en-US" w:eastAsia="zh-CN"/>
        </w:rPr>
        <w:t>项目</w:t>
      </w:r>
      <w:r>
        <w:rPr>
          <w:rFonts w:hint="eastAsia" w:ascii="宋体" w:hAnsi="宋体" w:eastAsia="宋体" w:cs="宋体"/>
          <w:color w:val="auto"/>
          <w:sz w:val="24"/>
          <w:highlight w:val="none"/>
        </w:rPr>
        <w:t>需求；</w:t>
      </w:r>
    </w:p>
    <w:p w14:paraId="67365E90">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投标文件格式。</w:t>
      </w:r>
    </w:p>
    <w:p w14:paraId="3ACF55B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投标人获取招标文件后，应仔细检查招标文件页数和附件数量，如发现有缺漏，请及时与</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联系补全。如果投标人不按上述要求操作而造成不良后果，</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不承担责任。</w:t>
      </w:r>
    </w:p>
    <w:p w14:paraId="050E70A7">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8</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招标文件的澄清</w:t>
      </w:r>
    </w:p>
    <w:p w14:paraId="57D33EB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任何要求对招标文件澄清的投标人，均应以书面形式提交至</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对规定时间内收到的澄清要求以书面形式予以答复，答复不包括问题的来源。</w:t>
      </w:r>
    </w:p>
    <w:p w14:paraId="0ED64697">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9</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招标文件的修改</w:t>
      </w:r>
    </w:p>
    <w:p w14:paraId="2910D49D">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9.1在提交投标文件截止日期15日前，</w:t>
      </w:r>
      <w:r>
        <w:rPr>
          <w:rFonts w:hint="eastAsia" w:ascii="宋体" w:hAnsi="宋体" w:cs="宋体"/>
          <w:color w:val="auto"/>
          <w:sz w:val="24"/>
          <w:highlight w:val="none"/>
          <w:lang w:eastAsia="zh-CN"/>
        </w:rPr>
        <w:t>采购人或者采购代理机构可以对已发出的招标文件进行必要的澄清或者修改</w:t>
      </w:r>
      <w:r>
        <w:rPr>
          <w:rFonts w:hint="eastAsia" w:ascii="宋体" w:hAnsi="宋体" w:eastAsia="宋体" w:cs="宋体"/>
          <w:color w:val="auto"/>
          <w:sz w:val="24"/>
          <w:highlight w:val="none"/>
        </w:rPr>
        <w:t>。</w:t>
      </w:r>
    </w:p>
    <w:p w14:paraId="02753230">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9.2</w:t>
      </w:r>
      <w:r>
        <w:rPr>
          <w:rFonts w:hint="eastAsia" w:ascii="宋体" w:hAnsi="宋体" w:cs="宋体"/>
          <w:color w:val="auto"/>
          <w:sz w:val="24"/>
          <w:highlight w:val="none"/>
          <w:lang w:val="en-US" w:eastAsia="zh-CN"/>
        </w:rPr>
        <w:t>澄清</w:t>
      </w:r>
      <w:r>
        <w:rPr>
          <w:rFonts w:hint="eastAsia" w:ascii="宋体" w:hAnsi="宋体" w:eastAsia="宋体" w:cs="宋体"/>
          <w:color w:val="auto"/>
          <w:sz w:val="24"/>
          <w:highlight w:val="none"/>
        </w:rPr>
        <w:t>或者修改应当在原公告发布媒体上发布澄清</w:t>
      </w:r>
      <w:r>
        <w:rPr>
          <w:rFonts w:hint="eastAsia" w:ascii="宋体" w:hAnsi="宋体" w:cs="宋体"/>
          <w:color w:val="auto"/>
          <w:sz w:val="24"/>
          <w:highlight w:val="none"/>
          <w:lang w:val="en-US" w:eastAsia="zh-CN"/>
        </w:rPr>
        <w:t>或更正</w:t>
      </w:r>
      <w:r>
        <w:rPr>
          <w:rFonts w:hint="eastAsia" w:ascii="宋体" w:hAnsi="宋体" w:eastAsia="宋体" w:cs="宋体"/>
          <w:color w:val="auto"/>
          <w:sz w:val="24"/>
          <w:highlight w:val="none"/>
        </w:rPr>
        <w:t>公告。澄清或者修改的内容为招标文件的组成部分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与招标文件具有同等法律效力。</w:t>
      </w:r>
    </w:p>
    <w:p w14:paraId="7C29A8BA">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9.3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r>
        <w:rPr>
          <w:rFonts w:hint="eastAsia" w:ascii="宋体" w:hAnsi="宋体" w:cs="宋体"/>
          <w:color w:val="auto"/>
          <w:sz w:val="24"/>
          <w:highlight w:val="none"/>
          <w:lang w:eastAsia="zh-CN"/>
        </w:rPr>
        <w:t>。</w:t>
      </w:r>
    </w:p>
    <w:p w14:paraId="054A26C8">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color w:val="auto"/>
          <w:sz w:val="30"/>
          <w:szCs w:val="30"/>
          <w:highlight w:val="none"/>
        </w:rPr>
      </w:pPr>
    </w:p>
    <w:p w14:paraId="0A913297">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三、投标文件的编制</w:t>
      </w:r>
    </w:p>
    <w:p w14:paraId="343376D0">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10</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投标文件的编制要求</w:t>
      </w:r>
    </w:p>
    <w:p w14:paraId="545A29F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投标人应仔细阅读招标文件的所有内容，按招标文件的要求编制投标文件，并保证所提供的全部资料的真实性、完整性及有效性，以使其做出实质性响应。否则，可能被拒绝。</w:t>
      </w:r>
    </w:p>
    <w:p w14:paraId="57F0C231">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投标文件构成</w:t>
      </w:r>
    </w:p>
    <w:p w14:paraId="1DC7A608">
      <w:pPr>
        <w:pStyle w:val="40"/>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（1）投标函</w:t>
      </w:r>
    </w:p>
    <w:p w14:paraId="34E81D36">
      <w:pPr>
        <w:pStyle w:val="40"/>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（2）法定代表人身份证明及法定代表人授权委托书</w:t>
      </w:r>
    </w:p>
    <w:p w14:paraId="557BA6F7">
      <w:pPr>
        <w:pStyle w:val="40"/>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（3）参加政府采购活动前三年内在经营活动中没有重大违法记录的书面声明、供应商参加政府采购活动承诺函、政府采购诚信承诺函</w:t>
      </w:r>
    </w:p>
    <w:p w14:paraId="5FE5E1F9">
      <w:pPr>
        <w:pStyle w:val="40"/>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（4）开标一览表</w:t>
      </w:r>
    </w:p>
    <w:p w14:paraId="5FF029DE">
      <w:pPr>
        <w:pStyle w:val="40"/>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kern w:val="2"/>
          <w:sz w:val="24"/>
          <w:szCs w:val="21"/>
          <w:highlight w:val="none"/>
          <w:lang w:val="en-US" w:eastAsia="zh-CN" w:bidi="ar-SA"/>
        </w:rPr>
        <w:t>（5）资格证明文件</w:t>
      </w:r>
    </w:p>
    <w:p w14:paraId="53CD44CB">
      <w:pPr>
        <w:snapToGrid w:val="0"/>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（6）</w:t>
      </w:r>
      <w:r>
        <w:rPr>
          <w:rFonts w:hint="eastAsia" w:ascii="宋体" w:hAnsi="宋体" w:cs="宋体"/>
          <w:color w:val="auto"/>
          <w:sz w:val="24"/>
          <w:highlight w:val="none"/>
          <w:lang w:val="en-US" w:eastAsia="zh-CN"/>
        </w:rPr>
        <w:t>商务部分：</w:t>
      </w:r>
    </w:p>
    <w:p w14:paraId="5CC414EE">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宋体" w:hAnsi="宋体" w:cs="宋体"/>
          <w:color w:val="auto"/>
          <w:sz w:val="24"/>
          <w:highlight w:val="none"/>
          <w:lang w:val="en-US" w:eastAsia="zh-CN"/>
        </w:rPr>
        <w:t>同类</w:t>
      </w:r>
      <w:r>
        <w:rPr>
          <w:rFonts w:hint="eastAsia" w:ascii="宋体" w:hAnsi="宋体" w:eastAsia="宋体" w:cs="宋体"/>
          <w:color w:val="auto"/>
          <w:sz w:val="24"/>
          <w:szCs w:val="24"/>
          <w:highlight w:val="none"/>
        </w:rPr>
        <w:t>业绩（近三年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1日-至今</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主副食材配送</w:t>
      </w:r>
      <w:r>
        <w:rPr>
          <w:rFonts w:hint="eastAsia" w:ascii="宋体" w:hAnsi="宋体" w:eastAsia="宋体" w:cs="宋体"/>
          <w:color w:val="auto"/>
          <w:sz w:val="24"/>
          <w:szCs w:val="24"/>
          <w:highlight w:val="none"/>
        </w:rPr>
        <w:t>服务项目）</w:t>
      </w:r>
    </w:p>
    <w:p w14:paraId="3FEB954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②仓储（如有）、配送车辆、人员配备</w:t>
      </w:r>
    </w:p>
    <w:p w14:paraId="38FB0FD6">
      <w:pPr>
        <w:numPr>
          <w:ilvl w:val="0"/>
          <w:numId w:val="0"/>
        </w:numPr>
        <w:snapToGrid w:val="0"/>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（7）技术部分：</w:t>
      </w:r>
    </w:p>
    <w:p w14:paraId="35AF1E8A">
      <w:pPr>
        <w:numPr>
          <w:ilvl w:val="0"/>
          <w:numId w:val="0"/>
        </w:numPr>
        <w:snapToGrid w:val="0"/>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宋体" w:hAnsi="宋体" w:eastAsia="宋体" w:cs="宋体"/>
          <w:color w:val="auto"/>
          <w:sz w:val="24"/>
          <w:szCs w:val="24"/>
          <w:highlight w:val="none"/>
          <w:lang w:val="en-US" w:eastAsia="zh-CN"/>
        </w:rPr>
        <w:t>供货渠道</w:t>
      </w:r>
      <w:r>
        <w:rPr>
          <w:rFonts w:hint="eastAsia" w:ascii="宋体" w:hAnsi="宋体" w:cs="宋体"/>
          <w:color w:val="auto"/>
          <w:sz w:val="24"/>
          <w:szCs w:val="24"/>
          <w:highlight w:val="none"/>
          <w:lang w:val="en-US" w:eastAsia="zh-CN"/>
        </w:rPr>
        <w:t>（如有）</w:t>
      </w:r>
    </w:p>
    <w:p w14:paraId="42DA2AF8">
      <w:pPr>
        <w:numPr>
          <w:ilvl w:val="0"/>
          <w:numId w:val="0"/>
        </w:numPr>
        <w:snapToGrid w:val="0"/>
        <w:spacing w:line="360" w:lineRule="auto"/>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②</w:t>
      </w:r>
      <w:r>
        <w:rPr>
          <w:rFonts w:hint="eastAsia" w:ascii="宋体" w:hAnsi="宋体" w:eastAsia="宋体" w:cs="宋体"/>
          <w:color w:val="auto"/>
          <w:kern w:val="0"/>
          <w:sz w:val="24"/>
          <w:szCs w:val="24"/>
          <w:highlight w:val="none"/>
          <w:lang w:val="en-US" w:eastAsia="zh-CN"/>
        </w:rPr>
        <w:t>供货服务方案</w:t>
      </w:r>
    </w:p>
    <w:p w14:paraId="098B5949">
      <w:pPr>
        <w:keepNext w:val="0"/>
        <w:keepLines w:val="0"/>
        <w:widowControl/>
        <w:suppressLineNumbers w:val="0"/>
        <w:spacing w:line="360" w:lineRule="auto"/>
        <w:ind w:firstLine="480" w:firstLineChars="200"/>
        <w:jc w:val="both"/>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auto"/>
          <w:sz w:val="24"/>
          <w:highlight w:val="none"/>
          <w:lang w:val="en-US" w:eastAsia="zh-CN"/>
        </w:rPr>
        <w:t>③</w:t>
      </w:r>
      <w:r>
        <w:rPr>
          <w:rFonts w:hint="eastAsia" w:ascii="宋体" w:hAnsi="宋体" w:cs="宋体"/>
          <w:color w:val="000000"/>
          <w:kern w:val="0"/>
          <w:sz w:val="24"/>
          <w:szCs w:val="24"/>
          <w:highlight w:val="none"/>
          <w:lang w:val="en-US" w:eastAsia="zh-CN" w:bidi="ar"/>
        </w:rPr>
        <w:t>食品安全与</w:t>
      </w:r>
      <w:r>
        <w:rPr>
          <w:rFonts w:hint="eastAsia" w:ascii="宋体" w:hAnsi="宋体" w:eastAsia="宋体" w:cs="宋体"/>
          <w:color w:val="000000"/>
          <w:kern w:val="0"/>
          <w:sz w:val="24"/>
          <w:szCs w:val="24"/>
          <w:highlight w:val="none"/>
          <w:lang w:val="en-US" w:eastAsia="zh-CN" w:bidi="ar"/>
        </w:rPr>
        <w:t>质量保障方案</w:t>
      </w:r>
    </w:p>
    <w:p w14:paraId="6CAFD3C2">
      <w:pPr>
        <w:keepNext w:val="0"/>
        <w:keepLines w:val="0"/>
        <w:widowControl/>
        <w:suppressLineNumbers w:val="0"/>
        <w:spacing w:line="360" w:lineRule="auto"/>
        <w:ind w:firstLine="480" w:firstLineChars="20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④</w:t>
      </w:r>
      <w:r>
        <w:rPr>
          <w:rFonts w:hint="eastAsia" w:ascii="宋体" w:hAnsi="宋体" w:eastAsia="宋体" w:cs="宋体"/>
          <w:color w:val="auto"/>
          <w:kern w:val="0"/>
          <w:sz w:val="24"/>
          <w:szCs w:val="24"/>
          <w:highlight w:val="none"/>
          <w:lang w:val="en-US" w:eastAsia="zh-CN"/>
        </w:rPr>
        <w:t>实施管理及配送方案</w:t>
      </w:r>
    </w:p>
    <w:p w14:paraId="74758899">
      <w:pPr>
        <w:keepNext w:val="0"/>
        <w:keepLines w:val="0"/>
        <w:widowControl/>
        <w:suppressLineNumbers w:val="0"/>
        <w:spacing w:line="360" w:lineRule="auto"/>
        <w:ind w:firstLine="480" w:firstLineChars="200"/>
        <w:jc w:val="both"/>
        <w:rPr>
          <w:rFonts w:hint="eastAsia" w:ascii="宋体" w:hAnsi="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⑤</w:t>
      </w:r>
      <w:r>
        <w:rPr>
          <w:rFonts w:hint="eastAsia" w:ascii="宋体" w:hAnsi="宋体" w:cs="宋体"/>
          <w:color w:val="auto"/>
          <w:kern w:val="0"/>
          <w:sz w:val="24"/>
          <w:szCs w:val="24"/>
          <w:highlight w:val="none"/>
          <w:lang w:val="en-US" w:eastAsia="zh-CN"/>
        </w:rPr>
        <w:t>临时响应时效</w:t>
      </w:r>
    </w:p>
    <w:p w14:paraId="29B808A8">
      <w:pPr>
        <w:keepNext w:val="0"/>
        <w:keepLines w:val="0"/>
        <w:widowControl/>
        <w:suppressLineNumbers w:val="0"/>
        <w:spacing w:line="360" w:lineRule="auto"/>
        <w:ind w:firstLine="480" w:firstLineChars="20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⑥</w:t>
      </w:r>
      <w:r>
        <w:rPr>
          <w:rFonts w:hint="eastAsia" w:ascii="宋体" w:hAnsi="宋体" w:eastAsia="宋体" w:cs="宋体"/>
          <w:color w:val="auto"/>
          <w:kern w:val="0"/>
          <w:sz w:val="24"/>
          <w:szCs w:val="24"/>
          <w:highlight w:val="none"/>
          <w:lang w:val="en-US" w:eastAsia="zh-CN"/>
        </w:rPr>
        <w:t>应急情况处理方案</w:t>
      </w:r>
    </w:p>
    <w:p w14:paraId="48E9FA7C">
      <w:pPr>
        <w:keepNext w:val="0"/>
        <w:keepLines w:val="0"/>
        <w:widowControl/>
        <w:suppressLineNumbers w:val="0"/>
        <w:spacing w:line="360" w:lineRule="auto"/>
        <w:ind w:firstLine="480" w:firstLineChars="200"/>
        <w:jc w:val="both"/>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⑦</w:t>
      </w:r>
      <w:r>
        <w:rPr>
          <w:rFonts w:hint="eastAsia" w:ascii="宋体" w:hAnsi="宋体" w:cs="宋体"/>
          <w:color w:val="auto"/>
          <w:kern w:val="0"/>
          <w:sz w:val="24"/>
          <w:szCs w:val="24"/>
          <w:highlight w:val="none"/>
          <w:lang w:val="en-US" w:eastAsia="zh-CN"/>
        </w:rPr>
        <w:t>后期服承诺及改进方案</w:t>
      </w:r>
    </w:p>
    <w:p w14:paraId="3A7ACCCB">
      <w:pPr>
        <w:snapToGrid w:val="0"/>
        <w:spacing w:line="360" w:lineRule="auto"/>
        <w:jc w:val="left"/>
        <w:rPr>
          <w:rFonts w:hint="eastAsia" w:ascii="宋体" w:hAnsi="宋体" w:cs="宋体"/>
          <w:color w:val="auto"/>
          <w:sz w:val="24"/>
          <w:szCs w:val="24"/>
          <w:highlight w:val="none"/>
          <w:lang w:val="en-US" w:eastAsia="zh-CN"/>
        </w:rPr>
      </w:pPr>
      <w:r>
        <w:rPr>
          <w:rFonts w:hint="eastAsia" w:ascii="宋体" w:hAnsi="宋体" w:eastAsia="宋体" w:cs="宋体"/>
          <w:color w:val="auto"/>
          <w:sz w:val="24"/>
          <w:highlight w:val="none"/>
        </w:rPr>
        <w:t>（8）</w:t>
      </w:r>
      <w:r>
        <w:rPr>
          <w:rFonts w:hint="eastAsia" w:ascii="宋体" w:hAnsi="宋体" w:cs="宋体"/>
          <w:color w:val="auto"/>
          <w:sz w:val="24"/>
          <w:szCs w:val="24"/>
          <w:highlight w:val="none"/>
          <w:lang w:val="en-US" w:eastAsia="zh-CN"/>
        </w:rPr>
        <w:t>食材供应安全保证承诺</w:t>
      </w:r>
    </w:p>
    <w:p w14:paraId="5C465C72">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（9）</w:t>
      </w:r>
      <w:r>
        <w:rPr>
          <w:rFonts w:hint="eastAsia" w:ascii="宋体" w:hAnsi="宋体" w:eastAsia="宋体" w:cs="宋体"/>
          <w:color w:val="auto"/>
          <w:sz w:val="24"/>
          <w:szCs w:val="24"/>
          <w:highlight w:val="none"/>
        </w:rPr>
        <w:t>其他有利本次招标的资料</w:t>
      </w:r>
    </w:p>
    <w:p w14:paraId="71FC6B8A">
      <w:pPr>
        <w:snapToGrid w:val="0"/>
        <w:spacing w:line="360" w:lineRule="auto"/>
        <w:jc w:val="left"/>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sz w:val="24"/>
          <w:szCs w:val="24"/>
          <w:highlight w:val="none"/>
        </w:rPr>
        <w:t>（10）</w:t>
      </w:r>
      <w:r>
        <w:rPr>
          <w:rFonts w:hint="eastAsia" w:ascii="宋体" w:hAnsi="宋体" w:eastAsia="宋体" w:cs="宋体"/>
          <w:color w:val="auto"/>
          <w:sz w:val="24"/>
          <w:highlight w:val="none"/>
          <w:lang w:val="en-US" w:eastAsia="zh-CN"/>
        </w:rPr>
        <w:t>中小企业声明函</w:t>
      </w:r>
    </w:p>
    <w:p w14:paraId="34C74B1B">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12</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投标文件格式</w:t>
      </w:r>
    </w:p>
    <w:p w14:paraId="3F1F0810">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投标人需按照上述投标文件构成顺序编制投标文件，并按招标文件中提供的格式填写投标函、法定代表人身份证明、法定代表人授权委托书、开标一览表等材料，</w:t>
      </w:r>
      <w:r>
        <w:rPr>
          <w:rFonts w:hint="eastAsia" w:ascii="宋体" w:hAnsi="宋体" w:eastAsia="宋体" w:cs="宋体"/>
          <w:b/>
          <w:bCs/>
          <w:color w:val="auto"/>
          <w:sz w:val="24"/>
          <w:highlight w:val="none"/>
        </w:rPr>
        <w:t>招标文件中未提供格式的，由</w:t>
      </w:r>
      <w:r>
        <w:rPr>
          <w:rFonts w:hint="eastAsia" w:ascii="宋体" w:hAnsi="宋体" w:eastAsia="宋体" w:cs="宋体"/>
          <w:b/>
          <w:bCs/>
          <w:color w:val="auto"/>
          <w:sz w:val="24"/>
          <w:highlight w:val="none"/>
          <w:lang w:val="en-US" w:eastAsia="zh-CN"/>
        </w:rPr>
        <w:t>投标人</w:t>
      </w:r>
      <w:r>
        <w:rPr>
          <w:rFonts w:hint="eastAsia" w:ascii="宋体" w:hAnsi="宋体" w:eastAsia="宋体" w:cs="宋体"/>
          <w:b/>
          <w:bCs/>
          <w:color w:val="auto"/>
          <w:sz w:val="24"/>
          <w:highlight w:val="none"/>
        </w:rPr>
        <w:t>自行拟定。</w:t>
      </w:r>
    </w:p>
    <w:p w14:paraId="36739D04">
      <w:pPr>
        <w:keepNext w:val="0"/>
        <w:keepLines w:val="0"/>
        <w:pageBreakBefore w:val="0"/>
        <w:numPr>
          <w:ilvl w:val="0"/>
          <w:numId w:val="2"/>
        </w:numPr>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投标报价</w:t>
      </w:r>
    </w:p>
    <w:p w14:paraId="2587F038">
      <w:pPr>
        <w:keepNext w:val="0"/>
        <w:keepLines w:val="0"/>
        <w:pageBreakBefore w:val="0"/>
        <w:numPr>
          <w:ilvl w:val="0"/>
          <w:numId w:val="0"/>
        </w:numPr>
        <w:kinsoku/>
        <w:wordWrap/>
        <w:overflowPunct/>
        <w:topLinePunct w:val="0"/>
        <w:autoSpaceDE/>
        <w:autoSpaceDN/>
        <w:bidi w:val="0"/>
        <w:adjustRightInd/>
        <w:snapToGrid/>
        <w:spacing w:line="360" w:lineRule="auto"/>
        <w:ind w:firstLine="241" w:firstLineChars="10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rPr>
        <w:t>本次报价是以市场价的下浮率形式体现，下文所指“报价”均视为“下浮率”。</w:t>
      </w:r>
      <w:r>
        <w:rPr>
          <w:rFonts w:hint="eastAsia" w:ascii="宋体" w:hAnsi="宋体" w:cs="宋体"/>
          <w:color w:val="auto"/>
          <w:sz w:val="24"/>
          <w:highlight w:val="none"/>
          <w:lang w:val="en-US" w:eastAsia="zh-CN"/>
        </w:rPr>
        <w:t xml:space="preserve"> </w:t>
      </w:r>
    </w:p>
    <w:p w14:paraId="358EDBC3">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投标人的报价应为所确定的招标范围内的全部工作内容的价格体现，应包括：报价包含并考虑农副品价格、产品检验检疫费、</w:t>
      </w:r>
      <w:r>
        <w:rPr>
          <w:rFonts w:hint="eastAsia" w:ascii="宋体" w:hAnsi="宋体" w:eastAsia="宋体" w:cs="宋体"/>
          <w:color w:val="auto"/>
          <w:sz w:val="24"/>
          <w:highlight w:val="none"/>
          <w:lang w:val="en-US" w:eastAsia="zh-CN"/>
        </w:rPr>
        <w:t>配送</w:t>
      </w:r>
      <w:r>
        <w:rPr>
          <w:rFonts w:hint="eastAsia" w:ascii="宋体" w:hAnsi="宋体" w:eastAsia="宋体" w:cs="宋体"/>
          <w:color w:val="auto"/>
          <w:sz w:val="24"/>
          <w:highlight w:val="none"/>
        </w:rPr>
        <w:t>运输、包装、装卸、损耗、税金</w:t>
      </w:r>
      <w:r>
        <w:rPr>
          <w:rFonts w:hint="eastAsia" w:ascii="宋体" w:hAnsi="宋体" w:cs="宋体"/>
          <w:color w:val="auto"/>
          <w:sz w:val="24"/>
          <w:highlight w:val="none"/>
          <w:lang w:eastAsia="zh-CN"/>
        </w:rPr>
        <w:t>、</w:t>
      </w:r>
      <w:r>
        <w:rPr>
          <w:rFonts w:hint="eastAsia" w:ascii="Times New Roman" w:hAnsi="Times New Roman" w:eastAsia="宋体" w:cs="Times New Roman"/>
          <w:color w:val="auto"/>
          <w:sz w:val="24"/>
          <w:szCs w:val="24"/>
          <w:highlight w:val="none"/>
        </w:rPr>
        <w:t>各类劳保、保险</w:t>
      </w:r>
      <w:r>
        <w:rPr>
          <w:rFonts w:hint="eastAsia" w:ascii="宋体" w:hAnsi="宋体" w:eastAsia="宋体" w:cs="宋体"/>
          <w:color w:val="auto"/>
          <w:sz w:val="24"/>
          <w:highlight w:val="none"/>
        </w:rPr>
        <w:t>等其</w:t>
      </w:r>
      <w:r>
        <w:rPr>
          <w:rFonts w:hint="eastAsia" w:ascii="宋体" w:hAnsi="宋体" w:eastAsia="宋体" w:cs="宋体"/>
          <w:color w:val="auto"/>
          <w:sz w:val="24"/>
          <w:highlight w:val="none"/>
          <w:lang w:val="en-US" w:eastAsia="zh-CN"/>
        </w:rPr>
        <w:t>他</w:t>
      </w:r>
      <w:r>
        <w:rPr>
          <w:rFonts w:hint="eastAsia" w:ascii="宋体" w:hAnsi="宋体" w:eastAsia="宋体" w:cs="宋体"/>
          <w:color w:val="auto"/>
          <w:sz w:val="24"/>
          <w:highlight w:val="none"/>
        </w:rPr>
        <w:t>一切费用应在报价时一并考虑，</w:t>
      </w:r>
      <w:r>
        <w:rPr>
          <w:rFonts w:hint="eastAsia" w:ascii="宋体" w:hAnsi="宋体" w:cs="宋体"/>
          <w:color w:val="auto"/>
          <w:sz w:val="24"/>
          <w:highlight w:val="none"/>
          <w:lang w:val="en-US" w:eastAsia="zh-CN"/>
        </w:rPr>
        <w:t>合同</w:t>
      </w:r>
      <w:r>
        <w:rPr>
          <w:rFonts w:hint="eastAsia" w:ascii="宋体" w:hAnsi="宋体" w:cs="宋体"/>
          <w:color w:val="auto"/>
          <w:sz w:val="24"/>
          <w:highlight w:val="none"/>
          <w:lang w:eastAsia="zh-CN"/>
        </w:rPr>
        <w:t>履约</w:t>
      </w:r>
      <w:r>
        <w:rPr>
          <w:rFonts w:hint="eastAsia" w:ascii="宋体" w:hAnsi="宋体" w:eastAsia="宋体" w:cs="宋体"/>
          <w:color w:val="auto"/>
          <w:sz w:val="24"/>
          <w:highlight w:val="none"/>
        </w:rPr>
        <w:t>过程中不再单独结算。</w:t>
      </w:r>
      <w:r>
        <w:rPr>
          <w:rFonts w:hint="eastAsia" w:ascii="宋体" w:hAnsi="宋体" w:eastAsia="宋体" w:cs="宋体"/>
          <w:b/>
          <w:color w:val="auto"/>
          <w:sz w:val="24"/>
          <w:highlight w:val="none"/>
        </w:rPr>
        <w:t>投标报价应包含项目实施过程中涉及到的一切费用</w:t>
      </w:r>
      <w:r>
        <w:rPr>
          <w:rFonts w:hint="eastAsia" w:ascii="宋体" w:hAnsi="宋体" w:cs="宋体"/>
          <w:b/>
          <w:color w:val="auto"/>
          <w:sz w:val="24"/>
          <w:highlight w:val="none"/>
          <w:lang w:eastAsia="zh-CN"/>
        </w:rPr>
        <w:t>。</w:t>
      </w:r>
    </w:p>
    <w:p w14:paraId="6770F565">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13.2凡要求</w:t>
      </w:r>
      <w:r>
        <w:rPr>
          <w:rFonts w:hint="eastAsia" w:ascii="宋体" w:hAnsi="宋体" w:eastAsia="宋体" w:cs="宋体"/>
          <w:color w:val="auto"/>
          <w:sz w:val="24"/>
          <w:highlight w:val="none"/>
          <w:lang w:val="en-US" w:eastAsia="zh-CN"/>
        </w:rPr>
        <w:t>投保人充分</w:t>
      </w:r>
      <w:r>
        <w:rPr>
          <w:rFonts w:hint="eastAsia" w:ascii="宋体" w:hAnsi="宋体" w:eastAsia="宋体" w:cs="宋体"/>
          <w:color w:val="auto"/>
          <w:sz w:val="24"/>
          <w:highlight w:val="none"/>
        </w:rPr>
        <w:t>考虑</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但</w:t>
      </w:r>
      <w:r>
        <w:rPr>
          <w:rFonts w:hint="eastAsia" w:ascii="宋体" w:hAnsi="宋体" w:eastAsia="宋体" w:cs="宋体"/>
          <w:color w:val="auto"/>
          <w:sz w:val="24"/>
          <w:highlight w:val="none"/>
        </w:rPr>
        <w:t>在投标文件中没有考虑、没有计入的或未单独列出</w:t>
      </w:r>
      <w:r>
        <w:rPr>
          <w:rFonts w:hint="eastAsia" w:ascii="宋体" w:hAnsi="宋体" w:eastAsia="宋体" w:cs="宋体"/>
          <w:color w:val="auto"/>
          <w:sz w:val="24"/>
          <w:highlight w:val="none"/>
          <w:lang w:val="en-US" w:eastAsia="zh-CN"/>
        </w:rPr>
        <w:t>的</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认为</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已将此项费用涵盖在</w:t>
      </w:r>
      <w:r>
        <w:rPr>
          <w:rFonts w:hint="eastAsia" w:ascii="宋体" w:hAnsi="宋体" w:eastAsia="宋体" w:cs="宋体"/>
          <w:color w:val="auto"/>
          <w:sz w:val="24"/>
          <w:highlight w:val="none"/>
          <w:lang w:val="en-US" w:eastAsia="zh-CN"/>
        </w:rPr>
        <w:t>全部</w:t>
      </w:r>
      <w:r>
        <w:rPr>
          <w:rFonts w:hint="eastAsia" w:ascii="宋体" w:hAnsi="宋体" w:eastAsia="宋体" w:cs="宋体"/>
          <w:color w:val="auto"/>
          <w:sz w:val="24"/>
          <w:highlight w:val="none"/>
        </w:rPr>
        <w:t>费用</w:t>
      </w:r>
      <w:r>
        <w:rPr>
          <w:rFonts w:hint="eastAsia" w:ascii="宋体" w:hAnsi="宋体" w:eastAsia="宋体" w:cs="宋体"/>
          <w:color w:val="auto"/>
          <w:sz w:val="24"/>
          <w:highlight w:val="none"/>
          <w:lang w:val="en-US" w:eastAsia="zh-CN"/>
        </w:rPr>
        <w:t>或</w:t>
      </w:r>
      <w:r>
        <w:rPr>
          <w:rFonts w:hint="eastAsia" w:ascii="宋体" w:hAnsi="宋体" w:eastAsia="宋体" w:cs="宋体"/>
          <w:color w:val="auto"/>
          <w:sz w:val="24"/>
          <w:highlight w:val="none"/>
        </w:rPr>
        <w:t>价格中。</w:t>
      </w:r>
    </w:p>
    <w:p w14:paraId="14AAB77C">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13.3</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不接受备选的投标方案或有选择的报价，只允许有一个报价。</w:t>
      </w:r>
    </w:p>
    <w:p w14:paraId="0EFB2A3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13.4报价注意事项：</w:t>
      </w:r>
    </w:p>
    <w:p w14:paraId="6D5C5C6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（1）报价按投标下浮率</w:t>
      </w:r>
      <w:r>
        <w:rPr>
          <w:rFonts w:hint="eastAsia" w:ascii="宋体" w:hAnsi="宋体" w:eastAsia="宋体" w:cs="宋体"/>
          <w:color w:val="auto"/>
          <w:sz w:val="24"/>
          <w:highlight w:val="none"/>
          <w:lang w:val="en-US" w:eastAsia="zh-CN"/>
        </w:rPr>
        <w:t>体现</w:t>
      </w:r>
      <w:r>
        <w:rPr>
          <w:rFonts w:hint="eastAsia" w:ascii="宋体" w:hAnsi="宋体" w:eastAsia="宋体" w:cs="宋体"/>
          <w:color w:val="auto"/>
          <w:sz w:val="24"/>
          <w:highlight w:val="none"/>
        </w:rPr>
        <w:t>；</w:t>
      </w:r>
    </w:p>
    <w:p w14:paraId="1304287E">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（2）投标人报价时应充分考虑所有可能影响到报价的报价因素，一旦评标结束最终中标，报价将固定</w:t>
      </w:r>
      <w:r>
        <w:rPr>
          <w:rFonts w:hint="eastAsia" w:ascii="宋体" w:hAnsi="宋体" w:eastAsia="宋体" w:cs="宋体"/>
          <w:color w:val="auto"/>
          <w:sz w:val="24"/>
          <w:highlight w:val="none"/>
          <w:lang w:val="en-US" w:eastAsia="zh-CN"/>
        </w:rPr>
        <w:t>并</w:t>
      </w:r>
      <w:r>
        <w:rPr>
          <w:rFonts w:hint="eastAsia" w:ascii="宋体" w:hAnsi="宋体" w:eastAsia="宋体" w:cs="宋体"/>
          <w:color w:val="auto"/>
          <w:sz w:val="24"/>
          <w:highlight w:val="none"/>
        </w:rPr>
        <w:t>不予调整。</w:t>
      </w:r>
    </w:p>
    <w:p w14:paraId="75A569BC">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 xml:space="preserve"> 14</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投标保证金</w:t>
      </w:r>
    </w:p>
    <w:p w14:paraId="10F805D6">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14.1投标人需提交投标保证金（投标保证金必须在提交投标文件截止时间前确保到账，投标保证金金额、银行账号见前附表），并作为参与投标的组成部分之一。</w:t>
      </w:r>
    </w:p>
    <w:p w14:paraId="4F0556EF">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14.2对于未按要求提交投标保证金的，将被视为非实质性响应投标而予以拒绝。</w:t>
      </w:r>
    </w:p>
    <w:p w14:paraId="0FC00A5D">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14.3未中标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的投标保证金将在中标通知书发出后5个工作日内退还；中标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的投标保证金将在本项目采购合同签订后5个工作日内退还。</w:t>
      </w:r>
    </w:p>
    <w:p w14:paraId="57C87E51">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14.4下列任何情况发生时，投标保证金将被没收:</w:t>
      </w:r>
    </w:p>
    <w:p w14:paraId="4C9E42DB">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①</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在提交投标文件截止时间后撤回投标文件的；</w:t>
      </w:r>
    </w:p>
    <w:p w14:paraId="1F2BFE4E">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②</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在投标文件中提供虚假材料的；</w:t>
      </w:r>
    </w:p>
    <w:p w14:paraId="73008AA6">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③除因不可抗力或招标文件认可的情形以外，中标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不与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签订合同的；</w:t>
      </w:r>
    </w:p>
    <w:p w14:paraId="10CC804F">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④</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、其他</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或者</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恶意串通的；</w:t>
      </w:r>
    </w:p>
    <w:p w14:paraId="2F4E05AB">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⑤招标文件规定的其他情形。</w:t>
      </w:r>
    </w:p>
    <w:p w14:paraId="5D0019BC">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投标有效期</w:t>
      </w:r>
    </w:p>
    <w:p w14:paraId="4046E8F2">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15.1投标有效期为招标文件规定的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提交投标文件截止之日起</w:t>
      </w:r>
      <w:r>
        <w:rPr>
          <w:rFonts w:hint="eastAsia" w:ascii="宋体" w:hAnsi="宋体" w:eastAsia="宋体" w:cs="宋体"/>
          <w:color w:val="auto"/>
          <w:sz w:val="24"/>
          <w:highlight w:val="none"/>
          <w:u w:val="none"/>
          <w:lang w:val="en-US" w:eastAsia="zh-CN"/>
        </w:rPr>
        <w:t>60个</w:t>
      </w:r>
      <w:r>
        <w:rPr>
          <w:rFonts w:hint="eastAsia" w:ascii="宋体" w:hAnsi="宋体" w:eastAsia="宋体" w:cs="宋体"/>
          <w:color w:val="auto"/>
          <w:sz w:val="24"/>
          <w:highlight w:val="none"/>
          <w:u w:val="none"/>
        </w:rPr>
        <w:t>日历日</w:t>
      </w:r>
      <w:r>
        <w:rPr>
          <w:rFonts w:hint="eastAsia" w:ascii="宋体" w:hAnsi="宋体" w:eastAsia="宋体" w:cs="宋体"/>
          <w:color w:val="auto"/>
          <w:sz w:val="24"/>
          <w:highlight w:val="none"/>
        </w:rPr>
        <w:t>。投标有效期不满足招标文件要求的</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将视为非实质</w:t>
      </w:r>
      <w:r>
        <w:rPr>
          <w:rFonts w:hint="eastAsia" w:ascii="宋体" w:hAnsi="宋体" w:eastAsia="宋体" w:cs="宋体"/>
          <w:color w:val="auto"/>
          <w:sz w:val="24"/>
          <w:highlight w:val="none"/>
          <w:lang w:val="en-US" w:eastAsia="zh-CN"/>
        </w:rPr>
        <w:t>性</w:t>
      </w:r>
      <w:r>
        <w:rPr>
          <w:rFonts w:hint="eastAsia" w:ascii="宋体" w:hAnsi="宋体" w:eastAsia="宋体" w:cs="宋体"/>
          <w:color w:val="auto"/>
          <w:sz w:val="24"/>
          <w:highlight w:val="none"/>
        </w:rPr>
        <w:t>响应而予以拒绝。</w:t>
      </w:r>
    </w:p>
    <w:p w14:paraId="3233FD61">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15.2在特殊情况下，</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于原投标有效期满之前，可向</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提出延长投标有效期的要求，这种要求与答复均应采用书面形式，</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可以拒绝</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的这一要求而放弃参与投标，投标保证金予以退回；同意延长的投标人既不能要求也不允许修改其投标文件。有关投标保证金的没收和退还的规定在延长期内继续有效。</w:t>
      </w:r>
    </w:p>
    <w:p w14:paraId="17DEAF82">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16</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投标文件份数和签署</w:t>
      </w:r>
    </w:p>
    <w:p w14:paraId="522E1CC8">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16.1</w:t>
      </w:r>
      <w:r>
        <w:rPr>
          <w:rFonts w:hint="eastAsia" w:ascii="宋体" w:hAnsi="宋体" w:eastAsia="宋体" w:cs="宋体"/>
          <w:color w:val="000000" w:themeColor="text1"/>
          <w:sz w:val="24"/>
          <w:highlight w:val="none"/>
          <w:lang w:eastAsia="zh-CN"/>
          <w14:textFill>
            <w14:solidFill>
              <w14:schemeClr w14:val="tx1"/>
            </w14:solidFill>
          </w14:textFill>
        </w:rPr>
        <w:t>投标人</w:t>
      </w:r>
      <w:r>
        <w:rPr>
          <w:rFonts w:hint="eastAsia" w:ascii="宋体" w:hAnsi="宋体" w:eastAsia="宋体" w:cs="宋体"/>
          <w:color w:val="000000" w:themeColor="text1"/>
          <w:sz w:val="24"/>
          <w:highlight w:val="none"/>
          <w14:textFill>
            <w14:solidFill>
              <w14:schemeClr w14:val="tx1"/>
            </w14:solidFill>
          </w14:textFill>
        </w:rPr>
        <w:t>应严格按照须知</w:t>
      </w:r>
      <w:r>
        <w:rPr>
          <w:rFonts w:hint="eastAsia" w:ascii="宋体" w:hAnsi="宋体" w:eastAsia="宋体" w:cs="宋体"/>
          <w:color w:val="000000" w:themeColor="text1"/>
          <w:sz w:val="24"/>
          <w:highlight w:val="none"/>
          <w:lang w:val="en-US" w:eastAsia="zh-CN"/>
          <w14:textFill>
            <w14:solidFill>
              <w14:schemeClr w14:val="tx1"/>
            </w14:solidFill>
          </w14:textFill>
        </w:rPr>
        <w:t>前附表</w:t>
      </w:r>
      <w:r>
        <w:rPr>
          <w:rFonts w:hint="eastAsia" w:ascii="宋体" w:hAnsi="宋体" w:eastAsia="宋体" w:cs="宋体"/>
          <w:color w:val="000000" w:themeColor="text1"/>
          <w:sz w:val="24"/>
          <w:highlight w:val="none"/>
          <w14:textFill>
            <w14:solidFill>
              <w14:schemeClr w14:val="tx1"/>
            </w14:solidFill>
          </w14:textFill>
        </w:rPr>
        <w:t>的要求准备投标文件</w:t>
      </w:r>
      <w:r>
        <w:rPr>
          <w:rFonts w:hint="eastAsia" w:ascii="宋体" w:hAnsi="宋体" w:eastAsia="宋体" w:cs="宋体"/>
          <w:color w:val="000000" w:themeColor="text1"/>
          <w:sz w:val="24"/>
          <w:highlight w:val="none"/>
          <w:lang w:eastAsia="zh-CN"/>
          <w14:textFill>
            <w14:solidFill>
              <w14:schemeClr w14:val="tx1"/>
            </w14:solidFill>
          </w14:textFill>
        </w:rPr>
        <w:t>。</w:t>
      </w:r>
    </w:p>
    <w:p w14:paraId="3C87E1BC">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color w:val="auto"/>
          <w:sz w:val="28"/>
          <w:highlight w:val="none"/>
        </w:rPr>
      </w:pPr>
      <w:r>
        <w:rPr>
          <w:rFonts w:hint="eastAsia" w:ascii="宋体" w:hAnsi="宋体" w:eastAsia="宋体" w:cs="宋体"/>
          <w:b/>
          <w:bCs/>
          <w:color w:val="auto"/>
          <w:sz w:val="24"/>
          <w:highlight w:val="none"/>
        </w:rPr>
        <w:t>17</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投标文件的密封和标记</w:t>
      </w:r>
    </w:p>
    <w:p w14:paraId="5E76FCC9">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17.1投标人</w:t>
      </w:r>
      <w:r>
        <w:rPr>
          <w:rFonts w:hint="eastAsia" w:ascii="宋体" w:hAnsi="宋体" w:eastAsia="宋体" w:cs="宋体"/>
          <w:color w:val="auto"/>
          <w:sz w:val="24"/>
          <w:highlight w:val="none"/>
        </w:rPr>
        <w:t>应通过电子</w:t>
      </w:r>
      <w:r>
        <w:rPr>
          <w:rFonts w:hint="eastAsia" w:ascii="宋体" w:hAnsi="宋体" w:eastAsia="宋体" w:cs="宋体"/>
          <w:color w:val="auto"/>
          <w:sz w:val="24"/>
          <w:highlight w:val="none"/>
          <w:lang w:eastAsia="zh-CN"/>
        </w:rPr>
        <w:t>报名</w:t>
      </w:r>
      <w:r>
        <w:rPr>
          <w:rFonts w:hint="eastAsia" w:ascii="宋体" w:hAnsi="宋体" w:eastAsia="宋体" w:cs="宋体"/>
          <w:color w:val="auto"/>
          <w:sz w:val="24"/>
          <w:highlight w:val="none"/>
        </w:rPr>
        <w:t>文件制作工具严格按</w:t>
      </w:r>
      <w:r>
        <w:rPr>
          <w:rFonts w:hint="eastAsia" w:ascii="宋体" w:hAnsi="宋体" w:eastAsia="宋体" w:cs="宋体"/>
          <w:color w:val="auto"/>
          <w:sz w:val="24"/>
          <w:highlight w:val="none"/>
          <w:lang w:eastAsia="zh-CN"/>
        </w:rPr>
        <w:t>照</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要求制作</w:t>
      </w:r>
      <w:r>
        <w:rPr>
          <w:rFonts w:hint="eastAsia" w:ascii="宋体" w:hAnsi="宋体" w:eastAsia="宋体" w:cs="宋体"/>
          <w:color w:val="auto"/>
          <w:sz w:val="24"/>
          <w:highlight w:val="none"/>
          <w:lang w:val="en-US" w:eastAsia="zh-CN"/>
        </w:rPr>
        <w:t>投标文件</w:t>
      </w:r>
      <w:r>
        <w:rPr>
          <w:rFonts w:hint="eastAsia" w:ascii="宋体" w:hAnsi="宋体" w:eastAsia="宋体" w:cs="宋体"/>
          <w:color w:val="auto"/>
          <w:sz w:val="24"/>
          <w:highlight w:val="none"/>
        </w:rPr>
        <w:t>，在</w:t>
      </w:r>
      <w:r>
        <w:rPr>
          <w:rFonts w:hint="eastAsia" w:ascii="宋体" w:hAnsi="宋体" w:eastAsia="宋体" w:cs="宋体"/>
          <w:color w:val="auto"/>
          <w:sz w:val="24"/>
          <w:highlight w:val="none"/>
          <w:lang w:eastAsia="zh-CN"/>
        </w:rPr>
        <w:t>招标文件规定的提交投标文件截止时间</w:t>
      </w:r>
      <w:r>
        <w:rPr>
          <w:rFonts w:hint="eastAsia" w:ascii="宋体" w:hAnsi="宋体" w:eastAsia="宋体" w:cs="宋体"/>
          <w:color w:val="auto"/>
          <w:sz w:val="24"/>
          <w:highlight w:val="none"/>
        </w:rPr>
        <w:t>前完成上传经过数字证书电子签章并加密的</w:t>
      </w:r>
      <w:r>
        <w:rPr>
          <w:rFonts w:hint="eastAsia" w:ascii="宋体" w:hAnsi="宋体" w:eastAsia="宋体" w:cs="宋体"/>
          <w:color w:val="auto"/>
          <w:sz w:val="24"/>
          <w:highlight w:val="none"/>
          <w:lang w:val="en-US" w:eastAsia="zh-CN"/>
        </w:rPr>
        <w:t>投标文件</w:t>
      </w:r>
      <w:r>
        <w:rPr>
          <w:rFonts w:hint="eastAsia" w:ascii="宋体" w:hAnsi="宋体" w:eastAsia="宋体" w:cs="宋体"/>
          <w:color w:val="auto"/>
          <w:sz w:val="24"/>
          <w:highlight w:val="none"/>
        </w:rPr>
        <w:t>（加密和解密须用同一把数字证书）。</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在</w:t>
      </w:r>
      <w:r>
        <w:rPr>
          <w:rFonts w:hint="eastAsia" w:ascii="宋体" w:hAnsi="宋体" w:eastAsia="宋体" w:cs="宋体"/>
          <w:color w:val="auto"/>
          <w:sz w:val="24"/>
          <w:highlight w:val="none"/>
          <w:lang w:eastAsia="zh-CN"/>
        </w:rPr>
        <w:t>招标文件规定的提交投标文件截止时间</w:t>
      </w:r>
      <w:r>
        <w:rPr>
          <w:rFonts w:hint="eastAsia" w:ascii="宋体" w:hAnsi="宋体" w:eastAsia="宋体" w:cs="宋体"/>
          <w:color w:val="auto"/>
          <w:sz w:val="24"/>
          <w:highlight w:val="none"/>
        </w:rPr>
        <w:t>前，可以对其所</w:t>
      </w:r>
      <w:r>
        <w:rPr>
          <w:rFonts w:hint="eastAsia" w:ascii="宋体" w:hAnsi="宋体" w:eastAsia="宋体" w:cs="宋体"/>
          <w:color w:val="auto"/>
          <w:sz w:val="24"/>
          <w:highlight w:val="none"/>
          <w:lang w:eastAsia="zh-CN"/>
        </w:rPr>
        <w:t>提交</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val="en-US" w:eastAsia="zh-CN"/>
        </w:rPr>
        <w:t>投标文件</w:t>
      </w:r>
      <w:r>
        <w:rPr>
          <w:rFonts w:hint="eastAsia" w:ascii="宋体" w:hAnsi="宋体" w:eastAsia="宋体" w:cs="宋体"/>
          <w:color w:val="auto"/>
          <w:sz w:val="24"/>
          <w:highlight w:val="none"/>
        </w:rPr>
        <w:t>进行修改并重新上传，但以</w:t>
      </w:r>
      <w:r>
        <w:rPr>
          <w:rFonts w:hint="eastAsia" w:ascii="宋体" w:hAnsi="宋体" w:eastAsia="宋体" w:cs="宋体"/>
          <w:color w:val="auto"/>
          <w:sz w:val="24"/>
          <w:highlight w:val="none"/>
          <w:lang w:eastAsia="zh-CN"/>
        </w:rPr>
        <w:t>招标文件规定的提交投标文件截止时间</w:t>
      </w:r>
      <w:r>
        <w:rPr>
          <w:rFonts w:hint="eastAsia" w:ascii="宋体" w:hAnsi="宋体" w:eastAsia="宋体" w:cs="宋体"/>
          <w:color w:val="auto"/>
          <w:sz w:val="24"/>
          <w:highlight w:val="none"/>
        </w:rPr>
        <w:t>前最后一次上传的</w:t>
      </w:r>
      <w:r>
        <w:rPr>
          <w:rFonts w:hint="eastAsia" w:ascii="宋体" w:hAnsi="宋体" w:eastAsia="宋体" w:cs="宋体"/>
          <w:color w:val="auto"/>
          <w:sz w:val="24"/>
          <w:highlight w:val="none"/>
          <w:lang w:val="en-US" w:eastAsia="zh-CN"/>
        </w:rPr>
        <w:t>投标文件</w:t>
      </w:r>
      <w:r>
        <w:rPr>
          <w:rFonts w:hint="eastAsia" w:ascii="宋体" w:hAnsi="宋体" w:eastAsia="宋体" w:cs="宋体"/>
          <w:color w:val="auto"/>
          <w:sz w:val="24"/>
          <w:highlight w:val="none"/>
        </w:rPr>
        <w:t>为有效</w:t>
      </w:r>
      <w:r>
        <w:rPr>
          <w:rFonts w:hint="eastAsia" w:ascii="宋体" w:hAnsi="宋体" w:eastAsia="宋体" w:cs="宋体"/>
          <w:color w:val="auto"/>
          <w:sz w:val="24"/>
          <w:highlight w:val="none"/>
          <w:lang w:val="en-US" w:eastAsia="zh-CN"/>
        </w:rPr>
        <w:t>投标文件</w:t>
      </w:r>
      <w:r>
        <w:rPr>
          <w:rFonts w:hint="eastAsia" w:ascii="宋体" w:hAnsi="宋体" w:eastAsia="宋体" w:cs="宋体"/>
          <w:color w:val="auto"/>
          <w:sz w:val="24"/>
          <w:highlight w:val="none"/>
        </w:rPr>
        <w:t>。</w:t>
      </w:r>
    </w:p>
    <w:p w14:paraId="5337191E">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17.2招标文件规定的提交投标文件截止时间以政采云平台显示的时间为准，逾期系统将自动关闭，未完成上传的投标文件视为逾期送达，将被拒绝。</w:t>
      </w:r>
    </w:p>
    <w:p w14:paraId="3E3C94B9">
      <w:pPr>
        <w:keepNext w:val="0"/>
        <w:keepLines w:val="0"/>
        <w:pageBreakBefore w:val="0"/>
        <w:kinsoku/>
        <w:wordWrap/>
        <w:overflowPunct/>
        <w:topLinePunct w:val="0"/>
        <w:autoSpaceDE/>
        <w:autoSpaceDN/>
        <w:bidi w:val="0"/>
        <w:adjustRightInd/>
        <w:snapToGrid/>
        <w:spacing w:line="360" w:lineRule="auto"/>
        <w:ind w:firstLine="0" w:firstLineChars="0"/>
        <w:jc w:val="center"/>
        <w:textAlignment w:val="auto"/>
        <w:outlineLvl w:val="0"/>
        <w:rPr>
          <w:rFonts w:hint="eastAsia" w:ascii="宋体" w:hAnsi="宋体" w:eastAsia="宋体" w:cs="宋体"/>
          <w:b/>
          <w:color w:val="auto"/>
          <w:sz w:val="30"/>
          <w:szCs w:val="30"/>
          <w:highlight w:val="none"/>
        </w:rPr>
      </w:pPr>
    </w:p>
    <w:p w14:paraId="7F605D66">
      <w:pPr>
        <w:keepNext w:val="0"/>
        <w:keepLines w:val="0"/>
        <w:pageBreakBefore w:val="0"/>
        <w:kinsoku/>
        <w:wordWrap/>
        <w:overflowPunct/>
        <w:topLinePunct w:val="0"/>
        <w:autoSpaceDE/>
        <w:autoSpaceDN/>
        <w:bidi w:val="0"/>
        <w:adjustRightInd/>
        <w:snapToGrid/>
        <w:spacing w:line="360" w:lineRule="auto"/>
        <w:ind w:firstLine="0" w:firstLineChars="0"/>
        <w:jc w:val="center"/>
        <w:textAlignment w:val="auto"/>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四、投标文件的递交</w:t>
      </w:r>
    </w:p>
    <w:p w14:paraId="5AF54E00">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bookmarkStart w:id="55" w:name="_Toc213839734"/>
      <w:r>
        <w:rPr>
          <w:rFonts w:hint="eastAsia" w:ascii="宋体" w:hAnsi="宋体" w:eastAsia="宋体" w:cs="宋体"/>
          <w:b/>
          <w:bCs/>
          <w:color w:val="auto"/>
          <w:sz w:val="24"/>
          <w:highlight w:val="none"/>
        </w:rPr>
        <w:t>18</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投标文件提交截止日期及方式</w:t>
      </w:r>
    </w:p>
    <w:p w14:paraId="5F7E5DF6">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 xml:space="preserve">.1 </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应在</w:t>
      </w:r>
      <w:r>
        <w:rPr>
          <w:rFonts w:hint="eastAsia" w:ascii="宋体" w:hAnsi="宋体" w:eastAsia="宋体" w:cs="宋体"/>
          <w:color w:val="auto"/>
          <w:sz w:val="24"/>
          <w:highlight w:val="none"/>
          <w:lang w:val="en-US" w:eastAsia="zh-CN"/>
        </w:rPr>
        <w:t>招标文件</w:t>
      </w:r>
      <w:r>
        <w:rPr>
          <w:rFonts w:hint="eastAsia" w:ascii="宋体" w:hAnsi="宋体" w:eastAsia="宋体" w:cs="宋体"/>
          <w:color w:val="auto"/>
          <w:sz w:val="24"/>
          <w:highlight w:val="none"/>
        </w:rPr>
        <w:t>规定的提交</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截止时间前提交</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w:t>
      </w:r>
    </w:p>
    <w:p w14:paraId="3D2986EF">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提交</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的地点：见</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须知前附表。</w:t>
      </w:r>
    </w:p>
    <w:p w14:paraId="56E860F7">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 是否采用不见面开标详见</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须知前附表，若项目采用不见面开标</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只需将加密电子文件在</w:t>
      </w:r>
      <w:r>
        <w:rPr>
          <w:rFonts w:hint="eastAsia" w:ascii="宋体" w:hAnsi="宋体" w:eastAsia="宋体" w:cs="宋体"/>
          <w:color w:val="auto"/>
          <w:sz w:val="24"/>
          <w:highlight w:val="none"/>
          <w:lang w:val="en-US" w:eastAsia="zh-CN"/>
        </w:rPr>
        <w:t>招标文件</w:t>
      </w:r>
      <w:r>
        <w:rPr>
          <w:rFonts w:hint="eastAsia" w:ascii="宋体" w:hAnsi="宋体" w:eastAsia="宋体" w:cs="宋体"/>
          <w:color w:val="auto"/>
          <w:sz w:val="24"/>
          <w:highlight w:val="none"/>
        </w:rPr>
        <w:t>规定的提交</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文件截止时间前通过政采云平台上传完成。上传时必须得到电脑“上传成功”的确认回复后方为上传成功。逾期上传的或者未上传到平台的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rPr>
        <w:t>文件，</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不予受理。</w:t>
      </w:r>
    </w:p>
    <w:p w14:paraId="666A9368">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19</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迟交的投标文件</w:t>
      </w:r>
    </w:p>
    <w:p w14:paraId="767F0D2F">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bookmarkStart w:id="56" w:name="_Toc213839733"/>
      <w:r>
        <w:rPr>
          <w:rFonts w:hint="eastAsia" w:ascii="宋体" w:hAnsi="宋体" w:eastAsia="宋体" w:cs="宋体"/>
          <w:color w:val="auto"/>
          <w:sz w:val="24"/>
          <w:highlight w:val="none"/>
        </w:rPr>
        <w:t>逾期送达的或者未送达指定地点的</w:t>
      </w:r>
      <w:r>
        <w:rPr>
          <w:rFonts w:hint="eastAsia" w:ascii="宋体" w:hAnsi="宋体" w:cs="宋体"/>
          <w:color w:val="auto"/>
          <w:sz w:val="24"/>
          <w:highlight w:val="none"/>
          <w:lang w:eastAsia="zh-CN"/>
        </w:rPr>
        <w:t>投标文件</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rPr>
        <w:t>代理机构不予受理。</w:t>
      </w:r>
    </w:p>
    <w:p w14:paraId="65CDC628">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投标文件的修改</w:t>
      </w:r>
      <w:bookmarkEnd w:id="56"/>
    </w:p>
    <w:p w14:paraId="71F5697E">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在提交投标文件截止时间之前，对所提交的投标文件可以补充、修改，补充、修改的内容为投标文件的组成部分，对</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具有约束力。</w:t>
      </w:r>
    </w:p>
    <w:p w14:paraId="03808FA4">
      <w:pPr>
        <w:pStyle w:val="11"/>
        <w:rPr>
          <w:rFonts w:hint="eastAsia"/>
          <w:highlight w:val="none"/>
        </w:rPr>
      </w:pPr>
    </w:p>
    <w:p w14:paraId="73D595A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五、无效标、废标条款</w:t>
      </w:r>
    </w:p>
    <w:p w14:paraId="239F5AFE">
      <w:pPr>
        <w:keepNext w:val="0"/>
        <w:keepLines w:val="0"/>
        <w:pageBreakBefore w:val="0"/>
        <w:kinsoku/>
        <w:wordWrap/>
        <w:overflowPunct/>
        <w:topLinePunct w:val="0"/>
        <w:autoSpaceDE/>
        <w:autoSpaceDN/>
        <w:bidi w:val="0"/>
        <w:adjustRightInd/>
        <w:snapToGrid/>
        <w:spacing w:line="360" w:lineRule="auto"/>
        <w:ind w:firstLine="0" w:firstLineChars="0"/>
        <w:jc w:val="left"/>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无效投标条款</w:t>
      </w:r>
    </w:p>
    <w:p w14:paraId="1FF627C8">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21.1未按照招标文件的规定提交投标保证金的；</w:t>
      </w:r>
    </w:p>
    <w:p w14:paraId="2B0F8302">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rPr>
        <w:t>21.2</w:t>
      </w:r>
      <w:r>
        <w:rPr>
          <w:rFonts w:hint="eastAsia" w:ascii="宋体" w:hAnsi="宋体" w:cs="宋体"/>
          <w:color w:val="auto"/>
          <w:sz w:val="24"/>
          <w:highlight w:val="none"/>
          <w:lang w:val="en-US" w:eastAsia="zh-CN"/>
        </w:rPr>
        <w:t>未</w:t>
      </w:r>
      <w:r>
        <w:rPr>
          <w:rFonts w:hint="eastAsia" w:ascii="宋体" w:hAnsi="宋体" w:eastAsia="宋体" w:cs="宋体"/>
          <w:color w:val="auto"/>
          <w:sz w:val="24"/>
          <w:szCs w:val="24"/>
          <w:highlight w:val="none"/>
          <w:lang w:val="en-US" w:eastAsia="zh-CN"/>
        </w:rPr>
        <w:t>按</w:t>
      </w:r>
      <w:r>
        <w:rPr>
          <w:rFonts w:hint="eastAsia" w:ascii="宋体" w:hAnsi="宋体" w:cs="宋体"/>
          <w:color w:val="auto"/>
          <w:sz w:val="24"/>
          <w:szCs w:val="24"/>
          <w:highlight w:val="none"/>
          <w:lang w:val="en-US" w:eastAsia="zh-CN"/>
        </w:rPr>
        <w:t>照</w:t>
      </w:r>
      <w:r>
        <w:rPr>
          <w:rFonts w:hint="eastAsia" w:ascii="宋体" w:hAnsi="宋体" w:eastAsia="宋体" w:cs="宋体"/>
          <w:color w:val="auto"/>
          <w:sz w:val="24"/>
          <w:szCs w:val="24"/>
          <w:highlight w:val="none"/>
          <w:lang w:val="en-US" w:eastAsia="zh-CN"/>
        </w:rPr>
        <w:t>招标文件要求以下浮率形式报价，</w:t>
      </w:r>
      <w:r>
        <w:rPr>
          <w:rFonts w:hint="eastAsia" w:ascii="宋体" w:hAnsi="宋体" w:cs="宋体"/>
          <w:color w:val="auto"/>
          <w:sz w:val="24"/>
          <w:szCs w:val="24"/>
          <w:highlight w:val="none"/>
          <w:lang w:val="en-US" w:eastAsia="zh-CN"/>
        </w:rPr>
        <w:t>出现多个或备选</w:t>
      </w:r>
      <w:r>
        <w:rPr>
          <w:rFonts w:hint="eastAsia" w:ascii="宋体" w:hAnsi="宋体" w:eastAsia="宋体" w:cs="宋体"/>
          <w:color w:val="auto"/>
          <w:sz w:val="24"/>
          <w:szCs w:val="24"/>
          <w:highlight w:val="none"/>
          <w:lang w:val="en-US" w:eastAsia="zh-CN"/>
        </w:rPr>
        <w:t>报价</w:t>
      </w:r>
      <w:r>
        <w:rPr>
          <w:rFonts w:hint="eastAsia" w:ascii="宋体" w:hAnsi="宋体" w:cs="宋体"/>
          <w:color w:val="auto"/>
          <w:sz w:val="24"/>
          <w:szCs w:val="24"/>
          <w:highlight w:val="none"/>
          <w:lang w:val="en-US" w:eastAsia="zh-CN"/>
        </w:rPr>
        <w:t>的；</w:t>
      </w:r>
    </w:p>
    <w:p w14:paraId="5C28C0B8">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21.3</w:t>
      </w:r>
      <w:r>
        <w:rPr>
          <w:rFonts w:hint="eastAsia" w:ascii="宋体" w:hAnsi="宋体" w:eastAsia="宋体" w:cs="宋体"/>
          <w:color w:val="auto"/>
          <w:sz w:val="24"/>
          <w:highlight w:val="none"/>
        </w:rPr>
        <w:t>投标文件未按招标文件要求签署和盖章的；</w:t>
      </w:r>
    </w:p>
    <w:p w14:paraId="53DB976F">
      <w:pPr>
        <w:pStyle w:val="33"/>
        <w:keepNext w:val="0"/>
        <w:keepLines w:val="0"/>
        <w:pageBreakBefore w:val="0"/>
        <w:kinsoku/>
        <w:wordWrap/>
        <w:overflowPunct/>
        <w:topLinePunct w:val="0"/>
        <w:autoSpaceDE/>
        <w:autoSpaceDN/>
        <w:bidi w:val="0"/>
        <w:adjustRightInd/>
        <w:snapToGrid/>
        <w:spacing w:line="360" w:lineRule="auto"/>
        <w:ind w:left="0" w:leftChars="0" w:firstLine="240" w:firstLineChars="100"/>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文件</w:t>
      </w:r>
      <w:r>
        <w:rPr>
          <w:rFonts w:hint="eastAsia" w:ascii="宋体" w:hAnsi="宋体" w:cs="宋体"/>
          <w:color w:val="auto"/>
          <w:sz w:val="24"/>
          <w:szCs w:val="24"/>
          <w:highlight w:val="none"/>
          <w:lang w:val="en-US" w:eastAsia="zh-CN"/>
        </w:rPr>
        <w:t>不</w:t>
      </w:r>
      <w:r>
        <w:rPr>
          <w:rFonts w:hint="eastAsia" w:ascii="宋体" w:hAnsi="宋体" w:eastAsia="宋体" w:cs="宋体"/>
          <w:color w:val="auto"/>
          <w:sz w:val="24"/>
          <w:szCs w:val="24"/>
          <w:highlight w:val="none"/>
        </w:rPr>
        <w:t>完整，</w:t>
      </w:r>
      <w:r>
        <w:rPr>
          <w:rFonts w:hint="eastAsia" w:ascii="宋体" w:hAnsi="宋体" w:cs="宋体"/>
          <w:color w:val="auto"/>
          <w:sz w:val="24"/>
          <w:szCs w:val="24"/>
          <w:highlight w:val="none"/>
          <w:lang w:val="en-US" w:eastAsia="zh-CN"/>
        </w:rPr>
        <w:t>存在</w:t>
      </w:r>
      <w:r>
        <w:rPr>
          <w:rFonts w:hint="eastAsia" w:ascii="宋体" w:hAnsi="宋体" w:eastAsia="宋体" w:cs="宋体"/>
          <w:color w:val="auto"/>
          <w:sz w:val="24"/>
          <w:szCs w:val="24"/>
          <w:highlight w:val="none"/>
        </w:rPr>
        <w:t>重大缺漏项</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highlight w:val="none"/>
          <w:lang w:eastAsia="zh-CN"/>
        </w:rPr>
        <w:t>；</w:t>
      </w:r>
    </w:p>
    <w:p w14:paraId="4AB6057B">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21.</w:t>
      </w:r>
      <w:r>
        <w:rPr>
          <w:rFonts w:hint="eastAsia" w:ascii="宋体" w:hAnsi="宋体" w:cs="宋体"/>
          <w:color w:val="auto"/>
          <w:sz w:val="24"/>
          <w:highlight w:val="none"/>
          <w:lang w:val="en-US" w:eastAsia="zh-CN"/>
        </w:rPr>
        <w:t>5</w:t>
      </w:r>
      <w:r>
        <w:rPr>
          <w:rFonts w:hint="eastAsia" w:ascii="宋体" w:hAnsi="宋体" w:cs="宋体"/>
          <w:color w:val="auto"/>
          <w:sz w:val="24"/>
          <w:szCs w:val="24"/>
          <w:highlight w:val="none"/>
          <w:lang w:val="en-US" w:eastAsia="zh-CN"/>
        </w:rPr>
        <w:t>合同履行</w:t>
      </w:r>
      <w:r>
        <w:rPr>
          <w:rFonts w:hint="eastAsia" w:ascii="宋体" w:hAnsi="宋体" w:eastAsia="宋体" w:cs="宋体"/>
          <w:color w:val="auto"/>
          <w:sz w:val="24"/>
          <w:szCs w:val="24"/>
          <w:highlight w:val="none"/>
        </w:rPr>
        <w:t>期</w:t>
      </w:r>
      <w:r>
        <w:rPr>
          <w:rFonts w:hint="eastAsia" w:ascii="宋体" w:hAnsi="宋体" w:cs="宋体"/>
          <w:color w:val="auto"/>
          <w:sz w:val="24"/>
          <w:szCs w:val="24"/>
          <w:highlight w:val="none"/>
          <w:lang w:val="en-US" w:eastAsia="zh-CN"/>
        </w:rPr>
        <w:t>限</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履约地点及</w:t>
      </w:r>
      <w:r>
        <w:rPr>
          <w:rFonts w:hint="eastAsia" w:ascii="宋体" w:hAnsi="宋体" w:eastAsia="宋体" w:cs="宋体"/>
          <w:color w:val="auto"/>
          <w:sz w:val="24"/>
          <w:szCs w:val="24"/>
          <w:highlight w:val="none"/>
        </w:rPr>
        <w:t>供货</w:t>
      </w:r>
      <w:r>
        <w:rPr>
          <w:rFonts w:hint="eastAsia" w:ascii="宋体" w:hAnsi="宋体" w:cs="宋体"/>
          <w:color w:val="auto"/>
          <w:sz w:val="24"/>
          <w:szCs w:val="24"/>
          <w:highlight w:val="none"/>
          <w:lang w:eastAsia="zh-CN"/>
        </w:rPr>
        <w:t>时限</w:t>
      </w:r>
      <w:r>
        <w:rPr>
          <w:rFonts w:hint="eastAsia" w:ascii="宋体" w:hAnsi="宋体" w:cs="宋体"/>
          <w:color w:val="auto"/>
          <w:sz w:val="24"/>
          <w:szCs w:val="24"/>
          <w:highlight w:val="none"/>
          <w:lang w:val="en-US" w:eastAsia="zh-CN"/>
        </w:rPr>
        <w:t>不</w:t>
      </w:r>
      <w:r>
        <w:rPr>
          <w:rFonts w:hint="eastAsia" w:ascii="宋体" w:hAnsi="宋体" w:eastAsia="宋体" w:cs="宋体"/>
          <w:color w:val="auto"/>
          <w:sz w:val="24"/>
          <w:szCs w:val="24"/>
          <w:highlight w:val="none"/>
        </w:rPr>
        <w:t>符合招标文件要求</w:t>
      </w:r>
    </w:p>
    <w:p w14:paraId="4730498C">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21.6</w:t>
      </w:r>
      <w:r>
        <w:rPr>
          <w:rFonts w:hint="eastAsia" w:ascii="宋体" w:hAnsi="宋体" w:eastAsia="宋体" w:cs="宋体"/>
          <w:color w:val="auto"/>
          <w:sz w:val="24"/>
          <w:highlight w:val="none"/>
        </w:rPr>
        <w:t>投标文件含有</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不能接受的附加条件的；</w:t>
      </w:r>
    </w:p>
    <w:p w14:paraId="29735477">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eastAsia="宋体" w:cs="宋体"/>
          <w:color w:val="auto"/>
          <w:sz w:val="24"/>
          <w:szCs w:val="24"/>
          <w:highlight w:val="none"/>
        </w:rPr>
        <w:t>投标有效期</w:t>
      </w:r>
      <w:r>
        <w:rPr>
          <w:rFonts w:hint="eastAsia" w:ascii="宋体" w:hAnsi="宋体" w:cs="宋体"/>
          <w:color w:val="auto"/>
          <w:sz w:val="24"/>
          <w:szCs w:val="24"/>
          <w:highlight w:val="none"/>
          <w:lang w:val="en-US" w:eastAsia="zh-CN"/>
        </w:rPr>
        <w:t>不</w:t>
      </w:r>
      <w:r>
        <w:rPr>
          <w:rFonts w:hint="eastAsia" w:ascii="宋体" w:hAnsi="宋体" w:eastAsia="宋体" w:cs="宋体"/>
          <w:color w:val="auto"/>
          <w:sz w:val="24"/>
          <w:szCs w:val="24"/>
          <w:highlight w:val="none"/>
        </w:rPr>
        <w:t>满足招标文件要求</w:t>
      </w:r>
      <w:r>
        <w:rPr>
          <w:rFonts w:hint="eastAsia" w:ascii="宋体" w:hAnsi="宋体" w:eastAsia="宋体" w:cs="宋体"/>
          <w:color w:val="auto"/>
          <w:sz w:val="24"/>
          <w:szCs w:val="24"/>
          <w:highlight w:val="none"/>
          <w:lang w:eastAsia="zh-CN"/>
        </w:rPr>
        <w:t>；</w:t>
      </w:r>
    </w:p>
    <w:p w14:paraId="3E74F75E">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rPr>
        <w:t>21.</w:t>
      </w:r>
      <w:r>
        <w:rPr>
          <w:rFonts w:hint="eastAsia" w:ascii="宋体" w:hAnsi="宋体" w:cs="宋体"/>
          <w:color w:val="auto"/>
          <w:sz w:val="24"/>
          <w:highlight w:val="none"/>
          <w:lang w:val="en-US" w:eastAsia="zh-CN"/>
        </w:rPr>
        <w:t>8</w:t>
      </w:r>
      <w:r>
        <w:rPr>
          <w:rFonts w:hint="eastAsia" w:ascii="宋体" w:hAnsi="宋体" w:eastAsia="宋体" w:cs="宋体"/>
          <w:color w:val="auto"/>
          <w:sz w:val="24"/>
          <w:szCs w:val="24"/>
          <w:highlight w:val="none"/>
          <w:lang w:val="en-US" w:eastAsia="zh-CN"/>
        </w:rPr>
        <w:t>投标文件</w:t>
      </w:r>
      <w:r>
        <w:rPr>
          <w:rFonts w:hint="eastAsia" w:ascii="宋体" w:hAnsi="宋体" w:cs="宋体"/>
          <w:color w:val="auto"/>
          <w:sz w:val="24"/>
          <w:szCs w:val="24"/>
          <w:highlight w:val="none"/>
          <w:lang w:val="en-US" w:eastAsia="zh-CN"/>
        </w:rPr>
        <w:t>不</w:t>
      </w:r>
      <w:r>
        <w:rPr>
          <w:rFonts w:hint="eastAsia" w:ascii="宋体" w:hAnsi="宋体" w:eastAsia="宋体" w:cs="宋体"/>
          <w:color w:val="auto"/>
          <w:sz w:val="24"/>
          <w:szCs w:val="24"/>
          <w:highlight w:val="none"/>
        </w:rPr>
        <w:t>满足招标文件规定的其他实质性</w:t>
      </w:r>
      <w:r>
        <w:rPr>
          <w:rFonts w:hint="eastAsia" w:ascii="宋体" w:hAnsi="宋体" w:cs="宋体"/>
          <w:color w:val="auto"/>
          <w:sz w:val="24"/>
          <w:szCs w:val="24"/>
          <w:highlight w:val="none"/>
          <w:lang w:val="en-US" w:eastAsia="zh-CN"/>
        </w:rPr>
        <w:t>条款</w:t>
      </w:r>
      <w:r>
        <w:rPr>
          <w:rFonts w:hint="default" w:ascii="宋体" w:hAnsi="宋体" w:eastAsia="宋体" w:cs="宋体"/>
          <w:color w:val="auto"/>
          <w:sz w:val="24"/>
          <w:szCs w:val="24"/>
          <w:highlight w:val="none"/>
          <w:lang w:val="en-US" w:eastAsia="zh-CN"/>
        </w:rPr>
        <w:t>的</w:t>
      </w:r>
    </w:p>
    <w:p w14:paraId="16E7C4C9">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报价明显偏低，</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lang w:val="en-US" w:eastAsia="zh-CN"/>
        </w:rPr>
        <w:t>出具的</w:t>
      </w:r>
      <w:r>
        <w:rPr>
          <w:rFonts w:hint="eastAsia" w:ascii="宋体" w:hAnsi="宋体" w:eastAsia="宋体" w:cs="宋体"/>
          <w:color w:val="auto"/>
          <w:sz w:val="24"/>
          <w:szCs w:val="24"/>
          <w:highlight w:val="none"/>
        </w:rPr>
        <w:t>书面</w:t>
      </w:r>
      <w:r>
        <w:rPr>
          <w:rFonts w:hint="eastAsia" w:ascii="宋体" w:hAnsi="宋体" w:eastAsia="宋体" w:cs="宋体"/>
          <w:color w:val="auto"/>
          <w:sz w:val="24"/>
          <w:szCs w:val="24"/>
          <w:highlight w:val="none"/>
          <w:lang w:val="en-US" w:eastAsia="zh-CN"/>
        </w:rPr>
        <w:t>说明</w:t>
      </w:r>
      <w:r>
        <w:rPr>
          <w:rFonts w:hint="eastAsia" w:ascii="宋体" w:hAnsi="宋体" w:eastAsia="宋体" w:cs="宋体"/>
          <w:color w:val="auto"/>
          <w:sz w:val="24"/>
          <w:szCs w:val="24"/>
          <w:highlight w:val="none"/>
        </w:rPr>
        <w:t>材料</w:t>
      </w:r>
      <w:r>
        <w:rPr>
          <w:rFonts w:hint="eastAsia" w:ascii="宋体" w:hAnsi="宋体" w:eastAsia="宋体" w:cs="宋体"/>
          <w:color w:val="auto"/>
          <w:sz w:val="24"/>
          <w:szCs w:val="24"/>
          <w:highlight w:val="none"/>
          <w:lang w:val="en-US" w:eastAsia="zh-CN"/>
        </w:rPr>
        <w:t>未被评审委员会一致</w:t>
      </w:r>
      <w:r>
        <w:rPr>
          <w:rFonts w:hint="eastAsia" w:ascii="宋体" w:hAnsi="宋体" w:eastAsia="宋体" w:cs="宋体"/>
          <w:color w:val="auto"/>
          <w:sz w:val="24"/>
          <w:szCs w:val="24"/>
          <w:highlight w:val="none"/>
        </w:rPr>
        <w:t>认可的；</w:t>
      </w:r>
    </w:p>
    <w:p w14:paraId="5874BDCA">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highlight w:val="none"/>
        </w:rPr>
        <w:t>法律、法规和招标文件规定的其他无效情形。</w:t>
      </w:r>
    </w:p>
    <w:p w14:paraId="0D3A8104">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22</w:t>
      </w:r>
      <w:r>
        <w:rPr>
          <w:rFonts w:hint="eastAsia" w:ascii="宋体" w:hAnsi="宋体" w:eastAsia="宋体" w:cs="宋体"/>
          <w:b/>
          <w:color w:val="auto"/>
          <w:sz w:val="24"/>
          <w:highlight w:val="none"/>
          <w:lang w:eastAsia="zh-CN"/>
        </w:rPr>
        <w:t>.投标人</w:t>
      </w:r>
      <w:r>
        <w:rPr>
          <w:rFonts w:hint="eastAsia" w:ascii="宋体" w:hAnsi="宋体" w:eastAsia="宋体" w:cs="宋体"/>
          <w:b/>
          <w:color w:val="auto"/>
          <w:sz w:val="24"/>
          <w:highlight w:val="none"/>
        </w:rPr>
        <w:t>有下列情形之一的，视为串通投标，其投标无效：</w:t>
      </w:r>
    </w:p>
    <w:p w14:paraId="69B7B1FD">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22.1不同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的投标文件由同一单位或者个人编制；</w:t>
      </w:r>
    </w:p>
    <w:p w14:paraId="2E2EEBFA">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22.2不同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委托同一单位或者个人办理投标事宜；</w:t>
      </w:r>
    </w:p>
    <w:p w14:paraId="4DBCA1A7">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22.3不同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的投标文件载明的项目管理成员或者联系人员为同一人；</w:t>
      </w:r>
    </w:p>
    <w:p w14:paraId="13F6EECC">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22.4不同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的投标文件异常一致或者投标报价呈规律性差异；</w:t>
      </w:r>
    </w:p>
    <w:p w14:paraId="1EB6769F">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22.5不同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的投标文件相互混装；</w:t>
      </w:r>
    </w:p>
    <w:p w14:paraId="5102A16A">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22.6不同</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的投标保证金从同一单位或者个人的账户转出。</w:t>
      </w:r>
    </w:p>
    <w:p w14:paraId="50CCABCC">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23</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废标条款</w:t>
      </w:r>
    </w:p>
    <w:p w14:paraId="706D4C71">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23.1符合专业条件的</w:t>
      </w:r>
      <w:r>
        <w:rPr>
          <w:rFonts w:hint="eastAsia" w:ascii="宋体" w:hAnsi="宋体" w:eastAsia="宋体" w:cs="宋体"/>
          <w:bCs/>
          <w:color w:val="auto"/>
          <w:sz w:val="24"/>
          <w:highlight w:val="none"/>
          <w:lang w:eastAsia="zh-CN"/>
        </w:rPr>
        <w:t>投标人</w:t>
      </w:r>
      <w:r>
        <w:rPr>
          <w:rFonts w:hint="eastAsia" w:ascii="宋体" w:hAnsi="宋体" w:eastAsia="宋体" w:cs="宋体"/>
          <w:bCs/>
          <w:color w:val="auto"/>
          <w:sz w:val="24"/>
          <w:highlight w:val="none"/>
        </w:rPr>
        <w:t>或者对招标文件作实质响应的</w:t>
      </w:r>
      <w:r>
        <w:rPr>
          <w:rFonts w:hint="eastAsia" w:ascii="宋体" w:hAnsi="宋体" w:eastAsia="宋体" w:cs="宋体"/>
          <w:bCs/>
          <w:color w:val="auto"/>
          <w:sz w:val="24"/>
          <w:highlight w:val="none"/>
          <w:lang w:eastAsia="zh-CN"/>
        </w:rPr>
        <w:t>投标人</w:t>
      </w:r>
      <w:r>
        <w:rPr>
          <w:rFonts w:hint="eastAsia" w:ascii="宋体" w:hAnsi="宋体" w:eastAsia="宋体" w:cs="宋体"/>
          <w:bCs/>
          <w:color w:val="auto"/>
          <w:sz w:val="24"/>
          <w:highlight w:val="none"/>
        </w:rPr>
        <w:t>不足三家的；</w:t>
      </w:r>
    </w:p>
    <w:p w14:paraId="7972BF82">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23.2出现影响采购公正的违法、违规行为的；</w:t>
      </w:r>
    </w:p>
    <w:p w14:paraId="38DCAAC8">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23.3</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的报价均</w:t>
      </w:r>
      <w:r>
        <w:rPr>
          <w:rFonts w:hint="eastAsia" w:ascii="宋体" w:hAnsi="宋体" w:cs="宋体"/>
          <w:color w:val="auto"/>
          <w:sz w:val="24"/>
          <w:highlight w:val="none"/>
          <w:lang w:val="en-US" w:eastAsia="zh-CN"/>
        </w:rPr>
        <w:t>未按照招标文件要求形式报价的</w:t>
      </w:r>
      <w:r>
        <w:rPr>
          <w:rFonts w:hint="eastAsia" w:ascii="宋体" w:hAnsi="宋体" w:eastAsia="宋体" w:cs="宋体"/>
          <w:color w:val="auto"/>
          <w:sz w:val="24"/>
          <w:highlight w:val="none"/>
        </w:rPr>
        <w:t>；</w:t>
      </w:r>
    </w:p>
    <w:p w14:paraId="72E5A06D">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23.4因重大变故，采购任务取消的。</w:t>
      </w:r>
    </w:p>
    <w:p w14:paraId="6EEA890B">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24</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取消中标候选人资格条款</w:t>
      </w:r>
    </w:p>
    <w:p w14:paraId="6513C2CE">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24.1提供虚假材料谋取中标的；</w:t>
      </w:r>
    </w:p>
    <w:p w14:paraId="192FA68B">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24.2采取不正当手段诋毁、排挤其他</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w:t>
      </w:r>
    </w:p>
    <w:p w14:paraId="3F04822F">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24.3与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、其他</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或者</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恶意串通的；</w:t>
      </w:r>
    </w:p>
    <w:p w14:paraId="438276A2">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24.4向</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行贿或者提供其他不正当利益的；</w:t>
      </w:r>
    </w:p>
    <w:p w14:paraId="024D5AE8">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24.5在规定的时间内未与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签订采购合同的；</w:t>
      </w:r>
    </w:p>
    <w:p w14:paraId="6DDB1A04">
      <w:pPr>
        <w:keepNext w:val="0"/>
        <w:keepLines w:val="0"/>
        <w:pageBreakBefore w:val="0"/>
        <w:widowControl/>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24.6法律、法规规定的其他情况。</w:t>
      </w:r>
    </w:p>
    <w:p w14:paraId="13605C27">
      <w:pPr>
        <w:keepNext w:val="0"/>
        <w:keepLines w:val="0"/>
        <w:pageBreakBefore w:val="0"/>
        <w:widowControl/>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highlight w:val="none"/>
        </w:rPr>
      </w:pPr>
    </w:p>
    <w:p w14:paraId="65BF89BC">
      <w:pPr>
        <w:keepNext w:val="0"/>
        <w:keepLines w:val="0"/>
        <w:pageBreakBefore w:val="0"/>
        <w:numPr>
          <w:ilvl w:val="0"/>
          <w:numId w:val="3"/>
        </w:numPr>
        <w:kinsoku/>
        <w:wordWrap/>
        <w:overflowPunct/>
        <w:topLinePunct w:val="0"/>
        <w:autoSpaceDE/>
        <w:autoSpaceDN/>
        <w:bidi w:val="0"/>
        <w:adjustRightInd/>
        <w:snapToGrid/>
        <w:spacing w:line="360" w:lineRule="auto"/>
        <w:ind w:firstLine="0" w:firstLineChars="0"/>
        <w:jc w:val="center"/>
        <w:textAlignment w:val="auto"/>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开</w:t>
      </w:r>
      <w:r>
        <w:rPr>
          <w:rFonts w:hint="eastAsia" w:ascii="宋体" w:hAnsi="宋体" w:eastAsia="宋体" w:cs="宋体"/>
          <w:b/>
          <w:color w:val="auto"/>
          <w:sz w:val="30"/>
          <w:szCs w:val="30"/>
          <w:highlight w:val="none"/>
          <w:lang w:val="en-US" w:eastAsia="zh-CN"/>
        </w:rPr>
        <w:t>（</w:t>
      </w:r>
      <w:r>
        <w:rPr>
          <w:rFonts w:hint="eastAsia" w:ascii="宋体" w:hAnsi="宋体" w:eastAsia="宋体" w:cs="宋体"/>
          <w:b/>
          <w:color w:val="auto"/>
          <w:sz w:val="30"/>
          <w:szCs w:val="30"/>
          <w:highlight w:val="none"/>
        </w:rPr>
        <w:t>评</w:t>
      </w:r>
      <w:r>
        <w:rPr>
          <w:rFonts w:hint="eastAsia" w:ascii="宋体" w:hAnsi="宋体" w:eastAsia="宋体" w:cs="宋体"/>
          <w:b/>
          <w:color w:val="auto"/>
          <w:sz w:val="30"/>
          <w:szCs w:val="30"/>
          <w:highlight w:val="none"/>
          <w:lang w:val="en-US" w:eastAsia="zh-CN"/>
        </w:rPr>
        <w:t>）</w:t>
      </w:r>
      <w:r>
        <w:rPr>
          <w:rFonts w:hint="eastAsia" w:ascii="宋体" w:hAnsi="宋体" w:eastAsia="宋体" w:cs="宋体"/>
          <w:b/>
          <w:color w:val="auto"/>
          <w:sz w:val="30"/>
          <w:szCs w:val="30"/>
          <w:highlight w:val="none"/>
        </w:rPr>
        <w:t>标程序</w:t>
      </w:r>
      <w:bookmarkEnd w:id="55"/>
    </w:p>
    <w:p w14:paraId="4BB2223F">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25</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开标程序</w:t>
      </w:r>
    </w:p>
    <w:p w14:paraId="4AA67CB7">
      <w:pPr>
        <w:keepNext w:val="0"/>
        <w:keepLines w:val="0"/>
        <w:pageBreakBefore w:val="0"/>
        <w:kinsoku/>
        <w:wordWrap/>
        <w:overflowPunct/>
        <w:topLinePunct w:val="0"/>
        <w:autoSpaceDE/>
        <w:autoSpaceDN/>
        <w:bidi w:val="0"/>
        <w:adjustRightInd/>
        <w:snapToGrid/>
        <w:spacing w:line="360" w:lineRule="auto"/>
        <w:ind w:right="-84" w:rightChars="-40" w:firstLine="240" w:firstLineChars="1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25.1</w:t>
      </w:r>
      <w:r>
        <w:rPr>
          <w:rFonts w:hint="eastAsia" w:ascii="宋体" w:hAnsi="宋体" w:eastAsia="宋体" w:cs="宋体"/>
          <w:color w:val="auto"/>
          <w:sz w:val="24"/>
          <w:highlight w:val="none"/>
          <w:lang w:val="en-US" w:eastAsia="zh-CN"/>
        </w:rPr>
        <w:t>开标后，由采购监督人员与</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val="en-US" w:eastAsia="zh-CN"/>
        </w:rPr>
        <w:t>代理机构一同对投标人信用信息进行查询并记录在案。</w:t>
      </w:r>
    </w:p>
    <w:p w14:paraId="214772B0">
      <w:pPr>
        <w:keepNext w:val="0"/>
        <w:keepLines w:val="0"/>
        <w:pageBreakBefore w:val="0"/>
        <w:kinsoku/>
        <w:wordWrap/>
        <w:overflowPunct/>
        <w:topLinePunct w:val="0"/>
        <w:autoSpaceDE/>
        <w:autoSpaceDN/>
        <w:bidi w:val="0"/>
        <w:adjustRightInd/>
        <w:snapToGrid/>
        <w:spacing w:line="360" w:lineRule="auto"/>
        <w:ind w:right="-84" w:rightChars="-40" w:firstLine="240" w:firstLineChars="100"/>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25.2</w:t>
      </w:r>
      <w:r>
        <w:rPr>
          <w:rFonts w:hint="eastAsia" w:ascii="宋体" w:hAnsi="宋体" w:eastAsia="宋体" w:cs="宋体"/>
          <w:color w:val="auto"/>
          <w:sz w:val="24"/>
          <w:highlight w:val="none"/>
        </w:rPr>
        <w:t>开标</w:t>
      </w:r>
      <w:r>
        <w:rPr>
          <w:rFonts w:hint="eastAsia" w:ascii="宋体" w:hAnsi="宋体" w:eastAsia="宋体" w:cs="宋体"/>
          <w:color w:val="auto"/>
          <w:sz w:val="24"/>
          <w:highlight w:val="none"/>
          <w:lang w:val="en-US" w:eastAsia="zh-CN"/>
        </w:rPr>
        <w:t>会结束</w:t>
      </w:r>
      <w:r>
        <w:rPr>
          <w:rFonts w:hint="eastAsia" w:ascii="宋体" w:hAnsi="宋体" w:eastAsia="宋体" w:cs="宋体"/>
          <w:color w:val="auto"/>
          <w:sz w:val="24"/>
          <w:highlight w:val="none"/>
        </w:rPr>
        <w:t>后，由评标委员会对</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进行</w:t>
      </w:r>
      <w:r>
        <w:rPr>
          <w:rFonts w:hint="eastAsia" w:ascii="宋体" w:hAnsi="宋体" w:eastAsia="宋体" w:cs="宋体"/>
          <w:color w:val="auto"/>
          <w:sz w:val="24"/>
          <w:highlight w:val="none"/>
          <w:lang w:val="en-US" w:eastAsia="zh-CN"/>
        </w:rPr>
        <w:t>符合性</w:t>
      </w:r>
      <w:r>
        <w:rPr>
          <w:rFonts w:hint="eastAsia" w:ascii="宋体" w:hAnsi="宋体" w:eastAsia="宋体" w:cs="宋体"/>
          <w:color w:val="auto"/>
          <w:sz w:val="24"/>
          <w:highlight w:val="none"/>
        </w:rPr>
        <w:t>审查，</w:t>
      </w:r>
      <w:r>
        <w:rPr>
          <w:rFonts w:hint="eastAsia" w:ascii="宋体" w:hAnsi="宋体" w:eastAsia="宋体" w:cs="宋体"/>
          <w:color w:val="auto"/>
          <w:sz w:val="24"/>
          <w:highlight w:val="none"/>
          <w:lang w:val="en-US" w:eastAsia="zh-CN"/>
        </w:rPr>
        <w:t>符合性</w:t>
      </w:r>
      <w:r>
        <w:rPr>
          <w:rFonts w:hint="eastAsia" w:ascii="宋体" w:hAnsi="宋体" w:eastAsia="宋体" w:cs="宋体"/>
          <w:color w:val="auto"/>
          <w:sz w:val="24"/>
          <w:highlight w:val="none"/>
        </w:rPr>
        <w:t>审查未通过的，其投标无效。</w:t>
      </w:r>
    </w:p>
    <w:p w14:paraId="7F58BEA6">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26</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评标原则</w:t>
      </w:r>
    </w:p>
    <w:p w14:paraId="4FF429C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评标依据《中华人民共和国政府采购法》</w:t>
      </w:r>
      <w:r>
        <w:rPr>
          <w:rFonts w:hint="eastAsia" w:ascii="宋体" w:hAnsi="宋体" w:eastAsia="宋体" w:cs="宋体"/>
          <w:color w:val="auto"/>
          <w:sz w:val="24"/>
          <w:szCs w:val="24"/>
          <w:highlight w:val="none"/>
          <w:lang w:val="en-US" w:eastAsia="zh-CN"/>
        </w:rPr>
        <w:t>及其实施条例</w:t>
      </w:r>
      <w:r>
        <w:rPr>
          <w:rFonts w:hint="eastAsia" w:ascii="宋体" w:hAnsi="宋体" w:eastAsia="宋体" w:cs="宋体"/>
          <w:color w:val="auto"/>
          <w:sz w:val="24"/>
          <w:szCs w:val="24"/>
          <w:highlight w:val="none"/>
        </w:rPr>
        <w:t>、财政部《政府采购货物和服务招标投标管理办法》及新疆维吾尔自治区财政厅等相关规定，遵循公开、公平、公正、竞争的原则。</w:t>
      </w:r>
    </w:p>
    <w:p w14:paraId="26DCEF0C">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26.1严格执行《中华人民共和国政府采购法》</w:t>
      </w:r>
      <w:r>
        <w:rPr>
          <w:rFonts w:hint="eastAsia" w:ascii="宋体" w:hAnsi="宋体" w:eastAsia="宋体" w:cs="宋体"/>
          <w:color w:val="auto"/>
          <w:sz w:val="24"/>
          <w:szCs w:val="24"/>
          <w:highlight w:val="none"/>
          <w:lang w:val="en-US" w:eastAsia="zh-CN"/>
        </w:rPr>
        <w:t>及其实施条例</w:t>
      </w:r>
      <w:r>
        <w:rPr>
          <w:rFonts w:hint="eastAsia" w:ascii="宋体" w:hAnsi="宋体" w:eastAsia="宋体" w:cs="宋体"/>
          <w:color w:val="auto"/>
          <w:sz w:val="24"/>
          <w:szCs w:val="24"/>
          <w:highlight w:val="none"/>
        </w:rPr>
        <w:t>、财政部《政府采购货物和服务招标投标管理办法》及新疆维吾尔自治区有关法规、政策、维护</w:t>
      </w:r>
      <w:r>
        <w:rPr>
          <w:rFonts w:hint="eastAsia" w:ascii="宋体" w:hAnsi="宋体" w:cs="宋体"/>
          <w:color w:val="auto"/>
          <w:sz w:val="24"/>
          <w:szCs w:val="24"/>
          <w:highlight w:val="none"/>
          <w:lang w:eastAsia="zh-CN"/>
        </w:rPr>
        <w:t>采购人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的合法权益，选择对</w:t>
      </w:r>
      <w:r>
        <w:rPr>
          <w:rFonts w:hint="eastAsia" w:ascii="宋体" w:hAnsi="宋体" w:cs="宋体"/>
          <w:color w:val="auto"/>
          <w:sz w:val="24"/>
          <w:szCs w:val="24"/>
          <w:highlight w:val="none"/>
          <w:lang w:eastAsia="zh-CN"/>
        </w:rPr>
        <w:t>采购人</w:t>
      </w:r>
      <w:r>
        <w:rPr>
          <w:rFonts w:hint="eastAsia" w:ascii="宋体" w:hAnsi="宋体" w:eastAsia="宋体" w:cs="宋体"/>
          <w:color w:val="auto"/>
          <w:sz w:val="24"/>
          <w:szCs w:val="24"/>
          <w:highlight w:val="none"/>
        </w:rPr>
        <w:t>最为有利的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w:t>
      </w:r>
    </w:p>
    <w:p w14:paraId="1B534C6D">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26.2坚持价格合理、方案第一的原则，不以最低报价作为中标唯一标准。</w:t>
      </w:r>
    </w:p>
    <w:p w14:paraId="7B51ECDA">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26.3评审工作由评审专家组建的评标委员会承担，评审专家占评标委员会总数的三分之二以上。</w:t>
      </w:r>
    </w:p>
    <w:p w14:paraId="0B5A8A79">
      <w:pPr>
        <w:keepNext w:val="0"/>
        <w:keepLines w:val="0"/>
        <w:pageBreakBefore w:val="0"/>
        <w:kinsoku/>
        <w:wordWrap/>
        <w:overflowPunct/>
        <w:topLinePunct w:val="0"/>
        <w:autoSpaceDE/>
        <w:autoSpaceDN/>
        <w:bidi w:val="0"/>
        <w:adjustRightInd/>
        <w:snapToGrid/>
        <w:spacing w:line="360" w:lineRule="auto"/>
        <w:textAlignment w:val="auto"/>
        <w:outlineLvl w:val="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27</w:t>
      </w:r>
      <w:r>
        <w:rPr>
          <w:rFonts w:hint="eastAsia" w:ascii="宋体" w:hAnsi="宋体" w:eastAsia="宋体" w:cs="宋体"/>
          <w:b/>
          <w:bCs/>
          <w:color w:val="auto"/>
          <w:sz w:val="24"/>
          <w:highlight w:val="none"/>
          <w:lang w:val="en-US" w:eastAsia="zh-CN"/>
        </w:rPr>
        <w:t>.</w:t>
      </w:r>
      <w:r>
        <w:rPr>
          <w:rFonts w:hint="eastAsia" w:ascii="宋体" w:hAnsi="宋体" w:eastAsia="宋体" w:cs="宋体"/>
          <w:b/>
          <w:color w:val="auto"/>
          <w:sz w:val="24"/>
          <w:highlight w:val="none"/>
        </w:rPr>
        <w:t>评标委员会</w:t>
      </w:r>
    </w:p>
    <w:p w14:paraId="59E747E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根据本项目的特点于开标前48小时内，从评审专家库中随机抽取组建评标委员会，其成员由有关技术、经济等方面的专家</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人组成。评标委员会应独立完成评审工作，负责对投标文件进行审查、质询、评审、推选中标候选人。</w:t>
      </w:r>
    </w:p>
    <w:p w14:paraId="4ABD89AE">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27.1评标事务由评标委员会负责，并独立履行下列职责：</w:t>
      </w:r>
    </w:p>
    <w:p w14:paraId="2894EE1B">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（a）审查投标文件是否符合本文件要求，并做出评价；</w:t>
      </w:r>
    </w:p>
    <w:p w14:paraId="1D675CA6">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（b）要求</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对投标文件有关事项做出澄清或答复；</w:t>
      </w:r>
    </w:p>
    <w:p w14:paraId="3998ADC4">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（c）</w:t>
      </w:r>
      <w:r>
        <w:rPr>
          <w:rFonts w:hint="eastAsia" w:ascii="宋体" w:hAnsi="宋体" w:eastAsia="宋体" w:cs="宋体"/>
          <w:color w:val="auto"/>
          <w:sz w:val="24"/>
          <w:highlight w:val="none"/>
          <w:lang w:val="en-US" w:eastAsia="zh-CN"/>
        </w:rPr>
        <w:t>编写评审报告并向</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rPr>
        <w:t>推荐中标候选人；</w:t>
      </w:r>
    </w:p>
    <w:p w14:paraId="1D6CAAA2">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（d）向</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或者有关部门报告非法干预评标工作的行为。</w:t>
      </w:r>
    </w:p>
    <w:p w14:paraId="32D4B832">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27.2评标委员会成员的义务</w:t>
      </w:r>
    </w:p>
    <w:p w14:paraId="21754210">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（a）遵纪守法，客观、公正、廉洁地履行职责；</w:t>
      </w:r>
    </w:p>
    <w:p w14:paraId="03F26C79">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（b）按照招标文件规定的评标方法和标准进行评标，对评审意见承担个人责任；</w:t>
      </w:r>
    </w:p>
    <w:p w14:paraId="7C3AB84F">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（c）对评标过程和结果，以及</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的商业秘密保密；</w:t>
      </w:r>
    </w:p>
    <w:p w14:paraId="782AC09B">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（d）参与评标报告的起草；</w:t>
      </w:r>
    </w:p>
    <w:p w14:paraId="19C182F1">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（e）配合采购监督部门的投诉处理工作；</w:t>
      </w:r>
    </w:p>
    <w:p w14:paraId="7E9E8F90">
      <w:pPr>
        <w:keepNext w:val="0"/>
        <w:keepLines w:val="0"/>
        <w:pageBreakBefore w:val="0"/>
        <w:kinsoku/>
        <w:wordWrap/>
        <w:overflowPunct/>
        <w:topLinePunct w:val="0"/>
        <w:autoSpaceDE/>
        <w:autoSpaceDN/>
        <w:bidi w:val="0"/>
        <w:adjustRightInd/>
        <w:snapToGrid/>
        <w:spacing w:line="360" w:lineRule="auto"/>
        <w:ind w:left="2" w:leftChars="1"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（f）配合</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eastAsia="zh-CN"/>
        </w:rPr>
        <w:t>代理机构</w:t>
      </w:r>
      <w:r>
        <w:rPr>
          <w:rFonts w:hint="eastAsia" w:ascii="宋体" w:hAnsi="宋体" w:eastAsia="宋体" w:cs="宋体"/>
          <w:color w:val="auto"/>
          <w:sz w:val="24"/>
          <w:highlight w:val="none"/>
        </w:rPr>
        <w:t>答复</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提出的质疑。</w:t>
      </w:r>
    </w:p>
    <w:p w14:paraId="62D770F0">
      <w:pPr>
        <w:keepNext w:val="0"/>
        <w:keepLines w:val="0"/>
        <w:pageBreakBefore w:val="0"/>
        <w:kinsoku/>
        <w:wordWrap/>
        <w:overflowPunct/>
        <w:topLinePunct w:val="0"/>
        <w:autoSpaceDE/>
        <w:autoSpaceDN/>
        <w:bidi w:val="0"/>
        <w:adjustRightInd/>
        <w:snapToGrid/>
        <w:spacing w:line="360" w:lineRule="auto"/>
        <w:textAlignment w:val="auto"/>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28</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评标程序</w:t>
      </w:r>
    </w:p>
    <w:p w14:paraId="63A35643">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28.1评审会议由评标委员会组长主持。评标委员会首先对各投标文件进行符合性审查，未通过审查的</w:t>
      </w:r>
      <w:r>
        <w:rPr>
          <w:rFonts w:hint="eastAsia" w:ascii="宋体" w:hAnsi="宋体" w:eastAsia="宋体" w:cs="宋体"/>
          <w:color w:val="auto"/>
          <w:sz w:val="24"/>
          <w:highlight w:val="none"/>
          <w:lang w:val="en-US" w:eastAsia="zh-CN"/>
        </w:rPr>
        <w:t>视</w:t>
      </w:r>
      <w:r>
        <w:rPr>
          <w:rFonts w:hint="eastAsia" w:ascii="宋体" w:hAnsi="宋体" w:eastAsia="宋体" w:cs="宋体"/>
          <w:color w:val="auto"/>
          <w:sz w:val="24"/>
          <w:highlight w:val="none"/>
        </w:rPr>
        <w:t>为无效标。</w:t>
      </w:r>
    </w:p>
    <w:p w14:paraId="530DFF72">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28.2评标委员会判断最终确认的投标文件的响应性，仅基于投标文件本身而不靠外部证据。对非实质性响应的投标文件，</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不能通过修正或撤销不符之处，而使其成为实质性响应。</w:t>
      </w:r>
    </w:p>
    <w:p w14:paraId="64DC5D34">
      <w:pPr>
        <w:pStyle w:val="14"/>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28.</w:t>
      </w:r>
      <w:r>
        <w:rPr>
          <w:rFonts w:hint="eastAsia" w:ascii="宋体" w:hAnsi="宋体" w:eastAsia="宋体" w:cs="宋体"/>
          <w:color w:val="auto"/>
          <w:sz w:val="24"/>
          <w:szCs w:val="24"/>
          <w:highlight w:val="none"/>
        </w:rPr>
        <w:t>3评标委员会根据招标文件要求，讨论、通过评标工作流程和评标要点。</w:t>
      </w:r>
    </w:p>
    <w:p w14:paraId="310A2082">
      <w:pPr>
        <w:pStyle w:val="14"/>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28.</w:t>
      </w:r>
      <w:r>
        <w:rPr>
          <w:rFonts w:hint="eastAsia" w:ascii="宋体" w:hAnsi="宋体" w:eastAsia="宋体" w:cs="宋体"/>
          <w:color w:val="auto"/>
          <w:sz w:val="24"/>
          <w:szCs w:val="24"/>
          <w:highlight w:val="none"/>
        </w:rPr>
        <w:t>4围绕评标要点，评标委员会全体成员对有效</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提交的投标文件分别进行评标。</w:t>
      </w:r>
    </w:p>
    <w:p w14:paraId="16397934">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28.5评标过程出现异议的，由评标委员会共同商讨决定，需要</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澄清的，评标委员会将以书面形式通知</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w:t>
      </w:r>
    </w:p>
    <w:p w14:paraId="5AA6A987">
      <w:pPr>
        <w:keepNext w:val="0"/>
        <w:keepLines w:val="0"/>
        <w:pageBreakBefore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投标文件的澄清：在评标期间，评标委员会可要求</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对其投标文件中含义不明确的内容作必要的澄清或说明，但澄清或说明不得超出投标文件的范围或改变投标文件实质性内容。有关澄清的要求和答复均应以书面形式提交，澄清的内容为投标文件的组成部分。</w:t>
      </w:r>
    </w:p>
    <w:p w14:paraId="2BC9700E">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29</w:t>
      </w:r>
      <w:r>
        <w:rPr>
          <w:rFonts w:hint="eastAsia" w:ascii="宋体" w:hAnsi="宋体" w:eastAsia="宋体" w:cs="宋体"/>
          <w:b/>
          <w:color w:val="auto"/>
          <w:sz w:val="24"/>
          <w:highlight w:val="none"/>
          <w:lang w:val="en-US" w:eastAsia="zh-CN"/>
        </w:rPr>
        <w:t>.</w:t>
      </w:r>
      <w:r>
        <w:rPr>
          <w:rFonts w:hint="eastAsia" w:ascii="宋体" w:hAnsi="宋体" w:eastAsia="宋体" w:cs="宋体"/>
          <w:b/>
          <w:color w:val="auto"/>
          <w:sz w:val="24"/>
          <w:highlight w:val="none"/>
        </w:rPr>
        <w:t>确定中标候选人</w:t>
      </w:r>
    </w:p>
    <w:p w14:paraId="2DED6F9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综合评分法，是指投标文件满足招标文件全部实质性要求且按评审因素的量化指标评审得分最高的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为中标候选人的评审方法。</w:t>
      </w:r>
    </w:p>
    <w:p w14:paraId="07F9F23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采用综合评分法的，评标结果按评审后得分由高到低顺序排列，推荐前三位中标候选人。得分相同的，按投标报价由低到高顺序排列；评审得分且最后报价相同的，按照技术指标优劣顺序排列。</w:t>
      </w:r>
    </w:p>
    <w:p w14:paraId="0F2C911C">
      <w:pPr>
        <w:pStyle w:val="14"/>
        <w:keepNext w:val="0"/>
        <w:keepLines w:val="0"/>
        <w:pageBreakBefore w:val="0"/>
        <w:kinsoku/>
        <w:wordWrap/>
        <w:overflowPunct/>
        <w:topLinePunct w:val="0"/>
        <w:autoSpaceDE/>
        <w:autoSpaceDN/>
        <w:bidi w:val="0"/>
        <w:adjustRightInd/>
        <w:snapToGrid/>
        <w:spacing w:line="360" w:lineRule="auto"/>
        <w:ind w:firstLine="472"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pacing w:val="-2"/>
          <w:sz w:val="24"/>
          <w:szCs w:val="24"/>
          <w:highlight w:val="none"/>
        </w:rPr>
        <w:t>综合评分的主要因素为</w:t>
      </w:r>
      <w:r>
        <w:rPr>
          <w:rFonts w:hint="eastAsia" w:ascii="宋体" w:hAnsi="宋体" w:eastAsia="宋体" w:cs="宋体"/>
          <w:color w:val="auto"/>
          <w:kern w:val="0"/>
          <w:sz w:val="24"/>
          <w:szCs w:val="24"/>
          <w:highlight w:val="none"/>
        </w:rPr>
        <w:t>，包括投标报价、技术或者服务水平、履约能力、售后服务等</w:t>
      </w:r>
      <w:r>
        <w:rPr>
          <w:rFonts w:hint="eastAsia"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eastAsia="zh-CN"/>
        </w:rPr>
        <w:t>投标人</w:t>
      </w:r>
      <w:r>
        <w:rPr>
          <w:rFonts w:hint="eastAsia" w:ascii="宋体" w:hAnsi="宋体" w:eastAsia="宋体" w:cs="宋体"/>
          <w:color w:val="auto"/>
          <w:spacing w:val="-2"/>
          <w:sz w:val="24"/>
          <w:szCs w:val="24"/>
          <w:highlight w:val="none"/>
        </w:rPr>
        <w:t>需通过初步评审后才能参加下一阶段的评标工作。</w:t>
      </w:r>
      <w:r>
        <w:rPr>
          <w:rFonts w:hint="eastAsia" w:ascii="宋体" w:hAnsi="宋体" w:eastAsia="宋体" w:cs="宋体"/>
          <w:bCs/>
          <w:color w:val="auto"/>
          <w:sz w:val="24"/>
          <w:szCs w:val="24"/>
          <w:highlight w:val="none"/>
        </w:rPr>
        <w:t>计算结果值在小数点后均保留两位小数，后余位数四舍五入计。</w:t>
      </w:r>
    </w:p>
    <w:p w14:paraId="6BB43CB7">
      <w:pPr>
        <w:pStyle w:val="14"/>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评标委员会将分析</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提交的总报价及各个分项报价是否合理，报价范围是否完整，有否重大错漏项</w:t>
      </w:r>
      <w:r>
        <w:rPr>
          <w:rFonts w:hint="eastAsia" w:ascii="宋体" w:hAnsi="宋体" w:eastAsia="宋体" w:cs="宋体"/>
          <w:color w:val="auto"/>
          <w:sz w:val="24"/>
          <w:szCs w:val="24"/>
          <w:highlight w:val="none"/>
          <w:lang w:eastAsia="zh-CN"/>
        </w:rPr>
        <w:t>。</w:t>
      </w:r>
      <w:r>
        <w:rPr>
          <w:rFonts w:hint="eastAsia" w:ascii="宋体" w:hAnsi="宋体" w:eastAsia="宋体" w:cs="宋体"/>
          <w:b/>
          <w:color w:val="auto"/>
          <w:sz w:val="24"/>
          <w:szCs w:val="24"/>
          <w:highlight w:val="none"/>
        </w:rPr>
        <w:t>特别说明：评标委员会认为，投标人的</w:t>
      </w:r>
      <w:r>
        <w:rPr>
          <w:rFonts w:hint="eastAsia" w:ascii="宋体" w:hAnsi="宋体" w:eastAsia="宋体" w:cs="宋体"/>
          <w:b/>
          <w:color w:val="auto"/>
          <w:sz w:val="24"/>
          <w:szCs w:val="24"/>
          <w:highlight w:val="none"/>
          <w:lang w:val="en-US" w:eastAsia="zh-CN"/>
        </w:rPr>
        <w:t>报价明显低于其他通过符合性审查投标人的报价</w:t>
      </w:r>
      <w:r>
        <w:rPr>
          <w:rFonts w:hint="eastAsia" w:ascii="宋体" w:hAnsi="宋体" w:eastAsia="宋体" w:cs="宋体"/>
          <w:b/>
          <w:color w:val="auto"/>
          <w:sz w:val="24"/>
          <w:szCs w:val="24"/>
          <w:highlight w:val="none"/>
        </w:rPr>
        <w:t>，有可能影响</w:t>
      </w:r>
      <w:r>
        <w:rPr>
          <w:rFonts w:hint="eastAsia" w:ascii="宋体" w:hAnsi="宋体" w:eastAsia="宋体" w:cs="宋体"/>
          <w:b/>
          <w:color w:val="auto"/>
          <w:sz w:val="24"/>
          <w:szCs w:val="24"/>
          <w:highlight w:val="none"/>
          <w:lang w:val="en-US" w:eastAsia="zh-CN"/>
        </w:rPr>
        <w:t>产品质量或</w:t>
      </w:r>
      <w:r>
        <w:rPr>
          <w:rFonts w:hint="eastAsia" w:ascii="宋体" w:hAnsi="宋体" w:eastAsia="宋体" w:cs="宋体"/>
          <w:b/>
          <w:color w:val="auto"/>
          <w:sz w:val="24"/>
          <w:szCs w:val="24"/>
          <w:highlight w:val="none"/>
        </w:rPr>
        <w:t>不能诚信履约的，应当要求其在</w:t>
      </w:r>
      <w:r>
        <w:rPr>
          <w:rFonts w:hint="eastAsia" w:ascii="宋体" w:hAnsi="宋体" w:eastAsia="宋体" w:cs="宋体"/>
          <w:b/>
          <w:color w:val="auto"/>
          <w:sz w:val="24"/>
          <w:szCs w:val="24"/>
          <w:highlight w:val="none"/>
          <w:lang w:val="en-US" w:eastAsia="zh-CN"/>
        </w:rPr>
        <w:t>评标现场合理的时间内提供书面说明，必要时提供相关证明材料；投标人不能证明其报价合理性的，评标委员会应当将其作为无效投标处理。</w:t>
      </w:r>
      <w:r>
        <w:rPr>
          <w:rFonts w:hint="eastAsia" w:ascii="宋体" w:hAnsi="宋体" w:eastAsia="宋体" w:cs="宋体"/>
          <w:b/>
          <w:color w:val="auto"/>
          <w:sz w:val="24"/>
          <w:highlight w:val="none"/>
        </w:rPr>
        <w:t>为保证本项目</w:t>
      </w:r>
      <w:r>
        <w:rPr>
          <w:rFonts w:hint="eastAsia" w:ascii="宋体" w:hAnsi="宋体" w:eastAsia="宋体" w:cs="宋体"/>
          <w:b/>
          <w:color w:val="auto"/>
          <w:sz w:val="24"/>
          <w:highlight w:val="none"/>
          <w:lang w:val="en-US" w:eastAsia="zh-CN"/>
        </w:rPr>
        <w:t>服务</w:t>
      </w:r>
      <w:r>
        <w:rPr>
          <w:rFonts w:hint="eastAsia" w:ascii="宋体" w:hAnsi="宋体" w:eastAsia="宋体" w:cs="宋体"/>
          <w:b/>
          <w:color w:val="auto"/>
          <w:sz w:val="24"/>
          <w:highlight w:val="none"/>
        </w:rPr>
        <w:t>质量</w:t>
      </w:r>
      <w:r>
        <w:rPr>
          <w:rFonts w:hint="eastAsia" w:ascii="宋体" w:hAnsi="宋体" w:eastAsia="宋体" w:cs="宋体"/>
          <w:b/>
          <w:color w:val="auto"/>
          <w:sz w:val="24"/>
          <w:highlight w:val="none"/>
          <w:lang w:val="en-US" w:eastAsia="zh-CN"/>
        </w:rPr>
        <w:t>和</w:t>
      </w:r>
      <w:r>
        <w:rPr>
          <w:rFonts w:hint="eastAsia" w:ascii="宋体" w:hAnsi="宋体" w:eastAsia="宋体" w:cs="宋体"/>
          <w:b/>
          <w:color w:val="auto"/>
          <w:sz w:val="24"/>
          <w:highlight w:val="none"/>
        </w:rPr>
        <w:t>良好的售后服务，最低报价不作为中标的唯一依据。</w:t>
      </w:r>
      <w:r>
        <w:rPr>
          <w:rFonts w:hint="eastAsia" w:ascii="宋体" w:hAnsi="宋体" w:eastAsia="宋体" w:cs="宋体"/>
          <w:color w:val="auto"/>
          <w:sz w:val="24"/>
          <w:szCs w:val="24"/>
          <w:highlight w:val="none"/>
        </w:rPr>
        <w:t>如果某</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的报价中有漏项，将认为是</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的让利行为。如果该</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中标，则其中标价不能调整，即漏项部分的价格需该投标方自行消化（如构成未实质性响应招标文件要求的，将不得中标）。</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必须如实提供和本项目所要求的有关内容，评</w:t>
      </w:r>
      <w:r>
        <w:rPr>
          <w:rFonts w:hint="eastAsia" w:ascii="宋体" w:hAnsi="宋体" w:eastAsia="宋体" w:cs="宋体"/>
          <w:color w:val="auto"/>
          <w:sz w:val="24"/>
          <w:szCs w:val="24"/>
          <w:highlight w:val="none"/>
          <w:lang w:val="en-US" w:eastAsia="zh-CN"/>
        </w:rPr>
        <w:t>标委员会</w:t>
      </w:r>
      <w:r>
        <w:rPr>
          <w:rFonts w:hint="eastAsia" w:ascii="宋体" w:hAnsi="宋体" w:eastAsia="宋体" w:cs="宋体"/>
          <w:color w:val="auto"/>
          <w:sz w:val="24"/>
          <w:szCs w:val="24"/>
          <w:highlight w:val="none"/>
        </w:rPr>
        <w:t>一旦发现</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提供的材料与事实不符，</w:t>
      </w:r>
      <w:r>
        <w:rPr>
          <w:rFonts w:hint="eastAsia" w:ascii="宋体" w:hAnsi="宋体" w:eastAsia="宋体" w:cs="宋体"/>
          <w:color w:val="auto"/>
          <w:sz w:val="24"/>
          <w:szCs w:val="24"/>
          <w:highlight w:val="none"/>
          <w:lang w:val="en-US" w:eastAsia="zh-CN"/>
        </w:rPr>
        <w:t>并经</w:t>
      </w:r>
      <w:r>
        <w:rPr>
          <w:rFonts w:hint="eastAsia" w:ascii="宋体" w:hAnsi="宋体" w:eastAsia="宋体" w:cs="宋体"/>
          <w:color w:val="auto"/>
          <w:sz w:val="24"/>
          <w:szCs w:val="24"/>
          <w:highlight w:val="none"/>
        </w:rPr>
        <w:t>评标委员会核实无误后，将作无效投标处理。</w:t>
      </w:r>
    </w:p>
    <w:p w14:paraId="13011D87">
      <w:pPr>
        <w:keepNext w:val="0"/>
        <w:keepLines w:val="0"/>
        <w:pageBreakBefore w:val="0"/>
        <w:kinsoku/>
        <w:wordWrap/>
        <w:overflowPunct/>
        <w:topLinePunct w:val="0"/>
        <w:autoSpaceDE/>
        <w:autoSpaceDN/>
        <w:bidi w:val="0"/>
        <w:adjustRightInd/>
        <w:snapToGrid/>
        <w:spacing w:line="360" w:lineRule="auto"/>
        <w:ind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30</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评标过程保密</w:t>
      </w:r>
    </w:p>
    <w:p w14:paraId="60FDD86A">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30.1在评标过程中和评标结束后，凡属于审查、澄清、评价、比较招标文件等有关信息，评标委员会的研究情况和所有</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的商业秘密都属于保密内容，相关当事人均不得泄露给任何</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或与评标工作无关的人员。</w:t>
      </w:r>
    </w:p>
    <w:p w14:paraId="3D1D30EE">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30.2</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不得探听上述信息，不得以任何行为影响评标过程，否则其投标文件将被作为无效投标文件。</w:t>
      </w:r>
    </w:p>
    <w:p w14:paraId="5F28370B">
      <w:pPr>
        <w:keepNext w:val="0"/>
        <w:keepLines w:val="0"/>
        <w:pageBreakBefore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30.3对未通过资格审查的</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，应当告知其未通过的原因；采用综合评分法评审的，还应当告知未中标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的评审得分与排序。</w:t>
      </w:r>
    </w:p>
    <w:p w14:paraId="6A73C8F2">
      <w:pPr>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31.中标信息公布</w:t>
      </w:r>
    </w:p>
    <w:p w14:paraId="4B7E6D0C">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根据《关于进一步提高政府采购透明度和采购效率相关事项的通知》【财办库（2023）243号】“完善中标、成交结果信息公开”</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val="en-US" w:eastAsia="zh-CN"/>
        </w:rPr>
        <w:t>代理机构应当按照《中华人民共和国政府采购法》《中华人民共和国政府采购法实施条例》以及《政府采购信息发布管理办法》等法律制度规定，进一步做好信息公开工作。项目采购采用最低评标（审）价法的，公告中标、成交结果时应当同时公告因落实政府采购政策等原因进行价格扣除后中标、成交</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lang w:val="en-US" w:eastAsia="zh-CN"/>
        </w:rPr>
        <w:t>的评审报价；项目采购采用综合评分法的，公告中标、成交结果时应当同时公告中标、</w:t>
      </w:r>
      <w:r>
        <w:rPr>
          <w:rFonts w:hint="eastAsia" w:ascii="宋体" w:hAnsi="宋体" w:cs="宋体"/>
          <w:color w:val="auto"/>
          <w:sz w:val="24"/>
          <w:highlight w:val="none"/>
          <w:lang w:val="en-US" w:eastAsia="zh-CN"/>
        </w:rPr>
        <w:t>中标人</w:t>
      </w:r>
      <w:r>
        <w:rPr>
          <w:rFonts w:hint="eastAsia" w:ascii="宋体" w:hAnsi="宋体" w:eastAsia="宋体" w:cs="宋体"/>
          <w:color w:val="auto"/>
          <w:sz w:val="24"/>
          <w:highlight w:val="none"/>
          <w:lang w:val="en-US" w:eastAsia="zh-CN"/>
        </w:rPr>
        <w:t>的评审总得分。</w:t>
      </w:r>
    </w:p>
    <w:p w14:paraId="2C6B814C">
      <w:pPr>
        <w:keepNext w:val="0"/>
        <w:keepLines w:val="0"/>
        <w:pageBreakBefore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00B050"/>
          <w:sz w:val="24"/>
          <w:highlight w:val="none"/>
          <w:lang w:val="en-US" w:eastAsia="zh-CN"/>
        </w:rPr>
      </w:pP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本项目将在公告中标结果时，会将中标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lang w:val="en-US" w:eastAsia="zh-CN"/>
        </w:rPr>
        <w:t>评审总得分一并公告。</w:t>
      </w:r>
    </w:p>
    <w:p w14:paraId="3E22873D">
      <w:pPr>
        <w:rPr>
          <w:rFonts w:hint="eastAsia" w:ascii="宋体" w:hAnsi="宋体" w:eastAsia="宋体" w:cs="宋体"/>
          <w:highlight w:val="none"/>
        </w:rPr>
      </w:pPr>
    </w:p>
    <w:p w14:paraId="27920CEE">
      <w:pPr>
        <w:rPr>
          <w:rFonts w:hint="eastAsia" w:ascii="宋体" w:hAnsi="宋体" w:eastAsia="宋体" w:cs="宋体"/>
          <w:highlight w:val="none"/>
        </w:rPr>
      </w:pPr>
    </w:p>
    <w:p w14:paraId="167BFC70">
      <w:pPr>
        <w:rPr>
          <w:rFonts w:hint="eastAsia" w:ascii="宋体" w:hAnsi="宋体" w:eastAsia="宋体" w:cs="宋体"/>
          <w:highlight w:val="none"/>
        </w:rPr>
      </w:pPr>
    </w:p>
    <w:p w14:paraId="0152B69F">
      <w:pPr>
        <w:rPr>
          <w:rFonts w:hint="eastAsia" w:ascii="宋体" w:hAnsi="宋体" w:eastAsia="宋体" w:cs="宋体"/>
          <w:highlight w:val="none"/>
        </w:rPr>
      </w:pPr>
    </w:p>
    <w:p w14:paraId="000E55B9">
      <w:pPr>
        <w:rPr>
          <w:rFonts w:hint="eastAsia" w:ascii="宋体" w:hAnsi="宋体" w:eastAsia="宋体" w:cs="宋体"/>
          <w:highlight w:val="none"/>
        </w:rPr>
      </w:pPr>
    </w:p>
    <w:p w14:paraId="4108310A">
      <w:pPr>
        <w:rPr>
          <w:rFonts w:hint="eastAsia" w:ascii="宋体" w:hAnsi="宋体" w:eastAsia="宋体" w:cs="宋体"/>
          <w:highlight w:val="none"/>
        </w:rPr>
      </w:pPr>
    </w:p>
    <w:p w14:paraId="19439B41">
      <w:pPr>
        <w:rPr>
          <w:rFonts w:hint="eastAsia" w:ascii="宋体" w:hAnsi="宋体" w:eastAsia="宋体" w:cs="宋体"/>
          <w:highlight w:val="none"/>
        </w:rPr>
      </w:pPr>
    </w:p>
    <w:p w14:paraId="4E4D12F9">
      <w:pPr>
        <w:rPr>
          <w:rFonts w:hint="eastAsia" w:ascii="宋体" w:hAnsi="宋体" w:eastAsia="宋体" w:cs="宋体"/>
          <w:highlight w:val="none"/>
        </w:rPr>
      </w:pPr>
    </w:p>
    <w:p w14:paraId="52DD1113">
      <w:pPr>
        <w:rPr>
          <w:rFonts w:hint="eastAsia" w:ascii="宋体" w:hAnsi="宋体" w:eastAsia="宋体" w:cs="宋体"/>
          <w:highlight w:val="none"/>
        </w:rPr>
      </w:pPr>
    </w:p>
    <w:p w14:paraId="78582E18">
      <w:pPr>
        <w:rPr>
          <w:rFonts w:hint="eastAsia" w:ascii="宋体" w:hAnsi="宋体" w:eastAsia="宋体" w:cs="宋体"/>
          <w:highlight w:val="none"/>
        </w:rPr>
      </w:pPr>
    </w:p>
    <w:p w14:paraId="39F187D4">
      <w:pPr>
        <w:numPr>
          <w:ilvl w:val="0"/>
          <w:numId w:val="0"/>
        </w:numPr>
        <w:snapToGrid w:val="0"/>
        <w:spacing w:line="360" w:lineRule="auto"/>
        <w:jc w:val="center"/>
        <w:outlineLvl w:val="0"/>
        <w:rPr>
          <w:rFonts w:hint="eastAsia" w:ascii="宋体" w:hAnsi="宋体" w:eastAsia="宋体" w:cs="宋体"/>
          <w:b/>
          <w:color w:val="auto"/>
          <w:sz w:val="24"/>
          <w:szCs w:val="24"/>
          <w:highlight w:val="none"/>
        </w:rPr>
      </w:pPr>
      <w:r>
        <w:rPr>
          <w:rFonts w:hint="eastAsia" w:ascii="宋体" w:hAnsi="宋体" w:cs="宋体"/>
          <w:b/>
          <w:color w:val="auto"/>
          <w:sz w:val="28"/>
          <w:szCs w:val="28"/>
          <w:highlight w:val="none"/>
          <w:lang w:val="en-US" w:eastAsia="zh-CN"/>
        </w:rPr>
        <w:t>七、</w:t>
      </w:r>
      <w:r>
        <w:rPr>
          <w:rFonts w:hint="eastAsia" w:ascii="宋体" w:hAnsi="宋体" w:eastAsia="宋体" w:cs="宋体"/>
          <w:b/>
          <w:color w:val="auto"/>
          <w:sz w:val="28"/>
          <w:szCs w:val="28"/>
          <w:highlight w:val="none"/>
        </w:rPr>
        <w:t>评标办法</w:t>
      </w:r>
    </w:p>
    <w:p w14:paraId="69D030A1">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资格性</w:t>
      </w:r>
      <w:r>
        <w:rPr>
          <w:rFonts w:hint="eastAsia" w:ascii="宋体" w:hAnsi="宋体" w:eastAsia="宋体" w:cs="宋体"/>
          <w:b/>
          <w:bCs/>
          <w:color w:val="auto"/>
          <w:sz w:val="24"/>
          <w:szCs w:val="24"/>
          <w:highlight w:val="none"/>
          <w:lang w:eastAsia="zh-CN"/>
        </w:rPr>
        <w:t>审查</w:t>
      </w:r>
      <w:r>
        <w:rPr>
          <w:rFonts w:hint="eastAsia" w:ascii="宋体" w:hAnsi="宋体" w:eastAsia="宋体" w:cs="宋体"/>
          <w:b/>
          <w:bCs/>
          <w:color w:val="auto"/>
          <w:sz w:val="24"/>
          <w:szCs w:val="24"/>
          <w:highlight w:val="none"/>
        </w:rPr>
        <w:t>表</w:t>
      </w:r>
    </w:p>
    <w:tbl>
      <w:tblPr>
        <w:tblStyle w:val="25"/>
        <w:tblW w:w="10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590"/>
        <w:gridCol w:w="4155"/>
        <w:gridCol w:w="3810"/>
      </w:tblGrid>
      <w:tr w14:paraId="53DEC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6" w:hRule="atLeast"/>
          <w:jc w:val="center"/>
        </w:trPr>
        <w:tc>
          <w:tcPr>
            <w:tcW w:w="685" w:type="dxa"/>
            <w:noWrap w:val="0"/>
            <w:vAlign w:val="center"/>
          </w:tcPr>
          <w:p w14:paraId="306DBF91">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745" w:type="dxa"/>
            <w:gridSpan w:val="2"/>
            <w:noWrap w:val="0"/>
            <w:vAlign w:val="center"/>
          </w:tcPr>
          <w:p w14:paraId="23954F2D">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检查因素</w:t>
            </w:r>
          </w:p>
        </w:tc>
        <w:tc>
          <w:tcPr>
            <w:tcW w:w="3810" w:type="dxa"/>
            <w:noWrap w:val="0"/>
            <w:vAlign w:val="center"/>
          </w:tcPr>
          <w:p w14:paraId="6255B182">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检查内容</w:t>
            </w:r>
          </w:p>
        </w:tc>
      </w:tr>
      <w:tr w14:paraId="4FE7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jc w:val="center"/>
        </w:trPr>
        <w:tc>
          <w:tcPr>
            <w:tcW w:w="685" w:type="dxa"/>
            <w:vMerge w:val="restart"/>
            <w:noWrap w:val="0"/>
            <w:vAlign w:val="center"/>
          </w:tcPr>
          <w:p w14:paraId="2C602298">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90" w:type="dxa"/>
            <w:vMerge w:val="restart"/>
            <w:noWrap w:val="0"/>
            <w:vAlign w:val="center"/>
          </w:tcPr>
          <w:p w14:paraId="5062D01C">
            <w:pPr>
              <w:snapToGrid w:val="0"/>
              <w:spacing w:line="240" w:lineRule="auto"/>
              <w:outlineLvl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《中华人民共和国政府采购法》第二十二条规定</w:t>
            </w:r>
          </w:p>
        </w:tc>
        <w:tc>
          <w:tcPr>
            <w:tcW w:w="4155" w:type="dxa"/>
            <w:noWrap w:val="0"/>
            <w:vAlign w:val="center"/>
          </w:tcPr>
          <w:p w14:paraId="7E562BD7">
            <w:pPr>
              <w:snapToGrid w:val="0"/>
              <w:spacing w:line="240" w:lineRule="auto"/>
              <w:outlineLvl w:val="0"/>
              <w:rPr>
                <w:rFonts w:hint="eastAsia" w:ascii="宋体" w:hAnsi="宋体" w:eastAsia="宋体" w:cs="宋体"/>
                <w:color w:val="auto"/>
                <w:sz w:val="24"/>
                <w:szCs w:val="24"/>
                <w:highlight w:val="none"/>
              </w:rPr>
            </w:pPr>
            <w:bookmarkStart w:id="57" w:name="OLE_LINK39"/>
            <w:r>
              <w:rPr>
                <w:rFonts w:hint="eastAsia" w:ascii="宋体" w:hAnsi="宋体" w:eastAsia="宋体" w:cs="宋体"/>
                <w:color w:val="auto"/>
                <w:sz w:val="24"/>
                <w:szCs w:val="24"/>
                <w:highlight w:val="none"/>
                <w:lang w:val="zh-CN"/>
              </w:rPr>
              <w:t>具有独立承担民事责任的能力</w:t>
            </w:r>
            <w:bookmarkEnd w:id="57"/>
          </w:p>
        </w:tc>
        <w:tc>
          <w:tcPr>
            <w:tcW w:w="3810" w:type="dxa"/>
            <w:noWrap w:val="0"/>
            <w:vAlign w:val="center"/>
          </w:tcPr>
          <w:p w14:paraId="1EBE278F">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提供有效的营业执照</w:t>
            </w:r>
          </w:p>
        </w:tc>
      </w:tr>
      <w:tr w14:paraId="53CE4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5" w:hRule="atLeast"/>
          <w:jc w:val="center"/>
        </w:trPr>
        <w:tc>
          <w:tcPr>
            <w:tcW w:w="685" w:type="dxa"/>
            <w:vMerge w:val="continue"/>
            <w:noWrap w:val="0"/>
            <w:vAlign w:val="center"/>
          </w:tcPr>
          <w:p w14:paraId="4C3F6429">
            <w:pPr>
              <w:snapToGrid w:val="0"/>
              <w:spacing w:line="240" w:lineRule="auto"/>
              <w:outlineLvl w:val="0"/>
              <w:rPr>
                <w:rFonts w:hint="eastAsia" w:ascii="宋体" w:hAnsi="宋体" w:eastAsia="宋体" w:cs="宋体"/>
                <w:color w:val="auto"/>
                <w:sz w:val="24"/>
                <w:szCs w:val="24"/>
                <w:highlight w:val="none"/>
              </w:rPr>
            </w:pPr>
          </w:p>
        </w:tc>
        <w:tc>
          <w:tcPr>
            <w:tcW w:w="1590" w:type="dxa"/>
            <w:vMerge w:val="continue"/>
            <w:noWrap w:val="0"/>
            <w:vAlign w:val="center"/>
          </w:tcPr>
          <w:p w14:paraId="05DCC38A">
            <w:pPr>
              <w:snapToGrid w:val="0"/>
              <w:spacing w:line="240" w:lineRule="auto"/>
              <w:outlineLvl w:val="0"/>
              <w:rPr>
                <w:rFonts w:hint="eastAsia" w:ascii="宋体" w:hAnsi="宋体" w:eastAsia="宋体" w:cs="宋体"/>
                <w:color w:val="auto"/>
                <w:sz w:val="24"/>
                <w:szCs w:val="24"/>
                <w:highlight w:val="none"/>
                <w:lang w:val="zh-CN"/>
              </w:rPr>
            </w:pPr>
          </w:p>
        </w:tc>
        <w:tc>
          <w:tcPr>
            <w:tcW w:w="4155" w:type="dxa"/>
            <w:noWrap w:val="0"/>
            <w:vAlign w:val="center"/>
          </w:tcPr>
          <w:p w14:paraId="247A783C">
            <w:pPr>
              <w:snapToGrid w:val="0"/>
              <w:spacing w:line="240" w:lineRule="auto"/>
              <w:outlineLvl w:val="0"/>
              <w:rPr>
                <w:rFonts w:hint="eastAsia" w:ascii="宋体" w:hAnsi="宋体" w:eastAsia="宋体" w:cs="宋体"/>
                <w:color w:val="auto"/>
                <w:sz w:val="24"/>
                <w:szCs w:val="24"/>
                <w:highlight w:val="none"/>
                <w:lang w:val="zh-CN"/>
              </w:rPr>
            </w:pPr>
            <w:bookmarkStart w:id="58" w:name="OLE_LINK40"/>
            <w:r>
              <w:rPr>
                <w:rFonts w:hint="eastAsia"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zh-CN"/>
              </w:rPr>
              <w:t>具有良好的商业信誉和健全的财务会计制度</w:t>
            </w:r>
          </w:p>
          <w:p w14:paraId="2C0AF1CD">
            <w:pPr>
              <w:snapToGrid w:val="0"/>
              <w:spacing w:line="240" w:lineRule="auto"/>
              <w:outlineLvl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zh-CN"/>
              </w:rPr>
              <w:t>投标人在信用中国、中国政府采购网是否未被列入失信被执行人名单、重大税收违法失信主体、政府采购严重违法失信行为记录名单(尚在处罚期内的)</w:t>
            </w:r>
            <w:bookmarkEnd w:id="58"/>
          </w:p>
        </w:tc>
        <w:tc>
          <w:tcPr>
            <w:tcW w:w="3810" w:type="dxa"/>
            <w:noWrap w:val="0"/>
            <w:vAlign w:val="center"/>
          </w:tcPr>
          <w:p w14:paraId="709E7ABC">
            <w:pPr>
              <w:snapToGrid w:val="0"/>
              <w:spacing w:line="240" w:lineRule="auto"/>
              <w:outlineLvl w:val="0"/>
              <w:rPr>
                <w:rFonts w:hint="eastAsia" w:ascii="宋体" w:hAnsi="宋体" w:eastAsia="宋体" w:cs="宋体"/>
                <w:color w:val="auto"/>
                <w:sz w:val="24"/>
                <w:szCs w:val="24"/>
                <w:highlight w:val="none"/>
                <w:lang w:eastAsia="zh-CN"/>
              </w:rPr>
            </w:pPr>
            <w:bookmarkStart w:id="59" w:name="OLE_LINK41"/>
            <w:r>
              <w:rPr>
                <w:rFonts w:hint="eastAsia"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val="en-US" w:eastAsia="zh-CN"/>
              </w:rPr>
              <w:t>2023</w:t>
            </w:r>
            <w:r>
              <w:rPr>
                <w:rFonts w:hint="eastAsia" w:ascii="宋体" w:hAnsi="宋体" w:cs="宋体"/>
                <w:color w:val="auto"/>
                <w:sz w:val="24"/>
                <w:szCs w:val="24"/>
                <w:highlight w:val="none"/>
                <w:lang w:val="en-US" w:eastAsia="zh-CN"/>
              </w:rPr>
              <w:t>或2024</w:t>
            </w:r>
            <w:r>
              <w:rPr>
                <w:rFonts w:hint="eastAsia" w:ascii="宋体" w:hAnsi="宋体" w:eastAsia="宋体" w:cs="宋体"/>
                <w:color w:val="auto"/>
                <w:sz w:val="24"/>
                <w:szCs w:val="24"/>
                <w:highlight w:val="none"/>
                <w:lang w:val="en-US" w:eastAsia="zh-CN"/>
              </w:rPr>
              <w:t>年度</w:t>
            </w:r>
            <w:r>
              <w:rPr>
                <w:rFonts w:hint="eastAsia" w:ascii="宋体" w:hAnsi="宋体" w:eastAsia="宋体" w:cs="宋体"/>
                <w:color w:val="auto"/>
                <w:sz w:val="24"/>
                <w:szCs w:val="24"/>
                <w:highlight w:val="none"/>
              </w:rPr>
              <w:t>财务审计报告复印件并加盖</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公章。如</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无法提供审计报告，则须提供银行出具的资信证明或健全的财务会计制度或提供</w:t>
            </w:r>
            <w:r>
              <w:rPr>
                <w:rFonts w:hint="eastAsia" w:ascii="宋体" w:hAnsi="宋体" w:eastAsia="宋体" w:cs="宋体"/>
                <w:color w:val="auto"/>
                <w:sz w:val="24"/>
                <w:szCs w:val="24"/>
                <w:highlight w:val="none"/>
                <w:lang w:eastAsia="zh-CN"/>
              </w:rPr>
              <w:t>书面</w:t>
            </w:r>
            <w:r>
              <w:rPr>
                <w:rFonts w:hint="eastAsia" w:ascii="宋体" w:hAnsi="宋体" w:eastAsia="宋体" w:cs="宋体"/>
                <w:color w:val="auto"/>
                <w:sz w:val="24"/>
                <w:szCs w:val="24"/>
                <w:highlight w:val="none"/>
              </w:rPr>
              <w:t>承诺函</w:t>
            </w:r>
            <w:r>
              <w:rPr>
                <w:rFonts w:hint="eastAsia" w:ascii="宋体" w:hAnsi="宋体" w:eastAsia="宋体" w:cs="宋体"/>
                <w:color w:val="auto"/>
                <w:sz w:val="24"/>
                <w:szCs w:val="24"/>
                <w:highlight w:val="none"/>
                <w:lang w:eastAsia="zh-CN"/>
              </w:rPr>
              <w:t>（格式自拟）</w:t>
            </w:r>
          </w:p>
          <w:p w14:paraId="0C33104E">
            <w:pPr>
              <w:snapToGrid w:val="0"/>
              <w:spacing w:line="240" w:lineRule="auto"/>
              <w:outlineLvl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rPr>
              <w:t>信用查询内容由</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lang w:eastAsia="zh-CN"/>
              </w:rPr>
              <w:t>代理机构</w:t>
            </w:r>
            <w:r>
              <w:rPr>
                <w:rFonts w:hint="eastAsia" w:ascii="宋体" w:hAnsi="宋体" w:eastAsia="宋体" w:cs="宋体"/>
                <w:color w:val="auto"/>
                <w:sz w:val="24"/>
                <w:szCs w:val="24"/>
                <w:highlight w:val="none"/>
              </w:rPr>
              <w:t>现场进行查询，报名</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无需提供相关材料。</w:t>
            </w:r>
            <w:bookmarkEnd w:id="59"/>
          </w:p>
        </w:tc>
      </w:tr>
      <w:tr w14:paraId="218C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685" w:type="dxa"/>
            <w:vMerge w:val="continue"/>
            <w:noWrap w:val="0"/>
            <w:vAlign w:val="center"/>
          </w:tcPr>
          <w:p w14:paraId="78C1C272">
            <w:pPr>
              <w:snapToGrid w:val="0"/>
              <w:spacing w:line="240" w:lineRule="auto"/>
              <w:outlineLvl w:val="0"/>
              <w:rPr>
                <w:rFonts w:hint="eastAsia" w:ascii="宋体" w:hAnsi="宋体" w:eastAsia="宋体" w:cs="宋体"/>
                <w:color w:val="auto"/>
                <w:sz w:val="24"/>
                <w:szCs w:val="24"/>
                <w:highlight w:val="none"/>
              </w:rPr>
            </w:pPr>
          </w:p>
        </w:tc>
        <w:tc>
          <w:tcPr>
            <w:tcW w:w="1590" w:type="dxa"/>
            <w:vMerge w:val="continue"/>
            <w:noWrap w:val="0"/>
            <w:vAlign w:val="center"/>
          </w:tcPr>
          <w:p w14:paraId="4803D3A6">
            <w:pPr>
              <w:snapToGrid w:val="0"/>
              <w:spacing w:line="240" w:lineRule="auto"/>
              <w:outlineLvl w:val="0"/>
              <w:rPr>
                <w:rFonts w:hint="eastAsia" w:ascii="宋体" w:hAnsi="宋体" w:eastAsia="宋体" w:cs="宋体"/>
                <w:color w:val="auto"/>
                <w:sz w:val="24"/>
                <w:szCs w:val="24"/>
                <w:highlight w:val="none"/>
                <w:lang w:val="zh-CN"/>
              </w:rPr>
            </w:pPr>
          </w:p>
        </w:tc>
        <w:tc>
          <w:tcPr>
            <w:tcW w:w="4155" w:type="dxa"/>
            <w:noWrap w:val="0"/>
            <w:vAlign w:val="center"/>
          </w:tcPr>
          <w:p w14:paraId="275D8A76">
            <w:pPr>
              <w:snapToGrid w:val="0"/>
              <w:spacing w:line="240" w:lineRule="auto"/>
              <w:outlineLvl w:val="0"/>
              <w:rPr>
                <w:rFonts w:hint="eastAsia" w:ascii="宋体" w:hAnsi="宋体" w:eastAsia="宋体" w:cs="宋体"/>
                <w:color w:val="auto"/>
                <w:sz w:val="24"/>
                <w:szCs w:val="24"/>
                <w:highlight w:val="none"/>
                <w:lang w:val="zh-CN"/>
              </w:rPr>
            </w:pPr>
            <w:bookmarkStart w:id="60" w:name="OLE_LINK42"/>
            <w:r>
              <w:rPr>
                <w:rFonts w:hint="eastAsia" w:ascii="宋体" w:hAnsi="宋体" w:eastAsia="宋体" w:cs="宋体"/>
                <w:color w:val="auto"/>
                <w:sz w:val="24"/>
                <w:szCs w:val="24"/>
                <w:highlight w:val="none"/>
                <w:lang w:val="zh-CN"/>
              </w:rPr>
              <w:t>具有履行合同所必须的设备和专业技术能力</w:t>
            </w:r>
            <w:bookmarkEnd w:id="60"/>
          </w:p>
        </w:tc>
        <w:tc>
          <w:tcPr>
            <w:tcW w:w="3810" w:type="dxa"/>
            <w:noWrap w:val="0"/>
            <w:vAlign w:val="center"/>
          </w:tcPr>
          <w:p w14:paraId="68F1F1B7">
            <w:pPr>
              <w:snapToGrid w:val="0"/>
              <w:spacing w:line="240" w:lineRule="auto"/>
              <w:outlineLvl w:val="0"/>
              <w:rPr>
                <w:rFonts w:hint="eastAsia" w:ascii="宋体" w:hAnsi="宋体" w:eastAsia="宋体" w:cs="宋体"/>
                <w:color w:val="auto"/>
                <w:sz w:val="24"/>
                <w:szCs w:val="24"/>
                <w:highlight w:val="none"/>
                <w:lang w:eastAsia="zh-CN"/>
              </w:rPr>
            </w:pPr>
            <w:bookmarkStart w:id="61" w:name="OLE_LINK43"/>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eastAsia="zh-CN"/>
              </w:rPr>
              <w:t>书面</w:t>
            </w:r>
            <w:r>
              <w:rPr>
                <w:rFonts w:hint="eastAsia" w:ascii="宋体" w:hAnsi="宋体" w:eastAsia="宋体" w:cs="宋体"/>
                <w:color w:val="auto"/>
                <w:sz w:val="24"/>
                <w:szCs w:val="24"/>
                <w:highlight w:val="none"/>
              </w:rPr>
              <w:t>承诺</w:t>
            </w:r>
            <w:r>
              <w:rPr>
                <w:rFonts w:hint="eastAsia" w:ascii="宋体" w:hAnsi="宋体" w:eastAsia="宋体" w:cs="宋体"/>
                <w:color w:val="auto"/>
                <w:sz w:val="24"/>
                <w:szCs w:val="24"/>
                <w:highlight w:val="none"/>
                <w:lang w:eastAsia="zh-CN"/>
              </w:rPr>
              <w:t>函（格式自拟）</w:t>
            </w:r>
            <w:bookmarkEnd w:id="61"/>
          </w:p>
        </w:tc>
      </w:tr>
      <w:tr w14:paraId="153C7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2" w:hRule="atLeast"/>
          <w:jc w:val="center"/>
        </w:trPr>
        <w:tc>
          <w:tcPr>
            <w:tcW w:w="685" w:type="dxa"/>
            <w:vMerge w:val="continue"/>
            <w:noWrap w:val="0"/>
            <w:vAlign w:val="center"/>
          </w:tcPr>
          <w:p w14:paraId="0B925AC2">
            <w:pPr>
              <w:snapToGrid w:val="0"/>
              <w:spacing w:line="240" w:lineRule="auto"/>
              <w:outlineLvl w:val="0"/>
              <w:rPr>
                <w:rFonts w:hint="eastAsia" w:ascii="宋体" w:hAnsi="宋体" w:eastAsia="宋体" w:cs="宋体"/>
                <w:color w:val="auto"/>
                <w:sz w:val="24"/>
                <w:szCs w:val="24"/>
                <w:highlight w:val="none"/>
              </w:rPr>
            </w:pPr>
          </w:p>
        </w:tc>
        <w:tc>
          <w:tcPr>
            <w:tcW w:w="1590" w:type="dxa"/>
            <w:vMerge w:val="continue"/>
            <w:noWrap w:val="0"/>
            <w:vAlign w:val="center"/>
          </w:tcPr>
          <w:p w14:paraId="2FEADB42">
            <w:pPr>
              <w:snapToGrid w:val="0"/>
              <w:spacing w:line="240" w:lineRule="auto"/>
              <w:outlineLvl w:val="0"/>
              <w:rPr>
                <w:rFonts w:hint="eastAsia" w:ascii="宋体" w:hAnsi="宋体" w:eastAsia="宋体" w:cs="宋体"/>
                <w:color w:val="auto"/>
                <w:sz w:val="24"/>
                <w:szCs w:val="24"/>
                <w:highlight w:val="none"/>
                <w:lang w:val="zh-CN"/>
              </w:rPr>
            </w:pPr>
          </w:p>
        </w:tc>
        <w:tc>
          <w:tcPr>
            <w:tcW w:w="4155" w:type="dxa"/>
            <w:noWrap w:val="0"/>
            <w:vAlign w:val="center"/>
          </w:tcPr>
          <w:p w14:paraId="79E5E43C">
            <w:pPr>
              <w:snapToGrid w:val="0"/>
              <w:spacing w:line="240" w:lineRule="auto"/>
              <w:outlineLvl w:val="0"/>
              <w:rPr>
                <w:rFonts w:hint="eastAsia" w:ascii="宋体" w:hAnsi="宋体" w:eastAsia="宋体" w:cs="宋体"/>
                <w:color w:val="auto"/>
                <w:sz w:val="24"/>
                <w:szCs w:val="24"/>
                <w:highlight w:val="none"/>
                <w:lang w:val="zh-CN"/>
              </w:rPr>
            </w:pPr>
            <w:bookmarkStart w:id="62" w:name="OLE_LINK44"/>
            <w:r>
              <w:rPr>
                <w:rFonts w:hint="eastAsia" w:ascii="宋体" w:hAnsi="宋体" w:eastAsia="宋体" w:cs="宋体"/>
                <w:color w:val="auto"/>
                <w:sz w:val="24"/>
                <w:szCs w:val="24"/>
                <w:highlight w:val="none"/>
                <w:lang w:val="zh-CN"/>
              </w:rPr>
              <w:t>有依法缴纳税收和社会保障资金的良好记录</w:t>
            </w:r>
            <w:bookmarkEnd w:id="62"/>
          </w:p>
        </w:tc>
        <w:tc>
          <w:tcPr>
            <w:tcW w:w="3810" w:type="dxa"/>
            <w:noWrap w:val="0"/>
            <w:vAlign w:val="center"/>
          </w:tcPr>
          <w:p w14:paraId="1AD73EBD">
            <w:pPr>
              <w:snapToGrid w:val="0"/>
              <w:spacing w:line="240" w:lineRule="auto"/>
              <w:outlineLvl w:val="0"/>
              <w:rPr>
                <w:rFonts w:hint="eastAsia" w:ascii="宋体" w:hAnsi="宋体" w:eastAsia="宋体" w:cs="宋体"/>
                <w:color w:val="auto"/>
                <w:sz w:val="24"/>
                <w:szCs w:val="24"/>
                <w:highlight w:val="none"/>
                <w:lang w:eastAsia="zh-CN"/>
              </w:rPr>
            </w:pPr>
            <w:bookmarkStart w:id="63" w:name="OLE_LINK45"/>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开标前</w:t>
            </w:r>
            <w:r>
              <w:rPr>
                <w:rFonts w:hint="eastAsia" w:ascii="宋体" w:hAnsi="宋体" w:eastAsia="宋体" w:cs="宋体"/>
                <w:color w:val="auto"/>
                <w:sz w:val="24"/>
                <w:szCs w:val="24"/>
                <w:highlight w:val="none"/>
                <w:lang w:eastAsia="zh-CN"/>
              </w:rPr>
              <w:t>半年</w:t>
            </w:r>
            <w:r>
              <w:rPr>
                <w:rFonts w:hint="eastAsia" w:ascii="宋体" w:hAnsi="宋体" w:cs="宋体"/>
                <w:color w:val="auto"/>
                <w:sz w:val="24"/>
                <w:szCs w:val="24"/>
                <w:highlight w:val="none"/>
                <w:lang w:eastAsia="zh-CN"/>
              </w:rPr>
              <w:t>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2024年</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月—2025年</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任意一个月的</w:t>
            </w:r>
            <w:r>
              <w:rPr>
                <w:rFonts w:hint="eastAsia" w:ascii="宋体" w:hAnsi="宋体" w:eastAsia="宋体" w:cs="宋体"/>
                <w:color w:val="auto"/>
                <w:sz w:val="24"/>
                <w:szCs w:val="24"/>
                <w:highlight w:val="none"/>
                <w:lang w:eastAsia="zh-CN"/>
              </w:rPr>
              <w:t>依法缴纳税收</w:t>
            </w:r>
            <w:r>
              <w:rPr>
                <w:rFonts w:hint="eastAsia" w:ascii="宋体" w:hAnsi="宋体" w:cs="宋体"/>
                <w:color w:val="auto"/>
                <w:sz w:val="24"/>
                <w:highlight w:val="none"/>
                <w:lang w:val="en-US" w:eastAsia="zh-CN"/>
              </w:rPr>
              <w:t>（如缴纳的增值税、所得税、印花税等我国现行税种中任意一项即可）</w:t>
            </w:r>
            <w:r>
              <w:rPr>
                <w:rFonts w:hint="eastAsia" w:ascii="宋体" w:hAnsi="宋体" w:eastAsia="宋体" w:cs="宋体"/>
                <w:color w:val="auto"/>
                <w:sz w:val="24"/>
                <w:szCs w:val="24"/>
                <w:highlight w:val="none"/>
                <w:lang w:eastAsia="zh-CN"/>
              </w:rPr>
              <w:t>和社会保障资金的证明或书面承诺函（格式自拟）</w:t>
            </w:r>
            <w:bookmarkEnd w:id="63"/>
          </w:p>
        </w:tc>
      </w:tr>
      <w:tr w14:paraId="151F8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jc w:val="center"/>
        </w:trPr>
        <w:tc>
          <w:tcPr>
            <w:tcW w:w="685" w:type="dxa"/>
            <w:vMerge w:val="continue"/>
            <w:noWrap w:val="0"/>
            <w:vAlign w:val="center"/>
          </w:tcPr>
          <w:p w14:paraId="15B40CD6">
            <w:pPr>
              <w:snapToGrid w:val="0"/>
              <w:spacing w:line="240" w:lineRule="auto"/>
              <w:outlineLvl w:val="0"/>
              <w:rPr>
                <w:rFonts w:hint="eastAsia" w:ascii="宋体" w:hAnsi="宋体" w:eastAsia="宋体" w:cs="宋体"/>
                <w:color w:val="auto"/>
                <w:sz w:val="24"/>
                <w:szCs w:val="24"/>
                <w:highlight w:val="none"/>
              </w:rPr>
            </w:pPr>
          </w:p>
        </w:tc>
        <w:tc>
          <w:tcPr>
            <w:tcW w:w="1590" w:type="dxa"/>
            <w:vMerge w:val="continue"/>
            <w:noWrap w:val="0"/>
            <w:vAlign w:val="center"/>
          </w:tcPr>
          <w:p w14:paraId="0A2A0CA9">
            <w:pPr>
              <w:snapToGrid w:val="0"/>
              <w:spacing w:line="240" w:lineRule="auto"/>
              <w:outlineLvl w:val="0"/>
              <w:rPr>
                <w:rFonts w:hint="eastAsia" w:ascii="宋体" w:hAnsi="宋体" w:eastAsia="宋体" w:cs="宋体"/>
                <w:color w:val="auto"/>
                <w:sz w:val="24"/>
                <w:szCs w:val="24"/>
                <w:highlight w:val="none"/>
                <w:lang w:val="zh-CN"/>
              </w:rPr>
            </w:pPr>
          </w:p>
        </w:tc>
        <w:tc>
          <w:tcPr>
            <w:tcW w:w="4155" w:type="dxa"/>
            <w:noWrap w:val="0"/>
            <w:vAlign w:val="center"/>
          </w:tcPr>
          <w:p w14:paraId="72995A4A">
            <w:pPr>
              <w:snapToGrid w:val="0"/>
              <w:spacing w:line="240" w:lineRule="auto"/>
              <w:outlineLvl w:val="0"/>
              <w:rPr>
                <w:rFonts w:hint="eastAsia" w:ascii="宋体" w:hAnsi="宋体" w:eastAsia="宋体" w:cs="宋体"/>
                <w:color w:val="auto"/>
                <w:sz w:val="24"/>
                <w:szCs w:val="24"/>
                <w:highlight w:val="none"/>
                <w:lang w:val="zh-CN"/>
              </w:rPr>
            </w:pPr>
            <w:bookmarkStart w:id="64" w:name="OLE_LINK46"/>
            <w:r>
              <w:rPr>
                <w:rFonts w:hint="eastAsia" w:ascii="宋体" w:hAnsi="宋体" w:eastAsia="宋体" w:cs="宋体"/>
                <w:color w:val="auto"/>
                <w:sz w:val="24"/>
                <w:szCs w:val="24"/>
                <w:highlight w:val="none"/>
                <w:lang w:val="zh-CN"/>
              </w:rPr>
              <w:t>参加政府采购活动近3年内，在经营活动中没有重大违法记录</w:t>
            </w:r>
            <w:bookmarkEnd w:id="64"/>
          </w:p>
        </w:tc>
        <w:tc>
          <w:tcPr>
            <w:tcW w:w="3810" w:type="dxa"/>
            <w:noWrap w:val="0"/>
            <w:vAlign w:val="center"/>
          </w:tcPr>
          <w:p w14:paraId="17E744F3">
            <w:pPr>
              <w:snapToGrid w:val="0"/>
              <w:spacing w:line="240" w:lineRule="auto"/>
              <w:outlineLvl w:val="0"/>
              <w:rPr>
                <w:rFonts w:hint="eastAsia" w:ascii="宋体" w:hAnsi="宋体" w:eastAsia="宋体" w:cs="宋体"/>
                <w:color w:val="auto"/>
                <w:sz w:val="24"/>
                <w:szCs w:val="24"/>
                <w:highlight w:val="none"/>
                <w:lang w:eastAsia="zh-CN"/>
              </w:rPr>
            </w:pPr>
            <w:bookmarkStart w:id="65" w:name="OLE_LINK47"/>
            <w:r>
              <w:rPr>
                <w:rFonts w:hint="eastAsia" w:ascii="宋体" w:hAnsi="宋体" w:eastAsia="宋体" w:cs="宋体"/>
                <w:color w:val="auto"/>
                <w:sz w:val="24"/>
                <w:szCs w:val="24"/>
                <w:highlight w:val="none"/>
                <w:lang w:val="en-US" w:eastAsia="zh-CN"/>
              </w:rPr>
              <w:t>提供书面承诺函（格式见投标文件附件三）</w:t>
            </w:r>
            <w:bookmarkEnd w:id="65"/>
          </w:p>
        </w:tc>
      </w:tr>
      <w:tr w14:paraId="45CDD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0" w:hRule="atLeast"/>
          <w:jc w:val="center"/>
        </w:trPr>
        <w:tc>
          <w:tcPr>
            <w:tcW w:w="685" w:type="dxa"/>
            <w:vMerge w:val="continue"/>
            <w:noWrap w:val="0"/>
            <w:vAlign w:val="center"/>
          </w:tcPr>
          <w:p w14:paraId="440B2E9E">
            <w:pPr>
              <w:snapToGrid w:val="0"/>
              <w:spacing w:line="240" w:lineRule="auto"/>
              <w:outlineLvl w:val="0"/>
              <w:rPr>
                <w:rFonts w:hint="eastAsia" w:ascii="宋体" w:hAnsi="宋体" w:eastAsia="宋体" w:cs="宋体"/>
                <w:color w:val="auto"/>
                <w:sz w:val="24"/>
                <w:szCs w:val="24"/>
                <w:highlight w:val="none"/>
              </w:rPr>
            </w:pPr>
          </w:p>
        </w:tc>
        <w:tc>
          <w:tcPr>
            <w:tcW w:w="1590" w:type="dxa"/>
            <w:vMerge w:val="continue"/>
            <w:noWrap w:val="0"/>
            <w:vAlign w:val="center"/>
          </w:tcPr>
          <w:p w14:paraId="3A42DAA5">
            <w:pPr>
              <w:snapToGrid w:val="0"/>
              <w:spacing w:line="240" w:lineRule="auto"/>
              <w:outlineLvl w:val="0"/>
              <w:rPr>
                <w:rFonts w:hint="eastAsia" w:ascii="宋体" w:hAnsi="宋体" w:eastAsia="宋体" w:cs="宋体"/>
                <w:color w:val="auto"/>
                <w:sz w:val="24"/>
                <w:szCs w:val="24"/>
                <w:highlight w:val="none"/>
                <w:lang w:val="zh-CN"/>
              </w:rPr>
            </w:pPr>
          </w:p>
        </w:tc>
        <w:tc>
          <w:tcPr>
            <w:tcW w:w="4155" w:type="dxa"/>
            <w:noWrap w:val="0"/>
            <w:vAlign w:val="center"/>
          </w:tcPr>
          <w:p w14:paraId="71BD985A">
            <w:pPr>
              <w:snapToGrid w:val="0"/>
              <w:spacing w:line="240" w:lineRule="auto"/>
              <w:outlineLvl w:val="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法律、行政法规规定的其他条件</w:t>
            </w:r>
          </w:p>
        </w:tc>
        <w:tc>
          <w:tcPr>
            <w:tcW w:w="3810" w:type="dxa"/>
            <w:noWrap w:val="0"/>
            <w:vAlign w:val="center"/>
          </w:tcPr>
          <w:p w14:paraId="35BB2B11">
            <w:pPr>
              <w:snapToGrid w:val="0"/>
              <w:spacing w:line="240" w:lineRule="auto"/>
              <w:outlineLvl w:val="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符合法律、行政法规规定的其他条件。</w:t>
            </w:r>
          </w:p>
        </w:tc>
      </w:tr>
      <w:tr w14:paraId="7E8CC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0" w:hRule="atLeast"/>
          <w:jc w:val="center"/>
        </w:trPr>
        <w:tc>
          <w:tcPr>
            <w:tcW w:w="685" w:type="dxa"/>
            <w:noWrap w:val="0"/>
            <w:vAlign w:val="center"/>
          </w:tcPr>
          <w:p w14:paraId="599AC4BD">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590" w:type="dxa"/>
            <w:noWrap w:val="0"/>
            <w:vAlign w:val="center"/>
          </w:tcPr>
          <w:p w14:paraId="28964BC0">
            <w:pPr>
              <w:snapToGrid w:val="0"/>
              <w:spacing w:line="240" w:lineRule="auto"/>
              <w:outlineLvl w:val="0"/>
              <w:rPr>
                <w:rFonts w:hint="eastAsia" w:ascii="宋体" w:hAnsi="宋体" w:eastAsia="宋体" w:cs="宋体"/>
                <w:color w:val="auto"/>
                <w:sz w:val="24"/>
                <w:szCs w:val="24"/>
                <w:highlight w:val="none"/>
                <w:lang w:val="zh-CN" w:eastAsia="zh-CN"/>
              </w:rPr>
            </w:pPr>
            <w:bookmarkStart w:id="66" w:name="OLE_LINK28"/>
            <w:r>
              <w:rPr>
                <w:rFonts w:hint="eastAsia" w:ascii="宋体" w:hAnsi="宋体" w:eastAsia="宋体" w:cs="宋体"/>
                <w:color w:val="auto"/>
                <w:sz w:val="24"/>
                <w:szCs w:val="24"/>
                <w:highlight w:val="none"/>
                <w:lang w:val="zh-CN" w:eastAsia="zh-CN"/>
              </w:rPr>
              <w:t>特定资格要求</w:t>
            </w:r>
            <w:bookmarkEnd w:id="66"/>
          </w:p>
        </w:tc>
        <w:tc>
          <w:tcPr>
            <w:tcW w:w="4155" w:type="dxa"/>
            <w:noWrap w:val="0"/>
            <w:vAlign w:val="center"/>
          </w:tcPr>
          <w:p w14:paraId="562EFA3B">
            <w:pPr>
              <w:snapToGrid w:val="0"/>
              <w:spacing w:line="240" w:lineRule="auto"/>
              <w:outlineLvl w:val="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投标人须</w:t>
            </w:r>
            <w:r>
              <w:rPr>
                <w:rFonts w:hint="eastAsia" w:ascii="宋体" w:hAnsi="宋体" w:eastAsia="宋体" w:cs="宋体"/>
                <w:color w:val="auto"/>
                <w:sz w:val="24"/>
                <w:szCs w:val="24"/>
                <w:highlight w:val="none"/>
                <w:lang w:val="en-US" w:eastAsia="zh-CN"/>
              </w:rPr>
              <w:t>具备有效的</w:t>
            </w:r>
            <w:r>
              <w:rPr>
                <w:rFonts w:hint="eastAsia" w:ascii="宋体" w:hAnsi="宋体" w:eastAsia="宋体" w:cs="宋体"/>
                <w:color w:val="auto"/>
                <w:sz w:val="24"/>
                <w:szCs w:val="24"/>
                <w:highlight w:val="none"/>
                <w:lang w:val="zh-CN" w:eastAsia="zh-CN"/>
              </w:rPr>
              <w:t>《食品经营许可证》</w:t>
            </w:r>
          </w:p>
        </w:tc>
        <w:tc>
          <w:tcPr>
            <w:tcW w:w="3810" w:type="dxa"/>
            <w:noWrap w:val="0"/>
            <w:vAlign w:val="center"/>
          </w:tcPr>
          <w:p w14:paraId="06BB69AE">
            <w:pPr>
              <w:snapToGrid w:val="0"/>
              <w:spacing w:line="240" w:lineRule="auto"/>
              <w:outlineLvl w:val="0"/>
              <w:rPr>
                <w:rFonts w:hint="eastAsia" w:ascii="宋体" w:hAnsi="宋体" w:eastAsia="宋体" w:cs="宋体"/>
                <w:color w:val="auto"/>
                <w:sz w:val="24"/>
                <w:szCs w:val="24"/>
                <w:highlight w:val="none"/>
                <w:lang w:val="en-US" w:eastAsia="zh-CN"/>
              </w:rPr>
            </w:pPr>
            <w:bookmarkStart w:id="67" w:name="OLE_LINK71"/>
            <w:r>
              <w:rPr>
                <w:rFonts w:hint="eastAsia" w:ascii="宋体" w:hAnsi="宋体" w:eastAsia="宋体" w:cs="宋体"/>
                <w:color w:val="auto"/>
                <w:sz w:val="24"/>
                <w:szCs w:val="24"/>
                <w:highlight w:val="none"/>
                <w:lang w:val="en-US" w:eastAsia="zh-CN"/>
              </w:rPr>
              <w:t>根据要求上传</w:t>
            </w:r>
            <w:bookmarkEnd w:id="67"/>
          </w:p>
        </w:tc>
      </w:tr>
      <w:tr w14:paraId="297E2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8" w:hRule="atLeast"/>
          <w:jc w:val="center"/>
        </w:trPr>
        <w:tc>
          <w:tcPr>
            <w:tcW w:w="685" w:type="dxa"/>
            <w:vMerge w:val="restart"/>
            <w:noWrap w:val="0"/>
            <w:vAlign w:val="center"/>
          </w:tcPr>
          <w:p w14:paraId="16558808">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590" w:type="dxa"/>
            <w:noWrap w:val="0"/>
            <w:vAlign w:val="center"/>
          </w:tcPr>
          <w:p w14:paraId="07B42FBE">
            <w:pPr>
              <w:snapToGrid w:val="0"/>
              <w:spacing w:line="240" w:lineRule="auto"/>
              <w:outlineLvl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采购政策</w:t>
            </w:r>
          </w:p>
        </w:tc>
        <w:tc>
          <w:tcPr>
            <w:tcW w:w="4155" w:type="dxa"/>
            <w:noWrap w:val="0"/>
            <w:vAlign w:val="center"/>
          </w:tcPr>
          <w:p w14:paraId="1EBF0DB9">
            <w:pPr>
              <w:snapToGrid w:val="0"/>
              <w:spacing w:line="240" w:lineRule="auto"/>
              <w:outlineLvl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投标人应为</w:t>
            </w:r>
            <w:r>
              <w:rPr>
                <w:rFonts w:hint="eastAsia" w:ascii="宋体" w:hAnsi="宋体" w:cs="宋体"/>
                <w:color w:val="auto"/>
                <w:sz w:val="24"/>
                <w:szCs w:val="24"/>
                <w:highlight w:val="none"/>
                <w:lang w:val="en-US" w:eastAsia="zh-CN"/>
              </w:rPr>
              <w:t>小微企业</w:t>
            </w:r>
          </w:p>
        </w:tc>
        <w:tc>
          <w:tcPr>
            <w:tcW w:w="3810" w:type="dxa"/>
            <w:noWrap w:val="0"/>
            <w:vAlign w:val="center"/>
          </w:tcPr>
          <w:p w14:paraId="3851DE21">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请根据要求单独上传有效的《中小企业声明函》，格式以招标文件要求为准。</w:t>
            </w:r>
          </w:p>
        </w:tc>
      </w:tr>
      <w:tr w14:paraId="5373D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8" w:hRule="atLeast"/>
          <w:jc w:val="center"/>
        </w:trPr>
        <w:tc>
          <w:tcPr>
            <w:tcW w:w="685" w:type="dxa"/>
            <w:vMerge w:val="continue"/>
            <w:noWrap w:val="0"/>
            <w:vAlign w:val="center"/>
          </w:tcPr>
          <w:p w14:paraId="1628B42E">
            <w:pPr>
              <w:snapToGrid w:val="0"/>
              <w:spacing w:line="240" w:lineRule="auto"/>
              <w:outlineLvl w:val="0"/>
              <w:rPr>
                <w:rFonts w:hint="eastAsia" w:ascii="宋体" w:hAnsi="宋体" w:eastAsia="宋体" w:cs="宋体"/>
                <w:color w:val="auto"/>
                <w:sz w:val="24"/>
                <w:szCs w:val="24"/>
                <w:highlight w:val="none"/>
              </w:rPr>
            </w:pPr>
          </w:p>
        </w:tc>
        <w:tc>
          <w:tcPr>
            <w:tcW w:w="1590" w:type="dxa"/>
            <w:noWrap w:val="0"/>
            <w:vAlign w:val="center"/>
          </w:tcPr>
          <w:p w14:paraId="41318CA0">
            <w:pPr>
              <w:snapToGrid w:val="0"/>
              <w:spacing w:line="240" w:lineRule="auto"/>
              <w:outlineLvl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其他</w:t>
            </w:r>
          </w:p>
        </w:tc>
        <w:tc>
          <w:tcPr>
            <w:tcW w:w="4155" w:type="dxa"/>
            <w:noWrap w:val="0"/>
            <w:vAlign w:val="center"/>
          </w:tcPr>
          <w:p w14:paraId="7C66C6E2">
            <w:pPr>
              <w:snapToGrid w:val="0"/>
              <w:spacing w:line="240" w:lineRule="auto"/>
              <w:outlineLvl w:val="0"/>
              <w:rPr>
                <w:rFonts w:hint="eastAsia" w:ascii="宋体" w:hAnsi="宋体" w:eastAsia="宋体" w:cs="宋体"/>
                <w:color w:val="auto"/>
                <w:sz w:val="24"/>
                <w:szCs w:val="24"/>
                <w:highlight w:val="none"/>
                <w:lang w:val="en-US" w:eastAsia="zh-CN"/>
              </w:rPr>
            </w:pPr>
            <w:bookmarkStart w:id="68" w:name="OLE_LINK48"/>
            <w:r>
              <w:rPr>
                <w:rFonts w:hint="eastAsia" w:ascii="宋体" w:hAnsi="宋体" w:eastAsia="宋体" w:cs="宋体"/>
                <w:color w:val="auto"/>
                <w:sz w:val="24"/>
                <w:szCs w:val="24"/>
                <w:highlight w:val="none"/>
                <w:lang w:val="en-US" w:eastAsia="zh-CN"/>
              </w:rPr>
              <w:t>单位负责人为同一人或者存在直接控股、管理关系的不同</w:t>
            </w:r>
            <w:r>
              <w:rPr>
                <w:rFonts w:hint="eastAsia" w:ascii="宋体" w:hAnsi="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eastAsia="zh-CN"/>
              </w:rPr>
              <w:t>，不得参加同一合同项下的政府采购活动</w:t>
            </w:r>
            <w:bookmarkEnd w:id="68"/>
          </w:p>
        </w:tc>
        <w:tc>
          <w:tcPr>
            <w:tcW w:w="3810" w:type="dxa"/>
            <w:noWrap w:val="0"/>
            <w:vAlign w:val="center"/>
          </w:tcPr>
          <w:p w14:paraId="393767A2">
            <w:pPr>
              <w:snapToGrid w:val="0"/>
              <w:spacing w:line="240" w:lineRule="auto"/>
              <w:outlineLvl w:val="0"/>
              <w:rPr>
                <w:rFonts w:hint="eastAsia" w:ascii="宋体" w:hAnsi="宋体" w:eastAsia="宋体" w:cs="宋体"/>
                <w:color w:val="auto"/>
                <w:sz w:val="24"/>
                <w:szCs w:val="24"/>
                <w:highlight w:val="none"/>
                <w:lang w:val="en-US" w:eastAsia="zh-CN"/>
              </w:rPr>
            </w:pPr>
            <w:bookmarkStart w:id="69" w:name="OLE_LINK52"/>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书面承诺函（格式自拟）</w:t>
            </w:r>
            <w:bookmarkEnd w:id="69"/>
          </w:p>
        </w:tc>
      </w:tr>
    </w:tbl>
    <w:p w14:paraId="3960C5AD">
      <w:pPr>
        <w:widowControl/>
        <w:adjustRightInd w:val="0"/>
        <w:snapToGrid w:val="0"/>
        <w:spacing w:line="360" w:lineRule="auto"/>
        <w:ind w:firstLine="240" w:firstLineChars="100"/>
        <w:jc w:val="left"/>
        <w:rPr>
          <w:rFonts w:hint="eastAsia" w:ascii="宋体" w:hAnsi="宋体" w:eastAsia="宋体" w:cs="宋体"/>
          <w:color w:val="auto"/>
          <w:kern w:val="0"/>
          <w:sz w:val="24"/>
          <w:szCs w:val="24"/>
          <w:highlight w:val="none"/>
          <w:lang w:eastAsia="zh-CN"/>
        </w:rPr>
      </w:pPr>
    </w:p>
    <w:p w14:paraId="71EC9A8E">
      <w:pPr>
        <w:widowControl/>
        <w:adjustRightInd w:val="0"/>
        <w:snapToGrid w:val="0"/>
        <w:spacing w:line="360" w:lineRule="auto"/>
        <w:ind w:firstLine="240" w:firstLineChars="1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资格性审查不通过，不进行符合性审查。</w:t>
      </w:r>
    </w:p>
    <w:p w14:paraId="6A2C97AD">
      <w:pPr>
        <w:widowControl/>
        <w:adjustRightInd w:val="0"/>
        <w:snapToGrid w:val="0"/>
        <w:spacing w:line="360" w:lineRule="auto"/>
        <w:ind w:firstLine="240" w:firstLineChars="100"/>
        <w:jc w:val="left"/>
        <w:rPr>
          <w:rFonts w:hint="eastAsia" w:ascii="宋体" w:hAnsi="宋体" w:eastAsia="宋体" w:cs="宋体"/>
          <w:color w:val="auto"/>
          <w:kern w:val="0"/>
          <w:sz w:val="24"/>
          <w:szCs w:val="24"/>
          <w:highlight w:val="none"/>
          <w:lang w:eastAsia="zh-CN"/>
        </w:rPr>
      </w:pPr>
    </w:p>
    <w:p w14:paraId="1A166B75">
      <w:pPr>
        <w:widowControl/>
        <w:adjustRightInd w:val="0"/>
        <w:snapToGrid w:val="0"/>
        <w:spacing w:line="360" w:lineRule="auto"/>
        <w:ind w:firstLine="240" w:firstLineChars="100"/>
        <w:jc w:val="left"/>
        <w:rPr>
          <w:rFonts w:hint="eastAsia" w:ascii="宋体" w:hAnsi="宋体" w:eastAsia="宋体" w:cs="宋体"/>
          <w:color w:val="auto"/>
          <w:kern w:val="0"/>
          <w:sz w:val="24"/>
          <w:szCs w:val="24"/>
          <w:highlight w:val="none"/>
          <w:lang w:eastAsia="zh-CN"/>
        </w:rPr>
      </w:pPr>
    </w:p>
    <w:p w14:paraId="46B13569">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符合性审查</w:t>
      </w:r>
    </w:p>
    <w:tbl>
      <w:tblPr>
        <w:tblStyle w:val="25"/>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2"/>
        <w:gridCol w:w="675"/>
        <w:gridCol w:w="7261"/>
      </w:tblGrid>
      <w:tr w14:paraId="7555A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restart"/>
            <w:vAlign w:val="center"/>
          </w:tcPr>
          <w:p w14:paraId="73E04E78">
            <w:pPr>
              <w:snapToGrid w:val="0"/>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符合性审查</w:t>
            </w:r>
          </w:p>
        </w:tc>
        <w:tc>
          <w:tcPr>
            <w:tcW w:w="675" w:type="dxa"/>
            <w:vAlign w:val="center"/>
          </w:tcPr>
          <w:p w14:paraId="67AA94AD">
            <w:pPr>
              <w:snapToGrid w:val="0"/>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7261" w:type="dxa"/>
            <w:vAlign w:val="center"/>
          </w:tcPr>
          <w:p w14:paraId="01E9F900">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是否按招标文件的规定提交投标保证金</w:t>
            </w:r>
          </w:p>
        </w:tc>
      </w:tr>
      <w:tr w14:paraId="2A5AE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1AE699D2">
            <w:pPr>
              <w:snapToGrid w:val="0"/>
              <w:spacing w:line="360" w:lineRule="auto"/>
              <w:jc w:val="center"/>
              <w:outlineLvl w:val="0"/>
              <w:rPr>
                <w:rFonts w:hint="eastAsia" w:ascii="宋体" w:hAnsi="宋体" w:eastAsia="宋体" w:cs="宋体"/>
                <w:color w:val="auto"/>
                <w:sz w:val="24"/>
                <w:szCs w:val="24"/>
                <w:highlight w:val="none"/>
              </w:rPr>
            </w:pPr>
            <w:bookmarkStart w:id="70" w:name="OLE_LINK50" w:colFirst="2" w:colLast="2"/>
          </w:p>
        </w:tc>
        <w:tc>
          <w:tcPr>
            <w:tcW w:w="675" w:type="dxa"/>
            <w:shd w:val="clear" w:color="auto" w:fill="auto"/>
            <w:vAlign w:val="center"/>
          </w:tcPr>
          <w:p w14:paraId="2EA519D6">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7261" w:type="dxa"/>
            <w:vAlign w:val="center"/>
          </w:tcPr>
          <w:p w14:paraId="450F5E1E">
            <w:pPr>
              <w:snapToGrid w:val="0"/>
              <w:spacing w:line="240" w:lineRule="auto"/>
              <w:outlineLvl w:val="0"/>
              <w:rPr>
                <w:rFonts w:hint="eastAsia" w:ascii="宋体" w:hAnsi="宋体" w:eastAsia="宋体" w:cs="宋体"/>
                <w:color w:val="auto"/>
                <w:sz w:val="24"/>
                <w:szCs w:val="24"/>
                <w:highlight w:val="none"/>
              </w:rPr>
            </w:pPr>
            <w:bookmarkStart w:id="71" w:name="OLE_LINK49"/>
            <w:r>
              <w:rPr>
                <w:rFonts w:hint="eastAsia" w:ascii="宋体" w:hAnsi="宋体" w:eastAsia="宋体" w:cs="宋体"/>
                <w:color w:val="auto"/>
                <w:sz w:val="24"/>
                <w:szCs w:val="24"/>
                <w:highlight w:val="none"/>
              </w:rPr>
              <w:t>报价是否</w:t>
            </w:r>
            <w:r>
              <w:rPr>
                <w:rFonts w:hint="eastAsia" w:ascii="宋体" w:hAnsi="宋体" w:eastAsia="宋体" w:cs="宋体"/>
                <w:color w:val="auto"/>
                <w:sz w:val="24"/>
                <w:szCs w:val="24"/>
                <w:highlight w:val="none"/>
                <w:lang w:val="en-US" w:eastAsia="zh-CN"/>
              </w:rPr>
              <w:t>按招标文件要求以下浮率形式报价，且只有一个有效报价</w:t>
            </w:r>
            <w:bookmarkEnd w:id="71"/>
          </w:p>
        </w:tc>
      </w:tr>
      <w:tr w14:paraId="08914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1562" w:type="dxa"/>
            <w:vMerge w:val="continue"/>
            <w:vAlign w:val="center"/>
          </w:tcPr>
          <w:p w14:paraId="3D2E57BF">
            <w:pPr>
              <w:snapToGrid w:val="0"/>
              <w:spacing w:line="360" w:lineRule="auto"/>
              <w:outlineLvl w:val="0"/>
              <w:rPr>
                <w:rFonts w:hint="eastAsia" w:ascii="宋体" w:hAnsi="宋体" w:eastAsia="宋体" w:cs="宋体"/>
                <w:color w:val="auto"/>
                <w:sz w:val="24"/>
                <w:szCs w:val="24"/>
                <w:highlight w:val="none"/>
              </w:rPr>
            </w:pPr>
          </w:p>
        </w:tc>
        <w:tc>
          <w:tcPr>
            <w:tcW w:w="675" w:type="dxa"/>
            <w:shd w:val="clear" w:color="auto" w:fill="auto"/>
            <w:vAlign w:val="center"/>
          </w:tcPr>
          <w:p w14:paraId="58978973">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7261" w:type="dxa"/>
            <w:vAlign w:val="center"/>
          </w:tcPr>
          <w:p w14:paraId="4297462B">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投标文件是否有投标单位法定代表人或授权代表签字或盖章，并加盖投标单位公章</w:t>
            </w:r>
          </w:p>
        </w:tc>
      </w:tr>
      <w:tr w14:paraId="3A352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7859FB90">
            <w:pPr>
              <w:snapToGrid w:val="0"/>
              <w:spacing w:line="360" w:lineRule="auto"/>
              <w:outlineLvl w:val="0"/>
              <w:rPr>
                <w:rFonts w:hint="eastAsia" w:ascii="宋体" w:hAnsi="宋体" w:eastAsia="宋体" w:cs="宋体"/>
                <w:color w:val="auto"/>
                <w:sz w:val="24"/>
                <w:szCs w:val="24"/>
                <w:highlight w:val="none"/>
              </w:rPr>
            </w:pPr>
          </w:p>
        </w:tc>
        <w:tc>
          <w:tcPr>
            <w:tcW w:w="675" w:type="dxa"/>
            <w:shd w:val="clear" w:color="auto" w:fill="auto"/>
            <w:vAlign w:val="center"/>
          </w:tcPr>
          <w:p w14:paraId="36B5CCB6">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7261" w:type="dxa"/>
            <w:vAlign w:val="center"/>
          </w:tcPr>
          <w:p w14:paraId="706614AC">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文件</w:t>
            </w:r>
            <w:r>
              <w:rPr>
                <w:rFonts w:hint="eastAsia" w:ascii="宋体" w:hAnsi="宋体" w:eastAsia="宋体" w:cs="宋体"/>
                <w:color w:val="auto"/>
                <w:sz w:val="24"/>
                <w:szCs w:val="24"/>
                <w:highlight w:val="none"/>
              </w:rPr>
              <w:t>是否完整，无重大缺漏项</w:t>
            </w:r>
          </w:p>
        </w:tc>
      </w:tr>
      <w:bookmarkEnd w:id="70"/>
      <w:tr w14:paraId="18941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49520DFC">
            <w:pPr>
              <w:snapToGrid w:val="0"/>
              <w:spacing w:line="360" w:lineRule="auto"/>
              <w:outlineLvl w:val="0"/>
              <w:rPr>
                <w:rFonts w:hint="eastAsia" w:ascii="宋体" w:hAnsi="宋体" w:eastAsia="宋体" w:cs="宋体"/>
                <w:color w:val="auto"/>
                <w:sz w:val="24"/>
                <w:szCs w:val="24"/>
                <w:highlight w:val="none"/>
              </w:rPr>
            </w:pPr>
          </w:p>
        </w:tc>
        <w:tc>
          <w:tcPr>
            <w:tcW w:w="675" w:type="dxa"/>
            <w:shd w:val="clear" w:color="auto" w:fill="auto"/>
            <w:vAlign w:val="center"/>
          </w:tcPr>
          <w:p w14:paraId="58598D18">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7261" w:type="dxa"/>
            <w:vAlign w:val="center"/>
          </w:tcPr>
          <w:p w14:paraId="259C1203">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合同履行</w:t>
            </w:r>
            <w:r>
              <w:rPr>
                <w:rFonts w:hint="eastAsia" w:ascii="宋体" w:hAnsi="宋体" w:eastAsia="宋体" w:cs="宋体"/>
                <w:color w:val="auto"/>
                <w:sz w:val="24"/>
                <w:szCs w:val="24"/>
                <w:highlight w:val="none"/>
              </w:rPr>
              <w:t>期</w:t>
            </w:r>
            <w:r>
              <w:rPr>
                <w:rFonts w:hint="eastAsia" w:ascii="宋体" w:hAnsi="宋体" w:cs="宋体"/>
                <w:color w:val="auto"/>
                <w:sz w:val="24"/>
                <w:szCs w:val="24"/>
                <w:highlight w:val="none"/>
                <w:lang w:val="en-US" w:eastAsia="zh-CN"/>
              </w:rPr>
              <w:t>限</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履约地点及</w:t>
            </w:r>
            <w:r>
              <w:rPr>
                <w:rFonts w:hint="eastAsia" w:ascii="宋体" w:hAnsi="宋体" w:eastAsia="宋体" w:cs="宋体"/>
                <w:color w:val="auto"/>
                <w:sz w:val="24"/>
                <w:szCs w:val="24"/>
                <w:highlight w:val="none"/>
              </w:rPr>
              <w:t>供货</w:t>
            </w:r>
            <w:r>
              <w:rPr>
                <w:rFonts w:hint="eastAsia" w:ascii="宋体" w:hAnsi="宋体" w:cs="宋体"/>
                <w:color w:val="auto"/>
                <w:sz w:val="24"/>
                <w:szCs w:val="24"/>
                <w:highlight w:val="none"/>
                <w:lang w:eastAsia="zh-CN"/>
              </w:rPr>
              <w:t>时限</w:t>
            </w:r>
            <w:r>
              <w:rPr>
                <w:rFonts w:hint="eastAsia" w:ascii="宋体" w:hAnsi="宋体" w:eastAsia="宋体" w:cs="宋体"/>
                <w:color w:val="auto"/>
                <w:sz w:val="24"/>
                <w:szCs w:val="24"/>
                <w:highlight w:val="none"/>
              </w:rPr>
              <w:t>是否符合招标文件要求</w:t>
            </w:r>
          </w:p>
        </w:tc>
      </w:tr>
      <w:tr w14:paraId="64317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49B9479D">
            <w:pPr>
              <w:snapToGrid w:val="0"/>
              <w:spacing w:line="360" w:lineRule="auto"/>
              <w:outlineLvl w:val="0"/>
              <w:rPr>
                <w:rFonts w:hint="eastAsia" w:ascii="宋体" w:hAnsi="宋体" w:eastAsia="宋体" w:cs="宋体"/>
                <w:color w:val="auto"/>
                <w:sz w:val="24"/>
                <w:szCs w:val="24"/>
                <w:highlight w:val="none"/>
              </w:rPr>
            </w:pPr>
          </w:p>
        </w:tc>
        <w:tc>
          <w:tcPr>
            <w:tcW w:w="675" w:type="dxa"/>
            <w:shd w:val="clear" w:color="auto" w:fill="auto"/>
            <w:vAlign w:val="center"/>
          </w:tcPr>
          <w:p w14:paraId="08637845">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7261" w:type="dxa"/>
            <w:vAlign w:val="center"/>
          </w:tcPr>
          <w:p w14:paraId="0B18BFDB">
            <w:pPr>
              <w:snapToGrid w:val="0"/>
              <w:spacing w:line="24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val="en-US" w:eastAsia="zh-CN"/>
              </w:rPr>
              <w:t>是否</w:t>
            </w:r>
            <w:r>
              <w:rPr>
                <w:rFonts w:hint="eastAsia" w:ascii="宋体" w:hAnsi="宋体" w:eastAsia="宋体" w:cs="宋体"/>
                <w:color w:val="auto"/>
                <w:sz w:val="24"/>
                <w:szCs w:val="24"/>
                <w:highlight w:val="none"/>
              </w:rPr>
              <w:t>含有</w:t>
            </w:r>
            <w:r>
              <w:rPr>
                <w:rFonts w:hint="eastAsia" w:ascii="宋体" w:hAnsi="宋体" w:cs="宋体"/>
                <w:color w:val="auto"/>
                <w:sz w:val="24"/>
                <w:szCs w:val="24"/>
                <w:highlight w:val="none"/>
                <w:lang w:eastAsia="zh-CN"/>
              </w:rPr>
              <w:t>采购人</w:t>
            </w:r>
            <w:r>
              <w:rPr>
                <w:rFonts w:hint="eastAsia" w:ascii="宋体" w:hAnsi="宋体" w:eastAsia="宋体" w:cs="宋体"/>
                <w:color w:val="auto"/>
                <w:sz w:val="24"/>
                <w:szCs w:val="24"/>
                <w:highlight w:val="none"/>
              </w:rPr>
              <w:t>不能接受的</w:t>
            </w:r>
            <w:r>
              <w:rPr>
                <w:rFonts w:hint="eastAsia" w:ascii="宋体" w:hAnsi="宋体" w:cs="宋体"/>
                <w:color w:val="auto"/>
                <w:sz w:val="24"/>
                <w:szCs w:val="24"/>
                <w:highlight w:val="none"/>
                <w:lang w:val="en-US" w:eastAsia="zh-CN"/>
              </w:rPr>
              <w:t>附加</w:t>
            </w:r>
            <w:r>
              <w:rPr>
                <w:rFonts w:hint="eastAsia" w:ascii="宋体" w:hAnsi="宋体" w:eastAsia="宋体" w:cs="宋体"/>
                <w:color w:val="auto"/>
                <w:sz w:val="24"/>
                <w:szCs w:val="24"/>
                <w:highlight w:val="none"/>
              </w:rPr>
              <w:t>条件</w:t>
            </w:r>
          </w:p>
        </w:tc>
      </w:tr>
      <w:tr w14:paraId="338D4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7074142D">
            <w:pPr>
              <w:snapToGrid w:val="0"/>
              <w:spacing w:line="360" w:lineRule="auto"/>
              <w:outlineLvl w:val="0"/>
              <w:rPr>
                <w:rFonts w:hint="eastAsia" w:ascii="宋体" w:hAnsi="宋体" w:eastAsia="宋体" w:cs="宋体"/>
                <w:color w:val="auto"/>
                <w:sz w:val="24"/>
                <w:szCs w:val="24"/>
                <w:highlight w:val="none"/>
              </w:rPr>
            </w:pPr>
          </w:p>
        </w:tc>
        <w:tc>
          <w:tcPr>
            <w:tcW w:w="675" w:type="dxa"/>
            <w:shd w:val="clear" w:color="auto" w:fill="auto"/>
            <w:vAlign w:val="center"/>
          </w:tcPr>
          <w:p w14:paraId="06D72E1B">
            <w:pPr>
              <w:snapToGrid w:val="0"/>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7261" w:type="dxa"/>
            <w:vAlign w:val="center"/>
          </w:tcPr>
          <w:p w14:paraId="59FEFBF4">
            <w:pPr>
              <w:snapToGrid w:val="0"/>
              <w:spacing w:line="240" w:lineRule="auto"/>
              <w:outlineLvl w:val="0"/>
              <w:rPr>
                <w:rFonts w:hint="eastAsia" w:ascii="宋体" w:hAnsi="宋体" w:eastAsia="宋体" w:cs="宋体"/>
                <w:color w:val="auto"/>
                <w:sz w:val="24"/>
                <w:szCs w:val="24"/>
                <w:highlight w:val="none"/>
              </w:rPr>
            </w:pPr>
            <w:bookmarkStart w:id="72" w:name="OLE_LINK51"/>
            <w:r>
              <w:rPr>
                <w:rFonts w:hint="eastAsia" w:ascii="宋体" w:hAnsi="宋体" w:eastAsia="宋体" w:cs="宋体"/>
                <w:color w:val="auto"/>
                <w:sz w:val="24"/>
                <w:szCs w:val="24"/>
                <w:highlight w:val="none"/>
              </w:rPr>
              <w:t>投标有效期是否满足招标文件要求</w:t>
            </w:r>
            <w:bookmarkEnd w:id="72"/>
          </w:p>
        </w:tc>
      </w:tr>
      <w:tr w14:paraId="628D3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6ABAE3A2">
            <w:pPr>
              <w:snapToGrid w:val="0"/>
              <w:spacing w:line="360" w:lineRule="auto"/>
              <w:outlineLvl w:val="0"/>
              <w:rPr>
                <w:rFonts w:hint="eastAsia" w:ascii="宋体" w:hAnsi="宋体" w:eastAsia="宋体" w:cs="宋体"/>
                <w:color w:val="auto"/>
                <w:sz w:val="24"/>
                <w:szCs w:val="24"/>
                <w:highlight w:val="none"/>
              </w:rPr>
            </w:pPr>
          </w:p>
        </w:tc>
        <w:tc>
          <w:tcPr>
            <w:tcW w:w="675" w:type="dxa"/>
            <w:vAlign w:val="center"/>
          </w:tcPr>
          <w:p w14:paraId="49AF78E6">
            <w:pPr>
              <w:snapToGrid w:val="0"/>
              <w:spacing w:line="360" w:lineRule="auto"/>
              <w:jc w:val="center"/>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7261" w:type="dxa"/>
            <w:vAlign w:val="center"/>
          </w:tcPr>
          <w:p w14:paraId="773CBD6F">
            <w:pPr>
              <w:snapToGrid w:val="0"/>
              <w:spacing w:line="240" w:lineRule="auto"/>
              <w:outlineLvl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是否满足招标文件规定的其他实质性</w:t>
            </w:r>
            <w:r>
              <w:rPr>
                <w:rFonts w:hint="eastAsia" w:ascii="宋体" w:hAnsi="宋体" w:cs="宋体"/>
                <w:color w:val="auto"/>
                <w:sz w:val="24"/>
                <w:szCs w:val="24"/>
                <w:highlight w:val="none"/>
                <w:lang w:val="en-US" w:eastAsia="zh-CN"/>
              </w:rPr>
              <w:t>条款</w:t>
            </w:r>
          </w:p>
        </w:tc>
      </w:tr>
      <w:tr w14:paraId="7704E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504BEBDC">
            <w:pPr>
              <w:snapToGrid w:val="0"/>
              <w:spacing w:line="360" w:lineRule="auto"/>
              <w:outlineLvl w:val="0"/>
              <w:rPr>
                <w:rFonts w:hint="eastAsia" w:ascii="宋体" w:hAnsi="宋体" w:eastAsia="宋体" w:cs="宋体"/>
                <w:color w:val="auto"/>
                <w:sz w:val="24"/>
                <w:szCs w:val="24"/>
                <w:highlight w:val="none"/>
              </w:rPr>
            </w:pPr>
          </w:p>
        </w:tc>
        <w:tc>
          <w:tcPr>
            <w:tcW w:w="675" w:type="dxa"/>
            <w:vAlign w:val="center"/>
          </w:tcPr>
          <w:p w14:paraId="0AF52E94">
            <w:pPr>
              <w:snapToGrid w:val="0"/>
              <w:spacing w:line="360" w:lineRule="auto"/>
              <w:jc w:val="center"/>
              <w:outlineLvl w:val="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7261" w:type="dxa"/>
            <w:vAlign w:val="center"/>
          </w:tcPr>
          <w:p w14:paraId="24C30F81">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报价明显偏低，</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lang w:val="en-US" w:eastAsia="zh-CN"/>
              </w:rPr>
              <w:t>出具的</w:t>
            </w:r>
            <w:r>
              <w:rPr>
                <w:rFonts w:hint="eastAsia" w:ascii="宋体" w:hAnsi="宋体" w:eastAsia="宋体" w:cs="宋体"/>
                <w:color w:val="auto"/>
                <w:sz w:val="24"/>
                <w:szCs w:val="24"/>
                <w:highlight w:val="none"/>
              </w:rPr>
              <w:t>书面</w:t>
            </w:r>
            <w:r>
              <w:rPr>
                <w:rFonts w:hint="eastAsia" w:ascii="宋体" w:hAnsi="宋体" w:eastAsia="宋体" w:cs="宋体"/>
                <w:color w:val="auto"/>
                <w:sz w:val="24"/>
                <w:szCs w:val="24"/>
                <w:highlight w:val="none"/>
                <w:lang w:val="en-US" w:eastAsia="zh-CN"/>
              </w:rPr>
              <w:t>说明</w:t>
            </w:r>
            <w:r>
              <w:rPr>
                <w:rFonts w:hint="eastAsia" w:ascii="宋体" w:hAnsi="宋体" w:eastAsia="宋体" w:cs="宋体"/>
                <w:color w:val="auto"/>
                <w:sz w:val="24"/>
                <w:szCs w:val="24"/>
                <w:highlight w:val="none"/>
              </w:rPr>
              <w:t>材料</w:t>
            </w:r>
            <w:r>
              <w:rPr>
                <w:rFonts w:hint="eastAsia" w:ascii="宋体" w:hAnsi="宋体" w:cs="宋体"/>
                <w:color w:val="auto"/>
                <w:sz w:val="24"/>
                <w:szCs w:val="24"/>
                <w:highlight w:val="none"/>
                <w:lang w:val="en-US" w:eastAsia="zh-CN"/>
              </w:rPr>
              <w:t>是否</w:t>
            </w:r>
            <w:r>
              <w:rPr>
                <w:rFonts w:hint="eastAsia" w:ascii="宋体" w:hAnsi="宋体" w:eastAsia="宋体" w:cs="宋体"/>
                <w:color w:val="auto"/>
                <w:sz w:val="24"/>
                <w:szCs w:val="24"/>
                <w:highlight w:val="none"/>
                <w:lang w:val="en-US" w:eastAsia="zh-CN"/>
              </w:rPr>
              <w:t>被</w:t>
            </w:r>
            <w:r>
              <w:rPr>
                <w:rFonts w:hint="eastAsia" w:ascii="宋体" w:hAnsi="宋体" w:cs="宋体"/>
                <w:color w:val="auto"/>
                <w:sz w:val="24"/>
                <w:szCs w:val="24"/>
                <w:highlight w:val="none"/>
                <w:lang w:val="en-US" w:eastAsia="zh-CN"/>
              </w:rPr>
              <w:t>评标</w:t>
            </w:r>
            <w:r>
              <w:rPr>
                <w:rFonts w:hint="eastAsia" w:ascii="宋体" w:hAnsi="宋体" w:eastAsia="宋体" w:cs="宋体"/>
                <w:color w:val="auto"/>
                <w:sz w:val="24"/>
                <w:szCs w:val="24"/>
                <w:highlight w:val="none"/>
                <w:lang w:val="en-US" w:eastAsia="zh-CN"/>
              </w:rPr>
              <w:t>委员会一致</w:t>
            </w:r>
            <w:r>
              <w:rPr>
                <w:rFonts w:hint="eastAsia" w:ascii="宋体" w:hAnsi="宋体" w:eastAsia="宋体" w:cs="宋体"/>
                <w:color w:val="auto"/>
                <w:sz w:val="24"/>
                <w:szCs w:val="24"/>
                <w:highlight w:val="none"/>
              </w:rPr>
              <w:t>认可</w:t>
            </w:r>
          </w:p>
        </w:tc>
      </w:tr>
      <w:tr w14:paraId="748C4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562" w:type="dxa"/>
            <w:vMerge w:val="continue"/>
            <w:vAlign w:val="center"/>
          </w:tcPr>
          <w:p w14:paraId="61F2F080">
            <w:pPr>
              <w:snapToGrid w:val="0"/>
              <w:spacing w:line="360" w:lineRule="auto"/>
              <w:outlineLvl w:val="0"/>
              <w:rPr>
                <w:rFonts w:hint="eastAsia" w:ascii="宋体" w:hAnsi="宋体" w:eastAsia="宋体" w:cs="宋体"/>
                <w:color w:val="auto"/>
                <w:sz w:val="24"/>
                <w:szCs w:val="24"/>
                <w:highlight w:val="none"/>
              </w:rPr>
            </w:pPr>
          </w:p>
        </w:tc>
        <w:tc>
          <w:tcPr>
            <w:tcW w:w="675" w:type="dxa"/>
            <w:vAlign w:val="center"/>
          </w:tcPr>
          <w:p w14:paraId="4577F694">
            <w:pPr>
              <w:snapToGrid w:val="0"/>
              <w:spacing w:line="240" w:lineRule="auto"/>
              <w:jc w:val="center"/>
              <w:outlineLvl w:val="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7261" w:type="dxa"/>
            <w:vAlign w:val="center"/>
          </w:tcPr>
          <w:p w14:paraId="1497A296">
            <w:pPr>
              <w:snapToGrid w:val="0"/>
              <w:spacing w:line="24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rPr>
              <w:t>法律、法规和招标文件规定的其他无效情形</w:t>
            </w:r>
          </w:p>
        </w:tc>
      </w:tr>
      <w:tr w14:paraId="672B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jc w:val="center"/>
        </w:trPr>
        <w:tc>
          <w:tcPr>
            <w:tcW w:w="9498" w:type="dxa"/>
            <w:gridSpan w:val="3"/>
            <w:vAlign w:val="center"/>
          </w:tcPr>
          <w:p w14:paraId="59ABD0A3">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备注：如果投标人提供的投标文件中</w:t>
            </w:r>
            <w:r>
              <w:rPr>
                <w:rFonts w:hint="eastAsia" w:ascii="宋体" w:hAnsi="宋体" w:cs="宋体"/>
                <w:color w:val="auto"/>
                <w:sz w:val="24"/>
                <w:szCs w:val="24"/>
                <w:highlight w:val="none"/>
                <w:lang w:val="en-US" w:eastAsia="zh-CN"/>
              </w:rPr>
              <w:t>任意</w:t>
            </w:r>
            <w:r>
              <w:rPr>
                <w:rFonts w:hint="eastAsia" w:ascii="宋体" w:hAnsi="宋体" w:eastAsia="宋体" w:cs="宋体"/>
                <w:color w:val="auto"/>
                <w:sz w:val="24"/>
                <w:szCs w:val="24"/>
                <w:highlight w:val="none"/>
              </w:rPr>
              <w:t>一项未通过上述审查标准，</w:t>
            </w:r>
            <w:r>
              <w:rPr>
                <w:rFonts w:hint="eastAsia" w:ascii="宋体" w:hAnsi="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将认定整个投标文件不响应招标文件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视为无效投标，并且不允许投标人通过修改或撤销其不符合要求的差异或保留，使之具有响应性。</w:t>
            </w:r>
          </w:p>
        </w:tc>
      </w:tr>
    </w:tbl>
    <w:p w14:paraId="16656974">
      <w:pPr>
        <w:rPr>
          <w:rFonts w:hint="eastAsia" w:ascii="宋体" w:hAnsi="宋体" w:eastAsia="宋体" w:cs="宋体"/>
          <w:color w:val="auto"/>
          <w:highlight w:val="none"/>
        </w:rPr>
      </w:pPr>
    </w:p>
    <w:p w14:paraId="5B5D4025">
      <w:pPr>
        <w:rPr>
          <w:rFonts w:hint="eastAsia" w:ascii="宋体" w:hAnsi="宋体" w:eastAsia="宋体" w:cs="宋体"/>
          <w:color w:val="auto"/>
          <w:highlight w:val="none"/>
        </w:rPr>
      </w:pPr>
    </w:p>
    <w:p w14:paraId="5CB234A8">
      <w:pPr>
        <w:rPr>
          <w:rFonts w:hint="eastAsia" w:ascii="宋体" w:hAnsi="宋体" w:eastAsia="宋体" w:cs="宋体"/>
          <w:color w:val="auto"/>
          <w:highlight w:val="none"/>
        </w:rPr>
      </w:pPr>
    </w:p>
    <w:p w14:paraId="0E4AD013">
      <w:pPr>
        <w:rPr>
          <w:rFonts w:hint="eastAsia" w:ascii="宋体" w:hAnsi="宋体" w:eastAsia="宋体" w:cs="宋体"/>
          <w:color w:val="auto"/>
          <w:highlight w:val="none"/>
        </w:rPr>
      </w:pPr>
    </w:p>
    <w:p w14:paraId="38A76394">
      <w:pPr>
        <w:rPr>
          <w:rFonts w:hint="eastAsia" w:ascii="宋体" w:hAnsi="宋体" w:eastAsia="宋体" w:cs="宋体"/>
          <w:color w:val="auto"/>
          <w:highlight w:val="none"/>
        </w:rPr>
      </w:pPr>
    </w:p>
    <w:p w14:paraId="2D40D5DF">
      <w:pPr>
        <w:rPr>
          <w:rFonts w:hint="eastAsia" w:ascii="宋体" w:hAnsi="宋体" w:eastAsia="宋体" w:cs="宋体"/>
          <w:color w:val="auto"/>
          <w:highlight w:val="none"/>
        </w:rPr>
      </w:pPr>
    </w:p>
    <w:p w14:paraId="3BA77D4B">
      <w:pPr>
        <w:rPr>
          <w:rFonts w:hint="eastAsia" w:ascii="宋体" w:hAnsi="宋体" w:eastAsia="宋体" w:cs="宋体"/>
          <w:color w:val="auto"/>
          <w:highlight w:val="none"/>
        </w:rPr>
      </w:pPr>
    </w:p>
    <w:p w14:paraId="5CBA79AC">
      <w:pPr>
        <w:rPr>
          <w:rFonts w:hint="eastAsia" w:ascii="宋体" w:hAnsi="宋体" w:eastAsia="宋体" w:cs="宋体"/>
          <w:color w:val="auto"/>
          <w:highlight w:val="none"/>
        </w:rPr>
      </w:pPr>
    </w:p>
    <w:p w14:paraId="6C408500">
      <w:pPr>
        <w:snapToGrid w:val="0"/>
        <w:spacing w:line="360" w:lineRule="auto"/>
        <w:jc w:val="both"/>
        <w:rPr>
          <w:rFonts w:hint="eastAsia" w:ascii="宋体" w:hAnsi="宋体" w:eastAsia="宋体" w:cs="宋体"/>
          <w:b/>
          <w:color w:val="auto"/>
          <w:sz w:val="28"/>
          <w:szCs w:val="28"/>
          <w:highlight w:val="none"/>
        </w:rPr>
      </w:pPr>
    </w:p>
    <w:p w14:paraId="17D1822E">
      <w:pPr>
        <w:snapToGrid w:val="0"/>
        <w:spacing w:line="360" w:lineRule="auto"/>
        <w:jc w:val="both"/>
        <w:rPr>
          <w:rFonts w:hint="eastAsia" w:ascii="宋体" w:hAnsi="宋体" w:eastAsia="宋体" w:cs="宋体"/>
          <w:b/>
          <w:color w:val="auto"/>
          <w:sz w:val="28"/>
          <w:szCs w:val="28"/>
          <w:highlight w:val="none"/>
        </w:rPr>
      </w:pPr>
    </w:p>
    <w:p w14:paraId="7B535371">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8"/>
          <w:szCs w:val="28"/>
          <w:highlight w:val="none"/>
        </w:rPr>
        <w:t>评审标准</w:t>
      </w:r>
    </w:p>
    <w:tbl>
      <w:tblPr>
        <w:tblStyle w:val="25"/>
        <w:tblW w:w="9765" w:type="dxa"/>
        <w:jc w:val="center"/>
        <w:tblLayout w:type="fixed"/>
        <w:tblCellMar>
          <w:top w:w="15" w:type="dxa"/>
          <w:left w:w="15" w:type="dxa"/>
          <w:bottom w:w="15" w:type="dxa"/>
          <w:right w:w="15" w:type="dxa"/>
        </w:tblCellMar>
      </w:tblPr>
      <w:tblGrid>
        <w:gridCol w:w="1255"/>
        <w:gridCol w:w="1200"/>
        <w:gridCol w:w="817"/>
        <w:gridCol w:w="6493"/>
      </w:tblGrid>
      <w:tr w14:paraId="6FFA2BB8">
        <w:tblPrEx>
          <w:tblCellMar>
            <w:top w:w="15" w:type="dxa"/>
            <w:left w:w="15" w:type="dxa"/>
            <w:bottom w:w="15" w:type="dxa"/>
            <w:right w:w="15" w:type="dxa"/>
          </w:tblCellMar>
        </w:tblPrEx>
        <w:trPr>
          <w:trHeight w:val="845" w:hRule="atLeast"/>
          <w:jc w:val="center"/>
        </w:trPr>
        <w:tc>
          <w:tcPr>
            <w:tcW w:w="1255" w:type="dxa"/>
            <w:tcBorders>
              <w:top w:val="single" w:color="000000" w:sz="4" w:space="0"/>
              <w:left w:val="single" w:color="000000" w:sz="4" w:space="0"/>
              <w:right w:val="single" w:color="000000" w:sz="4" w:space="0"/>
            </w:tcBorders>
            <w:vAlign w:val="center"/>
          </w:tcPr>
          <w:p w14:paraId="22E9E17E">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序号</w:t>
            </w:r>
          </w:p>
        </w:tc>
        <w:tc>
          <w:tcPr>
            <w:tcW w:w="1200" w:type="dxa"/>
            <w:tcBorders>
              <w:top w:val="single" w:color="000000" w:sz="4" w:space="0"/>
              <w:left w:val="single" w:color="000000" w:sz="4" w:space="0"/>
            </w:tcBorders>
            <w:vAlign w:val="center"/>
          </w:tcPr>
          <w:p w14:paraId="526C426C">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评分项目</w:t>
            </w:r>
          </w:p>
        </w:tc>
        <w:tc>
          <w:tcPr>
            <w:tcW w:w="817" w:type="dxa"/>
            <w:tcBorders>
              <w:top w:val="single" w:color="000000" w:sz="4" w:space="0"/>
              <w:left w:val="single" w:color="000000" w:sz="4" w:space="0"/>
              <w:bottom w:val="single" w:color="000000" w:sz="4" w:space="0"/>
              <w:right w:val="single" w:color="000000" w:sz="4" w:space="0"/>
            </w:tcBorders>
            <w:vAlign w:val="center"/>
          </w:tcPr>
          <w:p w14:paraId="28B83EA1">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分值</w:t>
            </w:r>
          </w:p>
        </w:tc>
        <w:tc>
          <w:tcPr>
            <w:tcW w:w="6493" w:type="dxa"/>
            <w:tcBorders>
              <w:top w:val="single" w:color="000000" w:sz="4" w:space="0"/>
              <w:left w:val="single" w:color="000000" w:sz="4" w:space="0"/>
              <w:bottom w:val="single" w:color="000000" w:sz="4" w:space="0"/>
              <w:right w:val="single" w:color="000000" w:sz="4" w:space="0"/>
            </w:tcBorders>
            <w:vAlign w:val="center"/>
          </w:tcPr>
          <w:p w14:paraId="7C5DA390">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评分原则</w:t>
            </w:r>
          </w:p>
        </w:tc>
      </w:tr>
      <w:tr w14:paraId="26C9D2B0">
        <w:tblPrEx>
          <w:tblCellMar>
            <w:top w:w="15" w:type="dxa"/>
            <w:left w:w="15" w:type="dxa"/>
            <w:bottom w:w="15" w:type="dxa"/>
            <w:right w:w="15" w:type="dxa"/>
          </w:tblCellMar>
        </w:tblPrEx>
        <w:trPr>
          <w:trHeight w:val="504" w:hRule="atLeast"/>
          <w:jc w:val="center"/>
        </w:trPr>
        <w:tc>
          <w:tcPr>
            <w:tcW w:w="9765" w:type="dxa"/>
            <w:gridSpan w:val="4"/>
            <w:tcBorders>
              <w:top w:val="single" w:color="000000" w:sz="4" w:space="0"/>
              <w:left w:val="single" w:color="000000" w:sz="4" w:space="0"/>
              <w:right w:val="single" w:color="000000" w:sz="4" w:space="0"/>
            </w:tcBorders>
            <w:vAlign w:val="center"/>
          </w:tcPr>
          <w:p w14:paraId="26C37CDF">
            <w:pPr>
              <w:widowControl/>
              <w:spacing w:line="360" w:lineRule="auto"/>
              <w:jc w:val="left"/>
              <w:textAlignment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报价部分（</w:t>
            </w:r>
            <w:r>
              <w:rPr>
                <w:rFonts w:hint="eastAsia" w:ascii="宋体" w:hAnsi="宋体" w:eastAsia="宋体" w:cs="宋体"/>
                <w:b/>
                <w:color w:val="auto"/>
                <w:kern w:val="0"/>
                <w:sz w:val="24"/>
                <w:szCs w:val="24"/>
                <w:highlight w:val="none"/>
                <w:lang w:eastAsia="zh-CN"/>
              </w:rPr>
              <w:t>报价部分权重</w:t>
            </w:r>
            <w:r>
              <w:rPr>
                <w:rFonts w:hint="eastAsia" w:ascii="宋体" w:hAnsi="宋体" w:cs="宋体"/>
                <w:b/>
                <w:color w:val="auto"/>
                <w:kern w:val="0"/>
                <w:sz w:val="24"/>
                <w:szCs w:val="24"/>
                <w:highlight w:val="none"/>
                <w:lang w:val="en-US" w:eastAsia="zh-CN"/>
              </w:rPr>
              <w:t>10</w:t>
            </w:r>
            <w:r>
              <w:rPr>
                <w:rFonts w:hint="eastAsia" w:ascii="宋体" w:hAnsi="宋体" w:eastAsia="宋体" w:cs="宋体"/>
                <w:b/>
                <w:color w:val="auto"/>
                <w:kern w:val="0"/>
                <w:sz w:val="24"/>
                <w:szCs w:val="24"/>
                <w:highlight w:val="none"/>
                <w:lang w:val="en-US" w:eastAsia="zh-CN"/>
              </w:rPr>
              <w:t>%</w:t>
            </w:r>
            <w:r>
              <w:rPr>
                <w:rFonts w:hint="eastAsia" w:ascii="宋体" w:hAnsi="宋体" w:eastAsia="宋体" w:cs="宋体"/>
                <w:b/>
                <w:color w:val="auto"/>
                <w:kern w:val="0"/>
                <w:sz w:val="24"/>
                <w:szCs w:val="24"/>
                <w:highlight w:val="none"/>
              </w:rPr>
              <w:t>）</w:t>
            </w:r>
          </w:p>
        </w:tc>
      </w:tr>
      <w:tr w14:paraId="31ED688C">
        <w:tblPrEx>
          <w:tblCellMar>
            <w:top w:w="15" w:type="dxa"/>
            <w:left w:w="15" w:type="dxa"/>
            <w:bottom w:w="15" w:type="dxa"/>
            <w:right w:w="15" w:type="dxa"/>
          </w:tblCellMar>
        </w:tblPrEx>
        <w:trPr>
          <w:trHeight w:val="1415" w:hRule="atLeast"/>
          <w:jc w:val="center"/>
        </w:trPr>
        <w:tc>
          <w:tcPr>
            <w:tcW w:w="1255" w:type="dxa"/>
            <w:tcBorders>
              <w:top w:val="single" w:color="000000" w:sz="4" w:space="0"/>
              <w:left w:val="single" w:color="000000" w:sz="4" w:space="0"/>
              <w:bottom w:val="single" w:color="auto" w:sz="4" w:space="0"/>
              <w:right w:val="single" w:color="000000" w:sz="4" w:space="0"/>
            </w:tcBorders>
            <w:vAlign w:val="center"/>
          </w:tcPr>
          <w:p w14:paraId="5FC357C2">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w:t>
            </w:r>
          </w:p>
        </w:tc>
        <w:tc>
          <w:tcPr>
            <w:tcW w:w="1200" w:type="dxa"/>
            <w:tcBorders>
              <w:top w:val="single" w:color="000000" w:sz="4" w:space="0"/>
              <w:left w:val="single" w:color="000000" w:sz="4" w:space="0"/>
              <w:bottom w:val="single" w:color="auto" w:sz="4" w:space="0"/>
            </w:tcBorders>
            <w:vAlign w:val="center"/>
          </w:tcPr>
          <w:p w14:paraId="0883C9D1">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报价</w:t>
            </w:r>
          </w:p>
        </w:tc>
        <w:tc>
          <w:tcPr>
            <w:tcW w:w="817" w:type="dxa"/>
            <w:tcBorders>
              <w:top w:val="single" w:color="000000" w:sz="4" w:space="0"/>
              <w:left w:val="single" w:color="000000" w:sz="4" w:space="0"/>
              <w:bottom w:val="single" w:color="auto" w:sz="4" w:space="0"/>
              <w:right w:val="single" w:color="000000" w:sz="4" w:space="0"/>
            </w:tcBorders>
            <w:vAlign w:val="center"/>
          </w:tcPr>
          <w:p w14:paraId="2EE06D15">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rPr>
              <w:t>0分</w:t>
            </w:r>
          </w:p>
        </w:tc>
        <w:tc>
          <w:tcPr>
            <w:tcW w:w="6493" w:type="dxa"/>
            <w:tcBorders>
              <w:top w:val="single" w:color="000000" w:sz="4" w:space="0"/>
              <w:left w:val="single" w:color="000000" w:sz="4" w:space="0"/>
              <w:bottom w:val="single" w:color="auto" w:sz="4" w:space="0"/>
              <w:right w:val="single" w:color="000000" w:sz="4" w:space="0"/>
            </w:tcBorders>
            <w:vAlign w:val="center"/>
          </w:tcPr>
          <w:p w14:paraId="0FB6DC46">
            <w:pP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采用低价优先法计算，即满足招标文件要求且投标下浮率最高的投标报价为评标基准下浮率，其价格分为满分。</w:t>
            </w:r>
          </w:p>
          <w:p w14:paraId="2C5D2147">
            <w:pPr>
              <w:widowControl/>
              <w:spacing w:line="360" w:lineRule="auto"/>
              <w:jc w:val="left"/>
              <w:textAlignment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其他投标人的价格分统一按照下列公式计算：投标报价（下浮率）得分=（（100%﹣基准下浮率）/（100%﹣投标下浮率））×价格权值（</w:t>
            </w: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val="en-US" w:eastAsia="zh-CN"/>
              </w:rPr>
              <w:t>%）×100</w:t>
            </w:r>
          </w:p>
        </w:tc>
      </w:tr>
    </w:tbl>
    <w:p w14:paraId="1245C3E8">
      <w:pPr>
        <w:jc w:val="center"/>
        <w:rPr>
          <w:rFonts w:hint="eastAsia" w:ascii="宋体" w:hAnsi="宋体" w:eastAsia="宋体" w:cs="宋体"/>
          <w:b/>
          <w:bCs/>
          <w:color w:val="auto"/>
          <w:sz w:val="24"/>
          <w:szCs w:val="24"/>
          <w:highlight w:val="none"/>
        </w:rPr>
      </w:pPr>
    </w:p>
    <w:p w14:paraId="19EC49EE">
      <w:pPr>
        <w:jc w:val="center"/>
        <w:rPr>
          <w:rFonts w:hint="eastAsia" w:ascii="宋体" w:hAnsi="宋体" w:eastAsia="宋体" w:cs="宋体"/>
          <w:b/>
          <w:bCs/>
          <w:color w:val="auto"/>
          <w:sz w:val="24"/>
          <w:szCs w:val="24"/>
          <w:highlight w:val="none"/>
        </w:rPr>
      </w:pPr>
    </w:p>
    <w:p w14:paraId="27D4202F">
      <w:pPr>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商务、技术部分评分表</w:t>
      </w:r>
    </w:p>
    <w:tbl>
      <w:tblPr>
        <w:tblStyle w:val="25"/>
        <w:tblW w:w="10669" w:type="dxa"/>
        <w:jc w:val="center"/>
        <w:tblLayout w:type="fixed"/>
        <w:tblCellMar>
          <w:top w:w="15" w:type="dxa"/>
          <w:left w:w="15" w:type="dxa"/>
          <w:bottom w:w="15" w:type="dxa"/>
          <w:right w:w="15" w:type="dxa"/>
        </w:tblCellMar>
      </w:tblPr>
      <w:tblGrid>
        <w:gridCol w:w="1255"/>
        <w:gridCol w:w="1"/>
        <w:gridCol w:w="738"/>
        <w:gridCol w:w="8675"/>
      </w:tblGrid>
      <w:tr w14:paraId="10FBB504">
        <w:tblPrEx>
          <w:tblCellMar>
            <w:top w:w="15" w:type="dxa"/>
            <w:left w:w="15" w:type="dxa"/>
            <w:bottom w:w="15" w:type="dxa"/>
            <w:right w:w="15" w:type="dxa"/>
          </w:tblCellMar>
        </w:tblPrEx>
        <w:trPr>
          <w:trHeight w:val="845" w:hRule="atLeast"/>
          <w:jc w:val="center"/>
        </w:trPr>
        <w:tc>
          <w:tcPr>
            <w:tcW w:w="1255" w:type="dxa"/>
            <w:tcBorders>
              <w:top w:val="single" w:color="000000" w:sz="4" w:space="0"/>
              <w:left w:val="single" w:color="000000" w:sz="4" w:space="0"/>
              <w:right w:val="single" w:color="000000" w:sz="4" w:space="0"/>
            </w:tcBorders>
            <w:vAlign w:val="center"/>
          </w:tcPr>
          <w:p w14:paraId="43783A25">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评分项目</w:t>
            </w:r>
          </w:p>
        </w:tc>
        <w:tc>
          <w:tcPr>
            <w:tcW w:w="739" w:type="dxa"/>
            <w:gridSpan w:val="2"/>
            <w:tcBorders>
              <w:top w:val="single" w:color="000000" w:sz="4" w:space="0"/>
              <w:left w:val="single" w:color="000000" w:sz="4" w:space="0"/>
            </w:tcBorders>
            <w:vAlign w:val="center"/>
          </w:tcPr>
          <w:p w14:paraId="4E115F9B">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分值</w:t>
            </w:r>
          </w:p>
        </w:tc>
        <w:tc>
          <w:tcPr>
            <w:tcW w:w="8675" w:type="dxa"/>
            <w:tcBorders>
              <w:top w:val="single" w:color="000000" w:sz="4" w:space="0"/>
              <w:left w:val="single" w:color="000000" w:sz="4" w:space="0"/>
              <w:bottom w:val="single" w:color="000000" w:sz="4" w:space="0"/>
              <w:right w:val="single" w:color="000000" w:sz="4" w:space="0"/>
            </w:tcBorders>
            <w:vAlign w:val="center"/>
          </w:tcPr>
          <w:p w14:paraId="2358284A">
            <w:pPr>
              <w:widowControl/>
              <w:spacing w:line="360" w:lineRule="auto"/>
              <w:jc w:val="center"/>
              <w:textAlignment w:val="center"/>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评分原则</w:t>
            </w:r>
          </w:p>
        </w:tc>
      </w:tr>
      <w:tr w14:paraId="1B46A974">
        <w:tblPrEx>
          <w:tblCellMar>
            <w:top w:w="15" w:type="dxa"/>
            <w:left w:w="15" w:type="dxa"/>
            <w:bottom w:w="15" w:type="dxa"/>
            <w:right w:w="15" w:type="dxa"/>
          </w:tblCellMar>
        </w:tblPrEx>
        <w:trPr>
          <w:trHeight w:val="504" w:hRule="atLeast"/>
          <w:jc w:val="center"/>
        </w:trPr>
        <w:tc>
          <w:tcPr>
            <w:tcW w:w="10669" w:type="dxa"/>
            <w:gridSpan w:val="4"/>
            <w:tcBorders>
              <w:top w:val="single" w:color="000000" w:sz="4" w:space="0"/>
              <w:left w:val="single" w:color="000000" w:sz="4" w:space="0"/>
              <w:right w:val="single" w:color="000000" w:sz="4" w:space="0"/>
            </w:tcBorders>
            <w:vAlign w:val="center"/>
          </w:tcPr>
          <w:p w14:paraId="76F39D85">
            <w:pPr>
              <w:widowControl/>
              <w:spacing w:line="360" w:lineRule="auto"/>
              <w:jc w:val="center"/>
              <w:textAlignment w:val="center"/>
              <w:rPr>
                <w:rFonts w:hint="eastAsia" w:ascii="宋体" w:hAnsi="宋体" w:eastAsia="宋体" w:cs="宋体"/>
                <w:b/>
                <w:color w:val="auto"/>
                <w:kern w:val="0"/>
                <w:sz w:val="24"/>
                <w:szCs w:val="24"/>
                <w:highlight w:val="none"/>
              </w:rPr>
            </w:pPr>
            <w:r>
              <w:rPr>
                <w:rFonts w:hint="eastAsia" w:ascii="宋体" w:hAnsi="宋体" w:eastAsia="宋体" w:cs="宋体"/>
                <w:b/>
                <w:bCs/>
                <w:color w:val="auto"/>
                <w:kern w:val="0"/>
                <w:sz w:val="24"/>
                <w:szCs w:val="24"/>
                <w:highlight w:val="none"/>
              </w:rPr>
              <w:t>商务部分</w:t>
            </w:r>
            <w:r>
              <w:rPr>
                <w:rFonts w:hint="eastAsia" w:ascii="宋体" w:hAnsi="宋体" w:eastAsia="宋体" w:cs="宋体"/>
                <w:b/>
                <w:color w:val="auto"/>
                <w:kern w:val="0"/>
                <w:sz w:val="24"/>
                <w:szCs w:val="24"/>
                <w:highlight w:val="none"/>
              </w:rPr>
              <w:t>（商务</w:t>
            </w:r>
            <w:r>
              <w:rPr>
                <w:rFonts w:hint="eastAsia" w:ascii="宋体" w:hAnsi="宋体" w:eastAsia="宋体" w:cs="宋体"/>
                <w:b/>
                <w:color w:val="auto"/>
                <w:kern w:val="0"/>
                <w:sz w:val="24"/>
                <w:szCs w:val="24"/>
                <w:highlight w:val="none"/>
                <w:lang w:eastAsia="zh-CN"/>
              </w:rPr>
              <w:t>部分权重</w:t>
            </w:r>
            <w:r>
              <w:rPr>
                <w:rFonts w:hint="eastAsia" w:ascii="宋体" w:hAnsi="宋体" w:cs="宋体"/>
                <w:b/>
                <w:color w:val="auto"/>
                <w:kern w:val="0"/>
                <w:sz w:val="24"/>
                <w:szCs w:val="24"/>
                <w:highlight w:val="none"/>
                <w:lang w:val="en-US" w:eastAsia="zh-CN"/>
              </w:rPr>
              <w:t>32</w:t>
            </w:r>
            <w:r>
              <w:rPr>
                <w:rFonts w:hint="eastAsia" w:ascii="宋体" w:hAnsi="宋体" w:eastAsia="宋体" w:cs="宋体"/>
                <w:b/>
                <w:color w:val="auto"/>
                <w:kern w:val="0"/>
                <w:sz w:val="24"/>
                <w:szCs w:val="24"/>
                <w:highlight w:val="none"/>
                <w:lang w:val="en-US" w:eastAsia="zh-CN"/>
              </w:rPr>
              <w:t>%</w:t>
            </w:r>
            <w:r>
              <w:rPr>
                <w:rFonts w:hint="eastAsia" w:ascii="宋体" w:hAnsi="宋体" w:eastAsia="宋体" w:cs="宋体"/>
                <w:b/>
                <w:color w:val="auto"/>
                <w:kern w:val="0"/>
                <w:sz w:val="24"/>
                <w:szCs w:val="24"/>
                <w:highlight w:val="none"/>
              </w:rPr>
              <w:t>）</w:t>
            </w:r>
          </w:p>
        </w:tc>
      </w:tr>
      <w:tr w14:paraId="0EFEAD2D">
        <w:tblPrEx>
          <w:tblCellMar>
            <w:top w:w="15" w:type="dxa"/>
            <w:left w:w="15" w:type="dxa"/>
            <w:bottom w:w="15" w:type="dxa"/>
            <w:right w:w="15" w:type="dxa"/>
          </w:tblCellMar>
        </w:tblPrEx>
        <w:trPr>
          <w:trHeight w:val="716" w:hRule="atLeast"/>
          <w:jc w:val="center"/>
        </w:trPr>
        <w:tc>
          <w:tcPr>
            <w:tcW w:w="1255" w:type="dxa"/>
            <w:tcBorders>
              <w:top w:val="single" w:color="auto" w:sz="4" w:space="0"/>
              <w:left w:val="single" w:color="000000" w:sz="4" w:space="0"/>
              <w:bottom w:val="single" w:color="auto" w:sz="4" w:space="0"/>
              <w:right w:val="single" w:color="000000" w:sz="4" w:space="0"/>
            </w:tcBorders>
            <w:vAlign w:val="center"/>
          </w:tcPr>
          <w:p w14:paraId="69CFF219">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bidi="ar-SA"/>
              </w:rPr>
              <w:t>履约能力</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41D0603F">
            <w:pPr>
              <w:widowControl/>
              <w:spacing w:line="360" w:lineRule="auto"/>
              <w:jc w:val="center"/>
              <w:textAlignment w:val="center"/>
              <w:rPr>
                <w:rFonts w:hint="default" w:ascii="宋体" w:hAnsi="宋体" w:eastAsia="宋体" w:cs="宋体"/>
                <w:bCs/>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8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DEB0A">
            <w:pPr>
              <w:widowControl/>
              <w:spacing w:line="360" w:lineRule="auto"/>
              <w:ind w:firstLine="480" w:firstLineChars="200"/>
              <w:jc w:val="left"/>
              <w:textAlignment w:val="center"/>
              <w:rPr>
                <w:rFonts w:hint="eastAsia" w:ascii="宋体" w:hAnsi="宋体" w:eastAsia="宋体" w:cs="宋体"/>
                <w:color w:val="auto"/>
                <w:sz w:val="24"/>
                <w:highlight w:val="none"/>
              </w:rPr>
            </w:pP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rPr>
              <w:t>近三年（</w:t>
            </w:r>
            <w:r>
              <w:rPr>
                <w:rFonts w:hint="eastAsia" w:ascii="宋体" w:hAnsi="宋体" w:eastAsia="宋体" w:cs="宋体"/>
                <w:color w:val="auto"/>
                <w:kern w:val="0"/>
                <w:sz w:val="24"/>
                <w:szCs w:val="24"/>
                <w:highlight w:val="none"/>
                <w:lang w:eastAsia="zh-CN"/>
              </w:rPr>
              <w:t>202</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年</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月</w:t>
            </w:r>
            <w:r>
              <w:rPr>
                <w:rFonts w:hint="eastAsia" w:ascii="宋体" w:hAnsi="宋体" w:eastAsia="宋体" w:cs="宋体"/>
                <w:color w:val="auto"/>
                <w:kern w:val="0"/>
                <w:sz w:val="24"/>
                <w:szCs w:val="24"/>
                <w:highlight w:val="none"/>
              </w:rPr>
              <w:t>1日至今）</w:t>
            </w:r>
            <w:r>
              <w:rPr>
                <w:rFonts w:hint="eastAsia" w:ascii="宋体" w:hAnsi="宋体" w:cs="宋体"/>
                <w:color w:val="auto"/>
                <w:kern w:val="0"/>
                <w:sz w:val="24"/>
                <w:szCs w:val="24"/>
                <w:highlight w:val="none"/>
                <w:lang w:val="en-US" w:eastAsia="zh-CN"/>
              </w:rPr>
              <w:t>同类主副食材配送服务</w:t>
            </w:r>
            <w:r>
              <w:rPr>
                <w:rFonts w:hint="eastAsia" w:ascii="宋体" w:hAnsi="宋体" w:eastAsia="宋体" w:cs="宋体"/>
                <w:color w:val="auto"/>
                <w:kern w:val="0"/>
                <w:sz w:val="24"/>
                <w:szCs w:val="24"/>
                <w:highlight w:val="none"/>
              </w:rPr>
              <w:t>项目业绩，</w:t>
            </w:r>
            <w:r>
              <w:rPr>
                <w:rFonts w:hint="eastAsia" w:ascii="宋体" w:hAnsi="宋体" w:eastAsia="宋体" w:cs="宋体"/>
                <w:color w:val="auto"/>
                <w:sz w:val="24"/>
                <w:highlight w:val="none"/>
                <w:lang w:val="en-US" w:eastAsia="zh-CN"/>
              </w:rPr>
              <w:t>每</w:t>
            </w:r>
            <w:r>
              <w:rPr>
                <w:rFonts w:hint="eastAsia" w:ascii="宋体" w:hAnsi="宋体" w:eastAsia="宋体" w:cs="宋体"/>
                <w:color w:val="auto"/>
                <w:sz w:val="24"/>
                <w:highlight w:val="none"/>
              </w:rPr>
              <w:t>提供一项</w:t>
            </w:r>
            <w:r>
              <w:rPr>
                <w:rFonts w:hint="eastAsia" w:ascii="宋体" w:hAnsi="宋体" w:eastAsia="宋体" w:cs="宋体"/>
                <w:color w:val="auto"/>
                <w:sz w:val="24"/>
                <w:highlight w:val="none"/>
                <w:lang w:val="en-US" w:eastAsia="zh-CN"/>
              </w:rPr>
              <w:t>有效业</w:t>
            </w:r>
            <w:r>
              <w:rPr>
                <w:rFonts w:hint="eastAsia" w:ascii="宋体" w:hAnsi="宋体" w:cs="宋体"/>
                <w:color w:val="auto"/>
                <w:sz w:val="24"/>
                <w:highlight w:val="none"/>
                <w:lang w:val="en-US" w:eastAsia="zh-CN"/>
              </w:rPr>
              <w:t>绩</w:t>
            </w:r>
            <w:r>
              <w:rPr>
                <w:rFonts w:hint="eastAsia" w:ascii="宋体" w:hAnsi="宋体" w:eastAsia="宋体" w:cs="宋体"/>
                <w:color w:val="auto"/>
                <w:sz w:val="24"/>
                <w:highlight w:val="none"/>
              </w:rPr>
              <w:t>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分，满分</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分。</w:t>
            </w:r>
          </w:p>
          <w:p w14:paraId="5D07FC10">
            <w:pPr>
              <w:widowControl/>
              <w:spacing w:line="360" w:lineRule="auto"/>
              <w:ind w:firstLine="480" w:firstLineChars="200"/>
              <w:jc w:val="left"/>
              <w:textAlignment w:val="center"/>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lang w:val="en-US" w:eastAsia="zh-CN"/>
              </w:rPr>
              <w:t>注：</w:t>
            </w:r>
            <w:r>
              <w:rPr>
                <w:rFonts w:hint="eastAsia" w:ascii="宋体" w:hAnsi="宋体" w:cs="宋体"/>
                <w:color w:val="auto"/>
                <w:sz w:val="24"/>
                <w:highlight w:val="none"/>
                <w:lang w:val="en-US" w:eastAsia="zh-CN"/>
              </w:rPr>
              <w:t>有效业绩包括：</w:t>
            </w:r>
          </w:p>
          <w:p w14:paraId="756B7D91">
            <w:pPr>
              <w:widowControl/>
              <w:spacing w:line="360" w:lineRule="auto"/>
              <w:ind w:firstLine="480" w:firstLineChars="200"/>
              <w:jc w:val="left"/>
              <w:textAlignment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1.配送服务合同（内容包括但不限于体现合同双方名称、盖章、签署日期、采购订单、合同金额、服务内容、结算周期和时限等关键页）；</w:t>
            </w:r>
          </w:p>
          <w:p w14:paraId="734AA0E8">
            <w:pPr>
              <w:widowControl/>
              <w:spacing w:line="360" w:lineRule="auto"/>
              <w:ind w:firstLine="480" w:firstLineChars="200"/>
              <w:jc w:val="left"/>
              <w:textAlignment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2.与此合同对应的增值税发票（根据配送服务合同中约定的结算周期和时限，须体现连续两个结算周期的增值税发票）。</w:t>
            </w:r>
          </w:p>
          <w:p w14:paraId="09FF6E35">
            <w:pPr>
              <w:widowControl/>
              <w:spacing w:line="360" w:lineRule="auto"/>
              <w:ind w:firstLine="480" w:firstLineChars="200"/>
              <w:jc w:val="left"/>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sz w:val="24"/>
                <w:highlight w:val="none"/>
                <w:lang w:val="en-US" w:eastAsia="zh-CN"/>
              </w:rPr>
              <w:t>以上资料复印件须清晰可辨，模糊不清或资料不完整视为无效业绩，不得分</w:t>
            </w:r>
            <w:r>
              <w:rPr>
                <w:rFonts w:hint="eastAsia" w:ascii="宋体" w:hAnsi="宋体" w:eastAsia="宋体" w:cs="宋体"/>
                <w:color w:val="auto"/>
                <w:sz w:val="24"/>
                <w:highlight w:val="none"/>
                <w:lang w:val="en-US" w:eastAsia="zh-CN"/>
              </w:rPr>
              <w:t>。</w:t>
            </w:r>
          </w:p>
        </w:tc>
      </w:tr>
      <w:tr w14:paraId="5848A71C">
        <w:tblPrEx>
          <w:tblCellMar>
            <w:top w:w="15" w:type="dxa"/>
            <w:left w:w="15" w:type="dxa"/>
            <w:bottom w:w="15" w:type="dxa"/>
            <w:right w:w="15" w:type="dxa"/>
          </w:tblCellMar>
        </w:tblPrEx>
        <w:trPr>
          <w:trHeight w:val="716" w:hRule="atLeast"/>
          <w:jc w:val="center"/>
        </w:trPr>
        <w:tc>
          <w:tcPr>
            <w:tcW w:w="1255" w:type="dxa"/>
            <w:tcBorders>
              <w:top w:val="single" w:color="auto" w:sz="4" w:space="0"/>
              <w:left w:val="single" w:color="000000" w:sz="4" w:space="0"/>
              <w:bottom w:val="single" w:color="auto" w:sz="4" w:space="0"/>
              <w:right w:val="single" w:color="000000" w:sz="4" w:space="0"/>
            </w:tcBorders>
            <w:vAlign w:val="center"/>
          </w:tcPr>
          <w:p w14:paraId="74ABBD5A">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color w:val="auto"/>
                <w:kern w:val="0"/>
                <w:sz w:val="24"/>
                <w:szCs w:val="24"/>
                <w:highlight w:val="none"/>
                <w:lang w:val="en-US" w:eastAsia="zh-CN"/>
              </w:rPr>
              <w:t>仓储能力</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6B2F778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p>
        </w:tc>
        <w:tc>
          <w:tcPr>
            <w:tcW w:w="8675" w:type="dxa"/>
            <w:tcBorders>
              <w:top w:val="single" w:color="000000" w:sz="4" w:space="0"/>
              <w:left w:val="single" w:color="000000" w:sz="4" w:space="0"/>
              <w:bottom w:val="single" w:color="000000" w:sz="4" w:space="0"/>
              <w:right w:val="single" w:color="000000" w:sz="4" w:space="0"/>
            </w:tcBorders>
            <w:vAlign w:val="center"/>
          </w:tcPr>
          <w:p w14:paraId="05A265A5">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highlight w:val="none"/>
              </w:rPr>
            </w:pPr>
            <w:r>
              <w:rPr>
                <w:rFonts w:hint="eastAsia" w:ascii="宋体" w:hAnsi="宋体" w:eastAsia="宋体" w:cs="宋体"/>
                <w:color w:val="auto"/>
                <w:kern w:val="0"/>
                <w:sz w:val="24"/>
                <w:szCs w:val="24"/>
                <w:highlight w:val="none"/>
                <w:lang w:val="en-US" w:eastAsia="zh-CN"/>
              </w:rPr>
              <w:t>投标人具有满足项目供货需求的仓储、存放、保鲜</w:t>
            </w:r>
            <w:r>
              <w:rPr>
                <w:rFonts w:hint="eastAsia" w:ascii="宋体" w:hAnsi="宋体" w:cs="宋体"/>
                <w:color w:val="auto"/>
                <w:kern w:val="0"/>
                <w:sz w:val="24"/>
                <w:szCs w:val="24"/>
                <w:highlight w:val="none"/>
                <w:lang w:val="en-US" w:eastAsia="zh-CN"/>
              </w:rPr>
              <w:t>冷藏等</w:t>
            </w:r>
            <w:r>
              <w:rPr>
                <w:rFonts w:hint="eastAsia" w:ascii="宋体" w:hAnsi="宋体" w:eastAsia="宋体" w:cs="宋体"/>
                <w:color w:val="auto"/>
                <w:kern w:val="0"/>
                <w:sz w:val="24"/>
                <w:szCs w:val="24"/>
                <w:highlight w:val="none"/>
                <w:lang w:val="en-US" w:eastAsia="zh-CN"/>
              </w:rPr>
              <w:t xml:space="preserve">能力： </w:t>
            </w:r>
          </w:p>
          <w:p w14:paraId="156BB2F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.具备自有或租赁</w:t>
            </w:r>
            <w:r>
              <w:rPr>
                <w:rFonts w:hint="eastAsia" w:ascii="宋体" w:hAnsi="宋体" w:eastAsia="宋体" w:cs="宋体"/>
                <w:color w:val="auto"/>
                <w:kern w:val="0"/>
                <w:sz w:val="24"/>
                <w:szCs w:val="24"/>
                <w:highlight w:val="none"/>
                <w:lang w:val="en-US" w:eastAsia="zh-CN"/>
              </w:rPr>
              <w:t>的储存仓库或基地的得3分，没有的不得分。</w:t>
            </w:r>
          </w:p>
          <w:p w14:paraId="5F2E565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cs="宋体"/>
                <w:color w:val="auto"/>
                <w:kern w:val="0"/>
                <w:sz w:val="24"/>
                <w:szCs w:val="24"/>
                <w:highlight w:val="none"/>
                <w:lang w:val="en-US" w:eastAsia="zh-CN"/>
              </w:rPr>
              <w:t>具备自有或租赁冷库的得3分，自有或租赁</w:t>
            </w:r>
            <w:r>
              <w:rPr>
                <w:rFonts w:hint="eastAsia" w:ascii="宋体" w:hAnsi="宋体" w:eastAsia="宋体" w:cs="宋体"/>
                <w:color w:val="auto"/>
                <w:kern w:val="0"/>
                <w:sz w:val="24"/>
                <w:szCs w:val="24"/>
                <w:highlight w:val="none"/>
                <w:lang w:val="en-US" w:eastAsia="zh-CN"/>
              </w:rPr>
              <w:t>保鲜冷</w:t>
            </w:r>
            <w:r>
              <w:rPr>
                <w:rFonts w:hint="eastAsia" w:ascii="宋体" w:hAnsi="宋体" w:cs="宋体"/>
                <w:color w:val="auto"/>
                <w:kern w:val="0"/>
                <w:sz w:val="24"/>
                <w:szCs w:val="24"/>
                <w:highlight w:val="none"/>
                <w:lang w:val="en-US" w:eastAsia="zh-CN"/>
              </w:rPr>
              <w:t>藏</w:t>
            </w:r>
            <w:r>
              <w:rPr>
                <w:rFonts w:hint="eastAsia" w:ascii="宋体" w:hAnsi="宋体" w:eastAsia="宋体" w:cs="宋体"/>
                <w:color w:val="auto"/>
                <w:kern w:val="0"/>
                <w:sz w:val="24"/>
                <w:szCs w:val="24"/>
                <w:highlight w:val="none"/>
                <w:lang w:val="en-US" w:eastAsia="zh-CN"/>
              </w:rPr>
              <w:t>室</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en-US" w:eastAsia="zh-CN"/>
              </w:rPr>
              <w:t>得</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，本项最高6分，</w:t>
            </w:r>
            <w:r>
              <w:rPr>
                <w:rFonts w:hint="eastAsia" w:ascii="宋体" w:hAnsi="宋体" w:eastAsia="宋体" w:cs="宋体"/>
                <w:color w:val="auto"/>
                <w:kern w:val="0"/>
                <w:sz w:val="24"/>
                <w:szCs w:val="24"/>
                <w:highlight w:val="none"/>
                <w:lang w:val="en-US" w:eastAsia="zh-CN"/>
              </w:rPr>
              <w:t xml:space="preserve">没有的不得分。 </w:t>
            </w:r>
          </w:p>
          <w:p w14:paraId="3479BD11">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注：1）</w:t>
            </w:r>
            <w:r>
              <w:rPr>
                <w:rFonts w:hint="eastAsia" w:ascii="宋体" w:hAnsi="宋体" w:cs="宋体"/>
                <w:color w:val="auto"/>
                <w:sz w:val="24"/>
                <w:highlight w:val="none"/>
                <w:lang w:val="en-US" w:eastAsia="zh-CN"/>
              </w:rPr>
              <w:t>上述场地以</w:t>
            </w:r>
            <w:r>
              <w:rPr>
                <w:rFonts w:hint="eastAsia" w:ascii="宋体" w:hAnsi="宋体" w:cs="宋体"/>
                <w:color w:val="auto"/>
                <w:kern w:val="0"/>
                <w:sz w:val="24"/>
                <w:szCs w:val="24"/>
                <w:highlight w:val="none"/>
                <w:lang w:val="en-US" w:eastAsia="zh-CN"/>
              </w:rPr>
              <w:t>房屋不动产权证书，产权人</w:t>
            </w:r>
            <w:r>
              <w:rPr>
                <w:rFonts w:hint="eastAsia" w:ascii="宋体" w:hAnsi="宋体" w:eastAsia="宋体" w:cs="宋体"/>
                <w:color w:val="auto"/>
                <w:kern w:val="0"/>
                <w:sz w:val="24"/>
                <w:szCs w:val="24"/>
                <w:highlight w:val="none"/>
                <w:lang w:val="en-US" w:eastAsia="zh-CN"/>
              </w:rPr>
              <w:t>购房合同及付款凭证，自建房产的合法建造证明，土地使用证，历史交易文件等材料（以上证明材料提供任意一项即可）或租赁合同（</w:t>
            </w:r>
            <w:r>
              <w:rPr>
                <w:rFonts w:hint="eastAsia" w:ascii="宋体" w:hAnsi="宋体" w:cs="宋体"/>
                <w:color w:val="auto"/>
                <w:kern w:val="0"/>
                <w:sz w:val="24"/>
                <w:szCs w:val="24"/>
                <w:highlight w:val="none"/>
                <w:lang w:val="en-US" w:eastAsia="zh-CN"/>
              </w:rPr>
              <w:t>合同内容</w:t>
            </w:r>
            <w:r>
              <w:rPr>
                <w:rFonts w:hint="eastAsia" w:ascii="宋体" w:hAnsi="宋体" w:cs="宋体"/>
                <w:color w:val="auto"/>
                <w:sz w:val="24"/>
                <w:highlight w:val="none"/>
                <w:lang w:val="en-US" w:eastAsia="zh-CN"/>
              </w:rPr>
              <w:t>包括但不限于合同双方名称、盖章、签署日期、场所面积、合同金额、租用期限等关键页</w:t>
            </w:r>
            <w:r>
              <w:rPr>
                <w:rFonts w:hint="eastAsia" w:ascii="宋体" w:hAnsi="宋体" w:eastAsia="宋体" w:cs="宋体"/>
                <w:color w:val="auto"/>
                <w:kern w:val="0"/>
                <w:sz w:val="24"/>
                <w:szCs w:val="24"/>
                <w:highlight w:val="none"/>
                <w:lang w:val="en-US" w:eastAsia="zh-CN"/>
              </w:rPr>
              <w:t>）或其他能够证明该场地为投标人自有或租赁的相关证明材料为准。</w:t>
            </w:r>
            <w:r>
              <w:rPr>
                <w:rFonts w:hint="eastAsia" w:ascii="宋体" w:hAnsi="宋体" w:cs="宋体"/>
                <w:color w:val="auto"/>
                <w:sz w:val="24"/>
                <w:highlight w:val="none"/>
                <w:lang w:val="en-US" w:eastAsia="zh-CN"/>
              </w:rPr>
              <w:t>以上资料复印件须清晰可辨，模糊不清或不完整视为无效资料，不得分</w:t>
            </w:r>
            <w:r>
              <w:rPr>
                <w:rFonts w:hint="eastAsia" w:ascii="宋体" w:hAnsi="宋体" w:cs="宋体"/>
                <w:color w:val="auto"/>
                <w:kern w:val="0"/>
                <w:sz w:val="24"/>
                <w:szCs w:val="24"/>
                <w:highlight w:val="none"/>
                <w:lang w:val="en-US" w:eastAsia="zh-CN"/>
              </w:rPr>
              <w:t>）</w:t>
            </w:r>
          </w:p>
          <w:p w14:paraId="45D9E87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cs="宋体"/>
                <w:color w:val="auto"/>
                <w:sz w:val="24"/>
                <w:highlight w:val="none"/>
                <w:lang w:val="en-US" w:eastAsia="zh-CN"/>
              </w:rPr>
              <w:t>2）冷库、</w:t>
            </w:r>
            <w:r>
              <w:rPr>
                <w:rFonts w:hint="eastAsia" w:ascii="宋体" w:hAnsi="宋体" w:eastAsia="宋体" w:cs="宋体"/>
                <w:color w:val="auto"/>
                <w:kern w:val="0"/>
                <w:sz w:val="24"/>
                <w:szCs w:val="24"/>
                <w:highlight w:val="none"/>
                <w:lang w:val="en-US" w:eastAsia="zh-CN"/>
              </w:rPr>
              <w:t>保鲜冷</w:t>
            </w:r>
            <w:r>
              <w:rPr>
                <w:rFonts w:hint="eastAsia" w:ascii="宋体" w:hAnsi="宋体" w:cs="宋体"/>
                <w:color w:val="auto"/>
                <w:kern w:val="0"/>
                <w:sz w:val="24"/>
                <w:szCs w:val="24"/>
                <w:highlight w:val="none"/>
                <w:lang w:val="en-US" w:eastAsia="zh-CN"/>
              </w:rPr>
              <w:t>藏场所</w:t>
            </w:r>
            <w:r>
              <w:rPr>
                <w:rFonts w:hint="eastAsia" w:ascii="宋体" w:hAnsi="宋体" w:eastAsia="宋体" w:cs="宋体"/>
                <w:color w:val="auto"/>
                <w:kern w:val="0"/>
                <w:sz w:val="24"/>
                <w:szCs w:val="24"/>
                <w:highlight w:val="none"/>
                <w:lang w:val="en-US" w:eastAsia="zh-CN"/>
              </w:rPr>
              <w:t>除提供上述资料外另须提供</w:t>
            </w:r>
            <w:r>
              <w:rPr>
                <w:rFonts w:hint="eastAsia" w:ascii="宋体" w:hAnsi="宋体" w:cs="宋体"/>
                <w:color w:val="auto"/>
                <w:kern w:val="0"/>
                <w:sz w:val="24"/>
                <w:szCs w:val="24"/>
                <w:highlight w:val="none"/>
                <w:lang w:val="en-US" w:eastAsia="zh-CN"/>
              </w:rPr>
              <w:t>清晰完整的多角度实地实景彩色照片（如原料区、成品区、</w:t>
            </w:r>
            <w:r>
              <w:rPr>
                <w:rFonts w:hint="eastAsia" w:ascii="宋体" w:hAnsi="宋体" w:eastAsia="宋体" w:cs="宋体"/>
                <w:color w:val="auto"/>
                <w:kern w:val="0"/>
                <w:sz w:val="24"/>
                <w:szCs w:val="24"/>
                <w:highlight w:val="none"/>
                <w:lang w:val="en-US" w:eastAsia="zh-CN"/>
              </w:rPr>
              <w:t>生鲜、干货分离</w:t>
            </w:r>
            <w:r>
              <w:rPr>
                <w:rFonts w:hint="eastAsia" w:ascii="宋体" w:hAnsi="宋体" w:cs="宋体"/>
                <w:color w:val="auto"/>
                <w:kern w:val="0"/>
                <w:sz w:val="24"/>
                <w:szCs w:val="24"/>
                <w:highlight w:val="none"/>
                <w:lang w:val="en-US" w:eastAsia="zh-CN"/>
              </w:rPr>
              <w:t>等分区情况和卫生环境）并附对应的相关文字性说明（至少包含该场所具体位置）</w:t>
            </w:r>
            <w:r>
              <w:rPr>
                <w:rFonts w:hint="eastAsia" w:ascii="宋体" w:hAnsi="宋体" w:eastAsia="宋体" w:cs="宋体"/>
                <w:color w:val="auto"/>
                <w:kern w:val="0"/>
                <w:sz w:val="24"/>
                <w:szCs w:val="24"/>
                <w:highlight w:val="none"/>
                <w:lang w:val="en-US" w:eastAsia="zh-CN"/>
              </w:rPr>
              <w:t>，否则不得分。</w:t>
            </w:r>
          </w:p>
        </w:tc>
      </w:tr>
      <w:tr w14:paraId="15295DC2">
        <w:tblPrEx>
          <w:tblCellMar>
            <w:top w:w="15" w:type="dxa"/>
            <w:left w:w="15" w:type="dxa"/>
            <w:bottom w:w="15" w:type="dxa"/>
            <w:right w:w="15" w:type="dxa"/>
          </w:tblCellMar>
        </w:tblPrEx>
        <w:trPr>
          <w:trHeight w:val="716" w:hRule="atLeast"/>
          <w:jc w:val="center"/>
        </w:trPr>
        <w:tc>
          <w:tcPr>
            <w:tcW w:w="1255" w:type="dxa"/>
            <w:tcBorders>
              <w:top w:val="single" w:color="auto" w:sz="4" w:space="0"/>
              <w:left w:val="single" w:color="000000" w:sz="4" w:space="0"/>
              <w:bottom w:val="single" w:color="auto" w:sz="4" w:space="0"/>
              <w:right w:val="single" w:color="000000" w:sz="4" w:space="0"/>
            </w:tcBorders>
            <w:shd w:val="clear" w:color="auto" w:fill="auto"/>
            <w:vAlign w:val="center"/>
          </w:tcPr>
          <w:p w14:paraId="0B4FBED5">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人员</w:t>
            </w:r>
            <w:r>
              <w:rPr>
                <w:rFonts w:hint="eastAsia" w:ascii="宋体" w:hAnsi="宋体" w:cs="宋体"/>
                <w:color w:val="auto"/>
                <w:kern w:val="0"/>
                <w:sz w:val="24"/>
                <w:szCs w:val="24"/>
                <w:highlight w:val="none"/>
                <w:lang w:val="en-US" w:eastAsia="zh-CN"/>
              </w:rPr>
              <w:t>配备</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4186F9A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分</w:t>
            </w:r>
          </w:p>
        </w:tc>
        <w:tc>
          <w:tcPr>
            <w:tcW w:w="8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6563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根据本项目主副食材采购配送的实际需求，投标人须为本项目</w:t>
            </w:r>
            <w:r>
              <w:rPr>
                <w:rFonts w:hint="eastAsia" w:ascii="宋体" w:hAnsi="宋体" w:cs="宋体"/>
                <w:color w:val="auto"/>
                <w:kern w:val="0"/>
                <w:sz w:val="24"/>
                <w:szCs w:val="24"/>
                <w:highlight w:val="none"/>
                <w:lang w:val="en-US" w:eastAsia="zh-CN"/>
              </w:rPr>
              <w:t>配备</w:t>
            </w:r>
            <w:r>
              <w:rPr>
                <w:rFonts w:hint="eastAsia" w:ascii="宋体" w:hAnsi="宋体" w:eastAsia="宋体" w:cs="宋体"/>
                <w:color w:val="auto"/>
                <w:kern w:val="0"/>
                <w:sz w:val="24"/>
                <w:szCs w:val="24"/>
                <w:highlight w:val="none"/>
                <w:lang w:val="en-US" w:eastAsia="zh-CN"/>
              </w:rPr>
              <w:t>相应的服务团队以保证本项目按时履约和服务质量。投入本项目团队成员</w:t>
            </w:r>
            <w:r>
              <w:rPr>
                <w:rFonts w:hint="eastAsia" w:ascii="宋体" w:hAnsi="宋体" w:cs="宋体"/>
                <w:color w:val="auto"/>
                <w:kern w:val="0"/>
                <w:sz w:val="24"/>
                <w:szCs w:val="24"/>
                <w:highlight w:val="none"/>
                <w:lang w:val="en-US" w:eastAsia="zh-CN"/>
              </w:rPr>
              <w:t>3人，得2分，</w:t>
            </w:r>
            <w:r>
              <w:rPr>
                <w:rFonts w:hint="eastAsia" w:ascii="宋体" w:hAnsi="宋体" w:eastAsia="宋体" w:cs="宋体"/>
                <w:color w:val="auto"/>
                <w:kern w:val="0"/>
                <w:sz w:val="24"/>
                <w:szCs w:val="24"/>
                <w:highlight w:val="none"/>
                <w:lang w:val="en-US" w:eastAsia="zh-CN"/>
              </w:rPr>
              <w:t>每增加一人</w:t>
            </w:r>
            <w:r>
              <w:rPr>
                <w:rFonts w:hint="eastAsia" w:ascii="宋体" w:hAnsi="宋体" w:cs="宋体"/>
                <w:color w:val="auto"/>
                <w:kern w:val="0"/>
                <w:sz w:val="24"/>
                <w:szCs w:val="24"/>
                <w:highlight w:val="none"/>
                <w:lang w:val="en-US" w:eastAsia="zh-CN"/>
              </w:rPr>
              <w:t>得1</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此项</w:t>
            </w:r>
            <w:r>
              <w:rPr>
                <w:rFonts w:hint="eastAsia" w:ascii="宋体" w:hAnsi="宋体" w:eastAsia="宋体" w:cs="宋体"/>
                <w:color w:val="auto"/>
                <w:kern w:val="0"/>
                <w:sz w:val="24"/>
                <w:szCs w:val="24"/>
                <w:highlight w:val="none"/>
                <w:lang w:val="en-US" w:eastAsia="zh-CN"/>
              </w:rPr>
              <w:t>满分</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 xml:space="preserve">分。 </w:t>
            </w:r>
          </w:p>
          <w:p w14:paraId="0C90D148">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注：所有配备人员均须具备有效期内的劳动合同或社保缴纳证明、健康证以及身份证件，</w:t>
            </w:r>
            <w:r>
              <w:rPr>
                <w:rFonts w:hint="eastAsia" w:ascii="宋体" w:hAnsi="宋体" w:cs="宋体"/>
                <w:color w:val="auto"/>
                <w:kern w:val="0"/>
                <w:sz w:val="24"/>
                <w:szCs w:val="24"/>
                <w:highlight w:val="none"/>
                <w:lang w:val="en-US" w:eastAsia="zh-CN"/>
              </w:rPr>
              <w:t>未提供或资料不全、显示不清晰的</w:t>
            </w:r>
            <w:r>
              <w:rPr>
                <w:rFonts w:hint="eastAsia" w:ascii="宋体" w:hAnsi="宋体" w:eastAsia="宋体" w:cs="宋体"/>
                <w:color w:val="auto"/>
                <w:kern w:val="0"/>
                <w:sz w:val="24"/>
                <w:szCs w:val="24"/>
                <w:highlight w:val="none"/>
                <w:lang w:val="en-US" w:eastAsia="zh-CN"/>
              </w:rPr>
              <w:t>不得分</w:t>
            </w:r>
            <w:r>
              <w:rPr>
                <w:rFonts w:hint="eastAsia" w:ascii="宋体" w:hAnsi="宋体" w:cs="宋体"/>
                <w:color w:val="auto"/>
                <w:kern w:val="0"/>
                <w:sz w:val="24"/>
                <w:szCs w:val="24"/>
                <w:highlight w:val="none"/>
                <w:lang w:val="en-US" w:eastAsia="zh-CN"/>
              </w:rPr>
              <w:t>。</w:t>
            </w:r>
          </w:p>
        </w:tc>
      </w:tr>
      <w:tr w14:paraId="74BE2222">
        <w:tblPrEx>
          <w:tblCellMar>
            <w:top w:w="15" w:type="dxa"/>
            <w:left w:w="15" w:type="dxa"/>
            <w:bottom w:w="15" w:type="dxa"/>
            <w:right w:w="15" w:type="dxa"/>
          </w:tblCellMar>
        </w:tblPrEx>
        <w:trPr>
          <w:trHeight w:val="716" w:hRule="atLeast"/>
          <w:jc w:val="center"/>
        </w:trPr>
        <w:tc>
          <w:tcPr>
            <w:tcW w:w="1255" w:type="dxa"/>
            <w:tcBorders>
              <w:top w:val="single" w:color="auto" w:sz="4" w:space="0"/>
              <w:left w:val="single" w:color="000000" w:sz="4" w:space="0"/>
              <w:bottom w:val="single" w:color="auto" w:sz="4" w:space="0"/>
              <w:right w:val="single" w:color="000000" w:sz="4" w:space="0"/>
            </w:tcBorders>
            <w:shd w:val="clear" w:color="auto" w:fill="auto"/>
            <w:vAlign w:val="center"/>
          </w:tcPr>
          <w:p w14:paraId="623BB3C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配送</w:t>
            </w:r>
            <w:r>
              <w:rPr>
                <w:rFonts w:hint="eastAsia" w:ascii="宋体" w:hAnsi="宋体" w:cs="宋体"/>
                <w:color w:val="auto"/>
                <w:kern w:val="0"/>
                <w:sz w:val="24"/>
                <w:szCs w:val="24"/>
                <w:highlight w:val="none"/>
                <w:lang w:val="en-US" w:eastAsia="zh-CN"/>
              </w:rPr>
              <w:t>能力</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762F933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分</w:t>
            </w:r>
          </w:p>
        </w:tc>
        <w:tc>
          <w:tcPr>
            <w:tcW w:w="8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E0CA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投标人1.</w:t>
            </w:r>
            <w:r>
              <w:rPr>
                <w:rFonts w:hint="eastAsia" w:ascii="宋体" w:hAnsi="宋体" w:eastAsia="宋体" w:cs="宋体"/>
                <w:color w:val="auto"/>
                <w:kern w:val="0"/>
                <w:sz w:val="24"/>
                <w:szCs w:val="24"/>
                <w:highlight w:val="none"/>
                <w:lang w:val="en-US" w:eastAsia="zh-CN"/>
              </w:rPr>
              <w:t>自有或租赁满足项目所需的常温配送车辆（专业配送车辆包括不仅限于中型货车，箱式货车等专业的配送车辆），每辆得</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分，满分</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 xml:space="preserve">分。 </w:t>
            </w:r>
          </w:p>
          <w:p w14:paraId="34896400">
            <w:pPr>
              <w:pStyle w:val="11"/>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rPr>
              <w:t>自有或租赁满足项目所需的冷链运送车辆，每辆得1分，满分</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分。</w:t>
            </w:r>
          </w:p>
          <w:p w14:paraId="7344061B">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注：①自有车辆须提供与</w:t>
            </w: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en-US" w:eastAsia="zh-CN"/>
              </w:rPr>
              <w:t>信息一致的车辆登记证、行驶证、车辆保险证明、车辆正面照片（含车牌）。②租赁车辆须提供租赁合同、与租赁</w:t>
            </w:r>
            <w:r>
              <w:rPr>
                <w:rFonts w:hint="eastAsia" w:ascii="宋体" w:hAnsi="宋体" w:cs="宋体"/>
                <w:color w:val="auto"/>
                <w:kern w:val="0"/>
                <w:sz w:val="24"/>
                <w:szCs w:val="24"/>
                <w:highlight w:val="none"/>
                <w:lang w:val="en-US" w:eastAsia="zh-CN"/>
              </w:rPr>
              <w:t>方</w:t>
            </w:r>
            <w:r>
              <w:rPr>
                <w:rFonts w:hint="eastAsia" w:ascii="宋体" w:hAnsi="宋体" w:eastAsia="宋体" w:cs="宋体"/>
                <w:color w:val="auto"/>
                <w:kern w:val="0"/>
                <w:sz w:val="24"/>
                <w:szCs w:val="24"/>
                <w:highlight w:val="none"/>
                <w:lang w:val="en-US" w:eastAsia="zh-CN"/>
              </w:rPr>
              <w:t>信息一致的车辆登记证、行驶证、车辆保险证明、车辆正面照片（含车牌）。</w:t>
            </w:r>
          </w:p>
          <w:p w14:paraId="174C0C3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投标人须在投标文件中提供配送车辆相关证明的彩色扫描件。证明材料不全</w:t>
            </w:r>
            <w:r>
              <w:rPr>
                <w:rFonts w:hint="eastAsia" w:ascii="宋体" w:hAnsi="宋体" w:cs="宋体"/>
                <w:color w:val="auto"/>
                <w:kern w:val="0"/>
                <w:sz w:val="24"/>
                <w:szCs w:val="24"/>
                <w:highlight w:val="none"/>
                <w:lang w:val="en-US" w:eastAsia="zh-CN"/>
              </w:rPr>
              <w:t>或内容不清晰</w:t>
            </w:r>
            <w:r>
              <w:rPr>
                <w:rFonts w:hint="eastAsia" w:ascii="宋体" w:hAnsi="宋体" w:eastAsia="宋体" w:cs="宋体"/>
                <w:color w:val="auto"/>
                <w:kern w:val="0"/>
                <w:sz w:val="24"/>
                <w:szCs w:val="24"/>
                <w:highlight w:val="none"/>
                <w:lang w:val="en-US" w:eastAsia="zh-CN"/>
              </w:rPr>
              <w:t>，应年检未年检或者年检过期的、超出证件有效期的均不得分。</w:t>
            </w:r>
          </w:p>
        </w:tc>
      </w:tr>
      <w:tr w14:paraId="629FD59E">
        <w:tblPrEx>
          <w:tblCellMar>
            <w:top w:w="15" w:type="dxa"/>
            <w:left w:w="15" w:type="dxa"/>
            <w:bottom w:w="15" w:type="dxa"/>
            <w:right w:w="15" w:type="dxa"/>
          </w:tblCellMar>
        </w:tblPrEx>
        <w:trPr>
          <w:trHeight w:val="626" w:hRule="atLeast"/>
          <w:jc w:val="center"/>
        </w:trPr>
        <w:tc>
          <w:tcPr>
            <w:tcW w:w="10669" w:type="dxa"/>
            <w:gridSpan w:val="4"/>
            <w:tcBorders>
              <w:left w:val="single" w:color="000000" w:sz="4" w:space="0"/>
              <w:bottom w:val="single" w:color="auto" w:sz="4" w:space="0"/>
              <w:right w:val="single" w:color="000000" w:sz="4" w:space="0"/>
            </w:tcBorders>
            <w:vAlign w:val="center"/>
          </w:tcPr>
          <w:p w14:paraId="2E00B00D">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技术</w:t>
            </w:r>
            <w:r>
              <w:rPr>
                <w:rFonts w:hint="eastAsia" w:ascii="宋体" w:hAnsi="宋体" w:eastAsia="宋体" w:cs="宋体"/>
                <w:b/>
                <w:bCs/>
                <w:color w:val="auto"/>
                <w:kern w:val="0"/>
                <w:sz w:val="24"/>
                <w:szCs w:val="24"/>
                <w:highlight w:val="none"/>
              </w:rPr>
              <w:t>部分</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val="en-US" w:eastAsia="zh-CN"/>
              </w:rPr>
              <w:t>技术</w:t>
            </w:r>
            <w:r>
              <w:rPr>
                <w:rFonts w:hint="eastAsia" w:ascii="宋体" w:hAnsi="宋体" w:eastAsia="宋体" w:cs="宋体"/>
                <w:b/>
                <w:color w:val="auto"/>
                <w:kern w:val="0"/>
                <w:sz w:val="24"/>
                <w:szCs w:val="24"/>
                <w:highlight w:val="none"/>
                <w:lang w:eastAsia="zh-CN"/>
              </w:rPr>
              <w:t>部分权重</w:t>
            </w:r>
            <w:r>
              <w:rPr>
                <w:rFonts w:hint="eastAsia" w:ascii="宋体" w:hAnsi="宋体" w:cs="宋体"/>
                <w:b/>
                <w:color w:val="auto"/>
                <w:kern w:val="0"/>
                <w:sz w:val="24"/>
                <w:szCs w:val="24"/>
                <w:highlight w:val="none"/>
                <w:lang w:val="en-US" w:eastAsia="zh-CN"/>
              </w:rPr>
              <w:t>58</w:t>
            </w:r>
            <w:r>
              <w:rPr>
                <w:rFonts w:hint="eastAsia" w:ascii="宋体" w:hAnsi="宋体" w:eastAsia="宋体" w:cs="宋体"/>
                <w:b/>
                <w:color w:val="auto"/>
                <w:kern w:val="0"/>
                <w:sz w:val="24"/>
                <w:szCs w:val="24"/>
                <w:highlight w:val="none"/>
                <w:lang w:val="en-US" w:eastAsia="zh-CN"/>
              </w:rPr>
              <w:t>%</w:t>
            </w:r>
            <w:r>
              <w:rPr>
                <w:rFonts w:hint="eastAsia" w:ascii="宋体" w:hAnsi="宋体" w:eastAsia="宋体" w:cs="宋体"/>
                <w:b/>
                <w:color w:val="auto"/>
                <w:kern w:val="0"/>
                <w:sz w:val="24"/>
                <w:szCs w:val="24"/>
                <w:highlight w:val="none"/>
              </w:rPr>
              <w:t>）</w:t>
            </w:r>
          </w:p>
        </w:tc>
      </w:tr>
      <w:tr w14:paraId="23EAC526">
        <w:tblPrEx>
          <w:tblCellMar>
            <w:top w:w="15" w:type="dxa"/>
            <w:left w:w="15" w:type="dxa"/>
            <w:bottom w:w="15" w:type="dxa"/>
            <w:right w:w="15" w:type="dxa"/>
          </w:tblCellMar>
        </w:tblPrEx>
        <w:trPr>
          <w:trHeight w:val="626" w:hRule="atLeast"/>
          <w:jc w:val="center"/>
        </w:trPr>
        <w:tc>
          <w:tcPr>
            <w:tcW w:w="1256" w:type="dxa"/>
            <w:gridSpan w:val="2"/>
            <w:tcBorders>
              <w:top w:val="single" w:color="auto" w:sz="4" w:space="0"/>
              <w:left w:val="single" w:color="auto" w:sz="4" w:space="0"/>
              <w:bottom w:val="single" w:color="auto" w:sz="4" w:space="0"/>
              <w:right w:val="single" w:color="auto" w:sz="4" w:space="0"/>
            </w:tcBorders>
            <w:vAlign w:val="center"/>
          </w:tcPr>
          <w:p w14:paraId="2941646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jc w:val="center"/>
              <w:rPr>
                <w:rFonts w:hint="eastAsia" w:ascii="宋体" w:hAnsi="宋体" w:eastAsia="宋体" w:cs="宋体"/>
                <w:b/>
                <w:bCs/>
                <w:color w:val="auto"/>
                <w:kern w:val="0"/>
                <w:sz w:val="24"/>
                <w:szCs w:val="24"/>
                <w:highlight w:val="none"/>
                <w:lang w:val="en-US" w:eastAsia="zh-CN" w:bidi="ar-SA"/>
              </w:rPr>
            </w:pPr>
            <w:bookmarkStart w:id="73" w:name="OLE_LINK61"/>
            <w:r>
              <w:rPr>
                <w:rFonts w:hint="eastAsia" w:ascii="宋体" w:hAnsi="宋体" w:eastAsia="宋体" w:cs="宋体"/>
                <w:color w:val="auto"/>
                <w:sz w:val="24"/>
                <w:szCs w:val="24"/>
                <w:highlight w:val="none"/>
                <w:lang w:val="en-US" w:eastAsia="zh-CN"/>
              </w:rPr>
              <w:t>供货渠道的多样性</w:t>
            </w:r>
          </w:p>
        </w:tc>
        <w:tc>
          <w:tcPr>
            <w:tcW w:w="738" w:type="dxa"/>
            <w:tcBorders>
              <w:top w:val="single" w:color="auto" w:sz="4" w:space="0"/>
              <w:left w:val="single" w:color="auto" w:sz="4" w:space="0"/>
              <w:bottom w:val="single" w:color="auto" w:sz="4" w:space="0"/>
              <w:right w:val="single" w:color="auto" w:sz="4" w:space="0"/>
            </w:tcBorders>
            <w:vAlign w:val="center"/>
          </w:tcPr>
          <w:p w14:paraId="5308772D">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9分</w:t>
            </w:r>
          </w:p>
        </w:tc>
        <w:tc>
          <w:tcPr>
            <w:tcW w:w="8675" w:type="dxa"/>
            <w:tcBorders>
              <w:top w:val="single" w:color="auto" w:sz="4" w:space="0"/>
              <w:left w:val="single" w:color="auto" w:sz="4" w:space="0"/>
              <w:bottom w:val="single" w:color="auto" w:sz="4" w:space="0"/>
              <w:right w:val="single" w:color="auto" w:sz="4" w:space="0"/>
            </w:tcBorders>
            <w:vAlign w:val="center"/>
          </w:tcPr>
          <w:p w14:paraId="2CD0B8C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1.投标人自有或与蔬菜、水果生产基地有合作协议的得3分，</w:t>
            </w:r>
            <w:r>
              <w:rPr>
                <w:rFonts w:hint="eastAsia" w:ascii="宋体" w:hAnsi="宋体" w:eastAsia="宋体" w:cs="宋体"/>
                <w:color w:val="auto"/>
                <w:kern w:val="0"/>
                <w:sz w:val="24"/>
                <w:szCs w:val="24"/>
                <w:highlight w:val="none"/>
                <w:lang w:val="en-US" w:eastAsia="zh-CN"/>
              </w:rPr>
              <w:t>没有的不得分。</w:t>
            </w:r>
          </w:p>
          <w:p w14:paraId="19642C6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both"/>
              <w:rPr>
                <w:rFonts w:hint="default" w:ascii="宋体" w:hAnsi="宋体" w:eastAsia="宋体" w:cs="宋体"/>
                <w:color w:val="auto"/>
                <w:sz w:val="24"/>
                <w:highlight w:val="none"/>
                <w:lang w:val="en-US" w:eastAsia="zh-CN"/>
              </w:rPr>
            </w:pPr>
            <w:r>
              <w:rPr>
                <w:rFonts w:hint="eastAsia" w:ascii="宋体" w:cs="宋体"/>
                <w:color w:val="auto"/>
                <w:kern w:val="0"/>
                <w:sz w:val="24"/>
                <w:szCs w:val="24"/>
                <w:highlight w:val="none"/>
                <w:lang w:val="en-US" w:eastAsia="zh-CN"/>
              </w:rPr>
              <w:t>2.投标人</w:t>
            </w:r>
            <w:r>
              <w:rPr>
                <w:rFonts w:hint="eastAsia" w:ascii="宋体" w:hAnsi="宋体" w:eastAsia="宋体" w:cs="宋体"/>
                <w:color w:val="auto"/>
                <w:kern w:val="2"/>
                <w:sz w:val="24"/>
                <w:szCs w:val="24"/>
                <w:highlight w:val="none"/>
                <w:lang w:val="en-US" w:eastAsia="zh-CN" w:bidi="ar-SA"/>
              </w:rPr>
              <w:t>提供</w:t>
            </w:r>
            <w:r>
              <w:rPr>
                <w:rFonts w:hint="eastAsia" w:ascii="宋体" w:hAnsi="宋体" w:eastAsia="宋体" w:cs="宋体"/>
                <w:color w:val="auto"/>
                <w:kern w:val="2"/>
                <w:sz w:val="24"/>
                <w:szCs w:val="24"/>
                <w:highlight w:val="none"/>
                <w:u w:val="none"/>
                <w:lang w:val="en-US" w:eastAsia="zh-CN" w:bidi="ar-SA"/>
              </w:rPr>
              <w:t>肉类</w:t>
            </w:r>
            <w:r>
              <w:rPr>
                <w:rFonts w:hint="eastAsia" w:ascii="宋体" w:hAnsi="宋体" w:cs="宋体"/>
                <w:color w:val="auto"/>
                <w:kern w:val="2"/>
                <w:sz w:val="24"/>
                <w:szCs w:val="24"/>
                <w:highlight w:val="none"/>
                <w:u w:val="none"/>
                <w:lang w:val="en-US" w:eastAsia="zh-CN" w:bidi="ar-SA"/>
              </w:rPr>
              <w:t>、水产</w:t>
            </w:r>
            <w:r>
              <w:rPr>
                <w:rFonts w:hint="eastAsia" w:ascii="宋体" w:hAnsi="宋体" w:eastAsia="宋体" w:cs="宋体"/>
                <w:color w:val="auto"/>
                <w:kern w:val="2"/>
                <w:sz w:val="24"/>
                <w:szCs w:val="24"/>
                <w:highlight w:val="none"/>
                <w:u w:val="none"/>
                <w:lang w:val="en-US" w:eastAsia="zh-CN" w:bidi="ar-SA"/>
              </w:rPr>
              <w:t>类</w:t>
            </w:r>
            <w:r>
              <w:rPr>
                <w:rFonts w:hint="eastAsia" w:ascii="宋体" w:hAnsi="宋体" w:cs="宋体"/>
                <w:color w:val="auto"/>
                <w:kern w:val="2"/>
                <w:sz w:val="24"/>
                <w:szCs w:val="24"/>
                <w:highlight w:val="none"/>
                <w:u w:val="none"/>
                <w:lang w:val="en-US" w:eastAsia="zh-CN" w:bidi="ar-SA"/>
              </w:rPr>
              <w:t>、</w:t>
            </w:r>
            <w:r>
              <w:rPr>
                <w:rFonts w:hint="eastAsia" w:ascii="宋体" w:hAnsi="宋体" w:eastAsia="宋体" w:cs="宋体"/>
                <w:color w:val="auto"/>
                <w:kern w:val="2"/>
                <w:sz w:val="24"/>
                <w:szCs w:val="24"/>
                <w:highlight w:val="none"/>
                <w:u w:val="none"/>
                <w:lang w:val="en-US" w:eastAsia="zh-CN" w:bidi="ar-SA"/>
              </w:rPr>
              <w:t>蔬菜类</w:t>
            </w:r>
            <w:r>
              <w:rPr>
                <w:rFonts w:hint="eastAsia" w:ascii="宋体" w:hAnsi="宋体" w:cs="宋体"/>
                <w:color w:val="auto"/>
                <w:kern w:val="2"/>
                <w:sz w:val="24"/>
                <w:szCs w:val="24"/>
                <w:highlight w:val="none"/>
                <w:u w:val="none"/>
                <w:lang w:val="en-US" w:eastAsia="zh-CN" w:bidi="ar-SA"/>
              </w:rPr>
              <w:t>、</w:t>
            </w:r>
            <w:r>
              <w:rPr>
                <w:rFonts w:hint="eastAsia" w:ascii="宋体" w:hAnsi="宋体" w:eastAsia="宋体" w:cs="宋体"/>
                <w:color w:val="auto"/>
                <w:kern w:val="2"/>
                <w:sz w:val="24"/>
                <w:szCs w:val="24"/>
                <w:highlight w:val="none"/>
                <w:u w:val="none"/>
                <w:lang w:val="en-US" w:eastAsia="zh-CN" w:bidi="ar-SA"/>
              </w:rPr>
              <w:t>副食调料类</w:t>
            </w:r>
            <w:r>
              <w:rPr>
                <w:rFonts w:hint="eastAsia" w:ascii="宋体" w:hAnsi="宋体" w:cs="宋体"/>
                <w:color w:val="auto"/>
                <w:kern w:val="2"/>
                <w:sz w:val="24"/>
                <w:szCs w:val="24"/>
                <w:highlight w:val="none"/>
                <w:u w:val="none"/>
                <w:lang w:val="en-US" w:eastAsia="zh-CN" w:bidi="ar-SA"/>
              </w:rPr>
              <w:t>、</w:t>
            </w:r>
            <w:r>
              <w:rPr>
                <w:rFonts w:hint="eastAsia" w:ascii="宋体" w:hAnsi="宋体" w:eastAsia="宋体" w:cs="宋体"/>
                <w:color w:val="auto"/>
                <w:kern w:val="2"/>
                <w:sz w:val="24"/>
                <w:szCs w:val="24"/>
                <w:highlight w:val="none"/>
                <w:u w:val="none"/>
                <w:lang w:val="en-US" w:eastAsia="zh-CN" w:bidi="ar-SA"/>
              </w:rPr>
              <w:t>粮油类</w:t>
            </w:r>
            <w:r>
              <w:rPr>
                <w:rFonts w:hint="eastAsia" w:ascii="宋体" w:hAnsi="宋体" w:eastAsia="宋体" w:cs="宋体"/>
                <w:color w:val="auto"/>
                <w:kern w:val="2"/>
                <w:sz w:val="24"/>
                <w:szCs w:val="24"/>
                <w:highlight w:val="none"/>
                <w:lang w:val="en-US" w:eastAsia="zh-CN" w:bidi="ar-SA"/>
              </w:rPr>
              <w:t>等</w:t>
            </w:r>
            <w:r>
              <w:rPr>
                <w:rFonts w:hint="eastAsia" w:ascii="宋体" w:hAnsi="宋体" w:cs="宋体"/>
                <w:color w:val="auto"/>
                <w:kern w:val="2"/>
                <w:sz w:val="24"/>
                <w:szCs w:val="24"/>
                <w:highlight w:val="none"/>
                <w:lang w:val="en-US" w:eastAsia="zh-CN" w:bidi="ar-SA"/>
              </w:rPr>
              <w:t>任意一类</w:t>
            </w:r>
            <w:r>
              <w:rPr>
                <w:rFonts w:hint="eastAsia" w:ascii="宋体" w:hAnsi="宋体" w:eastAsia="宋体" w:cs="宋体"/>
                <w:color w:val="auto"/>
                <w:kern w:val="2"/>
                <w:sz w:val="24"/>
                <w:szCs w:val="24"/>
                <w:highlight w:val="none"/>
                <w:lang w:val="en-US" w:eastAsia="zh-CN" w:bidi="ar-SA"/>
              </w:rPr>
              <w:t>商品代理经销商相关证明</w:t>
            </w:r>
            <w:r>
              <w:rPr>
                <w:rFonts w:hint="eastAsia" w:ascii="宋体" w:hAnsi="宋体" w:cs="宋体"/>
                <w:color w:val="auto"/>
                <w:kern w:val="2"/>
                <w:sz w:val="24"/>
                <w:szCs w:val="24"/>
                <w:highlight w:val="none"/>
                <w:lang w:val="en-US" w:eastAsia="zh-CN" w:bidi="ar-SA"/>
              </w:rPr>
              <w:t>：提供与经销商或代理商之间2024年10月至今</w:t>
            </w:r>
            <w:r>
              <w:rPr>
                <w:rFonts w:hint="eastAsia" w:ascii="宋体" w:hAnsi="宋体" w:eastAsia="宋体" w:cs="宋体"/>
                <w:color w:val="auto"/>
                <w:sz w:val="24"/>
                <w:highlight w:val="none"/>
                <w:lang w:val="en-US" w:eastAsia="zh-CN"/>
              </w:rPr>
              <w:t>任意两个月的</w:t>
            </w:r>
            <w:r>
              <w:rPr>
                <w:rFonts w:hint="eastAsia" w:ascii="宋体" w:hAnsi="宋体" w:cs="宋体"/>
                <w:color w:val="auto"/>
                <w:sz w:val="24"/>
                <w:highlight w:val="none"/>
                <w:lang w:val="en-US" w:eastAsia="zh-CN"/>
              </w:rPr>
              <w:t>显示投标人与经销商/代理商双方全称内容的</w:t>
            </w:r>
            <w:r>
              <w:rPr>
                <w:rFonts w:hint="eastAsia" w:ascii="宋体" w:hAnsi="宋体" w:eastAsia="宋体" w:cs="宋体"/>
                <w:color w:val="auto"/>
                <w:sz w:val="24"/>
                <w:highlight w:val="none"/>
                <w:lang w:val="en-US" w:eastAsia="zh-CN"/>
              </w:rPr>
              <w:t>供货清单或采购单或付款凭证等</w:t>
            </w:r>
            <w:r>
              <w:rPr>
                <w:rFonts w:hint="eastAsia" w:ascii="宋体" w:hAnsi="宋体" w:cs="宋体"/>
                <w:color w:val="auto"/>
                <w:sz w:val="24"/>
                <w:highlight w:val="none"/>
                <w:lang w:val="en-US" w:eastAsia="zh-CN"/>
              </w:rPr>
              <w:t>。</w:t>
            </w:r>
          </w:p>
          <w:p w14:paraId="0BD87EAF">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每有一个得</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最高</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分（同一类别下的不同证明不能重复得分</w:t>
            </w:r>
            <w:r>
              <w:rPr>
                <w:rFonts w:hint="eastAsia" w:ascii="宋体" w:hAnsi="宋体" w:cs="宋体"/>
                <w:color w:val="auto"/>
                <w:kern w:val="2"/>
                <w:sz w:val="24"/>
                <w:szCs w:val="24"/>
                <w:highlight w:val="none"/>
                <w:lang w:val="en-US" w:eastAsia="zh-CN" w:bidi="ar-SA"/>
              </w:rPr>
              <w:t>）。</w:t>
            </w:r>
          </w:p>
          <w:p w14:paraId="0AB02A69">
            <w:pPr>
              <w:pStyle w:val="11"/>
              <w:spacing w:line="360" w:lineRule="auto"/>
              <w:ind w:firstLine="480" w:firstLineChars="200"/>
              <w:rPr>
                <w:rFonts w:hint="eastAsia" w:ascii="宋体" w:eastAsia="宋体" w:cs="宋体"/>
                <w:color w:val="auto"/>
                <w:kern w:val="2"/>
                <w:sz w:val="24"/>
                <w:szCs w:val="21"/>
                <w:highlight w:val="none"/>
                <w:lang w:val="en-US" w:eastAsia="zh-CN" w:bidi="ar-SA"/>
              </w:rPr>
            </w:pPr>
            <w:r>
              <w:rPr>
                <w:rFonts w:hint="eastAsia" w:ascii="宋体" w:eastAsia="宋体" w:cs="宋体"/>
                <w:color w:val="auto"/>
                <w:kern w:val="0"/>
                <w:sz w:val="24"/>
                <w:szCs w:val="24"/>
                <w:highlight w:val="none"/>
                <w:lang w:val="en-US" w:eastAsia="zh-CN"/>
              </w:rPr>
              <w:t>3.</w:t>
            </w:r>
            <w:r>
              <w:rPr>
                <w:rFonts w:hint="eastAsia" w:ascii="宋体" w:hAnsi="宋体" w:eastAsia="宋体" w:cs="宋体"/>
                <w:color w:val="auto"/>
                <w:kern w:val="2"/>
                <w:sz w:val="24"/>
                <w:szCs w:val="21"/>
                <w:highlight w:val="none"/>
                <w:lang w:val="en-US" w:eastAsia="zh-CN" w:bidi="ar-SA"/>
              </w:rPr>
              <w:t>提供与乌鲁木齐新联国际、北园春、九鼎、海鸿国际等大型批发市场任意一家签订</w:t>
            </w:r>
            <w:r>
              <w:rPr>
                <w:rFonts w:hint="eastAsia" w:ascii="宋体" w:eastAsia="宋体" w:cs="宋体"/>
                <w:color w:val="auto"/>
                <w:kern w:val="2"/>
                <w:sz w:val="24"/>
                <w:szCs w:val="21"/>
                <w:highlight w:val="none"/>
                <w:lang w:val="en-US" w:eastAsia="zh-CN" w:bidi="ar-SA"/>
              </w:rPr>
              <w:t>一年（含）以上供应服务</w:t>
            </w:r>
            <w:r>
              <w:rPr>
                <w:rFonts w:hint="eastAsia" w:ascii="宋体" w:hAnsi="宋体" w:eastAsia="宋体" w:cs="宋体"/>
                <w:color w:val="auto"/>
                <w:kern w:val="2"/>
                <w:sz w:val="24"/>
                <w:szCs w:val="21"/>
                <w:highlight w:val="none"/>
                <w:lang w:val="en-US" w:eastAsia="zh-CN" w:bidi="ar-SA"/>
              </w:rPr>
              <w:t>合作协议</w:t>
            </w:r>
            <w:r>
              <w:rPr>
                <w:rFonts w:hint="eastAsia" w:ascii="宋体" w:eastAsia="宋体" w:cs="宋体"/>
                <w:color w:val="auto"/>
                <w:kern w:val="2"/>
                <w:sz w:val="24"/>
                <w:szCs w:val="21"/>
                <w:highlight w:val="none"/>
                <w:lang w:val="en-US" w:eastAsia="zh-CN" w:bidi="ar-SA"/>
              </w:rPr>
              <w:t>，且仍在有效协议期内</w:t>
            </w:r>
            <w:r>
              <w:rPr>
                <w:rFonts w:hint="eastAsia" w:ascii="宋体" w:hAnsi="宋体" w:eastAsia="宋体" w:cs="宋体"/>
                <w:color w:val="auto"/>
                <w:kern w:val="2"/>
                <w:sz w:val="24"/>
                <w:szCs w:val="21"/>
                <w:highlight w:val="none"/>
                <w:lang w:val="en-US" w:eastAsia="zh-CN" w:bidi="ar-SA"/>
              </w:rPr>
              <w:t>的，每有一个得0.5分，最高1分</w:t>
            </w:r>
            <w:r>
              <w:rPr>
                <w:rFonts w:hint="eastAsia" w:ascii="宋体" w:eastAsia="宋体" w:cs="宋体"/>
                <w:color w:val="auto"/>
                <w:kern w:val="2"/>
                <w:sz w:val="24"/>
                <w:szCs w:val="21"/>
                <w:highlight w:val="none"/>
                <w:lang w:val="en-US" w:eastAsia="zh-CN" w:bidi="ar-SA"/>
              </w:rPr>
              <w:t>。</w:t>
            </w:r>
          </w:p>
          <w:p w14:paraId="1F29427A">
            <w:pPr>
              <w:pStyle w:val="11"/>
              <w:spacing w:line="360" w:lineRule="auto"/>
              <w:ind w:firstLine="480" w:firstLineChars="200"/>
              <w:rPr>
                <w:rFonts w:hint="default" w:ascii="宋体" w:eastAsia="宋体" w:cs="宋体"/>
                <w:color w:val="auto"/>
                <w:kern w:val="0"/>
                <w:sz w:val="24"/>
                <w:szCs w:val="24"/>
                <w:highlight w:val="none"/>
                <w:lang w:val="en-US" w:eastAsia="zh-CN"/>
              </w:rPr>
            </w:pPr>
            <w:r>
              <w:rPr>
                <w:rFonts w:hint="eastAsia" w:ascii="宋体" w:eastAsia="宋体" w:cs="宋体"/>
                <w:color w:val="auto"/>
                <w:kern w:val="2"/>
                <w:sz w:val="24"/>
                <w:szCs w:val="21"/>
                <w:highlight w:val="none"/>
                <w:lang w:val="en-US" w:eastAsia="zh-CN" w:bidi="ar-SA"/>
              </w:rPr>
              <w:t>注：以上资料以协议或合同形式体现的，</w:t>
            </w:r>
            <w:r>
              <w:rPr>
                <w:rFonts w:hint="eastAsia" w:ascii="宋体" w:hAnsi="宋体" w:eastAsia="宋体" w:cs="宋体"/>
                <w:color w:val="auto"/>
                <w:kern w:val="2"/>
                <w:sz w:val="24"/>
                <w:szCs w:val="21"/>
                <w:highlight w:val="none"/>
                <w:lang w:val="en-US" w:eastAsia="zh-CN" w:bidi="ar-SA"/>
              </w:rPr>
              <w:t>须提供</w:t>
            </w:r>
            <w:r>
              <w:rPr>
                <w:rFonts w:hint="eastAsia" w:ascii="宋体" w:eastAsia="宋体" w:cs="宋体"/>
                <w:color w:val="auto"/>
                <w:kern w:val="0"/>
                <w:sz w:val="24"/>
                <w:szCs w:val="24"/>
                <w:highlight w:val="none"/>
                <w:lang w:val="en-US" w:eastAsia="zh-CN"/>
              </w:rPr>
              <w:t>协议或合同清晰完整的复印件，包含但不限于协议或合同双方名称、盖章、签署日期、采购订单、合同金额、服务内容等信息，模糊不清或不完整视为无效资料，不得分。</w:t>
            </w:r>
          </w:p>
        </w:tc>
      </w:tr>
      <w:tr w14:paraId="78953089">
        <w:tblPrEx>
          <w:tblCellMar>
            <w:top w:w="15" w:type="dxa"/>
            <w:left w:w="15" w:type="dxa"/>
            <w:bottom w:w="15" w:type="dxa"/>
            <w:right w:w="15" w:type="dxa"/>
          </w:tblCellMar>
        </w:tblPrEx>
        <w:trPr>
          <w:trHeight w:val="8256" w:hRule="atLeast"/>
          <w:jc w:val="center"/>
        </w:trPr>
        <w:tc>
          <w:tcPr>
            <w:tcW w:w="1255" w:type="dxa"/>
            <w:tcBorders>
              <w:top w:val="single" w:color="auto" w:sz="4" w:space="0"/>
              <w:left w:val="single" w:color="000000" w:sz="4" w:space="0"/>
              <w:bottom w:val="single" w:color="auto" w:sz="4" w:space="0"/>
              <w:right w:val="single" w:color="000000" w:sz="4" w:space="0"/>
            </w:tcBorders>
            <w:vAlign w:val="center"/>
          </w:tcPr>
          <w:p w14:paraId="53CD0071">
            <w:pPr>
              <w:widowControl/>
              <w:spacing w:line="360" w:lineRule="auto"/>
              <w:jc w:val="center"/>
              <w:textAlignment w:val="center"/>
              <w:rPr>
                <w:rFonts w:hint="eastAsia" w:ascii="宋体" w:hAnsi="宋体" w:eastAsia="宋体" w:cs="宋体"/>
                <w:bCs/>
                <w:color w:val="auto"/>
                <w:kern w:val="0"/>
                <w:sz w:val="24"/>
                <w:szCs w:val="24"/>
                <w:highlight w:val="none"/>
              </w:rPr>
            </w:pPr>
            <w:r>
              <w:rPr>
                <w:rFonts w:hint="eastAsia" w:ascii="宋体" w:hAnsi="宋体" w:eastAsia="宋体" w:cs="宋体"/>
                <w:color w:val="auto"/>
                <w:kern w:val="0"/>
                <w:sz w:val="24"/>
                <w:szCs w:val="24"/>
                <w:highlight w:val="none"/>
                <w:lang w:val="en-US" w:eastAsia="zh-CN"/>
              </w:rPr>
              <w:t>供货服务方案</w:t>
            </w:r>
            <w:bookmarkEnd w:id="73"/>
          </w:p>
        </w:tc>
        <w:tc>
          <w:tcPr>
            <w:tcW w:w="739" w:type="dxa"/>
            <w:gridSpan w:val="2"/>
            <w:tcBorders>
              <w:top w:val="single" w:color="auto" w:sz="4" w:space="0"/>
              <w:left w:val="single" w:color="000000" w:sz="4" w:space="0"/>
              <w:bottom w:val="single" w:color="000000" w:sz="4" w:space="0"/>
            </w:tcBorders>
            <w:vAlign w:val="center"/>
          </w:tcPr>
          <w:p w14:paraId="69767A1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8675" w:type="dxa"/>
            <w:tcBorders>
              <w:top w:val="single" w:color="auto" w:sz="4" w:space="0"/>
              <w:left w:val="single" w:color="000000" w:sz="4" w:space="0"/>
              <w:bottom w:val="single" w:color="000000" w:sz="4" w:space="0"/>
              <w:right w:val="single" w:color="000000" w:sz="4" w:space="0"/>
            </w:tcBorders>
            <w:vAlign w:val="center"/>
          </w:tcPr>
          <w:p w14:paraId="2C82D6D3">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bookmarkStart w:id="74" w:name="OLE_LINK62"/>
            <w:r>
              <w:rPr>
                <w:rFonts w:hint="eastAsia" w:ascii="宋体" w:hAnsi="宋体" w:eastAsia="宋体" w:cs="宋体"/>
                <w:color w:val="auto"/>
                <w:kern w:val="0"/>
                <w:sz w:val="24"/>
                <w:szCs w:val="24"/>
                <w:highlight w:val="none"/>
                <w:lang w:val="en-US" w:eastAsia="zh-CN"/>
              </w:rPr>
              <w:t>供货服务方案须保证符合本项目采购特点和实际需求，方案内容及要素包括但不限于：①</w:t>
            </w:r>
            <w:r>
              <w:rPr>
                <w:rFonts w:hint="eastAsia" w:ascii="宋体" w:hAnsi="宋体" w:cs="宋体"/>
                <w:color w:val="auto"/>
                <w:kern w:val="0"/>
                <w:sz w:val="24"/>
                <w:szCs w:val="24"/>
                <w:highlight w:val="none"/>
                <w:lang w:val="en-US" w:eastAsia="zh-CN"/>
              </w:rPr>
              <w:t>有详细的供货计划方案（供货方案、运输包装、发运计划等）；</w:t>
            </w:r>
            <w:r>
              <w:rPr>
                <w:rFonts w:hint="eastAsia" w:ascii="宋体" w:hAnsi="宋体" w:eastAsia="宋体" w:cs="宋体"/>
                <w:color w:val="auto"/>
                <w:kern w:val="0"/>
                <w:sz w:val="24"/>
                <w:szCs w:val="24"/>
                <w:highlight w:val="none"/>
                <w:lang w:val="en-US" w:eastAsia="zh-CN"/>
              </w:rPr>
              <w:t>②</w:t>
            </w:r>
            <w:r>
              <w:rPr>
                <w:rFonts w:hint="eastAsia" w:ascii="宋体" w:hAnsi="宋体" w:cs="宋体"/>
                <w:color w:val="auto"/>
                <w:kern w:val="0"/>
                <w:sz w:val="24"/>
                <w:szCs w:val="24"/>
                <w:highlight w:val="none"/>
                <w:lang w:val="en-US" w:eastAsia="zh-CN"/>
              </w:rPr>
              <w:t>达到</w:t>
            </w:r>
            <w:r>
              <w:rPr>
                <w:rFonts w:hint="eastAsia" w:ascii="宋体" w:hAnsi="宋体" w:eastAsia="宋体" w:cs="宋体"/>
                <w:color w:val="auto"/>
                <w:kern w:val="0"/>
                <w:sz w:val="24"/>
                <w:szCs w:val="24"/>
                <w:highlight w:val="none"/>
                <w:lang w:val="en-US" w:eastAsia="zh-CN"/>
              </w:rPr>
              <w:t>食材新鲜、安全、卫生等服务需求；③投标人针对食材配送中食材的鲜活性、避免易损性</w:t>
            </w:r>
            <w:r>
              <w:rPr>
                <w:rFonts w:hint="eastAsia" w:ascii="宋体" w:hAnsi="宋体" w:cs="宋体"/>
                <w:color w:val="auto"/>
                <w:kern w:val="0"/>
                <w:sz w:val="24"/>
                <w:szCs w:val="24"/>
                <w:highlight w:val="none"/>
                <w:lang w:val="en-US" w:eastAsia="zh-CN"/>
              </w:rPr>
              <w:t>的承诺</w:t>
            </w:r>
            <w:r>
              <w:rPr>
                <w:rFonts w:hint="eastAsia" w:ascii="宋体" w:hAnsi="宋体" w:eastAsia="宋体" w:cs="宋体"/>
                <w:color w:val="auto"/>
                <w:kern w:val="0"/>
                <w:sz w:val="24"/>
                <w:szCs w:val="24"/>
                <w:highlight w:val="none"/>
                <w:lang w:val="en-US" w:eastAsia="zh-CN"/>
              </w:rPr>
              <w:t>；④装运前对食品的质量检查；</w:t>
            </w:r>
            <w:r>
              <w:rPr>
                <w:rFonts w:hint="eastAsia" w:ascii="宋体" w:hAnsi="宋体" w:cs="宋体"/>
                <w:color w:val="auto"/>
                <w:kern w:val="0"/>
                <w:sz w:val="24"/>
                <w:szCs w:val="24"/>
                <w:highlight w:val="none"/>
                <w:lang w:val="en-US" w:eastAsia="zh-CN"/>
              </w:rPr>
              <w:t>⑤</w:t>
            </w:r>
            <w:r>
              <w:rPr>
                <w:rFonts w:hint="eastAsia" w:ascii="宋体" w:hAnsi="宋体" w:eastAsia="宋体" w:cs="宋体"/>
                <w:color w:val="auto"/>
                <w:kern w:val="0"/>
                <w:sz w:val="24"/>
                <w:szCs w:val="24"/>
                <w:highlight w:val="none"/>
                <w:lang w:val="en-US" w:eastAsia="zh-CN"/>
              </w:rPr>
              <w:t>运输的安全、卫生等环节</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⑥不合格食材</w:t>
            </w:r>
            <w:r>
              <w:rPr>
                <w:rFonts w:hint="eastAsia" w:ascii="宋体" w:hAnsi="宋体" w:cs="宋体"/>
                <w:color w:val="auto"/>
                <w:kern w:val="0"/>
                <w:sz w:val="24"/>
                <w:szCs w:val="24"/>
                <w:highlight w:val="none"/>
                <w:lang w:val="en-US" w:eastAsia="zh-CN"/>
              </w:rPr>
              <w:t>无条件</w:t>
            </w:r>
            <w:r>
              <w:rPr>
                <w:rFonts w:hint="eastAsia" w:ascii="宋体" w:hAnsi="宋体" w:eastAsia="宋体" w:cs="宋体"/>
                <w:color w:val="auto"/>
                <w:kern w:val="0"/>
                <w:sz w:val="24"/>
                <w:szCs w:val="24"/>
                <w:highlight w:val="none"/>
                <w:lang w:val="en-US" w:eastAsia="zh-CN"/>
              </w:rPr>
              <w:t>退</w:t>
            </w:r>
            <w:r>
              <w:rPr>
                <w:rFonts w:hint="eastAsia" w:ascii="宋体" w:hAnsi="宋体" w:cs="宋体"/>
                <w:color w:val="auto"/>
                <w:kern w:val="0"/>
                <w:sz w:val="24"/>
                <w:szCs w:val="24"/>
                <w:highlight w:val="none"/>
                <w:lang w:val="en-US" w:eastAsia="zh-CN"/>
              </w:rPr>
              <w:t>调</w:t>
            </w:r>
            <w:r>
              <w:rPr>
                <w:rFonts w:hint="eastAsia" w:ascii="宋体" w:hAnsi="宋体" w:eastAsia="宋体" w:cs="宋体"/>
                <w:color w:val="auto"/>
                <w:kern w:val="0"/>
                <w:sz w:val="24"/>
                <w:szCs w:val="24"/>
                <w:highlight w:val="none"/>
                <w:lang w:val="en-US" w:eastAsia="zh-CN"/>
              </w:rPr>
              <w:t>换流程</w:t>
            </w:r>
            <w:r>
              <w:rPr>
                <w:rFonts w:hint="eastAsia" w:ascii="宋体" w:hAnsi="宋体" w:cs="宋体"/>
                <w:color w:val="auto"/>
                <w:kern w:val="0"/>
                <w:sz w:val="24"/>
                <w:szCs w:val="24"/>
                <w:highlight w:val="none"/>
                <w:lang w:val="en-US" w:eastAsia="zh-CN"/>
              </w:rPr>
              <w:t>标准明确</w:t>
            </w:r>
            <w:r>
              <w:rPr>
                <w:rFonts w:hint="eastAsia" w:ascii="宋体" w:hAnsi="宋体" w:eastAsia="宋体" w:cs="宋体"/>
                <w:color w:val="auto"/>
                <w:kern w:val="0"/>
                <w:sz w:val="24"/>
                <w:szCs w:val="24"/>
                <w:highlight w:val="none"/>
                <w:lang w:val="en-US" w:eastAsia="zh-CN"/>
              </w:rPr>
              <w:t>及</w:t>
            </w:r>
            <w:r>
              <w:rPr>
                <w:rFonts w:hint="eastAsia" w:ascii="宋体" w:hAnsi="宋体" w:cs="宋体"/>
                <w:color w:val="auto"/>
                <w:kern w:val="0"/>
                <w:sz w:val="24"/>
                <w:szCs w:val="24"/>
                <w:highlight w:val="none"/>
                <w:lang w:val="en-US" w:eastAsia="zh-CN"/>
              </w:rPr>
              <w:t>换货响应时间具体；</w:t>
            </w:r>
            <w:r>
              <w:rPr>
                <w:rFonts w:hint="eastAsia" w:ascii="宋体" w:hAnsi="宋体" w:eastAsia="宋体" w:cs="宋体"/>
                <w:color w:val="auto"/>
                <w:kern w:val="0"/>
                <w:sz w:val="24"/>
                <w:szCs w:val="24"/>
                <w:highlight w:val="none"/>
                <w:lang w:val="en-US" w:eastAsia="zh-CN"/>
              </w:rPr>
              <w:t>⑦</w:t>
            </w:r>
            <w:r>
              <w:rPr>
                <w:rFonts w:hint="eastAsia" w:ascii="宋体" w:hAnsi="宋体" w:cs="宋体"/>
                <w:color w:val="auto"/>
                <w:kern w:val="0"/>
                <w:sz w:val="24"/>
                <w:szCs w:val="24"/>
                <w:highlight w:val="none"/>
                <w:lang w:val="en-US" w:eastAsia="zh-CN"/>
              </w:rPr>
              <w:t>履约过程中食材配送时效性的保障；</w:t>
            </w:r>
          </w:p>
          <w:p w14:paraId="1ECEEDD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1.供货服务方案与本项目实际采购需求结合紧密且内容及要素齐全详细，投标人从为本项目提供更优服务、更好质量的</w:t>
            </w:r>
            <w:r>
              <w:rPr>
                <w:rFonts w:hint="eastAsia" w:ascii="宋体" w:hAnsi="宋体" w:cs="宋体"/>
                <w:color w:val="auto"/>
                <w:kern w:val="0"/>
                <w:sz w:val="24"/>
                <w:szCs w:val="24"/>
                <w:highlight w:val="none"/>
                <w:lang w:val="en-US" w:eastAsia="zh-CN"/>
              </w:rPr>
              <w:t>角度</w:t>
            </w:r>
            <w:r>
              <w:rPr>
                <w:rFonts w:hint="eastAsia" w:ascii="宋体" w:hAnsi="宋体" w:eastAsia="宋体" w:cs="宋体"/>
                <w:color w:val="auto"/>
                <w:kern w:val="0"/>
                <w:sz w:val="24"/>
                <w:szCs w:val="24"/>
                <w:highlight w:val="none"/>
                <w:lang w:val="en-US" w:eastAsia="zh-CN"/>
              </w:rPr>
              <w:t>出发制定的服务内容和措施考虑细致周到周全，内容针对性强、操作性强的，得</w:t>
            </w:r>
            <w:r>
              <w:rPr>
                <w:rFonts w:hint="eastAsia" w:ascii="宋体" w:hAnsi="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lang w:val="en-US" w:eastAsia="zh-CN"/>
              </w:rPr>
              <w:t>分；</w:t>
            </w:r>
          </w:p>
          <w:p w14:paraId="0ABF37C1">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2.供货服务方案与本项目实际采购需求结合较为紧密，方案内容及要素较全面，制定的服务内容和措施具备操作性和针对性的，得</w:t>
            </w:r>
            <w:r>
              <w:rPr>
                <w:rFonts w:hint="eastAsia" w:ascii="宋体" w:hAnsi="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lang w:val="en-US" w:eastAsia="zh-CN"/>
              </w:rPr>
              <w:t>分；</w:t>
            </w:r>
          </w:p>
          <w:p w14:paraId="500AF34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3.供货服务方案与本项目实际采购需求结合不紧密，方案内容及要素存在缺项漏项，制定的服务内容和措施能基本满足采购需求的，得</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分；</w:t>
            </w:r>
          </w:p>
          <w:p w14:paraId="7476D00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4.供货服务方案与本项目实际采购需求缺乏关联性和有效性，方案内容及要素存在缺项漏项，制定的服务内容和措施缺乏合理性，操作性和针对性不强的，得</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分；</w:t>
            </w:r>
          </w:p>
          <w:p w14:paraId="0472FCED">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rPr>
              <w:t>5.供货服务方案内容及措施制定粗犷，内容措施比较单一，未从本项目实际采购需求出发，</w:t>
            </w:r>
            <w:r>
              <w:rPr>
                <w:rFonts w:hint="eastAsia" w:ascii="宋体" w:hAnsi="宋体" w:cs="宋体"/>
                <w:color w:val="auto"/>
                <w:kern w:val="0"/>
                <w:sz w:val="24"/>
                <w:szCs w:val="24"/>
                <w:highlight w:val="none"/>
                <w:lang w:val="en-US" w:eastAsia="zh-CN"/>
              </w:rPr>
              <w:t>生搬硬套服务措施，</w:t>
            </w:r>
            <w:r>
              <w:rPr>
                <w:rFonts w:hint="eastAsia" w:ascii="宋体" w:hAnsi="宋体" w:eastAsia="宋体" w:cs="宋体"/>
                <w:color w:val="auto"/>
                <w:kern w:val="0"/>
                <w:sz w:val="24"/>
                <w:szCs w:val="24"/>
                <w:highlight w:val="none"/>
                <w:lang w:val="en-US" w:eastAsia="zh-CN"/>
              </w:rPr>
              <w:t xml:space="preserve">缺乏针对性、关联性和可操作性的不得分。 </w:t>
            </w:r>
            <w:bookmarkEnd w:id="74"/>
          </w:p>
        </w:tc>
      </w:tr>
      <w:tr w14:paraId="435CEC65">
        <w:tblPrEx>
          <w:tblCellMar>
            <w:top w:w="15" w:type="dxa"/>
            <w:left w:w="15" w:type="dxa"/>
            <w:bottom w:w="15" w:type="dxa"/>
            <w:right w:w="15" w:type="dxa"/>
          </w:tblCellMar>
        </w:tblPrEx>
        <w:trPr>
          <w:trHeight w:val="2837" w:hRule="atLeast"/>
          <w:jc w:val="center"/>
        </w:trPr>
        <w:tc>
          <w:tcPr>
            <w:tcW w:w="1255" w:type="dxa"/>
            <w:tcBorders>
              <w:top w:val="single" w:color="auto" w:sz="4" w:space="0"/>
              <w:left w:val="single" w:color="000000" w:sz="4" w:space="0"/>
              <w:bottom w:val="single" w:color="auto" w:sz="4" w:space="0"/>
              <w:right w:val="single" w:color="000000" w:sz="4" w:space="0"/>
            </w:tcBorders>
            <w:vAlign w:val="center"/>
          </w:tcPr>
          <w:p w14:paraId="21054EB0">
            <w:pPr>
              <w:keepNext w:val="0"/>
              <w:keepLines w:val="0"/>
              <w:widowControl/>
              <w:suppressLineNumbers w:val="0"/>
              <w:jc w:val="center"/>
              <w:rPr>
                <w:rFonts w:hint="eastAsia" w:ascii="宋体" w:hAnsi="宋体" w:eastAsia="宋体" w:cs="宋体"/>
                <w:highlight w:val="none"/>
              </w:rPr>
            </w:pPr>
            <w:r>
              <w:rPr>
                <w:rFonts w:hint="eastAsia" w:ascii="宋体" w:hAnsi="宋体" w:cs="宋体"/>
                <w:color w:val="000000"/>
                <w:kern w:val="0"/>
                <w:sz w:val="24"/>
                <w:szCs w:val="24"/>
                <w:highlight w:val="none"/>
                <w:lang w:val="en-US" w:eastAsia="zh-CN" w:bidi="ar"/>
              </w:rPr>
              <w:t>食品安全与</w:t>
            </w:r>
            <w:r>
              <w:rPr>
                <w:rFonts w:hint="eastAsia" w:ascii="宋体" w:hAnsi="宋体" w:eastAsia="宋体" w:cs="宋体"/>
                <w:color w:val="000000"/>
                <w:kern w:val="0"/>
                <w:sz w:val="24"/>
                <w:szCs w:val="24"/>
                <w:highlight w:val="none"/>
                <w:lang w:val="en-US" w:eastAsia="zh-CN" w:bidi="ar"/>
              </w:rPr>
              <w:t>质量保障</w:t>
            </w:r>
          </w:p>
          <w:p w14:paraId="5381F485">
            <w:pPr>
              <w:widowControl/>
              <w:spacing w:line="360" w:lineRule="auto"/>
              <w:jc w:val="center"/>
              <w:textAlignment w:val="center"/>
              <w:rPr>
                <w:rFonts w:hint="eastAsia" w:ascii="宋体" w:hAnsi="宋体" w:eastAsia="宋体" w:cs="宋体"/>
                <w:bCs/>
                <w:color w:val="auto"/>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方案</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1D7164B8">
            <w:pPr>
              <w:keepNext w:val="0"/>
              <w:keepLines w:val="0"/>
              <w:widowControl/>
              <w:suppressLineNumbers w:val="0"/>
              <w:jc w:val="center"/>
              <w:rPr>
                <w:rFonts w:hint="eastAsia" w:ascii="宋体" w:hAnsi="宋体" w:eastAsia="宋体" w:cs="宋体"/>
                <w:color w:val="000000"/>
                <w:kern w:val="0"/>
                <w:sz w:val="24"/>
                <w:szCs w:val="24"/>
                <w:highlight w:val="none"/>
                <w:lang w:val="en-US" w:eastAsia="zh-CN" w:bidi="ar"/>
              </w:rPr>
            </w:pPr>
            <w:r>
              <w:rPr>
                <w:rFonts w:hint="eastAsia" w:ascii="宋体" w:hAnsi="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lang w:val="en-US" w:eastAsia="zh-CN"/>
              </w:rPr>
              <w:t>分</w:t>
            </w:r>
          </w:p>
        </w:tc>
        <w:tc>
          <w:tcPr>
            <w:tcW w:w="8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3F53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投标人针对此项目制定的</w:t>
            </w:r>
            <w:r>
              <w:rPr>
                <w:rFonts w:hint="eastAsia" w:ascii="宋体" w:hAnsi="宋体" w:cs="宋体"/>
                <w:color w:val="auto"/>
                <w:kern w:val="0"/>
                <w:sz w:val="24"/>
                <w:szCs w:val="24"/>
                <w:highlight w:val="none"/>
                <w:lang w:val="en-US" w:eastAsia="zh-CN"/>
              </w:rPr>
              <w:t>食品安全和</w:t>
            </w:r>
            <w:r>
              <w:rPr>
                <w:rFonts w:hint="eastAsia" w:ascii="宋体" w:hAnsi="宋体" w:eastAsia="宋体" w:cs="宋体"/>
                <w:color w:val="auto"/>
                <w:kern w:val="0"/>
                <w:sz w:val="24"/>
                <w:szCs w:val="24"/>
                <w:highlight w:val="none"/>
                <w:lang w:val="en-US" w:eastAsia="zh-CN"/>
              </w:rPr>
              <w:t>质量保障方案</w:t>
            </w:r>
            <w:r>
              <w:rPr>
                <w:rFonts w:hint="eastAsia" w:ascii="宋体" w:hAnsi="宋体" w:cs="宋体"/>
                <w:color w:val="auto"/>
                <w:kern w:val="0"/>
                <w:sz w:val="24"/>
                <w:szCs w:val="24"/>
                <w:highlight w:val="none"/>
                <w:lang w:val="en-US" w:eastAsia="zh-CN"/>
              </w:rPr>
              <w:t>内容</w:t>
            </w:r>
            <w:r>
              <w:rPr>
                <w:rFonts w:hint="eastAsia" w:ascii="宋体" w:hAnsi="宋体" w:eastAsia="宋体" w:cs="宋体"/>
                <w:color w:val="auto"/>
                <w:kern w:val="0"/>
                <w:sz w:val="24"/>
                <w:szCs w:val="24"/>
                <w:highlight w:val="none"/>
                <w:lang w:val="en-US" w:eastAsia="zh-CN"/>
              </w:rPr>
              <w:t xml:space="preserve">包括但不限于以下内容： </w:t>
            </w:r>
          </w:p>
          <w:p w14:paraId="0C0844C5">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仓储管理</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①具有仓储卫生管理制度</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②分区管理</w:t>
            </w:r>
            <w:r>
              <w:rPr>
                <w:rFonts w:hint="eastAsia" w:ascii="宋体" w:hAnsi="宋体" w:cs="宋体"/>
                <w:color w:val="auto"/>
                <w:kern w:val="0"/>
                <w:sz w:val="24"/>
                <w:szCs w:val="24"/>
                <w:highlight w:val="none"/>
                <w:lang w:val="en-US" w:eastAsia="zh-CN"/>
              </w:rPr>
              <w:t>和卫生环境</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如原料区、成品区、</w:t>
            </w:r>
            <w:r>
              <w:rPr>
                <w:rFonts w:hint="eastAsia" w:ascii="宋体" w:hAnsi="宋体" w:eastAsia="宋体" w:cs="宋体"/>
                <w:color w:val="auto"/>
                <w:kern w:val="0"/>
                <w:sz w:val="24"/>
                <w:szCs w:val="24"/>
                <w:highlight w:val="none"/>
                <w:lang w:val="en-US" w:eastAsia="zh-CN"/>
              </w:rPr>
              <w:t>生鲜、干货分离</w:t>
            </w:r>
            <w:r>
              <w:rPr>
                <w:rFonts w:hint="eastAsia" w:ascii="宋体" w:hAnsi="宋体" w:cs="宋体"/>
                <w:color w:val="auto"/>
                <w:kern w:val="0"/>
                <w:sz w:val="24"/>
                <w:szCs w:val="24"/>
                <w:highlight w:val="none"/>
                <w:lang w:val="en-US" w:eastAsia="zh-CN"/>
              </w:rPr>
              <w:t>等</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③配置仓储安全设施（包括但不限于温度测量、湿度测量、防虫防鼠设施、备用电机等，须提供</w:t>
            </w:r>
            <w:r>
              <w:rPr>
                <w:rFonts w:hint="eastAsia" w:ascii="宋体" w:hAnsi="宋体" w:cs="宋体"/>
                <w:color w:val="auto"/>
                <w:kern w:val="0"/>
                <w:sz w:val="24"/>
                <w:szCs w:val="24"/>
                <w:highlight w:val="none"/>
                <w:lang w:val="en-US" w:eastAsia="zh-CN"/>
              </w:rPr>
              <w:t>实景彩色</w:t>
            </w:r>
            <w:r>
              <w:rPr>
                <w:rFonts w:hint="eastAsia" w:ascii="宋体" w:hAnsi="宋体" w:eastAsia="宋体" w:cs="宋体"/>
                <w:color w:val="auto"/>
                <w:kern w:val="0"/>
                <w:sz w:val="24"/>
                <w:szCs w:val="24"/>
                <w:highlight w:val="none"/>
                <w:lang w:val="en-US" w:eastAsia="zh-CN"/>
              </w:rPr>
              <w:t>照片相关</w:t>
            </w:r>
            <w:r>
              <w:rPr>
                <w:rFonts w:hint="eastAsia" w:ascii="宋体" w:hAnsi="宋体" w:cs="宋体"/>
                <w:color w:val="auto"/>
                <w:kern w:val="0"/>
                <w:sz w:val="24"/>
                <w:szCs w:val="24"/>
                <w:highlight w:val="none"/>
                <w:lang w:val="en-US" w:eastAsia="zh-CN"/>
              </w:rPr>
              <w:t>佐证</w:t>
            </w:r>
            <w:r>
              <w:rPr>
                <w:rFonts w:hint="eastAsia" w:ascii="宋体" w:hAnsi="宋体" w:eastAsia="宋体" w:cs="宋体"/>
                <w:color w:val="auto"/>
                <w:kern w:val="0"/>
                <w:sz w:val="24"/>
                <w:szCs w:val="24"/>
                <w:highlight w:val="none"/>
                <w:lang w:val="en-US" w:eastAsia="zh-CN"/>
              </w:rPr>
              <w:t>材料）</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④定期检查食材的储存条件制度</w:t>
            </w:r>
            <w:r>
              <w:rPr>
                <w:rFonts w:hint="eastAsia" w:ascii="宋体" w:hAnsi="宋体" w:cs="宋体"/>
                <w:color w:val="auto"/>
                <w:kern w:val="0"/>
                <w:sz w:val="24"/>
                <w:szCs w:val="24"/>
                <w:highlight w:val="none"/>
                <w:lang w:val="en-US" w:eastAsia="zh-CN"/>
              </w:rPr>
              <w:t>等</w:t>
            </w:r>
            <w:r>
              <w:rPr>
                <w:rFonts w:hint="eastAsia" w:ascii="宋体" w:hAnsi="宋体" w:eastAsia="宋体" w:cs="宋体"/>
                <w:color w:val="auto"/>
                <w:kern w:val="0"/>
                <w:sz w:val="24"/>
                <w:szCs w:val="24"/>
                <w:highlight w:val="none"/>
                <w:lang w:val="en-US" w:eastAsia="zh-CN"/>
              </w:rPr>
              <w:t xml:space="preserve">。 </w:t>
            </w:r>
          </w:p>
          <w:p w14:paraId="6B979183">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2.安全质量制度</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①建立食品安全追溯制度和流程</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②具有完善的安全标准（包括但不限于安全生产责任制度、安全培训教育制度、安全检查和隐患整改管理制度、安全检查维修管理制度、安全投入保障制度）</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 xml:space="preserve">③卫生防疫的控制措施包括对人员、货物、运输车辆的卫生相关防疫措施。 </w:t>
            </w:r>
          </w:p>
          <w:p w14:paraId="10DBB52C">
            <w:pPr>
              <w:pStyle w:val="11"/>
              <w:spacing w:line="360" w:lineRule="auto"/>
              <w:ind w:firstLine="480" w:firstLineChars="200"/>
              <w:rPr>
                <w:rFonts w:hint="default" w:ascii="宋体" w:hAnsi="宋体" w:eastAsia="宋体" w:cs="宋体"/>
                <w:color w:val="auto"/>
                <w:kern w:val="0"/>
                <w:sz w:val="24"/>
                <w:szCs w:val="24"/>
                <w:highlight w:val="none"/>
                <w:lang w:val="en-US" w:eastAsia="zh-CN" w:bidi="ar-SA"/>
              </w:rPr>
            </w:pPr>
            <w:r>
              <w:rPr>
                <w:rFonts w:hint="eastAsia" w:ascii="宋体" w:eastAsia="宋体" w:cs="宋体"/>
                <w:b w:val="0"/>
                <w:bCs w:val="0"/>
                <w:color w:val="auto"/>
                <w:kern w:val="0"/>
                <w:sz w:val="24"/>
                <w:szCs w:val="24"/>
                <w:highlight w:val="none"/>
                <w:lang w:val="en-US" w:eastAsia="zh-CN"/>
              </w:rPr>
              <w:t>以上</w:t>
            </w:r>
            <w:r>
              <w:rPr>
                <w:rFonts w:hint="eastAsia" w:ascii="宋体" w:hAnsi="宋体" w:eastAsia="宋体" w:cs="宋体"/>
                <w:b w:val="0"/>
                <w:bCs w:val="0"/>
                <w:color w:val="auto"/>
                <w:kern w:val="0"/>
                <w:sz w:val="24"/>
                <w:szCs w:val="24"/>
                <w:highlight w:val="none"/>
                <w:lang w:val="en-US" w:eastAsia="zh-CN"/>
              </w:rPr>
              <w:t>全部提供</w:t>
            </w:r>
            <w:r>
              <w:rPr>
                <w:rFonts w:hint="eastAsia" w:ascii="宋体" w:eastAsia="宋体" w:cs="宋体"/>
                <w:b w:val="0"/>
                <w:bCs w:val="0"/>
                <w:color w:val="auto"/>
                <w:kern w:val="0"/>
                <w:sz w:val="24"/>
                <w:szCs w:val="24"/>
                <w:highlight w:val="none"/>
                <w:lang w:val="en-US" w:eastAsia="zh-CN"/>
              </w:rPr>
              <w:t>且仓储合规性、检测能力、各项制度均满足本项目实际需求的，得14</w:t>
            </w:r>
            <w:r>
              <w:rPr>
                <w:rFonts w:hint="eastAsia" w:ascii="宋体" w:hAnsi="宋体" w:eastAsia="宋体" w:cs="宋体"/>
                <w:b w:val="0"/>
                <w:bCs w:val="0"/>
                <w:color w:val="auto"/>
                <w:kern w:val="0"/>
                <w:sz w:val="24"/>
                <w:szCs w:val="24"/>
                <w:highlight w:val="none"/>
                <w:lang w:val="en-US" w:eastAsia="zh-CN"/>
              </w:rPr>
              <w:t>分，每存在一处瑕疵</w:t>
            </w:r>
            <w:r>
              <w:rPr>
                <w:rFonts w:hint="eastAsia" w:asciiTheme="minorEastAsia" w:hAnsiTheme="minorEastAsia" w:eastAsiaTheme="minorEastAsia" w:cstheme="minorEastAsia"/>
                <w:b w:val="0"/>
                <w:bCs w:val="0"/>
                <w:color w:val="auto"/>
                <w:kern w:val="0"/>
                <w:sz w:val="24"/>
                <w:szCs w:val="24"/>
                <w:highlight w:val="none"/>
                <w:lang w:val="en-US" w:eastAsia="zh-CN"/>
              </w:rPr>
              <w:t>（每有一项表述混乱或不完善或同一事项前后表述不一致的）</w:t>
            </w:r>
            <w:r>
              <w:rPr>
                <w:rFonts w:hint="eastAsia" w:ascii="宋体" w:hAnsi="宋体" w:eastAsia="宋体" w:cs="宋体"/>
                <w:b w:val="0"/>
                <w:bCs w:val="0"/>
                <w:color w:val="auto"/>
                <w:kern w:val="0"/>
                <w:sz w:val="24"/>
                <w:szCs w:val="24"/>
                <w:highlight w:val="none"/>
                <w:lang w:val="en-US" w:eastAsia="zh-CN"/>
              </w:rPr>
              <w:t>的扣</w:t>
            </w:r>
            <w:r>
              <w:rPr>
                <w:rFonts w:hint="eastAsia" w:ascii="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eastAsia="zh-CN"/>
              </w:rPr>
              <w:t>分</w:t>
            </w:r>
            <w:r>
              <w:rPr>
                <w:rFonts w:hint="eastAsia" w:ascii="宋体" w:eastAsia="宋体" w:cs="宋体"/>
                <w:b w:val="0"/>
                <w:bCs w:val="0"/>
                <w:color w:val="auto"/>
                <w:kern w:val="0"/>
                <w:sz w:val="24"/>
                <w:szCs w:val="24"/>
                <w:highlight w:val="none"/>
                <w:lang w:val="en-US" w:eastAsia="zh-CN"/>
              </w:rPr>
              <w:t>。</w:t>
            </w:r>
          </w:p>
        </w:tc>
      </w:tr>
      <w:tr w14:paraId="30168CD6">
        <w:tblPrEx>
          <w:tblCellMar>
            <w:top w:w="15" w:type="dxa"/>
            <w:left w:w="15" w:type="dxa"/>
            <w:bottom w:w="15" w:type="dxa"/>
            <w:right w:w="15" w:type="dxa"/>
          </w:tblCellMar>
        </w:tblPrEx>
        <w:trPr>
          <w:trHeight w:val="4087" w:hRule="atLeast"/>
          <w:jc w:val="center"/>
        </w:trPr>
        <w:tc>
          <w:tcPr>
            <w:tcW w:w="1255" w:type="dxa"/>
            <w:tcBorders>
              <w:top w:val="single" w:color="auto" w:sz="4" w:space="0"/>
              <w:left w:val="single" w:color="000000" w:sz="4" w:space="0"/>
              <w:bottom w:val="single" w:color="auto" w:sz="4" w:space="0"/>
              <w:right w:val="single" w:color="000000" w:sz="4" w:space="0"/>
            </w:tcBorders>
            <w:shd w:val="clear" w:color="auto" w:fill="auto"/>
            <w:vAlign w:val="center"/>
          </w:tcPr>
          <w:p w14:paraId="7430C01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实施管理 及配送方 案</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2FC2D957">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8675" w:type="dxa"/>
            <w:tcBorders>
              <w:top w:val="single" w:color="000000" w:sz="4" w:space="0"/>
              <w:left w:val="single" w:color="000000" w:sz="4" w:space="0"/>
              <w:bottom w:val="single" w:color="000000" w:sz="4" w:space="0"/>
              <w:right w:val="single" w:color="000000" w:sz="4" w:space="0"/>
            </w:tcBorders>
            <w:vAlign w:val="center"/>
          </w:tcPr>
          <w:p w14:paraId="609B962E">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Times New Roman" w:hAnsi="Times New Roman" w:cs="Times New Roman"/>
                <w:color w:val="auto"/>
                <w:kern w:val="0"/>
                <w:sz w:val="24"/>
                <w:szCs w:val="24"/>
                <w:highlight w:val="none"/>
                <w:lang w:val="en-US" w:eastAsia="zh-CN"/>
              </w:rPr>
            </w:pPr>
            <w:bookmarkStart w:id="75" w:name="OLE_LINK64"/>
            <w:r>
              <w:rPr>
                <w:rFonts w:hint="default" w:ascii="Times New Roman" w:hAnsi="Times New Roman" w:cs="Times New Roman"/>
                <w:color w:val="auto"/>
                <w:kern w:val="0"/>
                <w:sz w:val="24"/>
                <w:szCs w:val="24"/>
                <w:highlight w:val="none"/>
                <w:lang w:val="en-US" w:eastAsia="zh-CN"/>
              </w:rPr>
              <w:t>投标人针对此项目制定的实施管理及配送方案情况</w:t>
            </w:r>
            <w:r>
              <w:rPr>
                <w:rFonts w:hint="eastAsia" w:ascii="Times New Roman" w:hAnsi="Times New Roman" w:cs="Times New Roman"/>
                <w:color w:val="auto"/>
                <w:kern w:val="0"/>
                <w:sz w:val="24"/>
                <w:szCs w:val="24"/>
                <w:highlight w:val="none"/>
                <w:lang w:val="en-US" w:eastAsia="zh-CN"/>
              </w:rPr>
              <w:t>包括但不限于</w:t>
            </w:r>
            <w:r>
              <w:rPr>
                <w:rFonts w:hint="default" w:ascii="Times New Roman" w:hAnsi="Times New Roman" w:cs="Times New Roman"/>
                <w:color w:val="auto"/>
                <w:kern w:val="0"/>
                <w:sz w:val="24"/>
                <w:szCs w:val="24"/>
                <w:highlight w:val="none"/>
                <w:lang w:val="en-US" w:eastAsia="zh-CN"/>
              </w:rPr>
              <w:t xml:space="preserve">： </w:t>
            </w:r>
          </w:p>
          <w:p w14:paraId="3E6FA9F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Times New Roman" w:hAnsi="Times New Roman" w:cs="Times New Roman"/>
                <w:color w:val="auto"/>
                <w:kern w:val="0"/>
                <w:sz w:val="24"/>
                <w:szCs w:val="24"/>
                <w:highlight w:val="none"/>
                <w:lang w:val="en-US" w:eastAsia="zh-CN"/>
              </w:rPr>
            </w:pPr>
            <w:r>
              <w:rPr>
                <w:rFonts w:hint="default" w:ascii="Times New Roman" w:hAnsi="Times New Roman" w:cs="Times New Roman"/>
                <w:color w:val="auto"/>
                <w:kern w:val="0"/>
                <w:sz w:val="24"/>
                <w:szCs w:val="24"/>
                <w:highlight w:val="none"/>
                <w:lang w:val="en-US" w:eastAsia="zh-CN"/>
              </w:rPr>
              <w:t xml:space="preserve">1.投标人对货物运输的具体方案。①针对运输服务方案、正确处理、完美解决问题的方式；②具有完善的运输组织模式，针对项目运输方案实施提出措施建议，确保项目顺利实施。 </w:t>
            </w:r>
          </w:p>
          <w:p w14:paraId="4E14873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Times New Roman" w:hAnsi="Times New Roman" w:cs="Times New Roman"/>
                <w:color w:val="auto"/>
                <w:kern w:val="0"/>
                <w:sz w:val="24"/>
                <w:szCs w:val="24"/>
                <w:highlight w:val="none"/>
                <w:lang w:val="en-US" w:eastAsia="zh-CN"/>
              </w:rPr>
            </w:pPr>
            <w:r>
              <w:rPr>
                <w:rFonts w:hint="default" w:ascii="Times New Roman" w:hAnsi="Times New Roman" w:cs="Times New Roman"/>
                <w:color w:val="auto"/>
                <w:kern w:val="0"/>
                <w:sz w:val="24"/>
                <w:szCs w:val="24"/>
                <w:highlight w:val="none"/>
                <w:lang w:val="en-US" w:eastAsia="zh-CN"/>
              </w:rPr>
              <w:t>2.投标人对货物配送的具体方案。①出入库管理</w:t>
            </w:r>
            <w:r>
              <w:rPr>
                <w:rFonts w:hint="eastAsia" w:ascii="Times New Roman" w:hAnsi="Times New Roman" w:cs="Times New Roman"/>
                <w:color w:val="auto"/>
                <w:kern w:val="0"/>
                <w:sz w:val="24"/>
                <w:szCs w:val="24"/>
                <w:highlight w:val="none"/>
                <w:lang w:val="en-US" w:eastAsia="zh-CN"/>
              </w:rPr>
              <w:t>；</w:t>
            </w:r>
            <w:r>
              <w:rPr>
                <w:rFonts w:hint="default" w:ascii="Times New Roman" w:hAnsi="Times New Roman" w:cs="Times New Roman"/>
                <w:color w:val="auto"/>
                <w:kern w:val="0"/>
                <w:sz w:val="24"/>
                <w:szCs w:val="24"/>
                <w:highlight w:val="none"/>
                <w:lang w:val="en-US" w:eastAsia="zh-CN"/>
              </w:rPr>
              <w:t xml:space="preserve">②货物交接、 配送时间安排。 </w:t>
            </w:r>
          </w:p>
          <w:p w14:paraId="61F6E7F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Times New Roman" w:hAnsi="Times New Roman" w:cs="Times New Roman"/>
                <w:color w:val="auto"/>
                <w:kern w:val="0"/>
                <w:sz w:val="24"/>
                <w:szCs w:val="24"/>
                <w:highlight w:val="none"/>
                <w:lang w:val="en-US" w:eastAsia="zh-CN"/>
              </w:rPr>
            </w:pPr>
            <w:r>
              <w:rPr>
                <w:rFonts w:hint="default" w:ascii="Times New Roman" w:hAnsi="Times New Roman" w:cs="Times New Roman"/>
                <w:color w:val="auto"/>
                <w:kern w:val="0"/>
                <w:sz w:val="24"/>
                <w:szCs w:val="24"/>
                <w:highlight w:val="none"/>
                <w:lang w:val="en-US" w:eastAsia="zh-CN"/>
              </w:rPr>
              <w:t>3.投标人对货物装卸的具体方案。①货物装卸流程</w:t>
            </w:r>
            <w:r>
              <w:rPr>
                <w:rFonts w:hint="eastAsia" w:ascii="Times New Roman" w:hAnsi="Times New Roman" w:cs="Times New Roman"/>
                <w:color w:val="auto"/>
                <w:kern w:val="0"/>
                <w:sz w:val="24"/>
                <w:szCs w:val="24"/>
                <w:highlight w:val="none"/>
                <w:lang w:val="en-US" w:eastAsia="zh-CN"/>
              </w:rPr>
              <w:t>；</w:t>
            </w:r>
            <w:r>
              <w:rPr>
                <w:rFonts w:hint="default" w:ascii="Times New Roman" w:hAnsi="Times New Roman" w:cs="Times New Roman"/>
                <w:color w:val="auto"/>
                <w:kern w:val="0"/>
                <w:sz w:val="24"/>
                <w:szCs w:val="24"/>
                <w:highlight w:val="none"/>
                <w:lang w:val="en-US" w:eastAsia="zh-CN"/>
              </w:rPr>
              <w:t xml:space="preserve">②货物装卸工具、装卸管理。 </w:t>
            </w:r>
          </w:p>
          <w:p w14:paraId="067C9D08">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default" w:ascii="Times New Roman" w:hAnsi="Times New Roman" w:cs="Times New Roman"/>
                <w:color w:val="auto"/>
                <w:kern w:val="0"/>
                <w:sz w:val="24"/>
                <w:szCs w:val="24"/>
                <w:highlight w:val="none"/>
                <w:lang w:val="en-US" w:eastAsia="zh-CN"/>
              </w:rPr>
              <w:t>注：全部提供得</w:t>
            </w:r>
            <w:r>
              <w:rPr>
                <w:rFonts w:hint="eastAsia" w:ascii="Times New Roman" w:hAnsi="Times New Roman" w:cs="Times New Roman"/>
                <w:color w:val="auto"/>
                <w:kern w:val="0"/>
                <w:sz w:val="24"/>
                <w:szCs w:val="24"/>
                <w:highlight w:val="none"/>
                <w:lang w:val="en-US" w:eastAsia="zh-CN"/>
              </w:rPr>
              <w:t>12</w:t>
            </w:r>
            <w:r>
              <w:rPr>
                <w:rFonts w:hint="default" w:ascii="Times New Roman" w:hAnsi="Times New Roman" w:cs="Times New Roman"/>
                <w:color w:val="auto"/>
                <w:kern w:val="0"/>
                <w:sz w:val="24"/>
                <w:szCs w:val="24"/>
                <w:highlight w:val="none"/>
                <w:lang w:val="en-US" w:eastAsia="zh-CN"/>
              </w:rPr>
              <w:t>分，每</w:t>
            </w:r>
            <w:r>
              <w:rPr>
                <w:rFonts w:hint="eastAsia" w:ascii="Times New Roman" w:hAnsi="Times New Roman" w:cs="Times New Roman"/>
                <w:color w:val="auto"/>
                <w:kern w:val="0"/>
                <w:sz w:val="24"/>
                <w:szCs w:val="24"/>
                <w:highlight w:val="none"/>
                <w:lang w:val="en-US" w:eastAsia="zh-CN"/>
              </w:rPr>
              <w:t>存在一处瑕疵的</w:t>
            </w:r>
            <w:r>
              <w:rPr>
                <w:rFonts w:hint="default" w:ascii="Times New Roman" w:hAnsi="Times New Roman" w:cs="Times New Roman"/>
                <w:color w:val="auto"/>
                <w:kern w:val="0"/>
                <w:sz w:val="24"/>
                <w:szCs w:val="24"/>
                <w:highlight w:val="none"/>
                <w:lang w:val="en-US" w:eastAsia="zh-CN"/>
              </w:rPr>
              <w:t>扣</w:t>
            </w:r>
            <w:r>
              <w:rPr>
                <w:rFonts w:hint="eastAsia" w:ascii="Times New Roman" w:hAnsi="Times New Roman" w:cs="Times New Roman"/>
                <w:color w:val="auto"/>
                <w:kern w:val="0"/>
                <w:sz w:val="24"/>
                <w:szCs w:val="24"/>
                <w:highlight w:val="none"/>
                <w:lang w:val="en-US" w:eastAsia="zh-CN"/>
              </w:rPr>
              <w:t>1</w:t>
            </w:r>
            <w:r>
              <w:rPr>
                <w:rFonts w:hint="default" w:ascii="Times New Roman" w:hAnsi="Times New Roman" w:cs="Times New Roman"/>
                <w:color w:val="auto"/>
                <w:kern w:val="0"/>
                <w:sz w:val="24"/>
                <w:szCs w:val="24"/>
                <w:highlight w:val="none"/>
                <w:lang w:val="en-US" w:eastAsia="zh-CN"/>
              </w:rPr>
              <w:t>分（每有一项表述混乱或不完善</w:t>
            </w:r>
            <w:r>
              <w:rPr>
                <w:rFonts w:hint="eastAsia" w:ascii="Times New Roman" w:hAnsi="Times New Roman" w:cs="Times New Roman"/>
                <w:color w:val="auto"/>
                <w:kern w:val="0"/>
                <w:sz w:val="24"/>
                <w:szCs w:val="24"/>
                <w:highlight w:val="none"/>
                <w:lang w:val="en-US" w:eastAsia="zh-CN"/>
              </w:rPr>
              <w:t>的</w:t>
            </w:r>
            <w:r>
              <w:rPr>
                <w:rFonts w:hint="default" w:ascii="Times New Roman" w:hAnsi="Times New Roman" w:cs="Times New Roman"/>
                <w:color w:val="auto"/>
                <w:kern w:val="0"/>
                <w:sz w:val="24"/>
                <w:szCs w:val="24"/>
                <w:highlight w:val="none"/>
                <w:lang w:val="en-US" w:eastAsia="zh-CN"/>
              </w:rPr>
              <w:t>）。</w:t>
            </w:r>
            <w:bookmarkEnd w:id="75"/>
          </w:p>
        </w:tc>
      </w:tr>
      <w:tr w14:paraId="06BD0EF2">
        <w:tblPrEx>
          <w:tblCellMar>
            <w:top w:w="15" w:type="dxa"/>
            <w:left w:w="15" w:type="dxa"/>
            <w:bottom w:w="15" w:type="dxa"/>
            <w:right w:w="15" w:type="dxa"/>
          </w:tblCellMar>
        </w:tblPrEx>
        <w:trPr>
          <w:trHeight w:val="1406" w:hRule="atLeast"/>
          <w:jc w:val="center"/>
        </w:trPr>
        <w:tc>
          <w:tcPr>
            <w:tcW w:w="1255" w:type="dxa"/>
            <w:tcBorders>
              <w:top w:val="single" w:color="auto" w:sz="4" w:space="0"/>
              <w:left w:val="single" w:color="000000" w:sz="4" w:space="0"/>
              <w:bottom w:val="single" w:color="auto" w:sz="4" w:space="0"/>
              <w:right w:val="single" w:color="000000" w:sz="4" w:space="0"/>
            </w:tcBorders>
            <w:shd w:val="clear" w:color="auto" w:fill="auto"/>
            <w:vAlign w:val="center"/>
          </w:tcPr>
          <w:p w14:paraId="3871F361">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应急情况处理方案</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1A90C05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en-US" w:eastAsia="zh-CN"/>
              </w:rPr>
              <w:t>分</w:t>
            </w:r>
          </w:p>
        </w:tc>
        <w:tc>
          <w:tcPr>
            <w:tcW w:w="8675" w:type="dxa"/>
            <w:tcBorders>
              <w:top w:val="single" w:color="000000" w:sz="4" w:space="0"/>
              <w:left w:val="single" w:color="000000" w:sz="4" w:space="0"/>
              <w:bottom w:val="single" w:color="000000" w:sz="4" w:space="0"/>
              <w:right w:val="single" w:color="000000" w:sz="4" w:space="0"/>
            </w:tcBorders>
            <w:vAlign w:val="center"/>
          </w:tcPr>
          <w:p w14:paraId="2B4EA326">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bookmarkStart w:id="76" w:name="OLE_LINK70"/>
            <w:r>
              <w:rPr>
                <w:rFonts w:hint="eastAsia" w:ascii="宋体" w:hAnsi="宋体" w:eastAsia="宋体" w:cs="宋体"/>
                <w:color w:val="auto"/>
                <w:kern w:val="0"/>
                <w:sz w:val="24"/>
                <w:szCs w:val="24"/>
                <w:highlight w:val="none"/>
                <w:lang w:val="en-US" w:eastAsia="zh-CN"/>
              </w:rPr>
              <w:t>投标人提供的应急情况处理方案（包括但不限于①食品流通环节过程可能会出现的问题</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②食物中毒事故应急处理措施</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③食材质量出现问题时的</w:t>
            </w:r>
            <w:r>
              <w:rPr>
                <w:rFonts w:hint="eastAsia" w:ascii="宋体" w:hAnsi="宋体" w:cs="宋体"/>
                <w:color w:val="auto"/>
                <w:kern w:val="0"/>
                <w:sz w:val="24"/>
                <w:szCs w:val="24"/>
                <w:highlight w:val="none"/>
                <w:lang w:val="en-US" w:eastAsia="zh-CN"/>
              </w:rPr>
              <w:t>责任划分、召回、赔偿</w:t>
            </w:r>
            <w:r>
              <w:rPr>
                <w:rFonts w:hint="eastAsia" w:ascii="宋体" w:hAnsi="宋体" w:eastAsia="宋体" w:cs="宋体"/>
                <w:color w:val="auto"/>
                <w:kern w:val="0"/>
                <w:sz w:val="24"/>
                <w:szCs w:val="24"/>
                <w:highlight w:val="none"/>
                <w:lang w:val="en-US" w:eastAsia="zh-CN"/>
              </w:rPr>
              <w:t>方案</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④</w:t>
            </w:r>
            <w:r>
              <w:rPr>
                <w:rFonts w:hint="eastAsia" w:ascii="宋体" w:hAnsi="宋体" w:cs="宋体"/>
                <w:color w:val="auto"/>
                <w:kern w:val="0"/>
                <w:sz w:val="24"/>
                <w:szCs w:val="24"/>
                <w:highlight w:val="none"/>
                <w:lang w:val="en-US" w:eastAsia="zh-CN"/>
              </w:rPr>
              <w:t>遇设备故障或天气灾害或交通管制等；</w:t>
            </w:r>
            <w:r>
              <w:rPr>
                <w:rFonts w:hint="eastAsia" w:ascii="宋体" w:hAnsi="宋体" w:eastAsia="宋体" w:cs="宋体"/>
                <w:color w:val="auto"/>
                <w:kern w:val="0"/>
                <w:sz w:val="24"/>
                <w:szCs w:val="24"/>
                <w:highlight w:val="none"/>
                <w:lang w:val="en-US" w:eastAsia="zh-CN"/>
              </w:rPr>
              <w:t>⑤</w:t>
            </w:r>
            <w:r>
              <w:rPr>
                <w:rFonts w:hint="eastAsia" w:ascii="宋体" w:hAnsi="宋体" w:cs="宋体"/>
                <w:color w:val="auto"/>
                <w:kern w:val="0"/>
                <w:sz w:val="24"/>
                <w:szCs w:val="24"/>
                <w:highlight w:val="none"/>
                <w:lang w:val="en-US" w:eastAsia="zh-CN"/>
              </w:rPr>
              <w:t>采购人</w:t>
            </w:r>
            <w:r>
              <w:rPr>
                <w:rFonts w:hint="eastAsia" w:ascii="宋体" w:hAnsi="宋体" w:eastAsia="宋体" w:cs="宋体"/>
                <w:color w:val="auto"/>
                <w:kern w:val="0"/>
                <w:sz w:val="24"/>
                <w:szCs w:val="24"/>
                <w:highlight w:val="none"/>
                <w:lang w:val="en-US" w:eastAsia="zh-CN"/>
              </w:rPr>
              <w:t>遇有临时紧急采购需求时的应急联系方式</w:t>
            </w:r>
            <w:r>
              <w:rPr>
                <w:rFonts w:hint="eastAsia" w:ascii="宋体" w:hAnsi="宋体" w:cs="宋体"/>
                <w:color w:val="auto"/>
                <w:kern w:val="0"/>
                <w:sz w:val="24"/>
                <w:szCs w:val="24"/>
                <w:highlight w:val="none"/>
                <w:lang w:val="en-US" w:eastAsia="zh-CN"/>
              </w:rPr>
              <w:t>及</w:t>
            </w:r>
            <w:r>
              <w:rPr>
                <w:rFonts w:hint="eastAsia" w:ascii="宋体" w:hAnsi="宋体" w:eastAsia="宋体" w:cs="宋体"/>
                <w:color w:val="auto"/>
                <w:kern w:val="0"/>
                <w:sz w:val="24"/>
                <w:szCs w:val="24"/>
                <w:highlight w:val="none"/>
                <w:lang w:val="en-US" w:eastAsia="zh-CN"/>
              </w:rPr>
              <w:t>处理方案</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⑥</w:t>
            </w:r>
            <w:r>
              <w:rPr>
                <w:rFonts w:hint="eastAsia" w:ascii="宋体" w:hAnsi="宋体" w:cs="宋体"/>
                <w:color w:val="auto"/>
                <w:kern w:val="0"/>
                <w:sz w:val="24"/>
                <w:szCs w:val="24"/>
                <w:highlight w:val="none"/>
                <w:lang w:val="en-US" w:eastAsia="zh-CN"/>
              </w:rPr>
              <w:t>货源短缺时的解决方案；</w:t>
            </w:r>
            <w:r>
              <w:rPr>
                <w:rFonts w:hint="eastAsia" w:ascii="宋体" w:hAnsi="宋体" w:eastAsia="宋体" w:cs="宋体"/>
                <w:color w:val="auto"/>
                <w:kern w:val="0"/>
                <w:sz w:val="24"/>
                <w:szCs w:val="24"/>
                <w:highlight w:val="none"/>
                <w:lang w:val="en-US" w:eastAsia="zh-CN"/>
              </w:rPr>
              <w:t>⑦应急响应时间</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⑧</w:t>
            </w:r>
            <w:r>
              <w:rPr>
                <w:rFonts w:hint="eastAsia" w:ascii="宋体" w:hAnsi="宋体" w:cs="宋体"/>
                <w:color w:val="auto"/>
                <w:kern w:val="0"/>
                <w:sz w:val="24"/>
                <w:szCs w:val="24"/>
                <w:highlight w:val="none"/>
                <w:lang w:val="en-US" w:eastAsia="zh-CN"/>
              </w:rPr>
              <w:t>备用车辆；</w:t>
            </w:r>
            <w:r>
              <w:rPr>
                <w:rFonts w:hint="eastAsia" w:ascii="宋体" w:hAnsi="宋体" w:eastAsia="宋体" w:cs="宋体"/>
                <w:color w:val="auto"/>
                <w:kern w:val="0"/>
                <w:sz w:val="24"/>
                <w:szCs w:val="24"/>
                <w:highlight w:val="none"/>
                <w:lang w:val="en-US" w:eastAsia="zh-CN"/>
              </w:rPr>
              <w:t>⑨后期处置</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⑩</w:t>
            </w:r>
            <w:r>
              <w:rPr>
                <w:rFonts w:hint="eastAsia" w:ascii="宋体" w:hAnsi="宋体" w:cs="宋体"/>
                <w:color w:val="auto"/>
                <w:kern w:val="0"/>
                <w:sz w:val="24"/>
                <w:szCs w:val="24"/>
                <w:highlight w:val="none"/>
                <w:lang w:val="en-US" w:eastAsia="zh-CN"/>
              </w:rPr>
              <w:t>备用供应商或临时采购渠道</w:t>
            </w:r>
            <w:r>
              <w:rPr>
                <w:rFonts w:hint="eastAsia" w:ascii="宋体" w:hAnsi="宋体" w:eastAsia="宋体" w:cs="宋体"/>
                <w:color w:val="auto"/>
                <w:kern w:val="0"/>
                <w:sz w:val="24"/>
                <w:szCs w:val="24"/>
                <w:highlight w:val="none"/>
                <w:lang w:val="en-US" w:eastAsia="zh-CN"/>
              </w:rPr>
              <w:t>等</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确保实施过程中不得影响</w:t>
            </w:r>
            <w:r>
              <w:rPr>
                <w:rFonts w:hint="eastAsia" w:ascii="宋体" w:hAnsi="宋体" w:cs="宋体"/>
                <w:color w:val="auto"/>
                <w:kern w:val="0"/>
                <w:sz w:val="24"/>
                <w:szCs w:val="24"/>
                <w:highlight w:val="none"/>
                <w:lang w:val="en-US" w:eastAsia="zh-CN"/>
              </w:rPr>
              <w:t>采购人</w:t>
            </w:r>
            <w:r>
              <w:rPr>
                <w:rFonts w:hint="eastAsia" w:ascii="宋体" w:hAnsi="宋体" w:eastAsia="宋体" w:cs="宋体"/>
                <w:color w:val="auto"/>
                <w:kern w:val="0"/>
                <w:sz w:val="24"/>
                <w:szCs w:val="24"/>
                <w:highlight w:val="none"/>
                <w:lang w:val="en-US" w:eastAsia="zh-CN"/>
              </w:rPr>
              <w:t>正常需求，进行综合评审：</w:t>
            </w:r>
          </w:p>
          <w:p w14:paraId="56719155">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以上</w:t>
            </w:r>
            <w:r>
              <w:rPr>
                <w:rFonts w:hint="eastAsia" w:ascii="宋体" w:hAnsi="宋体" w:eastAsia="宋体" w:cs="宋体"/>
                <w:color w:val="auto"/>
                <w:kern w:val="0"/>
                <w:sz w:val="24"/>
                <w:szCs w:val="24"/>
                <w:highlight w:val="none"/>
                <w:lang w:val="en-US" w:eastAsia="zh-CN"/>
              </w:rPr>
              <w:t>全部提供</w:t>
            </w:r>
            <w:r>
              <w:rPr>
                <w:rFonts w:hint="eastAsia" w:ascii="宋体" w:hAnsi="宋体" w:cs="宋体"/>
                <w:color w:val="auto"/>
                <w:kern w:val="0"/>
                <w:sz w:val="24"/>
                <w:szCs w:val="24"/>
                <w:highlight w:val="none"/>
                <w:lang w:val="en-US" w:eastAsia="zh-CN"/>
              </w:rPr>
              <w:t>且可行性、覆盖范围切合采购人实际情况及本项目需求的，</w:t>
            </w:r>
            <w:r>
              <w:rPr>
                <w:rFonts w:hint="eastAsia" w:ascii="宋体" w:hAnsi="宋体" w:eastAsia="宋体" w:cs="宋体"/>
                <w:color w:val="auto"/>
                <w:kern w:val="0"/>
                <w:sz w:val="24"/>
                <w:szCs w:val="24"/>
                <w:highlight w:val="none"/>
                <w:lang w:val="en-US" w:eastAsia="zh-CN"/>
              </w:rPr>
              <w:t>得</w:t>
            </w:r>
            <w:r>
              <w:rPr>
                <w:rFonts w:hint="eastAsia" w:ascii="宋体" w:hAnsi="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lang w:val="en-US" w:eastAsia="zh-CN"/>
              </w:rPr>
              <w:t>分，每存在一处瑕疵（每有一项表述混乱或不完善</w:t>
            </w:r>
            <w:r>
              <w:rPr>
                <w:rFonts w:hint="eastAsia" w:ascii="宋体" w:hAnsi="宋体" w:cs="宋体"/>
                <w:color w:val="auto"/>
                <w:kern w:val="0"/>
                <w:sz w:val="24"/>
                <w:szCs w:val="24"/>
                <w:highlight w:val="none"/>
                <w:lang w:val="en-US" w:eastAsia="zh-CN"/>
              </w:rPr>
              <w:t>或同一事项前后表述不一致的</w:t>
            </w:r>
            <w:r>
              <w:rPr>
                <w:rFonts w:hint="eastAsia" w:ascii="宋体" w:hAnsi="宋体" w:eastAsia="宋体" w:cs="宋体"/>
                <w:color w:val="auto"/>
                <w:kern w:val="0"/>
                <w:sz w:val="24"/>
                <w:szCs w:val="24"/>
                <w:highlight w:val="none"/>
                <w:lang w:val="en-US" w:eastAsia="zh-CN"/>
              </w:rPr>
              <w:t>）的扣1分</w:t>
            </w:r>
            <w:bookmarkEnd w:id="76"/>
          </w:p>
        </w:tc>
      </w:tr>
      <w:tr w14:paraId="794F3144">
        <w:tblPrEx>
          <w:tblCellMar>
            <w:top w:w="15" w:type="dxa"/>
            <w:left w:w="15" w:type="dxa"/>
            <w:bottom w:w="15" w:type="dxa"/>
            <w:right w:w="15" w:type="dxa"/>
          </w:tblCellMar>
        </w:tblPrEx>
        <w:trPr>
          <w:trHeight w:val="941" w:hRule="atLeast"/>
          <w:jc w:val="center"/>
        </w:trPr>
        <w:tc>
          <w:tcPr>
            <w:tcW w:w="1255" w:type="dxa"/>
            <w:tcBorders>
              <w:top w:val="single" w:color="auto" w:sz="4" w:space="0"/>
              <w:left w:val="single" w:color="000000" w:sz="4" w:space="0"/>
              <w:bottom w:val="single" w:color="auto" w:sz="4" w:space="0"/>
              <w:right w:val="single" w:color="000000" w:sz="4" w:space="0"/>
            </w:tcBorders>
            <w:shd w:val="clear" w:color="auto" w:fill="auto"/>
            <w:vAlign w:val="center"/>
          </w:tcPr>
          <w:p w14:paraId="3B4BB83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后期服承诺及改进方案</w:t>
            </w:r>
          </w:p>
        </w:tc>
        <w:tc>
          <w:tcPr>
            <w:tcW w:w="739" w:type="dxa"/>
            <w:gridSpan w:val="2"/>
            <w:tcBorders>
              <w:top w:val="single" w:color="000000" w:sz="4" w:space="0"/>
              <w:left w:val="single" w:color="000000" w:sz="4" w:space="0"/>
              <w:bottom w:val="single" w:color="000000" w:sz="4" w:space="0"/>
            </w:tcBorders>
            <w:shd w:val="clear" w:color="auto" w:fill="auto"/>
            <w:vAlign w:val="center"/>
          </w:tcPr>
          <w:p w14:paraId="07D3DC5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jc w:val="center"/>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4分</w:t>
            </w:r>
          </w:p>
        </w:tc>
        <w:tc>
          <w:tcPr>
            <w:tcW w:w="8675" w:type="dxa"/>
            <w:tcBorders>
              <w:top w:val="single" w:color="000000" w:sz="4" w:space="0"/>
              <w:left w:val="single" w:color="000000" w:sz="4" w:space="0"/>
              <w:bottom w:val="single" w:color="000000" w:sz="4" w:space="0"/>
              <w:right w:val="single" w:color="000000" w:sz="4" w:space="0"/>
            </w:tcBorders>
            <w:vAlign w:val="center"/>
          </w:tcPr>
          <w:p w14:paraId="5D42C5E4">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投标人提供</w:t>
            </w:r>
            <w:r>
              <w:rPr>
                <w:rFonts w:hint="eastAsia" w:ascii="宋体" w:hAnsi="宋体" w:cs="宋体"/>
                <w:color w:val="auto"/>
                <w:kern w:val="0"/>
                <w:sz w:val="24"/>
                <w:szCs w:val="24"/>
                <w:highlight w:val="none"/>
                <w:lang w:val="en-US" w:eastAsia="zh-CN"/>
              </w:rPr>
              <w:t>：1.针对本项目配送服务的承诺（内容</w:t>
            </w:r>
            <w:r>
              <w:rPr>
                <w:rFonts w:hint="eastAsia" w:ascii="宋体" w:hAnsi="宋体" w:eastAsia="宋体" w:cs="宋体"/>
                <w:color w:val="auto"/>
                <w:kern w:val="0"/>
                <w:sz w:val="24"/>
                <w:szCs w:val="24"/>
                <w:highlight w:val="none"/>
                <w:lang w:val="en-US" w:eastAsia="zh-CN"/>
              </w:rPr>
              <w:t>包括</w:t>
            </w:r>
            <w:r>
              <w:rPr>
                <w:rFonts w:hint="eastAsia" w:ascii="宋体" w:hAnsi="宋体" w:cs="宋体"/>
                <w:color w:val="auto"/>
                <w:kern w:val="0"/>
                <w:sz w:val="24"/>
                <w:szCs w:val="24"/>
                <w:highlight w:val="none"/>
                <w:lang w:val="en-US" w:eastAsia="zh-CN"/>
              </w:rPr>
              <w:t>但不限于</w:t>
            </w:r>
            <w:r>
              <w:rPr>
                <w:rFonts w:hint="eastAsia" w:ascii="宋体" w:hAnsi="宋体" w:eastAsia="宋体" w:cs="宋体"/>
                <w:color w:val="auto"/>
                <w:kern w:val="0"/>
                <w:sz w:val="24"/>
                <w:szCs w:val="24"/>
                <w:highlight w:val="none"/>
                <w:lang w:val="en-US" w:eastAsia="zh-CN"/>
              </w:rPr>
              <w:t>服务内容、程度如何</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可操作性以及其他特色服务和响应措施等</w:t>
            </w:r>
            <w:r>
              <w:rPr>
                <w:rFonts w:hint="eastAsia" w:ascii="宋体" w:hAnsi="宋体" w:cs="宋体"/>
                <w:color w:val="auto"/>
                <w:kern w:val="0"/>
                <w:sz w:val="24"/>
                <w:szCs w:val="24"/>
                <w:highlight w:val="none"/>
                <w:lang w:val="en-US" w:eastAsia="zh-CN"/>
              </w:rPr>
              <w:t>）；2.结合采购人及本项目实际需求具体制定改进机制、措施的；</w:t>
            </w:r>
          </w:p>
          <w:p w14:paraId="2505F03C">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以上</w:t>
            </w:r>
            <w:r>
              <w:rPr>
                <w:rFonts w:hint="eastAsia" w:ascii="宋体" w:hAnsi="宋体" w:eastAsia="宋体" w:cs="宋体"/>
                <w:color w:val="auto"/>
                <w:kern w:val="0"/>
                <w:sz w:val="24"/>
                <w:szCs w:val="24"/>
                <w:highlight w:val="none"/>
                <w:lang w:val="en-US" w:eastAsia="zh-CN"/>
              </w:rPr>
              <w:t>全部提供</w:t>
            </w:r>
            <w:r>
              <w:rPr>
                <w:rFonts w:hint="eastAsia" w:ascii="宋体" w:hAnsi="宋体" w:cs="宋体"/>
                <w:color w:val="auto"/>
                <w:kern w:val="0"/>
                <w:sz w:val="24"/>
                <w:szCs w:val="24"/>
                <w:highlight w:val="none"/>
                <w:lang w:val="en-US" w:eastAsia="zh-CN"/>
              </w:rPr>
              <w:t>且可行性、覆盖范围切合采购人实际情况及本项目需求的，</w:t>
            </w:r>
            <w:r>
              <w:rPr>
                <w:rFonts w:hint="eastAsia" w:ascii="宋体" w:hAnsi="宋体" w:eastAsia="宋体" w:cs="宋体"/>
                <w:color w:val="auto"/>
                <w:kern w:val="0"/>
                <w:sz w:val="24"/>
                <w:szCs w:val="24"/>
                <w:highlight w:val="none"/>
                <w:lang w:val="en-US" w:eastAsia="zh-CN"/>
              </w:rPr>
              <w:t>得</w:t>
            </w: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分，每存在一处瑕疵（每有一项表述混乱或不完善</w:t>
            </w:r>
            <w:r>
              <w:rPr>
                <w:rFonts w:hint="eastAsia" w:ascii="宋体" w:hAnsi="宋体" w:cs="宋体"/>
                <w:color w:val="auto"/>
                <w:kern w:val="0"/>
                <w:sz w:val="24"/>
                <w:szCs w:val="24"/>
                <w:highlight w:val="none"/>
                <w:lang w:val="en-US" w:eastAsia="zh-CN"/>
              </w:rPr>
              <w:t>或同一事项前后表述不一致的</w:t>
            </w:r>
            <w:r>
              <w:rPr>
                <w:rFonts w:hint="eastAsia" w:ascii="宋体" w:hAnsi="宋体" w:eastAsia="宋体" w:cs="宋体"/>
                <w:color w:val="auto"/>
                <w:kern w:val="0"/>
                <w:sz w:val="24"/>
                <w:szCs w:val="24"/>
                <w:highlight w:val="none"/>
                <w:lang w:val="en-US" w:eastAsia="zh-CN"/>
              </w:rPr>
              <w:t>）的扣1分</w:t>
            </w:r>
            <w:r>
              <w:rPr>
                <w:rFonts w:hint="eastAsia" w:ascii="宋体" w:hAnsi="宋体" w:cs="宋体"/>
                <w:color w:val="auto"/>
                <w:kern w:val="0"/>
                <w:sz w:val="24"/>
                <w:szCs w:val="24"/>
                <w:highlight w:val="none"/>
                <w:lang w:val="en-US" w:eastAsia="zh-CN"/>
              </w:rPr>
              <w:t>。</w:t>
            </w:r>
          </w:p>
        </w:tc>
      </w:tr>
    </w:tbl>
    <w:tbl>
      <w:tblPr>
        <w:tblStyle w:val="26"/>
        <w:tblpPr w:leftFromText="180" w:rightFromText="180" w:vertAnchor="text" w:tblpX="-12347" w:tblpY="-15639"/>
        <w:tblOverlap w:val="never"/>
        <w:tblW w:w="3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
      </w:tblGrid>
      <w:tr w14:paraId="71214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24" w:type="dxa"/>
          </w:tcPr>
          <w:p w14:paraId="67F2AFB3">
            <w:pPr>
              <w:jc w:val="center"/>
              <w:rPr>
                <w:rFonts w:hint="eastAsia" w:ascii="宋体" w:hAnsi="宋体" w:eastAsia="宋体" w:cs="宋体"/>
                <w:b/>
                <w:bCs/>
                <w:color w:val="auto"/>
                <w:sz w:val="24"/>
                <w:szCs w:val="24"/>
                <w:highlight w:val="none"/>
                <w:vertAlign w:val="baseline"/>
                <w:lang w:eastAsia="zh-CN"/>
              </w:rPr>
            </w:pPr>
          </w:p>
        </w:tc>
      </w:tr>
    </w:tbl>
    <w:p w14:paraId="3789EB3A">
      <w:pPr>
        <w:jc w:val="center"/>
        <w:rPr>
          <w:rFonts w:hint="eastAsia" w:ascii="宋体" w:hAnsi="宋体" w:eastAsia="宋体" w:cs="宋体"/>
          <w:b/>
          <w:bCs/>
          <w:color w:val="auto"/>
          <w:sz w:val="24"/>
          <w:szCs w:val="24"/>
          <w:highlight w:val="none"/>
          <w:lang w:eastAsia="zh-CN"/>
        </w:rPr>
      </w:pPr>
    </w:p>
    <w:p w14:paraId="0350C9C3">
      <w:pPr>
        <w:snapToGrid w:val="0"/>
        <w:spacing w:line="360" w:lineRule="auto"/>
        <w:jc w:val="both"/>
        <w:rPr>
          <w:rFonts w:hint="eastAsia" w:ascii="宋体" w:hAnsi="宋体" w:eastAsia="宋体" w:cs="宋体"/>
          <w:b/>
          <w:color w:val="auto"/>
          <w:sz w:val="28"/>
          <w:szCs w:val="28"/>
          <w:highlight w:val="none"/>
          <w:lang w:val="en-US" w:eastAsia="zh-CN"/>
        </w:rPr>
      </w:pPr>
      <w:r>
        <w:rPr>
          <w:rFonts w:hint="eastAsia" w:ascii="宋体" w:hAnsi="宋体" w:cs="宋体"/>
          <w:b/>
          <w:color w:val="auto"/>
          <w:sz w:val="28"/>
          <w:szCs w:val="28"/>
          <w:highlight w:val="none"/>
          <w:lang w:val="en-US" w:eastAsia="zh-CN"/>
        </w:rPr>
        <w:t>说明</w:t>
      </w:r>
      <w:r>
        <w:rPr>
          <w:rFonts w:hint="eastAsia" w:ascii="宋体" w:hAnsi="宋体" w:eastAsia="宋体" w:cs="宋体"/>
          <w:b/>
          <w:color w:val="auto"/>
          <w:sz w:val="28"/>
          <w:szCs w:val="28"/>
          <w:highlight w:val="none"/>
          <w:lang w:val="en-US" w:eastAsia="zh-CN"/>
        </w:rPr>
        <w:t>：</w:t>
      </w:r>
    </w:p>
    <w:p w14:paraId="1641767F">
      <w:pPr>
        <w:snapToGrid w:val="0"/>
        <w:spacing w:line="360" w:lineRule="auto"/>
        <w:ind w:firstLine="562" w:firstLineChars="200"/>
        <w:jc w:val="both"/>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1.投标人提供的实际服务必须严格尊照投标文件承诺，严禁投标人为谋取高分随意承诺，实际履约过程中</w:t>
      </w:r>
      <w:r>
        <w:rPr>
          <w:rFonts w:hint="eastAsia" w:ascii="宋体" w:hAnsi="宋体" w:cs="宋体"/>
          <w:b/>
          <w:color w:val="auto"/>
          <w:sz w:val="28"/>
          <w:szCs w:val="28"/>
          <w:highlight w:val="none"/>
          <w:lang w:val="en-US" w:eastAsia="zh-CN"/>
        </w:rPr>
        <w:t>弄虚作假、</w:t>
      </w:r>
      <w:r>
        <w:rPr>
          <w:rFonts w:hint="eastAsia" w:ascii="宋体" w:hAnsi="宋体" w:eastAsia="宋体" w:cs="宋体"/>
          <w:b/>
          <w:color w:val="auto"/>
          <w:sz w:val="28"/>
          <w:szCs w:val="28"/>
          <w:highlight w:val="none"/>
          <w:lang w:val="en-US" w:eastAsia="zh-CN"/>
        </w:rPr>
        <w:t xml:space="preserve">以次充好； </w:t>
      </w:r>
    </w:p>
    <w:p w14:paraId="1672F157">
      <w:pPr>
        <w:snapToGrid w:val="0"/>
        <w:spacing w:line="360" w:lineRule="auto"/>
        <w:ind w:firstLine="413" w:firstLineChars="147"/>
        <w:jc w:val="center"/>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2.投标文件的承诺事项视为</w:t>
      </w:r>
      <w:r>
        <w:rPr>
          <w:rFonts w:hint="eastAsia" w:ascii="宋体" w:hAnsi="宋体" w:cs="宋体"/>
          <w:b/>
          <w:color w:val="auto"/>
          <w:sz w:val="28"/>
          <w:szCs w:val="28"/>
          <w:highlight w:val="none"/>
          <w:lang w:val="en-US" w:eastAsia="zh-CN"/>
        </w:rPr>
        <w:t>采购人</w:t>
      </w:r>
      <w:r>
        <w:rPr>
          <w:rFonts w:hint="eastAsia" w:ascii="宋体" w:hAnsi="宋体" w:eastAsia="宋体" w:cs="宋体"/>
          <w:b/>
          <w:color w:val="auto"/>
          <w:sz w:val="28"/>
          <w:szCs w:val="28"/>
          <w:highlight w:val="none"/>
          <w:lang w:val="en-US" w:eastAsia="zh-CN"/>
        </w:rPr>
        <w:t>对其日常工作的验收标准，如发现虚假承诺，</w:t>
      </w:r>
      <w:r>
        <w:rPr>
          <w:rFonts w:hint="eastAsia" w:ascii="宋体" w:hAnsi="宋体" w:cs="宋体"/>
          <w:b/>
          <w:color w:val="auto"/>
          <w:sz w:val="28"/>
          <w:szCs w:val="28"/>
          <w:highlight w:val="none"/>
          <w:lang w:val="en-US" w:eastAsia="zh-CN"/>
        </w:rPr>
        <w:t>采购人</w:t>
      </w:r>
      <w:r>
        <w:rPr>
          <w:rFonts w:hint="eastAsia" w:ascii="宋体" w:hAnsi="宋体" w:eastAsia="宋体" w:cs="宋体"/>
          <w:b/>
          <w:color w:val="auto"/>
          <w:sz w:val="28"/>
          <w:szCs w:val="28"/>
          <w:highlight w:val="none"/>
          <w:lang w:val="en-US" w:eastAsia="zh-CN"/>
        </w:rPr>
        <w:t>有权反映致行业监管部门将该投标人列入“严重违法</w:t>
      </w:r>
    </w:p>
    <w:p w14:paraId="3F164212">
      <w:pPr>
        <w:snapToGrid w:val="0"/>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28"/>
          <w:szCs w:val="28"/>
          <w:highlight w:val="none"/>
          <w:lang w:val="en-US" w:eastAsia="zh-CN"/>
        </w:rPr>
        <w:t>失信行为记录名单”并禁止在一定期限内参加政府采购活动</w:t>
      </w:r>
      <w:r>
        <w:rPr>
          <w:rFonts w:hint="eastAsia" w:ascii="宋体" w:hAnsi="宋体" w:eastAsia="宋体" w:cs="宋体"/>
          <w:b/>
          <w:color w:val="auto"/>
          <w:sz w:val="30"/>
          <w:szCs w:val="30"/>
          <w:highlight w:val="none"/>
          <w:lang w:val="en-US" w:eastAsia="zh-CN"/>
        </w:rPr>
        <w:t>。</w:t>
      </w: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八、中标及合同签订</w:t>
      </w:r>
    </w:p>
    <w:p w14:paraId="5CBBC870">
      <w:pPr>
        <w:snapToGrid w:val="0"/>
        <w:spacing w:line="360" w:lineRule="auto"/>
        <w:jc w:val="left"/>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31、中标候选人</w:t>
      </w:r>
    </w:p>
    <w:p w14:paraId="4404674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根据评标委员会对各</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rPr>
        <w:t>满足招标文件实质性响应</w:t>
      </w:r>
      <w:r>
        <w:rPr>
          <w:rFonts w:hint="eastAsia" w:ascii="宋体" w:hAnsi="宋体" w:eastAsia="宋体" w:cs="宋体"/>
          <w:b/>
          <w:bCs/>
          <w:color w:val="auto"/>
          <w:sz w:val="24"/>
          <w:highlight w:val="none"/>
        </w:rPr>
        <w:t>[</w:t>
      </w:r>
      <w:r>
        <w:rPr>
          <w:rFonts w:hint="eastAsia" w:ascii="宋体" w:hAnsi="宋体" w:eastAsia="宋体" w:cs="宋体"/>
          <w:color w:val="auto"/>
          <w:sz w:val="24"/>
          <w:highlight w:val="none"/>
        </w:rPr>
        <w:t>所谓实质性响应，是指文件应与招标文件的所有实质性条款、条件和要求相符，无显著差异或保留</w:t>
      </w:r>
      <w:r>
        <w:rPr>
          <w:rFonts w:hint="eastAsia" w:ascii="宋体" w:hAnsi="宋体" w:eastAsia="宋体" w:cs="宋体"/>
          <w:b/>
          <w:bCs/>
          <w:color w:val="auto"/>
          <w:sz w:val="24"/>
          <w:highlight w:val="none"/>
        </w:rPr>
        <w:t>]</w:t>
      </w:r>
      <w:r>
        <w:rPr>
          <w:rFonts w:hint="eastAsia" w:ascii="宋体" w:hAnsi="宋体" w:eastAsia="宋体" w:cs="宋体"/>
          <w:color w:val="auto"/>
          <w:sz w:val="24"/>
          <w:highlight w:val="none"/>
        </w:rPr>
        <w:t>（由评标委员会确定）。</w:t>
      </w:r>
    </w:p>
    <w:p w14:paraId="0B6479F6">
      <w:pPr>
        <w:snapToGrid w:val="0"/>
        <w:spacing w:line="360" w:lineRule="auto"/>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32、资格条件</w:t>
      </w:r>
    </w:p>
    <w:p w14:paraId="52213D0A">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32.1</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将在签订合同前对中标候选</w:t>
      </w:r>
      <w:r>
        <w:rPr>
          <w:rFonts w:hint="eastAsia" w:ascii="宋体" w:hAnsi="宋体" w:eastAsia="宋体" w:cs="宋体"/>
          <w:color w:val="auto"/>
          <w:sz w:val="24"/>
          <w:highlight w:val="none"/>
          <w:lang w:val="en-US" w:eastAsia="zh-CN"/>
        </w:rPr>
        <w:t>人</w:t>
      </w:r>
      <w:r>
        <w:rPr>
          <w:rFonts w:hint="eastAsia" w:ascii="宋体" w:hAnsi="宋体" w:eastAsia="宋体" w:cs="宋体"/>
          <w:color w:val="auto"/>
          <w:sz w:val="24"/>
          <w:highlight w:val="none"/>
        </w:rPr>
        <w:t>资格证明材料原件，中标候选人投标文件及补充承诺中涉及的其他相关资料是否能正常地履行合同进行审查。审查包括中标候选人投标文件中提供的所有原件以及对本项目实施可能存在风险的其他因素。</w:t>
      </w:r>
    </w:p>
    <w:p w14:paraId="51D4D49B">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32.2</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若发现中标候选人在投标过程中提供虚假证明文件，故意隐瞒不良信誉和财务状况以及存在可能对合同正常履行造成风险的其他因素等，则按规定取消其中标资格。</w:t>
      </w:r>
    </w:p>
    <w:p w14:paraId="2D531124">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32.3如果第一中标候选人被确认为不具备执行合同的能力或第一中标候选人放弃签订履约合同，</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可考虑选择第二、第三中标候选人。</w:t>
      </w:r>
    </w:p>
    <w:p w14:paraId="427A5F48">
      <w:pPr>
        <w:snapToGrid w:val="0"/>
        <w:spacing w:line="360" w:lineRule="auto"/>
        <w:jc w:val="left"/>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33、中标通知书</w:t>
      </w:r>
    </w:p>
    <w:p w14:paraId="1309257D">
      <w:pPr>
        <w:snapToGrid w:val="0"/>
        <w:spacing w:line="360" w:lineRule="auto"/>
        <w:ind w:firstLine="240" w:firstLineChars="100"/>
        <w:jc w:val="left"/>
        <w:rPr>
          <w:rFonts w:hint="eastAsia" w:ascii="宋体" w:hAnsi="宋体" w:eastAsia="宋体" w:cs="宋体"/>
          <w:color w:val="FF0000"/>
          <w:sz w:val="24"/>
          <w:highlight w:val="none"/>
        </w:rPr>
      </w:pPr>
      <w:r>
        <w:rPr>
          <w:rFonts w:hint="eastAsia" w:ascii="宋体" w:hAnsi="宋体" w:eastAsia="宋体" w:cs="宋体"/>
          <w:color w:val="auto"/>
          <w:sz w:val="24"/>
          <w:highlight w:val="none"/>
        </w:rPr>
        <w:t>中标结果经</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确认后，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lang w:val="en-US" w:eastAsia="zh-CN"/>
        </w:rPr>
        <w:t>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val="en-US" w:eastAsia="zh-CN"/>
        </w:rPr>
        <w:t>代理机构</w:t>
      </w:r>
      <w:r>
        <w:rPr>
          <w:rFonts w:hint="eastAsia" w:ascii="宋体" w:hAnsi="宋体" w:eastAsia="宋体" w:cs="宋体"/>
          <w:color w:val="auto"/>
          <w:sz w:val="24"/>
          <w:highlight w:val="none"/>
        </w:rPr>
        <w:t>将向中标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发出中标通知书</w:t>
      </w:r>
      <w:r>
        <w:rPr>
          <w:rFonts w:hint="eastAsia" w:ascii="宋体" w:hAnsi="宋体" w:cs="宋体"/>
          <w:color w:val="auto"/>
          <w:sz w:val="24"/>
          <w:highlight w:val="none"/>
          <w:lang w:eastAsia="zh-CN"/>
        </w:rPr>
        <w:t>并作为</w:t>
      </w:r>
      <w:r>
        <w:rPr>
          <w:rFonts w:hint="eastAsia" w:ascii="宋体" w:hAnsi="宋体" w:eastAsia="宋体" w:cs="宋体"/>
          <w:color w:val="auto"/>
          <w:sz w:val="24"/>
          <w:highlight w:val="none"/>
        </w:rPr>
        <w:t>签订合同的依据和组成部分。</w:t>
      </w:r>
    </w:p>
    <w:p w14:paraId="3AA1D5B8">
      <w:pPr>
        <w:snapToGrid w:val="0"/>
        <w:spacing w:line="360" w:lineRule="auto"/>
        <w:jc w:val="left"/>
        <w:outlineLvl w:val="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34、签订合同</w:t>
      </w:r>
    </w:p>
    <w:p w14:paraId="10F348A2">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应在规定的时间、地点与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签订合同，招标文件、中标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的投标文件及服务承诺文件</w:t>
      </w:r>
      <w:r>
        <w:rPr>
          <w:rFonts w:hint="eastAsia" w:ascii="宋体" w:hAnsi="宋体" w:cs="宋体"/>
          <w:color w:val="auto"/>
          <w:sz w:val="24"/>
          <w:highlight w:val="none"/>
          <w:lang w:eastAsia="zh-CN"/>
        </w:rPr>
        <w:t>和</w:t>
      </w:r>
      <w:r>
        <w:rPr>
          <w:rFonts w:hint="eastAsia" w:ascii="宋体" w:hAnsi="宋体" w:eastAsia="宋体" w:cs="宋体"/>
          <w:color w:val="auto"/>
          <w:sz w:val="24"/>
          <w:highlight w:val="none"/>
        </w:rPr>
        <w:t>评标过程中有关澄清文件均作为合同附件。</w:t>
      </w:r>
    </w:p>
    <w:p w14:paraId="16025BE9">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中标</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无正当理由未在规定时间内与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签订合同的，</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有权取消其中标资格。</w:t>
      </w:r>
    </w:p>
    <w:p w14:paraId="5A563131">
      <w:pPr>
        <w:snapToGrid w:val="0"/>
        <w:spacing w:line="360" w:lineRule="auto"/>
        <w:jc w:val="left"/>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35、代理服务费和履约保证金</w:t>
      </w:r>
    </w:p>
    <w:p w14:paraId="0AD080EE">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35.1中标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在</w:t>
      </w:r>
      <w:r>
        <w:rPr>
          <w:rFonts w:hint="eastAsia" w:ascii="宋体" w:hAnsi="宋体" w:cs="宋体"/>
          <w:color w:val="auto"/>
          <w:sz w:val="24"/>
          <w:highlight w:val="none"/>
          <w:lang w:eastAsia="zh-CN"/>
        </w:rPr>
        <w:t>获取</w:t>
      </w:r>
      <w:r>
        <w:rPr>
          <w:rFonts w:hint="eastAsia" w:ascii="宋体" w:hAnsi="宋体" w:eastAsia="宋体" w:cs="宋体"/>
          <w:color w:val="auto"/>
          <w:sz w:val="24"/>
          <w:highlight w:val="none"/>
        </w:rPr>
        <w:t>中标通知书时，缴纳</w:t>
      </w:r>
      <w:r>
        <w:rPr>
          <w:rFonts w:hint="eastAsia" w:ascii="宋体" w:hAnsi="宋体" w:eastAsia="宋体" w:cs="宋体"/>
          <w:color w:val="auto"/>
          <w:sz w:val="24"/>
          <w:highlight w:val="none"/>
          <w:lang w:val="en-US" w:eastAsia="zh-CN"/>
        </w:rPr>
        <w:t>本</w:t>
      </w:r>
      <w:r>
        <w:rPr>
          <w:rFonts w:hint="eastAsia" w:ascii="宋体" w:hAnsi="宋体" w:eastAsia="宋体" w:cs="宋体"/>
          <w:color w:val="auto"/>
          <w:sz w:val="24"/>
          <w:highlight w:val="none"/>
        </w:rPr>
        <w:t>项目</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代理服务费。</w:t>
      </w:r>
    </w:p>
    <w:p w14:paraId="36C36DB1">
      <w:pPr>
        <w:snapToGrid w:val="0"/>
        <w:spacing w:line="360" w:lineRule="auto"/>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35.2本项目不提供履约保证金。</w:t>
      </w:r>
    </w:p>
    <w:p w14:paraId="0E227806">
      <w:pPr>
        <w:snapToGrid w:val="0"/>
        <w:spacing w:line="360" w:lineRule="auto"/>
        <w:ind w:firstLine="200"/>
        <w:jc w:val="center"/>
        <w:outlineLvl w:val="0"/>
        <w:rPr>
          <w:rFonts w:hint="eastAsia" w:ascii="宋体" w:hAnsi="宋体" w:eastAsia="宋体" w:cs="宋体"/>
          <w:b/>
          <w:color w:val="auto"/>
          <w:sz w:val="30"/>
          <w:szCs w:val="30"/>
          <w:highlight w:val="none"/>
        </w:rPr>
      </w:pPr>
    </w:p>
    <w:p w14:paraId="6F4390A2">
      <w:pPr>
        <w:snapToGrid w:val="0"/>
        <w:spacing w:line="360" w:lineRule="auto"/>
        <w:ind w:firstLine="200"/>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九、验收及付款</w:t>
      </w:r>
    </w:p>
    <w:p w14:paraId="2566E2C8">
      <w:pPr>
        <w:snapToGrid w:val="0"/>
        <w:spacing w:line="360" w:lineRule="auto"/>
        <w:jc w:val="left"/>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36、验收</w:t>
      </w:r>
    </w:p>
    <w:p w14:paraId="76239EFA">
      <w:pPr>
        <w:snapToGrid w:val="0"/>
        <w:spacing w:line="360" w:lineRule="auto"/>
        <w:ind w:right="105" w:rightChars="5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由</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rPr>
        <w:t>按</w:t>
      </w:r>
      <w:r>
        <w:rPr>
          <w:rFonts w:hint="eastAsia" w:ascii="宋体" w:hAnsi="宋体" w:eastAsia="宋体" w:cs="宋体"/>
          <w:bCs/>
          <w:color w:val="auto"/>
          <w:sz w:val="24"/>
          <w:highlight w:val="none"/>
        </w:rPr>
        <w:t>采购</w:t>
      </w:r>
      <w:r>
        <w:rPr>
          <w:rFonts w:hint="eastAsia" w:ascii="宋体" w:hAnsi="宋体" w:cs="宋体"/>
          <w:bCs/>
          <w:color w:val="auto"/>
          <w:sz w:val="24"/>
          <w:highlight w:val="none"/>
          <w:lang w:eastAsia="zh-CN"/>
        </w:rPr>
        <w:t>合同</w:t>
      </w:r>
      <w:r>
        <w:rPr>
          <w:rFonts w:hint="eastAsia" w:ascii="宋体" w:hAnsi="宋体" w:eastAsia="宋体" w:cs="宋体"/>
          <w:bCs/>
          <w:color w:val="auto"/>
          <w:sz w:val="24"/>
          <w:highlight w:val="none"/>
        </w:rPr>
        <w:t>约定的</w:t>
      </w:r>
      <w:r>
        <w:rPr>
          <w:rFonts w:hint="eastAsia" w:ascii="宋体" w:hAnsi="宋体" w:cs="宋体"/>
          <w:bCs/>
          <w:color w:val="auto"/>
          <w:sz w:val="24"/>
          <w:highlight w:val="none"/>
          <w:lang w:eastAsia="zh-CN"/>
        </w:rPr>
        <w:t>方式及要求组织</w:t>
      </w:r>
      <w:r>
        <w:rPr>
          <w:rFonts w:hint="eastAsia" w:ascii="宋体" w:hAnsi="宋体" w:eastAsia="宋体" w:cs="宋体"/>
          <w:bCs/>
          <w:color w:val="auto"/>
          <w:sz w:val="24"/>
          <w:highlight w:val="none"/>
        </w:rPr>
        <w:t>现场验收。</w:t>
      </w:r>
    </w:p>
    <w:p w14:paraId="41945925">
      <w:pPr>
        <w:numPr>
          <w:ilvl w:val="0"/>
          <w:numId w:val="4"/>
        </w:numPr>
        <w:snapToGrid w:val="0"/>
        <w:spacing w:line="360" w:lineRule="auto"/>
        <w:jc w:val="left"/>
        <w:outlineLvl w:val="0"/>
        <w:rPr>
          <w:rFonts w:hint="eastAsia"/>
          <w:highlight w:val="none"/>
        </w:rPr>
      </w:pPr>
      <w:r>
        <w:rPr>
          <w:rFonts w:hint="eastAsia" w:ascii="宋体" w:hAnsi="宋体" w:eastAsia="宋体" w:cs="宋体"/>
          <w:b/>
          <w:bCs/>
          <w:color w:val="auto"/>
          <w:sz w:val="24"/>
          <w:highlight w:val="none"/>
        </w:rPr>
        <w:t>付款</w:t>
      </w:r>
    </w:p>
    <w:p w14:paraId="168AD4AA">
      <w:pPr>
        <w:pStyle w:val="38"/>
        <w:spacing w:line="460" w:lineRule="exact"/>
        <w:ind w:firstLine="560"/>
        <w:jc w:val="both"/>
        <w:rPr>
          <w:rFonts w:hint="eastAsia" w:ascii="宋体" w:hAnsi="宋体" w:eastAsia="宋体" w:cs="宋体"/>
          <w:color w:val="auto"/>
          <w:kern w:val="2"/>
          <w:szCs w:val="21"/>
          <w:highlight w:val="none"/>
        </w:rPr>
      </w:pPr>
      <w:r>
        <w:rPr>
          <w:rFonts w:hint="eastAsia" w:ascii="宋体" w:hAnsi="宋体" w:eastAsia="宋体" w:cs="宋体"/>
          <w:color w:val="auto"/>
          <w:kern w:val="2"/>
          <w:szCs w:val="21"/>
          <w:highlight w:val="none"/>
        </w:rPr>
        <w:t>（1）合同期内中标</w:t>
      </w:r>
      <w:r>
        <w:rPr>
          <w:rFonts w:hint="eastAsia" w:ascii="宋体" w:hAnsi="宋体" w:cs="宋体"/>
          <w:color w:val="auto"/>
          <w:sz w:val="24"/>
          <w:highlight w:val="none"/>
          <w:lang w:val="en-US" w:eastAsia="zh-CN"/>
        </w:rPr>
        <w:t>人</w:t>
      </w:r>
      <w:r>
        <w:rPr>
          <w:rFonts w:hint="eastAsia" w:ascii="宋体" w:hAnsi="宋体" w:eastAsia="宋体" w:cs="宋体"/>
          <w:color w:val="auto"/>
          <w:kern w:val="2"/>
          <w:szCs w:val="21"/>
          <w:highlight w:val="none"/>
        </w:rPr>
        <w:t>按照</w:t>
      </w:r>
      <w:r>
        <w:rPr>
          <w:rFonts w:hint="eastAsia" w:ascii="宋体" w:hAnsi="宋体" w:cs="宋体"/>
          <w:color w:val="auto"/>
          <w:kern w:val="2"/>
          <w:szCs w:val="21"/>
          <w:highlight w:val="none"/>
          <w:lang w:eastAsia="zh-CN"/>
        </w:rPr>
        <w:t>采购人</w:t>
      </w:r>
      <w:r>
        <w:rPr>
          <w:rFonts w:hint="eastAsia" w:ascii="宋体" w:hAnsi="宋体" w:eastAsia="宋体" w:cs="宋体"/>
          <w:color w:val="auto"/>
          <w:kern w:val="2"/>
          <w:szCs w:val="21"/>
          <w:highlight w:val="none"/>
        </w:rPr>
        <w:t>需求，</w:t>
      </w:r>
      <w:r>
        <w:rPr>
          <w:rFonts w:hint="eastAsia" w:ascii="宋体" w:hAnsi="宋体" w:cs="宋体"/>
          <w:color w:val="auto"/>
          <w:kern w:val="2"/>
          <w:szCs w:val="21"/>
          <w:highlight w:val="none"/>
          <w:lang w:val="en-US" w:eastAsia="zh-CN"/>
        </w:rPr>
        <w:t>按时</w:t>
      </w:r>
      <w:r>
        <w:rPr>
          <w:rFonts w:hint="eastAsia" w:ascii="宋体" w:hAnsi="宋体" w:eastAsia="宋体" w:cs="宋体"/>
          <w:color w:val="auto"/>
          <w:kern w:val="2"/>
          <w:szCs w:val="21"/>
          <w:highlight w:val="none"/>
        </w:rPr>
        <w:t>提供</w:t>
      </w:r>
      <w:r>
        <w:rPr>
          <w:rFonts w:hint="eastAsia" w:ascii="宋体" w:hAnsi="宋体" w:eastAsia="宋体" w:cs="宋体"/>
          <w:color w:val="auto"/>
          <w:kern w:val="2"/>
          <w:szCs w:val="21"/>
          <w:highlight w:val="none"/>
          <w:lang w:val="en-US" w:eastAsia="zh-CN"/>
        </w:rPr>
        <w:t>主副食材配送等</w:t>
      </w:r>
      <w:r>
        <w:rPr>
          <w:rFonts w:hint="eastAsia" w:ascii="宋体" w:hAnsi="宋体" w:eastAsia="宋体" w:cs="宋体"/>
          <w:color w:val="auto"/>
          <w:kern w:val="2"/>
          <w:szCs w:val="21"/>
          <w:highlight w:val="none"/>
        </w:rPr>
        <w:t>服务</w:t>
      </w:r>
      <w:r>
        <w:rPr>
          <w:rFonts w:hint="eastAsia" w:ascii="宋体" w:hAnsi="宋体" w:cs="宋体"/>
          <w:color w:val="auto"/>
          <w:kern w:val="2"/>
          <w:szCs w:val="21"/>
          <w:highlight w:val="none"/>
          <w:lang w:eastAsia="zh-CN"/>
        </w:rPr>
        <w:t>，</w:t>
      </w:r>
      <w:r>
        <w:rPr>
          <w:rFonts w:hint="eastAsia" w:ascii="宋体" w:hAnsi="宋体" w:eastAsia="宋体" w:cs="宋体"/>
          <w:color w:val="auto"/>
          <w:kern w:val="2"/>
          <w:szCs w:val="21"/>
          <w:highlight w:val="none"/>
        </w:rPr>
        <w:t>每批次</w:t>
      </w:r>
      <w:r>
        <w:rPr>
          <w:rFonts w:hint="eastAsia" w:ascii="宋体" w:hAnsi="宋体" w:eastAsia="宋体" w:cs="宋体"/>
          <w:color w:val="auto"/>
          <w:kern w:val="2"/>
          <w:szCs w:val="21"/>
          <w:highlight w:val="none"/>
          <w:lang w:val="en-US" w:eastAsia="zh-CN"/>
        </w:rPr>
        <w:t>主副食材数量</w:t>
      </w:r>
      <w:r>
        <w:rPr>
          <w:rFonts w:hint="eastAsia" w:ascii="宋体" w:hAnsi="宋体" w:cs="宋体"/>
          <w:color w:val="auto"/>
          <w:kern w:val="2"/>
          <w:szCs w:val="21"/>
          <w:highlight w:val="none"/>
          <w:lang w:val="en-US" w:eastAsia="zh-CN"/>
        </w:rPr>
        <w:t>、清单等</w:t>
      </w:r>
      <w:r>
        <w:rPr>
          <w:rFonts w:hint="eastAsia" w:ascii="宋体" w:hAnsi="宋体" w:eastAsia="宋体" w:cs="宋体"/>
          <w:color w:val="auto"/>
          <w:kern w:val="2"/>
          <w:szCs w:val="21"/>
          <w:highlight w:val="none"/>
        </w:rPr>
        <w:t>以</w:t>
      </w:r>
      <w:r>
        <w:rPr>
          <w:rFonts w:hint="eastAsia" w:ascii="宋体" w:hAnsi="宋体" w:cs="宋体"/>
          <w:color w:val="auto"/>
          <w:kern w:val="2"/>
          <w:szCs w:val="21"/>
          <w:highlight w:val="none"/>
          <w:lang w:eastAsia="zh-CN"/>
        </w:rPr>
        <w:t>采购人</w:t>
      </w:r>
      <w:r>
        <w:rPr>
          <w:rFonts w:hint="eastAsia" w:ascii="宋体" w:hAnsi="宋体" w:eastAsia="宋体" w:cs="宋体"/>
          <w:color w:val="auto"/>
          <w:kern w:val="2"/>
          <w:szCs w:val="21"/>
          <w:highlight w:val="none"/>
        </w:rPr>
        <w:t>的实际需求为准。</w:t>
      </w:r>
    </w:p>
    <w:p w14:paraId="1970A466">
      <w:pPr>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（2）中标</w:t>
      </w:r>
      <w:r>
        <w:rPr>
          <w:rFonts w:hint="eastAsia" w:ascii="宋体" w:hAnsi="宋体" w:cs="宋体"/>
          <w:color w:val="auto"/>
          <w:sz w:val="24"/>
          <w:highlight w:val="none"/>
          <w:lang w:val="en-US" w:eastAsia="zh-CN"/>
        </w:rPr>
        <w:t>人</w:t>
      </w:r>
      <w:r>
        <w:rPr>
          <w:rFonts w:hint="eastAsia" w:ascii="宋体" w:hAnsi="宋体" w:eastAsia="宋体" w:cs="宋体"/>
          <w:color w:val="auto"/>
          <w:sz w:val="24"/>
          <w:highlight w:val="none"/>
        </w:rPr>
        <w:t>凭合同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采购清单</w:t>
      </w:r>
      <w:r>
        <w:rPr>
          <w:rFonts w:hint="eastAsia" w:ascii="宋体" w:hAnsi="宋体" w:eastAsia="宋体" w:cs="宋体"/>
          <w:color w:val="auto"/>
          <w:sz w:val="24"/>
          <w:highlight w:val="none"/>
        </w:rPr>
        <w:t>及</w:t>
      </w:r>
      <w:r>
        <w:rPr>
          <w:rFonts w:hint="eastAsia" w:ascii="宋体" w:hAnsi="宋体" w:eastAsia="宋体" w:cs="宋体"/>
          <w:color w:val="auto"/>
          <w:sz w:val="24"/>
          <w:highlight w:val="none"/>
          <w:lang w:val="en-US" w:eastAsia="zh-CN"/>
        </w:rPr>
        <w:t>真实有效等额</w:t>
      </w:r>
      <w:r>
        <w:rPr>
          <w:rFonts w:hint="eastAsia" w:ascii="宋体" w:hAnsi="宋体" w:eastAsia="宋体" w:cs="宋体"/>
          <w:color w:val="auto"/>
          <w:sz w:val="24"/>
          <w:highlight w:val="none"/>
        </w:rPr>
        <w:t>发票原件由</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集中支付</w:t>
      </w:r>
      <w:r>
        <w:rPr>
          <w:rFonts w:hint="eastAsia" w:ascii="宋体" w:hAnsi="宋体" w:eastAsia="宋体" w:cs="宋体"/>
          <w:color w:val="auto"/>
          <w:sz w:val="24"/>
          <w:highlight w:val="none"/>
          <w:lang w:val="en-US" w:eastAsia="zh-CN"/>
        </w:rPr>
        <w:t>相关费用</w:t>
      </w:r>
      <w:r>
        <w:rPr>
          <w:rFonts w:hint="eastAsia" w:ascii="宋体" w:hAnsi="宋体" w:eastAsia="宋体" w:cs="宋体"/>
          <w:color w:val="auto"/>
          <w:sz w:val="24"/>
          <w:highlight w:val="none"/>
        </w:rPr>
        <w:t>。</w:t>
      </w:r>
    </w:p>
    <w:p w14:paraId="1E1E2A00">
      <w:pPr>
        <w:snapToGrid w:val="0"/>
        <w:spacing w:line="360" w:lineRule="auto"/>
        <w:ind w:firstLine="200"/>
        <w:jc w:val="center"/>
        <w:outlineLvl w:val="0"/>
        <w:rPr>
          <w:rFonts w:hint="eastAsia" w:ascii="宋体" w:hAnsi="宋体" w:eastAsia="宋体" w:cs="宋体"/>
          <w:b/>
          <w:color w:val="auto"/>
          <w:sz w:val="30"/>
          <w:szCs w:val="30"/>
          <w:highlight w:val="none"/>
          <w:lang w:val="en-US" w:eastAsia="zh-CN"/>
        </w:rPr>
      </w:pPr>
      <w:bookmarkStart w:id="77" w:name="OLE_LINK5"/>
    </w:p>
    <w:p w14:paraId="12BF705E">
      <w:pPr>
        <w:snapToGrid w:val="0"/>
        <w:spacing w:line="360" w:lineRule="auto"/>
        <w:ind w:firstLine="200"/>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lang w:val="en-US" w:eastAsia="zh-CN"/>
        </w:rPr>
        <w:t>十、</w:t>
      </w:r>
      <w:r>
        <w:rPr>
          <w:rFonts w:hint="eastAsia" w:ascii="宋体" w:hAnsi="宋体" w:eastAsia="宋体" w:cs="宋体"/>
          <w:b/>
          <w:color w:val="auto"/>
          <w:sz w:val="30"/>
          <w:szCs w:val="30"/>
          <w:highlight w:val="none"/>
        </w:rPr>
        <w:t>质疑的提出与接收</w:t>
      </w:r>
    </w:p>
    <w:bookmarkEnd w:id="77"/>
    <w:p w14:paraId="29470031">
      <w:pPr>
        <w:spacing w:line="360" w:lineRule="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38.询问及质疑</w:t>
      </w:r>
    </w:p>
    <w:p w14:paraId="1BA84121">
      <w:pPr>
        <w:spacing w:line="360" w:lineRule="auto"/>
        <w:ind w:firstLine="240" w:firstLineChars="1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38.1</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对政府采购活动事项有疑问的，可以向</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lang w:val="en-US" w:eastAsia="zh-CN"/>
        </w:rPr>
        <w:t>或采购代理机构提出询问。</w:t>
      </w:r>
    </w:p>
    <w:p w14:paraId="350C040B">
      <w:pPr>
        <w:spacing w:line="360" w:lineRule="auto"/>
        <w:ind w:firstLine="240" w:firstLineChars="1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38.2</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若认为招标文件、采购过程和中标结果使自己的权益受到损害，可以按法律、规章及财政部门相关规范性文件规定向</w:t>
      </w:r>
      <w:bookmarkStart w:id="78" w:name="OLE_LINK7"/>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lang w:val="en-US" w:eastAsia="zh-CN"/>
        </w:rPr>
        <w:t>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val="en-US" w:eastAsia="zh-CN"/>
        </w:rPr>
        <w:t>代理机构</w:t>
      </w:r>
      <w:bookmarkEnd w:id="78"/>
      <w:r>
        <w:rPr>
          <w:rFonts w:hint="eastAsia" w:ascii="宋体" w:hAnsi="宋体" w:eastAsia="宋体" w:cs="宋体"/>
          <w:color w:val="auto"/>
          <w:sz w:val="24"/>
          <w:highlight w:val="none"/>
          <w:lang w:val="en-US" w:eastAsia="zh-CN"/>
        </w:rPr>
        <w:t>提出质疑。</w:t>
      </w:r>
    </w:p>
    <w:p w14:paraId="3E6FADA3">
      <w:pPr>
        <w:spacing w:line="360" w:lineRule="auto"/>
        <w:ind w:firstLine="240" w:firstLineChars="100"/>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38.3报名</w:t>
      </w:r>
      <w:r>
        <w:rPr>
          <w:rFonts w:hint="eastAsia" w:ascii="宋体" w:hAnsi="宋体" w:cs="宋体"/>
          <w:color w:val="auto"/>
          <w:sz w:val="24"/>
          <w:highlight w:val="none"/>
          <w:lang w:val="en-US" w:eastAsia="zh-CN"/>
        </w:rPr>
        <w:t>投标人</w:t>
      </w:r>
      <w:r>
        <w:rPr>
          <w:rFonts w:hint="eastAsia" w:ascii="宋体" w:hAnsi="宋体" w:eastAsia="宋体" w:cs="宋体"/>
          <w:color w:val="auto"/>
          <w:sz w:val="24"/>
          <w:highlight w:val="none"/>
          <w:lang w:val="en-US" w:eastAsia="zh-CN"/>
        </w:rPr>
        <w:t>须在法定质疑期内一次性提出针对同一采购程序环节的质疑，否则属于无效质疑，</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lang w:val="en-US" w:eastAsia="zh-CN"/>
        </w:rPr>
        <w:t>或</w:t>
      </w:r>
      <w:r>
        <w:rPr>
          <w:rFonts w:hint="eastAsia" w:ascii="宋体" w:hAnsi="宋体" w:cs="宋体"/>
          <w:color w:val="auto"/>
          <w:sz w:val="24"/>
          <w:highlight w:val="none"/>
          <w:lang w:val="en-US" w:eastAsia="zh-CN"/>
        </w:rPr>
        <w:t>采购</w:t>
      </w:r>
      <w:r>
        <w:rPr>
          <w:rFonts w:hint="eastAsia" w:ascii="宋体" w:hAnsi="宋体" w:eastAsia="宋体" w:cs="宋体"/>
          <w:color w:val="auto"/>
          <w:sz w:val="24"/>
          <w:highlight w:val="none"/>
          <w:lang w:val="en-US" w:eastAsia="zh-CN"/>
        </w:rPr>
        <w:t>代理机构将不予接收。</w:t>
      </w:r>
    </w:p>
    <w:p w14:paraId="59F6E0A8">
      <w:pPr>
        <w:numPr>
          <w:ilvl w:val="0"/>
          <w:numId w:val="5"/>
        </w:num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r>
        <w:rPr>
          <w:rFonts w:hint="eastAsia" w:ascii="宋体" w:hAnsi="宋体" w:eastAsia="宋体" w:cs="宋体"/>
          <w:b/>
          <w:bCs/>
          <w:color w:val="auto"/>
          <w:sz w:val="32"/>
          <w:szCs w:val="32"/>
          <w:highlight w:val="none"/>
        </w:rPr>
        <w:t>合同</w:t>
      </w:r>
    </w:p>
    <w:p w14:paraId="5EFD2D64">
      <w:pPr>
        <w:widowControl/>
        <w:jc w:val="center"/>
        <w:rPr>
          <w:rFonts w:hint="eastAsia" w:ascii="宋体" w:hAnsi="宋体" w:eastAsia="宋体" w:cs="宋体"/>
          <w:color w:val="auto"/>
          <w:sz w:val="24"/>
          <w:szCs w:val="24"/>
          <w:highlight w:val="none"/>
        </w:rPr>
      </w:pPr>
      <w:bookmarkStart w:id="79" w:name="_Toc16018"/>
    </w:p>
    <w:bookmarkEnd w:id="79"/>
    <w:p w14:paraId="34C391FB">
      <w:pPr>
        <w:pStyle w:val="10"/>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color w:val="auto"/>
          <w:kern w:val="36"/>
          <w:sz w:val="24"/>
          <w:szCs w:val="24"/>
          <w:highlight w:val="none"/>
          <w:lang w:val="en-US" w:eastAsia="zh-CN"/>
        </w:rPr>
      </w:pPr>
      <w:r>
        <w:rPr>
          <w:rFonts w:hint="eastAsia" w:ascii="宋体" w:hAnsi="宋体" w:cs="宋体"/>
          <w:color w:val="auto"/>
          <w:kern w:val="36"/>
          <w:sz w:val="32"/>
          <w:szCs w:val="32"/>
          <w:highlight w:val="none"/>
          <w:lang w:val="en-US" w:eastAsia="zh-CN"/>
        </w:rPr>
        <w:t>中华人民共和国吉木乃出入境边防检查站主副食配送服务采购项目</w:t>
      </w:r>
      <w:r>
        <w:rPr>
          <w:rFonts w:hint="eastAsia" w:ascii="宋体" w:hAnsi="宋体" w:eastAsia="宋体" w:cs="宋体"/>
          <w:color w:val="auto"/>
          <w:kern w:val="36"/>
          <w:sz w:val="32"/>
          <w:szCs w:val="32"/>
          <w:highlight w:val="none"/>
          <w:lang w:val="en-US" w:eastAsia="zh-CN"/>
        </w:rPr>
        <w:t>采购合同</w:t>
      </w:r>
    </w:p>
    <w:p w14:paraId="5E22AEA5">
      <w:pPr>
        <w:adjustRightInd w:val="0"/>
        <w:snapToGrid w:val="0"/>
        <w:spacing w:line="600" w:lineRule="exact"/>
        <w:rPr>
          <w:rFonts w:hint="eastAsia" w:ascii="宋体" w:hAnsi="宋体" w:eastAsia="宋体" w:cs="宋体"/>
          <w:b/>
          <w:bCs/>
          <w:color w:val="auto"/>
          <w:sz w:val="24"/>
          <w:szCs w:val="24"/>
          <w:highlight w:val="none"/>
        </w:rPr>
      </w:pPr>
    </w:p>
    <w:p w14:paraId="71E2AB04">
      <w:pPr>
        <w:adjustRightInd w:val="0"/>
        <w:snapToGrid w:val="0"/>
        <w:spacing w:line="600" w:lineRule="exac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rPr>
        <w:t>甲方：</w:t>
      </w:r>
      <w:r>
        <w:rPr>
          <w:rFonts w:hint="eastAsia" w:asciiTheme="majorEastAsia" w:hAnsiTheme="majorEastAsia" w:eastAsiaTheme="majorEastAsia" w:cstheme="majorEastAsia"/>
          <w:color w:val="auto"/>
          <w:sz w:val="24"/>
          <w:szCs w:val="24"/>
          <w:highlight w:val="none"/>
          <w:u w:val="single"/>
          <w:lang w:val="en-US" w:eastAsia="zh-CN"/>
        </w:rPr>
        <w:t>中华人民共和国吉木乃出入境边防检查站</w:t>
      </w:r>
      <w:r>
        <w:rPr>
          <w:rFonts w:hint="eastAsia" w:asciiTheme="majorEastAsia" w:hAnsiTheme="majorEastAsia" w:eastAsiaTheme="majorEastAsia" w:cstheme="majorEastAsia"/>
          <w:color w:val="auto"/>
          <w:sz w:val="24"/>
          <w:szCs w:val="24"/>
          <w:highlight w:val="none"/>
        </w:rPr>
        <w:t>（以下简称甲方）</w:t>
      </w:r>
    </w:p>
    <w:p w14:paraId="7EB2780D">
      <w:pPr>
        <w:adjustRightInd w:val="0"/>
        <w:snapToGrid w:val="0"/>
        <w:spacing w:line="600" w:lineRule="exact"/>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rPr>
        <w:t>乙方：</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rPr>
        <w:t>（以下简称乙方）</w:t>
      </w:r>
    </w:p>
    <w:p w14:paraId="162011C0">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依据《中华人民共和国民法典》《中华人民共和国食品安全法》《国务院关于加强食品等产品安全监督管理的特别规定》等</w:t>
      </w:r>
      <w:r>
        <w:rPr>
          <w:rFonts w:hint="eastAsia" w:asciiTheme="majorEastAsia" w:hAnsiTheme="majorEastAsia" w:eastAsiaTheme="majorEastAsia" w:cstheme="majorEastAsia"/>
          <w:color w:val="auto"/>
          <w:sz w:val="24"/>
          <w:szCs w:val="24"/>
          <w:highlight w:val="none"/>
          <w:lang w:val="en-US" w:eastAsia="zh-CN"/>
        </w:rPr>
        <w:t>法规及规定</w:t>
      </w:r>
      <w:r>
        <w:rPr>
          <w:rFonts w:hint="eastAsia" w:asciiTheme="majorEastAsia" w:hAnsiTheme="majorEastAsia" w:eastAsiaTheme="majorEastAsia" w:cstheme="majorEastAsia"/>
          <w:color w:val="auto"/>
          <w:sz w:val="24"/>
          <w:szCs w:val="24"/>
          <w:highlight w:val="none"/>
        </w:rPr>
        <w:t>，甲乙双方本着平等互利、协商一致的原则，就甲方向乙方采购</w:t>
      </w:r>
      <w:r>
        <w:rPr>
          <w:rFonts w:hint="eastAsia" w:asciiTheme="majorEastAsia" w:hAnsiTheme="majorEastAsia" w:eastAsiaTheme="majorEastAsia" w:cstheme="majorEastAsia"/>
          <w:color w:val="auto"/>
          <w:sz w:val="24"/>
          <w:szCs w:val="24"/>
          <w:highlight w:val="none"/>
          <w:u w:val="single"/>
          <w:lang w:val="en-US" w:eastAsia="zh-CN"/>
        </w:rPr>
        <w:t>主副食材及配送</w:t>
      </w:r>
      <w:r>
        <w:rPr>
          <w:rFonts w:hint="eastAsia" w:asciiTheme="majorEastAsia" w:hAnsiTheme="majorEastAsia" w:eastAsiaTheme="majorEastAsia" w:cstheme="majorEastAsia"/>
          <w:color w:val="auto"/>
          <w:sz w:val="24"/>
          <w:szCs w:val="24"/>
          <w:highlight w:val="none"/>
          <w:u w:val="none"/>
          <w:lang w:val="en-US" w:eastAsia="zh-CN"/>
        </w:rPr>
        <w:t>相关</w:t>
      </w:r>
      <w:r>
        <w:rPr>
          <w:rFonts w:hint="eastAsia" w:asciiTheme="majorEastAsia" w:hAnsiTheme="majorEastAsia" w:eastAsiaTheme="majorEastAsia" w:cstheme="majorEastAsia"/>
          <w:color w:val="auto"/>
          <w:sz w:val="24"/>
          <w:szCs w:val="24"/>
          <w:highlight w:val="none"/>
        </w:rPr>
        <w:t>事宜签订本合同，以便双方信守。</w:t>
      </w:r>
    </w:p>
    <w:p w14:paraId="10053F47">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一、产品名称、规格、单位、数量</w:t>
      </w:r>
    </w:p>
    <w:p w14:paraId="2897C955">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本合同采购的产品名称、规格、数量等</w:t>
      </w:r>
      <w:r>
        <w:rPr>
          <w:rFonts w:hint="eastAsia" w:asciiTheme="majorEastAsia" w:hAnsiTheme="majorEastAsia" w:eastAsiaTheme="majorEastAsia" w:cstheme="majorEastAsia"/>
          <w:color w:val="auto"/>
          <w:sz w:val="24"/>
          <w:szCs w:val="24"/>
          <w:highlight w:val="none"/>
          <w:lang w:val="en-US" w:eastAsia="zh-CN"/>
        </w:rPr>
        <w:t>按照</w:t>
      </w:r>
      <w:r>
        <w:rPr>
          <w:rFonts w:hint="eastAsia" w:asciiTheme="majorEastAsia" w:hAnsiTheme="majorEastAsia" w:eastAsiaTheme="majorEastAsia" w:cstheme="majorEastAsia"/>
          <w:color w:val="auto"/>
          <w:sz w:val="24"/>
          <w:szCs w:val="24"/>
          <w:highlight w:val="none"/>
        </w:rPr>
        <w:t>甲方</w:t>
      </w:r>
      <w:r>
        <w:rPr>
          <w:rFonts w:hint="eastAsia" w:asciiTheme="majorEastAsia" w:hAnsiTheme="majorEastAsia" w:eastAsiaTheme="majorEastAsia" w:cstheme="majorEastAsia"/>
          <w:color w:val="auto"/>
          <w:sz w:val="24"/>
          <w:szCs w:val="24"/>
          <w:highlight w:val="none"/>
          <w:lang w:val="en-US" w:eastAsia="zh-CN"/>
        </w:rPr>
        <w:t>下达的每批次</w:t>
      </w:r>
      <w:r>
        <w:rPr>
          <w:rFonts w:hint="eastAsia" w:asciiTheme="majorEastAsia" w:hAnsiTheme="majorEastAsia" w:eastAsiaTheme="majorEastAsia" w:cstheme="majorEastAsia"/>
          <w:color w:val="auto"/>
          <w:sz w:val="24"/>
          <w:szCs w:val="24"/>
          <w:highlight w:val="none"/>
        </w:rPr>
        <w:t>采购清单</w:t>
      </w:r>
      <w:r>
        <w:rPr>
          <w:rFonts w:hint="eastAsia" w:asciiTheme="majorEastAsia" w:hAnsiTheme="majorEastAsia" w:eastAsiaTheme="majorEastAsia" w:cstheme="majorEastAsia"/>
          <w:color w:val="auto"/>
          <w:sz w:val="24"/>
          <w:szCs w:val="24"/>
          <w:highlight w:val="none"/>
          <w:lang w:val="en-US" w:eastAsia="zh-CN"/>
        </w:rPr>
        <w:t>内容执行</w:t>
      </w:r>
      <w:r>
        <w:rPr>
          <w:rFonts w:hint="eastAsia" w:asciiTheme="majorEastAsia" w:hAnsiTheme="majorEastAsia" w:eastAsiaTheme="majorEastAsia" w:cstheme="majorEastAsia"/>
          <w:color w:val="auto"/>
          <w:sz w:val="24"/>
          <w:szCs w:val="24"/>
          <w:highlight w:val="none"/>
        </w:rPr>
        <w:t>。</w:t>
      </w:r>
    </w:p>
    <w:p w14:paraId="1CB1B335">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二、产品质量标准</w:t>
      </w:r>
    </w:p>
    <w:p w14:paraId="37BBEE9E">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乙方所供</w:t>
      </w:r>
      <w:r>
        <w:rPr>
          <w:rFonts w:hint="eastAsia" w:asciiTheme="majorEastAsia" w:hAnsiTheme="majorEastAsia" w:eastAsiaTheme="majorEastAsia" w:cstheme="majorEastAsia"/>
          <w:color w:val="auto"/>
          <w:sz w:val="24"/>
          <w:szCs w:val="24"/>
          <w:highlight w:val="none"/>
          <w:lang w:val="en-US" w:eastAsia="zh-CN"/>
        </w:rPr>
        <w:t>甲方日常所需的主副食材（米面粮油、调料、禽蛋、禽肉、蔬菜水果、牛羊猪肉、水产、乳制品、饮品等）必须保证：</w:t>
      </w:r>
    </w:p>
    <w:p w14:paraId="5A5D6CA8">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干净卫生、无杂质、无虫蚀虫蛀现象，保证新鲜，确保质量完好；</w:t>
      </w:r>
    </w:p>
    <w:p w14:paraId="4440C853">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不得有腐败变质、油脂酸败、霉变、生虫、污秽不洁、混有异物或者其他感官性状异常，对人体健康有害物质；</w:t>
      </w:r>
    </w:p>
    <w:p w14:paraId="0604DAA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三</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不得含有致病性寄生虫、微生物或者微生物含量超过国家限定标准；</w:t>
      </w:r>
    </w:p>
    <w:p w14:paraId="15A3AE44">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无任何</w:t>
      </w:r>
      <w:r>
        <w:rPr>
          <w:rFonts w:hint="eastAsia" w:asciiTheme="majorEastAsia" w:hAnsiTheme="majorEastAsia" w:eastAsiaTheme="majorEastAsia" w:cstheme="majorEastAsia"/>
          <w:color w:val="auto"/>
          <w:sz w:val="24"/>
          <w:szCs w:val="24"/>
          <w:highlight w:val="none"/>
        </w:rPr>
        <w:t>掺假、掺杂，影响</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营养卫生；</w:t>
      </w:r>
    </w:p>
    <w:p w14:paraId="5B63C85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包装以原出厂标准为准</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包装原则上采用纸箱包装</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如根据</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性质、天气情况以及装运要求需要采用特殊包装的，乙方应采用特殊包装，包装成本由乙方承担；包装必须适合长途运输、多次搬运、装卸、防潮、防雨、防霉、防腐蚀和防震，确保运输至甲方</w:t>
      </w:r>
      <w:r>
        <w:rPr>
          <w:rFonts w:hint="eastAsia" w:asciiTheme="majorEastAsia" w:hAnsiTheme="majorEastAsia" w:eastAsiaTheme="majorEastAsia" w:cstheme="majorEastAsia"/>
          <w:color w:val="auto"/>
          <w:sz w:val="24"/>
          <w:szCs w:val="24"/>
          <w:highlight w:val="none"/>
          <w:lang w:val="en-US" w:eastAsia="zh-CN"/>
        </w:rPr>
        <w:t>指定</w:t>
      </w:r>
      <w:r>
        <w:rPr>
          <w:rFonts w:hint="eastAsia" w:asciiTheme="majorEastAsia" w:hAnsiTheme="majorEastAsia" w:eastAsiaTheme="majorEastAsia" w:cstheme="majorEastAsia"/>
          <w:color w:val="auto"/>
          <w:sz w:val="24"/>
          <w:szCs w:val="24"/>
          <w:highlight w:val="none"/>
        </w:rPr>
        <w:t>地点</w:t>
      </w:r>
      <w:r>
        <w:rPr>
          <w:rFonts w:hint="eastAsia" w:asciiTheme="majorEastAsia" w:hAnsiTheme="majorEastAsia" w:eastAsiaTheme="majorEastAsia" w:cstheme="majorEastAsia"/>
          <w:color w:val="auto"/>
          <w:sz w:val="24"/>
          <w:szCs w:val="24"/>
          <w:highlight w:val="none"/>
          <w:lang w:val="en-US" w:eastAsia="zh-CN"/>
        </w:rPr>
        <w:t>时</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完好无损；因包装不当导致的</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缺失、破损由乙方承担责任。</w:t>
      </w:r>
    </w:p>
    <w:p w14:paraId="5A33D682">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kern w:val="2"/>
          <w:sz w:val="24"/>
          <w:szCs w:val="24"/>
          <w:highlight w:val="none"/>
          <w:lang w:val="en-US" w:eastAsia="zh-CN" w:bidi="ar-SA"/>
        </w:rPr>
        <w:t>（六）必须符合国家食品卫生安全有关规定，从正规渠道采购，保证产品</w:t>
      </w:r>
      <w:r>
        <w:rPr>
          <w:rFonts w:hint="eastAsia" w:asciiTheme="majorEastAsia" w:hAnsiTheme="majorEastAsia" w:eastAsiaTheme="majorEastAsia" w:cstheme="majorEastAsia"/>
          <w:color w:val="auto"/>
          <w:sz w:val="24"/>
          <w:szCs w:val="24"/>
          <w:highlight w:val="none"/>
          <w:lang w:val="en-US" w:eastAsia="zh-CN"/>
        </w:rPr>
        <w:t>保质期在有效范围时间以内。</w:t>
      </w:r>
    </w:p>
    <w:p w14:paraId="6F6AD471">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（七）乙方所有产品各项质量技术指标必须完全符合国家有关质量检测、环保标准及产品出厂标准。</w:t>
      </w:r>
    </w:p>
    <w:p w14:paraId="539C361A">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lang w:val="en-US" w:eastAsia="zh-CN"/>
        </w:rPr>
      </w:pPr>
      <w:r>
        <w:rPr>
          <w:rFonts w:hint="eastAsia" w:asciiTheme="majorEastAsia" w:hAnsiTheme="majorEastAsia" w:eastAsiaTheme="majorEastAsia" w:cstheme="majorEastAsia"/>
          <w:b/>
          <w:bCs/>
          <w:color w:val="auto"/>
          <w:sz w:val="24"/>
          <w:szCs w:val="24"/>
          <w:highlight w:val="none"/>
          <w:lang w:val="en-US" w:eastAsia="zh-CN"/>
        </w:rPr>
        <w:t>具体参考标准如下：</w:t>
      </w:r>
    </w:p>
    <w:p w14:paraId="5B5D54C4">
      <w:pPr>
        <w:adjustRightInd w:val="0"/>
        <w:snapToGrid w:val="0"/>
        <w:spacing w:line="600" w:lineRule="exact"/>
        <w:ind w:left="559" w:leftChars="266" w:firstLine="0" w:firstLineChars="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①除初级农产品外的其他包装类食材交货时质保期不少于三分之二；</w:t>
      </w:r>
    </w:p>
    <w:p w14:paraId="7DB9D47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②蔬菜应符合以下新鲜度标准：叶片完整舒展，无发黄、枯萎、腐烂迹象，色泽鲜亮翠绿，根部无明显腐烂霉变，无软烂发黏，无泥土结巴情况；</w:t>
      </w:r>
    </w:p>
    <w:p w14:paraId="7B23FD6E">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③水果应符合以下新鲜度标准：表皮光滑，色泽自然鲜艳，无黑斑、软烂、碰伤痕迹，果蒂新鲜翠绿，无干枯变色，无发软凹陷情况；</w:t>
      </w:r>
    </w:p>
    <w:p w14:paraId="3AC992F1">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④水产应符合以下新鲜度标准：鱼鳃完整且紧贴鱼身，鱼体肉质紧实，富有弹性，鱼身挺直，鱼腹不膨胀；</w:t>
      </w:r>
    </w:p>
    <w:p w14:paraId="2E1AC2F3">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⑤肉类应符合以下新鲜度标准：肌肉有光泽，红色均匀，如猪肉呈淡红色至淡棕色，牛肉呈暗红色等。脂肪洁白或淡黄色，外表微干或微湿润，不粘手，无异味臭味。</w:t>
      </w:r>
    </w:p>
    <w:p w14:paraId="1FF85A4C">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三、双方的义务与权力</w:t>
      </w:r>
    </w:p>
    <w:p w14:paraId="7333CE23">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（一）甲方</w:t>
      </w:r>
    </w:p>
    <w:p w14:paraId="6E6DDC1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rPr>
        <w:t>每次配送前甲方向乙方提供配送</w:t>
      </w:r>
      <w:r>
        <w:rPr>
          <w:rFonts w:hint="eastAsia" w:asciiTheme="majorEastAsia" w:hAnsiTheme="majorEastAsia" w:eastAsiaTheme="majorEastAsia" w:cstheme="majorEastAsia"/>
          <w:color w:val="auto"/>
          <w:sz w:val="24"/>
          <w:szCs w:val="24"/>
          <w:highlight w:val="none"/>
          <w:lang w:val="en-US" w:eastAsia="zh-CN"/>
        </w:rPr>
        <w:t>采购</w:t>
      </w:r>
      <w:r>
        <w:rPr>
          <w:rFonts w:hint="eastAsia" w:asciiTheme="majorEastAsia" w:hAnsiTheme="majorEastAsia" w:eastAsiaTheme="majorEastAsia" w:cstheme="majorEastAsia"/>
          <w:color w:val="auto"/>
          <w:sz w:val="24"/>
          <w:szCs w:val="24"/>
          <w:highlight w:val="none"/>
        </w:rPr>
        <w:t>清单，乙方</w:t>
      </w:r>
      <w:r>
        <w:rPr>
          <w:rFonts w:hint="eastAsia" w:asciiTheme="majorEastAsia" w:hAnsiTheme="majorEastAsia" w:eastAsiaTheme="majorEastAsia" w:cstheme="majorEastAsia"/>
          <w:color w:val="auto"/>
          <w:sz w:val="24"/>
          <w:szCs w:val="24"/>
          <w:highlight w:val="none"/>
          <w:lang w:val="en-US" w:eastAsia="zh-CN"/>
        </w:rPr>
        <w:t>应</w:t>
      </w:r>
      <w:r>
        <w:rPr>
          <w:rFonts w:hint="eastAsia" w:asciiTheme="majorEastAsia" w:hAnsiTheme="majorEastAsia" w:eastAsiaTheme="majorEastAsia" w:cstheme="majorEastAsia"/>
          <w:color w:val="auto"/>
          <w:sz w:val="24"/>
          <w:szCs w:val="24"/>
          <w:highlight w:val="none"/>
        </w:rPr>
        <w:t>按甲方要求组织配送，</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送达后乙方</w:t>
      </w:r>
      <w:r>
        <w:rPr>
          <w:rFonts w:hint="eastAsia" w:asciiTheme="majorEastAsia" w:hAnsiTheme="majorEastAsia" w:eastAsiaTheme="majorEastAsia" w:cstheme="majorEastAsia"/>
          <w:color w:val="auto"/>
          <w:sz w:val="24"/>
          <w:szCs w:val="24"/>
          <w:highlight w:val="none"/>
          <w:lang w:val="en-US" w:eastAsia="zh-CN"/>
        </w:rPr>
        <w:t>须</w:t>
      </w:r>
      <w:r>
        <w:rPr>
          <w:rFonts w:hint="eastAsia" w:asciiTheme="majorEastAsia" w:hAnsiTheme="majorEastAsia" w:eastAsiaTheme="majorEastAsia" w:cstheme="majorEastAsia"/>
          <w:color w:val="auto"/>
          <w:sz w:val="24"/>
          <w:szCs w:val="24"/>
          <w:highlight w:val="none"/>
        </w:rPr>
        <w:t>提供配送</w:t>
      </w:r>
      <w:r>
        <w:rPr>
          <w:rFonts w:hint="eastAsia" w:asciiTheme="majorEastAsia" w:hAnsiTheme="majorEastAsia" w:eastAsiaTheme="majorEastAsia" w:cstheme="majorEastAsia"/>
          <w:color w:val="auto"/>
          <w:sz w:val="24"/>
          <w:szCs w:val="24"/>
          <w:highlight w:val="none"/>
          <w:lang w:val="en-US" w:eastAsia="zh-CN"/>
        </w:rPr>
        <w:t>清单</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清单</w:t>
      </w:r>
      <w:r>
        <w:rPr>
          <w:rFonts w:hint="eastAsia" w:asciiTheme="majorEastAsia" w:hAnsiTheme="majorEastAsia" w:eastAsiaTheme="majorEastAsia" w:cstheme="majorEastAsia"/>
          <w:color w:val="auto"/>
          <w:sz w:val="24"/>
          <w:szCs w:val="24"/>
          <w:highlight w:val="none"/>
        </w:rPr>
        <w:t>内容应包括产品名称、规格、计量单位、数量、</w:t>
      </w:r>
      <w:r>
        <w:rPr>
          <w:rFonts w:hint="eastAsia" w:asciiTheme="majorEastAsia" w:hAnsiTheme="majorEastAsia" w:eastAsiaTheme="majorEastAsia" w:cstheme="majorEastAsia"/>
          <w:color w:val="auto"/>
          <w:sz w:val="24"/>
          <w:szCs w:val="24"/>
          <w:highlight w:val="none"/>
          <w:lang w:val="en-US" w:eastAsia="zh-CN"/>
        </w:rPr>
        <w:t>价格</w:t>
      </w:r>
      <w:r>
        <w:rPr>
          <w:rFonts w:hint="eastAsia" w:asciiTheme="majorEastAsia" w:hAnsiTheme="majorEastAsia" w:eastAsiaTheme="majorEastAsia" w:cstheme="majorEastAsia"/>
          <w:color w:val="auto"/>
          <w:sz w:val="24"/>
          <w:szCs w:val="24"/>
          <w:highlight w:val="none"/>
        </w:rPr>
        <w:t>等内容；</w:t>
      </w:r>
    </w:p>
    <w:p w14:paraId="3CCDF242">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甲方</w:t>
      </w:r>
      <w:r>
        <w:rPr>
          <w:rFonts w:hint="eastAsia" w:asciiTheme="majorEastAsia" w:hAnsiTheme="majorEastAsia" w:eastAsiaTheme="majorEastAsia" w:cstheme="majorEastAsia"/>
          <w:color w:val="auto"/>
          <w:sz w:val="24"/>
          <w:szCs w:val="24"/>
          <w:highlight w:val="none"/>
          <w:lang w:val="en-US" w:eastAsia="zh-CN"/>
        </w:rPr>
        <w:t>负责</w:t>
      </w:r>
      <w:r>
        <w:rPr>
          <w:rFonts w:hint="eastAsia" w:asciiTheme="majorEastAsia" w:hAnsiTheme="majorEastAsia" w:eastAsiaTheme="majorEastAsia" w:cstheme="majorEastAsia"/>
          <w:color w:val="auto"/>
          <w:sz w:val="24"/>
          <w:szCs w:val="24"/>
          <w:highlight w:val="none"/>
        </w:rPr>
        <w:t>对乙方配送</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的</w:t>
      </w:r>
      <w:r>
        <w:rPr>
          <w:rFonts w:hint="eastAsia" w:asciiTheme="majorEastAsia" w:hAnsiTheme="majorEastAsia" w:eastAsiaTheme="majorEastAsia" w:cstheme="majorEastAsia"/>
          <w:color w:val="auto"/>
          <w:sz w:val="24"/>
          <w:szCs w:val="24"/>
          <w:highlight w:val="none"/>
          <w:lang w:val="en-US" w:eastAsia="zh-CN"/>
        </w:rPr>
        <w:t>种类、数</w:t>
      </w:r>
      <w:r>
        <w:rPr>
          <w:rFonts w:hint="eastAsia" w:asciiTheme="majorEastAsia" w:hAnsiTheme="majorEastAsia" w:eastAsiaTheme="majorEastAsia" w:cstheme="majorEastAsia"/>
          <w:color w:val="auto"/>
          <w:sz w:val="24"/>
          <w:szCs w:val="24"/>
          <w:highlight w:val="none"/>
        </w:rPr>
        <w:t>质量进行验收，若发现产品</w:t>
      </w:r>
      <w:r>
        <w:rPr>
          <w:rFonts w:hint="eastAsia" w:asciiTheme="majorEastAsia" w:hAnsiTheme="majorEastAsia" w:eastAsiaTheme="majorEastAsia" w:cstheme="majorEastAsia"/>
          <w:color w:val="auto"/>
          <w:sz w:val="24"/>
          <w:szCs w:val="24"/>
          <w:highlight w:val="none"/>
          <w:lang w:val="en-US" w:eastAsia="zh-CN"/>
        </w:rPr>
        <w:t>种类、数</w:t>
      </w:r>
      <w:r>
        <w:rPr>
          <w:rFonts w:hint="eastAsia" w:asciiTheme="majorEastAsia" w:hAnsiTheme="majorEastAsia" w:eastAsiaTheme="majorEastAsia" w:cstheme="majorEastAsia"/>
          <w:color w:val="auto"/>
          <w:sz w:val="24"/>
          <w:szCs w:val="24"/>
          <w:highlight w:val="none"/>
        </w:rPr>
        <w:t>质量不</w:t>
      </w:r>
      <w:r>
        <w:rPr>
          <w:rFonts w:hint="eastAsia" w:asciiTheme="majorEastAsia" w:hAnsiTheme="majorEastAsia" w:eastAsiaTheme="majorEastAsia" w:cstheme="majorEastAsia"/>
          <w:color w:val="auto"/>
          <w:sz w:val="24"/>
          <w:szCs w:val="24"/>
          <w:highlight w:val="none"/>
          <w:lang w:val="en-US" w:eastAsia="zh-CN"/>
        </w:rPr>
        <w:t>符合</w:t>
      </w:r>
      <w:r>
        <w:rPr>
          <w:rFonts w:hint="eastAsia" w:asciiTheme="majorEastAsia" w:hAnsiTheme="majorEastAsia" w:eastAsiaTheme="majorEastAsia" w:cstheme="majorEastAsia"/>
          <w:color w:val="auto"/>
          <w:sz w:val="24"/>
          <w:szCs w:val="24"/>
          <w:highlight w:val="none"/>
        </w:rPr>
        <w:t>规定</w:t>
      </w:r>
      <w:r>
        <w:rPr>
          <w:rFonts w:hint="eastAsia" w:asciiTheme="majorEastAsia" w:hAnsiTheme="majorEastAsia" w:eastAsiaTheme="majorEastAsia" w:cstheme="majorEastAsia"/>
          <w:color w:val="auto"/>
          <w:sz w:val="24"/>
          <w:szCs w:val="24"/>
          <w:highlight w:val="none"/>
          <w:lang w:val="en-US" w:eastAsia="zh-CN"/>
        </w:rPr>
        <w:t>和要求</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现场</w:t>
      </w:r>
      <w:r>
        <w:rPr>
          <w:rFonts w:hint="eastAsia" w:asciiTheme="majorEastAsia" w:hAnsiTheme="majorEastAsia" w:eastAsiaTheme="majorEastAsia" w:cstheme="majorEastAsia"/>
          <w:color w:val="auto"/>
          <w:sz w:val="24"/>
          <w:szCs w:val="24"/>
          <w:highlight w:val="none"/>
        </w:rPr>
        <w:t>告知乙方进行调换或退货。</w:t>
      </w:r>
    </w:p>
    <w:p w14:paraId="101A892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因甲方未按乙方提出的储存、保管办法</w:t>
      </w:r>
      <w:r>
        <w:rPr>
          <w:rFonts w:hint="eastAsia" w:asciiTheme="majorEastAsia" w:hAnsiTheme="majorEastAsia" w:eastAsiaTheme="majorEastAsia" w:cstheme="majorEastAsia"/>
          <w:color w:val="auto"/>
          <w:sz w:val="24"/>
          <w:szCs w:val="24"/>
          <w:highlight w:val="none"/>
          <w:lang w:val="en-US" w:eastAsia="zh-CN"/>
        </w:rPr>
        <w:t>造成产品</w:t>
      </w:r>
      <w:r>
        <w:rPr>
          <w:rFonts w:hint="eastAsia" w:asciiTheme="majorEastAsia" w:hAnsiTheme="majorEastAsia" w:eastAsiaTheme="majorEastAsia" w:cstheme="majorEastAsia"/>
          <w:color w:val="auto"/>
          <w:sz w:val="24"/>
          <w:szCs w:val="24"/>
          <w:highlight w:val="none"/>
        </w:rPr>
        <w:t>质量下降的，由甲方承担责任；</w:t>
      </w:r>
    </w:p>
    <w:p w14:paraId="30D23194">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（二）乙方</w:t>
      </w:r>
    </w:p>
    <w:p w14:paraId="3EA7C607">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rPr>
        <w:t>乙方只能提供</w:t>
      </w:r>
      <w:r>
        <w:rPr>
          <w:rFonts w:hint="eastAsia" w:asciiTheme="majorEastAsia" w:hAnsiTheme="majorEastAsia" w:eastAsiaTheme="majorEastAsia" w:cstheme="majorEastAsia"/>
          <w:color w:val="auto"/>
          <w:sz w:val="24"/>
          <w:szCs w:val="24"/>
          <w:highlight w:val="none"/>
          <w:lang w:val="en-US" w:eastAsia="zh-CN"/>
        </w:rPr>
        <w:t>本</w:t>
      </w:r>
      <w:r>
        <w:rPr>
          <w:rFonts w:hint="eastAsia" w:asciiTheme="majorEastAsia" w:hAnsiTheme="majorEastAsia" w:eastAsiaTheme="majorEastAsia" w:cstheme="majorEastAsia"/>
          <w:color w:val="auto"/>
          <w:sz w:val="24"/>
          <w:szCs w:val="24"/>
          <w:highlight w:val="none"/>
        </w:rPr>
        <w:t>合同</w:t>
      </w:r>
      <w:r>
        <w:rPr>
          <w:rFonts w:hint="eastAsia" w:asciiTheme="majorEastAsia" w:hAnsiTheme="majorEastAsia" w:eastAsiaTheme="majorEastAsia" w:cstheme="majorEastAsia"/>
          <w:color w:val="auto"/>
          <w:sz w:val="24"/>
          <w:szCs w:val="24"/>
          <w:highlight w:val="none"/>
          <w:lang w:val="en-US" w:eastAsia="zh-CN"/>
        </w:rPr>
        <w:t>与配送采购清单</w:t>
      </w:r>
      <w:r>
        <w:rPr>
          <w:rFonts w:hint="eastAsia" w:asciiTheme="majorEastAsia" w:hAnsiTheme="majorEastAsia" w:eastAsiaTheme="majorEastAsia" w:cstheme="majorEastAsia"/>
          <w:color w:val="auto"/>
          <w:sz w:val="24"/>
          <w:szCs w:val="24"/>
          <w:highlight w:val="none"/>
        </w:rPr>
        <w:t>规定项目的</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，否则</w:t>
      </w:r>
      <w:r>
        <w:rPr>
          <w:rFonts w:hint="eastAsia" w:asciiTheme="majorEastAsia" w:hAnsiTheme="majorEastAsia" w:eastAsiaTheme="majorEastAsia" w:cstheme="majorEastAsia"/>
          <w:color w:val="auto"/>
          <w:sz w:val="24"/>
          <w:szCs w:val="24"/>
          <w:highlight w:val="none"/>
          <w:lang w:val="en-US" w:eastAsia="zh-CN"/>
        </w:rPr>
        <w:t>甲方有权</w:t>
      </w:r>
      <w:r>
        <w:rPr>
          <w:rFonts w:hint="eastAsia" w:asciiTheme="majorEastAsia" w:hAnsiTheme="majorEastAsia" w:eastAsiaTheme="majorEastAsia" w:cstheme="majorEastAsia"/>
          <w:color w:val="auto"/>
          <w:sz w:val="24"/>
          <w:szCs w:val="24"/>
          <w:highlight w:val="none"/>
        </w:rPr>
        <w:t>终止合同</w:t>
      </w:r>
      <w:r>
        <w:rPr>
          <w:rFonts w:hint="eastAsia" w:asciiTheme="majorEastAsia" w:hAnsiTheme="majorEastAsia" w:eastAsiaTheme="majorEastAsia" w:cstheme="majorEastAsia"/>
          <w:color w:val="auto"/>
          <w:sz w:val="24"/>
          <w:szCs w:val="24"/>
          <w:highlight w:val="none"/>
          <w:lang w:val="en-US" w:eastAsia="zh-CN"/>
        </w:rPr>
        <w:t>并</w:t>
      </w:r>
      <w:r>
        <w:rPr>
          <w:rFonts w:hint="eastAsia" w:asciiTheme="majorEastAsia" w:hAnsiTheme="majorEastAsia" w:eastAsiaTheme="majorEastAsia" w:cstheme="majorEastAsia"/>
          <w:color w:val="auto"/>
          <w:sz w:val="24"/>
          <w:szCs w:val="24"/>
          <w:highlight w:val="none"/>
        </w:rPr>
        <w:t>取消</w:t>
      </w:r>
      <w:r>
        <w:rPr>
          <w:rFonts w:hint="eastAsia" w:asciiTheme="majorEastAsia" w:hAnsiTheme="majorEastAsia" w:eastAsiaTheme="majorEastAsia" w:cstheme="majorEastAsia"/>
          <w:color w:val="auto"/>
          <w:sz w:val="24"/>
          <w:szCs w:val="24"/>
          <w:highlight w:val="none"/>
          <w:lang w:val="en-US" w:eastAsia="zh-CN"/>
        </w:rPr>
        <w:t>乙方本项目服务</w:t>
      </w:r>
      <w:r>
        <w:rPr>
          <w:rFonts w:hint="eastAsia" w:asciiTheme="majorEastAsia" w:hAnsiTheme="majorEastAsia" w:eastAsiaTheme="majorEastAsia" w:cstheme="majorEastAsia"/>
          <w:color w:val="auto"/>
          <w:sz w:val="24"/>
          <w:szCs w:val="24"/>
          <w:highlight w:val="none"/>
        </w:rPr>
        <w:t>资格；</w:t>
      </w:r>
    </w:p>
    <w:p w14:paraId="78D17E71">
      <w:pPr>
        <w:adjustRightInd w:val="0"/>
        <w:snapToGrid w:val="0"/>
        <w:spacing w:line="600" w:lineRule="exact"/>
        <w:ind w:firstLine="480" w:firstLineChars="200"/>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sz w:val="24"/>
          <w:szCs w:val="24"/>
          <w:highlight w:val="none"/>
        </w:rPr>
        <w:t>乙方提供的产品必须是经过质量监督管理部门检验并取得合格证明的产品</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一旦</w:t>
      </w:r>
      <w:r>
        <w:rPr>
          <w:rFonts w:hint="eastAsia" w:asciiTheme="majorEastAsia" w:hAnsiTheme="majorEastAsia" w:eastAsiaTheme="majorEastAsia" w:cstheme="majorEastAsia"/>
          <w:color w:val="auto"/>
          <w:sz w:val="24"/>
          <w:szCs w:val="24"/>
          <w:highlight w:val="none"/>
          <w:lang w:val="en-US" w:eastAsia="zh-CN"/>
        </w:rPr>
        <w:t>甲方</w:t>
      </w:r>
      <w:r>
        <w:rPr>
          <w:rFonts w:hint="eastAsia" w:asciiTheme="majorEastAsia" w:hAnsiTheme="majorEastAsia" w:eastAsiaTheme="majorEastAsia" w:cstheme="majorEastAsia"/>
          <w:color w:val="auto"/>
          <w:sz w:val="24"/>
          <w:szCs w:val="24"/>
          <w:highlight w:val="none"/>
        </w:rPr>
        <w:t>发现</w:t>
      </w:r>
      <w:r>
        <w:rPr>
          <w:rFonts w:hint="eastAsia" w:asciiTheme="majorEastAsia" w:hAnsiTheme="majorEastAsia" w:eastAsiaTheme="majorEastAsia" w:cstheme="majorEastAsia"/>
          <w:color w:val="auto"/>
          <w:sz w:val="24"/>
          <w:szCs w:val="24"/>
          <w:highlight w:val="none"/>
          <w:lang w:val="en-US" w:eastAsia="zh-CN"/>
        </w:rPr>
        <w:t>乙方提供假冒伪劣</w:t>
      </w:r>
      <w:r>
        <w:rPr>
          <w:rFonts w:hint="eastAsia" w:asciiTheme="majorEastAsia" w:hAnsiTheme="majorEastAsia" w:eastAsiaTheme="majorEastAsia" w:cstheme="majorEastAsia"/>
          <w:color w:val="auto"/>
          <w:sz w:val="24"/>
          <w:szCs w:val="24"/>
          <w:highlight w:val="none"/>
        </w:rPr>
        <w:t>产品、以次充好产品</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替代产品</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过期产品</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，乙方</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将</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承担</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由此造成的包括</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经济赔偿责任</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在内的</w:t>
      </w:r>
      <w:r>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t>全部法律责任；</w:t>
      </w:r>
    </w:p>
    <w:p w14:paraId="5DB8E8EC">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乙方提供的产品须经</w:t>
      </w:r>
      <w:r>
        <w:rPr>
          <w:rFonts w:hint="eastAsia" w:asciiTheme="majorEastAsia" w:hAnsiTheme="majorEastAsia" w:eastAsiaTheme="majorEastAsia" w:cstheme="majorEastAsia"/>
          <w:color w:val="auto"/>
          <w:sz w:val="24"/>
          <w:szCs w:val="24"/>
          <w:highlight w:val="none"/>
          <w:lang w:val="en-US" w:eastAsia="zh-CN"/>
        </w:rPr>
        <w:t>甲方</w:t>
      </w:r>
      <w:r>
        <w:rPr>
          <w:rFonts w:hint="eastAsia" w:asciiTheme="majorEastAsia" w:hAnsiTheme="majorEastAsia" w:eastAsiaTheme="majorEastAsia" w:cstheme="majorEastAsia"/>
          <w:color w:val="auto"/>
          <w:sz w:val="24"/>
          <w:szCs w:val="24"/>
          <w:highlight w:val="none"/>
        </w:rPr>
        <w:t>验收人员的感官检验、外观检验和试用检验，若产品外观、包装、形式不符合要求、感官检验</w:t>
      </w:r>
      <w:r>
        <w:rPr>
          <w:rFonts w:hint="eastAsia" w:asciiTheme="majorEastAsia" w:hAnsiTheme="majorEastAsia" w:eastAsiaTheme="majorEastAsia" w:cstheme="majorEastAsia"/>
          <w:color w:val="auto"/>
          <w:sz w:val="24"/>
          <w:szCs w:val="24"/>
          <w:highlight w:val="none"/>
          <w:lang w:val="en-US" w:eastAsia="zh-CN"/>
        </w:rPr>
        <w:t>未达到</w:t>
      </w:r>
      <w:r>
        <w:rPr>
          <w:rFonts w:hint="eastAsia" w:asciiTheme="majorEastAsia" w:hAnsiTheme="majorEastAsia" w:eastAsiaTheme="majorEastAsia" w:cstheme="majorEastAsia"/>
          <w:color w:val="auto"/>
          <w:sz w:val="24"/>
          <w:szCs w:val="24"/>
          <w:highlight w:val="none"/>
        </w:rPr>
        <w:t>食品卫生</w:t>
      </w:r>
      <w:r>
        <w:rPr>
          <w:rFonts w:hint="eastAsia" w:asciiTheme="majorEastAsia" w:hAnsiTheme="majorEastAsia" w:eastAsiaTheme="majorEastAsia" w:cstheme="majorEastAsia"/>
          <w:color w:val="auto"/>
          <w:sz w:val="24"/>
          <w:szCs w:val="24"/>
          <w:highlight w:val="none"/>
          <w:lang w:val="en-US" w:eastAsia="zh-CN"/>
        </w:rPr>
        <w:t>安全标准</w:t>
      </w:r>
      <w:r>
        <w:rPr>
          <w:rFonts w:hint="eastAsia" w:asciiTheme="majorEastAsia" w:hAnsiTheme="majorEastAsia" w:eastAsiaTheme="majorEastAsia" w:cstheme="majorEastAsia"/>
          <w:color w:val="auto"/>
          <w:sz w:val="24"/>
          <w:szCs w:val="24"/>
          <w:highlight w:val="none"/>
        </w:rPr>
        <w:t>的，甲方将</w:t>
      </w:r>
      <w:r>
        <w:rPr>
          <w:rFonts w:hint="eastAsia" w:asciiTheme="majorEastAsia" w:hAnsiTheme="majorEastAsia" w:eastAsiaTheme="majorEastAsia" w:cstheme="majorEastAsia"/>
          <w:color w:val="auto"/>
          <w:sz w:val="24"/>
          <w:szCs w:val="24"/>
          <w:highlight w:val="none"/>
          <w:lang w:val="en-US" w:eastAsia="zh-CN"/>
        </w:rPr>
        <w:t>现场</w:t>
      </w:r>
      <w:r>
        <w:rPr>
          <w:rFonts w:hint="eastAsia" w:asciiTheme="majorEastAsia" w:hAnsiTheme="majorEastAsia" w:eastAsiaTheme="majorEastAsia" w:cstheme="majorEastAsia"/>
          <w:color w:val="auto"/>
          <w:sz w:val="24"/>
          <w:szCs w:val="24"/>
          <w:highlight w:val="none"/>
        </w:rPr>
        <w:t>拒收</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乙方不能满足食品的质量及</w:t>
      </w:r>
      <w:r>
        <w:rPr>
          <w:rFonts w:hint="eastAsia" w:asciiTheme="majorEastAsia" w:hAnsiTheme="majorEastAsia" w:eastAsiaTheme="majorEastAsia" w:cstheme="majorEastAsia"/>
          <w:color w:val="auto"/>
          <w:sz w:val="24"/>
          <w:szCs w:val="24"/>
          <w:highlight w:val="none"/>
          <w:lang w:eastAsia="zh-CN"/>
        </w:rPr>
        <w:t>配送</w:t>
      </w:r>
      <w:r>
        <w:rPr>
          <w:rFonts w:hint="eastAsia" w:asciiTheme="majorEastAsia" w:hAnsiTheme="majorEastAsia" w:eastAsiaTheme="majorEastAsia" w:cstheme="majorEastAsia"/>
          <w:color w:val="auto"/>
          <w:sz w:val="24"/>
          <w:szCs w:val="24"/>
          <w:highlight w:val="none"/>
        </w:rPr>
        <w:t>服务要求时，甲方有权终止合同；</w:t>
      </w:r>
    </w:p>
    <w:p w14:paraId="6651E386">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乙方必须按照甲方通知的</w:t>
      </w:r>
      <w:r>
        <w:rPr>
          <w:rFonts w:hint="eastAsia" w:asciiTheme="majorEastAsia" w:hAnsiTheme="majorEastAsia" w:eastAsiaTheme="majorEastAsia" w:cstheme="majorEastAsia"/>
          <w:color w:val="auto"/>
          <w:sz w:val="24"/>
          <w:szCs w:val="24"/>
          <w:highlight w:val="none"/>
          <w:lang w:val="en-US" w:eastAsia="zh-CN"/>
        </w:rPr>
        <w:t>送货</w:t>
      </w:r>
      <w:r>
        <w:rPr>
          <w:rFonts w:hint="eastAsia" w:asciiTheme="majorEastAsia" w:hAnsiTheme="majorEastAsia" w:eastAsiaTheme="majorEastAsia" w:cstheme="majorEastAsia"/>
          <w:color w:val="auto"/>
          <w:sz w:val="24"/>
          <w:szCs w:val="24"/>
          <w:highlight w:val="none"/>
        </w:rPr>
        <w:t>时间、</w:t>
      </w:r>
      <w:r>
        <w:rPr>
          <w:rFonts w:hint="eastAsia" w:asciiTheme="majorEastAsia" w:hAnsiTheme="majorEastAsia" w:eastAsiaTheme="majorEastAsia" w:cstheme="majorEastAsia"/>
          <w:color w:val="auto"/>
          <w:sz w:val="24"/>
          <w:szCs w:val="24"/>
          <w:highlight w:val="none"/>
          <w:lang w:val="en-US" w:eastAsia="zh-CN"/>
        </w:rPr>
        <w:t>产品种类和数量以及质量</w:t>
      </w:r>
      <w:r>
        <w:rPr>
          <w:rFonts w:hint="eastAsia" w:asciiTheme="majorEastAsia" w:hAnsiTheme="majorEastAsia" w:eastAsiaTheme="majorEastAsia" w:cstheme="majorEastAsia"/>
          <w:color w:val="auto"/>
          <w:sz w:val="24"/>
          <w:szCs w:val="24"/>
          <w:highlight w:val="none"/>
        </w:rPr>
        <w:t>要求准时</w:t>
      </w:r>
      <w:r>
        <w:rPr>
          <w:rFonts w:hint="eastAsia" w:asciiTheme="majorEastAsia" w:hAnsiTheme="majorEastAsia" w:eastAsiaTheme="majorEastAsia" w:cstheme="majorEastAsia"/>
          <w:color w:val="auto"/>
          <w:sz w:val="24"/>
          <w:szCs w:val="24"/>
          <w:highlight w:val="none"/>
          <w:lang w:eastAsia="zh-CN"/>
        </w:rPr>
        <w:t>配</w:t>
      </w:r>
      <w:r>
        <w:rPr>
          <w:rFonts w:hint="eastAsia" w:asciiTheme="majorEastAsia" w:hAnsiTheme="majorEastAsia" w:eastAsiaTheme="majorEastAsia" w:cstheme="majorEastAsia"/>
          <w:color w:val="auto"/>
          <w:sz w:val="24"/>
          <w:szCs w:val="24"/>
          <w:highlight w:val="none"/>
        </w:rPr>
        <w:t>送货，</w:t>
      </w:r>
      <w:r>
        <w:rPr>
          <w:rFonts w:hint="eastAsia" w:asciiTheme="majorEastAsia" w:hAnsiTheme="majorEastAsia" w:eastAsiaTheme="majorEastAsia" w:cstheme="majorEastAsia"/>
          <w:color w:val="auto"/>
          <w:sz w:val="24"/>
          <w:szCs w:val="24"/>
          <w:highlight w:val="none"/>
          <w:lang w:val="en-US" w:eastAsia="zh-CN"/>
        </w:rPr>
        <w:t>除不可抗力因素外</w:t>
      </w:r>
      <w:r>
        <w:rPr>
          <w:rFonts w:hint="eastAsia" w:asciiTheme="majorEastAsia" w:hAnsiTheme="majorEastAsia" w:eastAsiaTheme="majorEastAsia" w:cstheme="majorEastAsia"/>
          <w:color w:val="auto"/>
          <w:sz w:val="24"/>
          <w:szCs w:val="24"/>
          <w:highlight w:val="none"/>
        </w:rPr>
        <w:t>不能以任何理由推托</w:t>
      </w:r>
      <w:r>
        <w:rPr>
          <w:rFonts w:hint="eastAsia" w:asciiTheme="majorEastAsia" w:hAnsiTheme="majorEastAsia" w:eastAsiaTheme="majorEastAsia" w:cstheme="majorEastAsia"/>
          <w:color w:val="auto"/>
          <w:sz w:val="24"/>
          <w:szCs w:val="24"/>
          <w:highlight w:val="none"/>
          <w:lang w:val="en-US" w:eastAsia="zh-CN"/>
        </w:rPr>
        <w:t>延迟配送货</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因乙方原因延迟供货的，甲方有权自行采购并由乙方承担由此造成的一切损失和费用。</w:t>
      </w:r>
    </w:p>
    <w:p w14:paraId="5DE1EAD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乙方不能满足供货要求时应提前</w:t>
      </w: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日通知甲方，</w:t>
      </w:r>
      <w:r>
        <w:rPr>
          <w:rFonts w:hint="eastAsia" w:asciiTheme="majorEastAsia" w:hAnsiTheme="majorEastAsia" w:eastAsiaTheme="majorEastAsia" w:cstheme="majorEastAsia"/>
          <w:color w:val="auto"/>
          <w:sz w:val="24"/>
          <w:szCs w:val="24"/>
          <w:highlight w:val="none"/>
          <w:lang w:val="en-US" w:eastAsia="zh-CN"/>
        </w:rPr>
        <w:t>在取得</w:t>
      </w:r>
      <w:r>
        <w:rPr>
          <w:rFonts w:hint="eastAsia" w:asciiTheme="majorEastAsia" w:hAnsiTheme="majorEastAsia" w:eastAsiaTheme="majorEastAsia" w:cstheme="majorEastAsia"/>
          <w:color w:val="auto"/>
          <w:sz w:val="24"/>
          <w:szCs w:val="24"/>
          <w:highlight w:val="none"/>
        </w:rPr>
        <w:t>甲方同意后方可</w:t>
      </w:r>
      <w:r>
        <w:rPr>
          <w:rFonts w:hint="eastAsia" w:asciiTheme="majorEastAsia" w:hAnsiTheme="majorEastAsia" w:eastAsiaTheme="majorEastAsia" w:cstheme="majorEastAsia"/>
          <w:color w:val="auto"/>
          <w:sz w:val="24"/>
          <w:szCs w:val="24"/>
          <w:highlight w:val="none"/>
          <w:lang w:val="en-US" w:eastAsia="zh-CN"/>
        </w:rPr>
        <w:t>停止或延期供货。</w:t>
      </w:r>
    </w:p>
    <w:p w14:paraId="5F396920">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rPr>
        <w:t>因</w:t>
      </w:r>
      <w:r>
        <w:rPr>
          <w:rFonts w:hint="eastAsia" w:asciiTheme="majorEastAsia" w:hAnsiTheme="majorEastAsia" w:eastAsiaTheme="majorEastAsia" w:cstheme="majorEastAsia"/>
          <w:color w:val="auto"/>
          <w:sz w:val="24"/>
          <w:szCs w:val="24"/>
          <w:highlight w:val="none"/>
          <w:lang w:val="en-US" w:eastAsia="zh-CN"/>
        </w:rPr>
        <w:t>乙方提供的</w:t>
      </w:r>
      <w:r>
        <w:rPr>
          <w:rFonts w:hint="eastAsia" w:asciiTheme="majorEastAsia" w:hAnsiTheme="majorEastAsia" w:eastAsiaTheme="majorEastAsia" w:cstheme="majorEastAsia"/>
          <w:color w:val="auto"/>
          <w:sz w:val="24"/>
          <w:szCs w:val="24"/>
          <w:highlight w:val="none"/>
        </w:rPr>
        <w:t>产品质量问题</w:t>
      </w:r>
      <w:r>
        <w:rPr>
          <w:rFonts w:hint="eastAsia" w:asciiTheme="majorEastAsia" w:hAnsiTheme="majorEastAsia" w:eastAsiaTheme="majorEastAsia" w:cstheme="majorEastAsia"/>
          <w:color w:val="auto"/>
          <w:sz w:val="24"/>
          <w:szCs w:val="24"/>
          <w:highlight w:val="none"/>
          <w:lang w:val="en-US" w:eastAsia="zh-CN"/>
        </w:rPr>
        <w:t>引发甲方人员</w:t>
      </w:r>
      <w:r>
        <w:rPr>
          <w:rFonts w:hint="eastAsia" w:asciiTheme="majorEastAsia" w:hAnsiTheme="majorEastAsia" w:eastAsiaTheme="majorEastAsia" w:cstheme="majorEastAsia"/>
          <w:color w:val="auto"/>
          <w:sz w:val="24"/>
          <w:szCs w:val="24"/>
          <w:highlight w:val="none"/>
        </w:rPr>
        <w:t>食物中毒等事故，由乙方承担</w:t>
      </w:r>
      <w:r>
        <w:rPr>
          <w:rFonts w:hint="eastAsia" w:asciiTheme="majorEastAsia" w:hAnsiTheme="majorEastAsia" w:eastAsiaTheme="majorEastAsia" w:cstheme="majorEastAsia"/>
          <w:color w:val="auto"/>
          <w:sz w:val="24"/>
          <w:szCs w:val="24"/>
          <w:highlight w:val="none"/>
          <w:lang w:val="en-US" w:eastAsia="zh-CN"/>
        </w:rPr>
        <w:t>全部</w:t>
      </w:r>
      <w:r>
        <w:rPr>
          <w:rFonts w:hint="eastAsia" w:asciiTheme="majorEastAsia" w:hAnsiTheme="majorEastAsia" w:eastAsiaTheme="majorEastAsia" w:cstheme="majorEastAsia"/>
          <w:color w:val="auto"/>
          <w:sz w:val="24"/>
          <w:szCs w:val="24"/>
          <w:highlight w:val="none"/>
        </w:rPr>
        <w:t>经济赔偿责任以及其他法律责任</w:t>
      </w:r>
      <w:r>
        <w:rPr>
          <w:rFonts w:hint="eastAsia" w:asciiTheme="majorEastAsia" w:hAnsiTheme="majorEastAsia" w:eastAsiaTheme="majorEastAsia" w:cstheme="majorEastAsia"/>
          <w:color w:val="auto"/>
          <w:sz w:val="24"/>
          <w:szCs w:val="24"/>
          <w:highlight w:val="none"/>
          <w:lang w:eastAsia="zh-CN"/>
        </w:rPr>
        <w:t>。</w:t>
      </w:r>
    </w:p>
    <w:p w14:paraId="3AE6C40B">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7.</w:t>
      </w:r>
      <w:r>
        <w:rPr>
          <w:rFonts w:hint="eastAsia" w:asciiTheme="majorEastAsia" w:hAnsiTheme="majorEastAsia" w:eastAsiaTheme="majorEastAsia" w:cstheme="majorEastAsia"/>
          <w:color w:val="auto"/>
          <w:sz w:val="24"/>
          <w:szCs w:val="24"/>
          <w:highlight w:val="none"/>
        </w:rPr>
        <w:t>乙方应严格遵守《</w:t>
      </w:r>
      <w:r>
        <w:rPr>
          <w:rFonts w:hint="eastAsia" w:asciiTheme="majorEastAsia" w:hAnsiTheme="majorEastAsia" w:eastAsiaTheme="majorEastAsia" w:cstheme="majorEastAsia"/>
          <w:color w:val="auto"/>
          <w:sz w:val="24"/>
          <w:szCs w:val="24"/>
          <w:highlight w:val="none"/>
          <w:lang w:val="en-US" w:eastAsia="zh-CN"/>
        </w:rPr>
        <w:t>中华人民共和国</w:t>
      </w:r>
      <w:r>
        <w:rPr>
          <w:rFonts w:hint="eastAsia" w:asciiTheme="majorEastAsia" w:hAnsiTheme="majorEastAsia" w:eastAsiaTheme="majorEastAsia" w:cstheme="majorEastAsia"/>
          <w:color w:val="auto"/>
          <w:sz w:val="24"/>
          <w:szCs w:val="24"/>
          <w:highlight w:val="none"/>
        </w:rPr>
        <w:t>食品</w:t>
      </w:r>
      <w:r>
        <w:rPr>
          <w:rFonts w:hint="eastAsia" w:asciiTheme="majorEastAsia" w:hAnsiTheme="majorEastAsia" w:eastAsiaTheme="majorEastAsia" w:cstheme="majorEastAsia"/>
          <w:color w:val="auto"/>
          <w:sz w:val="24"/>
          <w:szCs w:val="24"/>
          <w:highlight w:val="none"/>
          <w:lang w:val="en-US" w:eastAsia="zh-CN"/>
        </w:rPr>
        <w:t>安全</w:t>
      </w:r>
      <w:r>
        <w:rPr>
          <w:rFonts w:hint="eastAsia" w:asciiTheme="majorEastAsia" w:hAnsiTheme="majorEastAsia" w:eastAsiaTheme="majorEastAsia" w:cstheme="majorEastAsia"/>
          <w:color w:val="auto"/>
          <w:sz w:val="24"/>
          <w:szCs w:val="24"/>
          <w:highlight w:val="none"/>
        </w:rPr>
        <w:t>法》规定，</w:t>
      </w:r>
      <w:r>
        <w:rPr>
          <w:rFonts w:hint="eastAsia" w:asciiTheme="majorEastAsia" w:hAnsiTheme="majorEastAsia" w:eastAsiaTheme="majorEastAsia" w:cstheme="majorEastAsia"/>
          <w:color w:val="auto"/>
          <w:sz w:val="24"/>
          <w:szCs w:val="24"/>
          <w:highlight w:val="none"/>
          <w:lang w:val="en-US" w:eastAsia="zh-CN"/>
        </w:rPr>
        <w:t>甲方</w:t>
      </w:r>
      <w:r>
        <w:rPr>
          <w:rFonts w:hint="eastAsia" w:asciiTheme="majorEastAsia" w:hAnsiTheme="majorEastAsia" w:eastAsiaTheme="majorEastAsia" w:cstheme="majorEastAsia"/>
          <w:color w:val="auto"/>
          <w:sz w:val="24"/>
          <w:szCs w:val="24"/>
          <w:highlight w:val="none"/>
        </w:rPr>
        <w:t>一经发现</w:t>
      </w:r>
      <w:r>
        <w:rPr>
          <w:rFonts w:hint="eastAsia" w:asciiTheme="majorEastAsia" w:hAnsiTheme="majorEastAsia" w:eastAsiaTheme="majorEastAsia" w:cstheme="majorEastAsia"/>
          <w:color w:val="auto"/>
          <w:sz w:val="24"/>
          <w:szCs w:val="24"/>
          <w:highlight w:val="none"/>
          <w:lang w:val="en-US" w:eastAsia="zh-CN"/>
        </w:rPr>
        <w:t>所供</w:t>
      </w:r>
      <w:r>
        <w:rPr>
          <w:rFonts w:hint="eastAsia" w:asciiTheme="majorEastAsia" w:hAnsiTheme="majorEastAsia" w:eastAsiaTheme="majorEastAsia" w:cstheme="majorEastAsia"/>
          <w:color w:val="auto"/>
          <w:sz w:val="24"/>
          <w:szCs w:val="24"/>
          <w:highlight w:val="none"/>
        </w:rPr>
        <w:t>产品</w:t>
      </w:r>
      <w:r>
        <w:rPr>
          <w:rFonts w:hint="eastAsia" w:asciiTheme="majorEastAsia" w:hAnsiTheme="majorEastAsia" w:eastAsiaTheme="majorEastAsia" w:cstheme="majorEastAsia"/>
          <w:color w:val="auto"/>
          <w:sz w:val="24"/>
          <w:szCs w:val="24"/>
          <w:highlight w:val="none"/>
          <w:lang w:eastAsia="zh-CN"/>
        </w:rPr>
        <w:t>数</w:t>
      </w:r>
      <w:r>
        <w:rPr>
          <w:rFonts w:hint="eastAsia" w:asciiTheme="majorEastAsia" w:hAnsiTheme="majorEastAsia" w:eastAsiaTheme="majorEastAsia" w:cstheme="majorEastAsia"/>
          <w:color w:val="auto"/>
          <w:sz w:val="24"/>
          <w:szCs w:val="24"/>
          <w:highlight w:val="none"/>
        </w:rPr>
        <w:t>质量不</w:t>
      </w:r>
      <w:r>
        <w:rPr>
          <w:rFonts w:hint="eastAsia" w:asciiTheme="majorEastAsia" w:hAnsiTheme="majorEastAsia" w:eastAsiaTheme="majorEastAsia" w:cstheme="majorEastAsia"/>
          <w:color w:val="auto"/>
          <w:sz w:val="24"/>
          <w:szCs w:val="24"/>
          <w:highlight w:val="none"/>
          <w:lang w:val="en-US" w:eastAsia="zh-CN"/>
        </w:rPr>
        <w:t>符合规定</w:t>
      </w:r>
      <w:r>
        <w:rPr>
          <w:rFonts w:hint="eastAsia" w:asciiTheme="majorEastAsia" w:hAnsiTheme="majorEastAsia" w:eastAsiaTheme="majorEastAsia" w:cstheme="majorEastAsia"/>
          <w:color w:val="auto"/>
          <w:sz w:val="24"/>
          <w:szCs w:val="24"/>
          <w:highlight w:val="none"/>
        </w:rPr>
        <w:t>，乙方</w:t>
      </w:r>
      <w:r>
        <w:rPr>
          <w:rFonts w:hint="eastAsia" w:asciiTheme="majorEastAsia" w:hAnsiTheme="majorEastAsia" w:eastAsiaTheme="majorEastAsia" w:cstheme="majorEastAsia"/>
          <w:color w:val="auto"/>
          <w:sz w:val="24"/>
          <w:szCs w:val="24"/>
          <w:highlight w:val="none"/>
          <w:lang w:val="en-US" w:eastAsia="zh-CN"/>
        </w:rPr>
        <w:t>应及时组织</w:t>
      </w:r>
      <w:r>
        <w:rPr>
          <w:rFonts w:hint="eastAsia" w:asciiTheme="majorEastAsia" w:hAnsiTheme="majorEastAsia" w:eastAsiaTheme="majorEastAsia" w:cstheme="majorEastAsia"/>
          <w:color w:val="auto"/>
          <w:sz w:val="24"/>
          <w:szCs w:val="24"/>
          <w:highlight w:val="none"/>
        </w:rPr>
        <w:t>进行调换或退货。</w:t>
      </w:r>
      <w:r>
        <w:rPr>
          <w:rFonts w:hint="eastAsia" w:asciiTheme="majorEastAsia" w:hAnsiTheme="majorEastAsia" w:eastAsiaTheme="majorEastAsia" w:cstheme="majorEastAsia"/>
          <w:color w:val="auto"/>
          <w:sz w:val="24"/>
          <w:szCs w:val="24"/>
          <w:highlight w:val="none"/>
          <w:lang w:val="en-US" w:eastAsia="zh-CN"/>
        </w:rPr>
        <w:t>如需调换产品，乙方须在甲方告知后1小时内完成调货、补货，并</w:t>
      </w:r>
      <w:r>
        <w:rPr>
          <w:rFonts w:hint="eastAsia" w:asciiTheme="majorEastAsia" w:hAnsiTheme="majorEastAsia" w:eastAsiaTheme="majorEastAsia" w:cstheme="majorEastAsia"/>
          <w:color w:val="auto"/>
          <w:sz w:val="24"/>
          <w:szCs w:val="24"/>
          <w:highlight w:val="none"/>
        </w:rPr>
        <w:t>承担由此造成的一切经济责任和法律责任。</w:t>
      </w:r>
    </w:p>
    <w:p w14:paraId="51C466D2">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8.乙方在接到甲方（须配送上门的服务点位）供货通知后应及时按照采购清单进行备货，并在第二日</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lang w:val="en-US" w:eastAsia="zh-CN"/>
        </w:rPr>
        <w:t>点</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lang w:val="en-US" w:eastAsia="zh-CN"/>
        </w:rPr>
        <w:t>分前配送至甲方指定交付地点；如甲方临时改变供货种类、规格、数量的，乙方应在接到甲方通知后1小时内将产品送达至甲方指定交付地点；如甲方新增临时急需产品的，乙方应在接到甲方供货通知后2小时内送达至甲方指定交付地点。</w:t>
      </w:r>
    </w:p>
    <w:p w14:paraId="76FB29BD">
      <w:pPr>
        <w:pStyle w:val="31"/>
        <w:keepNext w:val="0"/>
        <w:keepLines w:val="0"/>
        <w:pageBreakBefore w:val="0"/>
        <w:widowControl w:val="0"/>
        <w:kinsoku/>
        <w:wordWrap/>
        <w:overflowPunct/>
        <w:topLinePunct w:val="0"/>
        <w:bidi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9.根据甲方实际任务需要需进行应急供应保障时，乙方应在甲方通知后3小时内将甲方所需产品送达至指定地点。</w:t>
      </w:r>
    </w:p>
    <w:p w14:paraId="21DDE52F">
      <w:pPr>
        <w:keepNext w:val="0"/>
        <w:keepLines w:val="0"/>
        <w:pageBreakBefore w:val="0"/>
        <w:widowControl w:val="0"/>
        <w:kinsoku/>
        <w:wordWrap/>
        <w:overflowPunct/>
        <w:topLinePunct w:val="0"/>
        <w:bidi w:val="0"/>
        <w:spacing w:line="600" w:lineRule="exact"/>
        <w:ind w:firstLine="480" w:firstLineChars="200"/>
        <w:textAlignment w:val="auto"/>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kern w:val="0"/>
          <w:sz w:val="24"/>
          <w:szCs w:val="24"/>
          <w:highlight w:val="none"/>
          <w:lang w:val="en-US" w:eastAsia="zh-CN" w:bidi="ar-SA"/>
        </w:rPr>
        <w:t>10.乙方不得将本项目转包或者分包给他人，一经发现甲方有权终止本合同，由此产生的一切经济损失由乙方自行承担。</w:t>
      </w:r>
    </w:p>
    <w:p w14:paraId="770D5522">
      <w:pPr>
        <w:pStyle w:val="31"/>
        <w:keepNext w:val="0"/>
        <w:keepLines w:val="0"/>
        <w:pageBreakBefore w:val="0"/>
        <w:widowControl w:val="0"/>
        <w:kinsoku/>
        <w:wordWrap/>
        <w:overflowPunct/>
        <w:topLinePunct w:val="0"/>
        <w:bidi w:val="0"/>
        <w:spacing w:line="600" w:lineRule="exact"/>
        <w:ind w:firstLine="480" w:firstLineChars="200"/>
        <w:textAlignment w:val="auto"/>
        <w:rPr>
          <w:rFonts w:hint="eastAsia" w:asciiTheme="majorEastAsia" w:hAnsiTheme="majorEastAsia" w:eastAsiaTheme="majorEastAsia" w:cstheme="majorEastAsia"/>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11.为保证产品配送的准时性，乙方应保证24小时通讯畅通，联系人：</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lang w:val="en-US" w:eastAsia="zh-CN"/>
        </w:rPr>
        <w:t>，联系电话：</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u w:val="none"/>
          <w:lang w:val="en-US" w:eastAsia="zh-CN"/>
        </w:rPr>
        <w:t>。</w:t>
      </w:r>
    </w:p>
    <w:p w14:paraId="12C819CF">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四、运输方式及费用负担</w:t>
      </w:r>
    </w:p>
    <w:p w14:paraId="2E29C2B8">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甲方所需产品由乙方采取陆路方式进行运输，运输车辆须使用冷链车或厢式货车，以</w:t>
      </w:r>
      <w:r>
        <w:rPr>
          <w:rFonts w:hint="eastAsia" w:asciiTheme="majorEastAsia" w:hAnsiTheme="majorEastAsia" w:eastAsiaTheme="majorEastAsia" w:cstheme="majorEastAsia"/>
          <w:color w:val="auto"/>
          <w:sz w:val="24"/>
          <w:szCs w:val="24"/>
          <w:highlight w:val="none"/>
        </w:rPr>
        <w:t>确保将</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及时、</w:t>
      </w:r>
      <w:r>
        <w:rPr>
          <w:rFonts w:hint="eastAsia" w:asciiTheme="majorEastAsia" w:hAnsiTheme="majorEastAsia" w:eastAsiaTheme="majorEastAsia" w:cstheme="majorEastAsia"/>
          <w:color w:val="auto"/>
          <w:sz w:val="24"/>
          <w:szCs w:val="24"/>
          <w:highlight w:val="none"/>
          <w:lang w:val="en-US" w:eastAsia="zh-CN"/>
        </w:rPr>
        <w:t>新鲜、</w:t>
      </w:r>
      <w:r>
        <w:rPr>
          <w:rFonts w:hint="eastAsia" w:asciiTheme="majorEastAsia" w:hAnsiTheme="majorEastAsia" w:eastAsiaTheme="majorEastAsia" w:cstheme="majorEastAsia"/>
          <w:color w:val="auto"/>
          <w:sz w:val="24"/>
          <w:szCs w:val="24"/>
          <w:highlight w:val="none"/>
        </w:rPr>
        <w:t>安全</w:t>
      </w:r>
      <w:r>
        <w:rPr>
          <w:rFonts w:hint="eastAsia" w:asciiTheme="majorEastAsia" w:hAnsiTheme="majorEastAsia" w:eastAsiaTheme="majorEastAsia" w:cstheme="majorEastAsia"/>
          <w:color w:val="auto"/>
          <w:sz w:val="24"/>
          <w:szCs w:val="24"/>
          <w:highlight w:val="none"/>
          <w:lang w:val="en-US" w:eastAsia="zh-CN"/>
        </w:rPr>
        <w:t>的送达至甲方指定的</w:t>
      </w:r>
      <w:r>
        <w:rPr>
          <w:rFonts w:hint="eastAsia" w:asciiTheme="majorEastAsia" w:hAnsiTheme="majorEastAsia" w:eastAsiaTheme="majorEastAsia" w:cstheme="majorEastAsia"/>
          <w:color w:val="auto"/>
          <w:sz w:val="24"/>
          <w:szCs w:val="24"/>
          <w:highlight w:val="none"/>
        </w:rPr>
        <w:t>交货地点</w:t>
      </w:r>
      <w:r>
        <w:rPr>
          <w:rFonts w:hint="eastAsia" w:asciiTheme="majorEastAsia" w:hAnsiTheme="majorEastAsia" w:eastAsiaTheme="majorEastAsia" w:cstheme="majorEastAsia"/>
          <w:color w:val="auto"/>
          <w:sz w:val="24"/>
          <w:szCs w:val="24"/>
          <w:highlight w:val="none"/>
          <w:lang w:eastAsia="zh-CN"/>
        </w:rPr>
        <w:t>。</w:t>
      </w:r>
    </w:p>
    <w:p w14:paraId="7153A7E1">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乙方负责产品的运输并承担全部运输费用（包括装货、卸货等全部杂费）</w:t>
      </w:r>
      <w:r>
        <w:rPr>
          <w:rFonts w:hint="eastAsia" w:asciiTheme="majorEastAsia" w:hAnsiTheme="majorEastAsia" w:eastAsiaTheme="majorEastAsia" w:cstheme="majorEastAsia"/>
          <w:color w:val="auto"/>
          <w:sz w:val="24"/>
          <w:szCs w:val="24"/>
          <w:highlight w:val="none"/>
          <w:lang w:eastAsia="zh-CN"/>
        </w:rPr>
        <w:t>。</w:t>
      </w:r>
    </w:p>
    <w:p w14:paraId="779981BE">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三</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乙方应承担全部运输风险以及运输所导致的事故责任。</w:t>
      </w:r>
    </w:p>
    <w:p w14:paraId="1BFA9B4F">
      <w:pPr>
        <w:adjustRightInd w:val="0"/>
        <w:snapToGrid w:val="0"/>
        <w:spacing w:line="600" w:lineRule="exact"/>
        <w:ind w:firstLine="482" w:firstLineChars="200"/>
        <w:rPr>
          <w:rFonts w:hint="eastAsia" w:asciiTheme="majorEastAsia" w:hAnsiTheme="majorEastAsia" w:eastAsiaTheme="majorEastAsia" w:cstheme="majorEastAsia"/>
          <w:b/>
          <w:bCs/>
          <w:color w:val="auto"/>
          <w:kern w:val="0"/>
          <w:sz w:val="24"/>
          <w:szCs w:val="24"/>
          <w:highlight w:val="none"/>
          <w:lang w:val="en-US" w:eastAsia="zh-CN" w:bidi="ar-SA"/>
        </w:rPr>
      </w:pPr>
      <w:r>
        <w:rPr>
          <w:rFonts w:hint="eastAsia" w:asciiTheme="majorEastAsia" w:hAnsiTheme="majorEastAsia" w:eastAsiaTheme="majorEastAsia" w:cstheme="majorEastAsia"/>
          <w:b/>
          <w:bCs/>
          <w:color w:val="auto"/>
          <w:kern w:val="0"/>
          <w:sz w:val="24"/>
          <w:szCs w:val="24"/>
          <w:highlight w:val="none"/>
          <w:lang w:val="en-US" w:eastAsia="zh-CN" w:bidi="ar-SA"/>
        </w:rPr>
        <w:t>五、供货地点、方式、时间及履约验收标准</w:t>
      </w:r>
    </w:p>
    <w:p w14:paraId="2554175C">
      <w:pPr>
        <w:pStyle w:val="31"/>
        <w:keepNext w:val="0"/>
        <w:keepLines w:val="0"/>
        <w:pageBreakBefore w:val="0"/>
        <w:widowControl w:val="0"/>
        <w:kinsoku/>
        <w:wordWrap/>
        <w:overflowPunct/>
        <w:topLinePunct w:val="0"/>
        <w:autoSpaceDE w:val="0"/>
        <w:autoSpaceDN w:val="0"/>
        <w:bidi w:val="0"/>
        <w:adjustRightInd w:val="0"/>
        <w:snapToGrid/>
        <w:spacing w:line="600" w:lineRule="exact"/>
        <w:ind w:firstLine="480" w:firstLineChars="200"/>
        <w:textAlignment w:val="auto"/>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kern w:val="0"/>
          <w:sz w:val="24"/>
          <w:szCs w:val="24"/>
          <w:highlight w:val="none"/>
          <w:lang w:val="en-US" w:eastAsia="zh-CN" w:bidi="ar-SA"/>
        </w:rPr>
        <w:t>（一）供货方式及时限要求</w:t>
      </w:r>
      <w:r>
        <w:rPr>
          <w:rFonts w:hint="eastAsia" w:asciiTheme="majorEastAsia" w:hAnsiTheme="majorEastAsia" w:eastAsiaTheme="majorEastAsia" w:cstheme="majorEastAsia"/>
          <w:b w:val="0"/>
          <w:bCs w:val="0"/>
          <w:color w:val="auto"/>
          <w:kern w:val="0"/>
          <w:sz w:val="24"/>
          <w:szCs w:val="24"/>
          <w:highlight w:val="none"/>
          <w:lang w:val="en-US" w:eastAsia="zh-CN" w:bidi="ar-SA"/>
        </w:rPr>
        <w:t>：送货上门。</w:t>
      </w:r>
    </w:p>
    <w:p w14:paraId="31E5640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kern w:val="0"/>
          <w:sz w:val="24"/>
          <w:szCs w:val="24"/>
          <w:highlight w:val="none"/>
          <w:lang w:val="en-US" w:eastAsia="zh-CN" w:bidi="ar-SA"/>
        </w:rPr>
        <w:t>（二）乙方按甲方确定的订单要求配送的，乙方在配送2小时前应将产品名称、规格、数量等送货信息通知甲方，以便做好接货、验货工作。乙方未提前通知甲方擅自</w:t>
      </w:r>
      <w:r>
        <w:rPr>
          <w:rFonts w:hint="eastAsia" w:asciiTheme="majorEastAsia" w:hAnsiTheme="majorEastAsia" w:eastAsiaTheme="majorEastAsia" w:cstheme="majorEastAsia"/>
          <w:color w:val="auto"/>
          <w:sz w:val="24"/>
          <w:szCs w:val="24"/>
          <w:highlight w:val="none"/>
        </w:rPr>
        <w:t>配送的，甲方有权拒绝收货且对</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不负保管责任</w:t>
      </w:r>
      <w:r>
        <w:rPr>
          <w:rFonts w:hint="eastAsia" w:asciiTheme="majorEastAsia" w:hAnsiTheme="majorEastAsia" w:eastAsiaTheme="majorEastAsia" w:cstheme="majorEastAsia"/>
          <w:color w:val="auto"/>
          <w:sz w:val="24"/>
          <w:szCs w:val="24"/>
          <w:highlight w:val="none"/>
          <w:lang w:eastAsia="zh-CN"/>
        </w:rPr>
        <w:t>。</w:t>
      </w:r>
    </w:p>
    <w:p w14:paraId="7134F80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三</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甲方购买</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lang w:val="en-US" w:eastAsia="zh-CN"/>
        </w:rPr>
        <w:t>的</w:t>
      </w:r>
      <w:r>
        <w:rPr>
          <w:rFonts w:hint="eastAsia" w:asciiTheme="majorEastAsia" w:hAnsiTheme="majorEastAsia" w:eastAsiaTheme="majorEastAsia" w:cstheme="majorEastAsia"/>
          <w:color w:val="auto"/>
          <w:sz w:val="24"/>
          <w:szCs w:val="24"/>
          <w:highlight w:val="none"/>
        </w:rPr>
        <w:t>所有权，在交付地点自</w:t>
      </w:r>
      <w:r>
        <w:rPr>
          <w:rFonts w:hint="eastAsia" w:asciiTheme="majorEastAsia" w:hAnsiTheme="majorEastAsia" w:eastAsiaTheme="majorEastAsia" w:cstheme="majorEastAsia"/>
          <w:color w:val="auto"/>
          <w:sz w:val="24"/>
          <w:szCs w:val="24"/>
          <w:highlight w:val="none"/>
          <w:lang w:val="en-US" w:eastAsia="zh-CN"/>
        </w:rPr>
        <w:t>甲方通过验收合格</w:t>
      </w:r>
      <w:r>
        <w:rPr>
          <w:rFonts w:hint="eastAsia" w:asciiTheme="majorEastAsia" w:hAnsiTheme="majorEastAsia" w:eastAsiaTheme="majorEastAsia" w:cstheme="majorEastAsia"/>
          <w:color w:val="auto"/>
          <w:sz w:val="24"/>
          <w:szCs w:val="24"/>
          <w:highlight w:val="none"/>
        </w:rPr>
        <w:t>时起从乙方转移至甲方</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产品通过验收后须由甲方在配送清单上签字确认。</w:t>
      </w:r>
    </w:p>
    <w:p w14:paraId="07E6E8FA">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在甲方未接收</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前以及因乙方原因导致甲方拒绝接</w:t>
      </w:r>
      <w:r>
        <w:rPr>
          <w:rFonts w:hint="eastAsia" w:asciiTheme="majorEastAsia" w:hAnsiTheme="majorEastAsia" w:eastAsiaTheme="majorEastAsia" w:cstheme="majorEastAsia"/>
          <w:color w:val="auto"/>
          <w:sz w:val="24"/>
          <w:szCs w:val="24"/>
          <w:highlight w:val="none"/>
          <w:lang w:val="en-US" w:eastAsia="zh-CN"/>
        </w:rPr>
        <w:t>收</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的，</w:t>
      </w:r>
      <w:r>
        <w:rPr>
          <w:rFonts w:hint="eastAsia" w:asciiTheme="majorEastAsia" w:hAnsiTheme="majorEastAsia" w:eastAsiaTheme="majorEastAsia" w:cstheme="majorEastAsia"/>
          <w:color w:val="auto"/>
          <w:sz w:val="24"/>
          <w:szCs w:val="24"/>
          <w:highlight w:val="none"/>
          <w:lang w:eastAsia="zh-CN"/>
        </w:rPr>
        <w:t>产品</w:t>
      </w:r>
      <w:r>
        <w:rPr>
          <w:rFonts w:hint="eastAsia" w:asciiTheme="majorEastAsia" w:hAnsiTheme="majorEastAsia" w:eastAsiaTheme="majorEastAsia" w:cstheme="majorEastAsia"/>
          <w:color w:val="auto"/>
          <w:sz w:val="24"/>
          <w:szCs w:val="24"/>
          <w:highlight w:val="none"/>
        </w:rPr>
        <w:t>损坏、灭失的风险由乙方负责。</w:t>
      </w:r>
    </w:p>
    <w:p w14:paraId="1635DC54">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u w:val="none"/>
          <w:lang w:val="en-US"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五</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 xml:space="preserve">服务期限： </w:t>
      </w:r>
      <w:r>
        <w:rPr>
          <w:rFonts w:hint="eastAsia" w:asciiTheme="majorEastAsia" w:hAnsiTheme="majorEastAsia" w:eastAsiaTheme="majorEastAsia" w:cstheme="majorEastAsia"/>
          <w:color w:val="auto"/>
          <w:sz w:val="24"/>
          <w:szCs w:val="24"/>
          <w:highlight w:val="none"/>
          <w:lang w:val="en-US" w:eastAsia="zh-CN"/>
        </w:rPr>
        <w:t>2025年5月23日至2026年5月22日。</w:t>
      </w:r>
    </w:p>
    <w:p w14:paraId="0BB33F0C">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（六）履约验收标准及要求</w:t>
      </w:r>
    </w:p>
    <w:p w14:paraId="19BE3FB3">
      <w:pPr>
        <w:pStyle w:val="6"/>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b/>
          <w:bCs/>
          <w:color w:val="auto"/>
          <w:kern w:val="2"/>
          <w:sz w:val="24"/>
          <w:szCs w:val="24"/>
          <w:highlight w:val="none"/>
          <w:lang w:val="en-US" w:eastAsia="zh-CN" w:bidi="ar-SA"/>
        </w:rPr>
        <w:t>1.对主副食材数质量验收：</w:t>
      </w:r>
      <w:r>
        <w:rPr>
          <w:rFonts w:hint="eastAsia" w:asciiTheme="majorEastAsia" w:hAnsiTheme="majorEastAsia" w:eastAsiaTheme="majorEastAsia" w:cstheme="majorEastAsia"/>
          <w:color w:val="auto"/>
          <w:kern w:val="2"/>
          <w:sz w:val="24"/>
          <w:szCs w:val="24"/>
          <w:highlight w:val="none"/>
          <w:lang w:val="en-US" w:eastAsia="zh-CN" w:bidi="ar-SA"/>
        </w:rPr>
        <w:t>甲方对每批次食材数质量对照采购清单和质量标准进行现场检查核对清点和称重验收，如验收通过则验收人员在该批次采购清单上联签确认。如验收不通过，由乙方及时调换，直至通过验收。【合同履约过程中，如因食材数质量不合格造成验收不通过，第一次甲方将对乙方予以书面警告并责令当天限时完成整改；第二次甲方将核减乙方当月应结款项的5%作为违约金，并责令当天限时完成整改。以此类推，每发现一次除责令当天限时完成整改的同时，将当月应结款项核减比例递增1%，合同履行期限内如验收不通过累计达到5次，甲方有权取消乙方供货资格并单方面终止合同】</w:t>
      </w:r>
    </w:p>
    <w:p w14:paraId="62F37837">
      <w:pPr>
        <w:pStyle w:val="6"/>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b/>
          <w:bCs/>
          <w:i w:val="0"/>
          <w:iCs w:val="0"/>
          <w:color w:val="auto"/>
          <w:kern w:val="2"/>
          <w:sz w:val="24"/>
          <w:szCs w:val="24"/>
          <w:highlight w:val="none"/>
          <w:lang w:val="en-US" w:eastAsia="zh-CN" w:bidi="ar-SA"/>
        </w:rPr>
        <w:t>2.对下浮率执行情况验收：</w:t>
      </w:r>
      <w:r>
        <w:rPr>
          <w:rFonts w:hint="eastAsia" w:asciiTheme="majorEastAsia" w:hAnsiTheme="majorEastAsia" w:eastAsiaTheme="majorEastAsia" w:cstheme="majorEastAsia"/>
          <w:color w:val="auto"/>
          <w:kern w:val="2"/>
          <w:sz w:val="24"/>
          <w:szCs w:val="24"/>
          <w:highlight w:val="none"/>
          <w:lang w:val="en-US" w:eastAsia="zh-CN" w:bidi="ar-SA"/>
        </w:rPr>
        <w:t>合同履行期限内，甲乙双方将以定期市场询价结果和约定的下浮率作为当月食材结算依据。如乙方未按照双方确定的单价和下浮率进行结算的，第一次甲方将对乙方予以书面警告并责令当月限期整改（甲方按照事先明确的结算价进行结算支付。如已支付的，乙方按照超出结算价部分向甲方进行退差）；第二次甲方将核减乙方当月应结款项的10%作为违约金，并责令当月限期整改（同上）；第三次甲方将核减乙方当月应结款项的20%作为违约金，并责令当月限期整改（同上），同时取消乙方供货资格并单方面终止合同。</w:t>
      </w:r>
    </w:p>
    <w:p w14:paraId="7699D96F">
      <w:pPr>
        <w:pStyle w:val="6"/>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b/>
          <w:bCs/>
          <w:color w:val="auto"/>
          <w:kern w:val="2"/>
          <w:sz w:val="24"/>
          <w:szCs w:val="24"/>
          <w:highlight w:val="none"/>
          <w:lang w:val="en-US" w:eastAsia="zh-CN" w:bidi="ar-SA"/>
        </w:rPr>
        <w:t>3.市场价确定标准：</w:t>
      </w:r>
      <w:r>
        <w:rPr>
          <w:rFonts w:hint="eastAsia" w:asciiTheme="majorEastAsia" w:hAnsiTheme="majorEastAsia" w:eastAsiaTheme="majorEastAsia" w:cstheme="majorEastAsia"/>
          <w:color w:val="auto"/>
          <w:kern w:val="2"/>
          <w:sz w:val="24"/>
          <w:szCs w:val="24"/>
          <w:highlight w:val="none"/>
          <w:lang w:val="en-US" w:eastAsia="zh-CN" w:bidi="ar-SA"/>
        </w:rPr>
        <w:t>每次供货时，乙方需根据每批次供货产品提供《配送清单》，其中：《配送清单》内的产品在阿勒泰市发改委定期发布的《阿勒泰市重要农副产品零售价格监测周报表》中予以公布监测价格的，按照当周阿勒泰市发改委公布产品的中间价为基准价进行下浮后确定结算价。即：基准价为当周阿勒泰市发改委公布的产品中间价；结算价=（1-报价下浮率)*基准价。</w:t>
      </w:r>
    </w:p>
    <w:p w14:paraId="75067F76">
      <w:pPr>
        <w:pStyle w:val="6"/>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配送清单》内的产品未在阿勒泰市发改委公布的《阿勒泰市重要农副产品零售价格监测周报表》中予以公布监测价格的，其产品基准价为市场价，市场价为甲方（乙方可一并参加）在每周对阿勒泰市中心市场、俄罗斯步行街等农贸市场或大型商超的询价结果（采取选择不少于三家供应商询价后确定产品平均价的方式进行），双方以市场价为基准价进行下浮后确定结算价。即：结算价=（1-报价下浮率)*基准价（市场价）。</w:t>
      </w:r>
    </w:p>
    <w:p w14:paraId="2493D861">
      <w:pPr>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hint="eastAsia"/>
          <w:highlight w:val="none"/>
          <w:lang w:val="en-US" w:eastAsia="zh-CN"/>
        </w:rPr>
      </w:pPr>
      <w:r>
        <w:rPr>
          <w:rFonts w:hint="eastAsia" w:asciiTheme="majorEastAsia" w:hAnsiTheme="majorEastAsia" w:eastAsiaTheme="majorEastAsia" w:cstheme="majorEastAsia"/>
          <w:color w:val="auto"/>
          <w:kern w:val="2"/>
          <w:sz w:val="24"/>
          <w:szCs w:val="24"/>
          <w:highlight w:val="none"/>
          <w:lang w:val="en-US" w:eastAsia="zh-CN" w:bidi="ar-SA"/>
        </w:rPr>
        <w:t>若乙方对甲方市场价认定有争议或不予认可，</w:t>
      </w:r>
      <w:r>
        <w:rPr>
          <w:rFonts w:hint="eastAsia" w:asciiTheme="majorEastAsia" w:hAnsiTheme="majorEastAsia" w:eastAsiaTheme="majorEastAsia" w:cstheme="majorEastAsia"/>
          <w:b w:val="0"/>
          <w:bCs w:val="0"/>
          <w:kern w:val="2"/>
          <w:sz w:val="24"/>
          <w:szCs w:val="24"/>
          <w:highlight w:val="none"/>
          <w:lang w:val="en-US" w:eastAsia="zh-CN" w:bidi="ar-SA"/>
        </w:rPr>
        <w:t>拒绝履行合同义务的，</w:t>
      </w:r>
      <w:r>
        <w:rPr>
          <w:rFonts w:hint="eastAsia" w:asciiTheme="majorEastAsia" w:hAnsiTheme="majorEastAsia" w:eastAsiaTheme="majorEastAsia" w:cstheme="majorEastAsia"/>
          <w:color w:val="auto"/>
          <w:kern w:val="2"/>
          <w:sz w:val="24"/>
          <w:szCs w:val="24"/>
          <w:highlight w:val="none"/>
          <w:lang w:val="en-US" w:eastAsia="zh-CN" w:bidi="ar-SA"/>
        </w:rPr>
        <w:t>甲方有权终止与乙方合同，在投标有效期内授予下一中标候选人采购合同。超过投标有效期的，甲方将重新组织采购。</w:t>
      </w:r>
    </w:p>
    <w:p w14:paraId="5092A129">
      <w:pPr>
        <w:adjustRightInd w:val="0"/>
        <w:snapToGrid w:val="0"/>
        <w:spacing w:line="600" w:lineRule="exact"/>
        <w:ind w:firstLine="482" w:firstLineChars="200"/>
        <w:rPr>
          <w:rFonts w:hint="eastAsia" w:asciiTheme="majorEastAsia" w:hAnsiTheme="majorEastAsia" w:eastAsiaTheme="majorEastAsia" w:cstheme="majorEastAsia"/>
          <w:b/>
          <w:bCs/>
          <w:color w:val="auto"/>
          <w:kern w:val="2"/>
          <w:sz w:val="24"/>
          <w:szCs w:val="24"/>
          <w:highlight w:val="none"/>
          <w:lang w:val="en-US" w:eastAsia="zh-CN" w:bidi="ar-SA"/>
        </w:rPr>
      </w:pPr>
      <w:r>
        <w:rPr>
          <w:rFonts w:hint="eastAsia" w:asciiTheme="majorEastAsia" w:hAnsiTheme="majorEastAsia" w:eastAsiaTheme="majorEastAsia" w:cstheme="majorEastAsia"/>
          <w:b/>
          <w:bCs/>
          <w:color w:val="auto"/>
          <w:kern w:val="2"/>
          <w:sz w:val="24"/>
          <w:szCs w:val="24"/>
          <w:highlight w:val="none"/>
          <w:lang w:val="en-US" w:eastAsia="zh-CN" w:bidi="ar-SA"/>
        </w:rPr>
        <w:t>六、合同款项支付</w:t>
      </w:r>
    </w:p>
    <w:p w14:paraId="21A255B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结算</w:t>
      </w:r>
      <w:r>
        <w:rPr>
          <w:rFonts w:hint="eastAsia" w:asciiTheme="majorEastAsia" w:hAnsiTheme="majorEastAsia" w:eastAsiaTheme="majorEastAsia" w:cstheme="majorEastAsia"/>
          <w:color w:val="auto"/>
          <w:sz w:val="24"/>
          <w:szCs w:val="24"/>
          <w:highlight w:val="none"/>
          <w:lang w:val="en-US" w:eastAsia="zh-CN"/>
        </w:rPr>
        <w:t>方式</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采购人每月分1日-15日、16日-本月底共计两个采购周期，中标人应在每个采购周期结束后15天内，提交本周期采购清单(中标人应做好费用的统计，并对采购入书面履行提醒义务)给采购人伙食管理部门，经核实无误后，按中标人提供的正式发票和清单，办理支付采购周期的相关手续</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en-US" w:eastAsia="zh-CN"/>
        </w:rPr>
        <w:t>如遇特殊情况不能按规定时间结算的，应及时告知乙方。合同服务期限内，本项目预采购金额不超过122.18万元。</w:t>
      </w:r>
    </w:p>
    <w:p w14:paraId="23035E6F">
      <w:pPr>
        <w:keepNext w:val="0"/>
        <w:keepLines w:val="0"/>
        <w:pageBreakBefore w:val="0"/>
        <w:widowControl w:val="0"/>
        <w:kinsoku/>
        <w:wordWrap/>
        <w:overflowPunct/>
        <w:topLinePunct w:val="0"/>
        <w:bidi w:val="0"/>
        <w:snapToGrid/>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乙方配送的</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单价</w:t>
      </w:r>
      <w:r>
        <w:rPr>
          <w:rFonts w:hint="eastAsia" w:asciiTheme="majorEastAsia" w:hAnsiTheme="majorEastAsia" w:eastAsiaTheme="majorEastAsia" w:cstheme="majorEastAsia"/>
          <w:b/>
          <w:bCs/>
          <w:color w:val="auto"/>
          <w:sz w:val="24"/>
          <w:szCs w:val="24"/>
          <w:highlight w:val="none"/>
        </w:rPr>
        <w:t>不得高于</w:t>
      </w:r>
      <w:r>
        <w:rPr>
          <w:rFonts w:hint="eastAsia" w:asciiTheme="majorEastAsia" w:hAnsiTheme="majorEastAsia" w:eastAsiaTheme="majorEastAsia" w:cstheme="majorEastAsia"/>
          <w:b/>
          <w:bCs/>
          <w:color w:val="auto"/>
          <w:sz w:val="24"/>
          <w:szCs w:val="24"/>
          <w:highlight w:val="none"/>
          <w:lang w:val="en-US" w:eastAsia="zh-CN"/>
        </w:rPr>
        <w:t>同期</w:t>
      </w:r>
      <w:r>
        <w:rPr>
          <w:rFonts w:hint="eastAsia" w:asciiTheme="majorEastAsia" w:hAnsiTheme="majorEastAsia" w:eastAsiaTheme="majorEastAsia" w:cstheme="majorEastAsia"/>
          <w:b/>
          <w:bCs/>
          <w:color w:val="auto"/>
          <w:kern w:val="0"/>
          <w:sz w:val="24"/>
          <w:szCs w:val="24"/>
          <w:highlight w:val="none"/>
        </w:rPr>
        <w:t>当地市场公示价格</w:t>
      </w:r>
      <w:r>
        <w:rPr>
          <w:rFonts w:hint="eastAsia" w:asciiTheme="majorEastAsia" w:hAnsiTheme="majorEastAsia" w:eastAsiaTheme="majorEastAsia" w:cstheme="majorEastAsia"/>
          <w:b/>
          <w:bCs/>
          <w:color w:val="auto"/>
          <w:kern w:val="0"/>
          <w:sz w:val="24"/>
          <w:szCs w:val="24"/>
          <w:highlight w:val="none"/>
          <w:lang w:val="en-US" w:eastAsia="zh-CN"/>
        </w:rPr>
        <w:t>或零售价格</w:t>
      </w:r>
      <w:r>
        <w:rPr>
          <w:rFonts w:hint="eastAsia" w:asciiTheme="majorEastAsia" w:hAnsiTheme="majorEastAsia" w:eastAsiaTheme="majorEastAsia" w:cstheme="majorEastAsia"/>
          <w:color w:val="auto"/>
          <w:kern w:val="0"/>
          <w:sz w:val="24"/>
          <w:szCs w:val="24"/>
          <w:highlight w:val="none"/>
        </w:rPr>
        <w:t>，</w:t>
      </w:r>
      <w:r>
        <w:rPr>
          <w:rFonts w:hint="eastAsia" w:asciiTheme="majorEastAsia" w:hAnsiTheme="majorEastAsia" w:eastAsiaTheme="majorEastAsia" w:cstheme="majorEastAsia"/>
          <w:color w:val="auto"/>
          <w:sz w:val="24"/>
          <w:szCs w:val="24"/>
          <w:highlight w:val="none"/>
        </w:rPr>
        <w:t>并严格按照</w:t>
      </w:r>
      <w:r>
        <w:rPr>
          <w:rFonts w:hint="eastAsia" w:asciiTheme="majorEastAsia" w:hAnsiTheme="majorEastAsia" w:eastAsiaTheme="majorEastAsia" w:cstheme="majorEastAsia"/>
          <w:color w:val="auto"/>
          <w:sz w:val="24"/>
          <w:szCs w:val="24"/>
          <w:highlight w:val="none"/>
          <w:lang w:eastAsia="zh-CN"/>
        </w:rPr>
        <w:t>明确的下浮率</w:t>
      </w:r>
      <w:r>
        <w:rPr>
          <w:rFonts w:hint="eastAsia" w:asciiTheme="majorEastAsia" w:hAnsiTheme="majorEastAsia" w:eastAsiaTheme="majorEastAsia" w:cstheme="majorEastAsia"/>
          <w:color w:val="auto"/>
          <w:sz w:val="24"/>
          <w:szCs w:val="24"/>
          <w:highlight w:val="none"/>
        </w:rPr>
        <w:t>执行，即</w:t>
      </w:r>
      <w:r>
        <w:rPr>
          <w:rFonts w:hint="eastAsia" w:asciiTheme="majorEastAsia" w:hAnsiTheme="majorEastAsia" w:eastAsiaTheme="majorEastAsia" w:cstheme="majorEastAsia"/>
          <w:color w:val="auto"/>
          <w:sz w:val="24"/>
          <w:szCs w:val="24"/>
          <w:highlight w:val="none"/>
          <w:lang w:eastAsia="zh-CN"/>
        </w:rPr>
        <w:t>基准价</w:t>
      </w:r>
      <w:r>
        <w:rPr>
          <w:rFonts w:hint="eastAsia" w:asciiTheme="majorEastAsia" w:hAnsiTheme="majorEastAsia" w:eastAsiaTheme="majorEastAsia" w:cstheme="majorEastAsia"/>
          <w:color w:val="auto"/>
          <w:sz w:val="24"/>
          <w:szCs w:val="24"/>
          <w:highlight w:val="none"/>
          <w:lang w:val="en-US" w:eastAsia="zh-CN"/>
        </w:rPr>
        <w:t>基础上</w:t>
      </w:r>
      <w:r>
        <w:rPr>
          <w:rFonts w:hint="eastAsia" w:asciiTheme="majorEastAsia" w:hAnsiTheme="majorEastAsia" w:eastAsiaTheme="majorEastAsia" w:cstheme="majorEastAsia"/>
          <w:color w:val="auto"/>
          <w:sz w:val="24"/>
          <w:szCs w:val="24"/>
          <w:highlight w:val="none"/>
        </w:rPr>
        <w:t>下浮率</w:t>
      </w:r>
      <w:r>
        <w:rPr>
          <w:rFonts w:hint="eastAsia" w:asciiTheme="majorEastAsia" w:hAnsiTheme="majorEastAsia" w:eastAsiaTheme="majorEastAsia" w:cstheme="majorEastAsia"/>
          <w:color w:val="auto"/>
          <w:sz w:val="24"/>
          <w:szCs w:val="24"/>
          <w:highlight w:val="none"/>
          <w:u w:val="single"/>
          <w:lang w:val="en-US" w:eastAsia="zh-CN"/>
        </w:rPr>
        <w:t xml:space="preserve">     </w:t>
      </w:r>
      <w:r>
        <w:rPr>
          <w:rFonts w:hint="eastAsia" w:asciiTheme="majorEastAsia" w:hAnsiTheme="majorEastAsia" w:eastAsiaTheme="majorEastAsia" w:cstheme="majorEastAsia"/>
          <w:color w:val="auto"/>
          <w:sz w:val="24"/>
          <w:szCs w:val="24"/>
          <w:highlight w:val="none"/>
        </w:rPr>
        <w:t>%。【注：</w:t>
      </w:r>
      <w:r>
        <w:rPr>
          <w:rFonts w:hint="eastAsia" w:asciiTheme="majorEastAsia" w:hAnsiTheme="majorEastAsia" w:eastAsiaTheme="majorEastAsia" w:cstheme="majorEastAsia"/>
          <w:color w:val="auto"/>
          <w:sz w:val="24"/>
          <w:szCs w:val="24"/>
          <w:highlight w:val="none"/>
          <w:lang w:val="en-US" w:eastAsia="zh-CN"/>
        </w:rPr>
        <w:t>产品</w:t>
      </w:r>
      <w:r>
        <w:rPr>
          <w:rFonts w:hint="eastAsia" w:asciiTheme="majorEastAsia" w:hAnsiTheme="majorEastAsia" w:eastAsiaTheme="majorEastAsia" w:cstheme="majorEastAsia"/>
          <w:color w:val="auto"/>
          <w:sz w:val="24"/>
          <w:szCs w:val="24"/>
          <w:highlight w:val="none"/>
        </w:rPr>
        <w:t>价格为产品交付甲方时的最终费用（</w:t>
      </w:r>
      <w:r>
        <w:rPr>
          <w:rFonts w:hint="eastAsia" w:asciiTheme="majorEastAsia" w:hAnsiTheme="majorEastAsia" w:eastAsiaTheme="majorEastAsia" w:cstheme="majorEastAsia"/>
          <w:color w:val="auto"/>
          <w:sz w:val="24"/>
          <w:szCs w:val="24"/>
          <w:highlight w:val="none"/>
          <w:lang w:val="en-US" w:eastAsia="zh-CN"/>
        </w:rPr>
        <w:t>包含农副品价格、产品检验检疫费、运输、包装、装卸、损耗、税金等全部费用</w:t>
      </w:r>
      <w:r>
        <w:rPr>
          <w:rFonts w:hint="eastAsia" w:asciiTheme="majorEastAsia" w:hAnsiTheme="majorEastAsia" w:eastAsiaTheme="majorEastAsia" w:cstheme="majorEastAsia"/>
          <w:color w:val="auto"/>
          <w:sz w:val="24"/>
          <w:szCs w:val="24"/>
          <w:highlight w:val="none"/>
        </w:rPr>
        <w:t>），甲方除此之外不再支付任何</w:t>
      </w:r>
      <w:r>
        <w:rPr>
          <w:rFonts w:hint="eastAsia" w:asciiTheme="majorEastAsia" w:hAnsiTheme="majorEastAsia" w:eastAsiaTheme="majorEastAsia" w:cstheme="majorEastAsia"/>
          <w:color w:val="auto"/>
          <w:sz w:val="24"/>
          <w:szCs w:val="24"/>
          <w:highlight w:val="none"/>
          <w:lang w:val="en-US" w:eastAsia="zh-CN"/>
        </w:rPr>
        <w:t>其他</w:t>
      </w:r>
      <w:r>
        <w:rPr>
          <w:rFonts w:hint="eastAsia" w:asciiTheme="majorEastAsia" w:hAnsiTheme="majorEastAsia" w:eastAsiaTheme="majorEastAsia" w:cstheme="majorEastAsia"/>
          <w:color w:val="auto"/>
          <w:sz w:val="24"/>
          <w:szCs w:val="24"/>
          <w:highlight w:val="none"/>
        </w:rPr>
        <w:t>费用】</w:t>
      </w:r>
    </w:p>
    <w:p w14:paraId="127DC0F2">
      <w:pPr>
        <w:pStyle w:val="31"/>
        <w:keepNext w:val="0"/>
        <w:keepLines w:val="0"/>
        <w:pageBreakBefore w:val="0"/>
        <w:widowControl w:val="0"/>
        <w:kinsoku/>
        <w:wordWrap/>
        <w:overflowPunct/>
        <w:topLinePunct w:val="0"/>
        <w:bidi w:val="0"/>
        <w:snapToGrid/>
        <w:spacing w:line="600" w:lineRule="exact"/>
        <w:ind w:firstLine="480"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（三）如乙方应向甲方支付违约金、赔偿金或者其他款项，甲方有权直接从应付乙方的货款中扣除。</w:t>
      </w:r>
    </w:p>
    <w:p w14:paraId="10B3A55D">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七</w:t>
      </w:r>
      <w:r>
        <w:rPr>
          <w:rFonts w:hint="eastAsia" w:asciiTheme="majorEastAsia" w:hAnsiTheme="majorEastAsia" w:eastAsiaTheme="majorEastAsia" w:cstheme="majorEastAsia"/>
          <w:b/>
          <w:bCs/>
          <w:color w:val="auto"/>
          <w:sz w:val="24"/>
          <w:szCs w:val="24"/>
          <w:highlight w:val="none"/>
        </w:rPr>
        <w:t>、本合同的变更与终止</w:t>
      </w:r>
    </w:p>
    <w:p w14:paraId="60BE6D0F">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任何一方需要变更或终止本合同时，应提前</w:t>
      </w:r>
      <w:r>
        <w:rPr>
          <w:rFonts w:hint="eastAsia" w:asciiTheme="majorEastAsia" w:hAnsiTheme="majorEastAsia" w:eastAsiaTheme="majorEastAsia" w:cstheme="majorEastAsia"/>
          <w:color w:val="auto"/>
          <w:sz w:val="24"/>
          <w:szCs w:val="24"/>
          <w:highlight w:val="none"/>
          <w:u w:val="single"/>
          <w:lang w:val="en-US" w:eastAsia="zh-CN"/>
        </w:rPr>
        <w:t>10</w:t>
      </w:r>
      <w:r>
        <w:rPr>
          <w:rFonts w:hint="eastAsia" w:asciiTheme="majorEastAsia" w:hAnsiTheme="majorEastAsia" w:eastAsiaTheme="majorEastAsia" w:cstheme="majorEastAsia"/>
          <w:color w:val="auto"/>
          <w:sz w:val="24"/>
          <w:szCs w:val="24"/>
          <w:highlight w:val="none"/>
          <w:lang w:val="en-US" w:eastAsia="zh-CN"/>
        </w:rPr>
        <w:t>日</w:t>
      </w:r>
      <w:r>
        <w:rPr>
          <w:rFonts w:hint="eastAsia" w:asciiTheme="majorEastAsia" w:hAnsiTheme="majorEastAsia" w:eastAsiaTheme="majorEastAsia" w:cstheme="majorEastAsia"/>
          <w:color w:val="auto"/>
          <w:sz w:val="24"/>
          <w:szCs w:val="24"/>
          <w:highlight w:val="none"/>
        </w:rPr>
        <w:t>以书面形式通知对方</w:t>
      </w:r>
      <w:r>
        <w:rPr>
          <w:rFonts w:hint="eastAsia" w:asciiTheme="majorEastAsia" w:hAnsiTheme="majorEastAsia" w:eastAsiaTheme="majorEastAsia" w:cstheme="majorEastAsia"/>
          <w:color w:val="auto"/>
          <w:sz w:val="24"/>
          <w:szCs w:val="24"/>
          <w:highlight w:val="none"/>
          <w:lang w:eastAsia="zh-CN"/>
        </w:rPr>
        <w:t>。</w:t>
      </w:r>
    </w:p>
    <w:p w14:paraId="7008044A">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任何一方在收到对方需要变更或终止本合同的书面通知后，必须于</w:t>
      </w:r>
      <w:r>
        <w:rPr>
          <w:rFonts w:hint="eastAsia" w:asciiTheme="majorEastAsia" w:hAnsiTheme="majorEastAsia" w:eastAsiaTheme="majorEastAsia" w:cstheme="majorEastAsia"/>
          <w:color w:val="auto"/>
          <w:sz w:val="24"/>
          <w:szCs w:val="24"/>
          <w:highlight w:val="none"/>
          <w:u w:val="single"/>
        </w:rPr>
        <w:t>3</w:t>
      </w:r>
      <w:r>
        <w:rPr>
          <w:rFonts w:hint="eastAsia" w:asciiTheme="majorEastAsia" w:hAnsiTheme="majorEastAsia" w:eastAsiaTheme="majorEastAsia" w:cstheme="majorEastAsia"/>
          <w:color w:val="auto"/>
          <w:sz w:val="24"/>
          <w:szCs w:val="24"/>
          <w:highlight w:val="none"/>
        </w:rPr>
        <w:t>个工作日内做出书面答复，否则视为接受对方要求</w:t>
      </w:r>
      <w:r>
        <w:rPr>
          <w:rFonts w:hint="eastAsia" w:asciiTheme="majorEastAsia" w:hAnsiTheme="majorEastAsia" w:eastAsiaTheme="majorEastAsia" w:cstheme="majorEastAsia"/>
          <w:color w:val="auto"/>
          <w:sz w:val="24"/>
          <w:szCs w:val="24"/>
          <w:highlight w:val="none"/>
          <w:lang w:eastAsia="zh-CN"/>
        </w:rPr>
        <w:t>。</w:t>
      </w:r>
    </w:p>
    <w:p w14:paraId="127DC09A">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三</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合同变更必须经双方协商达成书面协议</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终止合同时双方必须结清全部货款后方为有效</w:t>
      </w:r>
      <w:r>
        <w:rPr>
          <w:rFonts w:hint="eastAsia" w:asciiTheme="majorEastAsia" w:hAnsiTheme="majorEastAsia" w:eastAsiaTheme="majorEastAsia" w:cstheme="majorEastAsia"/>
          <w:color w:val="auto"/>
          <w:sz w:val="24"/>
          <w:szCs w:val="24"/>
          <w:highlight w:val="none"/>
          <w:lang w:eastAsia="zh-CN"/>
        </w:rPr>
        <w:t>。</w:t>
      </w:r>
    </w:p>
    <w:p w14:paraId="56F41E73">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四</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乙方的业务人员未经</w:t>
      </w:r>
      <w:r>
        <w:rPr>
          <w:rFonts w:hint="eastAsia" w:asciiTheme="majorEastAsia" w:hAnsiTheme="majorEastAsia" w:eastAsiaTheme="majorEastAsia" w:cstheme="majorEastAsia"/>
          <w:color w:val="auto"/>
          <w:sz w:val="24"/>
          <w:szCs w:val="24"/>
          <w:highlight w:val="none"/>
          <w:lang w:val="en-US" w:eastAsia="zh-CN"/>
        </w:rPr>
        <w:t>乙方</w:t>
      </w:r>
      <w:r>
        <w:rPr>
          <w:rFonts w:hint="eastAsia" w:asciiTheme="majorEastAsia" w:hAnsiTheme="majorEastAsia" w:eastAsiaTheme="majorEastAsia" w:cstheme="majorEastAsia"/>
          <w:color w:val="auto"/>
          <w:sz w:val="24"/>
          <w:szCs w:val="24"/>
          <w:highlight w:val="none"/>
        </w:rPr>
        <w:t>书面授权，其做出的任何承诺均为无效。</w:t>
      </w:r>
    </w:p>
    <w:p w14:paraId="0BAC77EA">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八</w:t>
      </w:r>
      <w:r>
        <w:rPr>
          <w:rFonts w:hint="eastAsia" w:asciiTheme="majorEastAsia" w:hAnsiTheme="majorEastAsia" w:eastAsiaTheme="majorEastAsia" w:cstheme="majorEastAsia"/>
          <w:b/>
          <w:bCs/>
          <w:color w:val="auto"/>
          <w:sz w:val="24"/>
          <w:szCs w:val="24"/>
          <w:highlight w:val="none"/>
        </w:rPr>
        <w:t>、违约责任</w:t>
      </w:r>
    </w:p>
    <w:p w14:paraId="0C98F239">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乙方在合同履约期间，因验收未通过经调换产品仍出现数质量不符合标准要求被甲方拒收或出现产品延迟配送的，</w:t>
      </w:r>
      <w:r>
        <w:rPr>
          <w:rFonts w:hint="eastAsia" w:asciiTheme="majorEastAsia" w:hAnsiTheme="majorEastAsia" w:eastAsiaTheme="majorEastAsia" w:cstheme="majorEastAsia"/>
          <w:b/>
          <w:bCs/>
          <w:color w:val="auto"/>
          <w:sz w:val="24"/>
          <w:szCs w:val="24"/>
          <w:highlight w:val="none"/>
        </w:rPr>
        <w:t>第一次</w:t>
      </w:r>
      <w:r>
        <w:rPr>
          <w:rFonts w:hint="eastAsia" w:asciiTheme="majorEastAsia" w:hAnsiTheme="majorEastAsia" w:eastAsiaTheme="majorEastAsia" w:cstheme="majorEastAsia"/>
          <w:color w:val="auto"/>
          <w:sz w:val="24"/>
          <w:szCs w:val="24"/>
          <w:highlight w:val="none"/>
          <w:lang w:val="en-US" w:eastAsia="zh-CN"/>
        </w:rPr>
        <w:t>甲方对乙方予以书面警告并责令当日限期整改</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b/>
          <w:bCs/>
          <w:color w:val="auto"/>
          <w:sz w:val="24"/>
          <w:szCs w:val="24"/>
          <w:highlight w:val="none"/>
        </w:rPr>
        <w:t>第二次</w:t>
      </w:r>
      <w:r>
        <w:rPr>
          <w:rFonts w:hint="eastAsia" w:asciiTheme="majorEastAsia" w:hAnsiTheme="majorEastAsia" w:eastAsiaTheme="majorEastAsia" w:cstheme="majorEastAsia"/>
          <w:color w:val="auto"/>
          <w:sz w:val="24"/>
          <w:szCs w:val="24"/>
          <w:highlight w:val="none"/>
          <w:lang w:val="en-US" w:eastAsia="zh-CN"/>
        </w:rPr>
        <w:t>甲方有权</w:t>
      </w:r>
      <w:r>
        <w:rPr>
          <w:rFonts w:hint="eastAsia" w:asciiTheme="majorEastAsia" w:hAnsiTheme="majorEastAsia" w:eastAsiaTheme="majorEastAsia" w:cstheme="majorEastAsia"/>
          <w:color w:val="auto"/>
          <w:sz w:val="24"/>
          <w:szCs w:val="24"/>
          <w:highlight w:val="none"/>
        </w:rPr>
        <w:t>扣除</w:t>
      </w:r>
      <w:r>
        <w:rPr>
          <w:rFonts w:hint="eastAsia" w:asciiTheme="majorEastAsia" w:hAnsiTheme="majorEastAsia" w:eastAsiaTheme="majorEastAsia" w:cstheme="majorEastAsia"/>
          <w:color w:val="auto"/>
          <w:sz w:val="24"/>
          <w:szCs w:val="24"/>
          <w:highlight w:val="none"/>
          <w:lang w:val="en-US" w:eastAsia="zh-CN"/>
        </w:rPr>
        <w:t>乙方</w:t>
      </w:r>
      <w:r>
        <w:rPr>
          <w:rFonts w:hint="eastAsia" w:asciiTheme="majorEastAsia" w:hAnsiTheme="majorEastAsia" w:eastAsiaTheme="majorEastAsia" w:cstheme="majorEastAsia"/>
          <w:color w:val="auto"/>
          <w:sz w:val="24"/>
          <w:szCs w:val="24"/>
          <w:highlight w:val="none"/>
        </w:rPr>
        <w:t>当月结算费用总额的10%</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b/>
          <w:bCs/>
          <w:color w:val="auto"/>
          <w:sz w:val="24"/>
          <w:szCs w:val="24"/>
          <w:highlight w:val="none"/>
        </w:rPr>
        <w:t>第三次</w:t>
      </w:r>
      <w:r>
        <w:rPr>
          <w:rFonts w:hint="eastAsia" w:asciiTheme="majorEastAsia" w:hAnsiTheme="majorEastAsia" w:eastAsiaTheme="majorEastAsia" w:cstheme="majorEastAsia"/>
          <w:color w:val="auto"/>
          <w:sz w:val="24"/>
          <w:szCs w:val="24"/>
          <w:highlight w:val="none"/>
        </w:rPr>
        <w:t>甲方有权单方面</w:t>
      </w:r>
      <w:r>
        <w:rPr>
          <w:rFonts w:hint="eastAsia" w:asciiTheme="majorEastAsia" w:hAnsiTheme="majorEastAsia" w:eastAsiaTheme="majorEastAsia" w:cstheme="majorEastAsia"/>
          <w:color w:val="auto"/>
          <w:sz w:val="24"/>
          <w:szCs w:val="24"/>
          <w:highlight w:val="none"/>
          <w:lang w:val="en-US" w:eastAsia="zh-CN"/>
        </w:rPr>
        <w:t>终止</w:t>
      </w:r>
      <w:r>
        <w:rPr>
          <w:rFonts w:hint="eastAsia" w:asciiTheme="majorEastAsia" w:hAnsiTheme="majorEastAsia" w:eastAsiaTheme="majorEastAsia" w:cstheme="majorEastAsia"/>
          <w:color w:val="auto"/>
          <w:sz w:val="24"/>
          <w:szCs w:val="24"/>
          <w:highlight w:val="none"/>
        </w:rPr>
        <w:t>合同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同时</w:t>
      </w:r>
      <w:r>
        <w:rPr>
          <w:rFonts w:hint="eastAsia" w:asciiTheme="majorEastAsia" w:hAnsiTheme="majorEastAsia" w:eastAsiaTheme="majorEastAsia" w:cstheme="majorEastAsia"/>
          <w:color w:val="auto"/>
          <w:sz w:val="24"/>
          <w:szCs w:val="24"/>
          <w:highlight w:val="none"/>
        </w:rPr>
        <w:t>取消乙方</w:t>
      </w:r>
      <w:r>
        <w:rPr>
          <w:rFonts w:hint="eastAsia" w:asciiTheme="majorEastAsia" w:hAnsiTheme="majorEastAsia" w:eastAsiaTheme="majorEastAsia" w:cstheme="majorEastAsia"/>
          <w:color w:val="auto"/>
          <w:sz w:val="24"/>
          <w:szCs w:val="24"/>
          <w:highlight w:val="none"/>
          <w:lang w:val="en-US" w:eastAsia="zh-CN"/>
        </w:rPr>
        <w:t>本项目履约服务</w:t>
      </w:r>
      <w:r>
        <w:rPr>
          <w:rFonts w:hint="eastAsia" w:asciiTheme="majorEastAsia" w:hAnsiTheme="majorEastAsia" w:eastAsiaTheme="majorEastAsia" w:cstheme="majorEastAsia"/>
          <w:color w:val="auto"/>
          <w:sz w:val="24"/>
          <w:szCs w:val="24"/>
          <w:highlight w:val="none"/>
        </w:rPr>
        <w:t>资格。</w:t>
      </w:r>
    </w:p>
    <w:p w14:paraId="3FFC43B6">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由于任何一方违约，导致本合同项下条款无法正常履行或履行已无可能的，除赔偿损失、违约金外，履约方主张权利所产生的包括但不限于诉讼、仲裁、鉴定、保全、保险、交通、送达、调查取证、律师费等均由违约方承担。</w:t>
      </w:r>
    </w:p>
    <w:p w14:paraId="67B413D6">
      <w:pPr>
        <w:adjustRightInd w:val="0"/>
        <w:snapToGrid w:val="0"/>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（三）涉及产品数质量、结算基准价和下浮率执行等履约期间可能出现的违约责任，具体按照本合同第五条第六款之规定执行。</w:t>
      </w:r>
      <w:r>
        <w:rPr>
          <w:rFonts w:hint="eastAsia" w:asciiTheme="majorEastAsia" w:hAnsiTheme="majorEastAsia" w:eastAsiaTheme="majorEastAsia" w:cstheme="majorEastAsia"/>
          <w:color w:val="auto"/>
          <w:sz w:val="24"/>
          <w:szCs w:val="24"/>
          <w:highlight w:val="none"/>
        </w:rPr>
        <w:t xml:space="preserve">  </w:t>
      </w:r>
    </w:p>
    <w:p w14:paraId="2876E8C0">
      <w:pPr>
        <w:adjustRightInd w:val="0"/>
        <w:snapToGrid w:val="0"/>
        <w:spacing w:line="600" w:lineRule="exact"/>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九</w:t>
      </w:r>
      <w:r>
        <w:rPr>
          <w:rFonts w:hint="eastAsia" w:asciiTheme="majorEastAsia" w:hAnsiTheme="majorEastAsia" w:eastAsiaTheme="majorEastAsia" w:cstheme="majorEastAsia"/>
          <w:b/>
          <w:bCs/>
          <w:color w:val="auto"/>
          <w:sz w:val="24"/>
          <w:szCs w:val="24"/>
          <w:highlight w:val="none"/>
        </w:rPr>
        <w:t>、解决纠纷的方式</w:t>
      </w:r>
    </w:p>
    <w:p w14:paraId="76D83284">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合同履行过程中如发生争议，双方友好协商；协商不成，应向甲方所在地人民法院起诉。</w:t>
      </w:r>
    </w:p>
    <w:p w14:paraId="3216FA8F">
      <w:pPr>
        <w:pStyle w:val="31"/>
        <w:keepNext w:val="0"/>
        <w:keepLines w:val="0"/>
        <w:pageBreakBefore w:val="0"/>
        <w:widowControl w:val="0"/>
        <w:kinsoku/>
        <w:wordWrap/>
        <w:overflowPunct/>
        <w:topLinePunct w:val="0"/>
        <w:bidi w:val="0"/>
        <w:spacing w:line="600" w:lineRule="exact"/>
        <w:ind w:firstLine="480"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双方承诺合同所载明的信息及联系方式等均真实有效，能够准确送达各类文件及法律文书，如发生变化应提前</w:t>
      </w:r>
      <w:r>
        <w:rPr>
          <w:rFonts w:hint="eastAsia" w:asciiTheme="majorEastAsia" w:hAnsiTheme="majorEastAsia" w:eastAsiaTheme="majorEastAsia" w:cstheme="majorEastAsia"/>
          <w:color w:val="auto"/>
          <w:kern w:val="2"/>
          <w:sz w:val="24"/>
          <w:szCs w:val="24"/>
          <w:highlight w:val="none"/>
          <w:u w:val="single"/>
          <w:lang w:val="en-US" w:eastAsia="zh-CN" w:bidi="ar-SA"/>
        </w:rPr>
        <w:t>3</w:t>
      </w:r>
      <w:r>
        <w:rPr>
          <w:rFonts w:hint="eastAsia" w:asciiTheme="majorEastAsia" w:hAnsiTheme="majorEastAsia" w:eastAsiaTheme="majorEastAsia" w:cstheme="majorEastAsia"/>
          <w:color w:val="auto"/>
          <w:kern w:val="2"/>
          <w:sz w:val="24"/>
          <w:szCs w:val="24"/>
          <w:highlight w:val="none"/>
          <w:lang w:val="en-US" w:eastAsia="zh-CN" w:bidi="ar-SA"/>
        </w:rPr>
        <w:t>日通知对方，否则视为未变更，向该地址或联系方式发送之一切文件均视为已送达。</w:t>
      </w:r>
    </w:p>
    <w:p w14:paraId="2BDF390B">
      <w:pPr>
        <w:keepNext w:val="0"/>
        <w:keepLines w:val="0"/>
        <w:pageBreakBefore w:val="0"/>
        <w:widowControl w:val="0"/>
        <w:kinsoku/>
        <w:wordWrap/>
        <w:overflowPunct/>
        <w:topLinePunct w:val="0"/>
        <w:bidi w:val="0"/>
        <w:adjustRightInd w:val="0"/>
        <w:snapToGrid w:val="0"/>
        <w:spacing w:line="600" w:lineRule="exact"/>
        <w:ind w:firstLine="482" w:firstLineChars="200"/>
        <w:textAlignment w:val="auto"/>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十、</w:t>
      </w:r>
      <w:r>
        <w:rPr>
          <w:rFonts w:hint="eastAsia" w:asciiTheme="majorEastAsia" w:hAnsiTheme="majorEastAsia" w:eastAsiaTheme="majorEastAsia" w:cstheme="majorEastAsia"/>
          <w:b/>
          <w:bCs/>
          <w:color w:val="auto"/>
          <w:sz w:val="24"/>
          <w:szCs w:val="24"/>
          <w:highlight w:val="none"/>
          <w:lang w:val="en-US" w:eastAsia="zh-CN"/>
        </w:rPr>
        <w:t>其他</w:t>
      </w:r>
      <w:r>
        <w:rPr>
          <w:rFonts w:hint="eastAsia" w:asciiTheme="majorEastAsia" w:hAnsiTheme="majorEastAsia" w:eastAsiaTheme="majorEastAsia" w:cstheme="majorEastAsia"/>
          <w:b/>
          <w:bCs/>
          <w:color w:val="auto"/>
          <w:sz w:val="24"/>
          <w:szCs w:val="24"/>
          <w:highlight w:val="none"/>
        </w:rPr>
        <w:t>约定事项</w:t>
      </w:r>
    </w:p>
    <w:p w14:paraId="7DF4536D">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一</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未尽事宜，双方协商形成</w:t>
      </w:r>
      <w:r>
        <w:rPr>
          <w:rFonts w:hint="eastAsia" w:asciiTheme="majorEastAsia" w:hAnsiTheme="majorEastAsia" w:eastAsiaTheme="majorEastAsia" w:cstheme="majorEastAsia"/>
          <w:color w:val="auto"/>
          <w:sz w:val="24"/>
          <w:szCs w:val="24"/>
          <w:highlight w:val="none"/>
          <w:lang w:val="en-US" w:eastAsia="zh-CN"/>
        </w:rPr>
        <w:t>书面</w:t>
      </w:r>
      <w:r>
        <w:rPr>
          <w:rFonts w:hint="eastAsia" w:asciiTheme="majorEastAsia" w:hAnsiTheme="majorEastAsia" w:eastAsiaTheme="majorEastAsia" w:cstheme="majorEastAsia"/>
          <w:color w:val="auto"/>
          <w:sz w:val="24"/>
          <w:szCs w:val="24"/>
          <w:highlight w:val="none"/>
        </w:rPr>
        <w:t>补充协议；</w:t>
      </w:r>
    </w:p>
    <w:p w14:paraId="2BF4741F">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二</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未经双方一致同意，任何一方不得变更合同</w:t>
      </w:r>
      <w:r>
        <w:rPr>
          <w:rFonts w:hint="eastAsia" w:asciiTheme="majorEastAsia" w:hAnsiTheme="majorEastAsia" w:eastAsiaTheme="majorEastAsia" w:cstheme="majorEastAsia"/>
          <w:color w:val="auto"/>
          <w:sz w:val="24"/>
          <w:szCs w:val="24"/>
          <w:highlight w:val="none"/>
          <w:lang w:val="en-US" w:eastAsia="zh-CN"/>
        </w:rPr>
        <w:t>约定</w:t>
      </w:r>
      <w:r>
        <w:rPr>
          <w:rFonts w:hint="eastAsia" w:asciiTheme="majorEastAsia" w:hAnsiTheme="majorEastAsia" w:eastAsiaTheme="majorEastAsia" w:cstheme="majorEastAsia"/>
          <w:color w:val="auto"/>
          <w:sz w:val="24"/>
          <w:szCs w:val="24"/>
          <w:highlight w:val="none"/>
        </w:rPr>
        <w:t>（供货数量除外）。对本合同作</w:t>
      </w:r>
      <w:r>
        <w:rPr>
          <w:rFonts w:hint="eastAsia" w:asciiTheme="majorEastAsia" w:hAnsiTheme="majorEastAsia" w:eastAsiaTheme="majorEastAsia" w:cstheme="majorEastAsia"/>
          <w:color w:val="auto"/>
          <w:sz w:val="24"/>
          <w:szCs w:val="24"/>
          <w:highlight w:val="none"/>
          <w:lang w:val="en-US" w:eastAsia="zh-CN"/>
        </w:rPr>
        <w:t>出</w:t>
      </w:r>
      <w:r>
        <w:rPr>
          <w:rFonts w:hint="eastAsia" w:asciiTheme="majorEastAsia" w:hAnsiTheme="majorEastAsia" w:eastAsiaTheme="majorEastAsia" w:cstheme="majorEastAsia"/>
          <w:color w:val="auto"/>
          <w:sz w:val="24"/>
          <w:szCs w:val="24"/>
          <w:highlight w:val="none"/>
        </w:rPr>
        <w:t>任何更改，必须以书面</w:t>
      </w:r>
      <w:r>
        <w:rPr>
          <w:rFonts w:hint="eastAsia" w:asciiTheme="majorEastAsia" w:hAnsiTheme="majorEastAsia" w:eastAsiaTheme="majorEastAsia" w:cstheme="majorEastAsia"/>
          <w:color w:val="auto"/>
          <w:sz w:val="24"/>
          <w:szCs w:val="24"/>
          <w:highlight w:val="none"/>
          <w:lang w:val="en-US" w:eastAsia="zh-CN"/>
        </w:rPr>
        <w:t>方式</w:t>
      </w:r>
      <w:r>
        <w:rPr>
          <w:rFonts w:hint="eastAsia" w:asciiTheme="majorEastAsia" w:hAnsiTheme="majorEastAsia" w:eastAsiaTheme="majorEastAsia" w:cstheme="majorEastAsia"/>
          <w:color w:val="auto"/>
          <w:sz w:val="24"/>
          <w:szCs w:val="24"/>
          <w:highlight w:val="none"/>
        </w:rPr>
        <w:t>详细说明更改对价格、</w:t>
      </w:r>
      <w:r>
        <w:rPr>
          <w:rFonts w:hint="eastAsia" w:asciiTheme="majorEastAsia" w:hAnsiTheme="majorEastAsia" w:eastAsiaTheme="majorEastAsia" w:cstheme="majorEastAsia"/>
          <w:color w:val="auto"/>
          <w:sz w:val="24"/>
          <w:szCs w:val="24"/>
          <w:highlight w:val="none"/>
          <w:lang w:val="en-US" w:eastAsia="zh-CN"/>
        </w:rPr>
        <w:t>配送时限、配送地点</w:t>
      </w:r>
      <w:r>
        <w:rPr>
          <w:rFonts w:hint="eastAsia" w:asciiTheme="majorEastAsia" w:hAnsiTheme="majorEastAsia" w:eastAsiaTheme="majorEastAsia" w:cstheme="majorEastAsia"/>
          <w:color w:val="auto"/>
          <w:sz w:val="24"/>
          <w:szCs w:val="24"/>
          <w:highlight w:val="none"/>
        </w:rPr>
        <w:t>及本合同</w:t>
      </w:r>
      <w:r>
        <w:rPr>
          <w:rFonts w:hint="eastAsia" w:asciiTheme="majorEastAsia" w:hAnsiTheme="majorEastAsia" w:eastAsiaTheme="majorEastAsia" w:cstheme="majorEastAsia"/>
          <w:color w:val="auto"/>
          <w:sz w:val="24"/>
          <w:szCs w:val="24"/>
          <w:highlight w:val="none"/>
          <w:lang w:val="en-US" w:eastAsia="zh-CN"/>
        </w:rPr>
        <w:t>约定</w:t>
      </w:r>
      <w:r>
        <w:rPr>
          <w:rFonts w:hint="eastAsia" w:asciiTheme="majorEastAsia" w:hAnsiTheme="majorEastAsia" w:eastAsiaTheme="majorEastAsia" w:cstheme="majorEastAsia"/>
          <w:color w:val="auto"/>
          <w:sz w:val="24"/>
          <w:szCs w:val="24"/>
          <w:highlight w:val="none"/>
        </w:rPr>
        <w:t>的其他重大事项的影响，而且应由双方签字盖章；</w:t>
      </w:r>
    </w:p>
    <w:p w14:paraId="250040A7">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lang w:val="en-US" w:eastAsia="zh-CN"/>
        </w:rPr>
        <w:t>三</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本合同中所记载的地址为双方真实有效的地址，一方地址发生变动应当</w:t>
      </w:r>
      <w:r>
        <w:rPr>
          <w:rFonts w:hint="eastAsia" w:asciiTheme="majorEastAsia" w:hAnsiTheme="majorEastAsia" w:eastAsiaTheme="majorEastAsia" w:cstheme="majorEastAsia"/>
          <w:color w:val="auto"/>
          <w:sz w:val="24"/>
          <w:szCs w:val="24"/>
          <w:highlight w:val="none"/>
          <w:lang w:val="en-US" w:eastAsia="zh-CN"/>
        </w:rPr>
        <w:t>提前</w:t>
      </w:r>
      <w:r>
        <w:rPr>
          <w:rFonts w:hint="eastAsia" w:asciiTheme="majorEastAsia" w:hAnsiTheme="majorEastAsia" w:eastAsiaTheme="majorEastAsia" w:cstheme="majorEastAsia"/>
          <w:color w:val="auto"/>
          <w:sz w:val="24"/>
          <w:szCs w:val="24"/>
          <w:highlight w:val="none"/>
          <w:u w:val="single"/>
          <w:lang w:val="en-US" w:eastAsia="zh-CN"/>
        </w:rPr>
        <w:t>3</w:t>
      </w:r>
      <w:r>
        <w:rPr>
          <w:rFonts w:hint="eastAsia" w:asciiTheme="majorEastAsia" w:hAnsiTheme="majorEastAsia" w:eastAsiaTheme="majorEastAsia" w:cstheme="majorEastAsia"/>
          <w:color w:val="auto"/>
          <w:sz w:val="24"/>
          <w:szCs w:val="24"/>
          <w:highlight w:val="none"/>
          <w:lang w:val="en-US" w:eastAsia="zh-CN"/>
        </w:rPr>
        <w:t>日</w:t>
      </w:r>
      <w:r>
        <w:rPr>
          <w:rFonts w:hint="eastAsia" w:asciiTheme="majorEastAsia" w:hAnsiTheme="majorEastAsia" w:eastAsiaTheme="majorEastAsia" w:cstheme="majorEastAsia"/>
          <w:color w:val="auto"/>
          <w:sz w:val="24"/>
          <w:szCs w:val="24"/>
          <w:highlight w:val="none"/>
        </w:rPr>
        <w:t>告知对方。</w:t>
      </w:r>
    </w:p>
    <w:p w14:paraId="5FC549EC">
      <w:pPr>
        <w:pStyle w:val="6"/>
        <w:keepNext w:val="0"/>
        <w:keepLines w:val="0"/>
        <w:pageBreakBefore w:val="0"/>
        <w:widowControl w:val="0"/>
        <w:kinsoku/>
        <w:wordWrap/>
        <w:overflowPunct/>
        <w:topLinePunct w:val="0"/>
        <w:bidi w:val="0"/>
        <w:spacing w:line="600" w:lineRule="exact"/>
        <w:ind w:left="0" w:leftChars="0" w:firstLine="480" w:firstLineChars="200"/>
        <w:textAlignment w:val="auto"/>
        <w:rPr>
          <w:rFonts w:hint="eastAsia" w:asciiTheme="majorEastAsia" w:hAnsiTheme="majorEastAsia" w:eastAsiaTheme="majorEastAsia" w:cstheme="majorEastAsia"/>
          <w:color w:val="FF0000"/>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（四）乙方需有固定的经营场地、完善的物资配送体系和履约服务能力，保证甲方所需产品按照规定时限及要求完成配送服务。</w:t>
      </w:r>
    </w:p>
    <w:p w14:paraId="22E7135D">
      <w:pPr>
        <w:pStyle w:val="6"/>
        <w:keepNext w:val="0"/>
        <w:keepLines w:val="0"/>
        <w:pageBreakBefore w:val="0"/>
        <w:widowControl w:val="0"/>
        <w:kinsoku/>
        <w:wordWrap/>
        <w:overflowPunct/>
        <w:topLinePunct w:val="0"/>
        <w:bidi w:val="0"/>
        <w:spacing w:line="600" w:lineRule="exact"/>
        <w:ind w:left="0" w:leftChars="0" w:firstLine="480" w:firstLineChars="200"/>
        <w:textAlignment w:val="auto"/>
        <w:rPr>
          <w:rFonts w:hint="eastAsia" w:asciiTheme="majorEastAsia" w:hAnsiTheme="majorEastAsia" w:eastAsiaTheme="majorEastAsia" w:cstheme="majorEastAsia"/>
          <w:sz w:val="24"/>
          <w:szCs w:val="24"/>
          <w:highlight w:val="none"/>
        </w:rPr>
      </w:pPr>
      <w:r>
        <w:rPr>
          <w:rFonts w:hint="eastAsia" w:asciiTheme="majorEastAsia" w:hAnsiTheme="majorEastAsia" w:eastAsiaTheme="majorEastAsia" w:cstheme="majorEastAsia"/>
          <w:color w:val="auto"/>
          <w:kern w:val="2"/>
          <w:sz w:val="24"/>
          <w:szCs w:val="24"/>
          <w:highlight w:val="none"/>
          <w:lang w:val="en-US" w:eastAsia="zh-CN" w:bidi="ar-SA"/>
        </w:rPr>
        <w:t>（五）本着“诚实守信、诚信履约”的原则，乙方承诺所供产品单价不得高于</w:t>
      </w:r>
      <w:r>
        <w:rPr>
          <w:rFonts w:hint="eastAsia" w:asciiTheme="majorEastAsia" w:hAnsiTheme="majorEastAsia" w:eastAsiaTheme="majorEastAsia" w:cstheme="majorEastAsia"/>
          <w:color w:val="auto"/>
          <w:sz w:val="24"/>
          <w:szCs w:val="24"/>
          <w:highlight w:val="none"/>
          <w:lang w:val="en-US" w:eastAsia="zh-CN"/>
        </w:rPr>
        <w:t>同期</w:t>
      </w:r>
      <w:r>
        <w:rPr>
          <w:rFonts w:hint="eastAsia" w:asciiTheme="majorEastAsia" w:hAnsiTheme="majorEastAsia" w:eastAsiaTheme="majorEastAsia" w:cstheme="majorEastAsia"/>
          <w:color w:val="auto"/>
          <w:kern w:val="0"/>
          <w:sz w:val="24"/>
          <w:szCs w:val="24"/>
          <w:highlight w:val="none"/>
        </w:rPr>
        <w:t>当地市场公示价格</w:t>
      </w:r>
      <w:r>
        <w:rPr>
          <w:rFonts w:hint="eastAsia" w:asciiTheme="majorEastAsia" w:hAnsiTheme="majorEastAsia" w:eastAsiaTheme="majorEastAsia" w:cstheme="majorEastAsia"/>
          <w:color w:val="auto"/>
          <w:kern w:val="0"/>
          <w:sz w:val="24"/>
          <w:szCs w:val="24"/>
          <w:highlight w:val="none"/>
          <w:lang w:val="en-US" w:eastAsia="zh-CN"/>
        </w:rPr>
        <w:t>或零售价格</w:t>
      </w:r>
      <w:r>
        <w:rPr>
          <w:rFonts w:hint="eastAsia" w:asciiTheme="majorEastAsia" w:hAnsiTheme="majorEastAsia" w:eastAsiaTheme="majorEastAsia" w:cstheme="majorEastAsia"/>
          <w:color w:val="auto"/>
          <w:kern w:val="2"/>
          <w:sz w:val="24"/>
          <w:szCs w:val="24"/>
          <w:highlight w:val="none"/>
          <w:lang w:val="en-US" w:eastAsia="zh-CN" w:bidi="ar-SA"/>
        </w:rPr>
        <w:t>。甲方将定期采取市场调研方式对所需产品市场价格进行综合调研和对比考量，如发现乙方</w:t>
      </w:r>
      <w:r>
        <w:rPr>
          <w:rFonts w:hint="eastAsia" w:asciiTheme="majorEastAsia" w:hAnsiTheme="majorEastAsia" w:eastAsiaTheme="majorEastAsia" w:cstheme="majorEastAsia"/>
          <w:color w:val="auto"/>
          <w:sz w:val="24"/>
          <w:szCs w:val="24"/>
          <w:highlight w:val="none"/>
        </w:rPr>
        <w:t>提供</w:t>
      </w:r>
      <w:r>
        <w:rPr>
          <w:rFonts w:hint="eastAsia" w:asciiTheme="majorEastAsia" w:hAnsiTheme="majorEastAsia" w:eastAsiaTheme="majorEastAsia" w:cstheme="majorEastAsia"/>
          <w:color w:val="auto"/>
          <w:sz w:val="24"/>
          <w:szCs w:val="24"/>
          <w:highlight w:val="none"/>
          <w:lang w:val="en-US" w:eastAsia="zh-CN"/>
        </w:rPr>
        <w:t>的</w:t>
      </w:r>
      <w:r>
        <w:rPr>
          <w:rFonts w:hint="eastAsia" w:asciiTheme="majorEastAsia" w:hAnsiTheme="majorEastAsia" w:eastAsiaTheme="majorEastAsia" w:cstheme="majorEastAsia"/>
          <w:color w:val="auto"/>
          <w:sz w:val="24"/>
          <w:szCs w:val="24"/>
          <w:highlight w:val="none"/>
        </w:rPr>
        <w:t>产品市场价虚高</w:t>
      </w:r>
      <w:r>
        <w:rPr>
          <w:rFonts w:hint="eastAsia" w:asciiTheme="majorEastAsia" w:hAnsiTheme="majorEastAsia" w:eastAsiaTheme="majorEastAsia" w:cstheme="majorEastAsia"/>
          <w:color w:val="auto"/>
          <w:sz w:val="24"/>
          <w:szCs w:val="24"/>
          <w:highlight w:val="none"/>
          <w:lang w:val="en-US" w:eastAsia="zh-CN"/>
        </w:rPr>
        <w:t>的，</w:t>
      </w:r>
      <w:r>
        <w:rPr>
          <w:rFonts w:hint="eastAsia" w:asciiTheme="majorEastAsia" w:hAnsiTheme="majorEastAsia" w:eastAsiaTheme="majorEastAsia" w:cstheme="majorEastAsia"/>
          <w:color w:val="auto"/>
          <w:kern w:val="2"/>
          <w:sz w:val="24"/>
          <w:szCs w:val="24"/>
          <w:highlight w:val="none"/>
          <w:lang w:val="en-US" w:eastAsia="zh-CN" w:bidi="ar-SA"/>
        </w:rPr>
        <w:t>将按照本合同违约责任情形予以处理。</w:t>
      </w:r>
    </w:p>
    <w:p w14:paraId="0052E60D">
      <w:pPr>
        <w:keepNext w:val="0"/>
        <w:keepLines w:val="0"/>
        <w:pageBreakBefore w:val="0"/>
        <w:widowControl w:val="0"/>
        <w:kinsoku/>
        <w:wordWrap/>
        <w:overflowPunct/>
        <w:topLinePunct w:val="0"/>
        <w:bidi w:val="0"/>
        <w:adjustRightInd w:val="0"/>
        <w:snapToGrid w:val="0"/>
        <w:spacing w:line="600" w:lineRule="exact"/>
        <w:ind w:firstLine="480"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（六）本合同一式</w:t>
      </w:r>
      <w:r>
        <w:rPr>
          <w:rFonts w:hint="eastAsia" w:asciiTheme="majorEastAsia" w:hAnsiTheme="majorEastAsia" w:eastAsiaTheme="majorEastAsia" w:cstheme="majorEastAsia"/>
          <w:color w:val="auto"/>
          <w:kern w:val="2"/>
          <w:sz w:val="24"/>
          <w:szCs w:val="24"/>
          <w:highlight w:val="none"/>
          <w:u w:val="single"/>
          <w:lang w:val="en-US" w:eastAsia="zh-CN" w:bidi="ar-SA"/>
        </w:rPr>
        <w:t>贰</w:t>
      </w:r>
      <w:r>
        <w:rPr>
          <w:rFonts w:hint="eastAsia" w:asciiTheme="majorEastAsia" w:hAnsiTheme="majorEastAsia" w:eastAsiaTheme="majorEastAsia" w:cstheme="majorEastAsia"/>
          <w:color w:val="auto"/>
          <w:kern w:val="2"/>
          <w:sz w:val="24"/>
          <w:szCs w:val="24"/>
          <w:highlight w:val="none"/>
          <w:lang w:val="en-US" w:eastAsia="zh-CN" w:bidi="ar-SA"/>
        </w:rPr>
        <w:t>份，甲乙双方各执</w:t>
      </w:r>
      <w:r>
        <w:rPr>
          <w:rFonts w:hint="eastAsia" w:asciiTheme="majorEastAsia" w:hAnsiTheme="majorEastAsia" w:eastAsiaTheme="majorEastAsia" w:cstheme="majorEastAsia"/>
          <w:color w:val="auto"/>
          <w:kern w:val="2"/>
          <w:sz w:val="24"/>
          <w:szCs w:val="24"/>
          <w:highlight w:val="none"/>
          <w:u w:val="single"/>
          <w:lang w:val="en-US" w:eastAsia="zh-CN" w:bidi="ar-SA"/>
        </w:rPr>
        <w:t>壹</w:t>
      </w:r>
      <w:r>
        <w:rPr>
          <w:rFonts w:hint="eastAsia" w:asciiTheme="majorEastAsia" w:hAnsiTheme="majorEastAsia" w:eastAsiaTheme="majorEastAsia" w:cstheme="majorEastAsia"/>
          <w:color w:val="auto"/>
          <w:kern w:val="2"/>
          <w:sz w:val="24"/>
          <w:szCs w:val="24"/>
          <w:highlight w:val="none"/>
          <w:lang w:val="en-US" w:eastAsia="zh-CN" w:bidi="ar-SA"/>
        </w:rPr>
        <w:t>份，授权委托应当提供书面凭证，本合同双方签字盖章后生效。</w:t>
      </w:r>
    </w:p>
    <w:p w14:paraId="688232A4">
      <w:pPr>
        <w:pStyle w:val="31"/>
        <w:keepNext w:val="0"/>
        <w:keepLines w:val="0"/>
        <w:pageBreakBefore w:val="0"/>
        <w:widowControl w:val="0"/>
        <w:kinsoku/>
        <w:wordWrap/>
        <w:overflowPunct/>
        <w:topLinePunct w:val="0"/>
        <w:bidi w:val="0"/>
        <w:spacing w:line="600" w:lineRule="exact"/>
        <w:ind w:firstLine="480" w:firstLineChars="200"/>
        <w:textAlignment w:val="auto"/>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（七）附件作为本合同的组成部分，与本合同具有同等法律效力。</w:t>
      </w:r>
    </w:p>
    <w:p w14:paraId="08167C08">
      <w:pPr>
        <w:rPr>
          <w:rFonts w:hint="eastAsia" w:asciiTheme="majorEastAsia" w:hAnsiTheme="majorEastAsia" w:eastAsiaTheme="majorEastAsia" w:cstheme="majorEastAsia"/>
          <w:color w:val="auto"/>
          <w:kern w:val="2"/>
          <w:sz w:val="24"/>
          <w:szCs w:val="24"/>
          <w:highlight w:val="none"/>
          <w:lang w:val="en-US" w:eastAsia="zh-CN" w:bidi="ar-SA"/>
        </w:rPr>
      </w:pPr>
    </w:p>
    <w:p w14:paraId="364ED7A6">
      <w:pPr>
        <w:pStyle w:val="11"/>
        <w:rPr>
          <w:rFonts w:hint="eastAsia" w:asciiTheme="majorEastAsia" w:hAnsiTheme="majorEastAsia" w:eastAsiaTheme="majorEastAsia" w:cstheme="majorEastAsia"/>
          <w:color w:val="auto"/>
          <w:kern w:val="2"/>
          <w:sz w:val="24"/>
          <w:szCs w:val="24"/>
          <w:highlight w:val="none"/>
          <w:lang w:val="en-US" w:eastAsia="zh-CN" w:bidi="ar-SA"/>
        </w:rPr>
      </w:pPr>
    </w:p>
    <w:p w14:paraId="07E6C068">
      <w:pPr>
        <w:pStyle w:val="11"/>
        <w:rPr>
          <w:rFonts w:hint="eastAsia" w:asciiTheme="majorEastAsia" w:hAnsiTheme="majorEastAsia" w:eastAsiaTheme="majorEastAsia" w:cstheme="majorEastAsia"/>
          <w:color w:val="auto"/>
          <w:kern w:val="2"/>
          <w:sz w:val="24"/>
          <w:szCs w:val="24"/>
          <w:highlight w:val="none"/>
          <w:lang w:val="en-US" w:eastAsia="zh-CN" w:bidi="ar-SA"/>
        </w:rPr>
      </w:pPr>
    </w:p>
    <w:p w14:paraId="2EFFB1B0">
      <w:pPr>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甲方（公章）：</w:t>
      </w:r>
      <w:r>
        <w:rPr>
          <w:rFonts w:hint="eastAsia" w:asciiTheme="majorEastAsia" w:hAnsiTheme="majorEastAsia" w:eastAsiaTheme="majorEastAsia" w:cstheme="majorEastAsia"/>
          <w:color w:val="auto"/>
          <w:sz w:val="24"/>
          <w:szCs w:val="24"/>
          <w:highlight w:val="none"/>
          <w:lang w:val="en-US" w:eastAsia="zh-CN"/>
        </w:rPr>
        <w:t>中华人民共和国吉木乃出入境边防检查站</w:t>
      </w: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lang w:val="en-US" w:eastAsia="zh-CN"/>
        </w:rPr>
        <w:t xml:space="preserve">  </w:t>
      </w:r>
    </w:p>
    <w:p w14:paraId="27D9B98B">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法定代表人（签字或盖章）：     </w:t>
      </w:r>
      <w:r>
        <w:rPr>
          <w:rFonts w:hint="eastAsia" w:asciiTheme="majorEastAsia" w:hAnsiTheme="majorEastAsia" w:eastAsiaTheme="majorEastAsia" w:cstheme="majorEastAsia"/>
          <w:color w:val="auto"/>
          <w:sz w:val="24"/>
          <w:szCs w:val="24"/>
          <w:highlight w:val="none"/>
          <w:lang w:val="en-US" w:eastAsia="zh-CN"/>
        </w:rPr>
        <w:t xml:space="preserve"> </w:t>
      </w:r>
    </w:p>
    <w:p w14:paraId="5CC252B2">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单位地址：</w:t>
      </w:r>
      <w:r>
        <w:rPr>
          <w:rFonts w:hint="eastAsia" w:asciiTheme="majorEastAsia" w:hAnsiTheme="majorEastAsia" w:eastAsiaTheme="majorEastAsia" w:cstheme="majorEastAsia"/>
          <w:color w:val="auto"/>
          <w:sz w:val="24"/>
          <w:szCs w:val="24"/>
          <w:highlight w:val="none"/>
          <w:lang w:eastAsia="zh-CN"/>
        </w:rPr>
        <w:t>新疆阿勒泰地区吉木乃县186团</w:t>
      </w: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lang w:val="en-US" w:eastAsia="zh-CN"/>
        </w:rPr>
        <w:t xml:space="preserve"> </w:t>
      </w:r>
    </w:p>
    <w:p w14:paraId="332D1A8E">
      <w:pPr>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银行</w:t>
      </w:r>
      <w:r>
        <w:rPr>
          <w:rFonts w:hint="eastAsia" w:asciiTheme="majorEastAsia" w:hAnsiTheme="majorEastAsia" w:eastAsiaTheme="majorEastAsia" w:cstheme="majorEastAsia"/>
          <w:color w:val="auto"/>
          <w:sz w:val="24"/>
          <w:szCs w:val="24"/>
          <w:highlight w:val="none"/>
          <w:lang w:val="en-US" w:eastAsia="zh-CN"/>
        </w:rPr>
        <w:t>账</w:t>
      </w:r>
      <w:r>
        <w:rPr>
          <w:rFonts w:hint="eastAsia" w:asciiTheme="majorEastAsia" w:hAnsiTheme="majorEastAsia" w:eastAsiaTheme="majorEastAsia" w:cstheme="majorEastAsia"/>
          <w:color w:val="auto"/>
          <w:sz w:val="24"/>
          <w:szCs w:val="24"/>
          <w:highlight w:val="none"/>
        </w:rPr>
        <w:t>号：</w:t>
      </w:r>
      <w:r>
        <w:rPr>
          <w:rFonts w:hint="eastAsia" w:asciiTheme="majorEastAsia" w:hAnsiTheme="majorEastAsia" w:eastAsiaTheme="majorEastAsia" w:cstheme="majorEastAsia"/>
          <w:color w:val="auto"/>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lang w:val="en-US" w:eastAsia="zh-CN"/>
        </w:rPr>
        <w:t xml:space="preserve"> </w:t>
      </w:r>
    </w:p>
    <w:p w14:paraId="0BBED96D">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开户行：</w:t>
      </w:r>
      <w:r>
        <w:rPr>
          <w:rFonts w:hint="eastAsia" w:asciiTheme="majorEastAsia" w:hAnsiTheme="majorEastAsia" w:eastAsiaTheme="majorEastAsia" w:cstheme="majorEastAsia"/>
          <w:color w:val="auto"/>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 xml:space="preserve">                    </w:t>
      </w:r>
    </w:p>
    <w:p w14:paraId="106CF23E">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日  期：  </w:t>
      </w:r>
    </w:p>
    <w:p w14:paraId="0D9B23B5">
      <w:pPr>
        <w:spacing w:line="600" w:lineRule="exact"/>
        <w:rPr>
          <w:rFonts w:hint="eastAsia" w:asciiTheme="majorEastAsia" w:hAnsiTheme="majorEastAsia" w:eastAsiaTheme="majorEastAsia" w:cstheme="majorEastAsia"/>
          <w:color w:val="auto"/>
          <w:sz w:val="24"/>
          <w:szCs w:val="24"/>
          <w:highlight w:val="none"/>
          <w:lang w:eastAsia="zh-CN"/>
        </w:rPr>
      </w:pPr>
    </w:p>
    <w:p w14:paraId="33E90E06">
      <w:pPr>
        <w:pStyle w:val="11"/>
        <w:rPr>
          <w:rFonts w:hint="eastAsia" w:asciiTheme="majorEastAsia" w:hAnsiTheme="majorEastAsia" w:eastAsiaTheme="majorEastAsia" w:cstheme="majorEastAsia"/>
          <w:color w:val="auto"/>
          <w:sz w:val="24"/>
          <w:szCs w:val="24"/>
          <w:highlight w:val="none"/>
          <w:lang w:eastAsia="zh-CN"/>
        </w:rPr>
      </w:pPr>
    </w:p>
    <w:p w14:paraId="332556A3">
      <w:pPr>
        <w:pStyle w:val="11"/>
        <w:rPr>
          <w:rFonts w:hint="eastAsia" w:asciiTheme="majorEastAsia" w:hAnsiTheme="majorEastAsia" w:eastAsiaTheme="majorEastAsia" w:cstheme="majorEastAsia"/>
          <w:color w:val="auto"/>
          <w:sz w:val="24"/>
          <w:szCs w:val="24"/>
          <w:highlight w:val="none"/>
          <w:lang w:eastAsia="zh-CN"/>
        </w:rPr>
      </w:pPr>
    </w:p>
    <w:p w14:paraId="66A21DC4">
      <w:pPr>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eastAsia="zh-CN"/>
        </w:rPr>
        <w:t>乙方</w:t>
      </w:r>
      <w:r>
        <w:rPr>
          <w:rFonts w:hint="eastAsia" w:asciiTheme="majorEastAsia" w:hAnsiTheme="majorEastAsia" w:eastAsiaTheme="majorEastAsia" w:cstheme="majorEastAsia"/>
          <w:color w:val="auto"/>
          <w:sz w:val="24"/>
          <w:szCs w:val="24"/>
          <w:highlight w:val="none"/>
        </w:rPr>
        <w:t xml:space="preserve">（公章）：                </w:t>
      </w:r>
      <w:r>
        <w:rPr>
          <w:rFonts w:hint="eastAsia" w:asciiTheme="majorEastAsia" w:hAnsiTheme="majorEastAsia" w:eastAsiaTheme="majorEastAsia" w:cstheme="majorEastAsia"/>
          <w:color w:val="auto"/>
          <w:sz w:val="24"/>
          <w:szCs w:val="24"/>
          <w:highlight w:val="none"/>
          <w:lang w:val="en-US" w:eastAsia="zh-CN"/>
        </w:rPr>
        <w:t xml:space="preserve">  </w:t>
      </w:r>
    </w:p>
    <w:p w14:paraId="51032276">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法定代表人（签字或盖章）：     </w:t>
      </w:r>
      <w:r>
        <w:rPr>
          <w:rFonts w:hint="eastAsia" w:asciiTheme="majorEastAsia" w:hAnsiTheme="majorEastAsia" w:eastAsiaTheme="majorEastAsia" w:cstheme="majorEastAsia"/>
          <w:color w:val="auto"/>
          <w:sz w:val="24"/>
          <w:szCs w:val="24"/>
          <w:highlight w:val="none"/>
          <w:lang w:val="en-US" w:eastAsia="zh-CN"/>
        </w:rPr>
        <w:t xml:space="preserve"> </w:t>
      </w:r>
    </w:p>
    <w:p w14:paraId="2B4F0BFB">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单位地址：  </w:t>
      </w:r>
      <w:r>
        <w:rPr>
          <w:rFonts w:hint="eastAsia" w:asciiTheme="majorEastAsia" w:hAnsiTheme="majorEastAsia" w:eastAsiaTheme="majorEastAsia" w:cstheme="majorEastAsia"/>
          <w:color w:val="auto"/>
          <w:sz w:val="24"/>
          <w:szCs w:val="24"/>
          <w:highlight w:val="none"/>
          <w:lang w:val="en-US" w:eastAsia="zh-CN"/>
        </w:rPr>
        <w:t xml:space="preserve">                 </w:t>
      </w: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lang w:val="en-US" w:eastAsia="zh-CN"/>
        </w:rPr>
        <w:t xml:space="preserve"> </w:t>
      </w:r>
    </w:p>
    <w:p w14:paraId="483E3719">
      <w:pPr>
        <w:spacing w:line="600" w:lineRule="exact"/>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银行</w:t>
      </w:r>
      <w:r>
        <w:rPr>
          <w:rFonts w:hint="eastAsia" w:asciiTheme="majorEastAsia" w:hAnsiTheme="majorEastAsia" w:eastAsiaTheme="majorEastAsia" w:cstheme="majorEastAsia"/>
          <w:color w:val="auto"/>
          <w:sz w:val="24"/>
          <w:szCs w:val="24"/>
          <w:highlight w:val="none"/>
          <w:lang w:val="en-US" w:eastAsia="zh-CN"/>
        </w:rPr>
        <w:t>账</w:t>
      </w:r>
      <w:r>
        <w:rPr>
          <w:rFonts w:hint="eastAsia" w:asciiTheme="majorEastAsia" w:hAnsiTheme="majorEastAsia" w:eastAsiaTheme="majorEastAsia" w:cstheme="majorEastAsia"/>
          <w:color w:val="auto"/>
          <w:sz w:val="24"/>
          <w:szCs w:val="24"/>
          <w:highlight w:val="none"/>
        </w:rPr>
        <w:t>号：</w:t>
      </w:r>
      <w:r>
        <w:rPr>
          <w:rFonts w:hint="eastAsia" w:asciiTheme="majorEastAsia" w:hAnsiTheme="majorEastAsia" w:eastAsiaTheme="majorEastAsia" w:cstheme="majorEastAsia"/>
          <w:color w:val="auto"/>
          <w:sz w:val="24"/>
          <w:szCs w:val="24"/>
          <w:highlight w:val="none"/>
          <w:lang w:val="en-US" w:eastAsia="zh-CN"/>
        </w:rPr>
        <w:t xml:space="preserve"> </w:t>
      </w:r>
    </w:p>
    <w:p w14:paraId="4029F681">
      <w:pPr>
        <w:spacing w:line="600" w:lineRule="exact"/>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开户行：                 </w:t>
      </w:r>
    </w:p>
    <w:p w14:paraId="5E62EA62">
      <w:pPr>
        <w:pStyle w:val="11"/>
        <w:ind w:left="0" w:leftChars="0" w:firstLine="480" w:firstLineChars="200"/>
        <w:rPr>
          <w:rFonts w:hint="eastAsia"/>
          <w:sz w:val="24"/>
          <w:szCs w:val="24"/>
          <w:highlight w:val="none"/>
        </w:rPr>
      </w:pPr>
      <w:r>
        <w:rPr>
          <w:rFonts w:hint="eastAsia" w:asciiTheme="majorEastAsia" w:hAnsiTheme="majorEastAsia" w:eastAsiaTheme="majorEastAsia" w:cstheme="majorEastAsia"/>
          <w:color w:val="auto"/>
          <w:sz w:val="24"/>
          <w:szCs w:val="24"/>
          <w:highlight w:val="none"/>
        </w:rPr>
        <w:t>日  期：</w:t>
      </w:r>
    </w:p>
    <w:p w14:paraId="7BACE72F">
      <w:pPr>
        <w:spacing w:line="600" w:lineRule="exact"/>
        <w:rPr>
          <w:rFonts w:hint="eastAsia" w:asciiTheme="majorEastAsia" w:hAnsiTheme="majorEastAsia" w:eastAsiaTheme="majorEastAsia" w:cstheme="majorEastAsia"/>
          <w:color w:val="auto"/>
          <w:sz w:val="28"/>
          <w:szCs w:val="28"/>
          <w:highlight w:val="none"/>
        </w:rPr>
      </w:pPr>
    </w:p>
    <w:p w14:paraId="78B87484">
      <w:pPr>
        <w:spacing w:line="600" w:lineRule="exact"/>
        <w:rPr>
          <w:rFonts w:hint="eastAsia" w:asciiTheme="majorEastAsia" w:hAnsiTheme="majorEastAsia" w:eastAsiaTheme="majorEastAsia" w:cstheme="majorEastAsia"/>
          <w:color w:val="auto"/>
          <w:sz w:val="28"/>
          <w:szCs w:val="28"/>
          <w:highlight w:val="none"/>
          <w:lang w:val="en-US" w:eastAsia="zh-CN"/>
        </w:rPr>
      </w:pPr>
      <w:r>
        <w:rPr>
          <w:rFonts w:hint="eastAsia" w:asciiTheme="majorEastAsia" w:hAnsiTheme="majorEastAsia" w:eastAsiaTheme="majorEastAsia" w:cstheme="majorEastAsia"/>
          <w:color w:val="auto"/>
          <w:sz w:val="28"/>
          <w:szCs w:val="28"/>
          <w:highlight w:val="none"/>
        </w:rPr>
        <w:t xml:space="preserve">                    </w:t>
      </w:r>
      <w:r>
        <w:rPr>
          <w:rFonts w:hint="eastAsia" w:asciiTheme="majorEastAsia" w:hAnsiTheme="majorEastAsia" w:eastAsiaTheme="majorEastAsia" w:cstheme="majorEastAsia"/>
          <w:color w:val="auto"/>
          <w:sz w:val="28"/>
          <w:szCs w:val="28"/>
          <w:highlight w:val="none"/>
          <w:lang w:val="en-US" w:eastAsia="zh-CN"/>
        </w:rPr>
        <w:t xml:space="preserve"> </w:t>
      </w:r>
    </w:p>
    <w:p w14:paraId="014194DB">
      <w:pPr>
        <w:pStyle w:val="11"/>
        <w:rPr>
          <w:rFonts w:hint="eastAsia" w:asciiTheme="majorEastAsia" w:hAnsiTheme="majorEastAsia" w:eastAsiaTheme="majorEastAsia" w:cstheme="majorEastAsia"/>
          <w:color w:val="auto"/>
          <w:sz w:val="28"/>
          <w:szCs w:val="28"/>
          <w:highlight w:val="none"/>
          <w:lang w:val="en-US" w:eastAsia="zh-CN"/>
        </w:rPr>
      </w:pPr>
    </w:p>
    <w:p w14:paraId="0492529B">
      <w:pPr>
        <w:pStyle w:val="11"/>
        <w:ind w:left="0" w:leftChars="0" w:firstLine="0" w:firstLineChars="0"/>
        <w:rPr>
          <w:rFonts w:hint="eastAsia" w:asciiTheme="majorEastAsia" w:hAnsiTheme="majorEastAsia" w:eastAsiaTheme="majorEastAsia" w:cstheme="majorEastAsia"/>
          <w:color w:val="auto"/>
          <w:sz w:val="28"/>
          <w:szCs w:val="28"/>
          <w:highlight w:val="none"/>
          <w:lang w:val="en-US" w:eastAsia="zh-CN"/>
        </w:rPr>
      </w:pPr>
    </w:p>
    <w:p w14:paraId="4CA3E59E">
      <w:pPr>
        <w:pStyle w:val="11"/>
        <w:ind w:left="0" w:leftChars="0" w:firstLine="0" w:firstLineChars="0"/>
        <w:rPr>
          <w:rFonts w:hint="eastAsia" w:asciiTheme="majorEastAsia" w:hAnsiTheme="majorEastAsia" w:eastAsiaTheme="majorEastAsia" w:cstheme="majorEastAsia"/>
          <w:color w:val="auto"/>
          <w:sz w:val="28"/>
          <w:szCs w:val="28"/>
          <w:highlight w:val="none"/>
          <w:lang w:val="en-US" w:eastAsia="zh-CN"/>
        </w:rPr>
      </w:pPr>
    </w:p>
    <w:p w14:paraId="13E6D576">
      <w:pPr>
        <w:pStyle w:val="11"/>
        <w:ind w:left="0" w:leftChars="0" w:firstLine="0" w:firstLineChars="0"/>
        <w:rPr>
          <w:rFonts w:hint="eastAsia" w:asciiTheme="majorEastAsia" w:hAnsiTheme="majorEastAsia" w:eastAsiaTheme="majorEastAsia" w:cstheme="majorEastAsia"/>
          <w:color w:val="auto"/>
          <w:sz w:val="28"/>
          <w:szCs w:val="28"/>
          <w:highlight w:val="none"/>
          <w:lang w:val="en-US" w:eastAsia="zh-CN"/>
        </w:rPr>
      </w:pPr>
    </w:p>
    <w:p w14:paraId="5D1AE3E3">
      <w:pPr>
        <w:widowControl/>
        <w:numPr>
          <w:ilvl w:val="0"/>
          <w:numId w:val="5"/>
        </w:numPr>
        <w:jc w:val="center"/>
        <w:rPr>
          <w:rFonts w:hint="eastAsia" w:ascii="宋体" w:hAnsi="宋体" w:eastAsia="宋体" w:cs="宋体"/>
          <w:b/>
          <w:color w:val="auto"/>
          <w:sz w:val="32"/>
          <w:szCs w:val="32"/>
          <w:highlight w:val="none"/>
        </w:rPr>
      </w:pPr>
      <w:bookmarkStart w:id="80" w:name="OLE_LINK80"/>
      <w:r>
        <w:rPr>
          <w:rFonts w:hint="eastAsia" w:ascii="宋体" w:hAnsi="宋体" w:eastAsia="宋体" w:cs="宋体"/>
          <w:b/>
          <w:color w:val="auto"/>
          <w:sz w:val="32"/>
          <w:szCs w:val="32"/>
          <w:highlight w:val="none"/>
        </w:rPr>
        <w:t xml:space="preserve"> 采购</w:t>
      </w:r>
      <w:r>
        <w:rPr>
          <w:rFonts w:hint="eastAsia" w:ascii="宋体" w:hAnsi="宋体" w:cs="宋体"/>
          <w:b/>
          <w:color w:val="auto"/>
          <w:sz w:val="32"/>
          <w:szCs w:val="32"/>
          <w:highlight w:val="none"/>
          <w:lang w:val="en-US" w:eastAsia="zh-CN"/>
        </w:rPr>
        <w:t>项目</w:t>
      </w:r>
      <w:r>
        <w:rPr>
          <w:rFonts w:hint="eastAsia" w:ascii="宋体" w:hAnsi="宋体" w:eastAsia="宋体" w:cs="宋体"/>
          <w:b/>
          <w:color w:val="auto"/>
          <w:sz w:val="32"/>
          <w:szCs w:val="32"/>
          <w:highlight w:val="none"/>
        </w:rPr>
        <w:t>需求</w:t>
      </w:r>
    </w:p>
    <w:tbl>
      <w:tblPr>
        <w:tblStyle w:val="25"/>
        <w:tblW w:w="101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15"/>
        <w:gridCol w:w="8225"/>
      </w:tblGrid>
      <w:tr w14:paraId="541CC3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915" w:type="dxa"/>
            <w:noWrap w:val="0"/>
            <w:vAlign w:val="center"/>
          </w:tcPr>
          <w:p w14:paraId="19DA3077">
            <w:pPr>
              <w:spacing w:line="600" w:lineRule="exact"/>
              <w:jc w:val="center"/>
              <w:rPr>
                <w:spacing w:val="-12"/>
                <w:sz w:val="28"/>
                <w:szCs w:val="28"/>
                <w:highlight w:val="none"/>
              </w:rPr>
            </w:pPr>
            <w:r>
              <w:rPr>
                <w:spacing w:val="-12"/>
                <w:sz w:val="28"/>
                <w:szCs w:val="28"/>
                <w:highlight w:val="none"/>
              </w:rPr>
              <w:t>项目名称</w:t>
            </w:r>
          </w:p>
        </w:tc>
        <w:tc>
          <w:tcPr>
            <w:tcW w:w="8225" w:type="dxa"/>
            <w:noWrap w:val="0"/>
            <w:vAlign w:val="center"/>
          </w:tcPr>
          <w:p w14:paraId="046B4674">
            <w:pPr>
              <w:spacing w:line="600" w:lineRule="exact"/>
              <w:jc w:val="center"/>
              <w:rPr>
                <w:rFonts w:hint="eastAsia"/>
                <w:spacing w:val="-12"/>
                <w:sz w:val="24"/>
                <w:szCs w:val="24"/>
                <w:highlight w:val="none"/>
              </w:rPr>
            </w:pPr>
            <w:r>
              <w:rPr>
                <w:rFonts w:hint="eastAsia" w:cs="Times New Roman"/>
                <w:spacing w:val="-12"/>
                <w:sz w:val="24"/>
                <w:szCs w:val="24"/>
                <w:highlight w:val="none"/>
                <w:lang w:val="en-US" w:eastAsia="zh-CN"/>
              </w:rPr>
              <w:t>中华人民共和国吉木乃出入境边防检查站主副食配送服务采购项目</w:t>
            </w:r>
          </w:p>
        </w:tc>
      </w:tr>
      <w:tr w14:paraId="1EAD2A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32" w:hRule="atLeast"/>
          <w:jc w:val="center"/>
        </w:trPr>
        <w:tc>
          <w:tcPr>
            <w:tcW w:w="1915" w:type="dxa"/>
            <w:noWrap w:val="0"/>
            <w:vAlign w:val="center"/>
          </w:tcPr>
          <w:p w14:paraId="4129198D">
            <w:pPr>
              <w:spacing w:line="360" w:lineRule="exact"/>
              <w:jc w:val="center"/>
              <w:rPr>
                <w:spacing w:val="-12"/>
                <w:sz w:val="28"/>
                <w:szCs w:val="28"/>
                <w:highlight w:val="none"/>
              </w:rPr>
            </w:pPr>
            <w:r>
              <w:rPr>
                <w:spacing w:val="-12"/>
                <w:sz w:val="28"/>
                <w:szCs w:val="28"/>
                <w:highlight w:val="none"/>
              </w:rPr>
              <w:t>采购需求</w:t>
            </w:r>
          </w:p>
          <w:p w14:paraId="43B23A14">
            <w:pPr>
              <w:spacing w:line="360" w:lineRule="exact"/>
              <w:jc w:val="center"/>
              <w:rPr>
                <w:spacing w:val="-12"/>
                <w:sz w:val="28"/>
                <w:szCs w:val="28"/>
                <w:highlight w:val="none"/>
              </w:rPr>
            </w:pPr>
            <w:r>
              <w:rPr>
                <w:spacing w:val="-12"/>
                <w:sz w:val="28"/>
                <w:szCs w:val="28"/>
                <w:highlight w:val="none"/>
              </w:rPr>
              <w:t>及技术参数</w:t>
            </w:r>
          </w:p>
        </w:tc>
        <w:tc>
          <w:tcPr>
            <w:tcW w:w="8225" w:type="dxa"/>
            <w:noWrap w:val="0"/>
            <w:vAlign w:val="top"/>
          </w:tcPr>
          <w:p w14:paraId="3E62B041">
            <w:pPr>
              <w:spacing w:line="360" w:lineRule="auto"/>
              <w:ind w:firstLine="482" w:firstLineChars="200"/>
              <w:rPr>
                <w:rFonts w:hint="default"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rPr>
              <w:t>1.</w:t>
            </w:r>
            <w:r>
              <w:rPr>
                <w:rFonts w:hint="eastAsia" w:asciiTheme="majorEastAsia" w:hAnsiTheme="majorEastAsia" w:eastAsiaTheme="majorEastAsia" w:cstheme="majorEastAsia"/>
                <w:b/>
                <w:bCs/>
                <w:sz w:val="24"/>
                <w:szCs w:val="24"/>
                <w:highlight w:val="none"/>
                <w:lang w:val="en-US" w:eastAsia="zh-CN"/>
              </w:rPr>
              <w:t>服务内容</w:t>
            </w:r>
            <w:r>
              <w:rPr>
                <w:rFonts w:hint="eastAsia" w:asciiTheme="majorEastAsia" w:hAnsiTheme="majorEastAsia" w:eastAsiaTheme="majorEastAsia" w:cstheme="majorEastAsia"/>
                <w:b/>
                <w:bCs/>
                <w:sz w:val="24"/>
                <w:szCs w:val="24"/>
                <w:highlight w:val="none"/>
              </w:rPr>
              <w:t>：</w:t>
            </w:r>
            <w:r>
              <w:rPr>
                <w:rFonts w:hint="eastAsia" w:asciiTheme="majorEastAsia" w:hAnsiTheme="majorEastAsia" w:eastAsiaTheme="majorEastAsia" w:cstheme="majorEastAsia"/>
                <w:b w:val="0"/>
                <w:bCs w:val="0"/>
                <w:kern w:val="2"/>
                <w:sz w:val="24"/>
                <w:szCs w:val="24"/>
                <w:highlight w:val="none"/>
                <w:lang w:val="en-US" w:eastAsia="zh-CN" w:bidi="ar-SA"/>
              </w:rPr>
              <w:t>为中华人民共和国吉木乃出入境边防检查站提供日常所需的主副食材（米面粮油、调料、禽蛋、禽肉、蔬菜水果、牛羊猪肉、水产、乳制品、饮品等）配送服务。</w:t>
            </w:r>
          </w:p>
          <w:p w14:paraId="72C1D74E">
            <w:pPr>
              <w:spacing w:line="360" w:lineRule="auto"/>
              <w:ind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rPr>
              <w:t>2.履约期限：</w:t>
            </w:r>
            <w:r>
              <w:rPr>
                <w:rFonts w:hint="eastAsia" w:asciiTheme="majorEastAsia" w:hAnsiTheme="majorEastAsia" w:eastAsiaTheme="majorEastAsia" w:cstheme="majorEastAsia"/>
                <w:b w:val="0"/>
                <w:bCs w:val="0"/>
                <w:sz w:val="24"/>
                <w:szCs w:val="24"/>
                <w:highlight w:val="none"/>
                <w:lang w:val="en-US" w:eastAsia="zh-CN"/>
              </w:rPr>
              <w:t>2025年5月23日至2026年5月22日。</w:t>
            </w:r>
          </w:p>
          <w:p w14:paraId="5B334F44">
            <w:pPr>
              <w:spacing w:line="360" w:lineRule="auto"/>
              <w:ind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rPr>
              <w:t>3.履约地点：</w:t>
            </w:r>
            <w:r>
              <w:rPr>
                <w:rFonts w:hint="eastAsia" w:asciiTheme="majorEastAsia" w:hAnsiTheme="majorEastAsia" w:eastAsiaTheme="majorEastAsia" w:cstheme="majorEastAsia"/>
                <w:b w:val="0"/>
                <w:bCs w:val="0"/>
                <w:kern w:val="2"/>
                <w:sz w:val="24"/>
                <w:szCs w:val="24"/>
                <w:highlight w:val="none"/>
                <w:lang w:val="en-US" w:eastAsia="zh-CN" w:bidi="ar-SA"/>
              </w:rPr>
              <w:t>中华人民共和国吉木乃出入境边防检查站。</w:t>
            </w:r>
          </w:p>
          <w:p w14:paraId="6F833787">
            <w:pPr>
              <w:pStyle w:val="31"/>
              <w:spacing w:line="360" w:lineRule="auto"/>
              <w:ind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rPr>
              <w:t>4.供货方式：</w:t>
            </w:r>
            <w:r>
              <w:rPr>
                <w:rFonts w:hint="eastAsia" w:asciiTheme="majorEastAsia" w:hAnsiTheme="majorEastAsia" w:eastAsiaTheme="majorEastAsia" w:cstheme="majorEastAsia"/>
                <w:b/>
                <w:bCs/>
                <w:kern w:val="2"/>
                <w:sz w:val="24"/>
                <w:szCs w:val="24"/>
                <w:highlight w:val="none"/>
                <w:lang w:val="en-US" w:eastAsia="zh-CN" w:bidi="ar-SA"/>
              </w:rPr>
              <w:t>送货上门</w:t>
            </w:r>
            <w:r>
              <w:rPr>
                <w:rFonts w:hint="eastAsia" w:asciiTheme="majorEastAsia" w:hAnsiTheme="majorEastAsia" w:eastAsiaTheme="majorEastAsia" w:cstheme="majorEastAsia"/>
                <w:b w:val="0"/>
                <w:bCs w:val="0"/>
                <w:kern w:val="2"/>
                <w:sz w:val="24"/>
                <w:szCs w:val="24"/>
                <w:highlight w:val="none"/>
                <w:lang w:val="en-US" w:eastAsia="zh-CN" w:bidi="ar-SA"/>
              </w:rPr>
              <w:t>。</w:t>
            </w:r>
          </w:p>
          <w:p w14:paraId="57EB884D">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5.质量标准：</w:t>
            </w:r>
            <w:r>
              <w:rPr>
                <w:rFonts w:hint="eastAsia" w:asciiTheme="majorEastAsia" w:hAnsiTheme="majorEastAsia" w:eastAsiaTheme="majorEastAsia" w:cstheme="majorEastAsia"/>
                <w:b w:val="0"/>
                <w:bCs w:val="0"/>
                <w:kern w:val="2"/>
                <w:sz w:val="24"/>
                <w:szCs w:val="24"/>
                <w:highlight w:val="none"/>
                <w:lang w:val="en-US" w:eastAsia="zh-CN" w:bidi="ar-SA"/>
              </w:rPr>
              <w:t>所需食材须保证</w:t>
            </w:r>
            <w:r>
              <w:rPr>
                <w:rFonts w:hint="eastAsia" w:asciiTheme="majorEastAsia" w:hAnsiTheme="majorEastAsia" w:eastAsiaTheme="majorEastAsia" w:cstheme="majorEastAsia"/>
                <w:b w:val="0"/>
                <w:bCs w:val="0"/>
                <w:color w:val="000000"/>
                <w:kern w:val="2"/>
                <w:sz w:val="24"/>
                <w:szCs w:val="24"/>
                <w:highlight w:val="none"/>
                <w:lang w:val="en-US" w:eastAsia="zh-CN" w:bidi="ar-SA"/>
              </w:rPr>
              <w:t>新鲜</w:t>
            </w:r>
            <w:r>
              <w:rPr>
                <w:rFonts w:hint="eastAsia" w:asciiTheme="majorEastAsia" w:hAnsiTheme="majorEastAsia" w:eastAsiaTheme="majorEastAsia" w:cstheme="majorEastAsia"/>
                <w:b w:val="0"/>
                <w:bCs w:val="0"/>
                <w:kern w:val="2"/>
                <w:sz w:val="24"/>
                <w:szCs w:val="24"/>
                <w:highlight w:val="none"/>
                <w:lang w:val="en-US" w:eastAsia="zh-CN" w:bidi="ar-SA"/>
              </w:rPr>
              <w:t>，质量及包装、运输等须符合国家或行业标准要求。（具体参考标准如下：</w:t>
            </w:r>
            <w:r>
              <w:rPr>
                <w:rFonts w:hint="eastAsia" w:asciiTheme="majorEastAsia" w:hAnsiTheme="majorEastAsia" w:eastAsiaTheme="majorEastAsia" w:cstheme="majorEastAsia"/>
                <w:b/>
                <w:bCs/>
                <w:kern w:val="2"/>
                <w:sz w:val="24"/>
                <w:szCs w:val="24"/>
                <w:highlight w:val="none"/>
                <w:lang w:val="en-US" w:eastAsia="zh-CN" w:bidi="ar-SA"/>
              </w:rPr>
              <w:t>①</w:t>
            </w:r>
            <w:r>
              <w:rPr>
                <w:rFonts w:hint="eastAsia" w:asciiTheme="majorEastAsia" w:hAnsiTheme="majorEastAsia" w:eastAsiaTheme="majorEastAsia" w:cstheme="majorEastAsia"/>
                <w:b w:val="0"/>
                <w:bCs w:val="0"/>
                <w:kern w:val="2"/>
                <w:sz w:val="24"/>
                <w:szCs w:val="24"/>
                <w:highlight w:val="none"/>
                <w:lang w:val="en-US" w:eastAsia="zh-CN" w:bidi="ar-SA"/>
              </w:rPr>
              <w:t>除初级农产品外的其他包装类食材交货时质保期不少于三分之二；</w:t>
            </w:r>
            <w:r>
              <w:rPr>
                <w:rFonts w:hint="eastAsia" w:asciiTheme="majorEastAsia" w:hAnsiTheme="majorEastAsia" w:eastAsiaTheme="majorEastAsia" w:cstheme="majorEastAsia"/>
                <w:b/>
                <w:bCs/>
                <w:kern w:val="2"/>
                <w:sz w:val="24"/>
                <w:szCs w:val="24"/>
                <w:highlight w:val="none"/>
                <w:lang w:val="en-US" w:eastAsia="zh-CN" w:bidi="ar-SA"/>
              </w:rPr>
              <w:t>②</w:t>
            </w:r>
            <w:r>
              <w:rPr>
                <w:rFonts w:hint="eastAsia" w:asciiTheme="majorEastAsia" w:hAnsiTheme="majorEastAsia" w:eastAsiaTheme="majorEastAsia" w:cstheme="majorEastAsia"/>
                <w:b w:val="0"/>
                <w:bCs w:val="0"/>
                <w:kern w:val="2"/>
                <w:sz w:val="24"/>
                <w:szCs w:val="24"/>
                <w:highlight w:val="none"/>
                <w:lang w:val="en-US" w:eastAsia="zh-CN" w:bidi="ar-SA"/>
              </w:rPr>
              <w:t>蔬菜应符合以下新鲜度标准：叶片完整舒展，无发黄、枯萎、腐烂迹象，色泽鲜亮翠绿，根部无明显腐烂霉变，无软烂发黏，无泥土结巴情况；</w:t>
            </w:r>
            <w:r>
              <w:rPr>
                <w:rFonts w:hint="eastAsia" w:asciiTheme="majorEastAsia" w:hAnsiTheme="majorEastAsia" w:eastAsiaTheme="majorEastAsia" w:cstheme="majorEastAsia"/>
                <w:b/>
                <w:bCs/>
                <w:kern w:val="2"/>
                <w:sz w:val="24"/>
                <w:szCs w:val="24"/>
                <w:highlight w:val="none"/>
                <w:lang w:val="en-US" w:eastAsia="zh-CN" w:bidi="ar-SA"/>
              </w:rPr>
              <w:t>③</w:t>
            </w:r>
            <w:r>
              <w:rPr>
                <w:rFonts w:hint="eastAsia" w:asciiTheme="majorEastAsia" w:hAnsiTheme="majorEastAsia" w:eastAsiaTheme="majorEastAsia" w:cstheme="majorEastAsia"/>
                <w:b w:val="0"/>
                <w:bCs w:val="0"/>
                <w:kern w:val="2"/>
                <w:sz w:val="24"/>
                <w:szCs w:val="24"/>
                <w:highlight w:val="none"/>
                <w:lang w:val="en-US" w:eastAsia="zh-CN" w:bidi="ar-SA"/>
              </w:rPr>
              <w:t>水果应符合以下新鲜度标准：表皮光滑，色泽自然鲜艳，无黑斑、软烂、碰伤痕迹，果蒂新鲜翠绿，无干枯变色，无发软凹陷情况；</w:t>
            </w:r>
            <w:r>
              <w:rPr>
                <w:rFonts w:hint="eastAsia" w:asciiTheme="majorEastAsia" w:hAnsiTheme="majorEastAsia" w:eastAsiaTheme="majorEastAsia" w:cstheme="majorEastAsia"/>
                <w:b/>
                <w:bCs/>
                <w:kern w:val="2"/>
                <w:sz w:val="24"/>
                <w:szCs w:val="24"/>
                <w:highlight w:val="none"/>
                <w:lang w:val="en-US" w:eastAsia="zh-CN" w:bidi="ar-SA"/>
              </w:rPr>
              <w:t>④</w:t>
            </w:r>
            <w:r>
              <w:rPr>
                <w:rFonts w:hint="eastAsia" w:asciiTheme="majorEastAsia" w:hAnsiTheme="majorEastAsia" w:eastAsiaTheme="majorEastAsia" w:cstheme="majorEastAsia"/>
                <w:b w:val="0"/>
                <w:bCs w:val="0"/>
                <w:kern w:val="2"/>
                <w:sz w:val="24"/>
                <w:szCs w:val="24"/>
                <w:highlight w:val="none"/>
                <w:lang w:val="en-US" w:eastAsia="zh-CN" w:bidi="ar-SA"/>
              </w:rPr>
              <w:t>水产应符合以下新鲜度标准：鱼鳃完整且紧贴鱼身，鱼体肉质紧实，富有弹性，鱼身挺直，鱼腹不膨胀；</w:t>
            </w:r>
            <w:r>
              <w:rPr>
                <w:rFonts w:hint="eastAsia" w:asciiTheme="majorEastAsia" w:hAnsiTheme="majorEastAsia" w:eastAsiaTheme="majorEastAsia" w:cstheme="majorEastAsia"/>
                <w:b/>
                <w:bCs/>
                <w:kern w:val="2"/>
                <w:sz w:val="24"/>
                <w:szCs w:val="24"/>
                <w:highlight w:val="none"/>
                <w:lang w:val="en-US" w:eastAsia="zh-CN" w:bidi="ar-SA"/>
              </w:rPr>
              <w:t>⑤</w:t>
            </w:r>
            <w:r>
              <w:rPr>
                <w:rFonts w:hint="eastAsia" w:asciiTheme="majorEastAsia" w:hAnsiTheme="majorEastAsia" w:eastAsiaTheme="majorEastAsia" w:cstheme="majorEastAsia"/>
                <w:b w:val="0"/>
                <w:bCs w:val="0"/>
                <w:kern w:val="2"/>
                <w:sz w:val="24"/>
                <w:szCs w:val="24"/>
                <w:highlight w:val="none"/>
                <w:lang w:val="en-US" w:eastAsia="zh-CN" w:bidi="ar-SA"/>
              </w:rPr>
              <w:t>肉类应符合以下新鲜度标准：肌肉有光泽，红色均匀，如猪肉呈淡红色至淡棕色，牛肉呈暗红色等。脂肪洁白或淡黄色，外表微干或微湿润，不粘手，无异味臭味）</w:t>
            </w:r>
          </w:p>
          <w:p w14:paraId="0ED501E3">
            <w:pPr>
              <w:spacing w:line="360" w:lineRule="auto"/>
              <w:ind w:firstLine="482" w:firstLineChars="200"/>
              <w:rPr>
                <w:rFonts w:hint="eastAsia" w:asciiTheme="majorEastAsia" w:hAnsiTheme="majorEastAsia" w:eastAsiaTheme="majorEastAsia" w:cstheme="majorEastAsia"/>
                <w:sz w:val="24"/>
                <w:szCs w:val="24"/>
                <w:highlight w:val="none"/>
                <w:lang w:val="en-US" w:eastAsia="zh-CN"/>
              </w:rPr>
            </w:pPr>
            <w:r>
              <w:rPr>
                <w:rFonts w:hint="eastAsia" w:asciiTheme="majorEastAsia" w:hAnsiTheme="majorEastAsia" w:eastAsiaTheme="majorEastAsia" w:cstheme="majorEastAsia"/>
                <w:b/>
                <w:bCs/>
                <w:sz w:val="24"/>
                <w:szCs w:val="24"/>
                <w:highlight w:val="none"/>
                <w:lang w:val="en-US" w:eastAsia="zh-CN"/>
              </w:rPr>
              <w:t>6</w:t>
            </w:r>
            <w:r>
              <w:rPr>
                <w:rFonts w:hint="eastAsia" w:asciiTheme="majorEastAsia" w:hAnsiTheme="majorEastAsia" w:eastAsiaTheme="majorEastAsia" w:cstheme="majorEastAsia"/>
                <w:b/>
                <w:bCs/>
                <w:sz w:val="24"/>
                <w:szCs w:val="24"/>
                <w:highlight w:val="none"/>
              </w:rPr>
              <w:t>.</w:t>
            </w:r>
            <w:r>
              <w:rPr>
                <w:rFonts w:hint="eastAsia" w:asciiTheme="majorEastAsia" w:hAnsiTheme="majorEastAsia" w:eastAsiaTheme="majorEastAsia" w:cstheme="majorEastAsia"/>
                <w:b/>
                <w:bCs/>
                <w:sz w:val="24"/>
                <w:szCs w:val="24"/>
                <w:highlight w:val="none"/>
                <w:lang w:val="en-US" w:eastAsia="zh-CN"/>
              </w:rPr>
              <w:t>特定资格要求：</w:t>
            </w:r>
            <w:r>
              <w:rPr>
                <w:rFonts w:hint="eastAsia" w:asciiTheme="majorEastAsia" w:hAnsiTheme="majorEastAsia" w:eastAsiaTheme="majorEastAsia" w:cstheme="majorEastAsia"/>
                <w:b w:val="0"/>
                <w:bCs w:val="0"/>
                <w:kern w:val="2"/>
                <w:sz w:val="24"/>
                <w:szCs w:val="24"/>
                <w:highlight w:val="none"/>
                <w:lang w:val="en-US" w:eastAsia="zh-CN" w:bidi="ar-SA"/>
              </w:rPr>
              <w:t>需具备有效的《食品经营许可证》</w:t>
            </w:r>
          </w:p>
          <w:p w14:paraId="43343337">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7.付款方式：</w:t>
            </w:r>
            <w:r>
              <w:rPr>
                <w:rFonts w:hint="default" w:ascii="Times New Roman" w:hAnsi="Times New Roman" w:eastAsia="宋体" w:cs="Times New Roman"/>
                <w:color w:val="auto"/>
                <w:sz w:val="24"/>
                <w:szCs w:val="24"/>
                <w:highlight w:val="none"/>
                <w:lang w:val="en-US" w:eastAsia="zh-CN"/>
              </w:rPr>
              <w:t>采购人每月分1日-15日、16日-本月底共计两个采购周期，中标人应在每个采购周期结束后15天内，提交本周期采购清单(中标人应做好费用的统计</w:t>
            </w:r>
            <w:r>
              <w:rPr>
                <w:rFonts w:hint="eastAsia" w:ascii="Times New Roman" w:hAnsi="Times New Roman"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并对采购入书面履行提醒义务)给采购人伙食管理部门</w:t>
            </w:r>
            <w:r>
              <w:rPr>
                <w:rFonts w:hint="eastAsia" w:ascii="Times New Roman" w:hAnsi="Times New Roman"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经核实无误后，按中标人提供的正式发票和清单</w:t>
            </w:r>
            <w:r>
              <w:rPr>
                <w:rFonts w:hint="eastAsia" w:ascii="Times New Roman" w:hAnsi="Times New Roman"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办理支付采购周期的相关手续。</w:t>
            </w:r>
          </w:p>
          <w:p w14:paraId="4336D06E">
            <w:pPr>
              <w:pStyle w:val="6"/>
              <w:spacing w:line="360" w:lineRule="auto"/>
              <w:ind w:left="0" w:leftChars="0" w:firstLine="482" w:firstLineChars="200"/>
              <w:rPr>
                <w:rFonts w:hint="eastAsia" w:asciiTheme="majorEastAsia" w:hAnsiTheme="majorEastAsia" w:eastAsiaTheme="majorEastAsia" w:cstheme="majorEastAsia"/>
                <w:b/>
                <w:bCs/>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8.验收方式及标准：</w:t>
            </w:r>
          </w:p>
          <w:p w14:paraId="0433E39A">
            <w:pPr>
              <w:pStyle w:val="6"/>
              <w:spacing w:line="360" w:lineRule="auto"/>
              <w:ind w:left="0" w:leftChars="0" w:firstLine="482" w:firstLineChars="200"/>
              <w:rPr>
                <w:rFonts w:hint="eastAsia" w:asciiTheme="majorEastAsia" w:hAnsiTheme="majorEastAsia" w:eastAsiaTheme="majorEastAsia" w:cstheme="majorEastAsia"/>
                <w:b/>
                <w:bCs/>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①</w:t>
            </w:r>
            <w:r>
              <w:rPr>
                <w:rFonts w:hint="eastAsia" w:asciiTheme="majorEastAsia" w:hAnsiTheme="majorEastAsia" w:eastAsiaTheme="majorEastAsia" w:cstheme="majorEastAsia"/>
                <w:b/>
                <w:bCs/>
                <w:kern w:val="2"/>
                <w:sz w:val="24"/>
                <w:szCs w:val="24"/>
                <w:highlight w:val="none"/>
                <w:lang w:val="en-US" w:eastAsia="zh-CN" w:bidi="ar-SA"/>
              </w:rPr>
              <w:t>对主副食材数质量验收：</w:t>
            </w:r>
            <w:r>
              <w:rPr>
                <w:rFonts w:hint="eastAsia" w:asciiTheme="majorEastAsia" w:hAnsiTheme="majorEastAsia" w:eastAsiaTheme="majorEastAsia" w:cstheme="majorEastAsia"/>
                <w:b w:val="0"/>
                <w:bCs w:val="0"/>
                <w:kern w:val="2"/>
                <w:sz w:val="24"/>
                <w:szCs w:val="24"/>
                <w:highlight w:val="none"/>
                <w:lang w:val="en-US" w:eastAsia="zh-CN" w:bidi="ar-SA"/>
              </w:rPr>
              <w:t>采购人对每批次食材数质量对照采购清单和质量标准进行现场检查核对清点和称重验收，如验收通过则验收人员在该批次采购清单上联签确认。如验收不通过，由中标人及时调换，直至通过验收。【合同履约过程中，如因食材数质量不合格造成验收不通过，第一次采购人将对中标人予以书面警告并责令当天限时完成整改；第二次采购人将核减中标人当月应结款项的5%作为违约金，并责令当天限时完成整改。以此类推，每发现一次除责令当天限时完成整改的同时，将当月应结款项核减比例递增1%，合同履行期限内如验收不通过累计达到5次，采购人有权取消中标人供货资格并单方面终止合同】</w:t>
            </w:r>
            <w:r>
              <w:rPr>
                <w:rFonts w:hint="eastAsia" w:asciiTheme="majorEastAsia" w:hAnsiTheme="majorEastAsia" w:eastAsiaTheme="majorEastAsia" w:cstheme="majorEastAsia"/>
                <w:b/>
                <w:bCs/>
                <w:kern w:val="2"/>
                <w:sz w:val="24"/>
                <w:szCs w:val="24"/>
                <w:highlight w:val="none"/>
                <w:lang w:val="en-US" w:eastAsia="zh-CN" w:bidi="ar-SA"/>
              </w:rPr>
              <w:t>；</w:t>
            </w:r>
          </w:p>
          <w:p w14:paraId="6AC0C9EC">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②对下浮率执行情况验收：</w:t>
            </w:r>
            <w:r>
              <w:rPr>
                <w:rFonts w:hint="eastAsia" w:asciiTheme="majorEastAsia" w:hAnsiTheme="majorEastAsia" w:eastAsiaTheme="majorEastAsia" w:cstheme="majorEastAsia"/>
                <w:b w:val="0"/>
                <w:bCs w:val="0"/>
                <w:kern w:val="2"/>
                <w:sz w:val="24"/>
                <w:szCs w:val="24"/>
                <w:highlight w:val="none"/>
                <w:lang w:val="en-US" w:eastAsia="zh-CN" w:bidi="ar-SA"/>
              </w:rPr>
              <w:t>合同履行期限内，采购人和中标人双方将以定期市场询价结果和约定的下浮率作为当月食材结算依据。如中标人未按照双方确定的单价和下浮率进行结算的，第一次采购人将对中标人予以书面警告并责令当月限期整改（甲方按照事先明确的结算价进行结算支付。如已支付的，乙方按照超出结算价部分向甲方进行退差）；第二次采购人将核减中标人当月应结款项的10%作为违约金，并责令当月限期整改（同上）；第三次采购人将核减中标人当月应结款项的20%作为违约金，并责令当月限期整改（同上），同时取消中标人供货资格并单方面终止合同。</w:t>
            </w:r>
          </w:p>
          <w:p w14:paraId="4C7639D4">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 xml:space="preserve"> ③市场价确定标准：</w:t>
            </w:r>
            <w:r>
              <w:rPr>
                <w:rFonts w:hint="eastAsia" w:asciiTheme="majorEastAsia" w:hAnsiTheme="majorEastAsia" w:eastAsiaTheme="majorEastAsia" w:cstheme="majorEastAsia"/>
                <w:b w:val="0"/>
                <w:bCs w:val="0"/>
                <w:kern w:val="2"/>
                <w:sz w:val="24"/>
                <w:szCs w:val="24"/>
                <w:highlight w:val="none"/>
                <w:lang w:val="en-US" w:eastAsia="zh-CN" w:bidi="ar-SA"/>
              </w:rPr>
              <w:t>每次供货时，中标人需根据每批次供货产品提供《配送清单》，其中：《配送清单》内的产品在阿勒泰市发改委定期发布的《阿勒泰市重要农副产品零售价格监测周报表》中予以公布监测价格的，按照当周阿勒泰市发改委公布产品的中间价为基准价进行下浮后确定结算价。即：基准价为当周阿勒泰市发改委公布的产品中间价；结算价=（1-报价下浮率)*基准价。</w:t>
            </w:r>
          </w:p>
          <w:p w14:paraId="08DA974B">
            <w:pPr>
              <w:pStyle w:val="6"/>
              <w:spacing w:line="360" w:lineRule="auto"/>
              <w:ind w:left="0" w:leftChars="0" w:firstLine="480"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val="0"/>
                <w:bCs w:val="0"/>
                <w:kern w:val="2"/>
                <w:sz w:val="24"/>
                <w:szCs w:val="24"/>
                <w:highlight w:val="none"/>
                <w:lang w:val="en-US" w:eastAsia="zh-CN" w:bidi="ar-SA"/>
              </w:rPr>
              <w:t>《配送清单》内的产品未在阿勒泰市发改委公布的《阿勒泰市重要农副产品零售价格监测周报表》中予以公布监测价格的，其产品基准价为市场价，市场价为采购人（中标人可一并参加）在每周对阿勒泰市中心市场、俄罗斯步行街等农贸市场或大型商超的询价结果（采取选择不少于三家供应商询价后确定产品平均价的方式进行），采购人、中标人双方以市场价为基准价进行下浮后确定结算价。即：结算价=（1-报价下浮率)*基准价（市场价）。</w:t>
            </w:r>
          </w:p>
          <w:p w14:paraId="7748DFBD">
            <w:pPr>
              <w:spacing w:line="360" w:lineRule="auto"/>
              <w:ind w:firstLine="480" w:firstLineChars="200"/>
              <w:rPr>
                <w:rFonts w:hint="eastAsia"/>
                <w:highlight w:val="none"/>
                <w:lang w:val="en-US" w:eastAsia="zh-CN"/>
              </w:rPr>
            </w:pPr>
            <w:r>
              <w:rPr>
                <w:rFonts w:hint="eastAsia" w:asciiTheme="majorEastAsia" w:hAnsiTheme="majorEastAsia" w:eastAsiaTheme="majorEastAsia" w:cstheme="majorEastAsia"/>
                <w:b w:val="0"/>
                <w:bCs w:val="0"/>
                <w:kern w:val="2"/>
                <w:sz w:val="24"/>
                <w:szCs w:val="24"/>
                <w:highlight w:val="none"/>
                <w:lang w:val="en-US" w:eastAsia="zh-CN" w:bidi="ar-SA"/>
              </w:rPr>
              <w:t>若乙方对甲方市场价认定有争议或不予认可，拒绝履行合同义务的，甲方有权终止与乙方合同，在投标有效期内授予下一中标候选人采购合同。超过投标有效期的，甲方将重新组织采购。</w:t>
            </w:r>
          </w:p>
          <w:p w14:paraId="7F53CB91">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9.是否专门面向小微企业：</w:t>
            </w:r>
            <w:r>
              <w:rPr>
                <w:rFonts w:hint="eastAsia" w:asciiTheme="majorEastAsia" w:hAnsiTheme="majorEastAsia" w:eastAsiaTheme="majorEastAsia" w:cstheme="majorEastAsia"/>
                <w:b w:val="0"/>
                <w:bCs w:val="0"/>
                <w:kern w:val="2"/>
                <w:sz w:val="24"/>
                <w:szCs w:val="24"/>
                <w:highlight w:val="none"/>
                <w:lang w:val="en-US" w:eastAsia="zh-CN" w:bidi="ar-SA"/>
              </w:rPr>
              <w:t>是（零售业）</w:t>
            </w:r>
          </w:p>
          <w:p w14:paraId="1E9660AE">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sz w:val="24"/>
                <w:szCs w:val="24"/>
                <w:highlight w:val="none"/>
                <w:lang w:val="en-US" w:eastAsia="zh-CN" w:bidi="ar-SA"/>
              </w:rPr>
              <w:t>10.是否涉密：</w:t>
            </w:r>
            <w:r>
              <w:rPr>
                <w:rFonts w:hint="eastAsia" w:asciiTheme="majorEastAsia" w:hAnsiTheme="majorEastAsia" w:eastAsiaTheme="majorEastAsia" w:cstheme="majorEastAsia"/>
                <w:b w:val="0"/>
                <w:bCs w:val="0"/>
                <w:kern w:val="2"/>
                <w:sz w:val="24"/>
                <w:szCs w:val="24"/>
                <w:highlight w:val="none"/>
                <w:lang w:val="en-US" w:eastAsia="zh-CN" w:bidi="ar-SA"/>
              </w:rPr>
              <w:t>否</w:t>
            </w:r>
          </w:p>
          <w:p w14:paraId="3381BD7C">
            <w:pPr>
              <w:pStyle w:val="6"/>
              <w:spacing w:line="360" w:lineRule="auto"/>
              <w:ind w:left="0" w:leftChars="0" w:firstLine="482" w:firstLineChars="200"/>
              <w:rPr>
                <w:rFonts w:hint="eastAsia" w:asciiTheme="majorEastAsia" w:hAnsiTheme="majorEastAsia" w:eastAsiaTheme="majorEastAsia" w:cstheme="majorEastAsia"/>
                <w:b/>
                <w:bCs/>
                <w:sz w:val="24"/>
                <w:szCs w:val="24"/>
                <w:highlight w:val="none"/>
              </w:rPr>
            </w:pPr>
            <w:r>
              <w:rPr>
                <w:rFonts w:hint="eastAsia" w:asciiTheme="majorEastAsia" w:hAnsiTheme="majorEastAsia" w:eastAsiaTheme="majorEastAsia" w:cstheme="majorEastAsia"/>
                <w:b/>
                <w:bCs/>
                <w:sz w:val="24"/>
                <w:szCs w:val="24"/>
                <w:highlight w:val="none"/>
                <w:lang w:val="en-US" w:eastAsia="zh-CN"/>
              </w:rPr>
              <w:t>11.其他</w:t>
            </w:r>
            <w:r>
              <w:rPr>
                <w:rFonts w:hint="eastAsia" w:asciiTheme="majorEastAsia" w:hAnsiTheme="majorEastAsia" w:eastAsiaTheme="majorEastAsia" w:cstheme="majorEastAsia"/>
                <w:b/>
                <w:bCs/>
                <w:sz w:val="24"/>
                <w:szCs w:val="24"/>
                <w:highlight w:val="none"/>
              </w:rPr>
              <w:t>服务要求：</w:t>
            </w:r>
          </w:p>
          <w:p w14:paraId="17ACA84C">
            <w:pPr>
              <w:pStyle w:val="6"/>
              <w:spacing w:line="360" w:lineRule="auto"/>
              <w:ind w:left="0" w:leftChars="0" w:firstLine="482" w:firstLineChars="200"/>
              <w:rPr>
                <w:rFonts w:hint="eastAsia" w:asciiTheme="majorEastAsia" w:hAnsiTheme="majorEastAsia" w:eastAsiaTheme="majorEastAsia" w:cstheme="majorEastAsia"/>
                <w:b w:val="0"/>
                <w:bCs w:val="0"/>
                <w:kern w:val="2"/>
                <w:sz w:val="24"/>
                <w:szCs w:val="24"/>
                <w:highlight w:val="none"/>
                <w:lang w:val="en-US" w:eastAsia="zh-CN" w:bidi="ar-SA"/>
              </w:rPr>
            </w:pPr>
            <w:r>
              <w:rPr>
                <w:rFonts w:hint="eastAsia" w:asciiTheme="majorEastAsia" w:hAnsiTheme="majorEastAsia" w:eastAsiaTheme="majorEastAsia" w:cstheme="majorEastAsia"/>
                <w:b/>
                <w:bCs/>
                <w:kern w:val="2"/>
                <w:sz w:val="24"/>
                <w:szCs w:val="24"/>
                <w:highlight w:val="none"/>
                <w:lang w:val="en-US" w:eastAsia="zh-CN" w:bidi="ar-SA"/>
              </w:rPr>
              <w:t>日常供货时限：</w:t>
            </w:r>
            <w:r>
              <w:rPr>
                <w:rFonts w:hint="eastAsia" w:asciiTheme="majorEastAsia" w:hAnsiTheme="majorEastAsia" w:eastAsiaTheme="majorEastAsia" w:cstheme="majorEastAsia"/>
                <w:b w:val="0"/>
                <w:bCs w:val="0"/>
                <w:kern w:val="2"/>
                <w:sz w:val="24"/>
                <w:szCs w:val="24"/>
                <w:highlight w:val="none"/>
                <w:lang w:val="en-US" w:eastAsia="zh-CN" w:bidi="ar-SA"/>
              </w:rPr>
              <w:t>所需食材须在合同约定的时间内由中标人送达到指定地点；</w:t>
            </w:r>
          </w:p>
          <w:p w14:paraId="66ED1EF2">
            <w:pPr>
              <w:pStyle w:val="6"/>
              <w:spacing w:line="360" w:lineRule="auto"/>
              <w:ind w:left="0" w:leftChars="0" w:firstLine="482" w:firstLineChars="200"/>
              <w:rPr>
                <w:rFonts w:hint="default"/>
                <w:highlight w:val="none"/>
                <w:lang w:val="en-US" w:eastAsia="zh-CN"/>
              </w:rPr>
            </w:pPr>
            <w:r>
              <w:rPr>
                <w:rFonts w:hint="eastAsia" w:asciiTheme="majorEastAsia" w:hAnsiTheme="majorEastAsia" w:eastAsiaTheme="majorEastAsia" w:cstheme="majorEastAsia"/>
                <w:b/>
                <w:bCs/>
                <w:kern w:val="2"/>
                <w:sz w:val="24"/>
                <w:szCs w:val="24"/>
                <w:highlight w:val="none"/>
                <w:lang w:val="en-US" w:eastAsia="zh-CN" w:bidi="ar-SA"/>
              </w:rPr>
              <w:t>紧急需求供货时限：</w:t>
            </w:r>
            <w:r>
              <w:rPr>
                <w:rFonts w:hint="eastAsia" w:asciiTheme="majorEastAsia" w:hAnsiTheme="majorEastAsia" w:eastAsiaTheme="majorEastAsia" w:cstheme="majorEastAsia"/>
                <w:b w:val="0"/>
                <w:bCs w:val="0"/>
                <w:kern w:val="2"/>
                <w:sz w:val="24"/>
                <w:szCs w:val="24"/>
                <w:highlight w:val="none"/>
                <w:lang w:val="en-US" w:eastAsia="zh-CN" w:bidi="ar-SA"/>
              </w:rPr>
              <w:t>地处市区的采购点位如遇紧急需求时，中标人应在接到采购点位通知后2小时内送达至指定地点。</w:t>
            </w:r>
          </w:p>
        </w:tc>
      </w:tr>
    </w:tbl>
    <w:p w14:paraId="591E4653">
      <w:pPr>
        <w:pStyle w:val="11"/>
        <w:ind w:left="0" w:leftChars="0" w:firstLine="0" w:firstLineChars="0"/>
        <w:rPr>
          <w:rFonts w:hint="eastAsia"/>
          <w:highlight w:val="none"/>
          <w:lang w:val="en-US" w:eastAsia="zh-CN"/>
        </w:rPr>
      </w:pPr>
      <w:r>
        <w:rPr>
          <w:rFonts w:hint="eastAsia"/>
          <w:highlight w:val="none"/>
          <w:lang w:val="en-US" w:eastAsia="zh-CN"/>
        </w:rPr>
        <w:drawing>
          <wp:inline distT="0" distB="0" distL="114300" distR="114300">
            <wp:extent cx="5537835" cy="6356350"/>
            <wp:effectExtent l="0" t="0" r="5715" b="6350"/>
            <wp:docPr id="2" name="图片 2" descr="1ec9ed9cc38abf0ee23feeb70e54b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ec9ed9cc38abf0ee23feeb70e54b0a"/>
                    <pic:cNvPicPr>
                      <a:picLocks noChangeAspect="1"/>
                    </pic:cNvPicPr>
                  </pic:nvPicPr>
                  <pic:blipFill>
                    <a:blip r:embed="rId5"/>
                    <a:stretch>
                      <a:fillRect/>
                    </a:stretch>
                  </pic:blipFill>
                  <pic:spPr>
                    <a:xfrm>
                      <a:off x="0" y="0"/>
                      <a:ext cx="5537835" cy="6356350"/>
                    </a:xfrm>
                    <a:prstGeom prst="rect">
                      <a:avLst/>
                    </a:prstGeom>
                    <a:noFill/>
                    <a:ln>
                      <a:noFill/>
                    </a:ln>
                  </pic:spPr>
                </pic:pic>
              </a:graphicData>
            </a:graphic>
          </wp:inline>
        </w:drawing>
      </w:r>
    </w:p>
    <w:p w14:paraId="2788C1A6">
      <w:pPr>
        <w:pStyle w:val="11"/>
        <w:spacing w:line="360" w:lineRule="auto"/>
        <w:ind w:left="0" w:leftChars="0" w:firstLine="482" w:firstLineChars="200"/>
        <w:rPr>
          <w:rFonts w:hint="eastAsia"/>
          <w:highlight w:val="none"/>
          <w:lang w:val="en-US" w:eastAsia="zh-CN"/>
        </w:rPr>
      </w:pPr>
      <w:r>
        <w:rPr>
          <w:rFonts w:hint="eastAsia" w:asciiTheme="majorEastAsia" w:hAnsiTheme="majorEastAsia" w:eastAsiaTheme="majorEastAsia" w:cstheme="majorEastAsia"/>
          <w:b/>
          <w:bCs/>
          <w:color w:val="auto"/>
          <w:kern w:val="2"/>
          <w:sz w:val="24"/>
          <w:szCs w:val="24"/>
          <w:highlight w:val="none"/>
          <w:lang w:val="en-US" w:eastAsia="zh-CN" w:bidi="ar-SA"/>
        </w:rPr>
        <w:t>说明：本表为阿勒泰市发改委定期发布的《阿勒泰市重要农副产品零售价格监测周报表》，各投标人需参照阿勒泰市发改委定期发布的重要农副产品零售价格监测周报表中农副产品价格信息，结合招标人采购项目需求关于“市场价确定标准”相关内容要求，综合考虑自身报价。报价时需考虑农副品价格、产品检验检疫费、配送运输、包装、装卸、损耗、税金、各类劳保、保险等其他一切费用应在报价时一并考虑，合同履约过程中不再单独结算。</w:t>
      </w:r>
    </w:p>
    <w:p w14:paraId="57A7F8CC">
      <w:pPr>
        <w:pStyle w:val="11"/>
        <w:ind w:left="0" w:leftChars="0" w:firstLine="0" w:firstLineChars="0"/>
        <w:rPr>
          <w:rFonts w:hint="eastAsia"/>
          <w:highlight w:val="none"/>
        </w:rPr>
      </w:pPr>
    </w:p>
    <w:p w14:paraId="15F1EC59">
      <w:pPr>
        <w:pStyle w:val="11"/>
        <w:ind w:left="0" w:leftChars="0" w:firstLine="0" w:firstLineChars="0"/>
        <w:rPr>
          <w:rFonts w:hint="eastAsia"/>
          <w:highlight w:val="none"/>
        </w:rPr>
      </w:pPr>
    </w:p>
    <w:bookmarkEnd w:id="80"/>
    <w:p w14:paraId="2CEC9EBE">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第五部分 投标文件部分格式</w:t>
      </w:r>
    </w:p>
    <w:p w14:paraId="611CB036">
      <w:pPr>
        <w:pStyle w:val="10"/>
        <w:rPr>
          <w:rFonts w:hint="eastAsia" w:ascii="宋体" w:hAnsi="宋体" w:eastAsia="宋体" w:cs="宋体"/>
          <w:color w:val="auto"/>
          <w:highlight w:val="none"/>
        </w:rPr>
      </w:pPr>
    </w:p>
    <w:p w14:paraId="691141E3">
      <w:pPr>
        <w:pStyle w:val="11"/>
        <w:rPr>
          <w:rFonts w:hint="eastAsia"/>
          <w:highlight w:val="none"/>
        </w:rPr>
      </w:pPr>
    </w:p>
    <w:p w14:paraId="75C766ED">
      <w:pPr>
        <w:pStyle w:val="20"/>
        <w:jc w:val="center"/>
        <w:rPr>
          <w:rFonts w:hint="eastAsia" w:ascii="宋体" w:hAnsi="宋体" w:eastAsia="宋体" w:cs="宋体"/>
          <w:color w:val="auto"/>
          <w:sz w:val="56"/>
          <w:szCs w:val="22"/>
          <w:highlight w:val="none"/>
          <w:lang w:eastAsia="zh-CN"/>
        </w:rPr>
      </w:pPr>
      <w:r>
        <w:rPr>
          <w:rFonts w:hint="eastAsia" w:ascii="宋体" w:hAnsi="宋体" w:cs="宋体"/>
          <w:color w:val="auto"/>
          <w:sz w:val="56"/>
          <w:szCs w:val="22"/>
          <w:highlight w:val="none"/>
          <w:lang w:eastAsia="zh-CN"/>
        </w:rPr>
        <w:t>中华人民共和国吉木乃出入境边防检查站主副食配送服务采购项目</w:t>
      </w:r>
    </w:p>
    <w:p w14:paraId="61060A9F">
      <w:pPr>
        <w:pStyle w:val="20"/>
        <w:rPr>
          <w:rFonts w:hint="eastAsia" w:ascii="宋体" w:hAnsi="宋体" w:eastAsia="宋体" w:cs="宋体"/>
          <w:color w:val="auto"/>
          <w:sz w:val="56"/>
          <w:szCs w:val="22"/>
          <w:highlight w:val="none"/>
        </w:rPr>
      </w:pPr>
    </w:p>
    <w:p w14:paraId="2CCCC9DF">
      <w:pPr>
        <w:jc w:val="center"/>
        <w:rPr>
          <w:rFonts w:hint="eastAsia" w:ascii="宋体" w:hAnsi="宋体" w:eastAsia="宋体" w:cs="宋体"/>
          <w:color w:val="auto"/>
          <w:sz w:val="72"/>
          <w:highlight w:val="none"/>
        </w:rPr>
      </w:pPr>
      <w:r>
        <w:rPr>
          <w:rFonts w:hint="eastAsia" w:ascii="宋体" w:hAnsi="宋体" w:eastAsia="宋体" w:cs="宋体"/>
          <w:color w:val="auto"/>
          <w:sz w:val="56"/>
          <w:szCs w:val="20"/>
          <w:highlight w:val="none"/>
        </w:rPr>
        <w:t>投标文件</w:t>
      </w:r>
    </w:p>
    <w:p w14:paraId="23D9EE58">
      <w:pPr>
        <w:jc w:val="center"/>
        <w:rPr>
          <w:rFonts w:hint="eastAsia" w:ascii="宋体" w:hAnsi="宋体" w:eastAsia="宋体" w:cs="宋体"/>
          <w:color w:val="auto"/>
          <w:sz w:val="72"/>
          <w:highlight w:val="none"/>
        </w:rPr>
      </w:pPr>
      <w:r>
        <w:rPr>
          <w:rFonts w:hint="eastAsia" w:ascii="宋体" w:hAnsi="宋体" w:eastAsia="宋体" w:cs="宋体"/>
          <w:color w:val="auto"/>
          <w:highlight w:val="none"/>
        </w:rPr>
        <w:t xml:space="preserve">                                      </w:t>
      </w:r>
    </w:p>
    <w:p w14:paraId="02947C8E">
      <w:pPr>
        <w:jc w:val="center"/>
        <w:rPr>
          <w:rFonts w:hint="eastAsia" w:ascii="宋体" w:hAnsi="宋体" w:eastAsia="宋体" w:cs="宋体"/>
          <w:color w:val="auto"/>
          <w:sz w:val="32"/>
          <w:highlight w:val="none"/>
        </w:rPr>
      </w:pPr>
    </w:p>
    <w:p w14:paraId="4FCB9DE3">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项目名称：                                 </w:t>
      </w:r>
    </w:p>
    <w:p w14:paraId="3E22A6F7">
      <w:pPr>
        <w:pStyle w:val="14"/>
        <w:adjustRightInd w:val="0"/>
        <w:snapToGrid w:val="0"/>
        <w:spacing w:line="360" w:lineRule="auto"/>
        <w:rPr>
          <w:rFonts w:hint="eastAsia" w:ascii="宋体" w:hAnsi="宋体" w:eastAsia="宋体" w:cs="宋体"/>
          <w:b/>
          <w:color w:val="auto"/>
          <w:sz w:val="32"/>
          <w:szCs w:val="32"/>
          <w:highlight w:val="none"/>
        </w:rPr>
      </w:pPr>
      <w:r>
        <w:rPr>
          <w:rFonts w:hint="eastAsia" w:hAnsi="宋体" w:cs="宋体"/>
          <w:b/>
          <w:color w:val="auto"/>
          <w:sz w:val="32"/>
          <w:szCs w:val="32"/>
          <w:highlight w:val="none"/>
          <w:lang w:val="en-US" w:eastAsia="zh-CN"/>
        </w:rPr>
        <w:t>项目</w:t>
      </w:r>
      <w:r>
        <w:rPr>
          <w:rFonts w:hint="eastAsia" w:ascii="宋体" w:hAnsi="宋体" w:eastAsia="宋体" w:cs="宋体"/>
          <w:b/>
          <w:color w:val="auto"/>
          <w:sz w:val="32"/>
          <w:szCs w:val="32"/>
          <w:highlight w:val="none"/>
        </w:rPr>
        <w:t xml:space="preserve">编号：                                 </w:t>
      </w:r>
    </w:p>
    <w:p w14:paraId="49211A6A">
      <w:pPr>
        <w:pStyle w:val="14"/>
        <w:adjustRightInd w:val="0"/>
        <w:snapToGrid w:val="0"/>
        <w:spacing w:line="360" w:lineRule="auto"/>
        <w:rPr>
          <w:rFonts w:hint="eastAsia" w:ascii="宋体" w:hAnsi="宋体" w:eastAsia="宋体" w:cs="宋体"/>
          <w:b/>
          <w:color w:val="auto"/>
          <w:sz w:val="32"/>
          <w:szCs w:val="32"/>
          <w:highlight w:val="none"/>
        </w:rPr>
      </w:pPr>
      <w:r>
        <w:rPr>
          <w:rFonts w:hint="eastAsia" w:hAnsi="宋体" w:cs="宋体"/>
          <w:b/>
          <w:color w:val="auto"/>
          <w:sz w:val="32"/>
          <w:szCs w:val="32"/>
          <w:highlight w:val="none"/>
          <w:lang w:eastAsia="zh-CN"/>
        </w:rPr>
        <w:t>采购人</w:t>
      </w:r>
      <w:r>
        <w:rPr>
          <w:rFonts w:hint="eastAsia" w:ascii="宋体" w:hAnsi="宋体" w:eastAsia="宋体" w:cs="宋体"/>
          <w:b/>
          <w:color w:val="auto"/>
          <w:sz w:val="32"/>
          <w:szCs w:val="32"/>
          <w:highlight w:val="none"/>
        </w:rPr>
        <w:t xml:space="preserve">名称： </w:t>
      </w:r>
    </w:p>
    <w:p w14:paraId="631E5FE9">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w:t>
      </w:r>
    </w:p>
    <w:p w14:paraId="5376668A">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eastAsia="zh-CN"/>
        </w:rPr>
        <w:t>投标人</w:t>
      </w:r>
      <w:r>
        <w:rPr>
          <w:rFonts w:hint="eastAsia" w:ascii="宋体" w:hAnsi="宋体" w:eastAsia="宋体" w:cs="宋体"/>
          <w:b/>
          <w:color w:val="auto"/>
          <w:sz w:val="32"/>
          <w:szCs w:val="32"/>
          <w:highlight w:val="none"/>
        </w:rPr>
        <w:t xml:space="preserve">名称：                               </w:t>
      </w:r>
    </w:p>
    <w:p w14:paraId="3033B75A">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eastAsia="zh-CN"/>
        </w:rPr>
        <w:t>投标人</w:t>
      </w:r>
      <w:r>
        <w:rPr>
          <w:rFonts w:hint="eastAsia" w:ascii="宋体" w:hAnsi="宋体" w:eastAsia="宋体" w:cs="宋体"/>
          <w:b/>
          <w:color w:val="auto"/>
          <w:sz w:val="32"/>
          <w:szCs w:val="32"/>
          <w:highlight w:val="none"/>
        </w:rPr>
        <w:t xml:space="preserve">地址：                               </w:t>
      </w:r>
    </w:p>
    <w:p w14:paraId="40C86DCC">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联系人：                                   </w:t>
      </w:r>
    </w:p>
    <w:p w14:paraId="276505B6">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联系电话：   </w:t>
      </w:r>
    </w:p>
    <w:p w14:paraId="67928B2D">
      <w:pPr>
        <w:pStyle w:val="14"/>
        <w:adjustRightInd w:val="0"/>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w:t>
      </w:r>
    </w:p>
    <w:p w14:paraId="43899D3B">
      <w:pPr>
        <w:pStyle w:val="14"/>
        <w:adjustRightInd w:val="0"/>
        <w:snapToGrid w:val="0"/>
        <w:spacing w:line="300" w:lineRule="auto"/>
        <w:rPr>
          <w:rFonts w:hint="eastAsia" w:ascii="宋体" w:hAnsi="宋体" w:eastAsia="宋体" w:cs="宋体"/>
          <w:b/>
          <w:color w:val="auto"/>
          <w:sz w:val="32"/>
          <w:szCs w:val="32"/>
          <w:highlight w:val="none"/>
        </w:rPr>
      </w:pPr>
    </w:p>
    <w:p w14:paraId="7578E57F">
      <w:pPr>
        <w:pStyle w:val="14"/>
        <w:adjustRightInd w:val="0"/>
        <w:snapToGrid w:val="0"/>
        <w:spacing w:line="30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32"/>
          <w:szCs w:val="32"/>
          <w:highlight w:val="none"/>
        </w:rPr>
        <w:t>年     月     日</w:t>
      </w:r>
    </w:p>
    <w:p w14:paraId="70FC45B6">
      <w:pPr>
        <w:snapToGrid w:val="0"/>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目录</w:t>
      </w:r>
    </w:p>
    <w:p w14:paraId="263AF3D9">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（1）投标函（附件一）； </w:t>
      </w:r>
    </w:p>
    <w:p w14:paraId="62D81D6E">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szCs w:val="24"/>
          <w:highlight w:val="none"/>
        </w:rPr>
        <w:t>法定代表人资格证明及法定代表人授权委托书</w:t>
      </w:r>
      <w:r>
        <w:rPr>
          <w:rFonts w:hint="eastAsia" w:ascii="宋体" w:hAnsi="宋体" w:eastAsia="宋体" w:cs="宋体"/>
          <w:color w:val="auto"/>
          <w:sz w:val="24"/>
          <w:highlight w:val="none"/>
        </w:rPr>
        <w:t>（附件二）；</w:t>
      </w:r>
    </w:p>
    <w:p w14:paraId="71DA0202">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（3）参加政府采购活动前三年内在经营活动中没有重大违法记录的书面声明、</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参加政府采购承诺函、政府采购诚信承诺</w:t>
      </w:r>
      <w:r>
        <w:rPr>
          <w:rFonts w:hint="eastAsia" w:ascii="宋体" w:hAnsi="宋体" w:eastAsia="宋体" w:cs="宋体"/>
          <w:color w:val="auto"/>
          <w:sz w:val="24"/>
          <w:highlight w:val="none"/>
          <w:lang w:val="en-US" w:eastAsia="zh-CN"/>
        </w:rPr>
        <w:t>函</w:t>
      </w:r>
      <w:r>
        <w:rPr>
          <w:rFonts w:hint="eastAsia" w:ascii="宋体" w:hAnsi="宋体" w:eastAsia="宋体" w:cs="宋体"/>
          <w:color w:val="auto"/>
          <w:sz w:val="24"/>
          <w:highlight w:val="none"/>
        </w:rPr>
        <w:t>（附件三）</w:t>
      </w:r>
    </w:p>
    <w:p w14:paraId="5CF036C4">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cs="宋体"/>
          <w:color w:val="auto"/>
          <w:sz w:val="24"/>
          <w:highlight w:val="none"/>
          <w:lang w:val="en-US" w:eastAsia="zh-CN"/>
        </w:rPr>
        <w:t>报价</w:t>
      </w:r>
      <w:r>
        <w:rPr>
          <w:rFonts w:hint="eastAsia" w:ascii="宋体" w:hAnsi="宋体" w:eastAsia="宋体" w:cs="宋体"/>
          <w:color w:val="auto"/>
          <w:sz w:val="24"/>
          <w:highlight w:val="none"/>
        </w:rPr>
        <w:t>一览表（附件四）；</w:t>
      </w:r>
    </w:p>
    <w:p w14:paraId="37AD86F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szCs w:val="24"/>
          <w:highlight w:val="none"/>
        </w:rPr>
        <w:t>资格证明文件</w:t>
      </w:r>
      <w:r>
        <w:rPr>
          <w:rFonts w:hint="eastAsia" w:ascii="宋体" w:hAnsi="宋体" w:eastAsia="宋体" w:cs="宋体"/>
          <w:color w:val="auto"/>
          <w:sz w:val="24"/>
          <w:highlight w:val="none"/>
        </w:rPr>
        <w:t>（附件五）；</w:t>
      </w:r>
    </w:p>
    <w:p w14:paraId="5C224B69">
      <w:pPr>
        <w:snapToGrid w:val="0"/>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（6）</w:t>
      </w:r>
      <w:r>
        <w:rPr>
          <w:rFonts w:hint="eastAsia" w:ascii="宋体" w:hAnsi="宋体" w:cs="宋体"/>
          <w:color w:val="auto"/>
          <w:sz w:val="24"/>
          <w:highlight w:val="none"/>
          <w:lang w:val="en-US" w:eastAsia="zh-CN"/>
        </w:rPr>
        <w:t>商务部分：</w:t>
      </w:r>
    </w:p>
    <w:p w14:paraId="638B745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宋体" w:hAnsi="宋体" w:cs="宋体"/>
          <w:color w:val="auto"/>
          <w:sz w:val="24"/>
          <w:highlight w:val="none"/>
          <w:lang w:val="en-US" w:eastAsia="zh-CN"/>
        </w:rPr>
        <w:t>同类</w:t>
      </w:r>
      <w:r>
        <w:rPr>
          <w:rFonts w:hint="eastAsia" w:ascii="宋体" w:hAnsi="宋体" w:eastAsia="宋体" w:cs="宋体"/>
          <w:color w:val="auto"/>
          <w:sz w:val="24"/>
          <w:szCs w:val="24"/>
          <w:highlight w:val="none"/>
        </w:rPr>
        <w:t>业绩（近三年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rPr>
        <w:t>1日-至今</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主副食材配送</w:t>
      </w:r>
      <w:r>
        <w:rPr>
          <w:rFonts w:hint="eastAsia" w:ascii="宋体" w:hAnsi="宋体" w:eastAsia="宋体" w:cs="宋体"/>
          <w:color w:val="auto"/>
          <w:sz w:val="24"/>
          <w:szCs w:val="24"/>
          <w:highlight w:val="none"/>
        </w:rPr>
        <w:t>服务项目）</w:t>
      </w:r>
      <w:r>
        <w:rPr>
          <w:rFonts w:hint="eastAsia" w:ascii="宋体" w:hAnsi="宋体" w:eastAsia="宋体" w:cs="宋体"/>
          <w:color w:val="auto"/>
          <w:sz w:val="24"/>
          <w:highlight w:val="none"/>
        </w:rPr>
        <w:t>（附件六）；</w:t>
      </w:r>
    </w:p>
    <w:p w14:paraId="78419B0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②仓储（如有）、配送车辆、人员配备（</w:t>
      </w:r>
      <w:r>
        <w:rPr>
          <w:rFonts w:hint="eastAsia" w:ascii="宋体" w:hAnsi="宋体" w:eastAsia="宋体" w:cs="宋体"/>
          <w:color w:val="auto"/>
          <w:sz w:val="24"/>
          <w:highlight w:val="none"/>
        </w:rPr>
        <w:t>附件七</w:t>
      </w:r>
      <w:r>
        <w:rPr>
          <w:rFonts w:hint="eastAsia" w:ascii="宋体" w:hAnsi="宋体" w:eastAsia="宋体" w:cs="宋体"/>
          <w:color w:val="auto"/>
          <w:sz w:val="24"/>
          <w:highlight w:val="none"/>
          <w:lang w:val="en-US" w:eastAsia="zh-CN"/>
        </w:rPr>
        <w:t>）</w:t>
      </w:r>
    </w:p>
    <w:p w14:paraId="785AC22F">
      <w:pPr>
        <w:numPr>
          <w:ilvl w:val="0"/>
          <w:numId w:val="0"/>
        </w:numPr>
        <w:snapToGrid w:val="0"/>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（7）技术部分（附件八）：</w:t>
      </w:r>
    </w:p>
    <w:p w14:paraId="7BC3F6A6">
      <w:pPr>
        <w:numPr>
          <w:ilvl w:val="0"/>
          <w:numId w:val="0"/>
        </w:numPr>
        <w:snapToGrid w:val="0"/>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宋体" w:hAnsi="宋体" w:eastAsia="宋体" w:cs="宋体"/>
          <w:color w:val="auto"/>
          <w:sz w:val="24"/>
          <w:szCs w:val="24"/>
          <w:highlight w:val="none"/>
          <w:lang w:val="en-US" w:eastAsia="zh-CN"/>
        </w:rPr>
        <w:t>供货渠道</w:t>
      </w:r>
      <w:r>
        <w:rPr>
          <w:rFonts w:hint="eastAsia" w:ascii="宋体" w:hAnsi="宋体" w:cs="宋体"/>
          <w:color w:val="auto"/>
          <w:sz w:val="24"/>
          <w:szCs w:val="24"/>
          <w:highlight w:val="none"/>
          <w:lang w:val="en-US" w:eastAsia="zh-CN"/>
        </w:rPr>
        <w:t>（如有）</w:t>
      </w:r>
    </w:p>
    <w:p w14:paraId="4962A3B1">
      <w:pPr>
        <w:numPr>
          <w:ilvl w:val="0"/>
          <w:numId w:val="0"/>
        </w:numPr>
        <w:snapToGrid w:val="0"/>
        <w:spacing w:line="360" w:lineRule="auto"/>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②</w:t>
      </w:r>
      <w:r>
        <w:rPr>
          <w:rFonts w:hint="eastAsia" w:ascii="宋体" w:hAnsi="宋体" w:eastAsia="宋体" w:cs="宋体"/>
          <w:color w:val="auto"/>
          <w:kern w:val="0"/>
          <w:sz w:val="24"/>
          <w:szCs w:val="24"/>
          <w:highlight w:val="none"/>
          <w:lang w:val="en-US" w:eastAsia="zh-CN"/>
        </w:rPr>
        <w:t>供货服务方案</w:t>
      </w:r>
    </w:p>
    <w:p w14:paraId="5A16C492">
      <w:pPr>
        <w:keepNext w:val="0"/>
        <w:keepLines w:val="0"/>
        <w:widowControl/>
        <w:suppressLineNumbers w:val="0"/>
        <w:spacing w:line="360" w:lineRule="auto"/>
        <w:ind w:firstLine="480" w:firstLineChars="200"/>
        <w:jc w:val="both"/>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auto"/>
          <w:sz w:val="24"/>
          <w:highlight w:val="none"/>
          <w:lang w:val="en-US" w:eastAsia="zh-CN"/>
        </w:rPr>
        <w:t>③</w:t>
      </w:r>
      <w:r>
        <w:rPr>
          <w:rFonts w:hint="eastAsia" w:ascii="宋体" w:hAnsi="宋体" w:cs="宋体"/>
          <w:color w:val="000000"/>
          <w:kern w:val="0"/>
          <w:sz w:val="24"/>
          <w:szCs w:val="24"/>
          <w:highlight w:val="none"/>
          <w:lang w:val="en-US" w:eastAsia="zh-CN" w:bidi="ar"/>
        </w:rPr>
        <w:t>食品安全与</w:t>
      </w:r>
      <w:r>
        <w:rPr>
          <w:rFonts w:hint="eastAsia" w:ascii="宋体" w:hAnsi="宋体" w:eastAsia="宋体" w:cs="宋体"/>
          <w:color w:val="000000"/>
          <w:kern w:val="0"/>
          <w:sz w:val="24"/>
          <w:szCs w:val="24"/>
          <w:highlight w:val="none"/>
          <w:lang w:val="en-US" w:eastAsia="zh-CN" w:bidi="ar"/>
        </w:rPr>
        <w:t>质量保障方案</w:t>
      </w:r>
    </w:p>
    <w:p w14:paraId="5ED30AAA">
      <w:pPr>
        <w:keepNext w:val="0"/>
        <w:keepLines w:val="0"/>
        <w:widowControl/>
        <w:suppressLineNumbers w:val="0"/>
        <w:spacing w:line="360" w:lineRule="auto"/>
        <w:ind w:firstLine="480" w:firstLineChars="20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④</w:t>
      </w:r>
      <w:r>
        <w:rPr>
          <w:rFonts w:hint="eastAsia" w:ascii="宋体" w:hAnsi="宋体" w:eastAsia="宋体" w:cs="宋体"/>
          <w:color w:val="auto"/>
          <w:kern w:val="0"/>
          <w:sz w:val="24"/>
          <w:szCs w:val="24"/>
          <w:highlight w:val="none"/>
          <w:lang w:val="en-US" w:eastAsia="zh-CN"/>
        </w:rPr>
        <w:t>实施管理及配送方案</w:t>
      </w:r>
    </w:p>
    <w:p w14:paraId="18E9AD9E">
      <w:pPr>
        <w:keepNext w:val="0"/>
        <w:keepLines w:val="0"/>
        <w:widowControl/>
        <w:suppressLineNumbers w:val="0"/>
        <w:spacing w:line="360" w:lineRule="auto"/>
        <w:ind w:firstLine="480" w:firstLineChars="200"/>
        <w:jc w:val="both"/>
        <w:rPr>
          <w:rFonts w:hint="eastAsia" w:ascii="宋体" w:hAnsi="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⑤</w:t>
      </w:r>
      <w:r>
        <w:rPr>
          <w:rFonts w:hint="eastAsia" w:ascii="宋体" w:hAnsi="宋体" w:cs="宋体"/>
          <w:color w:val="auto"/>
          <w:kern w:val="0"/>
          <w:sz w:val="24"/>
          <w:szCs w:val="24"/>
          <w:highlight w:val="none"/>
          <w:lang w:val="en-US" w:eastAsia="zh-CN"/>
        </w:rPr>
        <w:t>临时响应时效</w:t>
      </w:r>
    </w:p>
    <w:p w14:paraId="649BB7AD">
      <w:pPr>
        <w:keepNext w:val="0"/>
        <w:keepLines w:val="0"/>
        <w:widowControl/>
        <w:suppressLineNumbers w:val="0"/>
        <w:spacing w:line="360" w:lineRule="auto"/>
        <w:ind w:firstLine="480" w:firstLineChars="200"/>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⑥</w:t>
      </w:r>
      <w:r>
        <w:rPr>
          <w:rFonts w:hint="eastAsia" w:ascii="宋体" w:hAnsi="宋体" w:eastAsia="宋体" w:cs="宋体"/>
          <w:color w:val="auto"/>
          <w:kern w:val="0"/>
          <w:sz w:val="24"/>
          <w:szCs w:val="24"/>
          <w:highlight w:val="none"/>
          <w:lang w:val="en-US" w:eastAsia="zh-CN"/>
        </w:rPr>
        <w:t>应急情况处理方案</w:t>
      </w:r>
    </w:p>
    <w:p w14:paraId="0AB9F97A">
      <w:pPr>
        <w:keepNext w:val="0"/>
        <w:keepLines w:val="0"/>
        <w:widowControl/>
        <w:suppressLineNumbers w:val="0"/>
        <w:spacing w:line="360" w:lineRule="auto"/>
        <w:ind w:firstLine="480" w:firstLineChars="200"/>
        <w:jc w:val="both"/>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lang w:val="en-US" w:eastAsia="zh-CN"/>
        </w:rPr>
        <w:t>⑦</w:t>
      </w:r>
      <w:r>
        <w:rPr>
          <w:rFonts w:hint="eastAsia" w:ascii="宋体" w:hAnsi="宋体" w:cs="宋体"/>
          <w:color w:val="auto"/>
          <w:kern w:val="0"/>
          <w:sz w:val="24"/>
          <w:szCs w:val="24"/>
          <w:highlight w:val="none"/>
          <w:lang w:val="en-US" w:eastAsia="zh-CN"/>
        </w:rPr>
        <w:t>后期服承诺及改进方案</w:t>
      </w:r>
    </w:p>
    <w:p w14:paraId="4EDE4B1D">
      <w:pPr>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r>
        <w:rPr>
          <w:rFonts w:hint="eastAsia" w:ascii="宋体" w:hAnsi="宋体" w:cs="宋体"/>
          <w:color w:val="auto"/>
          <w:sz w:val="24"/>
          <w:szCs w:val="24"/>
          <w:highlight w:val="none"/>
          <w:lang w:val="en-US" w:eastAsia="zh-CN"/>
        </w:rPr>
        <w:t>食材供应安全保证承诺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highlight w:val="none"/>
        </w:rPr>
        <w:t>附件</w:t>
      </w:r>
      <w:r>
        <w:rPr>
          <w:rFonts w:hint="eastAsia" w:ascii="宋体" w:hAnsi="宋体" w:cs="宋体"/>
          <w:color w:val="auto"/>
          <w:sz w:val="24"/>
          <w:highlight w:val="none"/>
          <w:lang w:val="en-US" w:eastAsia="zh-CN"/>
        </w:rPr>
        <w:t>九</w:t>
      </w:r>
      <w:r>
        <w:rPr>
          <w:rFonts w:hint="eastAsia" w:ascii="宋体" w:hAnsi="宋体" w:eastAsia="宋体" w:cs="宋体"/>
          <w:color w:val="auto"/>
          <w:sz w:val="24"/>
          <w:highlight w:val="none"/>
        </w:rPr>
        <w:t>）</w:t>
      </w:r>
    </w:p>
    <w:p w14:paraId="0A782827">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（9）</w:t>
      </w:r>
      <w:r>
        <w:rPr>
          <w:rFonts w:hint="eastAsia" w:ascii="宋体" w:hAnsi="宋体" w:eastAsia="宋体" w:cs="宋体"/>
          <w:color w:val="auto"/>
          <w:sz w:val="24"/>
          <w:szCs w:val="24"/>
          <w:highlight w:val="none"/>
        </w:rPr>
        <w:t>其他有利本次招标的资料</w:t>
      </w:r>
      <w:r>
        <w:rPr>
          <w:rFonts w:hint="eastAsia" w:ascii="宋体" w:hAnsi="宋体" w:eastAsia="宋体" w:cs="宋体"/>
          <w:color w:val="auto"/>
          <w:sz w:val="24"/>
          <w:highlight w:val="none"/>
        </w:rPr>
        <w:t>（附件十）</w:t>
      </w:r>
    </w:p>
    <w:p w14:paraId="2E9432EC">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highlight w:val="none"/>
          <w:lang w:val="en-US" w:eastAsia="zh-CN"/>
        </w:rPr>
        <w:t>中小企业声明函</w:t>
      </w:r>
      <w:r>
        <w:rPr>
          <w:rFonts w:hint="eastAsia" w:ascii="宋体" w:hAnsi="宋体" w:eastAsia="宋体" w:cs="宋体"/>
          <w:color w:val="auto"/>
          <w:sz w:val="24"/>
          <w:highlight w:val="none"/>
        </w:rPr>
        <w:t>（附件十</w:t>
      </w:r>
      <w:r>
        <w:rPr>
          <w:rFonts w:hint="eastAsia" w:ascii="宋体" w:hAnsi="宋体" w:cs="宋体"/>
          <w:color w:val="auto"/>
          <w:sz w:val="24"/>
          <w:highlight w:val="none"/>
          <w:lang w:val="en-US" w:eastAsia="zh-CN"/>
        </w:rPr>
        <w:t>一</w:t>
      </w:r>
      <w:r>
        <w:rPr>
          <w:rFonts w:hint="eastAsia" w:ascii="宋体" w:hAnsi="宋体" w:eastAsia="宋体" w:cs="宋体"/>
          <w:color w:val="auto"/>
          <w:sz w:val="24"/>
          <w:highlight w:val="none"/>
        </w:rPr>
        <w:t>）</w:t>
      </w:r>
    </w:p>
    <w:p w14:paraId="49618D37">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备注：未提供附件格式的，格式可自拟。</w:t>
      </w:r>
    </w:p>
    <w:p w14:paraId="27D55244">
      <w:pPr>
        <w:snapToGrid w:val="0"/>
        <w:spacing w:line="360" w:lineRule="auto"/>
        <w:ind w:firstLine="360" w:firstLineChars="150"/>
        <w:jc w:val="left"/>
        <w:rPr>
          <w:rFonts w:hint="eastAsia" w:ascii="宋体" w:hAnsi="宋体" w:eastAsia="宋体" w:cs="宋体"/>
          <w:color w:val="auto"/>
          <w:sz w:val="24"/>
          <w:highlight w:val="none"/>
        </w:rPr>
      </w:pPr>
    </w:p>
    <w:p w14:paraId="2EF55154">
      <w:pPr>
        <w:pStyle w:val="10"/>
        <w:rPr>
          <w:rFonts w:hint="eastAsia" w:ascii="宋体" w:hAnsi="宋体" w:eastAsia="宋体" w:cs="宋体"/>
          <w:color w:val="auto"/>
          <w:highlight w:val="none"/>
        </w:rPr>
      </w:pPr>
    </w:p>
    <w:p w14:paraId="3649BF83">
      <w:pPr>
        <w:pStyle w:val="12"/>
        <w:rPr>
          <w:rFonts w:hint="eastAsia" w:ascii="宋体" w:hAnsi="宋体" w:eastAsia="宋体" w:cs="宋体"/>
          <w:color w:val="auto"/>
          <w:highlight w:val="none"/>
        </w:rPr>
      </w:pPr>
    </w:p>
    <w:p w14:paraId="2F2DC78B">
      <w:pPr>
        <w:rPr>
          <w:rFonts w:hint="eastAsia" w:ascii="宋体" w:hAnsi="宋体" w:eastAsia="宋体" w:cs="宋体"/>
          <w:color w:val="auto"/>
          <w:highlight w:val="none"/>
        </w:rPr>
      </w:pPr>
    </w:p>
    <w:p w14:paraId="6F92A0CA">
      <w:pPr>
        <w:pStyle w:val="10"/>
        <w:rPr>
          <w:rFonts w:hint="eastAsia" w:ascii="宋体" w:hAnsi="宋体" w:eastAsia="宋体" w:cs="宋体"/>
          <w:color w:val="auto"/>
          <w:highlight w:val="none"/>
        </w:rPr>
      </w:pPr>
    </w:p>
    <w:p w14:paraId="72DE8817">
      <w:pPr>
        <w:pStyle w:val="12"/>
        <w:rPr>
          <w:rFonts w:hint="eastAsia" w:ascii="宋体" w:hAnsi="宋体" w:eastAsia="宋体" w:cs="宋体"/>
          <w:color w:val="auto"/>
          <w:highlight w:val="none"/>
        </w:rPr>
      </w:pPr>
    </w:p>
    <w:p w14:paraId="4E0BDFFD">
      <w:pP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br w:type="page"/>
      </w:r>
    </w:p>
    <w:p w14:paraId="7952765E">
      <w:pP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附件一</w:t>
      </w:r>
    </w:p>
    <w:p w14:paraId="3A88BE0B">
      <w:pPr>
        <w:snapToGrid w:val="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投  标  函</w:t>
      </w:r>
    </w:p>
    <w:p w14:paraId="3CA02CDB">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致：</w:t>
      </w:r>
      <w:r>
        <w:rPr>
          <w:rFonts w:hint="eastAsia" w:ascii="宋体" w:hAnsi="宋体" w:cs="宋体"/>
          <w:color w:val="auto"/>
          <w:sz w:val="24"/>
          <w:highlight w:val="none"/>
          <w:u w:val="single"/>
          <w:lang w:eastAsia="zh-CN"/>
        </w:rPr>
        <w:t>中华人民共和国吉木乃出入境边防检查站</w:t>
      </w:r>
    </w:p>
    <w:p w14:paraId="631720B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经研究，我们决定参加：</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项目名称</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项目编号</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的招投标活动，为此，我方正式授权</w:t>
      </w:r>
      <w:r>
        <w:rPr>
          <w:rFonts w:hint="eastAsia" w:ascii="宋体" w:hAnsi="宋体" w:eastAsia="宋体" w:cs="宋体"/>
          <w:color w:val="auto"/>
          <w:sz w:val="24"/>
          <w:highlight w:val="none"/>
          <w:u w:val="none"/>
          <w:lang w:val="en-US"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（授权代表）</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代表我单位签署投标文件，郑重声明以下诸点并负法律责任。</w:t>
      </w:r>
    </w:p>
    <w:p w14:paraId="36D3442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一</w:t>
      </w:r>
      <w:r>
        <w:rPr>
          <w:rFonts w:hint="eastAsia" w:ascii="宋体" w:hAnsi="宋体" w:eastAsia="宋体" w:cs="宋体"/>
          <w:color w:val="auto"/>
          <w:sz w:val="24"/>
          <w:highlight w:val="none"/>
        </w:rPr>
        <w:t>、如果我方的投标文件被接受，我方将履行招标文件中规定的每项要求，并按我方投标文件中的承诺按期、按质、按量履约；</w:t>
      </w:r>
    </w:p>
    <w:p w14:paraId="27A6C2C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、我方完全理解，最低报价不是中标的唯一条件；</w:t>
      </w:r>
    </w:p>
    <w:p w14:paraId="715A7F6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、我方愿按《中华人民共和国民法典》及其他有关法律、法规的规定，自觉履行自己的全部责任；</w:t>
      </w:r>
    </w:p>
    <w:p w14:paraId="6DCEFC2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、我方同意按招标文件的规定交纳投标保证金、代理服务费，遵守贵方有关投标的各项规定；</w:t>
      </w:r>
    </w:p>
    <w:p w14:paraId="43BF321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若发现我方在投标过程中提供虚假证明文件，故意隐瞒单位不良信誉、业绩及财务状况，以及存在可能对合同圆满履行造成风险的其他因素等，则按规定取消中标资格，监管部门依法进行处理。</w:t>
      </w:r>
    </w:p>
    <w:p w14:paraId="74FE233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六</w:t>
      </w:r>
      <w:r>
        <w:rPr>
          <w:rFonts w:hint="eastAsia" w:ascii="宋体" w:hAnsi="宋体" w:eastAsia="宋体" w:cs="宋体"/>
          <w:color w:val="auto"/>
          <w:sz w:val="24"/>
          <w:highlight w:val="none"/>
        </w:rPr>
        <w:t>、我方的投标文件有效期为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none"/>
          <w:lang w:val="en-US" w:eastAsia="zh-CN"/>
        </w:rPr>
        <w:t>个</w:t>
      </w:r>
      <w:r>
        <w:rPr>
          <w:rFonts w:hint="eastAsia" w:ascii="宋体" w:hAnsi="宋体" w:eastAsia="宋体" w:cs="宋体"/>
          <w:color w:val="auto"/>
          <w:sz w:val="24"/>
          <w:highlight w:val="none"/>
        </w:rPr>
        <w:t>日历日。</w:t>
      </w:r>
    </w:p>
    <w:p w14:paraId="5924A8F8">
      <w:pPr>
        <w:snapToGrid w:val="0"/>
        <w:spacing w:line="480" w:lineRule="auto"/>
        <w:ind w:right="105" w:rightChars="50" w:firstLine="480" w:firstLineChars="200"/>
        <w:rPr>
          <w:rFonts w:hint="eastAsia" w:ascii="宋体" w:hAnsi="宋体" w:eastAsia="宋体" w:cs="宋体"/>
          <w:b w:val="0"/>
          <w:bCs/>
          <w:color w:val="auto"/>
          <w:sz w:val="24"/>
          <w:szCs w:val="24"/>
          <w:highlight w:val="none"/>
        </w:rPr>
      </w:pPr>
    </w:p>
    <w:p w14:paraId="1CAB48B9">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18DF97EF">
      <w:pPr>
        <w:snapToGrid w:val="0"/>
        <w:spacing w:line="480" w:lineRule="auto"/>
        <w:ind w:right="105" w:rightChars="50" w:firstLine="480" w:firstLineChars="200"/>
        <w:rPr>
          <w:rFonts w:hint="eastAsia" w:ascii="宋体" w:hAnsi="宋体" w:eastAsia="宋体" w:cs="宋体"/>
          <w:i w:val="0"/>
          <w:iCs w:val="0"/>
          <w:color w:val="auto"/>
          <w:sz w:val="24"/>
          <w:highlight w:val="none"/>
          <w:u w:val="single"/>
          <w:lang w:val="en-US" w:eastAsia="zh-CN"/>
        </w:rPr>
      </w:pPr>
      <w:r>
        <w:rPr>
          <w:rFonts w:hint="eastAsia" w:ascii="宋体" w:hAnsi="宋体" w:eastAsia="宋体" w:cs="宋体"/>
          <w:color w:val="auto"/>
          <w:sz w:val="24"/>
          <w:highlight w:val="none"/>
        </w:rPr>
        <w:t>法定代表人（签字或盖章）</w:t>
      </w:r>
      <w:r>
        <w:rPr>
          <w:rFonts w:hint="eastAsia" w:ascii="宋体" w:hAnsi="宋体" w:eastAsia="宋体" w:cs="宋体"/>
          <w:color w:val="auto"/>
          <w:sz w:val="24"/>
          <w:highlight w:val="none"/>
          <w:lang w:eastAsia="zh-CN"/>
        </w:rPr>
        <w:t>：</w:t>
      </w:r>
      <w:r>
        <w:rPr>
          <w:rFonts w:hint="eastAsia" w:ascii="宋体" w:hAnsi="宋体" w:eastAsia="宋体" w:cs="宋体"/>
          <w:i w:val="0"/>
          <w:iCs w:val="0"/>
          <w:color w:val="auto"/>
          <w:sz w:val="24"/>
          <w:highlight w:val="none"/>
          <w:u w:val="single"/>
          <w:lang w:val="en-US" w:eastAsia="zh-CN"/>
        </w:rPr>
        <w:t xml:space="preserve">          </w:t>
      </w:r>
    </w:p>
    <w:p w14:paraId="44113D22">
      <w:pPr>
        <w:snapToGrid w:val="0"/>
        <w:spacing w:line="720" w:lineRule="auto"/>
        <w:ind w:firstLine="480" w:firstLineChars="200"/>
        <w:rPr>
          <w:rFonts w:hint="eastAsia" w:ascii="宋体" w:hAnsi="宋体" w:eastAsia="宋体" w:cs="宋体"/>
          <w:color w:val="auto"/>
          <w:sz w:val="24"/>
          <w:highlight w:val="none"/>
          <w:u w:val="none"/>
          <w:lang w:val="en-US" w:eastAsia="zh-CN"/>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532087EC">
      <w:pPr>
        <w:pStyle w:val="6"/>
        <w:rPr>
          <w:rFonts w:hint="eastAsia" w:ascii="宋体" w:hAnsi="宋体" w:eastAsia="宋体" w:cs="宋体"/>
          <w:color w:val="auto"/>
          <w:sz w:val="24"/>
          <w:highlight w:val="none"/>
        </w:rPr>
      </w:pPr>
    </w:p>
    <w:p w14:paraId="56063C3D">
      <w:pPr>
        <w:pStyle w:val="6"/>
        <w:rPr>
          <w:rFonts w:hint="eastAsia" w:ascii="宋体" w:hAnsi="宋体" w:eastAsia="宋体" w:cs="宋体"/>
          <w:color w:val="auto"/>
          <w:sz w:val="24"/>
          <w:highlight w:val="none"/>
        </w:rPr>
      </w:pPr>
    </w:p>
    <w:p w14:paraId="275CBD53">
      <w:pPr>
        <w:pStyle w:val="6"/>
        <w:rPr>
          <w:rFonts w:hint="eastAsia" w:ascii="宋体" w:hAnsi="宋体" w:eastAsia="宋体" w:cs="宋体"/>
          <w:color w:val="auto"/>
          <w:sz w:val="24"/>
          <w:highlight w:val="none"/>
        </w:rPr>
      </w:pPr>
    </w:p>
    <w:p w14:paraId="4B097C3D">
      <w:pPr>
        <w:pStyle w:val="6"/>
        <w:rPr>
          <w:rFonts w:hint="eastAsia" w:ascii="宋体" w:hAnsi="宋体" w:eastAsia="宋体" w:cs="宋体"/>
          <w:color w:val="auto"/>
          <w:sz w:val="24"/>
          <w:highlight w:val="none"/>
        </w:rPr>
      </w:pPr>
    </w:p>
    <w:p w14:paraId="5F6832D6">
      <w:pP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附件二</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法定代表人身份证明 （法定代表人参加投标的）</w:t>
      </w:r>
    </w:p>
    <w:p w14:paraId="3A86FF79">
      <w:pPr>
        <w:snapToGrid w:val="0"/>
        <w:spacing w:line="360" w:lineRule="auto"/>
        <w:jc w:val="center"/>
        <w:rPr>
          <w:rFonts w:hint="eastAsia" w:ascii="宋体" w:hAnsi="宋体" w:eastAsia="宋体" w:cs="宋体"/>
          <w:b/>
          <w:color w:val="auto"/>
          <w:sz w:val="28"/>
          <w:szCs w:val="28"/>
          <w:highlight w:val="none"/>
        </w:rPr>
      </w:pPr>
    </w:p>
    <w:p w14:paraId="15500438">
      <w:pPr>
        <w:snapToGrid w:val="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（1）法定代表人身份证明</w:t>
      </w:r>
    </w:p>
    <w:p w14:paraId="30477909">
      <w:pPr>
        <w:spacing w:line="720" w:lineRule="auto"/>
        <w:ind w:firstLine="820" w:firstLineChars="342"/>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投标人名称：</w:t>
      </w:r>
    </w:p>
    <w:p w14:paraId="7DA8BB8B">
      <w:pPr>
        <w:spacing w:line="720" w:lineRule="auto"/>
        <w:ind w:firstLine="820" w:firstLineChars="342"/>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778DBD23">
      <w:pPr>
        <w:spacing w:line="720" w:lineRule="auto"/>
        <w:ind w:firstLine="820" w:firstLineChars="342"/>
        <w:rPr>
          <w:rFonts w:hint="eastAsia" w:ascii="宋体" w:hAnsi="宋体" w:eastAsia="宋体" w:cs="宋体"/>
          <w:color w:val="auto"/>
          <w:sz w:val="24"/>
          <w:highlight w:val="none"/>
        </w:rPr>
      </w:pPr>
      <w:r>
        <w:rPr>
          <w:rFonts w:hint="eastAsia" w:ascii="宋体" w:hAnsi="宋体" w:eastAsia="宋体" w:cs="宋体"/>
          <w:color w:val="auto"/>
          <w:sz w:val="24"/>
          <w:highlight w:val="none"/>
        </w:rPr>
        <w:t>姓名：                             性别：</w:t>
      </w:r>
    </w:p>
    <w:p w14:paraId="22EF358E">
      <w:pPr>
        <w:spacing w:line="720" w:lineRule="auto"/>
        <w:ind w:firstLine="820" w:firstLineChars="342"/>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年龄：                             职务：</w:t>
      </w:r>
    </w:p>
    <w:p w14:paraId="4664E097">
      <w:pPr>
        <w:spacing w:line="720" w:lineRule="auto"/>
        <w:ind w:firstLine="820" w:firstLineChars="342"/>
        <w:rPr>
          <w:rFonts w:hint="eastAsia" w:ascii="宋体" w:hAnsi="宋体" w:eastAsia="宋体" w:cs="宋体"/>
          <w:color w:val="auto"/>
          <w:sz w:val="24"/>
          <w:highlight w:val="none"/>
        </w:rPr>
      </w:pP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的法定代表人。</w:t>
      </w:r>
    </w:p>
    <w:p w14:paraId="3A52222A">
      <w:pPr>
        <w:spacing w:line="720" w:lineRule="auto"/>
        <w:ind w:firstLine="820" w:firstLineChars="342"/>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233BFBA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附：法定代表人身份证复印件（正反面）</w:t>
      </w:r>
    </w:p>
    <w:tbl>
      <w:tblPr>
        <w:tblStyle w:val="25"/>
        <w:tblW w:w="7845" w:type="dxa"/>
        <w:tblInd w:w="6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885"/>
        <w:gridCol w:w="3960"/>
      </w:tblGrid>
      <w:tr w14:paraId="2B511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1" w:hRule="atLeast"/>
        </w:trPr>
        <w:tc>
          <w:tcPr>
            <w:tcW w:w="3885" w:type="dxa"/>
            <w:vAlign w:val="center"/>
          </w:tcPr>
          <w:p w14:paraId="480820CE">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法定代表人身份证复印件（</w:t>
            </w:r>
            <w:r>
              <w:rPr>
                <w:rFonts w:hint="eastAsia" w:ascii="宋体" w:hAnsi="宋体" w:eastAsia="宋体" w:cs="宋体"/>
                <w:color w:val="auto"/>
                <w:sz w:val="24"/>
                <w:highlight w:val="none"/>
                <w:lang w:val="en-US" w:eastAsia="zh-CN"/>
              </w:rPr>
              <w:t>国徽面</w:t>
            </w:r>
            <w:r>
              <w:rPr>
                <w:rFonts w:hint="eastAsia" w:ascii="宋体" w:hAnsi="宋体" w:eastAsia="宋体" w:cs="宋体"/>
                <w:color w:val="auto"/>
                <w:sz w:val="24"/>
                <w:highlight w:val="none"/>
              </w:rPr>
              <w:t>）</w:t>
            </w:r>
          </w:p>
        </w:tc>
        <w:tc>
          <w:tcPr>
            <w:tcW w:w="3960" w:type="dxa"/>
            <w:tcMar>
              <w:top w:w="0" w:type="dxa"/>
              <w:left w:w="108" w:type="dxa"/>
              <w:bottom w:w="0" w:type="dxa"/>
              <w:right w:w="108" w:type="dxa"/>
            </w:tcMar>
            <w:vAlign w:val="center"/>
          </w:tcPr>
          <w:p w14:paraId="2A560D26">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法定代表人身份证复印件（</w:t>
            </w:r>
            <w:r>
              <w:rPr>
                <w:rFonts w:hint="eastAsia" w:ascii="宋体" w:hAnsi="宋体" w:eastAsia="宋体" w:cs="宋体"/>
                <w:color w:val="auto"/>
                <w:sz w:val="24"/>
                <w:highlight w:val="none"/>
                <w:lang w:val="en-US" w:eastAsia="zh-CN"/>
              </w:rPr>
              <w:t>人像面</w:t>
            </w:r>
            <w:r>
              <w:rPr>
                <w:rFonts w:hint="eastAsia" w:ascii="宋体" w:hAnsi="宋体" w:eastAsia="宋体" w:cs="宋体"/>
                <w:color w:val="auto"/>
                <w:sz w:val="24"/>
                <w:highlight w:val="none"/>
              </w:rPr>
              <w:t>）</w:t>
            </w:r>
          </w:p>
        </w:tc>
      </w:tr>
    </w:tbl>
    <w:p w14:paraId="52DBA11E">
      <w:pPr>
        <w:spacing w:line="360" w:lineRule="auto"/>
        <w:rPr>
          <w:rFonts w:hint="eastAsia" w:ascii="宋体" w:hAnsi="宋体" w:eastAsia="宋体" w:cs="宋体"/>
          <w:color w:val="auto"/>
          <w:sz w:val="24"/>
          <w:highlight w:val="none"/>
        </w:rPr>
      </w:pPr>
    </w:p>
    <w:p w14:paraId="531CA47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278B0DA6">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50FF5B21">
      <w:pPr>
        <w:snapToGrid w:val="0"/>
        <w:spacing w:line="480" w:lineRule="auto"/>
        <w:ind w:right="105" w:rightChars="50" w:firstLine="480" w:firstLineChars="200"/>
        <w:rPr>
          <w:rFonts w:hint="eastAsia" w:ascii="宋体" w:hAnsi="宋体" w:eastAsia="宋体" w:cs="宋体"/>
          <w:i w:val="0"/>
          <w:iCs w:val="0"/>
          <w:color w:val="auto"/>
          <w:sz w:val="24"/>
          <w:highlight w:val="none"/>
          <w:u w:val="single"/>
          <w:lang w:val="en-US" w:eastAsia="zh-CN"/>
        </w:rPr>
      </w:pPr>
      <w:r>
        <w:rPr>
          <w:rFonts w:hint="eastAsia" w:ascii="宋体" w:hAnsi="宋体" w:eastAsia="宋体" w:cs="宋体"/>
          <w:color w:val="auto"/>
          <w:sz w:val="24"/>
          <w:highlight w:val="none"/>
        </w:rPr>
        <w:t>法定代表人（签字或盖章）</w:t>
      </w:r>
      <w:r>
        <w:rPr>
          <w:rFonts w:hint="eastAsia" w:ascii="宋体" w:hAnsi="宋体" w:eastAsia="宋体" w:cs="宋体"/>
          <w:color w:val="auto"/>
          <w:sz w:val="24"/>
          <w:highlight w:val="none"/>
          <w:lang w:eastAsia="zh-CN"/>
        </w:rPr>
        <w:t>：</w:t>
      </w:r>
      <w:r>
        <w:rPr>
          <w:rFonts w:hint="eastAsia" w:ascii="宋体" w:hAnsi="宋体" w:eastAsia="宋体" w:cs="宋体"/>
          <w:i w:val="0"/>
          <w:iCs w:val="0"/>
          <w:color w:val="auto"/>
          <w:sz w:val="24"/>
          <w:highlight w:val="none"/>
          <w:u w:val="single"/>
          <w:lang w:val="en-US" w:eastAsia="zh-CN"/>
        </w:rPr>
        <w:t xml:space="preserve">          </w:t>
      </w:r>
    </w:p>
    <w:p w14:paraId="584F68F2">
      <w:pPr>
        <w:snapToGrid w:val="0"/>
        <w:spacing w:line="720" w:lineRule="auto"/>
        <w:ind w:firstLine="480" w:firstLineChars="200"/>
        <w:rPr>
          <w:rFonts w:hint="eastAsia" w:ascii="宋体" w:hAnsi="宋体" w:eastAsia="宋体" w:cs="宋体"/>
          <w:color w:val="auto"/>
          <w:sz w:val="24"/>
          <w:highlight w:val="none"/>
          <w:u w:val="none"/>
          <w:lang w:val="en-US" w:eastAsia="zh-CN"/>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4D2E361A">
      <w:pPr>
        <w:pStyle w:val="31"/>
        <w:rPr>
          <w:rFonts w:hint="eastAsia" w:ascii="宋体" w:hAnsi="宋体" w:eastAsia="宋体" w:cs="宋体"/>
          <w:color w:val="auto"/>
          <w:sz w:val="24"/>
          <w:highlight w:val="none"/>
          <w:u w:val="none"/>
          <w:lang w:val="en-US" w:eastAsia="zh-CN"/>
        </w:rPr>
      </w:pPr>
    </w:p>
    <w:p w14:paraId="57D10D38">
      <w:pPr>
        <w:rPr>
          <w:rFonts w:hint="eastAsia"/>
          <w:highlight w:val="none"/>
          <w:lang w:val="en-US" w:eastAsia="zh-CN"/>
        </w:rPr>
      </w:pPr>
    </w:p>
    <w:p w14:paraId="378F2A16">
      <w:pPr>
        <w:spacing w:line="360" w:lineRule="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 xml:space="preserve"> </w:t>
      </w:r>
      <w:r>
        <w:rPr>
          <w:rFonts w:hint="eastAsia" w:ascii="宋体" w:hAnsi="宋体" w:eastAsia="宋体" w:cs="宋体"/>
          <w:color w:val="auto"/>
          <w:sz w:val="24"/>
          <w:highlight w:val="none"/>
        </w:rPr>
        <w:t>法定代表人授权委托书（授权代表参加投标的）</w:t>
      </w:r>
    </w:p>
    <w:p w14:paraId="35A99301">
      <w:pPr>
        <w:snapToGrid w:val="0"/>
        <w:spacing w:line="360" w:lineRule="auto"/>
        <w:jc w:val="center"/>
        <w:rPr>
          <w:rFonts w:hint="eastAsia" w:ascii="宋体" w:hAnsi="宋体" w:eastAsia="宋体" w:cs="宋体"/>
          <w:b/>
          <w:color w:val="auto"/>
          <w:sz w:val="28"/>
          <w:szCs w:val="28"/>
          <w:highlight w:val="none"/>
        </w:rPr>
      </w:pPr>
    </w:p>
    <w:p w14:paraId="0F25932A">
      <w:pPr>
        <w:snapToGrid w:val="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（2）法定代表人授权委托书</w:t>
      </w:r>
    </w:p>
    <w:p w14:paraId="4E4593B1">
      <w:pPr>
        <w:snapToGrid w:val="0"/>
        <w:spacing w:line="720" w:lineRule="auto"/>
        <w:ind w:firstLine="120" w:firstLine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eastAsia="zh-CN"/>
        </w:rPr>
        <w:t>采购人</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w:t>
      </w:r>
    </w:p>
    <w:p w14:paraId="0CB901C9">
      <w:pPr>
        <w:snapToGrid w:val="0"/>
        <w:spacing w:line="72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（单位名称）</w:t>
      </w:r>
      <w:r>
        <w:rPr>
          <w:rFonts w:hint="eastAsia" w:ascii="宋体" w:hAnsi="宋体" w:eastAsia="宋体" w:cs="宋体"/>
          <w:color w:val="auto"/>
          <w:sz w:val="24"/>
          <w:highlight w:val="none"/>
        </w:rPr>
        <w:t>法定代表人授权我单位</w:t>
      </w:r>
      <w:r>
        <w:rPr>
          <w:rFonts w:hint="eastAsia" w:ascii="宋体" w:hAnsi="宋体" w:eastAsia="宋体" w:cs="宋体"/>
          <w:color w:val="auto"/>
          <w:sz w:val="24"/>
          <w:highlight w:val="none"/>
          <w:u w:val="single"/>
        </w:rPr>
        <w:t>（职务或职称）（姓名）</w:t>
      </w:r>
      <w:r>
        <w:rPr>
          <w:rFonts w:hint="eastAsia" w:ascii="宋体" w:hAnsi="宋体" w:eastAsia="宋体" w:cs="宋体"/>
          <w:color w:val="auto"/>
          <w:sz w:val="24"/>
          <w:highlight w:val="none"/>
        </w:rPr>
        <w:t>为我单位本次授权代表，全权处理</w:t>
      </w:r>
      <w:r>
        <w:rPr>
          <w:rFonts w:hint="eastAsia" w:ascii="宋体" w:hAnsi="宋体" w:eastAsia="宋体" w:cs="宋体"/>
          <w:color w:val="auto"/>
          <w:sz w:val="24"/>
          <w:highlight w:val="none"/>
          <w:u w:val="single"/>
        </w:rPr>
        <w:t xml:space="preserve">             项目</w:t>
      </w:r>
      <w:r>
        <w:rPr>
          <w:rFonts w:hint="eastAsia" w:ascii="宋体" w:hAnsi="宋体" w:eastAsia="宋体" w:cs="宋体"/>
          <w:color w:val="auto"/>
          <w:sz w:val="24"/>
          <w:highlight w:val="none"/>
          <w:u w:val="single"/>
          <w:lang w:val="en-US" w:eastAsia="zh-CN"/>
        </w:rPr>
        <w:t xml:space="preserve">     包</w:t>
      </w:r>
      <w:r>
        <w:rPr>
          <w:rFonts w:hint="eastAsia" w:ascii="宋体" w:hAnsi="宋体" w:eastAsia="宋体" w:cs="宋体"/>
          <w:color w:val="auto"/>
          <w:kern w:val="10"/>
          <w:sz w:val="24"/>
          <w:highlight w:val="none"/>
        </w:rPr>
        <w:t>投标</w:t>
      </w:r>
      <w:r>
        <w:rPr>
          <w:rFonts w:hint="eastAsia" w:ascii="宋体" w:hAnsi="宋体" w:eastAsia="宋体" w:cs="宋体"/>
          <w:color w:val="auto"/>
          <w:sz w:val="24"/>
          <w:highlight w:val="none"/>
        </w:rPr>
        <w:t>活动的一切事宜。</w:t>
      </w:r>
    </w:p>
    <w:p w14:paraId="631CE23D">
      <w:pPr>
        <w:snapToGrid w:val="0"/>
        <w:spacing w:line="72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委托期限：____________________。</w:t>
      </w:r>
    </w:p>
    <w:p w14:paraId="5E5BD717">
      <w:pPr>
        <w:snapToGrid w:val="0"/>
        <w:spacing w:line="72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（附法定代表人、授权代表身份证明复印件）正反面</w:t>
      </w:r>
    </w:p>
    <w:tbl>
      <w:tblPr>
        <w:tblStyle w:val="25"/>
        <w:tblW w:w="7845" w:type="dxa"/>
        <w:tblInd w:w="6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885"/>
        <w:gridCol w:w="3960"/>
      </w:tblGrid>
      <w:tr w14:paraId="60E90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1" w:hRule="atLeast"/>
        </w:trPr>
        <w:tc>
          <w:tcPr>
            <w:tcW w:w="3885" w:type="dxa"/>
            <w:vAlign w:val="center"/>
          </w:tcPr>
          <w:p w14:paraId="38D9FC39">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法定代表人身份证复印件（</w:t>
            </w:r>
            <w:r>
              <w:rPr>
                <w:rFonts w:hint="eastAsia" w:ascii="宋体" w:hAnsi="宋体" w:eastAsia="宋体" w:cs="宋体"/>
                <w:color w:val="auto"/>
                <w:sz w:val="24"/>
                <w:highlight w:val="none"/>
                <w:lang w:val="en-US" w:eastAsia="zh-CN"/>
              </w:rPr>
              <w:t>国徽面</w:t>
            </w:r>
            <w:r>
              <w:rPr>
                <w:rFonts w:hint="eastAsia" w:ascii="宋体" w:hAnsi="宋体" w:eastAsia="宋体" w:cs="宋体"/>
                <w:color w:val="auto"/>
                <w:sz w:val="24"/>
                <w:highlight w:val="none"/>
              </w:rPr>
              <w:t>）</w:t>
            </w:r>
          </w:p>
        </w:tc>
        <w:tc>
          <w:tcPr>
            <w:tcW w:w="3960" w:type="dxa"/>
            <w:tcMar>
              <w:top w:w="0" w:type="dxa"/>
              <w:left w:w="108" w:type="dxa"/>
              <w:bottom w:w="0" w:type="dxa"/>
              <w:right w:w="108" w:type="dxa"/>
            </w:tcMar>
            <w:vAlign w:val="center"/>
          </w:tcPr>
          <w:p w14:paraId="1107E7AF">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法定代表人身份证复印件（</w:t>
            </w:r>
            <w:r>
              <w:rPr>
                <w:rFonts w:hint="eastAsia" w:ascii="宋体" w:hAnsi="宋体" w:eastAsia="宋体" w:cs="宋体"/>
                <w:color w:val="auto"/>
                <w:sz w:val="24"/>
                <w:highlight w:val="none"/>
                <w:lang w:val="en-US" w:eastAsia="zh-CN"/>
              </w:rPr>
              <w:t>人像面</w:t>
            </w:r>
            <w:r>
              <w:rPr>
                <w:rFonts w:hint="eastAsia" w:ascii="宋体" w:hAnsi="宋体" w:eastAsia="宋体" w:cs="宋体"/>
                <w:color w:val="auto"/>
                <w:sz w:val="24"/>
                <w:highlight w:val="none"/>
              </w:rPr>
              <w:t>）</w:t>
            </w:r>
          </w:p>
        </w:tc>
      </w:tr>
      <w:tr w14:paraId="25085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11" w:hRule="atLeast"/>
        </w:trPr>
        <w:tc>
          <w:tcPr>
            <w:tcW w:w="3885" w:type="dxa"/>
          </w:tcPr>
          <w:p w14:paraId="13517B69">
            <w:pPr>
              <w:spacing w:line="400" w:lineRule="exact"/>
              <w:ind w:firstLine="480"/>
              <w:rPr>
                <w:rFonts w:hint="eastAsia" w:ascii="宋体" w:hAnsi="宋体" w:eastAsia="宋体" w:cs="宋体"/>
                <w:color w:val="auto"/>
                <w:sz w:val="24"/>
                <w:highlight w:val="none"/>
              </w:rPr>
            </w:pPr>
          </w:p>
          <w:p w14:paraId="4DFCEED8">
            <w:pPr>
              <w:spacing w:line="400" w:lineRule="exact"/>
              <w:ind w:firstLine="480"/>
              <w:rPr>
                <w:rFonts w:hint="eastAsia" w:ascii="宋体" w:hAnsi="宋体" w:eastAsia="宋体" w:cs="宋体"/>
                <w:color w:val="auto"/>
                <w:sz w:val="24"/>
                <w:highlight w:val="none"/>
              </w:rPr>
            </w:pPr>
          </w:p>
          <w:p w14:paraId="016B72D6">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授权代表身份证复印件（</w:t>
            </w:r>
            <w:r>
              <w:rPr>
                <w:rFonts w:hint="eastAsia" w:ascii="宋体" w:hAnsi="宋体" w:eastAsia="宋体" w:cs="宋体"/>
                <w:color w:val="auto"/>
                <w:sz w:val="24"/>
                <w:highlight w:val="none"/>
                <w:lang w:val="en-US" w:eastAsia="zh-CN"/>
              </w:rPr>
              <w:t>国徽面</w:t>
            </w:r>
            <w:r>
              <w:rPr>
                <w:rFonts w:hint="eastAsia" w:ascii="宋体" w:hAnsi="宋体" w:eastAsia="宋体" w:cs="宋体"/>
                <w:color w:val="auto"/>
                <w:sz w:val="24"/>
                <w:highlight w:val="none"/>
              </w:rPr>
              <w:t>）</w:t>
            </w:r>
          </w:p>
        </w:tc>
        <w:tc>
          <w:tcPr>
            <w:tcW w:w="3960" w:type="dxa"/>
            <w:tcMar>
              <w:top w:w="0" w:type="dxa"/>
              <w:left w:w="108" w:type="dxa"/>
              <w:bottom w:w="0" w:type="dxa"/>
              <w:right w:w="108" w:type="dxa"/>
            </w:tcMar>
            <w:vAlign w:val="center"/>
          </w:tcPr>
          <w:p w14:paraId="1CE2FA88">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授权代表身份证复印件（</w:t>
            </w:r>
            <w:r>
              <w:rPr>
                <w:rFonts w:hint="eastAsia" w:ascii="宋体" w:hAnsi="宋体" w:eastAsia="宋体" w:cs="宋体"/>
                <w:color w:val="auto"/>
                <w:sz w:val="24"/>
                <w:highlight w:val="none"/>
                <w:lang w:val="en-US" w:eastAsia="zh-CN"/>
              </w:rPr>
              <w:t>人像面</w:t>
            </w:r>
            <w:r>
              <w:rPr>
                <w:rFonts w:hint="eastAsia" w:ascii="宋体" w:hAnsi="宋体" w:eastAsia="宋体" w:cs="宋体"/>
                <w:color w:val="auto"/>
                <w:sz w:val="24"/>
                <w:highlight w:val="none"/>
              </w:rPr>
              <w:t>）</w:t>
            </w:r>
          </w:p>
        </w:tc>
      </w:tr>
    </w:tbl>
    <w:p w14:paraId="18519D4D">
      <w:pPr>
        <w:pStyle w:val="6"/>
        <w:rPr>
          <w:rFonts w:hint="eastAsia" w:ascii="宋体" w:hAnsi="宋体" w:eastAsia="宋体" w:cs="宋体"/>
          <w:color w:val="auto"/>
          <w:highlight w:val="none"/>
        </w:rPr>
      </w:pPr>
    </w:p>
    <w:p w14:paraId="77B77DFD">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33A14F42">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法定代表人（签字或盖章）：</w:t>
      </w:r>
      <w:r>
        <w:rPr>
          <w:rFonts w:hint="eastAsia" w:ascii="宋体" w:hAnsi="宋体" w:eastAsia="宋体" w:cs="宋体"/>
          <w:color w:val="auto"/>
          <w:sz w:val="24"/>
          <w:highlight w:val="none"/>
          <w:u w:val="single"/>
          <w:lang w:val="en-US" w:eastAsia="zh-CN"/>
        </w:rPr>
        <w:t xml:space="preserve">            </w:t>
      </w:r>
    </w:p>
    <w:p w14:paraId="6F7C0371">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lang w:val="en-US" w:eastAsia="zh-CN"/>
        </w:rPr>
        <w:t>授权代表（签字或盖章）：</w:t>
      </w:r>
      <w:r>
        <w:rPr>
          <w:rFonts w:hint="eastAsia" w:ascii="宋体" w:hAnsi="宋体" w:eastAsia="宋体" w:cs="宋体"/>
          <w:color w:val="auto"/>
          <w:sz w:val="24"/>
          <w:highlight w:val="none"/>
          <w:u w:val="single"/>
          <w:lang w:val="en-US" w:eastAsia="zh-CN"/>
        </w:rPr>
        <w:t xml:space="preserve">              </w:t>
      </w:r>
    </w:p>
    <w:p w14:paraId="51E58888">
      <w:pPr>
        <w:snapToGrid w:val="0"/>
        <w:spacing w:line="720" w:lineRule="auto"/>
        <w:ind w:firstLine="480" w:firstLineChars="200"/>
        <w:rPr>
          <w:rFonts w:hint="eastAsia" w:ascii="宋体" w:hAnsi="宋体" w:eastAsia="宋体" w:cs="宋体"/>
          <w:b/>
          <w:color w:val="auto"/>
          <w:sz w:val="30"/>
          <w:szCs w:val="30"/>
          <w:highlight w:val="none"/>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5F6D4485">
      <w:pP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附件三</w:t>
      </w:r>
    </w:p>
    <w:p w14:paraId="4A31B410">
      <w:pPr>
        <w:snapToGrid w:val="0"/>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参加政府采购活动前三年内在经营活动中</w:t>
      </w:r>
    </w:p>
    <w:p w14:paraId="18435847">
      <w:pPr>
        <w:snapToGrid w:val="0"/>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没有重大违法记录的书面声明</w:t>
      </w:r>
    </w:p>
    <w:p w14:paraId="7C2BEEC6">
      <w:pPr>
        <w:spacing w:line="360" w:lineRule="auto"/>
        <w:ind w:firstLine="480"/>
        <w:jc w:val="left"/>
        <w:rPr>
          <w:rFonts w:hint="eastAsia" w:ascii="宋体" w:hAnsi="宋体" w:eastAsia="宋体" w:cs="宋体"/>
          <w:color w:val="auto"/>
          <w:sz w:val="24"/>
          <w:highlight w:val="none"/>
        </w:rPr>
      </w:pPr>
    </w:p>
    <w:p w14:paraId="2C21F287">
      <w:pPr>
        <w:spacing w:line="360" w:lineRule="auto"/>
        <w:ind w:firstLine="480"/>
        <w:jc w:val="left"/>
        <w:rPr>
          <w:rFonts w:hint="eastAsia" w:ascii="宋体" w:hAnsi="宋体" w:eastAsia="宋体" w:cs="宋体"/>
          <w:color w:val="auto"/>
          <w:sz w:val="24"/>
          <w:highlight w:val="none"/>
        </w:rPr>
      </w:pPr>
    </w:p>
    <w:p w14:paraId="25480B9D">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本单位郑重声明： </w:t>
      </w:r>
    </w:p>
    <w:p w14:paraId="25A3E2BA">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我单位在参加采购活动前三年内在经营活动中没有 《中华人民共和国政府采购法》第二十二条第一款第（五）项所称重大违法记录，包括：我单位或者其法定代表人、董事、监事、高级管理人员未因经营活动中的违法行为受到刑事处罚或者责令停产停业、吊销许可证或者执照、较大数额罚款等行政处罚。 </w:t>
      </w:r>
    </w:p>
    <w:p w14:paraId="46FC2062">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特此声明！ </w:t>
      </w:r>
    </w:p>
    <w:p w14:paraId="1D1BBEBA">
      <w:pPr>
        <w:spacing w:after="120"/>
        <w:rPr>
          <w:rFonts w:hint="eastAsia" w:ascii="宋体" w:hAnsi="宋体" w:eastAsia="宋体" w:cs="宋体"/>
          <w:color w:val="auto"/>
          <w:highlight w:val="none"/>
        </w:rPr>
      </w:pPr>
    </w:p>
    <w:p w14:paraId="3B713A7A">
      <w:pPr>
        <w:snapToGrid w:val="0"/>
        <w:spacing w:line="480" w:lineRule="auto"/>
        <w:ind w:right="105" w:rightChars="50" w:firstLine="480" w:firstLineChars="200"/>
        <w:rPr>
          <w:rFonts w:hint="eastAsia" w:ascii="宋体" w:hAnsi="宋体" w:eastAsia="宋体" w:cs="宋体"/>
          <w:b w:val="0"/>
          <w:bCs/>
          <w:color w:val="auto"/>
          <w:sz w:val="24"/>
          <w:szCs w:val="24"/>
          <w:highlight w:val="none"/>
        </w:rPr>
      </w:pPr>
    </w:p>
    <w:p w14:paraId="5F70A5D2">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41E20390">
      <w:pPr>
        <w:snapToGrid w:val="0"/>
        <w:spacing w:line="480" w:lineRule="auto"/>
        <w:ind w:right="105" w:rightChars="50" w:firstLine="480" w:firstLineChars="200"/>
        <w:rPr>
          <w:rFonts w:hint="eastAsia" w:ascii="宋体" w:hAnsi="宋体" w:eastAsia="宋体" w:cs="宋体"/>
          <w:i w:val="0"/>
          <w:iCs w:val="0"/>
          <w:color w:val="auto"/>
          <w:sz w:val="24"/>
          <w:highlight w:val="none"/>
          <w:u w:val="single"/>
          <w:lang w:val="en-US" w:eastAsia="zh-CN"/>
        </w:rPr>
      </w:pPr>
      <w:r>
        <w:rPr>
          <w:rFonts w:hint="eastAsia" w:ascii="宋体" w:hAnsi="宋体" w:eastAsia="宋体" w:cs="宋体"/>
          <w:color w:val="auto"/>
          <w:sz w:val="24"/>
          <w:highlight w:val="none"/>
        </w:rPr>
        <w:t>法定代表人</w:t>
      </w:r>
      <w:r>
        <w:rPr>
          <w:rFonts w:hint="default" w:ascii="Times New Roman" w:hAnsi="Times New Roman" w:cs="Times New Roman"/>
          <w:color w:val="auto"/>
          <w:sz w:val="24"/>
          <w:highlight w:val="none"/>
        </w:rPr>
        <w:t>或</w:t>
      </w:r>
      <w:r>
        <w:rPr>
          <w:rFonts w:hint="default" w:ascii="Times New Roman" w:hAnsi="Times New Roman" w:cs="Times New Roman"/>
          <w:color w:val="auto"/>
          <w:sz w:val="24"/>
          <w:highlight w:val="none"/>
          <w:lang w:eastAsia="zh-CN"/>
        </w:rPr>
        <w:t>授权代表</w:t>
      </w:r>
      <w:r>
        <w:rPr>
          <w:rFonts w:hint="eastAsia" w:ascii="宋体" w:hAnsi="宋体" w:eastAsia="宋体" w:cs="宋体"/>
          <w:color w:val="auto"/>
          <w:sz w:val="24"/>
          <w:highlight w:val="none"/>
        </w:rPr>
        <w:t>（签字或盖章）</w:t>
      </w:r>
      <w:r>
        <w:rPr>
          <w:rFonts w:hint="eastAsia" w:ascii="宋体" w:hAnsi="宋体" w:eastAsia="宋体" w:cs="宋体"/>
          <w:color w:val="auto"/>
          <w:sz w:val="24"/>
          <w:highlight w:val="none"/>
          <w:lang w:eastAsia="zh-CN"/>
        </w:rPr>
        <w:t>：</w:t>
      </w:r>
      <w:r>
        <w:rPr>
          <w:rFonts w:hint="eastAsia" w:ascii="宋体" w:hAnsi="宋体" w:eastAsia="宋体" w:cs="宋体"/>
          <w:i w:val="0"/>
          <w:iCs w:val="0"/>
          <w:color w:val="auto"/>
          <w:sz w:val="24"/>
          <w:highlight w:val="none"/>
          <w:u w:val="single"/>
          <w:lang w:val="en-US" w:eastAsia="zh-CN"/>
        </w:rPr>
        <w:t xml:space="preserve">          </w:t>
      </w:r>
    </w:p>
    <w:p w14:paraId="422A1230">
      <w:pPr>
        <w:snapToGrid w:val="0"/>
        <w:spacing w:line="720" w:lineRule="auto"/>
        <w:ind w:firstLine="480" w:firstLineChars="200"/>
        <w:rPr>
          <w:rFonts w:hint="eastAsia" w:ascii="宋体" w:hAnsi="宋体" w:eastAsia="宋体" w:cs="宋体"/>
          <w:color w:val="auto"/>
          <w:sz w:val="24"/>
          <w:highlight w:val="none"/>
          <w:u w:val="none"/>
          <w:lang w:val="en-US" w:eastAsia="zh-CN"/>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063A1589">
      <w:pPr>
        <w:spacing w:line="360" w:lineRule="auto"/>
        <w:ind w:firstLine="480"/>
        <w:jc w:val="left"/>
        <w:rPr>
          <w:rFonts w:hint="eastAsia" w:ascii="宋体" w:hAnsi="宋体" w:eastAsia="宋体" w:cs="宋体"/>
          <w:color w:val="auto"/>
          <w:sz w:val="24"/>
          <w:highlight w:val="none"/>
        </w:rPr>
      </w:pPr>
    </w:p>
    <w:p w14:paraId="71B9D912">
      <w:pPr>
        <w:spacing w:line="360" w:lineRule="auto"/>
        <w:ind w:firstLine="480"/>
        <w:jc w:val="left"/>
        <w:rPr>
          <w:rFonts w:hint="eastAsia" w:ascii="宋体" w:hAnsi="宋体" w:eastAsia="宋体" w:cs="宋体"/>
          <w:color w:val="auto"/>
          <w:sz w:val="24"/>
          <w:highlight w:val="none"/>
        </w:rPr>
      </w:pPr>
    </w:p>
    <w:p w14:paraId="557E5716">
      <w:pPr>
        <w:spacing w:line="360" w:lineRule="auto"/>
        <w:ind w:firstLine="480"/>
        <w:jc w:val="left"/>
        <w:rPr>
          <w:rFonts w:hint="eastAsia" w:ascii="宋体" w:hAnsi="宋体" w:eastAsia="宋体" w:cs="宋体"/>
          <w:color w:val="auto"/>
          <w:sz w:val="24"/>
          <w:highlight w:val="none"/>
        </w:rPr>
      </w:pPr>
    </w:p>
    <w:p w14:paraId="5182621F">
      <w:pPr>
        <w:spacing w:line="360" w:lineRule="auto"/>
        <w:ind w:firstLine="480"/>
        <w:jc w:val="left"/>
        <w:rPr>
          <w:rFonts w:hint="eastAsia" w:ascii="宋体" w:hAnsi="宋体" w:eastAsia="宋体" w:cs="宋体"/>
          <w:color w:val="auto"/>
          <w:sz w:val="24"/>
          <w:highlight w:val="none"/>
        </w:rPr>
      </w:pPr>
    </w:p>
    <w:p w14:paraId="7A704B3E">
      <w:pPr>
        <w:spacing w:line="360" w:lineRule="auto"/>
        <w:ind w:firstLine="480"/>
        <w:jc w:val="left"/>
        <w:rPr>
          <w:rFonts w:hint="eastAsia" w:ascii="宋体" w:hAnsi="宋体" w:eastAsia="宋体" w:cs="宋体"/>
          <w:color w:val="auto"/>
          <w:sz w:val="24"/>
          <w:highlight w:val="none"/>
        </w:rPr>
      </w:pPr>
    </w:p>
    <w:p w14:paraId="61BBD349">
      <w:pPr>
        <w:spacing w:line="360" w:lineRule="auto"/>
        <w:ind w:firstLine="480"/>
        <w:jc w:val="left"/>
        <w:rPr>
          <w:rFonts w:hint="eastAsia" w:ascii="宋体" w:hAnsi="宋体" w:eastAsia="宋体" w:cs="宋体"/>
          <w:color w:val="auto"/>
          <w:sz w:val="24"/>
          <w:highlight w:val="none"/>
        </w:rPr>
      </w:pPr>
    </w:p>
    <w:p w14:paraId="596FDC7B">
      <w:pPr>
        <w:spacing w:line="360" w:lineRule="auto"/>
        <w:ind w:firstLine="480"/>
        <w:jc w:val="left"/>
        <w:rPr>
          <w:rFonts w:hint="eastAsia" w:ascii="宋体" w:hAnsi="宋体" w:eastAsia="宋体" w:cs="宋体"/>
          <w:color w:val="auto"/>
          <w:sz w:val="24"/>
          <w:highlight w:val="none"/>
        </w:rPr>
      </w:pPr>
    </w:p>
    <w:p w14:paraId="42741B96">
      <w:pPr>
        <w:spacing w:line="360" w:lineRule="auto"/>
        <w:ind w:firstLine="480"/>
        <w:jc w:val="left"/>
        <w:rPr>
          <w:rFonts w:hint="eastAsia" w:ascii="宋体" w:hAnsi="宋体" w:eastAsia="宋体" w:cs="宋体"/>
          <w:color w:val="auto"/>
          <w:sz w:val="24"/>
          <w:highlight w:val="none"/>
        </w:rPr>
      </w:pPr>
    </w:p>
    <w:p w14:paraId="4B954337">
      <w:pPr>
        <w:spacing w:line="360" w:lineRule="auto"/>
        <w:ind w:firstLine="602"/>
        <w:jc w:val="center"/>
        <w:rPr>
          <w:rFonts w:hint="eastAsia" w:ascii="宋体" w:hAnsi="宋体" w:eastAsia="宋体" w:cs="宋体"/>
          <w:b/>
          <w:color w:val="auto"/>
          <w:sz w:val="30"/>
          <w:highlight w:val="none"/>
        </w:rPr>
      </w:pPr>
      <w:r>
        <w:rPr>
          <w:rFonts w:hint="eastAsia" w:ascii="宋体" w:hAnsi="宋体" w:eastAsia="宋体" w:cs="宋体"/>
          <w:b/>
          <w:color w:val="auto"/>
          <w:sz w:val="30"/>
          <w:highlight w:val="none"/>
        </w:rPr>
        <w:br w:type="page"/>
      </w:r>
      <w:r>
        <w:rPr>
          <w:rFonts w:hint="eastAsia" w:ascii="宋体" w:hAnsi="宋体" w:eastAsia="宋体" w:cs="宋体"/>
          <w:b/>
          <w:color w:val="auto"/>
          <w:sz w:val="30"/>
          <w:highlight w:val="none"/>
        </w:rPr>
        <w:t>参加政府采购</w:t>
      </w:r>
      <w:r>
        <w:rPr>
          <w:rFonts w:hint="eastAsia" w:ascii="宋体" w:hAnsi="宋体" w:eastAsia="宋体" w:cs="宋体"/>
          <w:b/>
          <w:color w:val="auto"/>
          <w:sz w:val="30"/>
          <w:highlight w:val="none"/>
          <w:lang w:val="en-US" w:eastAsia="zh-CN"/>
        </w:rPr>
        <w:t>活动</w:t>
      </w:r>
      <w:r>
        <w:rPr>
          <w:rFonts w:hint="eastAsia" w:ascii="宋体" w:hAnsi="宋体" w:eastAsia="宋体" w:cs="宋体"/>
          <w:b/>
          <w:color w:val="auto"/>
          <w:sz w:val="30"/>
          <w:highlight w:val="none"/>
        </w:rPr>
        <w:t>承诺函</w:t>
      </w:r>
    </w:p>
    <w:p w14:paraId="5582226F">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w:t>
      </w:r>
      <w:r>
        <w:rPr>
          <w:rFonts w:hint="eastAsia" w:ascii="宋体" w:hAnsi="宋体" w:cs="宋体"/>
          <w:color w:val="auto"/>
          <w:sz w:val="24"/>
          <w:highlight w:val="none"/>
          <w:u w:val="none"/>
          <w:lang w:val="en-US" w:eastAsia="zh-CN"/>
        </w:rPr>
        <w:t>采购人</w:t>
      </w:r>
      <w:r>
        <w:rPr>
          <w:rFonts w:hint="eastAsia" w:ascii="宋体" w:hAnsi="宋体" w:eastAsia="宋体" w:cs="宋体"/>
          <w:color w:val="auto"/>
          <w:sz w:val="24"/>
          <w:highlight w:val="none"/>
          <w:u w:val="none"/>
          <w:lang w:val="en-US" w:eastAsia="zh-CN"/>
        </w:rPr>
        <w:t>名称</w:t>
      </w:r>
      <w:r>
        <w:rPr>
          <w:rFonts w:hint="eastAsia" w:ascii="宋体" w:hAnsi="宋体" w:eastAsia="宋体" w:cs="宋体"/>
          <w:color w:val="auto"/>
          <w:sz w:val="24"/>
          <w:highlight w:val="none"/>
          <w:u w:val="none"/>
        </w:rPr>
        <w:t>）</w:t>
      </w:r>
      <w:r>
        <w:rPr>
          <w:rFonts w:hint="eastAsia" w:ascii="宋体" w:hAnsi="宋体" w:eastAsia="宋体" w:cs="宋体"/>
          <w:color w:val="auto"/>
          <w:sz w:val="24"/>
          <w:highlight w:val="none"/>
        </w:rPr>
        <w:t>：</w:t>
      </w:r>
    </w:p>
    <w:p w14:paraId="784881BC">
      <w:pPr>
        <w:spacing w:line="360" w:lineRule="auto"/>
        <w:ind w:firstLine="480" w:firstLineChars="200"/>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名称）已详细阅读</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项目名称</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项目编号</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none"/>
          <w:lang w:val="en-US" w:eastAsia="zh-CN"/>
        </w:rPr>
        <w:t>的</w:t>
      </w:r>
      <w:r>
        <w:rPr>
          <w:rFonts w:hint="eastAsia" w:ascii="宋体" w:hAnsi="宋体" w:eastAsia="宋体" w:cs="宋体"/>
          <w:color w:val="auto"/>
          <w:sz w:val="24"/>
          <w:highlight w:val="none"/>
        </w:rPr>
        <w:t>招标文件，现承诺我单位满足</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中华人民共和国</w:t>
      </w:r>
      <w:r>
        <w:rPr>
          <w:rFonts w:hint="eastAsia" w:ascii="宋体" w:hAnsi="宋体" w:eastAsia="宋体" w:cs="宋体"/>
          <w:color w:val="auto"/>
          <w:sz w:val="24"/>
          <w:highlight w:val="none"/>
        </w:rPr>
        <w:t>政府采购法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第二十二条关于</w:t>
      </w: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的资格要求:</w:t>
      </w:r>
    </w:p>
    <w:p w14:paraId="01899E2C">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(一)具有独立承担民事责任的能力；</w:t>
      </w:r>
    </w:p>
    <w:p w14:paraId="601AD791">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(二)具有好的商业信誉和健全的财务会计制度；</w:t>
      </w:r>
    </w:p>
    <w:p w14:paraId="45C1C34F">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(三)具有履行合同所必需的设备和专业技术能力；</w:t>
      </w:r>
    </w:p>
    <w:p w14:paraId="044286A5">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(四)由依法缴纳税收和社会保障资金的良好记录；</w:t>
      </w:r>
    </w:p>
    <w:p w14:paraId="71C92E06">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(五)法律、行政法规规定的其他条件。</w:t>
      </w:r>
    </w:p>
    <w:p w14:paraId="04A2EFAF">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同时，</w:t>
      </w:r>
      <w:r>
        <w:rPr>
          <w:rFonts w:hint="eastAsia" w:ascii="宋体" w:hAnsi="宋体" w:eastAsia="宋体" w:cs="宋体"/>
          <w:color w:val="auto"/>
          <w:sz w:val="24"/>
          <w:highlight w:val="none"/>
          <w:lang w:val="en-US" w:eastAsia="zh-CN"/>
        </w:rPr>
        <w:t>我单位不存在《中华人民共和国政府采购法实施条例》</w:t>
      </w:r>
      <w:r>
        <w:rPr>
          <w:rFonts w:hint="eastAsia" w:ascii="宋体" w:hAnsi="宋体" w:eastAsia="宋体" w:cs="宋体"/>
          <w:color w:val="auto"/>
          <w:sz w:val="24"/>
          <w:highlight w:val="none"/>
        </w:rPr>
        <w:t>第十八条</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单位负责人为同一人或者存在直接控股、管理关系的不同供应商，不得参加同一合同项下的政府采购活动</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的相关情形。</w:t>
      </w:r>
    </w:p>
    <w:p w14:paraId="4B5E4F12">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如违反以上承诺，本单位愿承担一切法律责任。</w:t>
      </w:r>
    </w:p>
    <w:p w14:paraId="2F0087C2">
      <w:pPr>
        <w:spacing w:line="360" w:lineRule="auto"/>
        <w:ind w:firstLine="480"/>
        <w:jc w:val="left"/>
        <w:rPr>
          <w:rFonts w:hint="eastAsia" w:ascii="宋体" w:hAnsi="宋体" w:eastAsia="宋体" w:cs="宋体"/>
          <w:color w:val="auto"/>
          <w:sz w:val="24"/>
          <w:highlight w:val="none"/>
        </w:rPr>
      </w:pPr>
    </w:p>
    <w:p w14:paraId="1B26B982">
      <w:pPr>
        <w:spacing w:line="360" w:lineRule="auto"/>
        <w:ind w:firstLine="480"/>
        <w:jc w:val="left"/>
        <w:rPr>
          <w:rFonts w:hint="eastAsia" w:ascii="宋体" w:hAnsi="宋体" w:eastAsia="宋体" w:cs="宋体"/>
          <w:color w:val="auto"/>
          <w:sz w:val="24"/>
          <w:highlight w:val="none"/>
        </w:rPr>
      </w:pPr>
    </w:p>
    <w:p w14:paraId="18EDE055">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446CE7A6">
      <w:pPr>
        <w:snapToGrid w:val="0"/>
        <w:spacing w:line="480" w:lineRule="auto"/>
        <w:ind w:right="105" w:rightChars="50" w:firstLine="480" w:firstLineChars="200"/>
        <w:rPr>
          <w:rFonts w:hint="eastAsia" w:ascii="宋体" w:hAnsi="宋体" w:eastAsia="宋体" w:cs="宋体"/>
          <w:i w:val="0"/>
          <w:iCs w:val="0"/>
          <w:color w:val="auto"/>
          <w:sz w:val="24"/>
          <w:highlight w:val="none"/>
          <w:u w:val="single"/>
          <w:lang w:val="en-US" w:eastAsia="zh-CN"/>
        </w:rPr>
      </w:pPr>
      <w:r>
        <w:rPr>
          <w:rFonts w:hint="eastAsia" w:ascii="宋体" w:hAnsi="宋体" w:eastAsia="宋体" w:cs="宋体"/>
          <w:color w:val="auto"/>
          <w:sz w:val="24"/>
          <w:highlight w:val="none"/>
        </w:rPr>
        <w:t>法定代表人（签字或盖章）</w:t>
      </w:r>
      <w:r>
        <w:rPr>
          <w:rFonts w:hint="eastAsia" w:ascii="宋体" w:hAnsi="宋体" w:eastAsia="宋体" w:cs="宋体"/>
          <w:color w:val="auto"/>
          <w:sz w:val="24"/>
          <w:highlight w:val="none"/>
          <w:lang w:eastAsia="zh-CN"/>
        </w:rPr>
        <w:t>：</w:t>
      </w:r>
      <w:r>
        <w:rPr>
          <w:rFonts w:hint="eastAsia" w:ascii="宋体" w:hAnsi="宋体" w:eastAsia="宋体" w:cs="宋体"/>
          <w:i w:val="0"/>
          <w:iCs w:val="0"/>
          <w:color w:val="auto"/>
          <w:sz w:val="24"/>
          <w:highlight w:val="none"/>
          <w:u w:val="single"/>
          <w:lang w:val="en-US" w:eastAsia="zh-CN"/>
        </w:rPr>
        <w:t xml:space="preserve">          </w:t>
      </w:r>
    </w:p>
    <w:p w14:paraId="0568B837">
      <w:pPr>
        <w:snapToGrid w:val="0"/>
        <w:spacing w:line="720" w:lineRule="auto"/>
        <w:ind w:firstLine="480" w:firstLineChars="200"/>
        <w:rPr>
          <w:rFonts w:hint="eastAsia" w:ascii="宋体" w:hAnsi="宋体" w:eastAsia="宋体" w:cs="宋体"/>
          <w:color w:val="auto"/>
          <w:sz w:val="24"/>
          <w:highlight w:val="none"/>
          <w:u w:val="none"/>
          <w:lang w:val="en-US" w:eastAsia="zh-CN"/>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3A09BC68">
      <w:pPr>
        <w:rPr>
          <w:rFonts w:hint="eastAsia" w:ascii="宋体" w:hAnsi="宋体" w:eastAsia="宋体" w:cs="宋体"/>
          <w:color w:val="auto"/>
          <w:sz w:val="24"/>
          <w:highlight w:val="none"/>
        </w:rPr>
      </w:pPr>
    </w:p>
    <w:p w14:paraId="39F1C561">
      <w:pPr>
        <w:jc w:val="center"/>
        <w:rPr>
          <w:rFonts w:hint="eastAsia" w:ascii="宋体" w:hAnsi="宋体" w:eastAsia="宋体" w:cs="宋体"/>
          <w:b/>
          <w:color w:val="auto"/>
          <w:sz w:val="30"/>
          <w:highlight w:val="none"/>
          <w:lang w:val="en-US" w:eastAsia="zh-CN"/>
        </w:rPr>
      </w:pPr>
      <w:r>
        <w:rPr>
          <w:rFonts w:hint="eastAsia" w:ascii="宋体" w:hAnsi="宋体" w:eastAsia="宋体" w:cs="宋体"/>
          <w:b/>
          <w:bCs/>
          <w:color w:val="auto"/>
          <w:sz w:val="24"/>
          <w:highlight w:val="none"/>
        </w:rPr>
        <w:br w:type="page"/>
      </w:r>
      <w:r>
        <w:rPr>
          <w:rFonts w:hint="eastAsia" w:ascii="宋体" w:hAnsi="宋体" w:eastAsia="宋体" w:cs="宋体"/>
          <w:b/>
          <w:color w:val="auto"/>
          <w:sz w:val="30"/>
          <w:highlight w:val="none"/>
        </w:rPr>
        <w:t>政府采购诚信承诺</w:t>
      </w:r>
      <w:r>
        <w:rPr>
          <w:rFonts w:hint="eastAsia" w:ascii="宋体" w:hAnsi="宋体" w:eastAsia="宋体" w:cs="宋体"/>
          <w:b/>
          <w:color w:val="auto"/>
          <w:sz w:val="30"/>
          <w:highlight w:val="none"/>
          <w:lang w:val="en-US" w:eastAsia="zh-CN"/>
        </w:rPr>
        <w:t>函</w:t>
      </w:r>
    </w:p>
    <w:p w14:paraId="2868F642">
      <w:pPr>
        <w:spacing w:line="360" w:lineRule="auto"/>
        <w:ind w:firstLine="480"/>
        <w:jc w:val="center"/>
        <w:rPr>
          <w:rFonts w:hint="eastAsia" w:ascii="宋体" w:hAnsi="宋体" w:eastAsia="宋体" w:cs="宋体"/>
          <w:color w:val="auto"/>
          <w:sz w:val="24"/>
          <w:highlight w:val="none"/>
        </w:rPr>
      </w:pPr>
    </w:p>
    <w:p w14:paraId="395A8C52">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w:t>
      </w:r>
      <w:r>
        <w:rPr>
          <w:rFonts w:hint="eastAsia" w:ascii="宋体" w:hAnsi="宋体" w:cs="宋体"/>
          <w:color w:val="auto"/>
          <w:sz w:val="24"/>
          <w:highlight w:val="none"/>
          <w:u w:val="none"/>
          <w:lang w:val="en-US" w:eastAsia="zh-CN"/>
        </w:rPr>
        <w:t>采购人</w:t>
      </w:r>
      <w:r>
        <w:rPr>
          <w:rFonts w:hint="eastAsia" w:ascii="宋体" w:hAnsi="宋体" w:eastAsia="宋体" w:cs="宋体"/>
          <w:color w:val="auto"/>
          <w:sz w:val="24"/>
          <w:highlight w:val="none"/>
          <w:u w:val="none"/>
          <w:lang w:val="en-US" w:eastAsia="zh-CN"/>
        </w:rPr>
        <w:t>名称</w:t>
      </w:r>
      <w:r>
        <w:rPr>
          <w:rFonts w:hint="eastAsia" w:ascii="宋体" w:hAnsi="宋体" w:eastAsia="宋体" w:cs="宋体"/>
          <w:color w:val="auto"/>
          <w:sz w:val="24"/>
          <w:highlight w:val="none"/>
          <w:u w:val="none"/>
        </w:rPr>
        <w:t>）</w:t>
      </w:r>
      <w:r>
        <w:rPr>
          <w:rFonts w:hint="eastAsia" w:ascii="宋体" w:hAnsi="宋体" w:eastAsia="宋体" w:cs="宋体"/>
          <w:color w:val="auto"/>
          <w:sz w:val="24"/>
          <w:highlight w:val="none"/>
        </w:rPr>
        <w:t>：</w:t>
      </w:r>
    </w:p>
    <w:p w14:paraId="22172238">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名称）已详细阅读</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项目名称</w:t>
      </w:r>
      <w:r>
        <w:rPr>
          <w:rFonts w:hint="eastAsia" w:ascii="宋体" w:hAnsi="宋体" w:cs="宋体"/>
          <w:color w:val="auto"/>
          <w:sz w:val="24"/>
          <w:highlight w:val="none"/>
          <w:u w:val="single"/>
          <w:lang w:eastAsia="zh-CN"/>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none"/>
          <w:lang w:eastAsia="zh-CN"/>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项目</w:t>
      </w:r>
      <w:r>
        <w:rPr>
          <w:rFonts w:hint="eastAsia" w:ascii="宋体" w:hAnsi="宋体" w:eastAsia="宋体" w:cs="宋体"/>
          <w:color w:val="auto"/>
          <w:sz w:val="24"/>
          <w:highlight w:val="none"/>
          <w:u w:val="single"/>
        </w:rPr>
        <w:t>编号</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的</w:t>
      </w:r>
      <w:r>
        <w:rPr>
          <w:rFonts w:hint="eastAsia" w:ascii="宋体" w:hAnsi="宋体" w:eastAsia="宋体" w:cs="宋体"/>
          <w:color w:val="auto"/>
          <w:sz w:val="24"/>
          <w:highlight w:val="none"/>
        </w:rPr>
        <w:t>招标文件，自愿参加本次投标，现就有关事项做出郑重承诺如下：</w:t>
      </w:r>
    </w:p>
    <w:p w14:paraId="68ECC702">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一、诚信投标，材料真实。我</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rPr>
        <w:t>保证所提供的全部材料、投标内容均真实、合法、有效，保证不出借或者借用其他企业资质，不以他人名义投标，不弄虚作假；</w:t>
      </w:r>
    </w:p>
    <w:p w14:paraId="43B90DAD">
      <w:pPr>
        <w:spacing w:line="360" w:lineRule="auto"/>
        <w:ind w:firstLine="48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二、遵纪守法，公平竞争。不与其他投标人相互串通、哄抬价格，不排挤其他投标人，不损害</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的合法权益；不向评标委员会、</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提供利益以牟取中标</w:t>
      </w:r>
      <w:r>
        <w:rPr>
          <w:rFonts w:hint="eastAsia" w:ascii="宋体" w:hAnsi="宋体" w:eastAsia="宋体" w:cs="宋体"/>
          <w:color w:val="auto"/>
          <w:sz w:val="24"/>
          <w:highlight w:val="none"/>
          <w:lang w:eastAsia="zh-CN"/>
        </w:rPr>
        <w:t>；</w:t>
      </w:r>
    </w:p>
    <w:p w14:paraId="24D0FB51">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三、若</w:t>
      </w:r>
      <w:r>
        <w:rPr>
          <w:rFonts w:hint="eastAsia" w:ascii="宋体" w:hAnsi="宋体" w:eastAsia="宋体" w:cs="宋体"/>
          <w:color w:val="auto"/>
          <w:sz w:val="24"/>
          <w:highlight w:val="none"/>
          <w:lang w:val="en-US" w:eastAsia="zh-CN"/>
        </w:rPr>
        <w:t>有幸</w:t>
      </w:r>
      <w:r>
        <w:rPr>
          <w:rFonts w:hint="eastAsia" w:ascii="宋体" w:hAnsi="宋体" w:eastAsia="宋体" w:cs="宋体"/>
          <w:color w:val="auto"/>
          <w:sz w:val="24"/>
          <w:highlight w:val="none"/>
        </w:rPr>
        <w:t>中标，</w:t>
      </w:r>
      <w:r>
        <w:rPr>
          <w:rFonts w:hint="eastAsia" w:ascii="宋体" w:hAnsi="宋体" w:eastAsia="宋体" w:cs="宋体"/>
          <w:color w:val="auto"/>
          <w:sz w:val="24"/>
          <w:highlight w:val="none"/>
          <w:lang w:val="en-US" w:eastAsia="zh-CN"/>
        </w:rPr>
        <w:t>我单位</w:t>
      </w:r>
      <w:r>
        <w:rPr>
          <w:rFonts w:hint="eastAsia" w:ascii="宋体" w:hAnsi="宋体" w:eastAsia="宋体" w:cs="宋体"/>
          <w:color w:val="auto"/>
          <w:sz w:val="24"/>
          <w:highlight w:val="none"/>
        </w:rPr>
        <w:t>将按照规定及时与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签订政府采购合同，不与</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订立有悖于采购结果的合同或协议；严格履行政府采购合同，不降低合同约定的产品质量和服务，不擅自变更、中止、终止合同或者拒绝履行合同义务；</w:t>
      </w:r>
    </w:p>
    <w:p w14:paraId="702B87F0">
      <w:pPr>
        <w:spacing w:line="360" w:lineRule="auto"/>
        <w:ind w:firstLine="48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四、若</w:t>
      </w:r>
      <w:r>
        <w:rPr>
          <w:rFonts w:hint="eastAsia" w:ascii="宋体" w:hAnsi="宋体" w:eastAsia="宋体" w:cs="宋体"/>
          <w:color w:val="auto"/>
          <w:sz w:val="24"/>
          <w:highlight w:val="none"/>
          <w:lang w:val="en-US" w:eastAsia="zh-CN"/>
        </w:rPr>
        <w:t>有幸</w:t>
      </w:r>
      <w:r>
        <w:rPr>
          <w:rFonts w:hint="eastAsia" w:ascii="宋体" w:hAnsi="宋体" w:eastAsia="宋体" w:cs="宋体"/>
          <w:color w:val="auto"/>
          <w:sz w:val="24"/>
          <w:highlight w:val="none"/>
        </w:rPr>
        <w:t>中标，</w:t>
      </w:r>
      <w:r>
        <w:rPr>
          <w:rFonts w:hint="eastAsia" w:ascii="宋体" w:hAnsi="宋体" w:eastAsia="宋体" w:cs="宋体"/>
          <w:color w:val="auto"/>
          <w:sz w:val="24"/>
          <w:highlight w:val="none"/>
          <w:lang w:val="en-US" w:eastAsia="zh-CN"/>
        </w:rPr>
        <w:t>我单位</w:t>
      </w:r>
      <w:r>
        <w:rPr>
          <w:rFonts w:hint="eastAsia" w:ascii="宋体" w:hAnsi="宋体" w:eastAsia="宋体" w:cs="宋体"/>
          <w:color w:val="auto"/>
          <w:sz w:val="24"/>
          <w:highlight w:val="none"/>
        </w:rPr>
        <w:t>将按照规定积极配合</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开展验收，并</w:t>
      </w:r>
      <w:r>
        <w:rPr>
          <w:rFonts w:hint="eastAsia" w:ascii="宋体" w:hAnsi="宋体" w:eastAsia="宋体" w:cs="宋体"/>
          <w:color w:val="auto"/>
          <w:sz w:val="24"/>
          <w:highlight w:val="none"/>
          <w:lang w:val="en-US" w:eastAsia="zh-CN"/>
        </w:rPr>
        <w:t>积极主动</w:t>
      </w:r>
      <w:r>
        <w:rPr>
          <w:rFonts w:hint="eastAsia" w:ascii="宋体" w:hAnsi="宋体" w:eastAsia="宋体" w:cs="宋体"/>
          <w:color w:val="auto"/>
          <w:sz w:val="24"/>
          <w:highlight w:val="none"/>
        </w:rPr>
        <w:t>准确提供所供货物的</w:t>
      </w:r>
      <w:r>
        <w:rPr>
          <w:rFonts w:hint="eastAsia" w:ascii="宋体" w:hAnsi="宋体" w:eastAsia="宋体" w:cs="宋体"/>
          <w:color w:val="auto"/>
          <w:sz w:val="24"/>
          <w:highlight w:val="none"/>
          <w:lang w:val="en-US" w:eastAsia="zh-CN"/>
        </w:rPr>
        <w:t>进项发票以及货源渠道和联系方式，以便</w:t>
      </w:r>
      <w:r>
        <w:rPr>
          <w:rFonts w:hint="eastAsia" w:ascii="宋体" w:hAnsi="宋体" w:cs="宋体"/>
          <w:color w:val="auto"/>
          <w:sz w:val="24"/>
          <w:highlight w:val="none"/>
          <w:lang w:val="en-US" w:eastAsia="zh-CN"/>
        </w:rPr>
        <w:t>采购人</w:t>
      </w:r>
      <w:r>
        <w:rPr>
          <w:rFonts w:hint="eastAsia" w:ascii="宋体" w:hAnsi="宋体" w:eastAsia="宋体" w:cs="宋体"/>
          <w:color w:val="auto"/>
          <w:sz w:val="24"/>
          <w:highlight w:val="none"/>
          <w:lang w:val="en-US" w:eastAsia="zh-CN"/>
        </w:rPr>
        <w:t>核实货物价格的真实性</w:t>
      </w:r>
      <w:r>
        <w:rPr>
          <w:rFonts w:hint="eastAsia" w:ascii="宋体" w:hAnsi="宋体" w:eastAsia="宋体" w:cs="宋体"/>
          <w:color w:val="auto"/>
          <w:sz w:val="24"/>
          <w:highlight w:val="none"/>
          <w:lang w:eastAsia="zh-CN"/>
        </w:rPr>
        <w:t>；</w:t>
      </w:r>
    </w:p>
    <w:p w14:paraId="0BDAEEFF">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若有违反以上承诺内容的行为，我</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rPr>
        <w:t>自愿接受取消投标资格、记入信用档案、没收投标保证金、媒体通报、1-3年内禁止参与政府采购等处罚；如已中标的，自动放弃中标资格并承担全部法律责任；给</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造成损失的，依法承担赔偿责任。</w:t>
      </w:r>
    </w:p>
    <w:p w14:paraId="6A2C2295">
      <w:pPr>
        <w:spacing w:line="360" w:lineRule="auto"/>
        <w:ind w:firstLine="480"/>
        <w:jc w:val="left"/>
        <w:rPr>
          <w:rFonts w:hint="eastAsia" w:ascii="宋体" w:hAnsi="宋体" w:eastAsia="宋体" w:cs="宋体"/>
          <w:color w:val="auto"/>
          <w:sz w:val="24"/>
          <w:highlight w:val="none"/>
        </w:rPr>
      </w:pPr>
    </w:p>
    <w:p w14:paraId="092638D5">
      <w:pPr>
        <w:snapToGrid w:val="0"/>
        <w:spacing w:line="480" w:lineRule="auto"/>
        <w:ind w:right="105" w:rightChars="50" w:firstLine="480" w:firstLineChars="200"/>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u w:val="single"/>
          <w:lang w:val="en-US" w:eastAsia="zh-CN"/>
        </w:rPr>
        <w:t xml:space="preserve">            </w:t>
      </w:r>
    </w:p>
    <w:p w14:paraId="0C6D7F01">
      <w:pPr>
        <w:snapToGrid w:val="0"/>
        <w:spacing w:line="480" w:lineRule="auto"/>
        <w:ind w:right="105" w:rightChars="50" w:firstLine="2160" w:firstLineChars="900"/>
        <w:rPr>
          <w:rFonts w:hint="eastAsia" w:ascii="宋体" w:hAnsi="宋体" w:eastAsia="宋体" w:cs="宋体"/>
          <w:i w:val="0"/>
          <w:iCs w:val="0"/>
          <w:color w:val="auto"/>
          <w:sz w:val="24"/>
          <w:highlight w:val="none"/>
          <w:u w:val="single"/>
          <w:lang w:val="en-US" w:eastAsia="zh-CN"/>
        </w:rPr>
      </w:pPr>
      <w:r>
        <w:rPr>
          <w:rFonts w:hint="eastAsia" w:ascii="宋体" w:hAnsi="宋体" w:eastAsia="宋体" w:cs="宋体"/>
          <w:color w:val="auto"/>
          <w:sz w:val="24"/>
          <w:highlight w:val="none"/>
        </w:rPr>
        <w:t>法定代表人（签字或盖章）</w:t>
      </w:r>
      <w:r>
        <w:rPr>
          <w:rFonts w:hint="eastAsia" w:ascii="宋体" w:hAnsi="宋体" w:eastAsia="宋体" w:cs="宋体"/>
          <w:color w:val="auto"/>
          <w:sz w:val="24"/>
          <w:highlight w:val="none"/>
          <w:lang w:eastAsia="zh-CN"/>
        </w:rPr>
        <w:t>：</w:t>
      </w:r>
      <w:r>
        <w:rPr>
          <w:rFonts w:hint="eastAsia" w:ascii="宋体" w:hAnsi="宋体" w:eastAsia="宋体" w:cs="宋体"/>
          <w:i w:val="0"/>
          <w:iCs w:val="0"/>
          <w:color w:val="auto"/>
          <w:sz w:val="24"/>
          <w:highlight w:val="none"/>
          <w:u w:val="single"/>
          <w:lang w:val="en-US" w:eastAsia="zh-CN"/>
        </w:rPr>
        <w:t xml:space="preserve">            </w:t>
      </w:r>
    </w:p>
    <w:p w14:paraId="0D136A1B">
      <w:pPr>
        <w:snapToGrid w:val="0"/>
        <w:spacing w:line="720" w:lineRule="auto"/>
        <w:ind w:firstLine="3600" w:firstLineChars="1500"/>
        <w:rPr>
          <w:rFonts w:hint="eastAsia" w:ascii="宋体" w:hAnsi="宋体" w:eastAsia="宋体" w:cs="宋体"/>
          <w:color w:val="auto"/>
          <w:sz w:val="24"/>
          <w:highlight w:val="none"/>
          <w:u w:val="none"/>
          <w:lang w:val="en-US" w:eastAsia="zh-CN"/>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1CA606F4">
      <w:pPr>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附件</w:t>
      </w:r>
      <w:r>
        <w:rPr>
          <w:rFonts w:hint="eastAsia" w:ascii="宋体" w:hAnsi="宋体" w:eastAsia="宋体" w:cs="宋体"/>
          <w:b/>
          <w:color w:val="auto"/>
          <w:sz w:val="30"/>
          <w:szCs w:val="30"/>
          <w:highlight w:val="none"/>
          <w:lang w:val="en-US" w:eastAsia="zh-CN"/>
        </w:rPr>
        <w:t>四</w:t>
      </w:r>
    </w:p>
    <w:p w14:paraId="025CC924">
      <w:pPr>
        <w:snapToGrid w:val="0"/>
        <w:spacing w:line="360" w:lineRule="auto"/>
        <w:jc w:val="center"/>
        <w:rPr>
          <w:rFonts w:hint="eastAsia" w:ascii="宋体" w:hAnsi="宋体" w:eastAsia="宋体" w:cs="宋体"/>
          <w:b/>
          <w:color w:val="auto"/>
          <w:sz w:val="28"/>
          <w:szCs w:val="28"/>
          <w:highlight w:val="none"/>
        </w:rPr>
      </w:pPr>
      <w:r>
        <w:rPr>
          <w:rFonts w:hint="eastAsia" w:ascii="宋体" w:hAnsi="宋体" w:cs="宋体"/>
          <w:b/>
          <w:color w:val="auto"/>
          <w:sz w:val="28"/>
          <w:szCs w:val="28"/>
          <w:highlight w:val="none"/>
          <w:lang w:val="en-US" w:eastAsia="zh-CN"/>
        </w:rPr>
        <w:t xml:space="preserve">报  价  </w:t>
      </w:r>
      <w:r>
        <w:rPr>
          <w:rFonts w:hint="eastAsia" w:ascii="宋体" w:hAnsi="宋体" w:eastAsia="宋体" w:cs="宋体"/>
          <w:b/>
          <w:color w:val="auto"/>
          <w:sz w:val="28"/>
          <w:szCs w:val="28"/>
          <w:highlight w:val="none"/>
        </w:rPr>
        <w:t>一</w:t>
      </w:r>
      <w:r>
        <w:rPr>
          <w:rFonts w:hint="eastAsia" w:ascii="宋体" w:hAnsi="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览 表</w:t>
      </w:r>
    </w:p>
    <w:p w14:paraId="7D1A78DD">
      <w:pPr>
        <w:snapToGrid w:val="0"/>
        <w:spacing w:line="360" w:lineRule="auto"/>
        <w:jc w:val="center"/>
        <w:rPr>
          <w:rFonts w:hint="eastAsia" w:ascii="宋体" w:hAnsi="宋体" w:eastAsia="宋体" w:cs="宋体"/>
          <w:b/>
          <w:color w:val="auto"/>
          <w:sz w:val="28"/>
          <w:szCs w:val="28"/>
          <w:highlight w:val="none"/>
        </w:rPr>
      </w:pPr>
    </w:p>
    <w:p w14:paraId="7993739E">
      <w:pPr>
        <w:snapToGrid w:val="0"/>
        <w:spacing w:line="360" w:lineRule="auto"/>
        <w:jc w:val="center"/>
        <w:rPr>
          <w:rFonts w:hint="eastAsia" w:ascii="宋体" w:hAnsi="宋体" w:eastAsia="宋体" w:cs="宋体"/>
          <w:b/>
          <w:color w:val="auto"/>
          <w:sz w:val="28"/>
          <w:szCs w:val="28"/>
          <w:highlight w:val="none"/>
        </w:rPr>
      </w:pPr>
    </w:p>
    <w:tbl>
      <w:tblPr>
        <w:tblStyle w:val="25"/>
        <w:tblpPr w:leftFromText="180" w:rightFromText="180" w:vertAnchor="text" w:horzAnchor="margin" w:tblpXSpec="center" w:tblpY="225"/>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2472"/>
        <w:gridCol w:w="1364"/>
        <w:gridCol w:w="3458"/>
      </w:tblGrid>
      <w:tr w14:paraId="0CA4D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trPr>
        <w:tc>
          <w:tcPr>
            <w:tcW w:w="1985" w:type="dxa"/>
            <w:vAlign w:val="center"/>
          </w:tcPr>
          <w:p w14:paraId="299F3F9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w:t>
            </w:r>
          </w:p>
        </w:tc>
        <w:tc>
          <w:tcPr>
            <w:tcW w:w="7294" w:type="dxa"/>
            <w:gridSpan w:val="3"/>
            <w:vAlign w:val="center"/>
          </w:tcPr>
          <w:p w14:paraId="2AC47AD8">
            <w:pPr>
              <w:snapToGrid w:val="0"/>
              <w:spacing w:line="360" w:lineRule="auto"/>
              <w:rPr>
                <w:rFonts w:hint="eastAsia" w:ascii="宋体" w:hAnsi="宋体" w:eastAsia="宋体" w:cs="宋体"/>
                <w:color w:val="auto"/>
                <w:sz w:val="24"/>
                <w:highlight w:val="none"/>
              </w:rPr>
            </w:pPr>
          </w:p>
        </w:tc>
      </w:tr>
      <w:tr w14:paraId="2082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trPr>
        <w:tc>
          <w:tcPr>
            <w:tcW w:w="1985" w:type="dxa"/>
            <w:vAlign w:val="center"/>
          </w:tcPr>
          <w:p w14:paraId="6D589DA7">
            <w:pPr>
              <w:snapToGrid w:val="0"/>
              <w:spacing w:line="360" w:lineRule="auto"/>
              <w:jc w:val="center"/>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项目</w:t>
            </w:r>
            <w:r>
              <w:rPr>
                <w:rFonts w:hint="eastAsia" w:ascii="宋体" w:hAnsi="宋体" w:eastAsia="宋体" w:cs="宋体"/>
                <w:color w:val="auto"/>
                <w:sz w:val="24"/>
                <w:highlight w:val="none"/>
              </w:rPr>
              <w:t>编号</w:t>
            </w:r>
          </w:p>
        </w:tc>
        <w:tc>
          <w:tcPr>
            <w:tcW w:w="7294" w:type="dxa"/>
            <w:gridSpan w:val="3"/>
            <w:vAlign w:val="center"/>
          </w:tcPr>
          <w:p w14:paraId="67519A80">
            <w:pPr>
              <w:snapToGrid w:val="0"/>
              <w:spacing w:line="360" w:lineRule="auto"/>
              <w:rPr>
                <w:rFonts w:hint="eastAsia" w:ascii="宋体" w:hAnsi="宋体" w:eastAsia="宋体" w:cs="宋体"/>
                <w:color w:val="auto"/>
                <w:sz w:val="24"/>
                <w:highlight w:val="none"/>
              </w:rPr>
            </w:pPr>
          </w:p>
        </w:tc>
      </w:tr>
      <w:tr w14:paraId="17BF1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trPr>
        <w:tc>
          <w:tcPr>
            <w:tcW w:w="1985" w:type="dxa"/>
            <w:vAlign w:val="center"/>
          </w:tcPr>
          <w:p w14:paraId="61AABF66">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7294" w:type="dxa"/>
            <w:gridSpan w:val="3"/>
            <w:vAlign w:val="center"/>
          </w:tcPr>
          <w:p w14:paraId="60A91DA0">
            <w:pPr>
              <w:snapToGrid w:val="0"/>
              <w:spacing w:line="360" w:lineRule="auto"/>
              <w:rPr>
                <w:rFonts w:hint="eastAsia" w:ascii="宋体" w:hAnsi="宋体" w:eastAsia="宋体" w:cs="宋体"/>
                <w:color w:val="auto"/>
                <w:sz w:val="24"/>
                <w:highlight w:val="none"/>
              </w:rPr>
            </w:pPr>
          </w:p>
        </w:tc>
      </w:tr>
      <w:tr w14:paraId="2E34E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trPr>
        <w:tc>
          <w:tcPr>
            <w:tcW w:w="1985" w:type="dxa"/>
            <w:vAlign w:val="center"/>
          </w:tcPr>
          <w:p w14:paraId="537A69F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p>
        </w:tc>
        <w:tc>
          <w:tcPr>
            <w:tcW w:w="2472" w:type="dxa"/>
            <w:vAlign w:val="center"/>
          </w:tcPr>
          <w:p w14:paraId="61F83182">
            <w:pPr>
              <w:snapToGrid w:val="0"/>
              <w:spacing w:line="360" w:lineRule="auto"/>
              <w:rPr>
                <w:rFonts w:hint="eastAsia" w:ascii="宋体" w:hAnsi="宋体" w:eastAsia="宋体" w:cs="宋体"/>
                <w:color w:val="auto"/>
                <w:sz w:val="24"/>
                <w:highlight w:val="none"/>
              </w:rPr>
            </w:pPr>
          </w:p>
        </w:tc>
        <w:tc>
          <w:tcPr>
            <w:tcW w:w="1364" w:type="dxa"/>
            <w:vAlign w:val="center"/>
          </w:tcPr>
          <w:p w14:paraId="65E7B82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3458" w:type="dxa"/>
            <w:vAlign w:val="center"/>
          </w:tcPr>
          <w:p w14:paraId="1CC86ABC">
            <w:pPr>
              <w:snapToGrid w:val="0"/>
              <w:spacing w:line="360" w:lineRule="auto"/>
              <w:rPr>
                <w:rFonts w:hint="eastAsia" w:ascii="宋体" w:hAnsi="宋体" w:eastAsia="宋体" w:cs="宋体"/>
                <w:color w:val="auto"/>
                <w:sz w:val="24"/>
                <w:highlight w:val="none"/>
              </w:rPr>
            </w:pPr>
          </w:p>
        </w:tc>
      </w:tr>
      <w:tr w14:paraId="29926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trPr>
        <w:tc>
          <w:tcPr>
            <w:tcW w:w="1985" w:type="dxa"/>
            <w:tcBorders>
              <w:bottom w:val="single" w:color="auto" w:sz="4" w:space="0"/>
            </w:tcBorders>
            <w:vAlign w:val="center"/>
          </w:tcPr>
          <w:p w14:paraId="07E5C71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法人授权代表</w:t>
            </w:r>
          </w:p>
        </w:tc>
        <w:tc>
          <w:tcPr>
            <w:tcW w:w="2472" w:type="dxa"/>
            <w:tcBorders>
              <w:bottom w:val="single" w:color="auto" w:sz="4" w:space="0"/>
            </w:tcBorders>
            <w:vAlign w:val="center"/>
          </w:tcPr>
          <w:p w14:paraId="17B08107">
            <w:pPr>
              <w:snapToGrid w:val="0"/>
              <w:spacing w:line="360" w:lineRule="auto"/>
              <w:rPr>
                <w:rFonts w:hint="eastAsia" w:ascii="宋体" w:hAnsi="宋体" w:eastAsia="宋体" w:cs="宋体"/>
                <w:color w:val="auto"/>
                <w:sz w:val="24"/>
                <w:highlight w:val="none"/>
              </w:rPr>
            </w:pPr>
          </w:p>
        </w:tc>
        <w:tc>
          <w:tcPr>
            <w:tcW w:w="1364" w:type="dxa"/>
            <w:tcBorders>
              <w:bottom w:val="single" w:color="auto" w:sz="4" w:space="0"/>
            </w:tcBorders>
            <w:vAlign w:val="center"/>
          </w:tcPr>
          <w:p w14:paraId="0030FBE4">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3458" w:type="dxa"/>
            <w:tcBorders>
              <w:bottom w:val="single" w:color="auto" w:sz="4" w:space="0"/>
            </w:tcBorders>
            <w:vAlign w:val="center"/>
          </w:tcPr>
          <w:p w14:paraId="1C49CF09">
            <w:pPr>
              <w:snapToGrid w:val="0"/>
              <w:spacing w:line="360" w:lineRule="auto"/>
              <w:rPr>
                <w:rFonts w:hint="eastAsia" w:ascii="宋体" w:hAnsi="宋体" w:eastAsia="宋体" w:cs="宋体"/>
                <w:color w:val="auto"/>
                <w:sz w:val="24"/>
                <w:highlight w:val="none"/>
              </w:rPr>
            </w:pPr>
          </w:p>
        </w:tc>
      </w:tr>
      <w:tr w14:paraId="273F9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985" w:type="dxa"/>
            <w:tcBorders>
              <w:top w:val="single" w:color="auto" w:sz="4" w:space="0"/>
              <w:left w:val="single" w:color="auto" w:sz="4" w:space="0"/>
              <w:bottom w:val="single" w:color="auto" w:sz="4" w:space="0"/>
              <w:right w:val="single" w:color="auto" w:sz="4" w:space="0"/>
            </w:tcBorders>
            <w:vAlign w:val="center"/>
          </w:tcPr>
          <w:p w14:paraId="37166CB2">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报价下浮率</w:t>
            </w:r>
          </w:p>
        </w:tc>
        <w:tc>
          <w:tcPr>
            <w:tcW w:w="7294" w:type="dxa"/>
            <w:gridSpan w:val="3"/>
            <w:tcBorders>
              <w:top w:val="single" w:color="auto" w:sz="4" w:space="0"/>
              <w:left w:val="single" w:color="auto" w:sz="4" w:space="0"/>
              <w:bottom w:val="single" w:color="auto" w:sz="4" w:space="0"/>
              <w:right w:val="single" w:color="auto" w:sz="4" w:space="0"/>
            </w:tcBorders>
            <w:vAlign w:val="center"/>
          </w:tcPr>
          <w:p w14:paraId="5794F4E9">
            <w:pPr>
              <w:snapToGrid w:val="0"/>
              <w:spacing w:line="360" w:lineRule="auto"/>
              <w:rPr>
                <w:rFonts w:hint="default" w:ascii="宋体" w:hAnsi="宋体" w:eastAsia="宋体" w:cs="宋体"/>
                <w:bCs/>
                <w:color w:val="auto"/>
                <w:sz w:val="24"/>
                <w:highlight w:val="none"/>
                <w:lang w:val="en-US"/>
              </w:rPr>
            </w:pP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u w:val="none"/>
              </w:rPr>
              <w:t>%</w:t>
            </w:r>
          </w:p>
        </w:tc>
      </w:tr>
      <w:tr w14:paraId="3F925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9" w:hRule="atLeast"/>
        </w:trPr>
        <w:tc>
          <w:tcPr>
            <w:tcW w:w="1985" w:type="dxa"/>
            <w:tcBorders>
              <w:top w:val="single" w:color="auto" w:sz="4" w:space="0"/>
              <w:left w:val="single" w:color="auto" w:sz="4" w:space="0"/>
              <w:bottom w:val="single" w:color="auto" w:sz="4" w:space="0"/>
              <w:right w:val="single" w:color="auto" w:sz="4" w:space="0"/>
            </w:tcBorders>
            <w:vAlign w:val="center"/>
          </w:tcPr>
          <w:p w14:paraId="310BF3EB">
            <w:pPr>
              <w:snapToGrid w:val="0"/>
              <w:spacing w:line="360" w:lineRule="auto"/>
              <w:jc w:val="center"/>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合同履行</w:t>
            </w:r>
            <w:r>
              <w:rPr>
                <w:rFonts w:hint="eastAsia" w:ascii="宋体" w:hAnsi="宋体" w:eastAsia="宋体" w:cs="宋体"/>
                <w:color w:val="auto"/>
                <w:sz w:val="24"/>
                <w:highlight w:val="none"/>
              </w:rPr>
              <w:t>期限</w:t>
            </w:r>
          </w:p>
        </w:tc>
        <w:tc>
          <w:tcPr>
            <w:tcW w:w="7294" w:type="dxa"/>
            <w:gridSpan w:val="3"/>
            <w:tcBorders>
              <w:top w:val="single" w:color="auto" w:sz="4" w:space="0"/>
              <w:left w:val="single" w:color="auto" w:sz="4" w:space="0"/>
              <w:bottom w:val="single" w:color="auto" w:sz="4" w:space="0"/>
              <w:right w:val="single" w:color="auto" w:sz="4" w:space="0"/>
            </w:tcBorders>
            <w:vAlign w:val="center"/>
          </w:tcPr>
          <w:p w14:paraId="336ECD94">
            <w:pPr>
              <w:snapToGrid w:val="0"/>
              <w:spacing w:line="360" w:lineRule="auto"/>
              <w:ind w:right="105" w:rightChars="50"/>
              <w:rPr>
                <w:rFonts w:hint="eastAsia" w:ascii="宋体" w:hAnsi="宋体" w:eastAsia="宋体" w:cs="宋体"/>
                <w:color w:val="auto"/>
                <w:sz w:val="24"/>
                <w:highlight w:val="none"/>
                <w:lang w:eastAsia="zh-CN"/>
              </w:rPr>
            </w:pPr>
          </w:p>
        </w:tc>
      </w:tr>
      <w:tr w14:paraId="3CB74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trPr>
        <w:tc>
          <w:tcPr>
            <w:tcW w:w="1985" w:type="dxa"/>
            <w:tcBorders>
              <w:top w:val="single" w:color="auto" w:sz="4" w:space="0"/>
              <w:left w:val="single" w:color="auto" w:sz="4" w:space="0"/>
              <w:bottom w:val="single" w:color="auto" w:sz="4" w:space="0"/>
              <w:right w:val="single" w:color="auto" w:sz="4" w:space="0"/>
            </w:tcBorders>
            <w:vAlign w:val="center"/>
          </w:tcPr>
          <w:p w14:paraId="7291C346">
            <w:pPr>
              <w:snapToGrid w:val="0"/>
              <w:spacing w:line="360" w:lineRule="auto"/>
              <w:jc w:val="center"/>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履约</w:t>
            </w:r>
            <w:r>
              <w:rPr>
                <w:rFonts w:hint="eastAsia" w:ascii="宋体" w:hAnsi="宋体" w:eastAsia="宋体" w:cs="宋体"/>
                <w:color w:val="auto"/>
                <w:sz w:val="24"/>
                <w:highlight w:val="none"/>
              </w:rPr>
              <w:t>地点</w:t>
            </w:r>
          </w:p>
        </w:tc>
        <w:tc>
          <w:tcPr>
            <w:tcW w:w="7294" w:type="dxa"/>
            <w:gridSpan w:val="3"/>
            <w:tcBorders>
              <w:top w:val="single" w:color="auto" w:sz="4" w:space="0"/>
              <w:left w:val="single" w:color="auto" w:sz="4" w:space="0"/>
              <w:bottom w:val="single" w:color="auto" w:sz="4" w:space="0"/>
              <w:right w:val="single" w:color="auto" w:sz="4" w:space="0"/>
            </w:tcBorders>
            <w:vAlign w:val="center"/>
          </w:tcPr>
          <w:p w14:paraId="7915D815">
            <w:pPr>
              <w:snapToGrid w:val="0"/>
              <w:spacing w:line="360" w:lineRule="auto"/>
              <w:ind w:right="105" w:rightChars="50"/>
              <w:rPr>
                <w:rFonts w:hint="eastAsia" w:ascii="宋体" w:hAnsi="宋体" w:eastAsia="宋体" w:cs="宋体"/>
                <w:color w:val="auto"/>
                <w:sz w:val="24"/>
                <w:highlight w:val="none"/>
              </w:rPr>
            </w:pPr>
          </w:p>
        </w:tc>
      </w:tr>
      <w:tr w14:paraId="146FE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trPr>
        <w:tc>
          <w:tcPr>
            <w:tcW w:w="1985" w:type="dxa"/>
            <w:tcBorders>
              <w:top w:val="single" w:color="auto" w:sz="4" w:space="0"/>
              <w:left w:val="single" w:color="auto" w:sz="4" w:space="0"/>
              <w:bottom w:val="single" w:color="auto" w:sz="4" w:space="0"/>
              <w:right w:val="single" w:color="auto" w:sz="4" w:space="0"/>
            </w:tcBorders>
            <w:vAlign w:val="center"/>
          </w:tcPr>
          <w:p w14:paraId="5155F288">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供货方式</w:t>
            </w:r>
          </w:p>
        </w:tc>
        <w:tc>
          <w:tcPr>
            <w:tcW w:w="7294" w:type="dxa"/>
            <w:gridSpan w:val="3"/>
            <w:tcBorders>
              <w:top w:val="single" w:color="auto" w:sz="4" w:space="0"/>
              <w:left w:val="single" w:color="auto" w:sz="4" w:space="0"/>
              <w:bottom w:val="single" w:color="auto" w:sz="4" w:space="0"/>
              <w:right w:val="single" w:color="auto" w:sz="4" w:space="0"/>
            </w:tcBorders>
            <w:vAlign w:val="center"/>
          </w:tcPr>
          <w:p w14:paraId="432F2866">
            <w:pPr>
              <w:snapToGrid w:val="0"/>
              <w:spacing w:line="360" w:lineRule="auto"/>
              <w:ind w:right="105" w:rightChars="50"/>
              <w:rPr>
                <w:rFonts w:hint="eastAsia" w:ascii="宋体" w:hAnsi="宋体" w:eastAsia="宋体" w:cs="宋体"/>
                <w:color w:val="auto"/>
                <w:sz w:val="24"/>
                <w:highlight w:val="none"/>
              </w:rPr>
            </w:pPr>
          </w:p>
        </w:tc>
      </w:tr>
      <w:tr w14:paraId="5BB40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8" w:hRule="atLeast"/>
        </w:trPr>
        <w:tc>
          <w:tcPr>
            <w:tcW w:w="1985" w:type="dxa"/>
            <w:tcBorders>
              <w:top w:val="single" w:color="auto" w:sz="4" w:space="0"/>
              <w:left w:val="single" w:color="auto" w:sz="4" w:space="0"/>
              <w:bottom w:val="single" w:color="auto" w:sz="4" w:space="0"/>
              <w:right w:val="single" w:color="auto" w:sz="4" w:space="0"/>
            </w:tcBorders>
            <w:vAlign w:val="center"/>
          </w:tcPr>
          <w:p w14:paraId="1847518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7294" w:type="dxa"/>
            <w:gridSpan w:val="3"/>
            <w:tcBorders>
              <w:top w:val="single" w:color="auto" w:sz="4" w:space="0"/>
              <w:left w:val="single" w:color="auto" w:sz="4" w:space="0"/>
              <w:bottom w:val="single" w:color="auto" w:sz="4" w:space="0"/>
              <w:right w:val="single" w:color="auto" w:sz="4" w:space="0"/>
            </w:tcBorders>
            <w:vAlign w:val="center"/>
          </w:tcPr>
          <w:p w14:paraId="0F1DFB3F">
            <w:pPr>
              <w:snapToGrid w:val="0"/>
              <w:spacing w:line="360" w:lineRule="auto"/>
              <w:ind w:right="105" w:rightChars="50"/>
              <w:rPr>
                <w:rFonts w:hint="eastAsia" w:ascii="宋体" w:hAnsi="宋体" w:eastAsia="宋体" w:cs="宋体"/>
                <w:color w:val="auto"/>
                <w:sz w:val="24"/>
                <w:highlight w:val="none"/>
              </w:rPr>
            </w:pPr>
          </w:p>
        </w:tc>
      </w:tr>
    </w:tbl>
    <w:p w14:paraId="274AD5BF">
      <w:pPr>
        <w:tabs>
          <w:tab w:val="left" w:pos="900"/>
        </w:tabs>
        <w:adjustRightInd w:val="0"/>
        <w:snapToGrid w:val="0"/>
        <w:spacing w:line="360" w:lineRule="auto"/>
        <w:ind w:firstLine="420" w:firstLineChars="200"/>
        <w:jc w:val="left"/>
        <w:rPr>
          <w:rFonts w:hint="eastAsia" w:ascii="宋体" w:hAnsi="宋体" w:eastAsia="宋体" w:cs="宋体"/>
          <w:color w:val="auto"/>
          <w:szCs w:val="28"/>
          <w:highlight w:val="none"/>
        </w:rPr>
      </w:pPr>
      <w:r>
        <w:rPr>
          <w:rFonts w:hint="eastAsia" w:ascii="宋体" w:hAnsi="宋体" w:eastAsia="宋体" w:cs="宋体"/>
          <w:color w:val="auto"/>
          <w:szCs w:val="28"/>
          <w:highlight w:val="none"/>
        </w:rPr>
        <w:t>注：</w:t>
      </w:r>
    </w:p>
    <w:p w14:paraId="74E7EF3B">
      <w:pPr>
        <w:tabs>
          <w:tab w:val="left" w:pos="900"/>
        </w:tabs>
        <w:adjustRightInd w:val="0"/>
        <w:snapToGrid w:val="0"/>
        <w:spacing w:line="360" w:lineRule="auto"/>
        <w:ind w:firstLine="420" w:firstLineChars="200"/>
        <w:jc w:val="left"/>
        <w:outlineLvl w:val="0"/>
        <w:rPr>
          <w:rFonts w:hint="default" w:ascii="宋体" w:hAnsi="宋体" w:eastAsia="宋体" w:cs="宋体"/>
          <w:color w:val="auto"/>
          <w:szCs w:val="28"/>
          <w:highlight w:val="none"/>
          <w:lang w:val="en-US" w:eastAsia="zh-CN"/>
        </w:rPr>
      </w:pPr>
      <w:r>
        <w:rPr>
          <w:rFonts w:hint="eastAsia" w:ascii="宋体" w:hAnsi="宋体" w:eastAsia="宋体" w:cs="宋体"/>
          <w:color w:val="auto"/>
          <w:szCs w:val="28"/>
          <w:highlight w:val="none"/>
        </w:rPr>
        <w:t>1.</w:t>
      </w:r>
      <w:r>
        <w:rPr>
          <w:rFonts w:hint="eastAsia" w:ascii="宋体" w:hAnsi="宋体" w:cs="宋体"/>
          <w:color w:val="auto"/>
          <w:szCs w:val="28"/>
          <w:highlight w:val="none"/>
          <w:lang w:val="en-US" w:eastAsia="zh-CN"/>
        </w:rPr>
        <w:t>投标人应充分考虑所供产品市场价，任何时刻均</w:t>
      </w:r>
      <w:r>
        <w:rPr>
          <w:rFonts w:hint="eastAsia" w:ascii="宋体" w:hAnsi="宋体" w:eastAsia="宋体" w:cs="宋体"/>
          <w:color w:val="auto"/>
          <w:szCs w:val="28"/>
          <w:highlight w:val="none"/>
        </w:rPr>
        <w:t>不得高于</w:t>
      </w:r>
      <w:r>
        <w:rPr>
          <w:rFonts w:hint="eastAsia" w:ascii="宋体" w:hAnsi="宋体" w:eastAsia="宋体" w:cs="宋体"/>
          <w:color w:val="auto"/>
          <w:szCs w:val="28"/>
          <w:highlight w:val="none"/>
          <w:lang w:val="en-US" w:eastAsia="zh-CN"/>
        </w:rPr>
        <w:t>同期</w:t>
      </w:r>
      <w:r>
        <w:rPr>
          <w:rFonts w:hint="eastAsia" w:ascii="宋体" w:hAnsi="宋体" w:eastAsia="宋体" w:cs="宋体"/>
          <w:color w:val="auto"/>
          <w:szCs w:val="28"/>
          <w:highlight w:val="none"/>
        </w:rPr>
        <w:t>当地市场公示价格</w:t>
      </w:r>
      <w:r>
        <w:rPr>
          <w:rFonts w:hint="eastAsia" w:ascii="宋体" w:hAnsi="宋体" w:eastAsia="宋体" w:cs="宋体"/>
          <w:color w:val="auto"/>
          <w:szCs w:val="28"/>
          <w:highlight w:val="none"/>
          <w:lang w:val="en-US" w:eastAsia="zh-CN"/>
        </w:rPr>
        <w:t>或零售价格</w:t>
      </w:r>
      <w:r>
        <w:rPr>
          <w:rFonts w:hint="eastAsia" w:ascii="宋体" w:hAnsi="宋体" w:eastAsia="宋体" w:cs="宋体"/>
          <w:color w:val="auto"/>
          <w:szCs w:val="28"/>
          <w:highlight w:val="none"/>
        </w:rPr>
        <w:t>，</w:t>
      </w:r>
      <w:r>
        <w:rPr>
          <w:rFonts w:hint="eastAsia" w:ascii="宋体" w:hAnsi="宋体" w:eastAsia="宋体" w:cs="宋体"/>
          <w:color w:val="auto"/>
          <w:szCs w:val="28"/>
          <w:highlight w:val="none"/>
          <w:lang w:val="en-US" w:eastAsia="zh-CN"/>
        </w:rPr>
        <w:t>结合自身情况合理填写报价下浮率。</w:t>
      </w:r>
    </w:p>
    <w:p w14:paraId="4E305354">
      <w:pPr>
        <w:tabs>
          <w:tab w:val="left" w:pos="900"/>
        </w:tabs>
        <w:adjustRightInd w:val="0"/>
        <w:snapToGrid w:val="0"/>
        <w:spacing w:line="360" w:lineRule="auto"/>
        <w:ind w:firstLine="420" w:firstLineChars="200"/>
        <w:jc w:val="left"/>
        <w:rPr>
          <w:rFonts w:hint="eastAsia" w:ascii="宋体" w:hAnsi="宋体" w:eastAsia="宋体" w:cs="宋体"/>
          <w:color w:val="auto"/>
          <w:szCs w:val="28"/>
          <w:highlight w:val="none"/>
        </w:rPr>
      </w:pPr>
      <w:r>
        <w:rPr>
          <w:rFonts w:hint="eastAsia" w:ascii="宋体" w:hAnsi="宋体" w:eastAsia="宋体" w:cs="宋体"/>
          <w:color w:val="auto"/>
          <w:szCs w:val="28"/>
          <w:highlight w:val="none"/>
        </w:rPr>
        <w:t>2.开标一览表中填写内容须严格按照招标文件中文字表述方式填写，否则按不响应招标文件内容处理。</w:t>
      </w:r>
    </w:p>
    <w:p w14:paraId="22326677">
      <w:pPr>
        <w:snapToGrid w:val="0"/>
        <w:spacing w:line="480" w:lineRule="auto"/>
        <w:ind w:right="105" w:rightChars="50"/>
        <w:jc w:val="center"/>
        <w:rPr>
          <w:rFonts w:hint="eastAsia" w:ascii="宋体" w:hAnsi="宋体" w:eastAsia="宋体" w:cs="宋体"/>
          <w:color w:val="auto"/>
          <w:sz w:val="24"/>
          <w:szCs w:val="24"/>
          <w:highlight w:val="none"/>
        </w:rPr>
      </w:pPr>
      <w:r>
        <w:rPr>
          <w:rFonts w:hint="eastAsia" w:ascii="宋体" w:hAnsi="宋体" w:eastAsia="宋体" w:cs="宋体"/>
          <w:color w:val="auto"/>
          <w:highlight w:val="none"/>
        </w:rPr>
        <w:t>3、本项目报价（下浮率）仅保留一位小数，此下浮率通用于供货商所有类别商品。</w:t>
      </w:r>
      <w:r>
        <w:rPr>
          <w:rFonts w:hint="eastAsia" w:ascii="宋体" w:hAnsi="宋体" w:eastAsia="宋体" w:cs="宋体"/>
          <w:color w:val="auto"/>
          <w:sz w:val="24"/>
          <w:szCs w:val="24"/>
          <w:highlight w:val="none"/>
        </w:rPr>
        <w:t xml:space="preserve">                             </w:t>
      </w:r>
    </w:p>
    <w:p w14:paraId="4A677A9D">
      <w:pPr>
        <w:snapToGrid w:val="0"/>
        <w:spacing w:line="480" w:lineRule="auto"/>
        <w:ind w:right="105" w:rightChars="50"/>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投标人（盖章）：    </w:t>
      </w:r>
    </w:p>
    <w:p w14:paraId="12D29B6B">
      <w:pPr>
        <w:snapToGrid w:val="0"/>
        <w:spacing w:line="480" w:lineRule="auto"/>
        <w:ind w:right="105" w:rightChars="50" w:firstLine="5040" w:firstLineChars="2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法定代表人（签字或盖章）：</w:t>
      </w:r>
    </w:p>
    <w:p w14:paraId="07334071">
      <w:pPr>
        <w:snapToGrid w:val="0"/>
        <w:spacing w:line="720" w:lineRule="auto"/>
        <w:ind w:firstLine="3600" w:firstLineChars="1500"/>
        <w:rPr>
          <w:rFonts w:hint="eastAsia" w:ascii="宋体" w:hAnsi="宋体" w:eastAsia="宋体" w:cs="宋体"/>
          <w:color w:val="auto"/>
          <w:sz w:val="24"/>
          <w:highlight w:val="none"/>
          <w:u w:val="none"/>
          <w:lang w:val="en-US" w:eastAsia="zh-CN"/>
        </w:rPr>
      </w:pPr>
      <w:r>
        <w:rPr>
          <w:rFonts w:hint="eastAsia" w:ascii="宋体" w:eastAsia="宋体" w:cs="宋体"/>
          <w:color w:val="auto"/>
          <w:sz w:val="24"/>
          <w:szCs w:val="24"/>
          <w:highlight w:val="none"/>
          <w:lang w:val="en-US" w:eastAsia="zh-CN"/>
        </w:rPr>
        <w:t xml:space="preserve">         </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75F2AC61">
      <w:pPr>
        <w:snapToGrid w:val="0"/>
        <w:spacing w:line="360" w:lineRule="auto"/>
        <w:rPr>
          <w:rFonts w:hint="eastAsia" w:ascii="宋体" w:hAnsi="宋体" w:eastAsia="宋体" w:cs="宋体"/>
          <w:b/>
          <w:color w:val="auto"/>
          <w:sz w:val="30"/>
          <w:szCs w:val="30"/>
          <w:highlight w:val="none"/>
        </w:rPr>
      </w:pPr>
    </w:p>
    <w:p w14:paraId="491405DE">
      <w:pPr>
        <w:snapToGrid w:val="0"/>
        <w:spacing w:line="360" w:lineRule="auto"/>
        <w:rPr>
          <w:rFonts w:hint="eastAsia" w:ascii="宋体" w:hAnsi="宋体" w:eastAsia="宋体" w:cs="宋体"/>
          <w:color w:val="auto"/>
          <w:sz w:val="32"/>
          <w:szCs w:val="32"/>
          <w:highlight w:val="none"/>
          <w:u w:val="single"/>
          <w:lang w:val="en-US" w:eastAsia="zh-CN"/>
        </w:rPr>
      </w:pPr>
      <w:r>
        <w:rPr>
          <w:rFonts w:hint="eastAsia" w:ascii="宋体" w:hAnsi="宋体" w:eastAsia="宋体" w:cs="宋体"/>
          <w:b/>
          <w:color w:val="auto"/>
          <w:sz w:val="30"/>
          <w:szCs w:val="30"/>
          <w:highlight w:val="none"/>
        </w:rPr>
        <w:t>附件</w:t>
      </w:r>
      <w:r>
        <w:rPr>
          <w:rFonts w:hint="eastAsia" w:ascii="宋体" w:hAnsi="宋体" w:eastAsia="宋体" w:cs="宋体"/>
          <w:b/>
          <w:color w:val="auto"/>
          <w:sz w:val="30"/>
          <w:szCs w:val="30"/>
          <w:highlight w:val="none"/>
          <w:lang w:val="en-US" w:eastAsia="zh-CN"/>
        </w:rPr>
        <w:t>五</w:t>
      </w:r>
    </w:p>
    <w:p w14:paraId="601F34DE">
      <w:pPr>
        <w:snapToGrid w:val="0"/>
        <w:spacing w:line="360" w:lineRule="auto"/>
        <w:ind w:firstLine="422" w:firstLineChars="150"/>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val="en-US" w:eastAsia="zh-CN"/>
        </w:rPr>
        <w:t>资格</w:t>
      </w:r>
      <w:r>
        <w:rPr>
          <w:rFonts w:hint="eastAsia" w:ascii="宋体" w:hAnsi="宋体" w:eastAsia="宋体" w:cs="宋体"/>
          <w:b/>
          <w:bCs/>
          <w:color w:val="auto"/>
          <w:sz w:val="28"/>
          <w:szCs w:val="28"/>
          <w:highlight w:val="none"/>
        </w:rPr>
        <w:t>证明</w:t>
      </w:r>
      <w:r>
        <w:rPr>
          <w:rFonts w:hint="eastAsia" w:ascii="宋体" w:hAnsi="宋体" w:eastAsia="宋体" w:cs="宋体"/>
          <w:b/>
          <w:bCs/>
          <w:color w:val="auto"/>
          <w:sz w:val="28"/>
          <w:szCs w:val="28"/>
          <w:highlight w:val="none"/>
          <w:lang w:val="en-US" w:eastAsia="zh-CN"/>
        </w:rPr>
        <w:t>材料</w:t>
      </w:r>
    </w:p>
    <w:p w14:paraId="1A3068E7">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000000"/>
          <w:sz w:val="24"/>
          <w:highlight w:val="none"/>
          <w:lang w:val="en-US" w:eastAsia="zh-CN"/>
        </w:rPr>
        <w:t>1</w:t>
      </w:r>
      <w:r>
        <w:rPr>
          <w:rFonts w:hint="eastAsia" w:ascii="宋体" w:hAnsi="宋体" w:eastAsia="宋体" w:cs="宋体"/>
          <w:color w:val="auto"/>
          <w:sz w:val="24"/>
          <w:highlight w:val="none"/>
          <w:lang w:val="en-US" w:eastAsia="zh-CN"/>
        </w:rPr>
        <w:t>.提供有效的营业执照</w:t>
      </w:r>
    </w:p>
    <w:p w14:paraId="2D0E09FF">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2.投标人提供2023</w:t>
      </w:r>
      <w:r>
        <w:rPr>
          <w:rFonts w:hint="eastAsia" w:ascii="宋体" w:hAnsi="宋体" w:cs="宋体"/>
          <w:color w:val="auto"/>
          <w:sz w:val="24"/>
          <w:highlight w:val="none"/>
          <w:lang w:val="en-US" w:eastAsia="zh-CN"/>
        </w:rPr>
        <w:t>或2024</w:t>
      </w:r>
      <w:r>
        <w:rPr>
          <w:rFonts w:hint="eastAsia" w:ascii="宋体" w:hAnsi="宋体" w:eastAsia="宋体" w:cs="宋体"/>
          <w:color w:val="auto"/>
          <w:sz w:val="24"/>
          <w:highlight w:val="none"/>
          <w:lang w:val="en-US" w:eastAsia="zh-CN"/>
        </w:rPr>
        <w:t>年度财务审计报告复印件并加盖投标人公章。如投标人无法提供审计报告，则须提供银行出具的资信证明或健全的财务会计制度或提供书面承诺函（格式自拟）</w:t>
      </w:r>
    </w:p>
    <w:p w14:paraId="1A6F3F21">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3.加盖公章的付款凭证或金融机构、担保机构出具的保函</w:t>
      </w:r>
    </w:p>
    <w:p w14:paraId="02B06ECE">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zh-CN" w:eastAsia="zh-CN"/>
        </w:rPr>
        <w:t>具有履行合同所必须的设备和专业技术能力，以承诺函方式提供（格式自拟）</w:t>
      </w:r>
    </w:p>
    <w:p w14:paraId="7B5B1917">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5.提供开标前半年（2024年</w:t>
      </w: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lang w:val="en-US" w:eastAsia="zh-CN"/>
        </w:rPr>
        <w:t>月—202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年</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月）任意一个月的依法缴纳税收</w:t>
      </w:r>
      <w:r>
        <w:rPr>
          <w:rFonts w:hint="eastAsia" w:ascii="宋体" w:hAnsi="宋体" w:cs="宋体"/>
          <w:color w:val="auto"/>
          <w:sz w:val="24"/>
          <w:highlight w:val="none"/>
          <w:lang w:val="en-US" w:eastAsia="zh-CN"/>
        </w:rPr>
        <w:t>（如缴纳的增值税、所得税、印花税等我国现行税种中任意一项即可）</w:t>
      </w:r>
      <w:r>
        <w:rPr>
          <w:rFonts w:hint="eastAsia" w:ascii="宋体" w:hAnsi="宋体" w:eastAsia="宋体" w:cs="宋体"/>
          <w:color w:val="auto"/>
          <w:sz w:val="24"/>
          <w:highlight w:val="none"/>
          <w:lang w:val="en-US" w:eastAsia="zh-CN"/>
        </w:rPr>
        <w:t>和社会保障资金的证明（依法免税和依法不需要缴纳社会保障资金的投标人应提供相应文件证明）或书面承诺函（格式自拟）</w:t>
      </w:r>
    </w:p>
    <w:p w14:paraId="10A5D711">
      <w:pPr>
        <w:numPr>
          <w:ilvl w:val="0"/>
          <w:numId w:val="0"/>
        </w:num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6.提供单位负责人为同一人或者存在直接控股、管理关系的不同</w:t>
      </w:r>
      <w:r>
        <w:rPr>
          <w:rFonts w:hint="eastAsia" w:ascii="宋体" w:hAnsi="宋体" w:cs="宋体"/>
          <w:color w:val="auto"/>
          <w:sz w:val="24"/>
          <w:highlight w:val="none"/>
          <w:lang w:val="en-US" w:eastAsia="zh-CN"/>
        </w:rPr>
        <w:t>供应商</w:t>
      </w:r>
      <w:r>
        <w:rPr>
          <w:rFonts w:hint="eastAsia" w:ascii="宋体" w:hAnsi="宋体" w:eastAsia="宋体" w:cs="宋体"/>
          <w:color w:val="auto"/>
          <w:sz w:val="24"/>
          <w:highlight w:val="none"/>
          <w:lang w:val="en-US" w:eastAsia="zh-CN"/>
        </w:rPr>
        <w:t>，不得参加同一合同项下的政府采购活动（书面承诺函格式自拟）</w:t>
      </w:r>
    </w:p>
    <w:p w14:paraId="0EAFA5C3">
      <w:pPr>
        <w:numPr>
          <w:ilvl w:val="0"/>
          <w:numId w:val="0"/>
        </w:num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r>
        <w:rPr>
          <w:rFonts w:hint="eastAsia" w:ascii="宋体" w:hAnsi="宋体" w:cs="宋体"/>
          <w:color w:val="auto"/>
          <w:sz w:val="24"/>
          <w:highlight w:val="none"/>
          <w:lang w:val="en-US" w:eastAsia="zh-CN"/>
        </w:rPr>
        <w:t>投标人具备有效的</w:t>
      </w:r>
      <w:r>
        <w:rPr>
          <w:rFonts w:hint="eastAsia" w:ascii="宋体" w:hAnsi="宋体" w:eastAsia="宋体" w:cs="宋体"/>
          <w:color w:val="auto"/>
          <w:sz w:val="24"/>
          <w:highlight w:val="none"/>
          <w:lang w:val="en-US" w:eastAsia="zh-CN"/>
        </w:rPr>
        <w:t>《食品经营许可证》。</w:t>
      </w:r>
    </w:p>
    <w:p w14:paraId="46B027B9">
      <w:pPr>
        <w:rPr>
          <w:rFonts w:hint="eastAsia" w:ascii="宋体" w:hAnsi="宋体" w:eastAsia="宋体" w:cs="宋体"/>
          <w:b/>
          <w:color w:val="auto"/>
          <w:sz w:val="30"/>
          <w:szCs w:val="30"/>
          <w:highlight w:val="none"/>
        </w:rPr>
      </w:pPr>
    </w:p>
    <w:p w14:paraId="159BAE8C">
      <w:pPr>
        <w:snapToGrid w:val="0"/>
        <w:spacing w:line="360" w:lineRule="auto"/>
        <w:rPr>
          <w:rFonts w:hint="eastAsia"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附件</w:t>
      </w:r>
      <w:r>
        <w:rPr>
          <w:rFonts w:hint="eastAsia" w:ascii="宋体" w:hAnsi="宋体" w:eastAsia="宋体" w:cs="宋体"/>
          <w:b/>
          <w:color w:val="auto"/>
          <w:sz w:val="30"/>
          <w:szCs w:val="30"/>
          <w:highlight w:val="none"/>
          <w:lang w:val="en-US" w:eastAsia="zh-CN"/>
        </w:rPr>
        <w:t>六</w:t>
      </w:r>
    </w:p>
    <w:p w14:paraId="2A943C12">
      <w:pPr>
        <w:snapToGrid w:val="0"/>
        <w:spacing w:line="360" w:lineRule="auto"/>
        <w:jc w:val="center"/>
        <w:rPr>
          <w:rFonts w:hint="eastAsia" w:ascii="宋体" w:hAnsi="宋体" w:eastAsia="宋体" w:cs="宋体"/>
          <w:b/>
          <w:bCs/>
          <w:color w:val="auto"/>
          <w:sz w:val="28"/>
          <w:szCs w:val="28"/>
          <w:highlight w:val="none"/>
        </w:rPr>
      </w:pPr>
    </w:p>
    <w:p w14:paraId="7CED712B">
      <w:pPr>
        <w:snapToGrid w:val="0"/>
        <w:spacing w:line="360" w:lineRule="auto"/>
        <w:jc w:val="center"/>
        <w:rPr>
          <w:rFonts w:hint="eastAsia" w:ascii="宋体" w:hAnsi="宋体" w:eastAsia="宋体" w:cs="宋体"/>
          <w:color w:val="auto"/>
          <w:sz w:val="20"/>
          <w:szCs w:val="20"/>
          <w:highlight w:val="none"/>
        </w:rPr>
      </w:pPr>
      <w:r>
        <w:rPr>
          <w:rFonts w:hint="eastAsia" w:ascii="宋体" w:hAnsi="宋体" w:eastAsia="宋体" w:cs="宋体"/>
          <w:b/>
          <w:bCs/>
          <w:color w:val="auto"/>
          <w:sz w:val="28"/>
          <w:szCs w:val="28"/>
          <w:highlight w:val="none"/>
        </w:rPr>
        <w:t>近三年（</w:t>
      </w:r>
      <w:r>
        <w:rPr>
          <w:rFonts w:hint="eastAsia" w:ascii="宋体" w:hAnsi="宋体" w:eastAsia="宋体" w:cs="宋体"/>
          <w:b/>
          <w:bCs/>
          <w:color w:val="auto"/>
          <w:sz w:val="28"/>
          <w:szCs w:val="28"/>
          <w:highlight w:val="none"/>
          <w:lang w:eastAsia="zh-CN"/>
        </w:rPr>
        <w:t>202</w:t>
      </w:r>
      <w:r>
        <w:rPr>
          <w:rFonts w:hint="eastAsia" w:ascii="宋体" w:hAnsi="宋体" w:cs="宋体"/>
          <w:b/>
          <w:bCs/>
          <w:color w:val="auto"/>
          <w:sz w:val="28"/>
          <w:szCs w:val="28"/>
          <w:highlight w:val="none"/>
          <w:lang w:val="en-US" w:eastAsia="zh-CN"/>
        </w:rPr>
        <w:t>2</w:t>
      </w:r>
      <w:r>
        <w:rPr>
          <w:rFonts w:hint="eastAsia" w:ascii="宋体" w:hAnsi="宋体" w:eastAsia="宋体" w:cs="宋体"/>
          <w:b/>
          <w:bCs/>
          <w:color w:val="auto"/>
          <w:sz w:val="28"/>
          <w:szCs w:val="28"/>
          <w:highlight w:val="none"/>
          <w:lang w:eastAsia="zh-CN"/>
        </w:rPr>
        <w:t>年</w:t>
      </w:r>
      <w:r>
        <w:rPr>
          <w:rFonts w:hint="eastAsia" w:ascii="宋体" w:hAnsi="宋体" w:cs="宋体"/>
          <w:b/>
          <w:bCs/>
          <w:color w:val="auto"/>
          <w:sz w:val="28"/>
          <w:szCs w:val="28"/>
          <w:highlight w:val="none"/>
          <w:lang w:val="en-US" w:eastAsia="zh-CN"/>
        </w:rPr>
        <w:t>3</w:t>
      </w:r>
      <w:r>
        <w:rPr>
          <w:rFonts w:hint="eastAsia" w:ascii="宋体" w:hAnsi="宋体" w:eastAsia="宋体" w:cs="宋体"/>
          <w:b/>
          <w:bCs/>
          <w:color w:val="auto"/>
          <w:sz w:val="28"/>
          <w:szCs w:val="28"/>
          <w:highlight w:val="none"/>
          <w:lang w:eastAsia="zh-CN"/>
        </w:rPr>
        <w:t>月</w:t>
      </w:r>
      <w:r>
        <w:rPr>
          <w:rFonts w:hint="eastAsia" w:ascii="宋体" w:hAnsi="宋体" w:eastAsia="宋体" w:cs="宋体"/>
          <w:b/>
          <w:bCs/>
          <w:color w:val="auto"/>
          <w:sz w:val="28"/>
          <w:szCs w:val="28"/>
          <w:highlight w:val="none"/>
        </w:rPr>
        <w:t>1日-至今）</w:t>
      </w:r>
      <w:r>
        <w:rPr>
          <w:rFonts w:hint="eastAsia" w:ascii="宋体" w:hAnsi="宋体" w:cs="宋体"/>
          <w:b/>
          <w:bCs/>
          <w:color w:val="auto"/>
          <w:sz w:val="28"/>
          <w:szCs w:val="28"/>
          <w:highlight w:val="none"/>
          <w:lang w:val="en-US" w:eastAsia="zh-CN"/>
        </w:rPr>
        <w:t>同类主副食材配送服务</w:t>
      </w:r>
      <w:r>
        <w:rPr>
          <w:rFonts w:hint="eastAsia" w:ascii="宋体" w:hAnsi="宋体" w:eastAsia="宋体" w:cs="宋体"/>
          <w:b/>
          <w:bCs/>
          <w:color w:val="auto"/>
          <w:sz w:val="28"/>
          <w:szCs w:val="28"/>
          <w:highlight w:val="none"/>
        </w:rPr>
        <w:t>项目业绩</w:t>
      </w:r>
    </w:p>
    <w:tbl>
      <w:tblPr>
        <w:tblStyle w:val="25"/>
        <w:tblW w:w="104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592"/>
        <w:gridCol w:w="1556"/>
        <w:gridCol w:w="1625"/>
        <w:gridCol w:w="1425"/>
        <w:gridCol w:w="1319"/>
        <w:gridCol w:w="1044"/>
        <w:gridCol w:w="1219"/>
      </w:tblGrid>
      <w:tr w14:paraId="50941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673" w:type="dxa"/>
            <w:vAlign w:val="center"/>
          </w:tcPr>
          <w:p w14:paraId="6F2CD6C9">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序号</w:t>
            </w:r>
          </w:p>
        </w:tc>
        <w:tc>
          <w:tcPr>
            <w:tcW w:w="1592" w:type="dxa"/>
            <w:vAlign w:val="center"/>
          </w:tcPr>
          <w:p w14:paraId="34588CFE">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项目名称</w:t>
            </w:r>
          </w:p>
        </w:tc>
        <w:tc>
          <w:tcPr>
            <w:tcW w:w="1556" w:type="dxa"/>
            <w:vAlign w:val="center"/>
          </w:tcPr>
          <w:p w14:paraId="3609C317">
            <w:pPr>
              <w:widowControl/>
              <w:jc w:val="center"/>
              <w:rPr>
                <w:rFonts w:hint="eastAsia" w:ascii="宋体" w:hAnsi="宋体" w:eastAsia="宋体" w:cs="宋体"/>
                <w:b/>
                <w:bCs/>
                <w:color w:val="auto"/>
                <w:sz w:val="22"/>
                <w:highlight w:val="none"/>
                <w:lang w:eastAsia="zh-CN"/>
              </w:rPr>
            </w:pPr>
            <w:r>
              <w:rPr>
                <w:rFonts w:hint="eastAsia" w:ascii="宋体" w:hAnsi="宋体" w:cs="宋体"/>
                <w:b/>
                <w:bCs/>
                <w:color w:val="auto"/>
                <w:sz w:val="22"/>
                <w:highlight w:val="none"/>
                <w:lang w:eastAsia="zh-CN"/>
              </w:rPr>
              <w:t>服务单位</w:t>
            </w:r>
          </w:p>
        </w:tc>
        <w:tc>
          <w:tcPr>
            <w:tcW w:w="1625" w:type="dxa"/>
            <w:vAlign w:val="center"/>
          </w:tcPr>
          <w:p w14:paraId="0D0B22AE">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合同金额</w:t>
            </w:r>
          </w:p>
          <w:p w14:paraId="24A38628">
            <w:pPr>
              <w:widowControl/>
              <w:jc w:val="center"/>
              <w:rPr>
                <w:rFonts w:hint="eastAsia" w:ascii="宋体" w:hAnsi="宋体" w:eastAsia="宋体" w:cs="宋体"/>
                <w:b/>
                <w:bCs/>
                <w:color w:val="auto"/>
                <w:sz w:val="22"/>
                <w:highlight w:val="none"/>
                <w:lang w:eastAsia="zh-CN"/>
              </w:rPr>
            </w:pPr>
            <w:r>
              <w:rPr>
                <w:rFonts w:hint="eastAsia" w:ascii="宋体" w:hAnsi="宋体" w:cs="宋体"/>
                <w:b/>
                <w:bCs/>
                <w:color w:val="auto"/>
                <w:sz w:val="22"/>
                <w:highlight w:val="none"/>
                <w:lang w:eastAsia="zh-CN"/>
              </w:rPr>
              <w:t>（万元）</w:t>
            </w:r>
          </w:p>
        </w:tc>
        <w:tc>
          <w:tcPr>
            <w:tcW w:w="1425" w:type="dxa"/>
            <w:vAlign w:val="center"/>
          </w:tcPr>
          <w:p w14:paraId="01EA54A5">
            <w:pPr>
              <w:widowControl/>
              <w:jc w:val="center"/>
              <w:rPr>
                <w:rFonts w:hint="eastAsia" w:ascii="宋体" w:hAnsi="宋体" w:eastAsia="宋体" w:cs="宋体"/>
                <w:b/>
                <w:bCs/>
                <w:color w:val="auto"/>
                <w:sz w:val="22"/>
                <w:highlight w:val="none"/>
                <w:lang w:eastAsia="zh-CN"/>
              </w:rPr>
            </w:pPr>
            <w:r>
              <w:rPr>
                <w:rFonts w:hint="eastAsia" w:ascii="宋体" w:hAnsi="宋体" w:eastAsia="宋体" w:cs="宋体"/>
                <w:b/>
                <w:bCs/>
                <w:color w:val="auto"/>
                <w:sz w:val="22"/>
                <w:highlight w:val="none"/>
              </w:rPr>
              <w:t>签订时间</w:t>
            </w:r>
            <w:r>
              <w:rPr>
                <w:rFonts w:hint="eastAsia" w:ascii="宋体" w:hAnsi="宋体" w:cs="宋体"/>
                <w:b/>
                <w:bCs/>
                <w:color w:val="auto"/>
                <w:sz w:val="22"/>
                <w:highlight w:val="none"/>
                <w:lang w:eastAsia="zh-CN"/>
              </w:rPr>
              <w:t>（年月日）</w:t>
            </w:r>
          </w:p>
        </w:tc>
        <w:tc>
          <w:tcPr>
            <w:tcW w:w="1319" w:type="dxa"/>
            <w:vAlign w:val="center"/>
          </w:tcPr>
          <w:p w14:paraId="21732C5D">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联系人及联系电话</w:t>
            </w:r>
          </w:p>
        </w:tc>
        <w:tc>
          <w:tcPr>
            <w:tcW w:w="1044" w:type="dxa"/>
            <w:vAlign w:val="center"/>
          </w:tcPr>
          <w:p w14:paraId="6BF3D9DD">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完成情况</w:t>
            </w:r>
          </w:p>
        </w:tc>
        <w:tc>
          <w:tcPr>
            <w:tcW w:w="1219" w:type="dxa"/>
            <w:vAlign w:val="center"/>
          </w:tcPr>
          <w:p w14:paraId="459F523E">
            <w:pPr>
              <w:widowControl/>
              <w:jc w:val="center"/>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rPr>
              <w:t>备注</w:t>
            </w:r>
          </w:p>
        </w:tc>
      </w:tr>
      <w:tr w14:paraId="65CAC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31A247A8">
            <w:pPr>
              <w:snapToGrid w:val="0"/>
              <w:spacing w:line="480" w:lineRule="auto"/>
              <w:rPr>
                <w:rFonts w:hint="eastAsia" w:ascii="宋体" w:hAnsi="宋体" w:eastAsia="宋体" w:cs="宋体"/>
                <w:color w:val="auto"/>
                <w:sz w:val="22"/>
                <w:highlight w:val="none"/>
              </w:rPr>
            </w:pPr>
          </w:p>
        </w:tc>
        <w:tc>
          <w:tcPr>
            <w:tcW w:w="1592" w:type="dxa"/>
          </w:tcPr>
          <w:p w14:paraId="5B9D6F25">
            <w:pPr>
              <w:snapToGrid w:val="0"/>
              <w:spacing w:line="480" w:lineRule="auto"/>
              <w:rPr>
                <w:rFonts w:hint="eastAsia" w:ascii="宋体" w:hAnsi="宋体" w:eastAsia="宋体" w:cs="宋体"/>
                <w:color w:val="auto"/>
                <w:sz w:val="22"/>
                <w:highlight w:val="none"/>
              </w:rPr>
            </w:pPr>
          </w:p>
        </w:tc>
        <w:tc>
          <w:tcPr>
            <w:tcW w:w="1556" w:type="dxa"/>
          </w:tcPr>
          <w:p w14:paraId="1C668215">
            <w:pPr>
              <w:snapToGrid w:val="0"/>
              <w:spacing w:line="480" w:lineRule="auto"/>
              <w:rPr>
                <w:rFonts w:hint="eastAsia" w:ascii="宋体" w:hAnsi="宋体" w:eastAsia="宋体" w:cs="宋体"/>
                <w:color w:val="auto"/>
                <w:sz w:val="22"/>
                <w:highlight w:val="none"/>
              </w:rPr>
            </w:pPr>
          </w:p>
        </w:tc>
        <w:tc>
          <w:tcPr>
            <w:tcW w:w="1625" w:type="dxa"/>
          </w:tcPr>
          <w:p w14:paraId="11084F53">
            <w:pPr>
              <w:snapToGrid w:val="0"/>
              <w:spacing w:line="480" w:lineRule="auto"/>
              <w:rPr>
                <w:rFonts w:hint="eastAsia" w:ascii="宋体" w:hAnsi="宋体" w:eastAsia="宋体" w:cs="宋体"/>
                <w:color w:val="auto"/>
                <w:sz w:val="22"/>
                <w:highlight w:val="none"/>
              </w:rPr>
            </w:pPr>
          </w:p>
        </w:tc>
        <w:tc>
          <w:tcPr>
            <w:tcW w:w="1425" w:type="dxa"/>
          </w:tcPr>
          <w:p w14:paraId="202BD479">
            <w:pPr>
              <w:snapToGrid w:val="0"/>
              <w:spacing w:line="480" w:lineRule="auto"/>
              <w:rPr>
                <w:rFonts w:hint="eastAsia" w:ascii="宋体" w:hAnsi="宋体" w:eastAsia="宋体" w:cs="宋体"/>
                <w:color w:val="auto"/>
                <w:sz w:val="22"/>
                <w:highlight w:val="none"/>
              </w:rPr>
            </w:pPr>
          </w:p>
        </w:tc>
        <w:tc>
          <w:tcPr>
            <w:tcW w:w="1319" w:type="dxa"/>
          </w:tcPr>
          <w:p w14:paraId="15933020">
            <w:pPr>
              <w:snapToGrid w:val="0"/>
              <w:spacing w:line="480" w:lineRule="auto"/>
              <w:rPr>
                <w:rFonts w:hint="eastAsia" w:ascii="宋体" w:hAnsi="宋体" w:eastAsia="宋体" w:cs="宋体"/>
                <w:color w:val="auto"/>
                <w:sz w:val="22"/>
                <w:highlight w:val="none"/>
              </w:rPr>
            </w:pPr>
          </w:p>
        </w:tc>
        <w:tc>
          <w:tcPr>
            <w:tcW w:w="1044" w:type="dxa"/>
          </w:tcPr>
          <w:p w14:paraId="2AFB0EBA">
            <w:pPr>
              <w:snapToGrid w:val="0"/>
              <w:spacing w:line="480" w:lineRule="auto"/>
              <w:rPr>
                <w:rFonts w:hint="eastAsia" w:ascii="宋体" w:hAnsi="宋体" w:eastAsia="宋体" w:cs="宋体"/>
                <w:color w:val="auto"/>
                <w:sz w:val="22"/>
                <w:highlight w:val="none"/>
              </w:rPr>
            </w:pPr>
          </w:p>
        </w:tc>
        <w:tc>
          <w:tcPr>
            <w:tcW w:w="1219" w:type="dxa"/>
          </w:tcPr>
          <w:p w14:paraId="114BCDD1">
            <w:pPr>
              <w:snapToGrid w:val="0"/>
              <w:spacing w:line="480" w:lineRule="auto"/>
              <w:rPr>
                <w:rFonts w:hint="eastAsia" w:ascii="宋体" w:hAnsi="宋体" w:eastAsia="宋体" w:cs="宋体"/>
                <w:color w:val="auto"/>
                <w:sz w:val="22"/>
                <w:highlight w:val="none"/>
              </w:rPr>
            </w:pPr>
          </w:p>
        </w:tc>
      </w:tr>
      <w:tr w14:paraId="0D3A9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D85309E">
            <w:pPr>
              <w:snapToGrid w:val="0"/>
              <w:spacing w:line="480" w:lineRule="auto"/>
              <w:rPr>
                <w:rFonts w:hint="eastAsia" w:ascii="宋体" w:hAnsi="宋体" w:eastAsia="宋体" w:cs="宋体"/>
                <w:color w:val="auto"/>
                <w:sz w:val="22"/>
                <w:highlight w:val="none"/>
              </w:rPr>
            </w:pPr>
          </w:p>
        </w:tc>
        <w:tc>
          <w:tcPr>
            <w:tcW w:w="1592" w:type="dxa"/>
          </w:tcPr>
          <w:p w14:paraId="2A5A396C">
            <w:pPr>
              <w:snapToGrid w:val="0"/>
              <w:spacing w:line="480" w:lineRule="auto"/>
              <w:rPr>
                <w:rFonts w:hint="eastAsia" w:ascii="宋体" w:hAnsi="宋体" w:eastAsia="宋体" w:cs="宋体"/>
                <w:color w:val="auto"/>
                <w:sz w:val="22"/>
                <w:highlight w:val="none"/>
              </w:rPr>
            </w:pPr>
          </w:p>
        </w:tc>
        <w:tc>
          <w:tcPr>
            <w:tcW w:w="1556" w:type="dxa"/>
          </w:tcPr>
          <w:p w14:paraId="06BA8262">
            <w:pPr>
              <w:snapToGrid w:val="0"/>
              <w:spacing w:line="480" w:lineRule="auto"/>
              <w:rPr>
                <w:rFonts w:hint="eastAsia" w:ascii="宋体" w:hAnsi="宋体" w:eastAsia="宋体" w:cs="宋体"/>
                <w:color w:val="auto"/>
                <w:sz w:val="22"/>
                <w:highlight w:val="none"/>
              </w:rPr>
            </w:pPr>
          </w:p>
        </w:tc>
        <w:tc>
          <w:tcPr>
            <w:tcW w:w="1625" w:type="dxa"/>
          </w:tcPr>
          <w:p w14:paraId="73E4139D">
            <w:pPr>
              <w:snapToGrid w:val="0"/>
              <w:spacing w:line="480" w:lineRule="auto"/>
              <w:rPr>
                <w:rFonts w:hint="eastAsia" w:ascii="宋体" w:hAnsi="宋体" w:eastAsia="宋体" w:cs="宋体"/>
                <w:color w:val="auto"/>
                <w:sz w:val="22"/>
                <w:highlight w:val="none"/>
              </w:rPr>
            </w:pPr>
          </w:p>
        </w:tc>
        <w:tc>
          <w:tcPr>
            <w:tcW w:w="1425" w:type="dxa"/>
          </w:tcPr>
          <w:p w14:paraId="06A54120">
            <w:pPr>
              <w:snapToGrid w:val="0"/>
              <w:spacing w:line="480" w:lineRule="auto"/>
              <w:rPr>
                <w:rFonts w:hint="eastAsia" w:ascii="宋体" w:hAnsi="宋体" w:eastAsia="宋体" w:cs="宋体"/>
                <w:color w:val="auto"/>
                <w:sz w:val="22"/>
                <w:highlight w:val="none"/>
              </w:rPr>
            </w:pPr>
          </w:p>
        </w:tc>
        <w:tc>
          <w:tcPr>
            <w:tcW w:w="1319" w:type="dxa"/>
          </w:tcPr>
          <w:p w14:paraId="44D21356">
            <w:pPr>
              <w:snapToGrid w:val="0"/>
              <w:spacing w:line="480" w:lineRule="auto"/>
              <w:rPr>
                <w:rFonts w:hint="eastAsia" w:ascii="宋体" w:hAnsi="宋体" w:eastAsia="宋体" w:cs="宋体"/>
                <w:color w:val="auto"/>
                <w:sz w:val="22"/>
                <w:highlight w:val="none"/>
              </w:rPr>
            </w:pPr>
          </w:p>
        </w:tc>
        <w:tc>
          <w:tcPr>
            <w:tcW w:w="1044" w:type="dxa"/>
          </w:tcPr>
          <w:p w14:paraId="2F180BC1">
            <w:pPr>
              <w:snapToGrid w:val="0"/>
              <w:spacing w:line="480" w:lineRule="auto"/>
              <w:rPr>
                <w:rFonts w:hint="eastAsia" w:ascii="宋体" w:hAnsi="宋体" w:eastAsia="宋体" w:cs="宋体"/>
                <w:color w:val="auto"/>
                <w:sz w:val="22"/>
                <w:highlight w:val="none"/>
              </w:rPr>
            </w:pPr>
          </w:p>
        </w:tc>
        <w:tc>
          <w:tcPr>
            <w:tcW w:w="1219" w:type="dxa"/>
          </w:tcPr>
          <w:p w14:paraId="0D40C09A">
            <w:pPr>
              <w:snapToGrid w:val="0"/>
              <w:spacing w:line="480" w:lineRule="auto"/>
              <w:rPr>
                <w:rFonts w:hint="eastAsia" w:ascii="宋体" w:hAnsi="宋体" w:eastAsia="宋体" w:cs="宋体"/>
                <w:color w:val="auto"/>
                <w:sz w:val="22"/>
                <w:highlight w:val="none"/>
              </w:rPr>
            </w:pPr>
          </w:p>
        </w:tc>
      </w:tr>
      <w:tr w14:paraId="2D7FF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647E2A27">
            <w:pPr>
              <w:snapToGrid w:val="0"/>
              <w:spacing w:line="480" w:lineRule="auto"/>
              <w:rPr>
                <w:rFonts w:hint="eastAsia" w:ascii="宋体" w:hAnsi="宋体" w:eastAsia="宋体" w:cs="宋体"/>
                <w:color w:val="auto"/>
                <w:sz w:val="22"/>
                <w:highlight w:val="none"/>
              </w:rPr>
            </w:pPr>
          </w:p>
        </w:tc>
        <w:tc>
          <w:tcPr>
            <w:tcW w:w="1592" w:type="dxa"/>
          </w:tcPr>
          <w:p w14:paraId="6CEB4AF7">
            <w:pPr>
              <w:snapToGrid w:val="0"/>
              <w:spacing w:line="480" w:lineRule="auto"/>
              <w:rPr>
                <w:rFonts w:hint="eastAsia" w:ascii="宋体" w:hAnsi="宋体" w:eastAsia="宋体" w:cs="宋体"/>
                <w:color w:val="auto"/>
                <w:sz w:val="22"/>
                <w:highlight w:val="none"/>
              </w:rPr>
            </w:pPr>
          </w:p>
        </w:tc>
        <w:tc>
          <w:tcPr>
            <w:tcW w:w="1556" w:type="dxa"/>
          </w:tcPr>
          <w:p w14:paraId="567C7083">
            <w:pPr>
              <w:snapToGrid w:val="0"/>
              <w:spacing w:line="480" w:lineRule="auto"/>
              <w:rPr>
                <w:rFonts w:hint="eastAsia" w:ascii="宋体" w:hAnsi="宋体" w:eastAsia="宋体" w:cs="宋体"/>
                <w:color w:val="auto"/>
                <w:sz w:val="22"/>
                <w:highlight w:val="none"/>
              </w:rPr>
            </w:pPr>
          </w:p>
        </w:tc>
        <w:tc>
          <w:tcPr>
            <w:tcW w:w="1625" w:type="dxa"/>
          </w:tcPr>
          <w:p w14:paraId="45040A03">
            <w:pPr>
              <w:snapToGrid w:val="0"/>
              <w:spacing w:line="480" w:lineRule="auto"/>
              <w:rPr>
                <w:rFonts w:hint="eastAsia" w:ascii="宋体" w:hAnsi="宋体" w:eastAsia="宋体" w:cs="宋体"/>
                <w:color w:val="auto"/>
                <w:sz w:val="22"/>
                <w:highlight w:val="none"/>
              </w:rPr>
            </w:pPr>
          </w:p>
        </w:tc>
        <w:tc>
          <w:tcPr>
            <w:tcW w:w="1425" w:type="dxa"/>
          </w:tcPr>
          <w:p w14:paraId="65654104">
            <w:pPr>
              <w:snapToGrid w:val="0"/>
              <w:spacing w:line="480" w:lineRule="auto"/>
              <w:rPr>
                <w:rFonts w:hint="eastAsia" w:ascii="宋体" w:hAnsi="宋体" w:eastAsia="宋体" w:cs="宋体"/>
                <w:color w:val="auto"/>
                <w:sz w:val="22"/>
                <w:highlight w:val="none"/>
              </w:rPr>
            </w:pPr>
          </w:p>
        </w:tc>
        <w:tc>
          <w:tcPr>
            <w:tcW w:w="1319" w:type="dxa"/>
          </w:tcPr>
          <w:p w14:paraId="3B97DBF3">
            <w:pPr>
              <w:snapToGrid w:val="0"/>
              <w:spacing w:line="480" w:lineRule="auto"/>
              <w:rPr>
                <w:rFonts w:hint="eastAsia" w:ascii="宋体" w:hAnsi="宋体" w:eastAsia="宋体" w:cs="宋体"/>
                <w:color w:val="auto"/>
                <w:sz w:val="22"/>
                <w:highlight w:val="none"/>
              </w:rPr>
            </w:pPr>
          </w:p>
        </w:tc>
        <w:tc>
          <w:tcPr>
            <w:tcW w:w="1044" w:type="dxa"/>
          </w:tcPr>
          <w:p w14:paraId="1FCCFCE6">
            <w:pPr>
              <w:snapToGrid w:val="0"/>
              <w:spacing w:line="480" w:lineRule="auto"/>
              <w:rPr>
                <w:rFonts w:hint="eastAsia" w:ascii="宋体" w:hAnsi="宋体" w:eastAsia="宋体" w:cs="宋体"/>
                <w:color w:val="auto"/>
                <w:sz w:val="22"/>
                <w:highlight w:val="none"/>
              </w:rPr>
            </w:pPr>
          </w:p>
        </w:tc>
        <w:tc>
          <w:tcPr>
            <w:tcW w:w="1219" w:type="dxa"/>
          </w:tcPr>
          <w:p w14:paraId="5597CA11">
            <w:pPr>
              <w:snapToGrid w:val="0"/>
              <w:spacing w:line="480" w:lineRule="auto"/>
              <w:rPr>
                <w:rFonts w:hint="eastAsia" w:ascii="宋体" w:hAnsi="宋体" w:eastAsia="宋体" w:cs="宋体"/>
                <w:color w:val="auto"/>
                <w:sz w:val="22"/>
                <w:highlight w:val="none"/>
              </w:rPr>
            </w:pPr>
          </w:p>
        </w:tc>
      </w:tr>
      <w:tr w14:paraId="66AE1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4C3BE377">
            <w:pPr>
              <w:snapToGrid w:val="0"/>
              <w:spacing w:line="480" w:lineRule="auto"/>
              <w:rPr>
                <w:rFonts w:hint="eastAsia" w:ascii="宋体" w:hAnsi="宋体" w:eastAsia="宋体" w:cs="宋体"/>
                <w:color w:val="auto"/>
                <w:sz w:val="22"/>
                <w:highlight w:val="none"/>
              </w:rPr>
            </w:pPr>
          </w:p>
        </w:tc>
        <w:tc>
          <w:tcPr>
            <w:tcW w:w="1592" w:type="dxa"/>
          </w:tcPr>
          <w:p w14:paraId="1B170B44">
            <w:pPr>
              <w:snapToGrid w:val="0"/>
              <w:spacing w:line="480" w:lineRule="auto"/>
              <w:rPr>
                <w:rFonts w:hint="eastAsia" w:ascii="宋体" w:hAnsi="宋体" w:eastAsia="宋体" w:cs="宋体"/>
                <w:color w:val="auto"/>
                <w:sz w:val="22"/>
                <w:highlight w:val="none"/>
              </w:rPr>
            </w:pPr>
          </w:p>
        </w:tc>
        <w:tc>
          <w:tcPr>
            <w:tcW w:w="1556" w:type="dxa"/>
          </w:tcPr>
          <w:p w14:paraId="005C8EEF">
            <w:pPr>
              <w:snapToGrid w:val="0"/>
              <w:spacing w:line="480" w:lineRule="auto"/>
              <w:rPr>
                <w:rFonts w:hint="eastAsia" w:ascii="宋体" w:hAnsi="宋体" w:eastAsia="宋体" w:cs="宋体"/>
                <w:color w:val="auto"/>
                <w:sz w:val="22"/>
                <w:highlight w:val="none"/>
              </w:rPr>
            </w:pPr>
          </w:p>
        </w:tc>
        <w:tc>
          <w:tcPr>
            <w:tcW w:w="1625" w:type="dxa"/>
          </w:tcPr>
          <w:p w14:paraId="31877198">
            <w:pPr>
              <w:snapToGrid w:val="0"/>
              <w:spacing w:line="480" w:lineRule="auto"/>
              <w:rPr>
                <w:rFonts w:hint="eastAsia" w:ascii="宋体" w:hAnsi="宋体" w:eastAsia="宋体" w:cs="宋体"/>
                <w:color w:val="auto"/>
                <w:sz w:val="22"/>
                <w:highlight w:val="none"/>
              </w:rPr>
            </w:pPr>
          </w:p>
        </w:tc>
        <w:tc>
          <w:tcPr>
            <w:tcW w:w="1425" w:type="dxa"/>
          </w:tcPr>
          <w:p w14:paraId="6B7653E6">
            <w:pPr>
              <w:snapToGrid w:val="0"/>
              <w:spacing w:line="480" w:lineRule="auto"/>
              <w:rPr>
                <w:rFonts w:hint="eastAsia" w:ascii="宋体" w:hAnsi="宋体" w:eastAsia="宋体" w:cs="宋体"/>
                <w:color w:val="auto"/>
                <w:sz w:val="22"/>
                <w:highlight w:val="none"/>
              </w:rPr>
            </w:pPr>
          </w:p>
        </w:tc>
        <w:tc>
          <w:tcPr>
            <w:tcW w:w="1319" w:type="dxa"/>
          </w:tcPr>
          <w:p w14:paraId="4EDBAFCC">
            <w:pPr>
              <w:snapToGrid w:val="0"/>
              <w:spacing w:line="480" w:lineRule="auto"/>
              <w:rPr>
                <w:rFonts w:hint="eastAsia" w:ascii="宋体" w:hAnsi="宋体" w:eastAsia="宋体" w:cs="宋体"/>
                <w:color w:val="auto"/>
                <w:sz w:val="22"/>
                <w:highlight w:val="none"/>
              </w:rPr>
            </w:pPr>
          </w:p>
        </w:tc>
        <w:tc>
          <w:tcPr>
            <w:tcW w:w="1044" w:type="dxa"/>
          </w:tcPr>
          <w:p w14:paraId="5370EBBE">
            <w:pPr>
              <w:snapToGrid w:val="0"/>
              <w:spacing w:line="480" w:lineRule="auto"/>
              <w:rPr>
                <w:rFonts w:hint="eastAsia" w:ascii="宋体" w:hAnsi="宋体" w:eastAsia="宋体" w:cs="宋体"/>
                <w:color w:val="auto"/>
                <w:sz w:val="22"/>
                <w:highlight w:val="none"/>
              </w:rPr>
            </w:pPr>
          </w:p>
        </w:tc>
        <w:tc>
          <w:tcPr>
            <w:tcW w:w="1219" w:type="dxa"/>
          </w:tcPr>
          <w:p w14:paraId="04F8384D">
            <w:pPr>
              <w:snapToGrid w:val="0"/>
              <w:spacing w:line="480" w:lineRule="auto"/>
              <w:rPr>
                <w:rFonts w:hint="eastAsia" w:ascii="宋体" w:hAnsi="宋体" w:eastAsia="宋体" w:cs="宋体"/>
                <w:color w:val="auto"/>
                <w:sz w:val="22"/>
                <w:highlight w:val="none"/>
              </w:rPr>
            </w:pPr>
          </w:p>
        </w:tc>
      </w:tr>
      <w:tr w14:paraId="1794E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1EFD8E8C">
            <w:pPr>
              <w:snapToGrid w:val="0"/>
              <w:spacing w:line="480" w:lineRule="auto"/>
              <w:rPr>
                <w:rFonts w:hint="eastAsia" w:ascii="宋体" w:hAnsi="宋体" w:eastAsia="宋体" w:cs="宋体"/>
                <w:color w:val="auto"/>
                <w:sz w:val="22"/>
                <w:highlight w:val="none"/>
              </w:rPr>
            </w:pPr>
          </w:p>
        </w:tc>
        <w:tc>
          <w:tcPr>
            <w:tcW w:w="1592" w:type="dxa"/>
          </w:tcPr>
          <w:p w14:paraId="13D6F346">
            <w:pPr>
              <w:snapToGrid w:val="0"/>
              <w:spacing w:line="480" w:lineRule="auto"/>
              <w:rPr>
                <w:rFonts w:hint="eastAsia" w:ascii="宋体" w:hAnsi="宋体" w:eastAsia="宋体" w:cs="宋体"/>
                <w:color w:val="auto"/>
                <w:sz w:val="22"/>
                <w:highlight w:val="none"/>
              </w:rPr>
            </w:pPr>
          </w:p>
        </w:tc>
        <w:tc>
          <w:tcPr>
            <w:tcW w:w="1556" w:type="dxa"/>
          </w:tcPr>
          <w:p w14:paraId="2297AA54">
            <w:pPr>
              <w:snapToGrid w:val="0"/>
              <w:spacing w:line="480" w:lineRule="auto"/>
              <w:rPr>
                <w:rFonts w:hint="eastAsia" w:ascii="宋体" w:hAnsi="宋体" w:eastAsia="宋体" w:cs="宋体"/>
                <w:color w:val="auto"/>
                <w:sz w:val="22"/>
                <w:highlight w:val="none"/>
              </w:rPr>
            </w:pPr>
          </w:p>
        </w:tc>
        <w:tc>
          <w:tcPr>
            <w:tcW w:w="1625" w:type="dxa"/>
          </w:tcPr>
          <w:p w14:paraId="324A8EA8">
            <w:pPr>
              <w:snapToGrid w:val="0"/>
              <w:spacing w:line="480" w:lineRule="auto"/>
              <w:rPr>
                <w:rFonts w:hint="eastAsia" w:ascii="宋体" w:hAnsi="宋体" w:eastAsia="宋体" w:cs="宋体"/>
                <w:color w:val="auto"/>
                <w:sz w:val="22"/>
                <w:highlight w:val="none"/>
              </w:rPr>
            </w:pPr>
          </w:p>
        </w:tc>
        <w:tc>
          <w:tcPr>
            <w:tcW w:w="1425" w:type="dxa"/>
          </w:tcPr>
          <w:p w14:paraId="5B73137F">
            <w:pPr>
              <w:snapToGrid w:val="0"/>
              <w:spacing w:line="480" w:lineRule="auto"/>
              <w:rPr>
                <w:rFonts w:hint="eastAsia" w:ascii="宋体" w:hAnsi="宋体" w:eastAsia="宋体" w:cs="宋体"/>
                <w:color w:val="auto"/>
                <w:sz w:val="22"/>
                <w:highlight w:val="none"/>
              </w:rPr>
            </w:pPr>
          </w:p>
        </w:tc>
        <w:tc>
          <w:tcPr>
            <w:tcW w:w="1319" w:type="dxa"/>
          </w:tcPr>
          <w:p w14:paraId="438024BA">
            <w:pPr>
              <w:snapToGrid w:val="0"/>
              <w:spacing w:line="480" w:lineRule="auto"/>
              <w:rPr>
                <w:rFonts w:hint="eastAsia" w:ascii="宋体" w:hAnsi="宋体" w:eastAsia="宋体" w:cs="宋体"/>
                <w:color w:val="auto"/>
                <w:sz w:val="22"/>
                <w:highlight w:val="none"/>
              </w:rPr>
            </w:pPr>
          </w:p>
        </w:tc>
        <w:tc>
          <w:tcPr>
            <w:tcW w:w="1044" w:type="dxa"/>
          </w:tcPr>
          <w:p w14:paraId="2F163783">
            <w:pPr>
              <w:snapToGrid w:val="0"/>
              <w:spacing w:line="480" w:lineRule="auto"/>
              <w:rPr>
                <w:rFonts w:hint="eastAsia" w:ascii="宋体" w:hAnsi="宋体" w:eastAsia="宋体" w:cs="宋体"/>
                <w:color w:val="auto"/>
                <w:sz w:val="22"/>
                <w:highlight w:val="none"/>
              </w:rPr>
            </w:pPr>
          </w:p>
        </w:tc>
        <w:tc>
          <w:tcPr>
            <w:tcW w:w="1219" w:type="dxa"/>
          </w:tcPr>
          <w:p w14:paraId="635A5FCB">
            <w:pPr>
              <w:snapToGrid w:val="0"/>
              <w:spacing w:line="480" w:lineRule="auto"/>
              <w:rPr>
                <w:rFonts w:hint="eastAsia" w:ascii="宋体" w:hAnsi="宋体" w:eastAsia="宋体" w:cs="宋体"/>
                <w:color w:val="auto"/>
                <w:sz w:val="22"/>
                <w:highlight w:val="none"/>
              </w:rPr>
            </w:pPr>
          </w:p>
        </w:tc>
      </w:tr>
      <w:tr w14:paraId="38DDC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41AE220">
            <w:pPr>
              <w:snapToGrid w:val="0"/>
              <w:spacing w:line="480" w:lineRule="auto"/>
              <w:rPr>
                <w:rFonts w:hint="eastAsia" w:ascii="宋体" w:hAnsi="宋体" w:eastAsia="宋体" w:cs="宋体"/>
                <w:color w:val="auto"/>
                <w:sz w:val="22"/>
                <w:highlight w:val="none"/>
              </w:rPr>
            </w:pPr>
          </w:p>
        </w:tc>
        <w:tc>
          <w:tcPr>
            <w:tcW w:w="1592" w:type="dxa"/>
          </w:tcPr>
          <w:p w14:paraId="24E94A4E">
            <w:pPr>
              <w:snapToGrid w:val="0"/>
              <w:spacing w:line="480" w:lineRule="auto"/>
              <w:rPr>
                <w:rFonts w:hint="eastAsia" w:ascii="宋体" w:hAnsi="宋体" w:eastAsia="宋体" w:cs="宋体"/>
                <w:color w:val="auto"/>
                <w:sz w:val="22"/>
                <w:highlight w:val="none"/>
              </w:rPr>
            </w:pPr>
          </w:p>
        </w:tc>
        <w:tc>
          <w:tcPr>
            <w:tcW w:w="1556" w:type="dxa"/>
          </w:tcPr>
          <w:p w14:paraId="61E7FF0D">
            <w:pPr>
              <w:snapToGrid w:val="0"/>
              <w:spacing w:line="480" w:lineRule="auto"/>
              <w:rPr>
                <w:rFonts w:hint="eastAsia" w:ascii="宋体" w:hAnsi="宋体" w:eastAsia="宋体" w:cs="宋体"/>
                <w:color w:val="auto"/>
                <w:sz w:val="22"/>
                <w:highlight w:val="none"/>
              </w:rPr>
            </w:pPr>
          </w:p>
        </w:tc>
        <w:tc>
          <w:tcPr>
            <w:tcW w:w="1625" w:type="dxa"/>
          </w:tcPr>
          <w:p w14:paraId="098C2C6C">
            <w:pPr>
              <w:snapToGrid w:val="0"/>
              <w:spacing w:line="480" w:lineRule="auto"/>
              <w:rPr>
                <w:rFonts w:hint="eastAsia" w:ascii="宋体" w:hAnsi="宋体" w:eastAsia="宋体" w:cs="宋体"/>
                <w:color w:val="auto"/>
                <w:sz w:val="22"/>
                <w:highlight w:val="none"/>
              </w:rPr>
            </w:pPr>
          </w:p>
        </w:tc>
        <w:tc>
          <w:tcPr>
            <w:tcW w:w="1425" w:type="dxa"/>
          </w:tcPr>
          <w:p w14:paraId="0A924CDF">
            <w:pPr>
              <w:snapToGrid w:val="0"/>
              <w:spacing w:line="480" w:lineRule="auto"/>
              <w:rPr>
                <w:rFonts w:hint="eastAsia" w:ascii="宋体" w:hAnsi="宋体" w:eastAsia="宋体" w:cs="宋体"/>
                <w:color w:val="auto"/>
                <w:sz w:val="22"/>
                <w:highlight w:val="none"/>
              </w:rPr>
            </w:pPr>
          </w:p>
        </w:tc>
        <w:tc>
          <w:tcPr>
            <w:tcW w:w="1319" w:type="dxa"/>
          </w:tcPr>
          <w:p w14:paraId="1BD53DE1">
            <w:pPr>
              <w:snapToGrid w:val="0"/>
              <w:spacing w:line="480" w:lineRule="auto"/>
              <w:rPr>
                <w:rFonts w:hint="eastAsia" w:ascii="宋体" w:hAnsi="宋体" w:eastAsia="宋体" w:cs="宋体"/>
                <w:color w:val="auto"/>
                <w:sz w:val="22"/>
                <w:highlight w:val="none"/>
              </w:rPr>
            </w:pPr>
          </w:p>
        </w:tc>
        <w:tc>
          <w:tcPr>
            <w:tcW w:w="1044" w:type="dxa"/>
          </w:tcPr>
          <w:p w14:paraId="3A82A7A5">
            <w:pPr>
              <w:snapToGrid w:val="0"/>
              <w:spacing w:line="480" w:lineRule="auto"/>
              <w:rPr>
                <w:rFonts w:hint="eastAsia" w:ascii="宋体" w:hAnsi="宋体" w:eastAsia="宋体" w:cs="宋体"/>
                <w:color w:val="auto"/>
                <w:sz w:val="22"/>
                <w:highlight w:val="none"/>
              </w:rPr>
            </w:pPr>
          </w:p>
        </w:tc>
        <w:tc>
          <w:tcPr>
            <w:tcW w:w="1219" w:type="dxa"/>
          </w:tcPr>
          <w:p w14:paraId="61BD5E08">
            <w:pPr>
              <w:snapToGrid w:val="0"/>
              <w:spacing w:line="480" w:lineRule="auto"/>
              <w:rPr>
                <w:rFonts w:hint="eastAsia" w:ascii="宋体" w:hAnsi="宋体" w:eastAsia="宋体" w:cs="宋体"/>
                <w:color w:val="auto"/>
                <w:sz w:val="22"/>
                <w:highlight w:val="none"/>
              </w:rPr>
            </w:pPr>
          </w:p>
        </w:tc>
      </w:tr>
      <w:tr w14:paraId="45801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610AA439">
            <w:pPr>
              <w:snapToGrid w:val="0"/>
              <w:spacing w:line="480" w:lineRule="auto"/>
              <w:rPr>
                <w:rFonts w:hint="eastAsia" w:ascii="宋体" w:hAnsi="宋体" w:eastAsia="宋体" w:cs="宋体"/>
                <w:color w:val="auto"/>
                <w:sz w:val="22"/>
                <w:highlight w:val="none"/>
              </w:rPr>
            </w:pPr>
          </w:p>
        </w:tc>
        <w:tc>
          <w:tcPr>
            <w:tcW w:w="1592" w:type="dxa"/>
          </w:tcPr>
          <w:p w14:paraId="7F78240B">
            <w:pPr>
              <w:snapToGrid w:val="0"/>
              <w:spacing w:line="480" w:lineRule="auto"/>
              <w:rPr>
                <w:rFonts w:hint="eastAsia" w:ascii="宋体" w:hAnsi="宋体" w:eastAsia="宋体" w:cs="宋体"/>
                <w:color w:val="auto"/>
                <w:sz w:val="22"/>
                <w:highlight w:val="none"/>
              </w:rPr>
            </w:pPr>
          </w:p>
        </w:tc>
        <w:tc>
          <w:tcPr>
            <w:tcW w:w="1556" w:type="dxa"/>
          </w:tcPr>
          <w:p w14:paraId="7CF0CBCD">
            <w:pPr>
              <w:snapToGrid w:val="0"/>
              <w:spacing w:line="480" w:lineRule="auto"/>
              <w:rPr>
                <w:rFonts w:hint="eastAsia" w:ascii="宋体" w:hAnsi="宋体" w:eastAsia="宋体" w:cs="宋体"/>
                <w:color w:val="auto"/>
                <w:sz w:val="22"/>
                <w:highlight w:val="none"/>
              </w:rPr>
            </w:pPr>
          </w:p>
        </w:tc>
        <w:tc>
          <w:tcPr>
            <w:tcW w:w="1625" w:type="dxa"/>
          </w:tcPr>
          <w:p w14:paraId="67FBB9C2">
            <w:pPr>
              <w:snapToGrid w:val="0"/>
              <w:spacing w:line="480" w:lineRule="auto"/>
              <w:rPr>
                <w:rFonts w:hint="eastAsia" w:ascii="宋体" w:hAnsi="宋体" w:eastAsia="宋体" w:cs="宋体"/>
                <w:color w:val="auto"/>
                <w:sz w:val="22"/>
                <w:highlight w:val="none"/>
              </w:rPr>
            </w:pPr>
          </w:p>
        </w:tc>
        <w:tc>
          <w:tcPr>
            <w:tcW w:w="1425" w:type="dxa"/>
          </w:tcPr>
          <w:p w14:paraId="38355C09">
            <w:pPr>
              <w:snapToGrid w:val="0"/>
              <w:spacing w:line="480" w:lineRule="auto"/>
              <w:rPr>
                <w:rFonts w:hint="eastAsia" w:ascii="宋体" w:hAnsi="宋体" w:eastAsia="宋体" w:cs="宋体"/>
                <w:color w:val="auto"/>
                <w:sz w:val="22"/>
                <w:highlight w:val="none"/>
              </w:rPr>
            </w:pPr>
          </w:p>
        </w:tc>
        <w:tc>
          <w:tcPr>
            <w:tcW w:w="1319" w:type="dxa"/>
          </w:tcPr>
          <w:p w14:paraId="13ECD4F3">
            <w:pPr>
              <w:snapToGrid w:val="0"/>
              <w:spacing w:line="480" w:lineRule="auto"/>
              <w:rPr>
                <w:rFonts w:hint="eastAsia" w:ascii="宋体" w:hAnsi="宋体" w:eastAsia="宋体" w:cs="宋体"/>
                <w:color w:val="auto"/>
                <w:sz w:val="22"/>
                <w:highlight w:val="none"/>
              </w:rPr>
            </w:pPr>
          </w:p>
        </w:tc>
        <w:tc>
          <w:tcPr>
            <w:tcW w:w="1044" w:type="dxa"/>
          </w:tcPr>
          <w:p w14:paraId="41E841DB">
            <w:pPr>
              <w:snapToGrid w:val="0"/>
              <w:spacing w:line="480" w:lineRule="auto"/>
              <w:rPr>
                <w:rFonts w:hint="eastAsia" w:ascii="宋体" w:hAnsi="宋体" w:eastAsia="宋体" w:cs="宋体"/>
                <w:color w:val="auto"/>
                <w:sz w:val="22"/>
                <w:highlight w:val="none"/>
              </w:rPr>
            </w:pPr>
          </w:p>
        </w:tc>
        <w:tc>
          <w:tcPr>
            <w:tcW w:w="1219" w:type="dxa"/>
          </w:tcPr>
          <w:p w14:paraId="7D7416B6">
            <w:pPr>
              <w:snapToGrid w:val="0"/>
              <w:spacing w:line="480" w:lineRule="auto"/>
              <w:rPr>
                <w:rFonts w:hint="eastAsia" w:ascii="宋体" w:hAnsi="宋体" w:eastAsia="宋体" w:cs="宋体"/>
                <w:color w:val="auto"/>
                <w:sz w:val="22"/>
                <w:highlight w:val="none"/>
              </w:rPr>
            </w:pPr>
          </w:p>
        </w:tc>
      </w:tr>
    </w:tbl>
    <w:p w14:paraId="630B1617">
      <w:pPr>
        <w:widowControl/>
        <w:spacing w:line="360" w:lineRule="auto"/>
        <w:ind w:firstLine="480" w:firstLineChars="200"/>
        <w:jc w:val="left"/>
        <w:textAlignment w:val="center"/>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rPr>
        <w:t>注：</w:t>
      </w:r>
      <w:r>
        <w:rPr>
          <w:rFonts w:hint="eastAsia" w:ascii="宋体" w:hAnsi="宋体" w:cs="宋体"/>
          <w:color w:val="auto"/>
          <w:sz w:val="24"/>
          <w:highlight w:val="none"/>
          <w:lang w:val="en-US" w:eastAsia="zh-CN"/>
        </w:rPr>
        <w:t>有效业绩须提供以下资料：</w:t>
      </w:r>
    </w:p>
    <w:p w14:paraId="706EB7EC">
      <w:pPr>
        <w:widowControl/>
        <w:spacing w:line="360" w:lineRule="auto"/>
        <w:ind w:firstLine="240" w:firstLineChars="100"/>
        <w:jc w:val="left"/>
        <w:textAlignment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1.配送服务合同（内容包括但不限于体现合同双方名称、盖章、签署日期、采购订单、合同金额、服务内容、结算周期和时限等关键页）；</w:t>
      </w:r>
    </w:p>
    <w:p w14:paraId="4EB8CC37">
      <w:pPr>
        <w:widowControl/>
        <w:spacing w:line="360" w:lineRule="auto"/>
        <w:ind w:firstLine="240" w:firstLineChars="100"/>
        <w:jc w:val="left"/>
        <w:textAlignment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2.与此合同对应的增值税发票（根据配送服务合同中约定的结算周期和时限，须体现连续两个结算周期的增值税发票）。</w:t>
      </w:r>
    </w:p>
    <w:p w14:paraId="0AFD8864">
      <w:pPr>
        <w:pStyle w:val="11"/>
        <w:rPr>
          <w:rFonts w:hint="eastAsia"/>
          <w:highlight w:val="none"/>
        </w:rPr>
      </w:pPr>
    </w:p>
    <w:p w14:paraId="4CE5A62A">
      <w:pPr>
        <w:pStyle w:val="11"/>
        <w:rPr>
          <w:rFonts w:hint="eastAsia"/>
          <w:highlight w:val="none"/>
        </w:rPr>
      </w:pPr>
    </w:p>
    <w:p w14:paraId="7CE40180">
      <w:pPr>
        <w:pStyle w:val="11"/>
        <w:rPr>
          <w:rFonts w:hint="eastAsia"/>
          <w:highlight w:val="none"/>
        </w:rPr>
      </w:pPr>
    </w:p>
    <w:p w14:paraId="0B819EE0">
      <w:pPr>
        <w:snapToGrid w:val="0"/>
        <w:spacing w:line="480" w:lineRule="auto"/>
        <w:ind w:right="105" w:rightChars="50"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（盖章）：    </w:t>
      </w:r>
    </w:p>
    <w:p w14:paraId="348CD2E0">
      <w:pPr>
        <w:snapToGrid w:val="0"/>
        <w:spacing w:line="480" w:lineRule="auto"/>
        <w:ind w:right="105" w:rightChars="50" w:firstLine="2880" w:firstLineChars="1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default" w:ascii="Times New Roman" w:hAnsi="Times New Roman" w:cs="Times New Roman"/>
          <w:color w:val="auto"/>
          <w:sz w:val="24"/>
          <w:highlight w:val="none"/>
        </w:rPr>
        <w:t>或</w:t>
      </w:r>
      <w:r>
        <w:rPr>
          <w:rFonts w:hint="default" w:ascii="Times New Roman" w:hAnsi="Times New Roman" w:cs="Times New Roman"/>
          <w:color w:val="auto"/>
          <w:sz w:val="24"/>
          <w:highlight w:val="none"/>
          <w:lang w:eastAsia="zh-CN"/>
        </w:rPr>
        <w:t>授权代表</w:t>
      </w:r>
      <w:r>
        <w:rPr>
          <w:rFonts w:hint="eastAsia" w:ascii="宋体" w:hAnsi="宋体" w:eastAsia="宋体" w:cs="宋体"/>
          <w:color w:val="auto"/>
          <w:sz w:val="24"/>
          <w:highlight w:val="none"/>
        </w:rPr>
        <w:t>（签字或盖章）：</w:t>
      </w:r>
    </w:p>
    <w:p w14:paraId="2D9559E5">
      <w:pPr>
        <w:pStyle w:val="11"/>
        <w:ind w:firstLine="4320" w:firstLineChars="1800"/>
        <w:rPr>
          <w:rFonts w:hint="eastAsia"/>
          <w:highlight w:val="none"/>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2AABB96C">
      <w:pPr>
        <w:rPr>
          <w:rFonts w:hint="eastAsia" w:ascii="宋体" w:hAnsi="宋体" w:eastAsia="宋体" w:cs="宋体"/>
          <w:b/>
          <w:color w:val="auto"/>
          <w:sz w:val="30"/>
          <w:szCs w:val="30"/>
          <w:highlight w:val="none"/>
          <w:lang w:eastAsia="zh-CN"/>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30"/>
          <w:szCs w:val="30"/>
          <w:highlight w:val="none"/>
        </w:rPr>
        <w:t>附件</w:t>
      </w:r>
      <w:r>
        <w:rPr>
          <w:rFonts w:hint="eastAsia" w:ascii="宋体" w:hAnsi="宋体" w:eastAsia="宋体" w:cs="宋体"/>
          <w:b/>
          <w:color w:val="auto"/>
          <w:sz w:val="30"/>
          <w:szCs w:val="30"/>
          <w:highlight w:val="none"/>
          <w:lang w:val="en-US" w:eastAsia="zh-CN"/>
        </w:rPr>
        <w:t>七</w:t>
      </w:r>
    </w:p>
    <w:p w14:paraId="1BDA07BA">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32"/>
          <w:szCs w:val="32"/>
          <w:highlight w:val="none"/>
        </w:rPr>
        <w:t>主要人员配备</w:t>
      </w:r>
    </w:p>
    <w:p w14:paraId="07DC8573">
      <w:pPr>
        <w:tabs>
          <w:tab w:val="center" w:pos="4629"/>
        </w:tabs>
        <w:spacing w:before="240" w:after="480"/>
        <w:jc w:val="center"/>
        <w:rPr>
          <w:rFonts w:hint="eastAsia" w:ascii="宋体" w:hAnsi="宋体" w:eastAsia="宋体" w:cs="宋体"/>
          <w:b/>
          <w:color w:val="auto"/>
          <w:sz w:val="28"/>
          <w:szCs w:val="28"/>
          <w:highlight w:val="none"/>
        </w:rPr>
      </w:pPr>
      <w:r>
        <w:rPr>
          <w:rFonts w:hint="eastAsia" w:ascii="宋体" w:hAnsi="宋体" w:eastAsia="宋体" w:cs="宋体"/>
          <w:color w:val="auto"/>
          <w:sz w:val="24"/>
          <w:szCs w:val="24"/>
          <w:highlight w:val="none"/>
        </w:rPr>
        <w:t>1、负责人简历</w:t>
      </w:r>
    </w:p>
    <w:tbl>
      <w:tblPr>
        <w:tblStyle w:val="25"/>
        <w:tblW w:w="10050" w:type="dxa"/>
        <w:jc w:val="center"/>
        <w:tblLayout w:type="fixed"/>
        <w:tblCellMar>
          <w:top w:w="0" w:type="dxa"/>
          <w:left w:w="108" w:type="dxa"/>
          <w:bottom w:w="0" w:type="dxa"/>
          <w:right w:w="108" w:type="dxa"/>
        </w:tblCellMar>
      </w:tblPr>
      <w:tblGrid>
        <w:gridCol w:w="1260"/>
        <w:gridCol w:w="1303"/>
        <w:gridCol w:w="1428"/>
        <w:gridCol w:w="1113"/>
        <w:gridCol w:w="800"/>
        <w:gridCol w:w="787"/>
        <w:gridCol w:w="577"/>
        <w:gridCol w:w="2782"/>
      </w:tblGrid>
      <w:tr w14:paraId="1B249634">
        <w:tblPrEx>
          <w:tblCellMar>
            <w:top w:w="0" w:type="dxa"/>
            <w:left w:w="108" w:type="dxa"/>
            <w:bottom w:w="0" w:type="dxa"/>
            <w:right w:w="108" w:type="dxa"/>
          </w:tblCellMar>
        </w:tblPrEx>
        <w:trPr>
          <w:cantSplit/>
          <w:trHeight w:val="830" w:hRule="atLeast"/>
          <w:jc w:val="center"/>
        </w:trPr>
        <w:tc>
          <w:tcPr>
            <w:tcW w:w="1260" w:type="dxa"/>
            <w:tcBorders>
              <w:top w:val="single" w:color="000000" w:sz="4" w:space="0"/>
              <w:left w:val="single" w:color="000000" w:sz="4" w:space="0"/>
              <w:bottom w:val="single" w:color="000000" w:sz="4" w:space="0"/>
              <w:right w:val="nil"/>
            </w:tcBorders>
            <w:vAlign w:val="center"/>
          </w:tcPr>
          <w:p w14:paraId="6024B2EE">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姓  名</w:t>
            </w:r>
          </w:p>
        </w:tc>
        <w:tc>
          <w:tcPr>
            <w:tcW w:w="1303" w:type="dxa"/>
            <w:tcBorders>
              <w:top w:val="single" w:color="000000" w:sz="4" w:space="0"/>
              <w:left w:val="single" w:color="000000" w:sz="4" w:space="0"/>
              <w:bottom w:val="single" w:color="000000" w:sz="4" w:space="0"/>
              <w:right w:val="nil"/>
            </w:tcBorders>
            <w:vAlign w:val="center"/>
          </w:tcPr>
          <w:p w14:paraId="7D000971">
            <w:pPr>
              <w:spacing w:line="360" w:lineRule="auto"/>
              <w:jc w:val="center"/>
              <w:rPr>
                <w:rFonts w:hint="eastAsia" w:ascii="宋体" w:hAnsi="宋体" w:eastAsia="宋体" w:cs="宋体"/>
                <w:color w:val="auto"/>
                <w:sz w:val="24"/>
                <w:szCs w:val="24"/>
                <w:highlight w:val="none"/>
              </w:rPr>
            </w:pPr>
          </w:p>
        </w:tc>
        <w:tc>
          <w:tcPr>
            <w:tcW w:w="1428" w:type="dxa"/>
            <w:tcBorders>
              <w:top w:val="single" w:color="000000" w:sz="4" w:space="0"/>
              <w:left w:val="single" w:color="000000" w:sz="4" w:space="0"/>
              <w:bottom w:val="single" w:color="000000" w:sz="4" w:space="0"/>
              <w:right w:val="nil"/>
            </w:tcBorders>
            <w:vAlign w:val="center"/>
          </w:tcPr>
          <w:p w14:paraId="0284CC6F">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性  别</w:t>
            </w:r>
          </w:p>
        </w:tc>
        <w:tc>
          <w:tcPr>
            <w:tcW w:w="1113" w:type="dxa"/>
            <w:tcBorders>
              <w:top w:val="single" w:color="000000" w:sz="4" w:space="0"/>
              <w:left w:val="single" w:color="000000" w:sz="4" w:space="0"/>
              <w:bottom w:val="single" w:color="000000" w:sz="4" w:space="0"/>
              <w:right w:val="nil"/>
            </w:tcBorders>
            <w:vAlign w:val="center"/>
          </w:tcPr>
          <w:p w14:paraId="4268ED4C">
            <w:pPr>
              <w:spacing w:line="360" w:lineRule="auto"/>
              <w:jc w:val="center"/>
              <w:rPr>
                <w:rFonts w:hint="eastAsia" w:ascii="宋体" w:hAnsi="宋体" w:eastAsia="宋体" w:cs="宋体"/>
                <w:color w:val="auto"/>
                <w:sz w:val="24"/>
                <w:szCs w:val="24"/>
                <w:highlight w:val="none"/>
              </w:rPr>
            </w:pPr>
          </w:p>
        </w:tc>
        <w:tc>
          <w:tcPr>
            <w:tcW w:w="1587" w:type="dxa"/>
            <w:gridSpan w:val="2"/>
            <w:tcBorders>
              <w:top w:val="single" w:color="000000" w:sz="4" w:space="0"/>
              <w:left w:val="single" w:color="000000" w:sz="4" w:space="0"/>
              <w:bottom w:val="single" w:color="000000" w:sz="4" w:space="0"/>
              <w:right w:val="nil"/>
            </w:tcBorders>
            <w:vAlign w:val="center"/>
          </w:tcPr>
          <w:p w14:paraId="345200E1">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出生年月</w:t>
            </w:r>
          </w:p>
        </w:tc>
        <w:tc>
          <w:tcPr>
            <w:tcW w:w="3359" w:type="dxa"/>
            <w:gridSpan w:val="2"/>
            <w:tcBorders>
              <w:top w:val="single" w:color="000000" w:sz="4" w:space="0"/>
              <w:left w:val="single" w:color="000000" w:sz="4" w:space="0"/>
              <w:bottom w:val="single" w:color="000000" w:sz="4" w:space="0"/>
              <w:right w:val="single" w:color="000000" w:sz="4" w:space="0"/>
            </w:tcBorders>
            <w:vAlign w:val="center"/>
          </w:tcPr>
          <w:p w14:paraId="39073ADC">
            <w:pPr>
              <w:spacing w:line="360" w:lineRule="auto"/>
              <w:jc w:val="center"/>
              <w:rPr>
                <w:rFonts w:hint="eastAsia" w:ascii="宋体" w:hAnsi="宋体" w:eastAsia="宋体" w:cs="宋体"/>
                <w:color w:val="auto"/>
                <w:sz w:val="24"/>
                <w:szCs w:val="24"/>
                <w:highlight w:val="none"/>
              </w:rPr>
            </w:pPr>
          </w:p>
        </w:tc>
      </w:tr>
      <w:tr w14:paraId="7C57A262">
        <w:tblPrEx>
          <w:tblCellMar>
            <w:top w:w="0" w:type="dxa"/>
            <w:left w:w="108" w:type="dxa"/>
            <w:bottom w:w="0" w:type="dxa"/>
            <w:right w:w="108" w:type="dxa"/>
          </w:tblCellMar>
        </w:tblPrEx>
        <w:trPr>
          <w:cantSplit/>
          <w:trHeight w:val="894" w:hRule="atLeast"/>
          <w:jc w:val="center"/>
        </w:trPr>
        <w:tc>
          <w:tcPr>
            <w:tcW w:w="1260" w:type="dxa"/>
            <w:tcBorders>
              <w:top w:val="nil"/>
              <w:left w:val="single" w:color="000000" w:sz="4" w:space="0"/>
              <w:bottom w:val="single" w:color="000000" w:sz="4" w:space="0"/>
              <w:right w:val="nil"/>
            </w:tcBorders>
            <w:vAlign w:val="center"/>
          </w:tcPr>
          <w:p w14:paraId="38426827">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职  务</w:t>
            </w:r>
          </w:p>
        </w:tc>
        <w:tc>
          <w:tcPr>
            <w:tcW w:w="1303" w:type="dxa"/>
            <w:tcBorders>
              <w:top w:val="nil"/>
              <w:left w:val="single" w:color="000000" w:sz="4" w:space="0"/>
              <w:bottom w:val="single" w:color="000000" w:sz="4" w:space="0"/>
              <w:right w:val="nil"/>
            </w:tcBorders>
            <w:vAlign w:val="center"/>
          </w:tcPr>
          <w:p w14:paraId="5E4A39BC">
            <w:pPr>
              <w:spacing w:line="360" w:lineRule="auto"/>
              <w:jc w:val="center"/>
              <w:rPr>
                <w:rFonts w:hint="eastAsia" w:ascii="宋体" w:hAnsi="宋体" w:eastAsia="宋体" w:cs="宋体"/>
                <w:color w:val="auto"/>
                <w:sz w:val="24"/>
                <w:szCs w:val="24"/>
                <w:highlight w:val="none"/>
              </w:rPr>
            </w:pPr>
          </w:p>
        </w:tc>
        <w:tc>
          <w:tcPr>
            <w:tcW w:w="1428" w:type="dxa"/>
            <w:tcBorders>
              <w:top w:val="nil"/>
              <w:left w:val="single" w:color="000000" w:sz="4" w:space="0"/>
              <w:bottom w:val="single" w:color="000000" w:sz="4" w:space="0"/>
              <w:right w:val="nil"/>
            </w:tcBorders>
            <w:vAlign w:val="center"/>
          </w:tcPr>
          <w:p w14:paraId="2A47C544">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职业资格         </w:t>
            </w:r>
          </w:p>
        </w:tc>
        <w:tc>
          <w:tcPr>
            <w:tcW w:w="1113" w:type="dxa"/>
            <w:tcBorders>
              <w:top w:val="nil"/>
              <w:left w:val="single" w:color="000000" w:sz="4" w:space="0"/>
              <w:bottom w:val="single" w:color="000000" w:sz="4" w:space="0"/>
              <w:right w:val="nil"/>
            </w:tcBorders>
            <w:vAlign w:val="center"/>
          </w:tcPr>
          <w:p w14:paraId="6FF6CD71">
            <w:pPr>
              <w:spacing w:line="360" w:lineRule="auto"/>
              <w:jc w:val="center"/>
              <w:rPr>
                <w:rFonts w:hint="eastAsia" w:ascii="宋体" w:hAnsi="宋体" w:eastAsia="宋体" w:cs="宋体"/>
                <w:color w:val="auto"/>
                <w:sz w:val="24"/>
                <w:szCs w:val="24"/>
                <w:highlight w:val="none"/>
              </w:rPr>
            </w:pPr>
          </w:p>
        </w:tc>
        <w:tc>
          <w:tcPr>
            <w:tcW w:w="1587" w:type="dxa"/>
            <w:gridSpan w:val="2"/>
            <w:tcBorders>
              <w:top w:val="nil"/>
              <w:left w:val="single" w:color="000000" w:sz="4" w:space="0"/>
              <w:bottom w:val="single" w:color="000000" w:sz="4" w:space="0"/>
              <w:right w:val="nil"/>
            </w:tcBorders>
            <w:vAlign w:val="center"/>
          </w:tcPr>
          <w:p w14:paraId="41F93CAF">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文化程度</w:t>
            </w:r>
          </w:p>
        </w:tc>
        <w:tc>
          <w:tcPr>
            <w:tcW w:w="3359" w:type="dxa"/>
            <w:gridSpan w:val="2"/>
            <w:tcBorders>
              <w:top w:val="nil"/>
              <w:left w:val="single" w:color="000000" w:sz="4" w:space="0"/>
              <w:bottom w:val="single" w:color="000000" w:sz="4" w:space="0"/>
              <w:right w:val="single" w:color="000000" w:sz="4" w:space="0"/>
            </w:tcBorders>
            <w:vAlign w:val="center"/>
          </w:tcPr>
          <w:p w14:paraId="6EB4DFF6">
            <w:pPr>
              <w:spacing w:line="360" w:lineRule="auto"/>
              <w:jc w:val="center"/>
              <w:rPr>
                <w:rFonts w:hint="eastAsia" w:ascii="宋体" w:hAnsi="宋体" w:eastAsia="宋体" w:cs="宋体"/>
                <w:color w:val="auto"/>
                <w:sz w:val="24"/>
                <w:szCs w:val="24"/>
                <w:highlight w:val="none"/>
              </w:rPr>
            </w:pPr>
          </w:p>
        </w:tc>
      </w:tr>
      <w:tr w14:paraId="07015797">
        <w:tblPrEx>
          <w:tblCellMar>
            <w:top w:w="0" w:type="dxa"/>
            <w:left w:w="108" w:type="dxa"/>
            <w:bottom w:w="0" w:type="dxa"/>
            <w:right w:w="108" w:type="dxa"/>
          </w:tblCellMar>
        </w:tblPrEx>
        <w:trPr>
          <w:cantSplit/>
          <w:trHeight w:val="876" w:hRule="atLeast"/>
          <w:jc w:val="center"/>
        </w:trPr>
        <w:tc>
          <w:tcPr>
            <w:tcW w:w="3991" w:type="dxa"/>
            <w:gridSpan w:val="3"/>
            <w:tcBorders>
              <w:top w:val="nil"/>
              <w:left w:val="single" w:color="000000" w:sz="4" w:space="0"/>
              <w:bottom w:val="single" w:color="000000" w:sz="4" w:space="0"/>
              <w:right w:val="nil"/>
            </w:tcBorders>
            <w:vAlign w:val="center"/>
          </w:tcPr>
          <w:p w14:paraId="7CF99DCE">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何时何校何专业毕业</w:t>
            </w:r>
          </w:p>
        </w:tc>
        <w:tc>
          <w:tcPr>
            <w:tcW w:w="6059" w:type="dxa"/>
            <w:gridSpan w:val="5"/>
            <w:tcBorders>
              <w:top w:val="nil"/>
              <w:left w:val="single" w:color="000000" w:sz="4" w:space="0"/>
              <w:bottom w:val="single" w:color="000000" w:sz="4" w:space="0"/>
              <w:right w:val="single" w:color="000000" w:sz="4" w:space="0"/>
            </w:tcBorders>
            <w:vAlign w:val="center"/>
          </w:tcPr>
          <w:p w14:paraId="25CBDD37">
            <w:pPr>
              <w:spacing w:line="360" w:lineRule="auto"/>
              <w:rPr>
                <w:rFonts w:hint="eastAsia" w:ascii="宋体" w:hAnsi="宋体" w:eastAsia="宋体" w:cs="宋体"/>
                <w:color w:val="auto"/>
                <w:sz w:val="24"/>
                <w:szCs w:val="24"/>
                <w:highlight w:val="none"/>
              </w:rPr>
            </w:pPr>
          </w:p>
        </w:tc>
      </w:tr>
      <w:tr w14:paraId="2F398E64">
        <w:tblPrEx>
          <w:tblCellMar>
            <w:top w:w="0" w:type="dxa"/>
            <w:left w:w="108" w:type="dxa"/>
            <w:bottom w:w="0" w:type="dxa"/>
            <w:right w:w="108" w:type="dxa"/>
          </w:tblCellMar>
        </w:tblPrEx>
        <w:trPr>
          <w:cantSplit/>
          <w:trHeight w:val="856" w:hRule="atLeast"/>
          <w:jc w:val="center"/>
        </w:trPr>
        <w:tc>
          <w:tcPr>
            <w:tcW w:w="3991" w:type="dxa"/>
            <w:gridSpan w:val="3"/>
            <w:tcBorders>
              <w:top w:val="nil"/>
              <w:left w:val="single" w:color="000000" w:sz="4" w:space="0"/>
              <w:bottom w:val="single" w:color="000000" w:sz="4" w:space="0"/>
              <w:right w:val="nil"/>
            </w:tcBorders>
            <w:vAlign w:val="center"/>
          </w:tcPr>
          <w:p w14:paraId="5248A447">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固定电话</w:t>
            </w:r>
          </w:p>
        </w:tc>
        <w:tc>
          <w:tcPr>
            <w:tcW w:w="1913" w:type="dxa"/>
            <w:gridSpan w:val="2"/>
            <w:tcBorders>
              <w:top w:val="nil"/>
              <w:left w:val="single" w:color="000000" w:sz="4" w:space="0"/>
              <w:bottom w:val="single" w:color="000000" w:sz="4" w:space="0"/>
              <w:right w:val="nil"/>
            </w:tcBorders>
            <w:vAlign w:val="center"/>
          </w:tcPr>
          <w:p w14:paraId="209FFDC8">
            <w:pPr>
              <w:spacing w:line="360" w:lineRule="auto"/>
              <w:jc w:val="center"/>
              <w:rPr>
                <w:rFonts w:hint="eastAsia" w:ascii="宋体" w:hAnsi="宋体" w:eastAsia="宋体" w:cs="宋体"/>
                <w:color w:val="auto"/>
                <w:sz w:val="24"/>
                <w:szCs w:val="24"/>
                <w:highlight w:val="none"/>
              </w:rPr>
            </w:pPr>
          </w:p>
        </w:tc>
        <w:tc>
          <w:tcPr>
            <w:tcW w:w="1364" w:type="dxa"/>
            <w:gridSpan w:val="2"/>
            <w:tcBorders>
              <w:top w:val="nil"/>
              <w:left w:val="single" w:color="000000" w:sz="4" w:space="0"/>
              <w:bottom w:val="single" w:color="000000" w:sz="4" w:space="0"/>
              <w:right w:val="nil"/>
            </w:tcBorders>
            <w:vAlign w:val="center"/>
          </w:tcPr>
          <w:p w14:paraId="20B4F4D0">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手机</w:t>
            </w:r>
          </w:p>
        </w:tc>
        <w:tc>
          <w:tcPr>
            <w:tcW w:w="2782" w:type="dxa"/>
            <w:tcBorders>
              <w:top w:val="nil"/>
              <w:left w:val="single" w:color="000000" w:sz="4" w:space="0"/>
              <w:bottom w:val="single" w:color="000000" w:sz="4" w:space="0"/>
              <w:right w:val="single" w:color="000000" w:sz="4" w:space="0"/>
            </w:tcBorders>
            <w:vAlign w:val="center"/>
          </w:tcPr>
          <w:p w14:paraId="1EDA742C">
            <w:pPr>
              <w:spacing w:line="360" w:lineRule="auto"/>
              <w:jc w:val="center"/>
              <w:rPr>
                <w:rFonts w:hint="eastAsia" w:ascii="宋体" w:hAnsi="宋体" w:eastAsia="宋体" w:cs="宋体"/>
                <w:color w:val="auto"/>
                <w:sz w:val="24"/>
                <w:szCs w:val="24"/>
                <w:highlight w:val="none"/>
              </w:rPr>
            </w:pPr>
          </w:p>
        </w:tc>
      </w:tr>
      <w:tr w14:paraId="005CE1A9">
        <w:tblPrEx>
          <w:tblCellMar>
            <w:top w:w="0" w:type="dxa"/>
            <w:left w:w="108" w:type="dxa"/>
            <w:bottom w:w="0" w:type="dxa"/>
            <w:right w:w="108" w:type="dxa"/>
          </w:tblCellMar>
        </w:tblPrEx>
        <w:trPr>
          <w:cantSplit/>
          <w:trHeight w:val="845" w:hRule="atLeast"/>
          <w:jc w:val="center"/>
        </w:trPr>
        <w:tc>
          <w:tcPr>
            <w:tcW w:w="1260" w:type="dxa"/>
            <w:vMerge w:val="restart"/>
            <w:tcBorders>
              <w:top w:val="single" w:color="auto" w:sz="4" w:space="0"/>
              <w:left w:val="single" w:color="auto" w:sz="4" w:space="0"/>
              <w:right w:val="single" w:color="auto" w:sz="4" w:space="0"/>
            </w:tcBorders>
            <w:vAlign w:val="center"/>
          </w:tcPr>
          <w:p w14:paraId="0D405D6C">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w:t>
            </w:r>
          </w:p>
          <w:p w14:paraId="752D23FA">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w:t>
            </w:r>
          </w:p>
          <w:p w14:paraId="6586D6CB">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w:t>
            </w:r>
          </w:p>
          <w:p w14:paraId="7AF8ADF3">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作</w:t>
            </w:r>
          </w:p>
          <w:p w14:paraId="452D1B92">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经</w:t>
            </w:r>
          </w:p>
          <w:p w14:paraId="76C20AE5">
            <w:pPr>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
                <w:bCs/>
                <w:color w:val="auto"/>
                <w:sz w:val="24"/>
                <w:szCs w:val="24"/>
                <w:highlight w:val="none"/>
              </w:rPr>
              <w:t>历</w:t>
            </w:r>
          </w:p>
        </w:tc>
        <w:tc>
          <w:tcPr>
            <w:tcW w:w="2731" w:type="dxa"/>
            <w:gridSpan w:val="2"/>
            <w:tcBorders>
              <w:top w:val="single" w:color="auto" w:sz="4" w:space="0"/>
              <w:left w:val="single" w:color="auto" w:sz="4" w:space="0"/>
              <w:bottom w:val="single" w:color="auto" w:sz="4" w:space="0"/>
              <w:right w:val="single" w:color="auto" w:sz="4" w:space="0"/>
            </w:tcBorders>
            <w:vAlign w:val="center"/>
          </w:tcPr>
          <w:p w14:paraId="4213F1B5">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何年何月</w:t>
            </w:r>
          </w:p>
        </w:tc>
        <w:tc>
          <w:tcPr>
            <w:tcW w:w="6059" w:type="dxa"/>
            <w:gridSpan w:val="5"/>
            <w:tcBorders>
              <w:top w:val="single" w:color="auto" w:sz="4" w:space="0"/>
              <w:left w:val="single" w:color="auto" w:sz="4" w:space="0"/>
              <w:bottom w:val="single" w:color="auto" w:sz="4" w:space="0"/>
              <w:right w:val="single" w:color="auto" w:sz="4" w:space="0"/>
            </w:tcBorders>
            <w:vAlign w:val="center"/>
          </w:tcPr>
          <w:p w14:paraId="3B43A721">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承担过的</w:t>
            </w:r>
            <w:r>
              <w:rPr>
                <w:rFonts w:hint="eastAsia" w:ascii="宋体" w:hAnsi="宋体" w:cs="宋体"/>
                <w:bCs/>
                <w:color w:val="auto"/>
                <w:sz w:val="24"/>
                <w:szCs w:val="24"/>
                <w:highlight w:val="none"/>
                <w:lang w:val="en-US" w:eastAsia="zh-CN"/>
              </w:rPr>
              <w:t>同类主副食材配送服务项目</w:t>
            </w:r>
            <w:r>
              <w:rPr>
                <w:rFonts w:hint="eastAsia" w:ascii="宋体" w:hAnsi="宋体" w:eastAsia="宋体" w:cs="宋体"/>
                <w:bCs/>
                <w:color w:val="auto"/>
                <w:sz w:val="24"/>
                <w:szCs w:val="24"/>
                <w:highlight w:val="none"/>
              </w:rPr>
              <w:t>业绩</w:t>
            </w:r>
          </w:p>
        </w:tc>
      </w:tr>
      <w:tr w14:paraId="7590C82A">
        <w:tblPrEx>
          <w:tblCellMar>
            <w:top w:w="0" w:type="dxa"/>
            <w:left w:w="108" w:type="dxa"/>
            <w:bottom w:w="0" w:type="dxa"/>
            <w:right w:w="108" w:type="dxa"/>
          </w:tblCellMar>
        </w:tblPrEx>
        <w:trPr>
          <w:cantSplit/>
          <w:trHeight w:val="1015" w:hRule="atLeast"/>
          <w:jc w:val="center"/>
        </w:trPr>
        <w:tc>
          <w:tcPr>
            <w:tcW w:w="1260" w:type="dxa"/>
            <w:vMerge w:val="continue"/>
            <w:tcBorders>
              <w:left w:val="single" w:color="auto" w:sz="4" w:space="0"/>
              <w:right w:val="single" w:color="auto" w:sz="4" w:space="0"/>
            </w:tcBorders>
            <w:vAlign w:val="center"/>
          </w:tcPr>
          <w:p w14:paraId="00C3E17D">
            <w:pPr>
              <w:widowControl/>
              <w:spacing w:line="360" w:lineRule="auto"/>
              <w:jc w:val="left"/>
              <w:rPr>
                <w:rFonts w:hint="eastAsia" w:ascii="宋体" w:hAnsi="宋体" w:eastAsia="宋体" w:cs="宋体"/>
                <w:bCs/>
                <w:color w:val="auto"/>
                <w:sz w:val="24"/>
                <w:szCs w:val="24"/>
                <w:highlight w:val="none"/>
              </w:rPr>
            </w:pPr>
          </w:p>
        </w:tc>
        <w:tc>
          <w:tcPr>
            <w:tcW w:w="2731" w:type="dxa"/>
            <w:gridSpan w:val="2"/>
            <w:tcBorders>
              <w:top w:val="single" w:color="auto" w:sz="4" w:space="0"/>
              <w:left w:val="single" w:color="auto" w:sz="4" w:space="0"/>
              <w:bottom w:val="single" w:color="auto" w:sz="4" w:space="0"/>
              <w:right w:val="single" w:color="auto" w:sz="4" w:space="0"/>
            </w:tcBorders>
            <w:vAlign w:val="center"/>
          </w:tcPr>
          <w:p w14:paraId="5F599DCA">
            <w:pPr>
              <w:spacing w:line="360" w:lineRule="auto"/>
              <w:rPr>
                <w:rFonts w:hint="eastAsia" w:ascii="宋体" w:hAnsi="宋体" w:eastAsia="宋体" w:cs="宋体"/>
                <w:color w:val="auto"/>
                <w:sz w:val="24"/>
                <w:szCs w:val="24"/>
                <w:highlight w:val="none"/>
              </w:rPr>
            </w:pPr>
          </w:p>
        </w:tc>
        <w:tc>
          <w:tcPr>
            <w:tcW w:w="6059" w:type="dxa"/>
            <w:gridSpan w:val="5"/>
            <w:tcBorders>
              <w:top w:val="single" w:color="auto" w:sz="4" w:space="0"/>
              <w:left w:val="single" w:color="auto" w:sz="4" w:space="0"/>
              <w:bottom w:val="single" w:color="auto" w:sz="4" w:space="0"/>
              <w:right w:val="single" w:color="auto" w:sz="4" w:space="0"/>
            </w:tcBorders>
            <w:vAlign w:val="center"/>
          </w:tcPr>
          <w:p w14:paraId="37081082">
            <w:pPr>
              <w:spacing w:line="360" w:lineRule="auto"/>
              <w:rPr>
                <w:rFonts w:hint="eastAsia" w:ascii="宋体" w:hAnsi="宋体" w:eastAsia="宋体" w:cs="宋体"/>
                <w:color w:val="auto"/>
                <w:sz w:val="24"/>
                <w:szCs w:val="24"/>
                <w:highlight w:val="none"/>
              </w:rPr>
            </w:pPr>
          </w:p>
        </w:tc>
      </w:tr>
      <w:tr w14:paraId="71F804A0">
        <w:tblPrEx>
          <w:tblCellMar>
            <w:top w:w="0" w:type="dxa"/>
            <w:left w:w="108" w:type="dxa"/>
            <w:bottom w:w="0" w:type="dxa"/>
            <w:right w:w="108" w:type="dxa"/>
          </w:tblCellMar>
        </w:tblPrEx>
        <w:trPr>
          <w:cantSplit/>
          <w:trHeight w:val="733" w:hRule="atLeast"/>
          <w:jc w:val="center"/>
        </w:trPr>
        <w:tc>
          <w:tcPr>
            <w:tcW w:w="1260" w:type="dxa"/>
            <w:vMerge w:val="continue"/>
            <w:tcBorders>
              <w:left w:val="single" w:color="auto" w:sz="4" w:space="0"/>
              <w:right w:val="single" w:color="auto" w:sz="4" w:space="0"/>
            </w:tcBorders>
          </w:tcPr>
          <w:p w14:paraId="5E4CDF45">
            <w:pPr>
              <w:widowControl/>
              <w:spacing w:line="360" w:lineRule="auto"/>
              <w:jc w:val="left"/>
              <w:rPr>
                <w:rFonts w:hint="eastAsia" w:ascii="宋体" w:hAnsi="宋体" w:eastAsia="宋体" w:cs="宋体"/>
                <w:bCs/>
                <w:color w:val="auto"/>
                <w:sz w:val="24"/>
                <w:szCs w:val="24"/>
                <w:highlight w:val="none"/>
              </w:rPr>
            </w:pPr>
          </w:p>
        </w:tc>
        <w:tc>
          <w:tcPr>
            <w:tcW w:w="2731" w:type="dxa"/>
            <w:gridSpan w:val="2"/>
            <w:tcBorders>
              <w:top w:val="single" w:color="auto" w:sz="4" w:space="0"/>
              <w:left w:val="single" w:color="auto" w:sz="4" w:space="0"/>
              <w:bottom w:val="single" w:color="auto" w:sz="4" w:space="0"/>
              <w:right w:val="single" w:color="auto" w:sz="4" w:space="0"/>
            </w:tcBorders>
            <w:vAlign w:val="center"/>
          </w:tcPr>
          <w:p w14:paraId="6F883F7A">
            <w:pPr>
              <w:spacing w:line="360" w:lineRule="auto"/>
              <w:rPr>
                <w:rFonts w:hint="eastAsia" w:ascii="宋体" w:hAnsi="宋体" w:eastAsia="宋体" w:cs="宋体"/>
                <w:color w:val="auto"/>
                <w:sz w:val="24"/>
                <w:szCs w:val="24"/>
                <w:highlight w:val="none"/>
              </w:rPr>
            </w:pPr>
          </w:p>
        </w:tc>
        <w:tc>
          <w:tcPr>
            <w:tcW w:w="6059" w:type="dxa"/>
            <w:gridSpan w:val="5"/>
            <w:tcBorders>
              <w:top w:val="single" w:color="auto" w:sz="4" w:space="0"/>
              <w:left w:val="single" w:color="auto" w:sz="4" w:space="0"/>
              <w:bottom w:val="single" w:color="auto" w:sz="4" w:space="0"/>
              <w:right w:val="single" w:color="auto" w:sz="4" w:space="0"/>
            </w:tcBorders>
            <w:vAlign w:val="center"/>
          </w:tcPr>
          <w:p w14:paraId="37B391A4">
            <w:pPr>
              <w:spacing w:line="360" w:lineRule="auto"/>
              <w:rPr>
                <w:rFonts w:hint="eastAsia" w:ascii="宋体" w:hAnsi="宋体" w:eastAsia="宋体" w:cs="宋体"/>
                <w:color w:val="auto"/>
                <w:sz w:val="24"/>
                <w:szCs w:val="24"/>
                <w:highlight w:val="none"/>
              </w:rPr>
            </w:pPr>
          </w:p>
        </w:tc>
      </w:tr>
      <w:tr w14:paraId="34196CF4">
        <w:tblPrEx>
          <w:tblCellMar>
            <w:top w:w="0" w:type="dxa"/>
            <w:left w:w="108" w:type="dxa"/>
            <w:bottom w:w="0" w:type="dxa"/>
            <w:right w:w="108" w:type="dxa"/>
          </w:tblCellMar>
        </w:tblPrEx>
        <w:trPr>
          <w:cantSplit/>
          <w:trHeight w:val="733" w:hRule="atLeast"/>
          <w:jc w:val="center"/>
        </w:trPr>
        <w:tc>
          <w:tcPr>
            <w:tcW w:w="1260" w:type="dxa"/>
            <w:vMerge w:val="continue"/>
            <w:tcBorders>
              <w:left w:val="single" w:color="auto" w:sz="4" w:space="0"/>
              <w:bottom w:val="single" w:color="auto" w:sz="4" w:space="0"/>
              <w:right w:val="single" w:color="auto" w:sz="4" w:space="0"/>
            </w:tcBorders>
          </w:tcPr>
          <w:p w14:paraId="5212F03B">
            <w:pPr>
              <w:widowControl/>
              <w:spacing w:line="360" w:lineRule="auto"/>
              <w:jc w:val="left"/>
              <w:rPr>
                <w:rFonts w:hint="eastAsia" w:ascii="宋体" w:hAnsi="宋体" w:eastAsia="宋体" w:cs="宋体"/>
                <w:bCs/>
                <w:color w:val="auto"/>
                <w:sz w:val="24"/>
                <w:szCs w:val="24"/>
                <w:highlight w:val="none"/>
              </w:rPr>
            </w:pPr>
          </w:p>
        </w:tc>
        <w:tc>
          <w:tcPr>
            <w:tcW w:w="2731" w:type="dxa"/>
            <w:gridSpan w:val="2"/>
            <w:tcBorders>
              <w:top w:val="single" w:color="auto" w:sz="4" w:space="0"/>
              <w:left w:val="single" w:color="auto" w:sz="4" w:space="0"/>
              <w:bottom w:val="single" w:color="auto" w:sz="4" w:space="0"/>
              <w:right w:val="single" w:color="auto" w:sz="4" w:space="0"/>
            </w:tcBorders>
            <w:vAlign w:val="center"/>
          </w:tcPr>
          <w:p w14:paraId="54C5A398">
            <w:pPr>
              <w:spacing w:line="360" w:lineRule="auto"/>
              <w:rPr>
                <w:rFonts w:hint="eastAsia" w:ascii="宋体" w:hAnsi="宋体" w:eastAsia="宋体" w:cs="宋体"/>
                <w:color w:val="auto"/>
                <w:sz w:val="24"/>
                <w:szCs w:val="24"/>
                <w:highlight w:val="none"/>
              </w:rPr>
            </w:pPr>
          </w:p>
        </w:tc>
        <w:tc>
          <w:tcPr>
            <w:tcW w:w="6059" w:type="dxa"/>
            <w:gridSpan w:val="5"/>
            <w:tcBorders>
              <w:top w:val="single" w:color="auto" w:sz="4" w:space="0"/>
              <w:left w:val="single" w:color="auto" w:sz="4" w:space="0"/>
              <w:bottom w:val="single" w:color="auto" w:sz="4" w:space="0"/>
              <w:right w:val="single" w:color="auto" w:sz="4" w:space="0"/>
            </w:tcBorders>
            <w:vAlign w:val="center"/>
          </w:tcPr>
          <w:p w14:paraId="097EE685">
            <w:pPr>
              <w:spacing w:line="360" w:lineRule="auto"/>
              <w:rPr>
                <w:rFonts w:hint="eastAsia" w:ascii="宋体" w:hAnsi="宋体" w:eastAsia="宋体" w:cs="宋体"/>
                <w:color w:val="auto"/>
                <w:sz w:val="24"/>
                <w:szCs w:val="24"/>
                <w:highlight w:val="none"/>
              </w:rPr>
            </w:pPr>
          </w:p>
        </w:tc>
      </w:tr>
    </w:tbl>
    <w:p w14:paraId="4621C25A">
      <w:pPr>
        <w:tabs>
          <w:tab w:val="center" w:pos="4629"/>
        </w:tabs>
        <w:spacing w:before="240" w:after="480" w:line="360" w:lineRule="auto"/>
        <w:jc w:val="left"/>
        <w:rPr>
          <w:rFonts w:hint="eastAsia" w:ascii="宋体" w:hAnsi="宋体" w:eastAsia="宋体" w:cs="宋体"/>
          <w:b w:val="0"/>
          <w:bCs/>
          <w:color w:val="auto"/>
          <w:sz w:val="24"/>
          <w:szCs w:val="24"/>
          <w:highlight w:val="none"/>
        </w:rPr>
      </w:pPr>
      <w:r>
        <w:rPr>
          <w:rFonts w:hint="eastAsia" w:ascii="宋体" w:hAnsi="宋体" w:cs="宋体"/>
          <w:b w:val="0"/>
          <w:bCs/>
          <w:color w:val="auto"/>
          <w:highlight w:val="none"/>
          <w:lang w:val="en-US" w:eastAsia="zh-CN"/>
        </w:rPr>
        <w:t>说明</w:t>
      </w:r>
      <w:r>
        <w:rPr>
          <w:rFonts w:hint="eastAsia" w:ascii="宋体" w:hAnsi="宋体" w:eastAsia="宋体" w:cs="宋体"/>
          <w:b w:val="0"/>
          <w:bCs/>
          <w:color w:val="auto"/>
          <w:highlight w:val="none"/>
        </w:rPr>
        <w:t>：后附</w:t>
      </w:r>
      <w:r>
        <w:rPr>
          <w:rFonts w:hint="eastAsia" w:ascii="宋体" w:hAnsi="宋体" w:eastAsia="宋体" w:cs="宋体"/>
          <w:b w:val="0"/>
          <w:bCs/>
          <w:color w:val="auto"/>
          <w:kern w:val="0"/>
          <w:sz w:val="24"/>
          <w:szCs w:val="24"/>
          <w:highlight w:val="none"/>
          <w:lang w:val="en-US" w:eastAsia="zh-CN"/>
        </w:rPr>
        <w:t>有效期内的劳动合同或社保缴纳证明</w:t>
      </w:r>
      <w:r>
        <w:rPr>
          <w:rFonts w:hint="eastAsia" w:ascii="宋体" w:hAnsi="宋体" w:cs="宋体"/>
          <w:b w:val="0"/>
          <w:bCs/>
          <w:color w:val="auto"/>
          <w:kern w:val="0"/>
          <w:sz w:val="24"/>
          <w:szCs w:val="24"/>
          <w:highlight w:val="none"/>
          <w:lang w:val="en-US" w:eastAsia="zh-CN"/>
        </w:rPr>
        <w:t>、</w:t>
      </w:r>
      <w:r>
        <w:rPr>
          <w:rFonts w:hint="eastAsia" w:ascii="宋体" w:hAnsi="宋体" w:eastAsia="宋体" w:cs="宋体"/>
          <w:b w:val="0"/>
          <w:bCs/>
          <w:color w:val="auto"/>
          <w:highlight w:val="none"/>
        </w:rPr>
        <w:t>身份证、毕业证、健康证、驾驶证（如有）等复印件。</w:t>
      </w:r>
    </w:p>
    <w:p w14:paraId="58809BCF">
      <w:pPr>
        <w:widowControl/>
        <w:jc w:val="left"/>
        <w:rPr>
          <w:rFonts w:hint="eastAsia" w:ascii="宋体" w:hAnsi="宋体" w:eastAsia="宋体" w:cs="宋体"/>
          <w:color w:val="auto"/>
          <w:sz w:val="24"/>
          <w:szCs w:val="24"/>
          <w:highlight w:val="none"/>
        </w:rPr>
      </w:pPr>
    </w:p>
    <w:p w14:paraId="3C67C7FB">
      <w:pPr>
        <w:snapToGrid w:val="0"/>
        <w:spacing w:line="480" w:lineRule="auto"/>
        <w:ind w:right="105" w:rightChars="50"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（盖章）：    </w:t>
      </w:r>
    </w:p>
    <w:p w14:paraId="2CE58D35">
      <w:pPr>
        <w:snapToGrid w:val="0"/>
        <w:spacing w:line="480" w:lineRule="auto"/>
        <w:ind w:right="105" w:rightChars="50"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default" w:ascii="Times New Roman" w:hAnsi="Times New Roman" w:cs="Times New Roman"/>
          <w:color w:val="auto"/>
          <w:sz w:val="24"/>
          <w:highlight w:val="none"/>
        </w:rPr>
        <w:t>或</w:t>
      </w:r>
      <w:r>
        <w:rPr>
          <w:rFonts w:hint="default" w:ascii="Times New Roman" w:hAnsi="Times New Roman" w:cs="Times New Roman"/>
          <w:color w:val="auto"/>
          <w:sz w:val="24"/>
          <w:highlight w:val="none"/>
          <w:lang w:eastAsia="zh-CN"/>
        </w:rPr>
        <w:t>授权代表</w:t>
      </w:r>
      <w:r>
        <w:rPr>
          <w:rFonts w:hint="eastAsia" w:ascii="宋体" w:hAnsi="宋体" w:eastAsia="宋体" w:cs="宋体"/>
          <w:color w:val="auto"/>
          <w:sz w:val="24"/>
          <w:highlight w:val="none"/>
        </w:rPr>
        <w:t>（签字或盖章）：</w:t>
      </w:r>
    </w:p>
    <w:p w14:paraId="4A57685C">
      <w:pPr>
        <w:pStyle w:val="11"/>
        <w:rPr>
          <w:rFonts w:hint="default" w:ascii="宋体" w:hAnsi="宋体" w:eastAsia="宋体" w:cs="宋体"/>
          <w:color w:val="auto"/>
          <w:sz w:val="24"/>
          <w:szCs w:val="24"/>
          <w:highlight w:val="none"/>
          <w:lang w:val="en-US" w:eastAsia="zh-CN"/>
        </w:rPr>
      </w:pPr>
      <w:r>
        <w:rPr>
          <w:rFonts w:hint="eastAsia" w:ascii="宋体" w:eastAsia="宋体" w:cs="宋体"/>
          <w:color w:val="auto"/>
          <w:sz w:val="24"/>
          <w:szCs w:val="24"/>
          <w:highlight w:val="none"/>
          <w:lang w:val="en-US" w:eastAsia="zh-CN"/>
        </w:rPr>
        <w:t xml:space="preserve">                                 </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668BD491">
      <w:pPr>
        <w:pStyle w:val="11"/>
        <w:rPr>
          <w:rFonts w:hint="eastAsia" w:ascii="宋体" w:hAnsi="宋体" w:eastAsia="宋体" w:cs="宋体"/>
          <w:color w:val="auto"/>
          <w:sz w:val="24"/>
          <w:szCs w:val="24"/>
          <w:highlight w:val="none"/>
        </w:rPr>
      </w:pPr>
    </w:p>
    <w:p w14:paraId="6B9E7345">
      <w:pPr>
        <w:pStyle w:val="11"/>
        <w:ind w:left="0" w:leftChars="0" w:firstLine="0" w:firstLineChars="0"/>
        <w:rPr>
          <w:rFonts w:hint="eastAsia" w:ascii="宋体" w:hAnsi="宋体" w:eastAsia="宋体" w:cs="宋体"/>
          <w:color w:val="auto"/>
          <w:sz w:val="24"/>
          <w:szCs w:val="24"/>
          <w:highlight w:val="none"/>
        </w:rPr>
      </w:pPr>
    </w:p>
    <w:p w14:paraId="23805436">
      <w:pPr>
        <w:tabs>
          <w:tab w:val="center" w:pos="4629"/>
        </w:tabs>
        <w:spacing w:before="240" w:after="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2、拟投入人员一览表</w:t>
      </w:r>
    </w:p>
    <w:tbl>
      <w:tblPr>
        <w:tblStyle w:val="25"/>
        <w:tblW w:w="91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2011"/>
        <w:gridCol w:w="1617"/>
        <w:gridCol w:w="3593"/>
      </w:tblGrid>
      <w:tr w14:paraId="4F8F1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935" w:type="dxa"/>
            <w:vAlign w:val="center"/>
          </w:tcPr>
          <w:p w14:paraId="69D40170">
            <w:pPr>
              <w:pStyle w:val="14"/>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职  务</w:t>
            </w:r>
          </w:p>
        </w:tc>
        <w:tc>
          <w:tcPr>
            <w:tcW w:w="2011" w:type="dxa"/>
            <w:vAlign w:val="center"/>
          </w:tcPr>
          <w:p w14:paraId="03A6BA76">
            <w:pPr>
              <w:pStyle w:val="14"/>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姓 名</w:t>
            </w:r>
          </w:p>
        </w:tc>
        <w:tc>
          <w:tcPr>
            <w:tcW w:w="1617" w:type="dxa"/>
            <w:vAlign w:val="center"/>
          </w:tcPr>
          <w:p w14:paraId="2A4F7AA3">
            <w:pPr>
              <w:pStyle w:val="14"/>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职  务</w:t>
            </w:r>
          </w:p>
        </w:tc>
        <w:tc>
          <w:tcPr>
            <w:tcW w:w="3593" w:type="dxa"/>
            <w:vAlign w:val="center"/>
          </w:tcPr>
          <w:p w14:paraId="33D8E307">
            <w:pPr>
              <w:pStyle w:val="14"/>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工作年限</w:t>
            </w:r>
          </w:p>
        </w:tc>
      </w:tr>
      <w:tr w14:paraId="7EB90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0D3D041A">
            <w:pPr>
              <w:pStyle w:val="14"/>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2011" w:type="dxa"/>
          </w:tcPr>
          <w:p w14:paraId="50DBB808">
            <w:pPr>
              <w:pStyle w:val="14"/>
              <w:spacing w:line="360" w:lineRule="auto"/>
              <w:ind w:firstLine="630"/>
              <w:rPr>
                <w:rFonts w:hint="eastAsia" w:ascii="宋体" w:hAnsi="宋体" w:eastAsia="宋体" w:cs="宋体"/>
                <w:color w:val="auto"/>
                <w:sz w:val="24"/>
                <w:szCs w:val="24"/>
                <w:highlight w:val="none"/>
              </w:rPr>
            </w:pPr>
          </w:p>
        </w:tc>
        <w:tc>
          <w:tcPr>
            <w:tcW w:w="1617" w:type="dxa"/>
          </w:tcPr>
          <w:p w14:paraId="3CF61FBB">
            <w:pPr>
              <w:pStyle w:val="14"/>
              <w:spacing w:line="360" w:lineRule="auto"/>
              <w:ind w:firstLine="630"/>
              <w:rPr>
                <w:rFonts w:hint="eastAsia" w:ascii="宋体" w:hAnsi="宋体" w:eastAsia="宋体" w:cs="宋体"/>
                <w:color w:val="auto"/>
                <w:sz w:val="24"/>
                <w:szCs w:val="24"/>
                <w:highlight w:val="none"/>
              </w:rPr>
            </w:pPr>
          </w:p>
        </w:tc>
        <w:tc>
          <w:tcPr>
            <w:tcW w:w="3593" w:type="dxa"/>
          </w:tcPr>
          <w:p w14:paraId="79ACC5EE">
            <w:pPr>
              <w:pStyle w:val="14"/>
              <w:spacing w:line="360" w:lineRule="auto"/>
              <w:ind w:firstLine="630"/>
              <w:rPr>
                <w:rFonts w:hint="eastAsia" w:ascii="宋体" w:hAnsi="宋体" w:eastAsia="宋体" w:cs="宋体"/>
                <w:color w:val="auto"/>
                <w:sz w:val="24"/>
                <w:szCs w:val="24"/>
                <w:highlight w:val="none"/>
              </w:rPr>
            </w:pPr>
          </w:p>
        </w:tc>
      </w:tr>
      <w:tr w14:paraId="18BFE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57554BA7">
            <w:pPr>
              <w:pStyle w:val="14"/>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配送人员</w:t>
            </w:r>
          </w:p>
        </w:tc>
        <w:tc>
          <w:tcPr>
            <w:tcW w:w="2011" w:type="dxa"/>
          </w:tcPr>
          <w:p w14:paraId="4E289066">
            <w:pPr>
              <w:pStyle w:val="14"/>
              <w:spacing w:line="360" w:lineRule="auto"/>
              <w:ind w:firstLine="630"/>
              <w:rPr>
                <w:rFonts w:hint="eastAsia" w:ascii="宋体" w:hAnsi="宋体" w:eastAsia="宋体" w:cs="宋体"/>
                <w:color w:val="auto"/>
                <w:sz w:val="24"/>
                <w:szCs w:val="24"/>
                <w:highlight w:val="none"/>
              </w:rPr>
            </w:pPr>
          </w:p>
        </w:tc>
        <w:tc>
          <w:tcPr>
            <w:tcW w:w="1617" w:type="dxa"/>
          </w:tcPr>
          <w:p w14:paraId="5542FE48">
            <w:pPr>
              <w:pStyle w:val="14"/>
              <w:spacing w:line="360" w:lineRule="auto"/>
              <w:ind w:firstLine="630"/>
              <w:rPr>
                <w:rFonts w:hint="eastAsia" w:ascii="宋体" w:hAnsi="宋体" w:eastAsia="宋体" w:cs="宋体"/>
                <w:color w:val="auto"/>
                <w:sz w:val="24"/>
                <w:szCs w:val="24"/>
                <w:highlight w:val="none"/>
              </w:rPr>
            </w:pPr>
          </w:p>
        </w:tc>
        <w:tc>
          <w:tcPr>
            <w:tcW w:w="3593" w:type="dxa"/>
          </w:tcPr>
          <w:p w14:paraId="0D63B556">
            <w:pPr>
              <w:pStyle w:val="14"/>
              <w:spacing w:line="360" w:lineRule="auto"/>
              <w:ind w:firstLine="630"/>
              <w:rPr>
                <w:rFonts w:hint="eastAsia" w:ascii="宋体" w:hAnsi="宋体" w:eastAsia="宋体" w:cs="宋体"/>
                <w:color w:val="auto"/>
                <w:sz w:val="24"/>
                <w:szCs w:val="24"/>
                <w:highlight w:val="none"/>
              </w:rPr>
            </w:pPr>
          </w:p>
        </w:tc>
      </w:tr>
      <w:tr w14:paraId="048D1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7C590CB8">
            <w:pPr>
              <w:pStyle w:val="14"/>
              <w:spacing w:line="360" w:lineRule="auto"/>
              <w:jc w:val="center"/>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w:t>
            </w:r>
          </w:p>
        </w:tc>
        <w:tc>
          <w:tcPr>
            <w:tcW w:w="2011" w:type="dxa"/>
          </w:tcPr>
          <w:p w14:paraId="5CF63ADB">
            <w:pPr>
              <w:pStyle w:val="14"/>
              <w:spacing w:line="360" w:lineRule="auto"/>
              <w:ind w:firstLine="630"/>
              <w:rPr>
                <w:rFonts w:hint="eastAsia" w:ascii="宋体" w:hAnsi="宋体" w:eastAsia="宋体" w:cs="宋体"/>
                <w:color w:val="auto"/>
                <w:sz w:val="24"/>
                <w:szCs w:val="24"/>
                <w:highlight w:val="none"/>
              </w:rPr>
            </w:pPr>
          </w:p>
        </w:tc>
        <w:tc>
          <w:tcPr>
            <w:tcW w:w="1617" w:type="dxa"/>
          </w:tcPr>
          <w:p w14:paraId="06C3E37A">
            <w:pPr>
              <w:pStyle w:val="14"/>
              <w:spacing w:line="360" w:lineRule="auto"/>
              <w:ind w:firstLine="630"/>
              <w:rPr>
                <w:rFonts w:hint="eastAsia" w:ascii="宋体" w:hAnsi="宋体" w:eastAsia="宋体" w:cs="宋体"/>
                <w:color w:val="auto"/>
                <w:sz w:val="24"/>
                <w:szCs w:val="24"/>
                <w:highlight w:val="none"/>
              </w:rPr>
            </w:pPr>
          </w:p>
        </w:tc>
        <w:tc>
          <w:tcPr>
            <w:tcW w:w="3593" w:type="dxa"/>
          </w:tcPr>
          <w:p w14:paraId="51E7D873">
            <w:pPr>
              <w:pStyle w:val="14"/>
              <w:spacing w:line="360" w:lineRule="auto"/>
              <w:ind w:firstLine="630"/>
              <w:rPr>
                <w:rFonts w:hint="eastAsia" w:ascii="宋体" w:hAnsi="宋体" w:eastAsia="宋体" w:cs="宋体"/>
                <w:color w:val="auto"/>
                <w:sz w:val="24"/>
                <w:szCs w:val="24"/>
                <w:highlight w:val="none"/>
              </w:rPr>
            </w:pPr>
          </w:p>
        </w:tc>
      </w:tr>
      <w:tr w14:paraId="3C2C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581B78FA">
            <w:pPr>
              <w:pStyle w:val="14"/>
              <w:spacing w:line="360" w:lineRule="auto"/>
              <w:jc w:val="center"/>
              <w:rPr>
                <w:rFonts w:hint="eastAsia" w:ascii="宋体" w:hAnsi="宋体" w:eastAsia="宋体" w:cs="宋体"/>
                <w:color w:val="auto"/>
                <w:sz w:val="24"/>
                <w:szCs w:val="24"/>
                <w:highlight w:val="none"/>
              </w:rPr>
            </w:pPr>
          </w:p>
        </w:tc>
        <w:tc>
          <w:tcPr>
            <w:tcW w:w="2011" w:type="dxa"/>
          </w:tcPr>
          <w:p w14:paraId="0D4F688B">
            <w:pPr>
              <w:pStyle w:val="14"/>
              <w:spacing w:line="360" w:lineRule="auto"/>
              <w:ind w:firstLine="630"/>
              <w:rPr>
                <w:rFonts w:hint="eastAsia" w:ascii="宋体" w:hAnsi="宋体" w:eastAsia="宋体" w:cs="宋体"/>
                <w:color w:val="auto"/>
                <w:sz w:val="24"/>
                <w:szCs w:val="24"/>
                <w:highlight w:val="none"/>
              </w:rPr>
            </w:pPr>
          </w:p>
        </w:tc>
        <w:tc>
          <w:tcPr>
            <w:tcW w:w="1617" w:type="dxa"/>
          </w:tcPr>
          <w:p w14:paraId="31358542">
            <w:pPr>
              <w:pStyle w:val="14"/>
              <w:spacing w:line="360" w:lineRule="auto"/>
              <w:ind w:firstLine="630"/>
              <w:rPr>
                <w:rFonts w:hint="eastAsia" w:ascii="宋体" w:hAnsi="宋体" w:eastAsia="宋体" w:cs="宋体"/>
                <w:color w:val="auto"/>
                <w:sz w:val="24"/>
                <w:szCs w:val="24"/>
                <w:highlight w:val="none"/>
              </w:rPr>
            </w:pPr>
          </w:p>
        </w:tc>
        <w:tc>
          <w:tcPr>
            <w:tcW w:w="3593" w:type="dxa"/>
          </w:tcPr>
          <w:p w14:paraId="783B6F11">
            <w:pPr>
              <w:pStyle w:val="14"/>
              <w:spacing w:line="360" w:lineRule="auto"/>
              <w:ind w:firstLine="630"/>
              <w:rPr>
                <w:rFonts w:hint="eastAsia" w:ascii="宋体" w:hAnsi="宋体" w:eastAsia="宋体" w:cs="宋体"/>
                <w:color w:val="auto"/>
                <w:sz w:val="24"/>
                <w:szCs w:val="24"/>
                <w:highlight w:val="none"/>
              </w:rPr>
            </w:pPr>
          </w:p>
        </w:tc>
      </w:tr>
      <w:tr w14:paraId="370A4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0C692C33">
            <w:pPr>
              <w:pStyle w:val="14"/>
              <w:spacing w:line="360" w:lineRule="auto"/>
              <w:jc w:val="center"/>
              <w:rPr>
                <w:rFonts w:hint="eastAsia" w:ascii="宋体" w:hAnsi="宋体" w:eastAsia="宋体" w:cs="宋体"/>
                <w:color w:val="auto"/>
                <w:sz w:val="24"/>
                <w:szCs w:val="24"/>
                <w:highlight w:val="none"/>
                <w:lang w:val="en-US" w:eastAsia="zh-CN"/>
              </w:rPr>
            </w:pPr>
          </w:p>
        </w:tc>
        <w:tc>
          <w:tcPr>
            <w:tcW w:w="2011" w:type="dxa"/>
          </w:tcPr>
          <w:p w14:paraId="6C9067D7">
            <w:pPr>
              <w:pStyle w:val="14"/>
              <w:spacing w:line="360" w:lineRule="auto"/>
              <w:ind w:firstLine="630"/>
              <w:rPr>
                <w:rFonts w:hint="eastAsia" w:ascii="宋体" w:hAnsi="宋体" w:eastAsia="宋体" w:cs="宋体"/>
                <w:color w:val="auto"/>
                <w:sz w:val="24"/>
                <w:szCs w:val="24"/>
                <w:highlight w:val="none"/>
              </w:rPr>
            </w:pPr>
          </w:p>
        </w:tc>
        <w:tc>
          <w:tcPr>
            <w:tcW w:w="1617" w:type="dxa"/>
          </w:tcPr>
          <w:p w14:paraId="0EB02EBF">
            <w:pPr>
              <w:pStyle w:val="14"/>
              <w:spacing w:line="360" w:lineRule="auto"/>
              <w:ind w:firstLine="630"/>
              <w:rPr>
                <w:rFonts w:hint="eastAsia" w:ascii="宋体" w:hAnsi="宋体" w:eastAsia="宋体" w:cs="宋体"/>
                <w:color w:val="auto"/>
                <w:sz w:val="24"/>
                <w:szCs w:val="24"/>
                <w:highlight w:val="none"/>
              </w:rPr>
            </w:pPr>
          </w:p>
        </w:tc>
        <w:tc>
          <w:tcPr>
            <w:tcW w:w="3593" w:type="dxa"/>
          </w:tcPr>
          <w:p w14:paraId="1ECEE6A1">
            <w:pPr>
              <w:pStyle w:val="14"/>
              <w:spacing w:line="360" w:lineRule="auto"/>
              <w:ind w:firstLine="630"/>
              <w:rPr>
                <w:rFonts w:hint="eastAsia" w:ascii="宋体" w:hAnsi="宋体" w:eastAsia="宋体" w:cs="宋体"/>
                <w:color w:val="auto"/>
                <w:sz w:val="24"/>
                <w:szCs w:val="24"/>
                <w:highlight w:val="none"/>
              </w:rPr>
            </w:pPr>
          </w:p>
        </w:tc>
      </w:tr>
      <w:tr w14:paraId="5BD58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7ADED840">
            <w:pPr>
              <w:pStyle w:val="14"/>
              <w:spacing w:line="360" w:lineRule="auto"/>
              <w:jc w:val="center"/>
              <w:rPr>
                <w:rFonts w:hint="eastAsia" w:ascii="宋体" w:hAnsi="宋体" w:eastAsia="宋体" w:cs="宋体"/>
                <w:color w:val="auto"/>
                <w:sz w:val="24"/>
                <w:szCs w:val="24"/>
                <w:highlight w:val="none"/>
                <w:lang w:val="en-US" w:eastAsia="zh-CN"/>
              </w:rPr>
            </w:pPr>
          </w:p>
        </w:tc>
        <w:tc>
          <w:tcPr>
            <w:tcW w:w="2011" w:type="dxa"/>
          </w:tcPr>
          <w:p w14:paraId="7B9D844A">
            <w:pPr>
              <w:pStyle w:val="14"/>
              <w:spacing w:line="360" w:lineRule="auto"/>
              <w:ind w:firstLine="630"/>
              <w:rPr>
                <w:rFonts w:hint="eastAsia" w:ascii="宋体" w:hAnsi="宋体" w:eastAsia="宋体" w:cs="宋体"/>
                <w:color w:val="auto"/>
                <w:sz w:val="24"/>
                <w:szCs w:val="24"/>
                <w:highlight w:val="none"/>
              </w:rPr>
            </w:pPr>
          </w:p>
        </w:tc>
        <w:tc>
          <w:tcPr>
            <w:tcW w:w="1617" w:type="dxa"/>
          </w:tcPr>
          <w:p w14:paraId="0F479212">
            <w:pPr>
              <w:pStyle w:val="14"/>
              <w:spacing w:line="360" w:lineRule="auto"/>
              <w:ind w:firstLine="630"/>
              <w:rPr>
                <w:rFonts w:hint="eastAsia" w:ascii="宋体" w:hAnsi="宋体" w:eastAsia="宋体" w:cs="宋体"/>
                <w:color w:val="auto"/>
                <w:sz w:val="24"/>
                <w:szCs w:val="24"/>
                <w:highlight w:val="none"/>
              </w:rPr>
            </w:pPr>
          </w:p>
        </w:tc>
        <w:tc>
          <w:tcPr>
            <w:tcW w:w="3593" w:type="dxa"/>
          </w:tcPr>
          <w:p w14:paraId="322DEEA3">
            <w:pPr>
              <w:pStyle w:val="14"/>
              <w:spacing w:line="360" w:lineRule="auto"/>
              <w:ind w:firstLine="630"/>
              <w:rPr>
                <w:rFonts w:hint="eastAsia" w:ascii="宋体" w:hAnsi="宋体" w:eastAsia="宋体" w:cs="宋体"/>
                <w:color w:val="auto"/>
                <w:sz w:val="24"/>
                <w:szCs w:val="24"/>
                <w:highlight w:val="none"/>
              </w:rPr>
            </w:pPr>
          </w:p>
        </w:tc>
      </w:tr>
      <w:tr w14:paraId="5863F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4C310494">
            <w:pPr>
              <w:pStyle w:val="14"/>
              <w:spacing w:line="360" w:lineRule="auto"/>
              <w:jc w:val="center"/>
              <w:rPr>
                <w:rFonts w:hint="default" w:ascii="宋体" w:hAnsi="宋体" w:eastAsia="宋体" w:cs="宋体"/>
                <w:color w:val="auto"/>
                <w:sz w:val="24"/>
                <w:szCs w:val="24"/>
                <w:highlight w:val="none"/>
                <w:lang w:val="en-US" w:eastAsia="zh-CN"/>
              </w:rPr>
            </w:pPr>
          </w:p>
        </w:tc>
        <w:tc>
          <w:tcPr>
            <w:tcW w:w="2011" w:type="dxa"/>
          </w:tcPr>
          <w:p w14:paraId="5223116E">
            <w:pPr>
              <w:pStyle w:val="14"/>
              <w:spacing w:line="360" w:lineRule="auto"/>
              <w:ind w:firstLine="630"/>
              <w:rPr>
                <w:rFonts w:hint="eastAsia" w:ascii="宋体" w:hAnsi="宋体" w:eastAsia="宋体" w:cs="宋体"/>
                <w:color w:val="auto"/>
                <w:sz w:val="24"/>
                <w:szCs w:val="24"/>
                <w:highlight w:val="none"/>
              </w:rPr>
            </w:pPr>
          </w:p>
        </w:tc>
        <w:tc>
          <w:tcPr>
            <w:tcW w:w="1617" w:type="dxa"/>
          </w:tcPr>
          <w:p w14:paraId="13E20E20">
            <w:pPr>
              <w:pStyle w:val="14"/>
              <w:spacing w:line="360" w:lineRule="auto"/>
              <w:ind w:firstLine="630"/>
              <w:rPr>
                <w:rFonts w:hint="eastAsia" w:ascii="宋体" w:hAnsi="宋体" w:eastAsia="宋体" w:cs="宋体"/>
                <w:color w:val="auto"/>
                <w:sz w:val="24"/>
                <w:szCs w:val="24"/>
                <w:highlight w:val="none"/>
              </w:rPr>
            </w:pPr>
          </w:p>
        </w:tc>
        <w:tc>
          <w:tcPr>
            <w:tcW w:w="3593" w:type="dxa"/>
          </w:tcPr>
          <w:p w14:paraId="5333966A">
            <w:pPr>
              <w:pStyle w:val="14"/>
              <w:spacing w:line="360" w:lineRule="auto"/>
              <w:ind w:firstLine="630"/>
              <w:rPr>
                <w:rFonts w:hint="eastAsia" w:ascii="宋体" w:hAnsi="宋体" w:eastAsia="宋体" w:cs="宋体"/>
                <w:color w:val="auto"/>
                <w:sz w:val="24"/>
                <w:szCs w:val="24"/>
                <w:highlight w:val="none"/>
              </w:rPr>
            </w:pPr>
          </w:p>
        </w:tc>
      </w:tr>
      <w:tr w14:paraId="1D51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49547912">
            <w:pPr>
              <w:pStyle w:val="14"/>
              <w:spacing w:line="360" w:lineRule="auto"/>
              <w:ind w:firstLine="630"/>
              <w:jc w:val="center"/>
              <w:rPr>
                <w:rFonts w:hint="eastAsia" w:ascii="宋体" w:hAnsi="宋体" w:eastAsia="宋体" w:cs="宋体"/>
                <w:color w:val="auto"/>
                <w:sz w:val="24"/>
                <w:szCs w:val="24"/>
                <w:highlight w:val="none"/>
              </w:rPr>
            </w:pPr>
          </w:p>
        </w:tc>
        <w:tc>
          <w:tcPr>
            <w:tcW w:w="2011" w:type="dxa"/>
          </w:tcPr>
          <w:p w14:paraId="3B963119">
            <w:pPr>
              <w:pStyle w:val="14"/>
              <w:spacing w:line="360" w:lineRule="auto"/>
              <w:ind w:firstLine="630"/>
              <w:rPr>
                <w:rFonts w:hint="eastAsia" w:ascii="宋体" w:hAnsi="宋体" w:eastAsia="宋体" w:cs="宋体"/>
                <w:color w:val="auto"/>
                <w:sz w:val="24"/>
                <w:szCs w:val="24"/>
                <w:highlight w:val="none"/>
              </w:rPr>
            </w:pPr>
          </w:p>
        </w:tc>
        <w:tc>
          <w:tcPr>
            <w:tcW w:w="1617" w:type="dxa"/>
          </w:tcPr>
          <w:p w14:paraId="448CDD32">
            <w:pPr>
              <w:pStyle w:val="14"/>
              <w:spacing w:line="360" w:lineRule="auto"/>
              <w:ind w:firstLine="630"/>
              <w:rPr>
                <w:rFonts w:hint="eastAsia" w:ascii="宋体" w:hAnsi="宋体" w:eastAsia="宋体" w:cs="宋体"/>
                <w:color w:val="auto"/>
                <w:sz w:val="24"/>
                <w:szCs w:val="24"/>
                <w:highlight w:val="none"/>
              </w:rPr>
            </w:pPr>
          </w:p>
        </w:tc>
        <w:tc>
          <w:tcPr>
            <w:tcW w:w="3593" w:type="dxa"/>
          </w:tcPr>
          <w:p w14:paraId="0DC84A50">
            <w:pPr>
              <w:pStyle w:val="14"/>
              <w:spacing w:line="360" w:lineRule="auto"/>
              <w:ind w:firstLine="630"/>
              <w:rPr>
                <w:rFonts w:hint="eastAsia" w:ascii="宋体" w:hAnsi="宋体" w:eastAsia="宋体" w:cs="宋体"/>
                <w:color w:val="auto"/>
                <w:sz w:val="24"/>
                <w:szCs w:val="24"/>
                <w:highlight w:val="none"/>
              </w:rPr>
            </w:pPr>
          </w:p>
        </w:tc>
      </w:tr>
      <w:tr w14:paraId="24A66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6B92817B">
            <w:pPr>
              <w:pStyle w:val="14"/>
              <w:spacing w:line="360" w:lineRule="auto"/>
              <w:ind w:firstLine="630"/>
              <w:rPr>
                <w:rFonts w:hint="eastAsia" w:ascii="宋体" w:hAnsi="宋体" w:eastAsia="宋体" w:cs="宋体"/>
                <w:color w:val="auto"/>
                <w:sz w:val="24"/>
                <w:szCs w:val="24"/>
                <w:highlight w:val="none"/>
              </w:rPr>
            </w:pPr>
          </w:p>
        </w:tc>
        <w:tc>
          <w:tcPr>
            <w:tcW w:w="2011" w:type="dxa"/>
          </w:tcPr>
          <w:p w14:paraId="01928F43">
            <w:pPr>
              <w:pStyle w:val="14"/>
              <w:spacing w:line="360" w:lineRule="auto"/>
              <w:ind w:firstLine="630"/>
              <w:rPr>
                <w:rFonts w:hint="eastAsia" w:ascii="宋体" w:hAnsi="宋体" w:eastAsia="宋体" w:cs="宋体"/>
                <w:color w:val="auto"/>
                <w:sz w:val="24"/>
                <w:szCs w:val="24"/>
                <w:highlight w:val="none"/>
              </w:rPr>
            </w:pPr>
          </w:p>
        </w:tc>
        <w:tc>
          <w:tcPr>
            <w:tcW w:w="1617" w:type="dxa"/>
          </w:tcPr>
          <w:p w14:paraId="7626C987">
            <w:pPr>
              <w:pStyle w:val="14"/>
              <w:spacing w:line="360" w:lineRule="auto"/>
              <w:ind w:firstLine="630"/>
              <w:rPr>
                <w:rFonts w:hint="eastAsia" w:ascii="宋体" w:hAnsi="宋体" w:eastAsia="宋体" w:cs="宋体"/>
                <w:color w:val="auto"/>
                <w:sz w:val="24"/>
                <w:szCs w:val="24"/>
                <w:highlight w:val="none"/>
              </w:rPr>
            </w:pPr>
          </w:p>
        </w:tc>
        <w:tc>
          <w:tcPr>
            <w:tcW w:w="3593" w:type="dxa"/>
          </w:tcPr>
          <w:p w14:paraId="35DC5593">
            <w:pPr>
              <w:pStyle w:val="14"/>
              <w:spacing w:line="360" w:lineRule="auto"/>
              <w:ind w:firstLine="630"/>
              <w:rPr>
                <w:rFonts w:hint="eastAsia" w:ascii="宋体" w:hAnsi="宋体" w:eastAsia="宋体" w:cs="宋体"/>
                <w:color w:val="auto"/>
                <w:sz w:val="24"/>
                <w:szCs w:val="24"/>
                <w:highlight w:val="none"/>
              </w:rPr>
            </w:pPr>
          </w:p>
        </w:tc>
      </w:tr>
      <w:tr w14:paraId="26E4B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4B36EB03">
            <w:pPr>
              <w:pStyle w:val="14"/>
              <w:spacing w:line="360" w:lineRule="auto"/>
              <w:ind w:firstLine="630"/>
              <w:jc w:val="center"/>
              <w:rPr>
                <w:rFonts w:hint="eastAsia" w:ascii="宋体" w:hAnsi="宋体" w:eastAsia="宋体" w:cs="宋体"/>
                <w:color w:val="auto"/>
                <w:sz w:val="24"/>
                <w:szCs w:val="24"/>
                <w:highlight w:val="none"/>
              </w:rPr>
            </w:pPr>
          </w:p>
        </w:tc>
        <w:tc>
          <w:tcPr>
            <w:tcW w:w="2011" w:type="dxa"/>
          </w:tcPr>
          <w:p w14:paraId="47C239F4">
            <w:pPr>
              <w:pStyle w:val="14"/>
              <w:spacing w:line="360" w:lineRule="auto"/>
              <w:ind w:firstLine="630"/>
              <w:rPr>
                <w:rFonts w:hint="eastAsia" w:ascii="宋体" w:hAnsi="宋体" w:eastAsia="宋体" w:cs="宋体"/>
                <w:color w:val="auto"/>
                <w:sz w:val="24"/>
                <w:szCs w:val="24"/>
                <w:highlight w:val="none"/>
              </w:rPr>
            </w:pPr>
          </w:p>
        </w:tc>
        <w:tc>
          <w:tcPr>
            <w:tcW w:w="1617" w:type="dxa"/>
          </w:tcPr>
          <w:p w14:paraId="03967A00">
            <w:pPr>
              <w:pStyle w:val="14"/>
              <w:spacing w:line="360" w:lineRule="auto"/>
              <w:ind w:firstLine="630"/>
              <w:rPr>
                <w:rFonts w:hint="eastAsia" w:ascii="宋体" w:hAnsi="宋体" w:eastAsia="宋体" w:cs="宋体"/>
                <w:color w:val="auto"/>
                <w:sz w:val="24"/>
                <w:szCs w:val="24"/>
                <w:highlight w:val="none"/>
              </w:rPr>
            </w:pPr>
          </w:p>
        </w:tc>
        <w:tc>
          <w:tcPr>
            <w:tcW w:w="3593" w:type="dxa"/>
          </w:tcPr>
          <w:p w14:paraId="2DF3269E">
            <w:pPr>
              <w:pStyle w:val="14"/>
              <w:spacing w:line="360" w:lineRule="auto"/>
              <w:ind w:firstLine="630"/>
              <w:rPr>
                <w:rFonts w:hint="eastAsia" w:ascii="宋体" w:hAnsi="宋体" w:eastAsia="宋体" w:cs="宋体"/>
                <w:color w:val="auto"/>
                <w:sz w:val="24"/>
                <w:szCs w:val="24"/>
                <w:highlight w:val="none"/>
              </w:rPr>
            </w:pPr>
          </w:p>
        </w:tc>
      </w:tr>
      <w:tr w14:paraId="73908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vAlign w:val="center"/>
          </w:tcPr>
          <w:p w14:paraId="05CD2AC4">
            <w:pPr>
              <w:pStyle w:val="14"/>
              <w:spacing w:line="360" w:lineRule="auto"/>
              <w:ind w:firstLine="630"/>
              <w:jc w:val="center"/>
              <w:rPr>
                <w:rFonts w:hint="eastAsia" w:ascii="宋体" w:hAnsi="宋体" w:eastAsia="宋体" w:cs="宋体"/>
                <w:color w:val="auto"/>
                <w:sz w:val="24"/>
                <w:szCs w:val="24"/>
                <w:highlight w:val="none"/>
              </w:rPr>
            </w:pPr>
          </w:p>
        </w:tc>
        <w:tc>
          <w:tcPr>
            <w:tcW w:w="2011" w:type="dxa"/>
          </w:tcPr>
          <w:p w14:paraId="23C6CB1C">
            <w:pPr>
              <w:pStyle w:val="14"/>
              <w:spacing w:line="360" w:lineRule="auto"/>
              <w:ind w:firstLine="630"/>
              <w:rPr>
                <w:rFonts w:hint="eastAsia" w:ascii="宋体" w:hAnsi="宋体" w:eastAsia="宋体" w:cs="宋体"/>
                <w:color w:val="auto"/>
                <w:sz w:val="24"/>
                <w:szCs w:val="24"/>
                <w:highlight w:val="none"/>
              </w:rPr>
            </w:pPr>
          </w:p>
        </w:tc>
        <w:tc>
          <w:tcPr>
            <w:tcW w:w="1617" w:type="dxa"/>
          </w:tcPr>
          <w:p w14:paraId="26937407">
            <w:pPr>
              <w:pStyle w:val="14"/>
              <w:spacing w:line="360" w:lineRule="auto"/>
              <w:ind w:firstLine="630"/>
              <w:rPr>
                <w:rFonts w:hint="eastAsia" w:ascii="宋体" w:hAnsi="宋体" w:eastAsia="宋体" w:cs="宋体"/>
                <w:color w:val="auto"/>
                <w:sz w:val="24"/>
                <w:szCs w:val="24"/>
                <w:highlight w:val="none"/>
              </w:rPr>
            </w:pPr>
          </w:p>
        </w:tc>
        <w:tc>
          <w:tcPr>
            <w:tcW w:w="3593" w:type="dxa"/>
          </w:tcPr>
          <w:p w14:paraId="4F7F21DD">
            <w:pPr>
              <w:pStyle w:val="14"/>
              <w:spacing w:line="360" w:lineRule="auto"/>
              <w:ind w:firstLine="630"/>
              <w:rPr>
                <w:rFonts w:hint="eastAsia" w:ascii="宋体" w:hAnsi="宋体" w:eastAsia="宋体" w:cs="宋体"/>
                <w:color w:val="auto"/>
                <w:sz w:val="24"/>
                <w:szCs w:val="24"/>
                <w:highlight w:val="none"/>
              </w:rPr>
            </w:pPr>
          </w:p>
        </w:tc>
      </w:tr>
      <w:tr w14:paraId="06B98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5904C043">
            <w:pPr>
              <w:pStyle w:val="14"/>
              <w:spacing w:line="360" w:lineRule="auto"/>
              <w:ind w:firstLine="630"/>
              <w:rPr>
                <w:rFonts w:hint="eastAsia" w:ascii="宋体" w:hAnsi="宋体" w:eastAsia="宋体" w:cs="宋体"/>
                <w:color w:val="auto"/>
                <w:sz w:val="24"/>
                <w:szCs w:val="24"/>
                <w:highlight w:val="none"/>
              </w:rPr>
            </w:pPr>
          </w:p>
        </w:tc>
        <w:tc>
          <w:tcPr>
            <w:tcW w:w="2011" w:type="dxa"/>
          </w:tcPr>
          <w:p w14:paraId="47A4F575">
            <w:pPr>
              <w:pStyle w:val="14"/>
              <w:spacing w:line="360" w:lineRule="auto"/>
              <w:ind w:firstLine="630"/>
              <w:rPr>
                <w:rFonts w:hint="eastAsia" w:ascii="宋体" w:hAnsi="宋体" w:eastAsia="宋体" w:cs="宋体"/>
                <w:color w:val="auto"/>
                <w:sz w:val="24"/>
                <w:szCs w:val="24"/>
                <w:highlight w:val="none"/>
              </w:rPr>
            </w:pPr>
          </w:p>
        </w:tc>
        <w:tc>
          <w:tcPr>
            <w:tcW w:w="1617" w:type="dxa"/>
          </w:tcPr>
          <w:p w14:paraId="7EA6E880">
            <w:pPr>
              <w:pStyle w:val="14"/>
              <w:spacing w:line="360" w:lineRule="auto"/>
              <w:ind w:firstLine="630"/>
              <w:rPr>
                <w:rFonts w:hint="eastAsia" w:ascii="宋体" w:hAnsi="宋体" w:eastAsia="宋体" w:cs="宋体"/>
                <w:color w:val="auto"/>
                <w:sz w:val="24"/>
                <w:szCs w:val="24"/>
                <w:highlight w:val="none"/>
              </w:rPr>
            </w:pPr>
          </w:p>
        </w:tc>
        <w:tc>
          <w:tcPr>
            <w:tcW w:w="3593" w:type="dxa"/>
          </w:tcPr>
          <w:p w14:paraId="2DA8EB12">
            <w:pPr>
              <w:pStyle w:val="14"/>
              <w:spacing w:line="360" w:lineRule="auto"/>
              <w:ind w:firstLine="630"/>
              <w:rPr>
                <w:rFonts w:hint="eastAsia" w:ascii="宋体" w:hAnsi="宋体" w:eastAsia="宋体" w:cs="宋体"/>
                <w:color w:val="auto"/>
                <w:sz w:val="24"/>
                <w:szCs w:val="24"/>
                <w:highlight w:val="none"/>
              </w:rPr>
            </w:pPr>
          </w:p>
        </w:tc>
      </w:tr>
      <w:tr w14:paraId="5022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2DEE9A77">
            <w:pPr>
              <w:pStyle w:val="14"/>
              <w:spacing w:line="360" w:lineRule="auto"/>
              <w:ind w:firstLine="630"/>
              <w:rPr>
                <w:rFonts w:hint="eastAsia" w:ascii="宋体" w:hAnsi="宋体" w:eastAsia="宋体" w:cs="宋体"/>
                <w:color w:val="auto"/>
                <w:sz w:val="24"/>
                <w:szCs w:val="24"/>
                <w:highlight w:val="none"/>
              </w:rPr>
            </w:pPr>
          </w:p>
        </w:tc>
        <w:tc>
          <w:tcPr>
            <w:tcW w:w="2011" w:type="dxa"/>
          </w:tcPr>
          <w:p w14:paraId="309B2DF3">
            <w:pPr>
              <w:pStyle w:val="14"/>
              <w:spacing w:line="360" w:lineRule="auto"/>
              <w:ind w:firstLine="630"/>
              <w:rPr>
                <w:rFonts w:hint="eastAsia" w:ascii="宋体" w:hAnsi="宋体" w:eastAsia="宋体" w:cs="宋体"/>
                <w:color w:val="auto"/>
                <w:sz w:val="24"/>
                <w:szCs w:val="24"/>
                <w:highlight w:val="none"/>
              </w:rPr>
            </w:pPr>
          </w:p>
        </w:tc>
        <w:tc>
          <w:tcPr>
            <w:tcW w:w="1617" w:type="dxa"/>
          </w:tcPr>
          <w:p w14:paraId="02E57BD4">
            <w:pPr>
              <w:pStyle w:val="14"/>
              <w:spacing w:line="360" w:lineRule="auto"/>
              <w:ind w:firstLine="630"/>
              <w:rPr>
                <w:rFonts w:hint="eastAsia" w:ascii="宋体" w:hAnsi="宋体" w:eastAsia="宋体" w:cs="宋体"/>
                <w:color w:val="auto"/>
                <w:sz w:val="24"/>
                <w:szCs w:val="24"/>
                <w:highlight w:val="none"/>
              </w:rPr>
            </w:pPr>
          </w:p>
        </w:tc>
        <w:tc>
          <w:tcPr>
            <w:tcW w:w="3593" w:type="dxa"/>
          </w:tcPr>
          <w:p w14:paraId="318AB2D2">
            <w:pPr>
              <w:pStyle w:val="14"/>
              <w:spacing w:line="360" w:lineRule="auto"/>
              <w:ind w:firstLine="630"/>
              <w:rPr>
                <w:rFonts w:hint="eastAsia" w:ascii="宋体" w:hAnsi="宋体" w:eastAsia="宋体" w:cs="宋体"/>
                <w:color w:val="auto"/>
                <w:sz w:val="24"/>
                <w:szCs w:val="24"/>
                <w:highlight w:val="none"/>
              </w:rPr>
            </w:pPr>
          </w:p>
        </w:tc>
      </w:tr>
      <w:tr w14:paraId="08B47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114C2FFC">
            <w:pPr>
              <w:pStyle w:val="14"/>
              <w:spacing w:line="360" w:lineRule="auto"/>
              <w:ind w:firstLine="630"/>
              <w:rPr>
                <w:rFonts w:hint="eastAsia" w:ascii="宋体" w:hAnsi="宋体" w:eastAsia="宋体" w:cs="宋体"/>
                <w:color w:val="auto"/>
                <w:sz w:val="24"/>
                <w:szCs w:val="24"/>
                <w:highlight w:val="none"/>
              </w:rPr>
            </w:pPr>
          </w:p>
        </w:tc>
        <w:tc>
          <w:tcPr>
            <w:tcW w:w="2011" w:type="dxa"/>
          </w:tcPr>
          <w:p w14:paraId="3538AF90">
            <w:pPr>
              <w:pStyle w:val="14"/>
              <w:spacing w:line="360" w:lineRule="auto"/>
              <w:ind w:firstLine="630"/>
              <w:rPr>
                <w:rFonts w:hint="eastAsia" w:ascii="宋体" w:hAnsi="宋体" w:eastAsia="宋体" w:cs="宋体"/>
                <w:color w:val="auto"/>
                <w:sz w:val="24"/>
                <w:szCs w:val="24"/>
                <w:highlight w:val="none"/>
              </w:rPr>
            </w:pPr>
          </w:p>
        </w:tc>
        <w:tc>
          <w:tcPr>
            <w:tcW w:w="1617" w:type="dxa"/>
          </w:tcPr>
          <w:p w14:paraId="15676D91">
            <w:pPr>
              <w:pStyle w:val="14"/>
              <w:spacing w:line="360" w:lineRule="auto"/>
              <w:ind w:firstLine="630"/>
              <w:rPr>
                <w:rFonts w:hint="eastAsia" w:ascii="宋体" w:hAnsi="宋体" w:eastAsia="宋体" w:cs="宋体"/>
                <w:color w:val="auto"/>
                <w:sz w:val="24"/>
                <w:szCs w:val="24"/>
                <w:highlight w:val="none"/>
              </w:rPr>
            </w:pPr>
          </w:p>
        </w:tc>
        <w:tc>
          <w:tcPr>
            <w:tcW w:w="3593" w:type="dxa"/>
          </w:tcPr>
          <w:p w14:paraId="2BFA1070">
            <w:pPr>
              <w:pStyle w:val="14"/>
              <w:spacing w:line="360" w:lineRule="auto"/>
              <w:ind w:firstLine="630"/>
              <w:rPr>
                <w:rFonts w:hint="eastAsia" w:ascii="宋体" w:hAnsi="宋体" w:eastAsia="宋体" w:cs="宋体"/>
                <w:color w:val="auto"/>
                <w:sz w:val="24"/>
                <w:szCs w:val="24"/>
                <w:highlight w:val="none"/>
              </w:rPr>
            </w:pPr>
          </w:p>
        </w:tc>
      </w:tr>
      <w:tr w14:paraId="46DB5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5" w:type="dxa"/>
          </w:tcPr>
          <w:p w14:paraId="0433A7A6">
            <w:pPr>
              <w:pStyle w:val="14"/>
              <w:spacing w:line="360" w:lineRule="auto"/>
              <w:ind w:firstLine="630"/>
              <w:rPr>
                <w:rFonts w:hint="eastAsia" w:ascii="宋体" w:hAnsi="宋体" w:eastAsia="宋体" w:cs="宋体"/>
                <w:color w:val="auto"/>
                <w:sz w:val="24"/>
                <w:szCs w:val="24"/>
                <w:highlight w:val="none"/>
              </w:rPr>
            </w:pPr>
          </w:p>
        </w:tc>
        <w:tc>
          <w:tcPr>
            <w:tcW w:w="2011" w:type="dxa"/>
          </w:tcPr>
          <w:p w14:paraId="5723C270">
            <w:pPr>
              <w:pStyle w:val="14"/>
              <w:spacing w:line="360" w:lineRule="auto"/>
              <w:ind w:firstLine="630"/>
              <w:rPr>
                <w:rFonts w:hint="eastAsia" w:ascii="宋体" w:hAnsi="宋体" w:eastAsia="宋体" w:cs="宋体"/>
                <w:color w:val="auto"/>
                <w:sz w:val="24"/>
                <w:szCs w:val="24"/>
                <w:highlight w:val="none"/>
              </w:rPr>
            </w:pPr>
          </w:p>
        </w:tc>
        <w:tc>
          <w:tcPr>
            <w:tcW w:w="1617" w:type="dxa"/>
          </w:tcPr>
          <w:p w14:paraId="3A73E09D">
            <w:pPr>
              <w:pStyle w:val="14"/>
              <w:spacing w:line="360" w:lineRule="auto"/>
              <w:ind w:firstLine="630"/>
              <w:rPr>
                <w:rFonts w:hint="eastAsia" w:ascii="宋体" w:hAnsi="宋体" w:eastAsia="宋体" w:cs="宋体"/>
                <w:color w:val="auto"/>
                <w:sz w:val="24"/>
                <w:szCs w:val="24"/>
                <w:highlight w:val="none"/>
              </w:rPr>
            </w:pPr>
          </w:p>
        </w:tc>
        <w:tc>
          <w:tcPr>
            <w:tcW w:w="3593" w:type="dxa"/>
          </w:tcPr>
          <w:p w14:paraId="4F7D72D2">
            <w:pPr>
              <w:pStyle w:val="14"/>
              <w:spacing w:line="360" w:lineRule="auto"/>
              <w:ind w:firstLine="630"/>
              <w:rPr>
                <w:rFonts w:hint="eastAsia" w:ascii="宋体" w:hAnsi="宋体" w:eastAsia="宋体" w:cs="宋体"/>
                <w:color w:val="auto"/>
                <w:sz w:val="24"/>
                <w:szCs w:val="24"/>
                <w:highlight w:val="none"/>
              </w:rPr>
            </w:pPr>
          </w:p>
        </w:tc>
      </w:tr>
    </w:tbl>
    <w:p w14:paraId="5D91A9FE">
      <w:pPr>
        <w:pStyle w:val="3"/>
        <w:ind w:left="1"/>
        <w:rPr>
          <w:rFonts w:hint="eastAsia" w:ascii="宋体" w:hAnsi="宋体" w:eastAsia="宋体" w:cs="宋体"/>
          <w:b w:val="0"/>
          <w:bCs/>
          <w:color w:val="auto"/>
          <w:sz w:val="22"/>
          <w:szCs w:val="22"/>
          <w:highlight w:val="none"/>
        </w:rPr>
      </w:pPr>
      <w:r>
        <w:rPr>
          <w:rFonts w:hint="eastAsia" w:ascii="宋体" w:hAnsi="宋体" w:cs="宋体"/>
          <w:b w:val="0"/>
          <w:bCs/>
          <w:color w:val="auto"/>
          <w:sz w:val="22"/>
          <w:szCs w:val="22"/>
          <w:highlight w:val="none"/>
          <w:lang w:val="en-US" w:eastAsia="zh-CN"/>
        </w:rPr>
        <w:t>说明</w:t>
      </w:r>
      <w:r>
        <w:rPr>
          <w:rFonts w:hint="eastAsia" w:ascii="宋体" w:hAnsi="宋体" w:eastAsia="宋体" w:cs="宋体"/>
          <w:b w:val="0"/>
          <w:bCs/>
          <w:color w:val="auto"/>
          <w:sz w:val="22"/>
          <w:szCs w:val="22"/>
          <w:highlight w:val="none"/>
        </w:rPr>
        <w:t>：后附</w:t>
      </w:r>
      <w:r>
        <w:rPr>
          <w:rFonts w:hint="eastAsia" w:ascii="宋体" w:hAnsi="宋体" w:eastAsia="宋体" w:cs="宋体"/>
          <w:b w:val="0"/>
          <w:bCs/>
          <w:color w:val="auto"/>
          <w:kern w:val="0"/>
          <w:sz w:val="24"/>
          <w:szCs w:val="24"/>
          <w:highlight w:val="none"/>
          <w:lang w:val="en-US" w:eastAsia="zh-CN"/>
        </w:rPr>
        <w:t>有效期内的劳动合同或社保缴纳证明</w:t>
      </w:r>
      <w:r>
        <w:rPr>
          <w:rFonts w:hint="eastAsia" w:ascii="宋体" w:hAnsi="宋体" w:cs="宋体"/>
          <w:b w:val="0"/>
          <w:bCs/>
          <w:color w:val="auto"/>
          <w:kern w:val="0"/>
          <w:sz w:val="24"/>
          <w:szCs w:val="24"/>
          <w:highlight w:val="none"/>
          <w:lang w:val="en-US" w:eastAsia="zh-CN"/>
        </w:rPr>
        <w:t>、</w:t>
      </w:r>
      <w:r>
        <w:rPr>
          <w:rFonts w:hint="eastAsia" w:ascii="宋体" w:hAnsi="宋体" w:eastAsia="宋体" w:cs="宋体"/>
          <w:b w:val="0"/>
          <w:bCs/>
          <w:color w:val="auto"/>
          <w:sz w:val="22"/>
          <w:szCs w:val="22"/>
          <w:highlight w:val="none"/>
        </w:rPr>
        <w:t>身份证、健康证、驾驶证（如有）等复印件。</w:t>
      </w:r>
    </w:p>
    <w:p w14:paraId="6DBE38A3">
      <w:pPr>
        <w:spacing w:line="360" w:lineRule="auto"/>
        <w:rPr>
          <w:rFonts w:hint="eastAsia" w:ascii="宋体" w:hAnsi="宋体" w:eastAsia="宋体" w:cs="宋体"/>
          <w:color w:val="auto"/>
          <w:highlight w:val="none"/>
        </w:rPr>
      </w:pPr>
    </w:p>
    <w:p w14:paraId="2BF81A59">
      <w:pPr>
        <w:pStyle w:val="11"/>
        <w:rPr>
          <w:rFonts w:hint="eastAsia" w:ascii="宋体" w:hAnsi="宋体" w:eastAsia="宋体" w:cs="宋体"/>
          <w:color w:val="auto"/>
          <w:highlight w:val="none"/>
        </w:rPr>
      </w:pPr>
    </w:p>
    <w:p w14:paraId="3DCEDE12">
      <w:pPr>
        <w:snapToGrid w:val="0"/>
        <w:spacing w:line="480" w:lineRule="auto"/>
        <w:ind w:right="105" w:rightChars="50"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（盖章）：    </w:t>
      </w:r>
    </w:p>
    <w:p w14:paraId="7B6B5E1B">
      <w:pPr>
        <w:snapToGrid w:val="0"/>
        <w:spacing w:line="480" w:lineRule="auto"/>
        <w:ind w:right="105" w:rightChars="50"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default" w:ascii="Times New Roman" w:hAnsi="Times New Roman" w:cs="Times New Roman"/>
          <w:color w:val="auto"/>
          <w:sz w:val="24"/>
          <w:highlight w:val="none"/>
        </w:rPr>
        <w:t>或</w:t>
      </w:r>
      <w:r>
        <w:rPr>
          <w:rFonts w:hint="default" w:ascii="Times New Roman" w:hAnsi="Times New Roman" w:cs="Times New Roman"/>
          <w:color w:val="auto"/>
          <w:sz w:val="24"/>
          <w:highlight w:val="none"/>
          <w:lang w:eastAsia="zh-CN"/>
        </w:rPr>
        <w:t>授权代表</w:t>
      </w:r>
      <w:r>
        <w:rPr>
          <w:rFonts w:hint="eastAsia" w:ascii="宋体" w:hAnsi="宋体" w:eastAsia="宋体" w:cs="宋体"/>
          <w:color w:val="auto"/>
          <w:sz w:val="24"/>
          <w:highlight w:val="none"/>
        </w:rPr>
        <w:t>（签字或盖章）：</w:t>
      </w:r>
    </w:p>
    <w:p w14:paraId="60325020">
      <w:pPr>
        <w:pStyle w:val="11"/>
        <w:rPr>
          <w:rFonts w:hint="default" w:eastAsia="黑体"/>
          <w:highlight w:val="none"/>
          <w:lang w:val="en-US" w:eastAsia="zh-CN"/>
        </w:rPr>
      </w:pPr>
      <w:r>
        <w:rPr>
          <w:rFonts w:hint="eastAsia"/>
          <w:highlight w:val="none"/>
          <w:lang w:val="en-US" w:eastAsia="zh-CN"/>
        </w:rPr>
        <w:t xml:space="preserve">                                    </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5A801411">
      <w:pPr>
        <w:pStyle w:val="11"/>
        <w:rPr>
          <w:rFonts w:hint="eastAsia" w:ascii="宋体" w:hAnsi="宋体" w:eastAsia="宋体" w:cs="宋体"/>
          <w:color w:val="auto"/>
          <w:highlight w:val="none"/>
        </w:rPr>
      </w:pPr>
    </w:p>
    <w:p w14:paraId="09E408A8">
      <w:pPr>
        <w:pStyle w:val="11"/>
        <w:rPr>
          <w:rFonts w:hint="eastAsia" w:ascii="宋体" w:hAnsi="宋体" w:eastAsia="宋体" w:cs="宋体"/>
          <w:color w:val="auto"/>
          <w:highlight w:val="none"/>
        </w:rPr>
      </w:pPr>
    </w:p>
    <w:p w14:paraId="40B9CB4C">
      <w:pPr>
        <w:pStyle w:val="11"/>
        <w:ind w:left="0" w:leftChars="0" w:firstLine="0" w:firstLineChars="0"/>
        <w:rPr>
          <w:rFonts w:hint="eastAsia" w:ascii="宋体" w:hAnsi="宋体" w:eastAsia="宋体" w:cs="宋体"/>
          <w:color w:val="auto"/>
          <w:highlight w:val="none"/>
        </w:rPr>
      </w:pPr>
    </w:p>
    <w:p w14:paraId="2A04E003">
      <w:pPr>
        <w:numPr>
          <w:ilvl w:val="0"/>
          <w:numId w:val="6"/>
        </w:numPr>
        <w:tabs>
          <w:tab w:val="center" w:pos="4629"/>
        </w:tabs>
        <w:spacing w:before="240" w:after="48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拟投入</w:t>
      </w:r>
      <w:r>
        <w:rPr>
          <w:rFonts w:hint="eastAsia" w:ascii="宋体" w:hAnsi="宋体" w:cs="宋体"/>
          <w:color w:val="auto"/>
          <w:sz w:val="24"/>
          <w:szCs w:val="24"/>
          <w:highlight w:val="none"/>
          <w:lang w:val="en-US" w:eastAsia="zh-CN"/>
        </w:rPr>
        <w:t>车辆信息</w:t>
      </w:r>
      <w:r>
        <w:rPr>
          <w:rFonts w:hint="eastAsia" w:ascii="宋体" w:hAnsi="宋体" w:eastAsia="宋体" w:cs="宋体"/>
          <w:color w:val="auto"/>
          <w:sz w:val="24"/>
          <w:szCs w:val="24"/>
          <w:highlight w:val="none"/>
        </w:rPr>
        <w:t>一览表</w:t>
      </w:r>
    </w:p>
    <w:tbl>
      <w:tblPr>
        <w:tblStyle w:val="25"/>
        <w:tblW w:w="10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720"/>
        <w:gridCol w:w="1420"/>
        <w:gridCol w:w="1313"/>
        <w:gridCol w:w="1680"/>
        <w:gridCol w:w="2380"/>
        <w:gridCol w:w="1388"/>
        <w:gridCol w:w="5"/>
      </w:tblGrid>
      <w:tr w14:paraId="3E742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812" w:type="dxa"/>
            <w:vAlign w:val="center"/>
          </w:tcPr>
          <w:p w14:paraId="774104A0">
            <w:pPr>
              <w:pStyle w:val="14"/>
              <w:spacing w:line="360" w:lineRule="auto"/>
              <w:jc w:val="center"/>
              <w:rPr>
                <w:rFonts w:hint="default" w:hAnsi="宋体" w:cs="宋体"/>
                <w:b/>
                <w:color w:val="auto"/>
                <w:sz w:val="24"/>
                <w:szCs w:val="24"/>
                <w:highlight w:val="none"/>
                <w:lang w:val="en-US" w:eastAsia="zh-CN"/>
              </w:rPr>
            </w:pPr>
            <w:r>
              <w:rPr>
                <w:rFonts w:hint="eastAsia" w:hAnsi="宋体" w:cs="宋体"/>
                <w:b/>
                <w:color w:val="auto"/>
                <w:sz w:val="24"/>
                <w:szCs w:val="24"/>
                <w:highlight w:val="none"/>
                <w:lang w:val="en-US" w:eastAsia="zh-CN"/>
              </w:rPr>
              <w:t>序号</w:t>
            </w:r>
          </w:p>
        </w:tc>
        <w:tc>
          <w:tcPr>
            <w:tcW w:w="1720" w:type="dxa"/>
            <w:vAlign w:val="center"/>
          </w:tcPr>
          <w:p w14:paraId="5279BDAD">
            <w:pPr>
              <w:pStyle w:val="14"/>
              <w:spacing w:line="360" w:lineRule="auto"/>
              <w:jc w:val="center"/>
              <w:rPr>
                <w:rFonts w:hint="default" w:ascii="宋体" w:hAnsi="宋体" w:eastAsia="宋体" w:cs="宋体"/>
                <w:b/>
                <w:color w:val="auto"/>
                <w:sz w:val="24"/>
                <w:szCs w:val="24"/>
                <w:highlight w:val="none"/>
                <w:lang w:val="en-US" w:eastAsia="zh-CN"/>
              </w:rPr>
            </w:pPr>
            <w:r>
              <w:rPr>
                <w:rFonts w:hint="eastAsia" w:hAnsi="宋体" w:cs="宋体"/>
                <w:b/>
                <w:color w:val="auto"/>
                <w:sz w:val="24"/>
                <w:szCs w:val="24"/>
                <w:highlight w:val="none"/>
                <w:lang w:val="en-US" w:eastAsia="zh-CN"/>
              </w:rPr>
              <w:t>车牌号码</w:t>
            </w:r>
          </w:p>
        </w:tc>
        <w:tc>
          <w:tcPr>
            <w:tcW w:w="1420" w:type="dxa"/>
            <w:vAlign w:val="center"/>
          </w:tcPr>
          <w:p w14:paraId="25208A9F">
            <w:pPr>
              <w:pStyle w:val="14"/>
              <w:spacing w:line="360" w:lineRule="auto"/>
              <w:jc w:val="center"/>
              <w:rPr>
                <w:rFonts w:hint="default" w:ascii="宋体" w:hAnsi="宋体" w:eastAsia="宋体" w:cs="宋体"/>
                <w:b/>
                <w:color w:val="auto"/>
                <w:sz w:val="24"/>
                <w:szCs w:val="24"/>
                <w:highlight w:val="none"/>
                <w:lang w:val="en-US" w:eastAsia="zh-CN"/>
              </w:rPr>
            </w:pPr>
            <w:r>
              <w:rPr>
                <w:rFonts w:hint="eastAsia" w:hAnsi="宋体" w:cs="宋体"/>
                <w:b/>
                <w:color w:val="auto"/>
                <w:sz w:val="24"/>
                <w:szCs w:val="24"/>
                <w:highlight w:val="none"/>
                <w:lang w:val="en-US" w:eastAsia="zh-CN"/>
              </w:rPr>
              <w:t>车辆类型</w:t>
            </w:r>
          </w:p>
        </w:tc>
        <w:tc>
          <w:tcPr>
            <w:tcW w:w="1313" w:type="dxa"/>
            <w:vAlign w:val="center"/>
          </w:tcPr>
          <w:p w14:paraId="43178151">
            <w:pPr>
              <w:pStyle w:val="14"/>
              <w:spacing w:line="360" w:lineRule="auto"/>
              <w:jc w:val="center"/>
              <w:rPr>
                <w:rFonts w:hint="default" w:ascii="宋体" w:hAnsi="宋体" w:eastAsia="宋体" w:cs="宋体"/>
                <w:b/>
                <w:color w:val="auto"/>
                <w:sz w:val="24"/>
                <w:szCs w:val="24"/>
                <w:highlight w:val="none"/>
                <w:lang w:val="en-US" w:eastAsia="zh-CN"/>
              </w:rPr>
            </w:pPr>
            <w:r>
              <w:rPr>
                <w:rFonts w:hint="eastAsia" w:hAnsi="宋体" w:cs="宋体"/>
                <w:b/>
                <w:color w:val="auto"/>
                <w:sz w:val="24"/>
                <w:szCs w:val="24"/>
                <w:highlight w:val="none"/>
                <w:lang w:val="en-US" w:eastAsia="zh-CN"/>
              </w:rPr>
              <w:t>自有/租赁</w:t>
            </w:r>
          </w:p>
        </w:tc>
        <w:tc>
          <w:tcPr>
            <w:tcW w:w="1680" w:type="dxa"/>
            <w:vAlign w:val="center"/>
          </w:tcPr>
          <w:p w14:paraId="1AC1E306">
            <w:pPr>
              <w:pStyle w:val="14"/>
              <w:spacing w:line="360" w:lineRule="auto"/>
              <w:jc w:val="center"/>
              <w:rPr>
                <w:rFonts w:hint="default" w:hAnsi="宋体" w:cs="宋体"/>
                <w:b/>
                <w:color w:val="auto"/>
                <w:sz w:val="24"/>
                <w:szCs w:val="24"/>
                <w:highlight w:val="none"/>
                <w:lang w:val="en-US" w:eastAsia="zh-CN"/>
              </w:rPr>
            </w:pPr>
            <w:r>
              <w:rPr>
                <w:rFonts w:hint="eastAsia" w:hAnsi="宋体" w:cs="宋体"/>
                <w:b/>
                <w:color w:val="auto"/>
                <w:sz w:val="24"/>
                <w:szCs w:val="24"/>
                <w:highlight w:val="none"/>
                <w:lang w:val="en-US" w:eastAsia="zh-CN"/>
              </w:rPr>
              <w:t>注册登记日期</w:t>
            </w:r>
          </w:p>
        </w:tc>
        <w:tc>
          <w:tcPr>
            <w:tcW w:w="2380" w:type="dxa"/>
            <w:vAlign w:val="center"/>
          </w:tcPr>
          <w:p w14:paraId="4189DD11">
            <w:pPr>
              <w:pStyle w:val="14"/>
              <w:spacing w:line="360" w:lineRule="auto"/>
              <w:jc w:val="center"/>
              <w:rPr>
                <w:rFonts w:hint="default" w:hAnsi="宋体" w:cs="宋体"/>
                <w:b/>
                <w:color w:val="auto"/>
                <w:sz w:val="24"/>
                <w:szCs w:val="24"/>
                <w:highlight w:val="none"/>
                <w:lang w:val="en-US" w:eastAsia="zh-CN"/>
              </w:rPr>
            </w:pPr>
            <w:r>
              <w:rPr>
                <w:rFonts w:hint="eastAsia" w:hAnsi="宋体" w:cs="宋体"/>
                <w:b/>
                <w:color w:val="auto"/>
                <w:sz w:val="24"/>
                <w:szCs w:val="24"/>
                <w:highlight w:val="none"/>
                <w:lang w:val="en-US" w:eastAsia="zh-CN"/>
              </w:rPr>
              <w:t>保险情况（注明保险种类、保险时间）</w:t>
            </w:r>
          </w:p>
        </w:tc>
        <w:tc>
          <w:tcPr>
            <w:tcW w:w="1393" w:type="dxa"/>
            <w:gridSpan w:val="2"/>
            <w:vAlign w:val="center"/>
          </w:tcPr>
          <w:p w14:paraId="45216FC6">
            <w:pPr>
              <w:pStyle w:val="14"/>
              <w:spacing w:line="360" w:lineRule="auto"/>
              <w:jc w:val="center"/>
              <w:rPr>
                <w:rFonts w:hint="default" w:hAnsi="宋体" w:cs="宋体"/>
                <w:b/>
                <w:color w:val="auto"/>
                <w:sz w:val="24"/>
                <w:szCs w:val="24"/>
                <w:highlight w:val="none"/>
                <w:lang w:val="en-US" w:eastAsia="zh-CN"/>
              </w:rPr>
            </w:pPr>
            <w:r>
              <w:rPr>
                <w:rFonts w:hint="eastAsia" w:hAnsi="宋体" w:cs="宋体"/>
                <w:b/>
                <w:color w:val="auto"/>
                <w:sz w:val="24"/>
                <w:szCs w:val="24"/>
                <w:highlight w:val="none"/>
                <w:lang w:val="en-US" w:eastAsia="zh-CN"/>
              </w:rPr>
              <w:t>年检时间</w:t>
            </w:r>
          </w:p>
        </w:tc>
      </w:tr>
      <w:tr w14:paraId="6E75A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6ED0656B">
            <w:pPr>
              <w:pStyle w:val="14"/>
              <w:spacing w:line="360" w:lineRule="auto"/>
              <w:jc w:val="center"/>
              <w:rPr>
                <w:rFonts w:hint="eastAsia" w:ascii="宋体" w:hAnsi="宋体" w:eastAsia="宋体" w:cs="宋体"/>
                <w:color w:val="auto"/>
                <w:sz w:val="24"/>
                <w:szCs w:val="24"/>
                <w:highlight w:val="none"/>
              </w:rPr>
            </w:pPr>
          </w:p>
        </w:tc>
        <w:tc>
          <w:tcPr>
            <w:tcW w:w="1720" w:type="dxa"/>
            <w:vAlign w:val="center"/>
          </w:tcPr>
          <w:p w14:paraId="7089817A">
            <w:pPr>
              <w:pStyle w:val="14"/>
              <w:spacing w:line="360" w:lineRule="auto"/>
              <w:jc w:val="center"/>
              <w:rPr>
                <w:rFonts w:hint="eastAsia" w:ascii="宋体" w:hAnsi="宋体" w:eastAsia="宋体" w:cs="宋体"/>
                <w:color w:val="auto"/>
                <w:sz w:val="24"/>
                <w:szCs w:val="24"/>
                <w:highlight w:val="none"/>
              </w:rPr>
            </w:pPr>
          </w:p>
        </w:tc>
        <w:tc>
          <w:tcPr>
            <w:tcW w:w="1420" w:type="dxa"/>
          </w:tcPr>
          <w:p w14:paraId="172CEA55">
            <w:pPr>
              <w:pStyle w:val="14"/>
              <w:spacing w:line="360" w:lineRule="auto"/>
              <w:ind w:firstLine="630"/>
              <w:rPr>
                <w:rFonts w:hint="eastAsia" w:ascii="宋体" w:hAnsi="宋体" w:eastAsia="宋体" w:cs="宋体"/>
                <w:color w:val="auto"/>
                <w:sz w:val="24"/>
                <w:szCs w:val="24"/>
                <w:highlight w:val="none"/>
              </w:rPr>
            </w:pPr>
          </w:p>
        </w:tc>
        <w:tc>
          <w:tcPr>
            <w:tcW w:w="1313" w:type="dxa"/>
          </w:tcPr>
          <w:p w14:paraId="68226ACA">
            <w:pPr>
              <w:pStyle w:val="14"/>
              <w:spacing w:line="360" w:lineRule="auto"/>
              <w:ind w:firstLine="630"/>
              <w:rPr>
                <w:rFonts w:hint="eastAsia" w:ascii="宋体" w:hAnsi="宋体" w:eastAsia="宋体" w:cs="宋体"/>
                <w:color w:val="auto"/>
                <w:sz w:val="24"/>
                <w:szCs w:val="24"/>
                <w:highlight w:val="none"/>
              </w:rPr>
            </w:pPr>
          </w:p>
        </w:tc>
        <w:tc>
          <w:tcPr>
            <w:tcW w:w="1680" w:type="dxa"/>
          </w:tcPr>
          <w:p w14:paraId="6FC9A17B">
            <w:pPr>
              <w:pStyle w:val="14"/>
              <w:spacing w:line="360" w:lineRule="auto"/>
              <w:ind w:firstLine="630"/>
              <w:rPr>
                <w:rFonts w:hint="eastAsia" w:ascii="宋体" w:hAnsi="宋体" w:eastAsia="宋体" w:cs="宋体"/>
                <w:color w:val="auto"/>
                <w:sz w:val="24"/>
                <w:szCs w:val="24"/>
                <w:highlight w:val="none"/>
              </w:rPr>
            </w:pPr>
          </w:p>
        </w:tc>
        <w:tc>
          <w:tcPr>
            <w:tcW w:w="2380" w:type="dxa"/>
          </w:tcPr>
          <w:p w14:paraId="0C297C17">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6B8402AB">
            <w:pPr>
              <w:pStyle w:val="14"/>
              <w:spacing w:line="360" w:lineRule="auto"/>
              <w:ind w:firstLine="630"/>
              <w:rPr>
                <w:rFonts w:hint="eastAsia" w:ascii="宋体" w:hAnsi="宋体" w:eastAsia="宋体" w:cs="宋体"/>
                <w:color w:val="auto"/>
                <w:sz w:val="24"/>
                <w:szCs w:val="24"/>
                <w:highlight w:val="none"/>
              </w:rPr>
            </w:pPr>
          </w:p>
        </w:tc>
      </w:tr>
      <w:tr w14:paraId="0A3B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240A6979">
            <w:pPr>
              <w:pStyle w:val="14"/>
              <w:spacing w:line="360" w:lineRule="auto"/>
              <w:jc w:val="center"/>
              <w:rPr>
                <w:rFonts w:hint="eastAsia" w:ascii="宋体" w:hAnsi="宋体" w:eastAsia="宋体" w:cs="宋体"/>
                <w:color w:val="auto"/>
                <w:sz w:val="24"/>
                <w:szCs w:val="24"/>
                <w:highlight w:val="none"/>
              </w:rPr>
            </w:pPr>
          </w:p>
        </w:tc>
        <w:tc>
          <w:tcPr>
            <w:tcW w:w="1720" w:type="dxa"/>
            <w:vAlign w:val="center"/>
          </w:tcPr>
          <w:p w14:paraId="231A44FC">
            <w:pPr>
              <w:pStyle w:val="14"/>
              <w:spacing w:line="360" w:lineRule="auto"/>
              <w:jc w:val="center"/>
              <w:rPr>
                <w:rFonts w:hint="eastAsia" w:ascii="宋体" w:hAnsi="宋体" w:eastAsia="宋体" w:cs="宋体"/>
                <w:color w:val="auto"/>
                <w:sz w:val="24"/>
                <w:szCs w:val="24"/>
                <w:highlight w:val="none"/>
              </w:rPr>
            </w:pPr>
          </w:p>
        </w:tc>
        <w:tc>
          <w:tcPr>
            <w:tcW w:w="1420" w:type="dxa"/>
          </w:tcPr>
          <w:p w14:paraId="3184B6A4">
            <w:pPr>
              <w:pStyle w:val="14"/>
              <w:spacing w:line="360" w:lineRule="auto"/>
              <w:ind w:firstLine="630"/>
              <w:rPr>
                <w:rFonts w:hint="eastAsia" w:ascii="宋体" w:hAnsi="宋体" w:eastAsia="宋体" w:cs="宋体"/>
                <w:color w:val="auto"/>
                <w:sz w:val="24"/>
                <w:szCs w:val="24"/>
                <w:highlight w:val="none"/>
              </w:rPr>
            </w:pPr>
          </w:p>
        </w:tc>
        <w:tc>
          <w:tcPr>
            <w:tcW w:w="1313" w:type="dxa"/>
          </w:tcPr>
          <w:p w14:paraId="43F688BA">
            <w:pPr>
              <w:pStyle w:val="14"/>
              <w:spacing w:line="360" w:lineRule="auto"/>
              <w:ind w:firstLine="630"/>
              <w:rPr>
                <w:rFonts w:hint="eastAsia" w:ascii="宋体" w:hAnsi="宋体" w:eastAsia="宋体" w:cs="宋体"/>
                <w:color w:val="auto"/>
                <w:sz w:val="24"/>
                <w:szCs w:val="24"/>
                <w:highlight w:val="none"/>
              </w:rPr>
            </w:pPr>
          </w:p>
        </w:tc>
        <w:tc>
          <w:tcPr>
            <w:tcW w:w="1680" w:type="dxa"/>
          </w:tcPr>
          <w:p w14:paraId="6A752FB4">
            <w:pPr>
              <w:pStyle w:val="14"/>
              <w:spacing w:line="360" w:lineRule="auto"/>
              <w:ind w:firstLine="630"/>
              <w:rPr>
                <w:rFonts w:hint="eastAsia" w:ascii="宋体" w:hAnsi="宋体" w:eastAsia="宋体" w:cs="宋体"/>
                <w:color w:val="auto"/>
                <w:sz w:val="24"/>
                <w:szCs w:val="24"/>
                <w:highlight w:val="none"/>
              </w:rPr>
            </w:pPr>
          </w:p>
        </w:tc>
        <w:tc>
          <w:tcPr>
            <w:tcW w:w="2380" w:type="dxa"/>
          </w:tcPr>
          <w:p w14:paraId="04B09266">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4AE4AE32">
            <w:pPr>
              <w:pStyle w:val="14"/>
              <w:spacing w:line="360" w:lineRule="auto"/>
              <w:ind w:firstLine="630"/>
              <w:rPr>
                <w:rFonts w:hint="eastAsia" w:ascii="宋体" w:hAnsi="宋体" w:eastAsia="宋体" w:cs="宋体"/>
                <w:color w:val="auto"/>
                <w:sz w:val="24"/>
                <w:szCs w:val="24"/>
                <w:highlight w:val="none"/>
              </w:rPr>
            </w:pPr>
          </w:p>
        </w:tc>
      </w:tr>
      <w:tr w14:paraId="7E32D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2D7A5268">
            <w:pPr>
              <w:pStyle w:val="14"/>
              <w:spacing w:line="360" w:lineRule="auto"/>
              <w:jc w:val="center"/>
              <w:rPr>
                <w:rFonts w:hint="eastAsia" w:ascii="宋体" w:hAnsi="宋体" w:eastAsia="宋体" w:cs="宋体"/>
                <w:color w:val="auto"/>
                <w:sz w:val="24"/>
                <w:szCs w:val="24"/>
                <w:highlight w:val="none"/>
              </w:rPr>
            </w:pPr>
          </w:p>
        </w:tc>
        <w:tc>
          <w:tcPr>
            <w:tcW w:w="1720" w:type="dxa"/>
            <w:vAlign w:val="center"/>
          </w:tcPr>
          <w:p w14:paraId="7C394038">
            <w:pPr>
              <w:pStyle w:val="14"/>
              <w:spacing w:line="360" w:lineRule="auto"/>
              <w:jc w:val="center"/>
              <w:rPr>
                <w:rFonts w:hint="eastAsia" w:ascii="宋体" w:hAnsi="宋体" w:eastAsia="宋体" w:cs="宋体"/>
                <w:color w:val="auto"/>
                <w:sz w:val="24"/>
                <w:szCs w:val="24"/>
                <w:highlight w:val="none"/>
              </w:rPr>
            </w:pPr>
          </w:p>
        </w:tc>
        <w:tc>
          <w:tcPr>
            <w:tcW w:w="1420" w:type="dxa"/>
          </w:tcPr>
          <w:p w14:paraId="617790E7">
            <w:pPr>
              <w:pStyle w:val="14"/>
              <w:spacing w:line="360" w:lineRule="auto"/>
              <w:ind w:firstLine="630"/>
              <w:rPr>
                <w:rFonts w:hint="eastAsia" w:ascii="宋体" w:hAnsi="宋体" w:eastAsia="宋体" w:cs="宋体"/>
                <w:color w:val="auto"/>
                <w:sz w:val="24"/>
                <w:szCs w:val="24"/>
                <w:highlight w:val="none"/>
              </w:rPr>
            </w:pPr>
          </w:p>
        </w:tc>
        <w:tc>
          <w:tcPr>
            <w:tcW w:w="1313" w:type="dxa"/>
          </w:tcPr>
          <w:p w14:paraId="51F737B6">
            <w:pPr>
              <w:pStyle w:val="14"/>
              <w:spacing w:line="360" w:lineRule="auto"/>
              <w:ind w:firstLine="630"/>
              <w:rPr>
                <w:rFonts w:hint="eastAsia" w:ascii="宋体" w:hAnsi="宋体" w:eastAsia="宋体" w:cs="宋体"/>
                <w:color w:val="auto"/>
                <w:sz w:val="24"/>
                <w:szCs w:val="24"/>
                <w:highlight w:val="none"/>
              </w:rPr>
            </w:pPr>
          </w:p>
        </w:tc>
        <w:tc>
          <w:tcPr>
            <w:tcW w:w="1680" w:type="dxa"/>
          </w:tcPr>
          <w:p w14:paraId="77649EA8">
            <w:pPr>
              <w:pStyle w:val="14"/>
              <w:spacing w:line="360" w:lineRule="auto"/>
              <w:ind w:firstLine="630"/>
              <w:rPr>
                <w:rFonts w:hint="eastAsia" w:ascii="宋体" w:hAnsi="宋体" w:eastAsia="宋体" w:cs="宋体"/>
                <w:color w:val="auto"/>
                <w:sz w:val="24"/>
                <w:szCs w:val="24"/>
                <w:highlight w:val="none"/>
              </w:rPr>
            </w:pPr>
          </w:p>
        </w:tc>
        <w:tc>
          <w:tcPr>
            <w:tcW w:w="2380" w:type="dxa"/>
          </w:tcPr>
          <w:p w14:paraId="25FAB97F">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35C5A505">
            <w:pPr>
              <w:pStyle w:val="14"/>
              <w:spacing w:line="360" w:lineRule="auto"/>
              <w:ind w:firstLine="630"/>
              <w:rPr>
                <w:rFonts w:hint="eastAsia" w:ascii="宋体" w:hAnsi="宋体" w:eastAsia="宋体" w:cs="宋体"/>
                <w:color w:val="auto"/>
                <w:sz w:val="24"/>
                <w:szCs w:val="24"/>
                <w:highlight w:val="none"/>
              </w:rPr>
            </w:pPr>
          </w:p>
        </w:tc>
      </w:tr>
      <w:tr w14:paraId="464EB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12" w:type="dxa"/>
          </w:tcPr>
          <w:p w14:paraId="70C88E13">
            <w:pPr>
              <w:pStyle w:val="14"/>
              <w:spacing w:line="360" w:lineRule="auto"/>
              <w:jc w:val="center"/>
              <w:rPr>
                <w:rFonts w:hint="eastAsia" w:ascii="宋体" w:hAnsi="宋体" w:eastAsia="宋体" w:cs="宋体"/>
                <w:color w:val="auto"/>
                <w:sz w:val="24"/>
                <w:szCs w:val="24"/>
                <w:highlight w:val="none"/>
              </w:rPr>
            </w:pPr>
          </w:p>
        </w:tc>
        <w:tc>
          <w:tcPr>
            <w:tcW w:w="1720" w:type="dxa"/>
          </w:tcPr>
          <w:p w14:paraId="6E41557D">
            <w:pPr>
              <w:pStyle w:val="14"/>
              <w:spacing w:line="360" w:lineRule="auto"/>
              <w:jc w:val="center"/>
              <w:rPr>
                <w:rFonts w:hint="eastAsia" w:ascii="宋体" w:hAnsi="宋体" w:eastAsia="宋体" w:cs="宋体"/>
                <w:color w:val="auto"/>
                <w:sz w:val="24"/>
                <w:szCs w:val="24"/>
                <w:highlight w:val="none"/>
              </w:rPr>
            </w:pPr>
          </w:p>
        </w:tc>
        <w:tc>
          <w:tcPr>
            <w:tcW w:w="1420" w:type="dxa"/>
          </w:tcPr>
          <w:p w14:paraId="09748F1A">
            <w:pPr>
              <w:pStyle w:val="14"/>
              <w:spacing w:line="360" w:lineRule="auto"/>
              <w:ind w:firstLine="630"/>
              <w:rPr>
                <w:rFonts w:hint="eastAsia" w:ascii="宋体" w:hAnsi="宋体" w:eastAsia="宋体" w:cs="宋体"/>
                <w:color w:val="auto"/>
                <w:sz w:val="24"/>
                <w:szCs w:val="24"/>
                <w:highlight w:val="none"/>
              </w:rPr>
            </w:pPr>
          </w:p>
        </w:tc>
        <w:tc>
          <w:tcPr>
            <w:tcW w:w="1313" w:type="dxa"/>
          </w:tcPr>
          <w:p w14:paraId="3C6AE3CC">
            <w:pPr>
              <w:pStyle w:val="14"/>
              <w:spacing w:line="360" w:lineRule="auto"/>
              <w:ind w:firstLine="630"/>
              <w:rPr>
                <w:rFonts w:hint="eastAsia" w:ascii="宋体" w:hAnsi="宋体" w:eastAsia="宋体" w:cs="宋体"/>
                <w:color w:val="auto"/>
                <w:sz w:val="24"/>
                <w:szCs w:val="24"/>
                <w:highlight w:val="none"/>
              </w:rPr>
            </w:pPr>
          </w:p>
        </w:tc>
        <w:tc>
          <w:tcPr>
            <w:tcW w:w="1680" w:type="dxa"/>
          </w:tcPr>
          <w:p w14:paraId="59D0659B">
            <w:pPr>
              <w:pStyle w:val="14"/>
              <w:spacing w:line="360" w:lineRule="auto"/>
              <w:ind w:firstLine="630"/>
              <w:rPr>
                <w:rFonts w:hint="eastAsia" w:ascii="宋体" w:hAnsi="宋体" w:eastAsia="宋体" w:cs="宋体"/>
                <w:color w:val="auto"/>
                <w:sz w:val="24"/>
                <w:szCs w:val="24"/>
                <w:highlight w:val="none"/>
              </w:rPr>
            </w:pPr>
          </w:p>
        </w:tc>
        <w:tc>
          <w:tcPr>
            <w:tcW w:w="2380" w:type="dxa"/>
          </w:tcPr>
          <w:p w14:paraId="6CBB7FB3">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2BBE31BA">
            <w:pPr>
              <w:pStyle w:val="14"/>
              <w:spacing w:line="360" w:lineRule="auto"/>
              <w:ind w:firstLine="630"/>
              <w:rPr>
                <w:rFonts w:hint="eastAsia" w:ascii="宋体" w:hAnsi="宋体" w:eastAsia="宋体" w:cs="宋体"/>
                <w:color w:val="auto"/>
                <w:sz w:val="24"/>
                <w:szCs w:val="24"/>
                <w:highlight w:val="none"/>
              </w:rPr>
            </w:pPr>
          </w:p>
        </w:tc>
      </w:tr>
      <w:tr w14:paraId="5457F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tcPr>
          <w:p w14:paraId="11D4DA8B">
            <w:pPr>
              <w:pStyle w:val="14"/>
              <w:spacing w:line="360" w:lineRule="auto"/>
              <w:jc w:val="center"/>
              <w:rPr>
                <w:rFonts w:hint="eastAsia" w:ascii="宋体" w:hAnsi="宋体" w:eastAsia="宋体" w:cs="宋体"/>
                <w:color w:val="auto"/>
                <w:sz w:val="24"/>
                <w:szCs w:val="24"/>
                <w:highlight w:val="none"/>
                <w:lang w:val="en-US" w:eastAsia="zh-CN"/>
              </w:rPr>
            </w:pPr>
          </w:p>
        </w:tc>
        <w:tc>
          <w:tcPr>
            <w:tcW w:w="1720" w:type="dxa"/>
          </w:tcPr>
          <w:p w14:paraId="610290B2">
            <w:pPr>
              <w:pStyle w:val="14"/>
              <w:spacing w:line="360" w:lineRule="auto"/>
              <w:jc w:val="center"/>
              <w:rPr>
                <w:rFonts w:hint="eastAsia" w:ascii="宋体" w:hAnsi="宋体" w:eastAsia="宋体" w:cs="宋体"/>
                <w:color w:val="auto"/>
                <w:sz w:val="24"/>
                <w:szCs w:val="24"/>
                <w:highlight w:val="none"/>
                <w:lang w:val="en-US" w:eastAsia="zh-CN"/>
              </w:rPr>
            </w:pPr>
          </w:p>
        </w:tc>
        <w:tc>
          <w:tcPr>
            <w:tcW w:w="1420" w:type="dxa"/>
          </w:tcPr>
          <w:p w14:paraId="31C9358F">
            <w:pPr>
              <w:pStyle w:val="14"/>
              <w:spacing w:line="360" w:lineRule="auto"/>
              <w:ind w:firstLine="630"/>
              <w:rPr>
                <w:rFonts w:hint="eastAsia" w:ascii="宋体" w:hAnsi="宋体" w:eastAsia="宋体" w:cs="宋体"/>
                <w:color w:val="auto"/>
                <w:sz w:val="24"/>
                <w:szCs w:val="24"/>
                <w:highlight w:val="none"/>
              </w:rPr>
            </w:pPr>
          </w:p>
        </w:tc>
        <w:tc>
          <w:tcPr>
            <w:tcW w:w="1313" w:type="dxa"/>
          </w:tcPr>
          <w:p w14:paraId="05752B87">
            <w:pPr>
              <w:pStyle w:val="14"/>
              <w:spacing w:line="360" w:lineRule="auto"/>
              <w:ind w:firstLine="630"/>
              <w:rPr>
                <w:rFonts w:hint="eastAsia" w:ascii="宋体" w:hAnsi="宋体" w:eastAsia="宋体" w:cs="宋体"/>
                <w:color w:val="auto"/>
                <w:sz w:val="24"/>
                <w:szCs w:val="24"/>
                <w:highlight w:val="none"/>
              </w:rPr>
            </w:pPr>
          </w:p>
        </w:tc>
        <w:tc>
          <w:tcPr>
            <w:tcW w:w="1680" w:type="dxa"/>
          </w:tcPr>
          <w:p w14:paraId="1623F77B">
            <w:pPr>
              <w:pStyle w:val="14"/>
              <w:spacing w:line="360" w:lineRule="auto"/>
              <w:ind w:firstLine="630"/>
              <w:rPr>
                <w:rFonts w:hint="eastAsia" w:ascii="宋体" w:hAnsi="宋体" w:eastAsia="宋体" w:cs="宋体"/>
                <w:color w:val="auto"/>
                <w:sz w:val="24"/>
                <w:szCs w:val="24"/>
                <w:highlight w:val="none"/>
              </w:rPr>
            </w:pPr>
          </w:p>
        </w:tc>
        <w:tc>
          <w:tcPr>
            <w:tcW w:w="2380" w:type="dxa"/>
          </w:tcPr>
          <w:p w14:paraId="20058993">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4F0AAC09">
            <w:pPr>
              <w:pStyle w:val="14"/>
              <w:spacing w:line="360" w:lineRule="auto"/>
              <w:ind w:firstLine="630"/>
              <w:rPr>
                <w:rFonts w:hint="eastAsia" w:ascii="宋体" w:hAnsi="宋体" w:eastAsia="宋体" w:cs="宋体"/>
                <w:color w:val="auto"/>
                <w:sz w:val="24"/>
                <w:szCs w:val="24"/>
                <w:highlight w:val="none"/>
              </w:rPr>
            </w:pPr>
          </w:p>
        </w:tc>
      </w:tr>
      <w:tr w14:paraId="2B5E5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tcPr>
          <w:p w14:paraId="3B7EC8EE">
            <w:pPr>
              <w:pStyle w:val="14"/>
              <w:spacing w:line="360" w:lineRule="auto"/>
              <w:jc w:val="center"/>
              <w:rPr>
                <w:rFonts w:hint="eastAsia" w:ascii="宋体" w:hAnsi="宋体" w:eastAsia="宋体" w:cs="宋体"/>
                <w:color w:val="auto"/>
                <w:sz w:val="24"/>
                <w:szCs w:val="24"/>
                <w:highlight w:val="none"/>
                <w:lang w:val="en-US" w:eastAsia="zh-CN"/>
              </w:rPr>
            </w:pPr>
          </w:p>
        </w:tc>
        <w:tc>
          <w:tcPr>
            <w:tcW w:w="1720" w:type="dxa"/>
          </w:tcPr>
          <w:p w14:paraId="74D4452C">
            <w:pPr>
              <w:pStyle w:val="14"/>
              <w:spacing w:line="360" w:lineRule="auto"/>
              <w:jc w:val="center"/>
              <w:rPr>
                <w:rFonts w:hint="eastAsia" w:ascii="宋体" w:hAnsi="宋体" w:eastAsia="宋体" w:cs="宋体"/>
                <w:color w:val="auto"/>
                <w:sz w:val="24"/>
                <w:szCs w:val="24"/>
                <w:highlight w:val="none"/>
                <w:lang w:val="en-US" w:eastAsia="zh-CN"/>
              </w:rPr>
            </w:pPr>
          </w:p>
        </w:tc>
        <w:tc>
          <w:tcPr>
            <w:tcW w:w="1420" w:type="dxa"/>
          </w:tcPr>
          <w:p w14:paraId="1A650B72">
            <w:pPr>
              <w:pStyle w:val="14"/>
              <w:spacing w:line="360" w:lineRule="auto"/>
              <w:ind w:firstLine="630"/>
              <w:rPr>
                <w:rFonts w:hint="eastAsia" w:ascii="宋体" w:hAnsi="宋体" w:eastAsia="宋体" w:cs="宋体"/>
                <w:color w:val="auto"/>
                <w:sz w:val="24"/>
                <w:szCs w:val="24"/>
                <w:highlight w:val="none"/>
              </w:rPr>
            </w:pPr>
          </w:p>
        </w:tc>
        <w:tc>
          <w:tcPr>
            <w:tcW w:w="1313" w:type="dxa"/>
          </w:tcPr>
          <w:p w14:paraId="52C97F78">
            <w:pPr>
              <w:pStyle w:val="14"/>
              <w:spacing w:line="360" w:lineRule="auto"/>
              <w:ind w:firstLine="630"/>
              <w:rPr>
                <w:rFonts w:hint="eastAsia" w:ascii="宋体" w:hAnsi="宋体" w:eastAsia="宋体" w:cs="宋体"/>
                <w:color w:val="auto"/>
                <w:sz w:val="24"/>
                <w:szCs w:val="24"/>
                <w:highlight w:val="none"/>
              </w:rPr>
            </w:pPr>
          </w:p>
        </w:tc>
        <w:tc>
          <w:tcPr>
            <w:tcW w:w="1680" w:type="dxa"/>
          </w:tcPr>
          <w:p w14:paraId="4FC14AC1">
            <w:pPr>
              <w:pStyle w:val="14"/>
              <w:spacing w:line="360" w:lineRule="auto"/>
              <w:ind w:firstLine="630"/>
              <w:rPr>
                <w:rFonts w:hint="eastAsia" w:ascii="宋体" w:hAnsi="宋体" w:eastAsia="宋体" w:cs="宋体"/>
                <w:color w:val="auto"/>
                <w:sz w:val="24"/>
                <w:szCs w:val="24"/>
                <w:highlight w:val="none"/>
              </w:rPr>
            </w:pPr>
          </w:p>
        </w:tc>
        <w:tc>
          <w:tcPr>
            <w:tcW w:w="2380" w:type="dxa"/>
          </w:tcPr>
          <w:p w14:paraId="08153301">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5424C31B">
            <w:pPr>
              <w:pStyle w:val="14"/>
              <w:spacing w:line="360" w:lineRule="auto"/>
              <w:ind w:firstLine="630"/>
              <w:rPr>
                <w:rFonts w:hint="eastAsia" w:ascii="宋体" w:hAnsi="宋体" w:eastAsia="宋体" w:cs="宋体"/>
                <w:color w:val="auto"/>
                <w:sz w:val="24"/>
                <w:szCs w:val="24"/>
                <w:highlight w:val="none"/>
              </w:rPr>
            </w:pPr>
          </w:p>
        </w:tc>
      </w:tr>
      <w:tr w14:paraId="7AE02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4AF7EB69">
            <w:pPr>
              <w:pStyle w:val="14"/>
              <w:spacing w:line="360" w:lineRule="auto"/>
              <w:jc w:val="center"/>
              <w:rPr>
                <w:rFonts w:hint="eastAsia" w:ascii="宋体" w:hAnsi="宋体" w:eastAsia="宋体" w:cs="宋体"/>
                <w:color w:val="auto"/>
                <w:sz w:val="24"/>
                <w:szCs w:val="24"/>
                <w:highlight w:val="none"/>
                <w:lang w:val="en-US" w:eastAsia="zh-CN"/>
              </w:rPr>
            </w:pPr>
          </w:p>
        </w:tc>
        <w:tc>
          <w:tcPr>
            <w:tcW w:w="1720" w:type="dxa"/>
            <w:vAlign w:val="center"/>
          </w:tcPr>
          <w:p w14:paraId="11FD46F0">
            <w:pPr>
              <w:pStyle w:val="14"/>
              <w:spacing w:line="360" w:lineRule="auto"/>
              <w:jc w:val="center"/>
              <w:rPr>
                <w:rFonts w:hint="default" w:ascii="宋体" w:hAnsi="宋体" w:eastAsia="宋体" w:cs="宋体"/>
                <w:color w:val="auto"/>
                <w:sz w:val="24"/>
                <w:szCs w:val="24"/>
                <w:highlight w:val="none"/>
                <w:lang w:val="en-US" w:eastAsia="zh-CN"/>
              </w:rPr>
            </w:pPr>
          </w:p>
        </w:tc>
        <w:tc>
          <w:tcPr>
            <w:tcW w:w="1420" w:type="dxa"/>
          </w:tcPr>
          <w:p w14:paraId="581535C0">
            <w:pPr>
              <w:pStyle w:val="14"/>
              <w:spacing w:line="360" w:lineRule="auto"/>
              <w:ind w:firstLine="630"/>
              <w:rPr>
                <w:rFonts w:hint="eastAsia" w:ascii="宋体" w:hAnsi="宋体" w:eastAsia="宋体" w:cs="宋体"/>
                <w:color w:val="auto"/>
                <w:sz w:val="24"/>
                <w:szCs w:val="24"/>
                <w:highlight w:val="none"/>
              </w:rPr>
            </w:pPr>
          </w:p>
        </w:tc>
        <w:tc>
          <w:tcPr>
            <w:tcW w:w="1313" w:type="dxa"/>
          </w:tcPr>
          <w:p w14:paraId="1CF5D24B">
            <w:pPr>
              <w:pStyle w:val="14"/>
              <w:spacing w:line="360" w:lineRule="auto"/>
              <w:ind w:firstLine="630"/>
              <w:rPr>
                <w:rFonts w:hint="eastAsia" w:ascii="宋体" w:hAnsi="宋体" w:eastAsia="宋体" w:cs="宋体"/>
                <w:color w:val="auto"/>
                <w:sz w:val="24"/>
                <w:szCs w:val="24"/>
                <w:highlight w:val="none"/>
              </w:rPr>
            </w:pPr>
          </w:p>
        </w:tc>
        <w:tc>
          <w:tcPr>
            <w:tcW w:w="1680" w:type="dxa"/>
          </w:tcPr>
          <w:p w14:paraId="34C3A8CE">
            <w:pPr>
              <w:pStyle w:val="14"/>
              <w:spacing w:line="360" w:lineRule="auto"/>
              <w:ind w:firstLine="630"/>
              <w:rPr>
                <w:rFonts w:hint="eastAsia" w:ascii="宋体" w:hAnsi="宋体" w:eastAsia="宋体" w:cs="宋体"/>
                <w:color w:val="auto"/>
                <w:sz w:val="24"/>
                <w:szCs w:val="24"/>
                <w:highlight w:val="none"/>
              </w:rPr>
            </w:pPr>
          </w:p>
        </w:tc>
        <w:tc>
          <w:tcPr>
            <w:tcW w:w="2380" w:type="dxa"/>
          </w:tcPr>
          <w:p w14:paraId="30BE2F6F">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24CB271C">
            <w:pPr>
              <w:pStyle w:val="14"/>
              <w:spacing w:line="360" w:lineRule="auto"/>
              <w:ind w:firstLine="630"/>
              <w:rPr>
                <w:rFonts w:hint="eastAsia" w:ascii="宋体" w:hAnsi="宋体" w:eastAsia="宋体" w:cs="宋体"/>
                <w:color w:val="auto"/>
                <w:sz w:val="24"/>
                <w:szCs w:val="24"/>
                <w:highlight w:val="none"/>
              </w:rPr>
            </w:pPr>
          </w:p>
        </w:tc>
      </w:tr>
      <w:tr w14:paraId="745FE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574BBF99">
            <w:pPr>
              <w:pStyle w:val="14"/>
              <w:spacing w:line="360" w:lineRule="auto"/>
              <w:ind w:firstLine="630"/>
              <w:jc w:val="center"/>
              <w:rPr>
                <w:rFonts w:hint="eastAsia" w:ascii="宋体" w:hAnsi="宋体" w:eastAsia="宋体" w:cs="宋体"/>
                <w:color w:val="auto"/>
                <w:sz w:val="24"/>
                <w:szCs w:val="24"/>
                <w:highlight w:val="none"/>
              </w:rPr>
            </w:pPr>
          </w:p>
        </w:tc>
        <w:tc>
          <w:tcPr>
            <w:tcW w:w="1720" w:type="dxa"/>
            <w:vAlign w:val="center"/>
          </w:tcPr>
          <w:p w14:paraId="410BC0B0">
            <w:pPr>
              <w:pStyle w:val="14"/>
              <w:spacing w:line="360" w:lineRule="auto"/>
              <w:ind w:firstLine="630"/>
              <w:jc w:val="center"/>
              <w:rPr>
                <w:rFonts w:hint="eastAsia" w:ascii="宋体" w:hAnsi="宋体" w:eastAsia="宋体" w:cs="宋体"/>
                <w:color w:val="auto"/>
                <w:sz w:val="24"/>
                <w:szCs w:val="24"/>
                <w:highlight w:val="none"/>
              </w:rPr>
            </w:pPr>
          </w:p>
        </w:tc>
        <w:tc>
          <w:tcPr>
            <w:tcW w:w="1420" w:type="dxa"/>
          </w:tcPr>
          <w:p w14:paraId="31C920A4">
            <w:pPr>
              <w:pStyle w:val="14"/>
              <w:spacing w:line="360" w:lineRule="auto"/>
              <w:ind w:firstLine="630"/>
              <w:rPr>
                <w:rFonts w:hint="eastAsia" w:ascii="宋体" w:hAnsi="宋体" w:eastAsia="宋体" w:cs="宋体"/>
                <w:color w:val="auto"/>
                <w:sz w:val="24"/>
                <w:szCs w:val="24"/>
                <w:highlight w:val="none"/>
              </w:rPr>
            </w:pPr>
          </w:p>
        </w:tc>
        <w:tc>
          <w:tcPr>
            <w:tcW w:w="1313" w:type="dxa"/>
          </w:tcPr>
          <w:p w14:paraId="3B6C8720">
            <w:pPr>
              <w:pStyle w:val="14"/>
              <w:spacing w:line="360" w:lineRule="auto"/>
              <w:ind w:firstLine="630"/>
              <w:rPr>
                <w:rFonts w:hint="eastAsia" w:ascii="宋体" w:hAnsi="宋体" w:eastAsia="宋体" w:cs="宋体"/>
                <w:color w:val="auto"/>
                <w:sz w:val="24"/>
                <w:szCs w:val="24"/>
                <w:highlight w:val="none"/>
              </w:rPr>
            </w:pPr>
          </w:p>
        </w:tc>
        <w:tc>
          <w:tcPr>
            <w:tcW w:w="1680" w:type="dxa"/>
          </w:tcPr>
          <w:p w14:paraId="526771D9">
            <w:pPr>
              <w:pStyle w:val="14"/>
              <w:spacing w:line="360" w:lineRule="auto"/>
              <w:ind w:firstLine="630"/>
              <w:rPr>
                <w:rFonts w:hint="eastAsia" w:ascii="宋体" w:hAnsi="宋体" w:eastAsia="宋体" w:cs="宋体"/>
                <w:color w:val="auto"/>
                <w:sz w:val="24"/>
                <w:szCs w:val="24"/>
                <w:highlight w:val="none"/>
              </w:rPr>
            </w:pPr>
          </w:p>
        </w:tc>
        <w:tc>
          <w:tcPr>
            <w:tcW w:w="2380" w:type="dxa"/>
          </w:tcPr>
          <w:p w14:paraId="627E63AC">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5763F14E">
            <w:pPr>
              <w:pStyle w:val="14"/>
              <w:spacing w:line="360" w:lineRule="auto"/>
              <w:ind w:firstLine="630"/>
              <w:rPr>
                <w:rFonts w:hint="eastAsia" w:ascii="宋体" w:hAnsi="宋体" w:eastAsia="宋体" w:cs="宋体"/>
                <w:color w:val="auto"/>
                <w:sz w:val="24"/>
                <w:szCs w:val="24"/>
                <w:highlight w:val="none"/>
              </w:rPr>
            </w:pPr>
          </w:p>
        </w:tc>
      </w:tr>
      <w:tr w14:paraId="3A2E0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36550A14">
            <w:pPr>
              <w:pStyle w:val="14"/>
              <w:spacing w:line="360" w:lineRule="auto"/>
              <w:ind w:firstLine="630"/>
              <w:rPr>
                <w:rFonts w:hint="eastAsia" w:ascii="宋体" w:hAnsi="宋体" w:eastAsia="宋体" w:cs="宋体"/>
                <w:color w:val="auto"/>
                <w:sz w:val="24"/>
                <w:szCs w:val="24"/>
                <w:highlight w:val="none"/>
              </w:rPr>
            </w:pPr>
          </w:p>
        </w:tc>
        <w:tc>
          <w:tcPr>
            <w:tcW w:w="1720" w:type="dxa"/>
            <w:vAlign w:val="center"/>
          </w:tcPr>
          <w:p w14:paraId="1E92CFAE">
            <w:pPr>
              <w:pStyle w:val="14"/>
              <w:spacing w:line="360" w:lineRule="auto"/>
              <w:ind w:firstLine="630"/>
              <w:rPr>
                <w:rFonts w:hint="eastAsia" w:ascii="宋体" w:hAnsi="宋体" w:eastAsia="宋体" w:cs="宋体"/>
                <w:color w:val="auto"/>
                <w:sz w:val="24"/>
                <w:szCs w:val="24"/>
                <w:highlight w:val="none"/>
              </w:rPr>
            </w:pPr>
          </w:p>
        </w:tc>
        <w:tc>
          <w:tcPr>
            <w:tcW w:w="1420" w:type="dxa"/>
          </w:tcPr>
          <w:p w14:paraId="68380618">
            <w:pPr>
              <w:pStyle w:val="14"/>
              <w:spacing w:line="360" w:lineRule="auto"/>
              <w:ind w:firstLine="630"/>
              <w:rPr>
                <w:rFonts w:hint="eastAsia" w:ascii="宋体" w:hAnsi="宋体" w:eastAsia="宋体" w:cs="宋体"/>
                <w:color w:val="auto"/>
                <w:sz w:val="24"/>
                <w:szCs w:val="24"/>
                <w:highlight w:val="none"/>
              </w:rPr>
            </w:pPr>
          </w:p>
        </w:tc>
        <w:tc>
          <w:tcPr>
            <w:tcW w:w="1313" w:type="dxa"/>
          </w:tcPr>
          <w:p w14:paraId="5C42390D">
            <w:pPr>
              <w:pStyle w:val="14"/>
              <w:spacing w:line="360" w:lineRule="auto"/>
              <w:ind w:firstLine="630"/>
              <w:rPr>
                <w:rFonts w:hint="eastAsia" w:ascii="宋体" w:hAnsi="宋体" w:eastAsia="宋体" w:cs="宋体"/>
                <w:color w:val="auto"/>
                <w:sz w:val="24"/>
                <w:szCs w:val="24"/>
                <w:highlight w:val="none"/>
              </w:rPr>
            </w:pPr>
          </w:p>
        </w:tc>
        <w:tc>
          <w:tcPr>
            <w:tcW w:w="1680" w:type="dxa"/>
          </w:tcPr>
          <w:p w14:paraId="4E80010D">
            <w:pPr>
              <w:pStyle w:val="14"/>
              <w:spacing w:line="360" w:lineRule="auto"/>
              <w:ind w:firstLine="630"/>
              <w:rPr>
                <w:rFonts w:hint="eastAsia" w:ascii="宋体" w:hAnsi="宋体" w:eastAsia="宋体" w:cs="宋体"/>
                <w:color w:val="auto"/>
                <w:sz w:val="24"/>
                <w:szCs w:val="24"/>
                <w:highlight w:val="none"/>
              </w:rPr>
            </w:pPr>
          </w:p>
        </w:tc>
        <w:tc>
          <w:tcPr>
            <w:tcW w:w="2380" w:type="dxa"/>
          </w:tcPr>
          <w:p w14:paraId="41A612DC">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70F8BF16">
            <w:pPr>
              <w:pStyle w:val="14"/>
              <w:spacing w:line="360" w:lineRule="auto"/>
              <w:ind w:firstLine="630"/>
              <w:rPr>
                <w:rFonts w:hint="eastAsia" w:ascii="宋体" w:hAnsi="宋体" w:eastAsia="宋体" w:cs="宋体"/>
                <w:color w:val="auto"/>
                <w:sz w:val="24"/>
                <w:szCs w:val="24"/>
                <w:highlight w:val="none"/>
              </w:rPr>
            </w:pPr>
          </w:p>
        </w:tc>
      </w:tr>
      <w:tr w14:paraId="0DE92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2" w:type="dxa"/>
            <w:vAlign w:val="center"/>
          </w:tcPr>
          <w:p w14:paraId="17ABF780">
            <w:pPr>
              <w:pStyle w:val="14"/>
              <w:spacing w:line="360" w:lineRule="auto"/>
              <w:ind w:firstLine="630"/>
              <w:jc w:val="center"/>
              <w:rPr>
                <w:rFonts w:hint="eastAsia" w:ascii="宋体" w:hAnsi="宋体" w:eastAsia="宋体" w:cs="宋体"/>
                <w:color w:val="auto"/>
                <w:sz w:val="24"/>
                <w:szCs w:val="24"/>
                <w:highlight w:val="none"/>
              </w:rPr>
            </w:pPr>
          </w:p>
        </w:tc>
        <w:tc>
          <w:tcPr>
            <w:tcW w:w="1720" w:type="dxa"/>
            <w:vAlign w:val="center"/>
          </w:tcPr>
          <w:p w14:paraId="419CB16F">
            <w:pPr>
              <w:pStyle w:val="14"/>
              <w:spacing w:line="360" w:lineRule="auto"/>
              <w:ind w:firstLine="630"/>
              <w:jc w:val="center"/>
              <w:rPr>
                <w:rFonts w:hint="eastAsia" w:ascii="宋体" w:hAnsi="宋体" w:eastAsia="宋体" w:cs="宋体"/>
                <w:color w:val="auto"/>
                <w:sz w:val="24"/>
                <w:szCs w:val="24"/>
                <w:highlight w:val="none"/>
              </w:rPr>
            </w:pPr>
          </w:p>
        </w:tc>
        <w:tc>
          <w:tcPr>
            <w:tcW w:w="1420" w:type="dxa"/>
          </w:tcPr>
          <w:p w14:paraId="2B8D4D93">
            <w:pPr>
              <w:pStyle w:val="14"/>
              <w:spacing w:line="360" w:lineRule="auto"/>
              <w:ind w:firstLine="630"/>
              <w:rPr>
                <w:rFonts w:hint="eastAsia" w:ascii="宋体" w:hAnsi="宋体" w:eastAsia="宋体" w:cs="宋体"/>
                <w:color w:val="auto"/>
                <w:sz w:val="24"/>
                <w:szCs w:val="24"/>
                <w:highlight w:val="none"/>
              </w:rPr>
            </w:pPr>
          </w:p>
        </w:tc>
        <w:tc>
          <w:tcPr>
            <w:tcW w:w="1313" w:type="dxa"/>
          </w:tcPr>
          <w:p w14:paraId="378D9599">
            <w:pPr>
              <w:pStyle w:val="14"/>
              <w:spacing w:line="360" w:lineRule="auto"/>
              <w:ind w:firstLine="630"/>
              <w:rPr>
                <w:rFonts w:hint="eastAsia" w:ascii="宋体" w:hAnsi="宋体" w:eastAsia="宋体" w:cs="宋体"/>
                <w:color w:val="auto"/>
                <w:sz w:val="24"/>
                <w:szCs w:val="24"/>
                <w:highlight w:val="none"/>
              </w:rPr>
            </w:pPr>
          </w:p>
        </w:tc>
        <w:tc>
          <w:tcPr>
            <w:tcW w:w="1680" w:type="dxa"/>
          </w:tcPr>
          <w:p w14:paraId="25F34514">
            <w:pPr>
              <w:pStyle w:val="14"/>
              <w:spacing w:line="360" w:lineRule="auto"/>
              <w:ind w:firstLine="630"/>
              <w:rPr>
                <w:rFonts w:hint="eastAsia" w:ascii="宋体" w:hAnsi="宋体" w:eastAsia="宋体" w:cs="宋体"/>
                <w:color w:val="auto"/>
                <w:sz w:val="24"/>
                <w:szCs w:val="24"/>
                <w:highlight w:val="none"/>
              </w:rPr>
            </w:pPr>
          </w:p>
        </w:tc>
        <w:tc>
          <w:tcPr>
            <w:tcW w:w="2380" w:type="dxa"/>
          </w:tcPr>
          <w:p w14:paraId="263309C8">
            <w:pPr>
              <w:pStyle w:val="14"/>
              <w:spacing w:line="360" w:lineRule="auto"/>
              <w:ind w:firstLine="630"/>
              <w:rPr>
                <w:rFonts w:hint="eastAsia" w:ascii="宋体" w:hAnsi="宋体" w:eastAsia="宋体" w:cs="宋体"/>
                <w:color w:val="auto"/>
                <w:sz w:val="24"/>
                <w:szCs w:val="24"/>
                <w:highlight w:val="none"/>
              </w:rPr>
            </w:pPr>
          </w:p>
        </w:tc>
        <w:tc>
          <w:tcPr>
            <w:tcW w:w="1393" w:type="dxa"/>
            <w:gridSpan w:val="2"/>
          </w:tcPr>
          <w:p w14:paraId="71111A20">
            <w:pPr>
              <w:pStyle w:val="14"/>
              <w:spacing w:line="360" w:lineRule="auto"/>
              <w:ind w:firstLine="630"/>
              <w:rPr>
                <w:rFonts w:hint="eastAsia" w:ascii="宋体" w:hAnsi="宋体" w:eastAsia="宋体" w:cs="宋体"/>
                <w:color w:val="auto"/>
                <w:sz w:val="24"/>
                <w:szCs w:val="24"/>
                <w:highlight w:val="none"/>
              </w:rPr>
            </w:pPr>
          </w:p>
        </w:tc>
      </w:tr>
      <w:tr w14:paraId="0E517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jc w:val="center"/>
        </w:trPr>
        <w:tc>
          <w:tcPr>
            <w:tcW w:w="812" w:type="dxa"/>
            <w:vAlign w:val="center"/>
          </w:tcPr>
          <w:p w14:paraId="2775EC08">
            <w:pPr>
              <w:pStyle w:val="14"/>
              <w:spacing w:line="360" w:lineRule="auto"/>
              <w:ind w:firstLine="630"/>
              <w:jc w:val="center"/>
              <w:rPr>
                <w:rFonts w:hint="eastAsia" w:ascii="宋体" w:hAnsi="宋体" w:eastAsia="宋体" w:cs="宋体"/>
                <w:color w:val="auto"/>
                <w:sz w:val="24"/>
                <w:szCs w:val="24"/>
                <w:highlight w:val="none"/>
              </w:rPr>
            </w:pPr>
          </w:p>
        </w:tc>
        <w:tc>
          <w:tcPr>
            <w:tcW w:w="1720" w:type="dxa"/>
            <w:vAlign w:val="center"/>
          </w:tcPr>
          <w:p w14:paraId="013E57F6">
            <w:pPr>
              <w:pStyle w:val="14"/>
              <w:spacing w:line="360" w:lineRule="auto"/>
              <w:ind w:firstLine="63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hAnsi="宋体" w:cs="宋体"/>
                <w:color w:val="auto"/>
                <w:sz w:val="24"/>
                <w:szCs w:val="24"/>
                <w:highlight w:val="none"/>
                <w:lang w:val="en-US" w:eastAsia="zh-CN"/>
              </w:rPr>
              <w:t>.....</w:t>
            </w:r>
          </w:p>
        </w:tc>
        <w:tc>
          <w:tcPr>
            <w:tcW w:w="1420" w:type="dxa"/>
          </w:tcPr>
          <w:p w14:paraId="3C37E899">
            <w:pPr>
              <w:pStyle w:val="14"/>
              <w:spacing w:line="360" w:lineRule="auto"/>
              <w:ind w:firstLine="630"/>
              <w:rPr>
                <w:rFonts w:hint="eastAsia" w:ascii="宋体" w:hAnsi="宋体" w:eastAsia="宋体" w:cs="宋体"/>
                <w:color w:val="auto"/>
                <w:sz w:val="24"/>
                <w:szCs w:val="24"/>
                <w:highlight w:val="none"/>
              </w:rPr>
            </w:pPr>
          </w:p>
        </w:tc>
        <w:tc>
          <w:tcPr>
            <w:tcW w:w="1313" w:type="dxa"/>
          </w:tcPr>
          <w:p w14:paraId="681D1AB0">
            <w:pPr>
              <w:pStyle w:val="14"/>
              <w:spacing w:line="360" w:lineRule="auto"/>
              <w:ind w:firstLine="630"/>
              <w:rPr>
                <w:rFonts w:hint="eastAsia" w:ascii="宋体" w:hAnsi="宋体" w:eastAsia="宋体" w:cs="宋体"/>
                <w:color w:val="auto"/>
                <w:sz w:val="24"/>
                <w:szCs w:val="24"/>
                <w:highlight w:val="none"/>
              </w:rPr>
            </w:pPr>
          </w:p>
        </w:tc>
        <w:tc>
          <w:tcPr>
            <w:tcW w:w="1680" w:type="dxa"/>
          </w:tcPr>
          <w:p w14:paraId="5DB9295C">
            <w:pPr>
              <w:pStyle w:val="14"/>
              <w:spacing w:line="360" w:lineRule="auto"/>
              <w:ind w:firstLine="630"/>
              <w:rPr>
                <w:rFonts w:hint="eastAsia" w:ascii="宋体" w:hAnsi="宋体" w:eastAsia="宋体" w:cs="宋体"/>
                <w:color w:val="auto"/>
                <w:sz w:val="24"/>
                <w:szCs w:val="24"/>
                <w:highlight w:val="none"/>
              </w:rPr>
            </w:pPr>
          </w:p>
        </w:tc>
        <w:tc>
          <w:tcPr>
            <w:tcW w:w="2380" w:type="dxa"/>
          </w:tcPr>
          <w:p w14:paraId="290976E0">
            <w:pPr>
              <w:pStyle w:val="14"/>
              <w:spacing w:line="360" w:lineRule="auto"/>
              <w:ind w:firstLine="630"/>
              <w:rPr>
                <w:rFonts w:hint="eastAsia" w:ascii="宋体" w:hAnsi="宋体" w:eastAsia="宋体" w:cs="宋体"/>
                <w:color w:val="auto"/>
                <w:sz w:val="24"/>
                <w:szCs w:val="24"/>
                <w:highlight w:val="none"/>
              </w:rPr>
            </w:pPr>
          </w:p>
        </w:tc>
        <w:tc>
          <w:tcPr>
            <w:tcW w:w="1388" w:type="dxa"/>
          </w:tcPr>
          <w:p w14:paraId="35E6FF82">
            <w:pPr>
              <w:pStyle w:val="14"/>
              <w:spacing w:line="360" w:lineRule="auto"/>
              <w:ind w:firstLine="630"/>
              <w:rPr>
                <w:rFonts w:hint="eastAsia" w:ascii="宋体" w:hAnsi="宋体" w:eastAsia="宋体" w:cs="宋体"/>
                <w:color w:val="auto"/>
                <w:sz w:val="24"/>
                <w:szCs w:val="24"/>
                <w:highlight w:val="none"/>
              </w:rPr>
            </w:pPr>
          </w:p>
        </w:tc>
      </w:tr>
      <w:tr w14:paraId="21DE2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jc w:val="center"/>
        </w:trPr>
        <w:tc>
          <w:tcPr>
            <w:tcW w:w="812" w:type="dxa"/>
          </w:tcPr>
          <w:p w14:paraId="1463B562">
            <w:pPr>
              <w:pStyle w:val="14"/>
              <w:spacing w:line="360" w:lineRule="auto"/>
              <w:ind w:firstLine="630"/>
              <w:rPr>
                <w:rFonts w:hint="eastAsia" w:ascii="宋体" w:hAnsi="宋体" w:eastAsia="宋体" w:cs="宋体"/>
                <w:color w:val="auto"/>
                <w:sz w:val="24"/>
                <w:szCs w:val="24"/>
                <w:highlight w:val="none"/>
              </w:rPr>
            </w:pPr>
          </w:p>
        </w:tc>
        <w:tc>
          <w:tcPr>
            <w:tcW w:w="1720" w:type="dxa"/>
          </w:tcPr>
          <w:p w14:paraId="0EB9630E">
            <w:pPr>
              <w:pStyle w:val="14"/>
              <w:spacing w:line="360" w:lineRule="auto"/>
              <w:ind w:firstLine="630"/>
              <w:rPr>
                <w:rFonts w:hint="eastAsia" w:ascii="宋体" w:hAnsi="宋体" w:eastAsia="宋体" w:cs="宋体"/>
                <w:color w:val="auto"/>
                <w:sz w:val="24"/>
                <w:szCs w:val="24"/>
                <w:highlight w:val="none"/>
              </w:rPr>
            </w:pPr>
          </w:p>
        </w:tc>
        <w:tc>
          <w:tcPr>
            <w:tcW w:w="1420" w:type="dxa"/>
          </w:tcPr>
          <w:p w14:paraId="09E94B34">
            <w:pPr>
              <w:pStyle w:val="14"/>
              <w:spacing w:line="360" w:lineRule="auto"/>
              <w:ind w:firstLine="630"/>
              <w:rPr>
                <w:rFonts w:hint="eastAsia" w:ascii="宋体" w:hAnsi="宋体" w:eastAsia="宋体" w:cs="宋体"/>
                <w:color w:val="auto"/>
                <w:sz w:val="24"/>
                <w:szCs w:val="24"/>
                <w:highlight w:val="none"/>
              </w:rPr>
            </w:pPr>
          </w:p>
        </w:tc>
        <w:tc>
          <w:tcPr>
            <w:tcW w:w="1313" w:type="dxa"/>
          </w:tcPr>
          <w:p w14:paraId="1A173890">
            <w:pPr>
              <w:pStyle w:val="14"/>
              <w:spacing w:line="360" w:lineRule="auto"/>
              <w:ind w:firstLine="630"/>
              <w:rPr>
                <w:rFonts w:hint="eastAsia" w:ascii="宋体" w:hAnsi="宋体" w:eastAsia="宋体" w:cs="宋体"/>
                <w:color w:val="auto"/>
                <w:sz w:val="24"/>
                <w:szCs w:val="24"/>
                <w:highlight w:val="none"/>
              </w:rPr>
            </w:pPr>
          </w:p>
        </w:tc>
        <w:tc>
          <w:tcPr>
            <w:tcW w:w="1680" w:type="dxa"/>
          </w:tcPr>
          <w:p w14:paraId="0E1A1C85">
            <w:pPr>
              <w:pStyle w:val="14"/>
              <w:spacing w:line="360" w:lineRule="auto"/>
              <w:ind w:firstLine="630"/>
              <w:rPr>
                <w:rFonts w:hint="eastAsia" w:ascii="宋体" w:hAnsi="宋体" w:eastAsia="宋体" w:cs="宋体"/>
                <w:color w:val="auto"/>
                <w:sz w:val="24"/>
                <w:szCs w:val="24"/>
                <w:highlight w:val="none"/>
              </w:rPr>
            </w:pPr>
          </w:p>
        </w:tc>
        <w:tc>
          <w:tcPr>
            <w:tcW w:w="2380" w:type="dxa"/>
          </w:tcPr>
          <w:p w14:paraId="00A1F84B">
            <w:pPr>
              <w:pStyle w:val="14"/>
              <w:spacing w:line="360" w:lineRule="auto"/>
              <w:ind w:firstLine="630"/>
              <w:rPr>
                <w:rFonts w:hint="eastAsia" w:ascii="宋体" w:hAnsi="宋体" w:eastAsia="宋体" w:cs="宋体"/>
                <w:color w:val="auto"/>
                <w:sz w:val="24"/>
                <w:szCs w:val="24"/>
                <w:highlight w:val="none"/>
              </w:rPr>
            </w:pPr>
          </w:p>
        </w:tc>
        <w:tc>
          <w:tcPr>
            <w:tcW w:w="1388" w:type="dxa"/>
          </w:tcPr>
          <w:p w14:paraId="5741369C">
            <w:pPr>
              <w:pStyle w:val="14"/>
              <w:spacing w:line="360" w:lineRule="auto"/>
              <w:ind w:firstLine="630"/>
              <w:rPr>
                <w:rFonts w:hint="eastAsia" w:ascii="宋体" w:hAnsi="宋体" w:eastAsia="宋体" w:cs="宋体"/>
                <w:color w:val="auto"/>
                <w:sz w:val="24"/>
                <w:szCs w:val="24"/>
                <w:highlight w:val="none"/>
              </w:rPr>
            </w:pPr>
          </w:p>
        </w:tc>
      </w:tr>
    </w:tbl>
    <w:p w14:paraId="5D0FA7F0">
      <w:pPr>
        <w:pStyle w:val="11"/>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说明：投标人登记的车辆信息须提供以下相关证明的彩色扫描件：</w:t>
      </w:r>
    </w:p>
    <w:p w14:paraId="6A90E6AE">
      <w:pPr>
        <w:pStyle w:val="11"/>
        <w:keepNext w:val="0"/>
        <w:keepLines w:val="0"/>
        <w:pageBreakBefore w:val="0"/>
        <w:widowControl/>
        <w:kinsoku/>
        <w:wordWrap/>
        <w:overflowPunct/>
        <w:topLinePunct w:val="0"/>
        <w:autoSpaceDE/>
        <w:autoSpaceDN/>
        <w:bidi w:val="0"/>
        <w:adjustRightInd/>
        <w:snapToGrid/>
        <w:spacing w:before="0" w:after="0" w:line="360" w:lineRule="auto"/>
        <w:ind w:firstLine="660" w:firstLineChars="300"/>
        <w:textAlignment w:val="auto"/>
        <w:rPr>
          <w:rFonts w:hint="eastAsia" w:ascii="宋体" w:hAnsi="宋体" w:eastAsia="宋体" w:cs="宋体"/>
          <w:color w:val="auto"/>
          <w:kern w:val="0"/>
          <w:sz w:val="24"/>
          <w:szCs w:val="24"/>
          <w:highlight w:val="none"/>
          <w:lang w:val="en-US" w:eastAsia="zh-CN"/>
        </w:rPr>
      </w:pPr>
      <w:r>
        <w:rPr>
          <w:rFonts w:hint="eastAsia" w:ascii="宋体" w:eastAsia="宋体" w:cs="宋体"/>
          <w:color w:val="auto"/>
          <w:sz w:val="22"/>
          <w:szCs w:val="22"/>
          <w:highlight w:val="none"/>
          <w:lang w:val="en-US" w:eastAsia="zh-CN"/>
        </w:rPr>
        <w:t>1.</w:t>
      </w:r>
      <w:r>
        <w:rPr>
          <w:rFonts w:hint="eastAsia" w:ascii="宋体" w:hAnsi="宋体" w:eastAsia="宋体" w:cs="宋体"/>
          <w:color w:val="auto"/>
          <w:kern w:val="0"/>
          <w:sz w:val="24"/>
          <w:szCs w:val="24"/>
          <w:highlight w:val="none"/>
          <w:lang w:val="en-US" w:eastAsia="zh-CN"/>
        </w:rPr>
        <w:t>自有车辆须提供与</w:t>
      </w:r>
      <w:r>
        <w:rPr>
          <w:rFonts w:hint="eastAsia" w:ascii="宋体" w:eastAsia="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en-US" w:eastAsia="zh-CN"/>
        </w:rPr>
        <w:t>信息一致的车辆登记证、行驶证、车辆保险证明、车辆正面照片（含车牌）。</w:t>
      </w:r>
    </w:p>
    <w:p w14:paraId="0E4677A0">
      <w:pPr>
        <w:pStyle w:val="11"/>
        <w:keepNext w:val="0"/>
        <w:keepLines w:val="0"/>
        <w:pageBreakBefore w:val="0"/>
        <w:widowControl/>
        <w:kinsoku/>
        <w:wordWrap/>
        <w:overflowPunct/>
        <w:topLinePunct w:val="0"/>
        <w:autoSpaceDE/>
        <w:autoSpaceDN/>
        <w:bidi w:val="0"/>
        <w:adjustRightInd/>
        <w:snapToGrid/>
        <w:spacing w:before="0" w:after="0" w:line="360" w:lineRule="auto"/>
        <w:ind w:firstLine="720" w:firstLineChars="300"/>
        <w:textAlignment w:val="auto"/>
        <w:rPr>
          <w:rFonts w:hint="eastAsia"/>
          <w:highlight w:val="none"/>
        </w:rPr>
      </w:pPr>
      <w:r>
        <w:rPr>
          <w:rFonts w:hint="eastAsia" w:asci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租赁车辆须提供租赁合同、与租赁</w:t>
      </w:r>
      <w:r>
        <w:rPr>
          <w:rFonts w:hint="eastAsia" w:ascii="宋体" w:eastAsia="宋体" w:cs="宋体"/>
          <w:color w:val="auto"/>
          <w:kern w:val="0"/>
          <w:sz w:val="24"/>
          <w:szCs w:val="24"/>
          <w:highlight w:val="none"/>
          <w:lang w:val="en-US" w:eastAsia="zh-CN"/>
        </w:rPr>
        <w:t>方</w:t>
      </w:r>
      <w:r>
        <w:rPr>
          <w:rFonts w:hint="eastAsia" w:ascii="宋体" w:hAnsi="宋体" w:eastAsia="宋体" w:cs="宋体"/>
          <w:color w:val="auto"/>
          <w:kern w:val="0"/>
          <w:sz w:val="24"/>
          <w:szCs w:val="24"/>
          <w:highlight w:val="none"/>
          <w:lang w:val="en-US" w:eastAsia="zh-CN"/>
        </w:rPr>
        <w:t>信息一致的车辆登记证、行驶证、车辆保险证明、车辆正面照片（含车牌）</w:t>
      </w:r>
      <w:r>
        <w:rPr>
          <w:rFonts w:hint="eastAsia" w:ascii="宋体" w:eastAsia="宋体" w:cs="宋体"/>
          <w:color w:val="auto"/>
          <w:kern w:val="0"/>
          <w:sz w:val="24"/>
          <w:szCs w:val="24"/>
          <w:highlight w:val="none"/>
          <w:lang w:val="en-US" w:eastAsia="zh-CN"/>
        </w:rPr>
        <w:t>。</w:t>
      </w:r>
    </w:p>
    <w:p w14:paraId="28450177">
      <w:pPr>
        <w:pStyle w:val="11"/>
        <w:numPr>
          <w:ilvl w:val="0"/>
          <w:numId w:val="0"/>
        </w:numPr>
        <w:rPr>
          <w:rFonts w:hint="eastAsia"/>
          <w:highlight w:val="none"/>
        </w:rPr>
      </w:pPr>
    </w:p>
    <w:p w14:paraId="0368D02A">
      <w:pPr>
        <w:pStyle w:val="11"/>
        <w:rPr>
          <w:rFonts w:hint="eastAsia" w:ascii="宋体" w:hAnsi="宋体" w:eastAsia="宋体" w:cs="宋体"/>
          <w:color w:val="auto"/>
          <w:highlight w:val="none"/>
          <w:lang w:val="en-US" w:eastAsia="zh-CN"/>
        </w:rPr>
      </w:pPr>
    </w:p>
    <w:p w14:paraId="26337FB9">
      <w:pPr>
        <w:pStyle w:val="11"/>
        <w:rPr>
          <w:rFonts w:hint="eastAsia" w:ascii="宋体" w:hAnsi="宋体" w:eastAsia="宋体" w:cs="宋体"/>
          <w:color w:val="auto"/>
          <w:highlight w:val="none"/>
          <w:lang w:val="en-US" w:eastAsia="zh-CN"/>
        </w:rPr>
      </w:pPr>
    </w:p>
    <w:p w14:paraId="26C79B61">
      <w:pPr>
        <w:snapToGrid w:val="0"/>
        <w:spacing w:line="480" w:lineRule="auto"/>
        <w:ind w:right="105" w:rightChars="50"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（盖章）：    </w:t>
      </w:r>
    </w:p>
    <w:p w14:paraId="40B089A2">
      <w:pPr>
        <w:snapToGrid w:val="0"/>
        <w:spacing w:line="480" w:lineRule="auto"/>
        <w:ind w:right="105" w:rightChars="50"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default" w:ascii="Times New Roman" w:hAnsi="Times New Roman" w:cs="Times New Roman"/>
          <w:color w:val="auto"/>
          <w:sz w:val="24"/>
          <w:highlight w:val="none"/>
        </w:rPr>
        <w:t>或</w:t>
      </w:r>
      <w:r>
        <w:rPr>
          <w:rFonts w:hint="default" w:ascii="Times New Roman" w:hAnsi="Times New Roman" w:cs="Times New Roman"/>
          <w:color w:val="auto"/>
          <w:sz w:val="24"/>
          <w:highlight w:val="none"/>
          <w:lang w:eastAsia="zh-CN"/>
        </w:rPr>
        <w:t>授权代表</w:t>
      </w:r>
      <w:r>
        <w:rPr>
          <w:rFonts w:hint="eastAsia" w:ascii="宋体" w:hAnsi="宋体" w:eastAsia="宋体" w:cs="宋体"/>
          <w:color w:val="auto"/>
          <w:sz w:val="24"/>
          <w:highlight w:val="none"/>
        </w:rPr>
        <w:t>（签字或盖章）：</w:t>
      </w:r>
    </w:p>
    <w:p w14:paraId="24356A00">
      <w:pPr>
        <w:pStyle w:val="20"/>
        <w:ind w:firstLine="4560" w:firstLineChars="1900"/>
        <w:rPr>
          <w:rFonts w:hint="eastAsia" w:ascii="宋体" w:hAnsi="宋体" w:eastAsia="宋体" w:cs="宋体"/>
          <w:color w:val="auto"/>
          <w:highlight w:val="none"/>
        </w:rPr>
      </w:pP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年</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 xml:space="preserve"> 月</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none"/>
          <w:lang w:val="en-US" w:eastAsia="zh-CN"/>
        </w:rPr>
        <w:t>日</w:t>
      </w:r>
    </w:p>
    <w:p w14:paraId="566BF5F5">
      <w:pPr>
        <w:snapToGrid w:val="0"/>
        <w:spacing w:line="360" w:lineRule="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br w:type="page"/>
      </w:r>
    </w:p>
    <w:p w14:paraId="56071C75">
      <w:pPr>
        <w:snapToGrid w:val="0"/>
        <w:spacing w:line="360" w:lineRule="auto"/>
        <w:rPr>
          <w:rFonts w:hint="default" w:ascii="宋体" w:hAnsi="宋体" w:eastAsia="宋体" w:cs="宋体"/>
          <w:b/>
          <w:color w:val="auto"/>
          <w:sz w:val="30"/>
          <w:szCs w:val="30"/>
          <w:highlight w:val="none"/>
          <w:lang w:val="en-US" w:eastAsia="zh-CN"/>
        </w:rPr>
      </w:pPr>
      <w:r>
        <w:rPr>
          <w:rFonts w:hint="eastAsia" w:ascii="宋体" w:hAnsi="宋体" w:cs="宋体"/>
          <w:b/>
          <w:color w:val="auto"/>
          <w:sz w:val="30"/>
          <w:szCs w:val="30"/>
          <w:highlight w:val="none"/>
          <w:lang w:val="en-US" w:eastAsia="zh-CN"/>
        </w:rPr>
        <w:t>附件八            1.供货渠道（如有，格式自拟）</w:t>
      </w:r>
    </w:p>
    <w:p w14:paraId="501C6431">
      <w:pPr>
        <w:snapToGrid w:val="0"/>
        <w:spacing w:line="360" w:lineRule="auto"/>
        <w:rPr>
          <w:rFonts w:hint="eastAsia" w:ascii="宋体" w:hAnsi="宋体" w:eastAsia="宋体" w:cs="宋体"/>
          <w:b/>
          <w:color w:val="auto"/>
          <w:sz w:val="30"/>
          <w:szCs w:val="30"/>
          <w:highlight w:val="none"/>
        </w:rPr>
      </w:pPr>
    </w:p>
    <w:p w14:paraId="6B356AAC">
      <w:pPr>
        <w:snapToGrid w:val="0"/>
        <w:spacing w:line="360" w:lineRule="auto"/>
        <w:jc w:val="center"/>
        <w:rPr>
          <w:rFonts w:hint="eastAsia" w:ascii="宋体" w:hAnsi="宋体" w:eastAsia="宋体" w:cs="宋体"/>
          <w:b/>
          <w:color w:val="auto"/>
          <w:sz w:val="30"/>
          <w:szCs w:val="30"/>
          <w:highlight w:val="none"/>
        </w:rPr>
      </w:pPr>
      <w:r>
        <w:rPr>
          <w:rFonts w:hint="eastAsia" w:ascii="宋体" w:hAnsi="宋体" w:cs="宋体"/>
          <w:b/>
          <w:color w:val="auto"/>
          <w:sz w:val="30"/>
          <w:szCs w:val="30"/>
          <w:highlight w:val="none"/>
          <w:lang w:val="en-US" w:eastAsia="zh-CN"/>
        </w:rPr>
        <w:t>2.</w:t>
      </w:r>
      <w:r>
        <w:rPr>
          <w:rFonts w:hint="eastAsia" w:ascii="宋体" w:hAnsi="宋体" w:eastAsia="宋体" w:cs="宋体"/>
          <w:b/>
          <w:color w:val="auto"/>
          <w:sz w:val="32"/>
          <w:szCs w:val="32"/>
          <w:highlight w:val="none"/>
        </w:rPr>
        <w:t>供货</w:t>
      </w:r>
      <w:r>
        <w:rPr>
          <w:rFonts w:hint="eastAsia" w:ascii="宋体" w:hAnsi="宋体" w:eastAsia="宋体" w:cs="宋体"/>
          <w:b/>
          <w:color w:val="auto"/>
          <w:sz w:val="32"/>
          <w:szCs w:val="32"/>
          <w:highlight w:val="none"/>
          <w:lang w:val="en-US" w:eastAsia="zh-CN"/>
        </w:rPr>
        <w:t>服务</w:t>
      </w:r>
      <w:r>
        <w:rPr>
          <w:rFonts w:hint="eastAsia" w:ascii="宋体" w:hAnsi="宋体" w:eastAsia="宋体" w:cs="宋体"/>
          <w:b/>
          <w:color w:val="auto"/>
          <w:sz w:val="32"/>
          <w:szCs w:val="32"/>
          <w:highlight w:val="none"/>
        </w:rPr>
        <w:t>方案（格式自拟）</w:t>
      </w:r>
    </w:p>
    <w:p w14:paraId="664F0207">
      <w:pPr>
        <w:pStyle w:val="11"/>
        <w:rPr>
          <w:rFonts w:hint="eastAsia" w:ascii="宋体" w:hAnsi="宋体" w:eastAsia="宋体" w:cs="宋体"/>
          <w:b/>
          <w:color w:val="auto"/>
          <w:sz w:val="30"/>
          <w:szCs w:val="30"/>
          <w:highlight w:val="none"/>
        </w:rPr>
      </w:pPr>
    </w:p>
    <w:p w14:paraId="226AFCE5">
      <w:pPr>
        <w:jc w:val="center"/>
        <w:rPr>
          <w:rFonts w:hint="eastAsia" w:ascii="宋体" w:hAnsi="宋体" w:eastAsia="宋体" w:cs="宋体"/>
          <w:b/>
          <w:color w:val="auto"/>
          <w:sz w:val="32"/>
          <w:szCs w:val="32"/>
          <w:highlight w:val="none"/>
        </w:rPr>
      </w:pPr>
      <w:r>
        <w:rPr>
          <w:rFonts w:hint="eastAsia" w:ascii="宋体" w:hAnsi="宋体" w:cs="宋体"/>
          <w:b/>
          <w:color w:val="auto"/>
          <w:sz w:val="30"/>
          <w:szCs w:val="30"/>
          <w:highlight w:val="none"/>
          <w:lang w:val="en-US" w:eastAsia="zh-CN"/>
        </w:rPr>
        <w:t>3.</w:t>
      </w:r>
      <w:r>
        <w:rPr>
          <w:rFonts w:hint="eastAsia" w:ascii="宋体" w:hAnsi="宋体" w:eastAsia="宋体" w:cs="宋体"/>
          <w:b/>
          <w:color w:val="auto"/>
          <w:sz w:val="32"/>
          <w:szCs w:val="32"/>
          <w:highlight w:val="none"/>
          <w:lang w:val="en-US" w:eastAsia="zh-CN"/>
        </w:rPr>
        <w:t>食品安全与质量保障方案</w:t>
      </w:r>
      <w:r>
        <w:rPr>
          <w:rFonts w:hint="eastAsia" w:ascii="宋体" w:hAnsi="宋体" w:eastAsia="宋体" w:cs="宋体"/>
          <w:b/>
          <w:color w:val="auto"/>
          <w:sz w:val="32"/>
          <w:szCs w:val="32"/>
          <w:highlight w:val="none"/>
        </w:rPr>
        <w:t>（格式自拟）</w:t>
      </w:r>
    </w:p>
    <w:p w14:paraId="58DB73EF">
      <w:pPr>
        <w:jc w:val="center"/>
        <w:rPr>
          <w:rFonts w:hint="eastAsia" w:ascii="宋体" w:hAnsi="宋体" w:eastAsia="宋体" w:cs="宋体"/>
          <w:b/>
          <w:color w:val="auto"/>
          <w:sz w:val="32"/>
          <w:szCs w:val="32"/>
          <w:highlight w:val="none"/>
          <w:lang w:eastAsia="zh-CN"/>
        </w:rPr>
      </w:pPr>
    </w:p>
    <w:p w14:paraId="7FA95057">
      <w:pPr>
        <w:tabs>
          <w:tab w:val="center" w:pos="4629"/>
        </w:tabs>
        <w:spacing w:before="240" w:after="480" w:line="360" w:lineRule="auto"/>
        <w:ind w:left="1807" w:hanging="1807" w:hangingChars="600"/>
        <w:jc w:val="center"/>
        <w:rPr>
          <w:rFonts w:hint="eastAsia" w:ascii="宋体" w:hAnsi="宋体" w:eastAsia="宋体" w:cs="宋体"/>
          <w:b/>
          <w:color w:val="auto"/>
          <w:sz w:val="32"/>
          <w:szCs w:val="32"/>
          <w:highlight w:val="none"/>
        </w:rPr>
      </w:pPr>
      <w:r>
        <w:rPr>
          <w:rFonts w:hint="eastAsia" w:ascii="宋体" w:hAnsi="宋体" w:cs="宋体"/>
          <w:b/>
          <w:color w:val="auto"/>
          <w:sz w:val="30"/>
          <w:szCs w:val="30"/>
          <w:highlight w:val="none"/>
          <w:lang w:val="en-US" w:eastAsia="zh-CN"/>
        </w:rPr>
        <w:t>4.</w:t>
      </w:r>
      <w:r>
        <w:rPr>
          <w:rFonts w:hint="eastAsia" w:ascii="宋体" w:hAnsi="宋体" w:eastAsia="宋体" w:cs="宋体"/>
          <w:b/>
          <w:color w:val="auto"/>
          <w:sz w:val="32"/>
          <w:szCs w:val="32"/>
          <w:highlight w:val="none"/>
          <w:lang w:val="en-US" w:eastAsia="zh-CN"/>
        </w:rPr>
        <w:t>实施管理及配送方案</w:t>
      </w:r>
      <w:r>
        <w:rPr>
          <w:rFonts w:hint="eastAsia" w:ascii="宋体" w:hAnsi="宋体" w:eastAsia="宋体" w:cs="宋体"/>
          <w:b/>
          <w:color w:val="auto"/>
          <w:sz w:val="32"/>
          <w:szCs w:val="32"/>
          <w:highlight w:val="none"/>
        </w:rPr>
        <w:t>（格式自拟）</w:t>
      </w:r>
    </w:p>
    <w:p w14:paraId="400FFE8B">
      <w:pPr>
        <w:tabs>
          <w:tab w:val="center" w:pos="4629"/>
        </w:tabs>
        <w:spacing w:before="240" w:after="480" w:line="360" w:lineRule="auto"/>
        <w:jc w:val="center"/>
        <w:rPr>
          <w:rFonts w:hint="eastAsia"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5.</w:t>
      </w:r>
      <w:r>
        <w:rPr>
          <w:rFonts w:hint="eastAsia" w:ascii="宋体" w:hAnsi="宋体" w:eastAsia="宋体" w:cs="宋体"/>
          <w:b/>
          <w:color w:val="auto"/>
          <w:sz w:val="32"/>
          <w:szCs w:val="32"/>
          <w:highlight w:val="none"/>
          <w:lang w:val="en-US" w:eastAsia="zh-CN"/>
        </w:rPr>
        <w:t>临时响应时效</w:t>
      </w:r>
      <w:r>
        <w:rPr>
          <w:rFonts w:hint="eastAsia" w:ascii="宋体" w:hAnsi="宋体" w:cs="宋体"/>
          <w:b/>
          <w:color w:val="auto"/>
          <w:sz w:val="32"/>
          <w:szCs w:val="32"/>
          <w:highlight w:val="none"/>
          <w:lang w:val="en-US" w:eastAsia="zh-CN"/>
        </w:rPr>
        <w:t>（如有，</w:t>
      </w:r>
      <w:r>
        <w:rPr>
          <w:rFonts w:hint="eastAsia" w:ascii="宋体" w:hAnsi="宋体" w:eastAsia="宋体" w:cs="宋体"/>
          <w:b/>
          <w:color w:val="auto"/>
          <w:sz w:val="32"/>
          <w:szCs w:val="32"/>
          <w:highlight w:val="none"/>
          <w:lang w:val="en-US" w:eastAsia="zh-CN"/>
        </w:rPr>
        <w:t>格式自拟</w:t>
      </w:r>
      <w:r>
        <w:rPr>
          <w:rFonts w:hint="eastAsia" w:ascii="宋体" w:hAnsi="宋体" w:cs="宋体"/>
          <w:b/>
          <w:color w:val="auto"/>
          <w:sz w:val="32"/>
          <w:szCs w:val="32"/>
          <w:highlight w:val="none"/>
          <w:lang w:val="en-US" w:eastAsia="zh-CN"/>
        </w:rPr>
        <w:t>）</w:t>
      </w:r>
    </w:p>
    <w:p w14:paraId="24A8B307">
      <w:pPr>
        <w:tabs>
          <w:tab w:val="center" w:pos="4629"/>
        </w:tabs>
        <w:spacing w:before="240" w:after="480" w:line="360" w:lineRule="auto"/>
        <w:jc w:val="center"/>
        <w:rPr>
          <w:rFonts w:hint="eastAsia"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6.</w:t>
      </w:r>
      <w:r>
        <w:rPr>
          <w:rFonts w:hint="eastAsia" w:ascii="宋体" w:hAnsi="宋体" w:eastAsia="宋体" w:cs="宋体"/>
          <w:b/>
          <w:color w:val="auto"/>
          <w:sz w:val="32"/>
          <w:szCs w:val="32"/>
          <w:highlight w:val="none"/>
          <w:lang w:val="en-US" w:eastAsia="zh-CN"/>
        </w:rPr>
        <w:t>应急情况处理方案</w:t>
      </w:r>
      <w:r>
        <w:rPr>
          <w:rFonts w:hint="eastAsia" w:ascii="宋体" w:hAnsi="宋体" w:cs="宋体"/>
          <w:b/>
          <w:color w:val="auto"/>
          <w:sz w:val="32"/>
          <w:szCs w:val="32"/>
          <w:highlight w:val="none"/>
          <w:lang w:val="en-US" w:eastAsia="zh-CN"/>
        </w:rPr>
        <w:t>（</w:t>
      </w:r>
      <w:r>
        <w:rPr>
          <w:rFonts w:hint="eastAsia" w:ascii="宋体" w:hAnsi="宋体" w:eastAsia="宋体" w:cs="宋体"/>
          <w:b/>
          <w:color w:val="auto"/>
          <w:sz w:val="32"/>
          <w:szCs w:val="32"/>
          <w:highlight w:val="none"/>
          <w:lang w:val="en-US" w:eastAsia="zh-CN"/>
        </w:rPr>
        <w:t xml:space="preserve">格式自拟 </w:t>
      </w:r>
      <w:r>
        <w:rPr>
          <w:rFonts w:hint="eastAsia" w:ascii="宋体" w:hAnsi="宋体" w:cs="宋体"/>
          <w:b/>
          <w:color w:val="auto"/>
          <w:sz w:val="32"/>
          <w:szCs w:val="32"/>
          <w:highlight w:val="none"/>
          <w:lang w:val="en-US" w:eastAsia="zh-CN"/>
        </w:rPr>
        <w:t>）</w:t>
      </w:r>
    </w:p>
    <w:p w14:paraId="090BC431">
      <w:pPr>
        <w:tabs>
          <w:tab w:val="center" w:pos="4629"/>
        </w:tabs>
        <w:spacing w:before="240" w:after="480" w:line="360" w:lineRule="auto"/>
        <w:jc w:val="center"/>
        <w:rPr>
          <w:rFonts w:hint="default" w:ascii="宋体" w:hAnsi="宋体" w:eastAsia="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7.</w:t>
      </w:r>
      <w:r>
        <w:rPr>
          <w:rFonts w:hint="eastAsia" w:ascii="宋体" w:hAnsi="宋体" w:eastAsia="宋体" w:cs="宋体"/>
          <w:b/>
          <w:color w:val="auto"/>
          <w:sz w:val="32"/>
          <w:szCs w:val="32"/>
          <w:highlight w:val="none"/>
          <w:lang w:val="en-US" w:eastAsia="zh-CN"/>
        </w:rPr>
        <w:t>后期服承诺及改进方案（如有，格式自拟）</w:t>
      </w:r>
    </w:p>
    <w:p w14:paraId="6C5B53B5">
      <w:pPr>
        <w:tabs>
          <w:tab w:val="center" w:pos="4629"/>
        </w:tabs>
        <w:spacing w:before="240" w:after="480" w:line="360" w:lineRule="auto"/>
        <w:ind w:left="1807" w:hanging="1807" w:hangingChars="600"/>
        <w:jc w:val="both"/>
        <w:rPr>
          <w:rFonts w:hint="eastAsia" w:ascii="宋体" w:hAnsi="宋体" w:cs="宋体"/>
          <w:b/>
          <w:color w:val="auto"/>
          <w:sz w:val="30"/>
          <w:szCs w:val="30"/>
          <w:highlight w:val="none"/>
          <w:lang w:val="en-US" w:eastAsia="zh-CN"/>
        </w:rPr>
      </w:pPr>
      <w:r>
        <w:rPr>
          <w:rFonts w:hint="eastAsia" w:ascii="宋体" w:hAnsi="宋体" w:cs="宋体"/>
          <w:b/>
          <w:color w:val="auto"/>
          <w:sz w:val="30"/>
          <w:szCs w:val="30"/>
          <w:highlight w:val="none"/>
          <w:lang w:val="en-US" w:eastAsia="zh-CN"/>
        </w:rPr>
        <w:t xml:space="preserve"> </w:t>
      </w:r>
    </w:p>
    <w:p w14:paraId="494E6E33">
      <w:pPr>
        <w:tabs>
          <w:tab w:val="center" w:pos="4629"/>
        </w:tabs>
        <w:spacing w:before="240" w:after="480" w:line="360" w:lineRule="auto"/>
        <w:ind w:left="1807" w:hanging="1807" w:hangingChars="600"/>
        <w:jc w:val="both"/>
        <w:rPr>
          <w:rFonts w:hint="eastAsia" w:ascii="宋体" w:hAnsi="宋体" w:cs="宋体"/>
          <w:b/>
          <w:color w:val="auto"/>
          <w:sz w:val="30"/>
          <w:szCs w:val="30"/>
          <w:highlight w:val="none"/>
          <w:lang w:val="en-US" w:eastAsia="zh-CN"/>
        </w:rPr>
      </w:pPr>
    </w:p>
    <w:p w14:paraId="5704DDF2">
      <w:pPr>
        <w:tabs>
          <w:tab w:val="center" w:pos="4629"/>
        </w:tabs>
        <w:spacing w:before="240" w:after="480" w:line="360" w:lineRule="auto"/>
        <w:ind w:left="1807" w:hanging="1807" w:hangingChars="600"/>
        <w:jc w:val="both"/>
        <w:rPr>
          <w:rFonts w:hint="eastAsia" w:ascii="宋体" w:hAnsi="宋体" w:cs="宋体"/>
          <w:b/>
          <w:color w:val="auto"/>
          <w:sz w:val="30"/>
          <w:szCs w:val="30"/>
          <w:highlight w:val="none"/>
          <w:lang w:val="en-US" w:eastAsia="zh-CN"/>
        </w:rPr>
      </w:pPr>
    </w:p>
    <w:p w14:paraId="13799B23">
      <w:pPr>
        <w:tabs>
          <w:tab w:val="center" w:pos="4629"/>
        </w:tabs>
        <w:spacing w:before="240" w:after="480" w:line="360" w:lineRule="auto"/>
        <w:ind w:left="1807" w:hanging="1807" w:hangingChars="600"/>
        <w:jc w:val="both"/>
        <w:rPr>
          <w:rFonts w:hint="eastAsia" w:ascii="宋体" w:hAnsi="宋体" w:cs="宋体"/>
          <w:b/>
          <w:color w:val="auto"/>
          <w:sz w:val="30"/>
          <w:szCs w:val="30"/>
          <w:highlight w:val="none"/>
          <w:lang w:val="en-US" w:eastAsia="zh-CN"/>
        </w:rPr>
      </w:pPr>
    </w:p>
    <w:p w14:paraId="54D1A4BA">
      <w:pPr>
        <w:tabs>
          <w:tab w:val="center" w:pos="4629"/>
        </w:tabs>
        <w:spacing w:before="240" w:after="480" w:line="360" w:lineRule="auto"/>
        <w:ind w:left="1807" w:hanging="1807" w:hangingChars="600"/>
        <w:jc w:val="both"/>
        <w:rPr>
          <w:rFonts w:hint="eastAsia" w:ascii="宋体" w:hAnsi="宋体" w:cs="宋体"/>
          <w:b/>
          <w:color w:val="auto"/>
          <w:sz w:val="30"/>
          <w:szCs w:val="30"/>
          <w:highlight w:val="none"/>
          <w:lang w:val="en-US" w:eastAsia="zh-CN"/>
        </w:rPr>
      </w:pPr>
    </w:p>
    <w:p w14:paraId="0FACF161">
      <w:pPr>
        <w:tabs>
          <w:tab w:val="center" w:pos="4629"/>
        </w:tabs>
        <w:spacing w:before="240" w:after="480" w:line="360" w:lineRule="auto"/>
        <w:ind w:left="1807" w:hanging="1807" w:hangingChars="600"/>
        <w:jc w:val="both"/>
        <w:rPr>
          <w:rFonts w:hint="eastAsia" w:ascii="宋体" w:hAnsi="宋体" w:cs="宋体"/>
          <w:b/>
          <w:color w:val="auto"/>
          <w:sz w:val="32"/>
          <w:szCs w:val="32"/>
          <w:highlight w:val="none"/>
          <w:lang w:val="en-US" w:eastAsia="zh-CN"/>
        </w:rPr>
      </w:pPr>
      <w:r>
        <w:rPr>
          <w:rFonts w:hint="eastAsia" w:ascii="宋体" w:hAnsi="宋体" w:cs="宋体"/>
          <w:b/>
          <w:color w:val="auto"/>
          <w:sz w:val="30"/>
          <w:szCs w:val="30"/>
          <w:highlight w:val="none"/>
          <w:lang w:val="en-US" w:eastAsia="zh-CN"/>
        </w:rPr>
        <w:t>附件九     食材供应安全</w:t>
      </w:r>
      <w:r>
        <w:rPr>
          <w:rFonts w:hint="eastAsia" w:ascii="宋体" w:hAnsi="宋体" w:cs="宋体"/>
          <w:b/>
          <w:color w:val="auto"/>
          <w:sz w:val="32"/>
          <w:szCs w:val="32"/>
          <w:highlight w:val="none"/>
          <w:lang w:val="en-US" w:eastAsia="zh-CN"/>
        </w:rPr>
        <w:t>保证承诺（内容按照招标文件“第四部分 采购项目需求”中采购人对所供食材的质量标准要求做出书面承诺）</w:t>
      </w:r>
    </w:p>
    <w:p w14:paraId="29BEBCAE">
      <w:pPr>
        <w:pStyle w:val="11"/>
        <w:rPr>
          <w:rFonts w:hint="eastAsia"/>
          <w:highlight w:val="none"/>
        </w:rPr>
      </w:pPr>
    </w:p>
    <w:p w14:paraId="44FB8854">
      <w:pPr>
        <w:pStyle w:val="31"/>
        <w:ind w:firstLine="2249" w:firstLineChars="700"/>
        <w:rPr>
          <w:rFonts w:hint="eastAsia" w:ascii="宋体" w:hAnsi="宋体" w:eastAsia="宋体" w:cs="宋体"/>
          <w:b/>
          <w:color w:val="auto"/>
          <w:kern w:val="2"/>
          <w:sz w:val="32"/>
          <w:szCs w:val="32"/>
          <w:highlight w:val="none"/>
          <w:lang w:val="en-US" w:eastAsia="zh-CN" w:bidi="ar-SA"/>
        </w:rPr>
      </w:pPr>
    </w:p>
    <w:p w14:paraId="34ED66D6">
      <w:pPr>
        <w:pStyle w:val="20"/>
        <w:rPr>
          <w:rFonts w:hint="eastAsia" w:ascii="宋体" w:hAnsi="宋体" w:eastAsia="宋体" w:cs="宋体"/>
          <w:color w:val="auto"/>
          <w:highlight w:val="none"/>
        </w:rPr>
      </w:pPr>
    </w:p>
    <w:p w14:paraId="670E94E2">
      <w:pPr>
        <w:tabs>
          <w:tab w:val="center" w:pos="4629"/>
        </w:tabs>
        <w:spacing w:before="240" w:after="480" w:line="360" w:lineRule="auto"/>
        <w:jc w:val="center"/>
        <w:rPr>
          <w:rFonts w:hint="eastAsia" w:ascii="宋体" w:hAnsi="宋体" w:eastAsia="宋体" w:cs="宋体"/>
          <w:color w:val="00B050"/>
          <w:highlight w:val="none"/>
        </w:rPr>
      </w:pPr>
      <w:r>
        <w:rPr>
          <w:rFonts w:hint="eastAsia" w:ascii="宋体" w:hAnsi="宋体" w:eastAsia="宋体" w:cs="宋体"/>
          <w:b/>
          <w:color w:val="auto"/>
          <w:sz w:val="30"/>
          <w:szCs w:val="30"/>
          <w:highlight w:val="none"/>
        </w:rPr>
        <w:br w:type="page"/>
      </w:r>
    </w:p>
    <w:p w14:paraId="407A569F">
      <w:pPr>
        <w:rPr>
          <w:rFonts w:hint="eastAsia"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rPr>
        <w:t>附件十</w:t>
      </w:r>
    </w:p>
    <w:p w14:paraId="7A37EB90">
      <w:pPr>
        <w:tabs>
          <w:tab w:val="center" w:pos="4629"/>
        </w:tabs>
        <w:spacing w:before="240" w:after="480"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其他有利本次招标的资料</w:t>
      </w:r>
    </w:p>
    <w:p w14:paraId="444879BB">
      <w:pPr>
        <w:pStyle w:val="6"/>
        <w:rPr>
          <w:rFonts w:hint="eastAsia" w:ascii="宋体" w:hAnsi="宋体" w:eastAsia="宋体" w:cs="宋体"/>
          <w:highlight w:val="none"/>
        </w:rPr>
      </w:pPr>
      <w:r>
        <w:rPr>
          <w:rFonts w:hint="eastAsia" w:ascii="宋体" w:hAnsi="宋体" w:eastAsia="宋体" w:cs="宋体"/>
          <w:bCs/>
          <w:color w:val="auto"/>
          <w:kern w:val="2"/>
          <w:sz w:val="30"/>
          <w:szCs w:val="30"/>
          <w:highlight w:val="none"/>
          <w:lang w:val="en-US" w:eastAsia="zh-CN" w:bidi="ar-SA"/>
        </w:rPr>
        <w:t>包括但不限于以下内容：</w:t>
      </w:r>
    </w:p>
    <w:p w14:paraId="455B9D0E">
      <w:pPr>
        <w:tabs>
          <w:tab w:val="center" w:pos="4629"/>
        </w:tabs>
        <w:spacing w:before="240" w:after="480" w:line="360" w:lineRule="auto"/>
        <w:ind w:firstLine="600" w:firstLineChars="200"/>
        <w:jc w:val="both"/>
        <w:rPr>
          <w:rFonts w:hint="eastAsia" w:ascii="宋体" w:hAnsi="宋体" w:eastAsia="宋体" w:cs="宋体"/>
          <w:bCs/>
          <w:color w:val="auto"/>
          <w:kern w:val="2"/>
          <w:sz w:val="30"/>
          <w:szCs w:val="30"/>
          <w:highlight w:val="none"/>
          <w:lang w:val="en-US" w:eastAsia="zh-CN" w:bidi="ar-SA"/>
        </w:rPr>
      </w:pPr>
      <w:r>
        <w:rPr>
          <w:rFonts w:hint="eastAsia" w:ascii="宋体" w:hAnsi="宋体" w:eastAsia="宋体" w:cs="宋体"/>
          <w:bCs/>
          <w:color w:val="auto"/>
          <w:kern w:val="2"/>
          <w:sz w:val="30"/>
          <w:szCs w:val="30"/>
          <w:highlight w:val="none"/>
          <w:lang w:val="en-US" w:eastAsia="zh-CN" w:bidi="ar-SA"/>
        </w:rPr>
        <w:t>①投标人的经营场所图片并配相应的文字说明</w:t>
      </w:r>
    </w:p>
    <w:p w14:paraId="2ED085BF">
      <w:pPr>
        <w:tabs>
          <w:tab w:val="center" w:pos="4629"/>
        </w:tabs>
        <w:spacing w:before="240" w:after="480" w:line="360" w:lineRule="auto"/>
        <w:ind w:firstLine="600" w:firstLineChars="200"/>
        <w:jc w:val="both"/>
        <w:rPr>
          <w:rFonts w:hint="eastAsia" w:ascii="宋体" w:hAnsi="宋体" w:eastAsia="宋体" w:cs="宋体"/>
          <w:bCs/>
          <w:color w:val="auto"/>
          <w:kern w:val="2"/>
          <w:sz w:val="30"/>
          <w:szCs w:val="30"/>
          <w:highlight w:val="none"/>
          <w:lang w:val="en-US" w:eastAsia="zh-CN" w:bidi="ar-SA"/>
        </w:rPr>
      </w:pPr>
      <w:r>
        <w:rPr>
          <w:rFonts w:hint="eastAsia" w:ascii="宋体" w:hAnsi="宋体" w:eastAsia="宋体" w:cs="宋体"/>
          <w:bCs/>
          <w:color w:val="auto"/>
          <w:kern w:val="2"/>
          <w:sz w:val="30"/>
          <w:szCs w:val="30"/>
          <w:highlight w:val="none"/>
          <w:lang w:val="en-US" w:eastAsia="zh-CN" w:bidi="ar-SA"/>
        </w:rPr>
        <w:t>②其他投标人认为有利于本次招标的内容</w:t>
      </w:r>
    </w:p>
    <w:p w14:paraId="4BE9DE5B">
      <w:pPr>
        <w:rPr>
          <w:rFonts w:hint="eastAsia" w:ascii="宋体" w:hAnsi="宋体" w:eastAsia="宋体" w:cs="宋体"/>
          <w:b/>
          <w:color w:val="auto"/>
          <w:sz w:val="30"/>
          <w:szCs w:val="30"/>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b/>
          <w:color w:val="auto"/>
          <w:sz w:val="30"/>
          <w:szCs w:val="30"/>
          <w:highlight w:val="none"/>
        </w:rPr>
        <w:t>附件十</w:t>
      </w:r>
      <w:r>
        <w:rPr>
          <w:rFonts w:hint="eastAsia" w:ascii="宋体" w:hAnsi="宋体" w:cs="宋体"/>
          <w:b/>
          <w:color w:val="auto"/>
          <w:sz w:val="30"/>
          <w:szCs w:val="30"/>
          <w:highlight w:val="none"/>
          <w:lang w:val="en-US" w:eastAsia="zh-CN"/>
        </w:rPr>
        <w:t>一</w:t>
      </w:r>
    </w:p>
    <w:p w14:paraId="032C7D33">
      <w:pPr>
        <w:jc w:val="center"/>
        <w:rPr>
          <w:rFonts w:hint="eastAsia" w:ascii="宋体" w:hAnsi="宋体" w:eastAsia="宋体" w:cs="宋体"/>
          <w:sz w:val="21"/>
          <w:highlight w:val="none"/>
        </w:rPr>
      </w:pPr>
      <w:r>
        <w:rPr>
          <w:rFonts w:hint="eastAsia" w:ascii="宋体" w:hAnsi="宋体" w:eastAsia="宋体" w:cs="宋体"/>
          <w:b/>
          <w:bCs/>
          <w:spacing w:val="7"/>
          <w:sz w:val="35"/>
          <w:szCs w:val="35"/>
          <w:highlight w:val="none"/>
        </w:rPr>
        <w:t>中小企业声明函（服务）</w:t>
      </w:r>
    </w:p>
    <w:p w14:paraId="2C11E986">
      <w:pPr>
        <w:pStyle w:val="10"/>
        <w:widowControl/>
        <w:kinsoku w:val="0"/>
        <w:autoSpaceDE w:val="0"/>
        <w:autoSpaceDN w:val="0"/>
        <w:adjustRightInd w:val="0"/>
        <w:snapToGrid w:val="0"/>
        <w:spacing w:before="16" w:after="0" w:line="24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lang w:val="en-US" w:eastAsia="zh-CN"/>
        </w:rPr>
      </w:pPr>
      <w:r>
        <w:rPr>
          <w:rFonts w:hint="eastAsia" w:ascii="宋体" w:hAnsi="宋体" w:eastAsia="宋体" w:cs="宋体"/>
          <w:snapToGrid w:val="0"/>
          <w:color w:val="000000"/>
          <w:spacing w:val="7"/>
          <w:kern w:val="0"/>
          <w:sz w:val="31"/>
          <w:szCs w:val="31"/>
          <w:highlight w:val="none"/>
          <w:lang w:val="en-US" w:eastAsia="zh-CN"/>
        </w:rPr>
        <w:t>本公司（联合体）郑重声明，根据《政府采购促进中小 企业发展管理办法》（财库﹝2020﹞46 号）的规定，本公司 （联合体）参加</w:t>
      </w:r>
      <w:r>
        <w:rPr>
          <w:rFonts w:hint="eastAsia" w:ascii="宋体" w:hAnsi="宋体" w:eastAsia="宋体" w:cs="宋体"/>
          <w:snapToGrid w:val="0"/>
          <w:color w:val="000000"/>
          <w:spacing w:val="7"/>
          <w:kern w:val="0"/>
          <w:sz w:val="31"/>
          <w:szCs w:val="31"/>
          <w:highlight w:val="none"/>
          <w:u w:val="single"/>
          <w:lang w:val="en-US" w:eastAsia="zh-CN"/>
        </w:rPr>
        <w:t>（</w:t>
      </w:r>
      <w:r>
        <w:rPr>
          <w:rFonts w:hint="eastAsia" w:ascii="宋体" w:hAnsi="宋体" w:cs="宋体"/>
          <w:snapToGrid w:val="0"/>
          <w:color w:val="auto"/>
          <w:spacing w:val="7"/>
          <w:kern w:val="0"/>
          <w:sz w:val="31"/>
          <w:szCs w:val="31"/>
          <w:highlight w:val="none"/>
          <w:u w:val="single"/>
          <w:lang w:val="en-US" w:eastAsia="zh-CN"/>
        </w:rPr>
        <w:t>中华人民共和国吉木乃出入境边防检查站</w:t>
      </w:r>
      <w:r>
        <w:rPr>
          <w:rFonts w:hint="eastAsia" w:ascii="宋体" w:hAnsi="宋体" w:eastAsia="宋体" w:cs="宋体"/>
          <w:snapToGrid w:val="0"/>
          <w:color w:val="000000"/>
          <w:spacing w:val="7"/>
          <w:kern w:val="0"/>
          <w:sz w:val="31"/>
          <w:szCs w:val="31"/>
          <w:highlight w:val="none"/>
          <w:u w:val="single"/>
          <w:lang w:val="en-US" w:eastAsia="zh-CN"/>
        </w:rPr>
        <w:t>）</w:t>
      </w:r>
      <w:r>
        <w:rPr>
          <w:rFonts w:hint="eastAsia" w:ascii="宋体" w:hAnsi="宋体" w:eastAsia="宋体" w:cs="宋体"/>
          <w:snapToGrid w:val="0"/>
          <w:color w:val="000000"/>
          <w:spacing w:val="7"/>
          <w:kern w:val="0"/>
          <w:sz w:val="31"/>
          <w:szCs w:val="31"/>
          <w:highlight w:val="none"/>
          <w:lang w:val="en-US" w:eastAsia="zh-CN"/>
        </w:rPr>
        <w:t>的</w:t>
      </w:r>
      <w:r>
        <w:rPr>
          <w:rFonts w:hint="eastAsia" w:ascii="宋体" w:hAnsi="宋体" w:cs="宋体"/>
          <w:snapToGrid w:val="0"/>
          <w:color w:val="000000"/>
          <w:spacing w:val="7"/>
          <w:kern w:val="0"/>
          <w:sz w:val="31"/>
          <w:szCs w:val="31"/>
          <w:highlight w:val="none"/>
          <w:u w:val="single"/>
          <w:lang w:val="en-US" w:eastAsia="zh-CN"/>
        </w:rPr>
        <w:t>中华人民共和国吉木乃出入境边防检查站主副食配送服务采购项目</w:t>
      </w:r>
      <w:r>
        <w:rPr>
          <w:rFonts w:hint="eastAsia" w:ascii="宋体" w:hAnsi="宋体" w:eastAsia="宋体" w:cs="宋体"/>
          <w:snapToGrid w:val="0"/>
          <w:color w:val="000000"/>
          <w:spacing w:val="7"/>
          <w:kern w:val="0"/>
          <w:sz w:val="31"/>
          <w:szCs w:val="31"/>
          <w:highlight w:val="none"/>
          <w:lang w:val="en-US" w:eastAsia="zh-CN"/>
        </w:rPr>
        <w:t>采购活动，工程的施工单位全部为符合政策要求的中小企业（或者：服务全部由符合政策要求的中小企业承接）。相关企业（含联合 体中的中小企业、签订分包意向协议的中小企业）的具体情况如下：</w:t>
      </w:r>
    </w:p>
    <w:p w14:paraId="6849B6D7">
      <w:pPr>
        <w:pStyle w:val="10"/>
        <w:widowControl/>
        <w:kinsoku w:val="0"/>
        <w:autoSpaceDE w:val="0"/>
        <w:autoSpaceDN w:val="0"/>
        <w:adjustRightInd w:val="0"/>
        <w:snapToGrid w:val="0"/>
        <w:spacing w:before="16" w:after="0" w:line="24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u w:val="none"/>
          <w:lang w:val="en-US" w:eastAsia="zh-CN"/>
        </w:rPr>
      </w:pPr>
      <w:r>
        <w:rPr>
          <w:rFonts w:hint="eastAsia" w:ascii="宋体" w:hAnsi="宋体" w:eastAsia="宋体" w:cs="宋体"/>
          <w:snapToGrid w:val="0"/>
          <w:color w:val="000000"/>
          <w:spacing w:val="7"/>
          <w:kern w:val="0"/>
          <w:sz w:val="31"/>
          <w:szCs w:val="31"/>
          <w:highlight w:val="none"/>
          <w:lang w:val="en-US" w:eastAsia="zh-CN"/>
        </w:rPr>
        <w:t>1.</w:t>
      </w:r>
      <w:r>
        <w:rPr>
          <w:rFonts w:hint="eastAsia" w:ascii="宋体" w:hAnsi="宋体" w:eastAsia="宋体" w:cs="宋体"/>
          <w:snapToGrid w:val="0"/>
          <w:color w:val="000000"/>
          <w:spacing w:val="7"/>
          <w:kern w:val="0"/>
          <w:sz w:val="31"/>
          <w:szCs w:val="31"/>
          <w:highlight w:val="none"/>
          <w:u w:val="single"/>
          <w:lang w:val="en-US" w:eastAsia="zh-CN"/>
        </w:rPr>
        <w:t xml:space="preserve"> 主副食材配送服务</w:t>
      </w:r>
      <w:r>
        <w:rPr>
          <w:rFonts w:hint="eastAsia" w:ascii="宋体" w:hAnsi="宋体" w:eastAsia="宋体" w:cs="宋体"/>
          <w:snapToGrid w:val="0"/>
          <w:color w:val="000000"/>
          <w:spacing w:val="7"/>
          <w:kern w:val="0"/>
          <w:sz w:val="31"/>
          <w:szCs w:val="31"/>
          <w:highlight w:val="none"/>
          <w:lang w:val="en-US" w:eastAsia="zh-CN"/>
        </w:rPr>
        <w:t>，属于</w:t>
      </w:r>
      <w:bookmarkStart w:id="81" w:name="OLE_LINK4"/>
      <w:r>
        <w:rPr>
          <w:rFonts w:hint="eastAsia" w:ascii="宋体" w:hAnsi="宋体" w:eastAsia="宋体" w:cs="宋体"/>
          <w:snapToGrid w:val="0"/>
          <w:color w:val="000000"/>
          <w:spacing w:val="7"/>
          <w:kern w:val="0"/>
          <w:sz w:val="31"/>
          <w:szCs w:val="31"/>
          <w:highlight w:val="none"/>
          <w:u w:val="single"/>
          <w:lang w:val="en-US" w:eastAsia="zh-CN"/>
        </w:rPr>
        <w:t>零售业</w:t>
      </w:r>
      <w:bookmarkEnd w:id="81"/>
      <w:r>
        <w:rPr>
          <w:rFonts w:hint="eastAsia" w:ascii="宋体" w:hAnsi="宋体" w:eastAsia="宋体" w:cs="宋体"/>
          <w:snapToGrid w:val="0"/>
          <w:color w:val="000000"/>
          <w:spacing w:val="7"/>
          <w:kern w:val="0"/>
          <w:sz w:val="31"/>
          <w:szCs w:val="31"/>
          <w:highlight w:val="none"/>
          <w:u w:val="none"/>
          <w:lang w:val="en-US" w:eastAsia="zh-CN"/>
        </w:rPr>
        <w:t>（采购文件中明确的所属行业）</w:t>
      </w:r>
      <w:r>
        <w:rPr>
          <w:rFonts w:hint="eastAsia" w:ascii="宋体" w:hAnsi="宋体" w:eastAsia="宋体" w:cs="宋体"/>
          <w:snapToGrid w:val="0"/>
          <w:color w:val="000000"/>
          <w:spacing w:val="7"/>
          <w:kern w:val="0"/>
          <w:sz w:val="31"/>
          <w:szCs w:val="31"/>
          <w:highlight w:val="none"/>
          <w:lang w:val="en-US" w:eastAsia="zh-CN"/>
        </w:rPr>
        <w:t>； 承建（承接）企业为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u w:val="none"/>
          <w:lang w:val="en-US" w:eastAsia="zh-CN"/>
        </w:rPr>
        <w:t xml:space="preserve"> （企业名称）</w:t>
      </w:r>
      <w:r>
        <w:rPr>
          <w:rFonts w:hint="eastAsia" w:ascii="宋体" w:hAnsi="宋体" w:eastAsia="宋体" w:cs="宋体"/>
          <w:snapToGrid w:val="0"/>
          <w:color w:val="000000"/>
          <w:spacing w:val="7"/>
          <w:kern w:val="0"/>
          <w:sz w:val="31"/>
          <w:szCs w:val="31"/>
          <w:highlight w:val="none"/>
          <w:lang w:val="en-US" w:eastAsia="zh-CN"/>
        </w:rPr>
        <w:t>，从业人员</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人，营业收入为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万元，资产总额为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万元，属于</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u w:val="none"/>
          <w:lang w:val="en-US" w:eastAsia="zh-CN"/>
        </w:rPr>
        <w:t xml:space="preserve"> （中型企业、 小型企业、微型企业）；</w:t>
      </w:r>
    </w:p>
    <w:p w14:paraId="2A51EF34">
      <w:pPr>
        <w:pStyle w:val="10"/>
        <w:widowControl/>
        <w:kinsoku w:val="0"/>
        <w:autoSpaceDE w:val="0"/>
        <w:autoSpaceDN w:val="0"/>
        <w:adjustRightInd w:val="0"/>
        <w:snapToGrid w:val="0"/>
        <w:spacing w:before="16" w:after="0" w:line="24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u w:val="none"/>
          <w:lang w:val="en-US" w:eastAsia="zh-CN"/>
        </w:rPr>
      </w:pPr>
      <w:r>
        <w:rPr>
          <w:rFonts w:hint="eastAsia" w:ascii="宋体" w:hAnsi="宋体" w:cs="宋体"/>
          <w:snapToGrid w:val="0"/>
          <w:color w:val="000000"/>
          <w:spacing w:val="7"/>
          <w:kern w:val="0"/>
          <w:sz w:val="31"/>
          <w:szCs w:val="31"/>
          <w:highlight w:val="none"/>
          <w:lang w:val="en-US" w:eastAsia="zh-CN"/>
        </w:rPr>
        <w:t>2</w:t>
      </w:r>
      <w:r>
        <w:rPr>
          <w:rFonts w:hint="eastAsia" w:ascii="宋体" w:hAnsi="宋体" w:eastAsia="宋体" w:cs="宋体"/>
          <w:snapToGrid w:val="0"/>
          <w:color w:val="000000"/>
          <w:spacing w:val="7"/>
          <w:kern w:val="0"/>
          <w:sz w:val="31"/>
          <w:szCs w:val="31"/>
          <w:highlight w:val="none"/>
          <w:lang w:val="en-US" w:eastAsia="zh-CN"/>
        </w:rPr>
        <w:t>.</w:t>
      </w:r>
      <w:r>
        <w:rPr>
          <w:rFonts w:hint="eastAsia" w:ascii="宋体" w:hAnsi="宋体" w:eastAsia="宋体" w:cs="宋体"/>
          <w:snapToGrid w:val="0"/>
          <w:color w:val="000000"/>
          <w:spacing w:val="7"/>
          <w:kern w:val="0"/>
          <w:sz w:val="31"/>
          <w:szCs w:val="31"/>
          <w:highlight w:val="none"/>
          <w:u w:val="single"/>
          <w:lang w:val="en-US" w:eastAsia="zh-CN"/>
        </w:rPr>
        <w:t xml:space="preserve"> 主副食材配送服务</w:t>
      </w:r>
      <w:r>
        <w:rPr>
          <w:rFonts w:hint="eastAsia" w:ascii="宋体" w:hAnsi="宋体" w:eastAsia="宋体" w:cs="宋体"/>
          <w:snapToGrid w:val="0"/>
          <w:color w:val="000000"/>
          <w:spacing w:val="7"/>
          <w:kern w:val="0"/>
          <w:sz w:val="31"/>
          <w:szCs w:val="31"/>
          <w:highlight w:val="none"/>
          <w:lang w:val="en-US" w:eastAsia="zh-CN"/>
        </w:rPr>
        <w:t>，属于</w:t>
      </w:r>
      <w:r>
        <w:rPr>
          <w:rFonts w:hint="eastAsia" w:ascii="宋体" w:hAnsi="宋体" w:eastAsia="宋体" w:cs="宋体"/>
          <w:snapToGrid w:val="0"/>
          <w:color w:val="000000"/>
          <w:spacing w:val="7"/>
          <w:kern w:val="0"/>
          <w:sz w:val="31"/>
          <w:szCs w:val="31"/>
          <w:highlight w:val="none"/>
          <w:u w:val="single"/>
          <w:lang w:val="en-US" w:eastAsia="zh-CN"/>
        </w:rPr>
        <w:t>零售业</w:t>
      </w:r>
      <w:r>
        <w:rPr>
          <w:rFonts w:hint="eastAsia" w:ascii="宋体" w:hAnsi="宋体" w:eastAsia="宋体" w:cs="宋体"/>
          <w:snapToGrid w:val="0"/>
          <w:color w:val="000000"/>
          <w:spacing w:val="7"/>
          <w:kern w:val="0"/>
          <w:sz w:val="31"/>
          <w:szCs w:val="31"/>
          <w:highlight w:val="none"/>
          <w:u w:val="none"/>
          <w:lang w:val="en-US" w:eastAsia="zh-CN"/>
        </w:rPr>
        <w:t>（采购文件中明确的所属行业）</w:t>
      </w:r>
      <w:r>
        <w:rPr>
          <w:rFonts w:hint="eastAsia" w:ascii="宋体" w:hAnsi="宋体" w:eastAsia="宋体" w:cs="宋体"/>
          <w:snapToGrid w:val="0"/>
          <w:color w:val="000000"/>
          <w:spacing w:val="7"/>
          <w:kern w:val="0"/>
          <w:sz w:val="31"/>
          <w:szCs w:val="31"/>
          <w:highlight w:val="none"/>
          <w:lang w:val="en-US" w:eastAsia="zh-CN"/>
        </w:rPr>
        <w:t>； 承建（承接）企业为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u w:val="none"/>
          <w:lang w:val="en-US" w:eastAsia="zh-CN"/>
        </w:rPr>
        <w:t xml:space="preserve"> （企业名称）</w:t>
      </w:r>
      <w:r>
        <w:rPr>
          <w:rFonts w:hint="eastAsia" w:ascii="宋体" w:hAnsi="宋体" w:eastAsia="宋体" w:cs="宋体"/>
          <w:snapToGrid w:val="0"/>
          <w:color w:val="000000"/>
          <w:spacing w:val="7"/>
          <w:kern w:val="0"/>
          <w:sz w:val="31"/>
          <w:szCs w:val="31"/>
          <w:highlight w:val="none"/>
          <w:lang w:val="en-US" w:eastAsia="zh-CN"/>
        </w:rPr>
        <w:t>，从业人员</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人，营业收入为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万元，资产总额为</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lang w:val="en-US" w:eastAsia="zh-CN"/>
        </w:rPr>
        <w:t>万元，属于</w:t>
      </w:r>
      <w:r>
        <w:rPr>
          <w:rFonts w:hint="eastAsia" w:ascii="宋体" w:hAnsi="宋体" w:eastAsia="宋体" w:cs="宋体"/>
          <w:snapToGrid w:val="0"/>
          <w:color w:val="000000"/>
          <w:spacing w:val="7"/>
          <w:kern w:val="0"/>
          <w:sz w:val="31"/>
          <w:szCs w:val="31"/>
          <w:highlight w:val="none"/>
          <w:u w:val="single"/>
          <w:lang w:val="en-US" w:eastAsia="zh-CN"/>
        </w:rPr>
        <w:t xml:space="preserve">           </w:t>
      </w:r>
      <w:r>
        <w:rPr>
          <w:rFonts w:hint="eastAsia" w:ascii="宋体" w:hAnsi="宋体" w:eastAsia="宋体" w:cs="宋体"/>
          <w:snapToGrid w:val="0"/>
          <w:color w:val="000000"/>
          <w:spacing w:val="7"/>
          <w:kern w:val="0"/>
          <w:sz w:val="31"/>
          <w:szCs w:val="31"/>
          <w:highlight w:val="none"/>
          <w:u w:val="none"/>
          <w:lang w:val="en-US" w:eastAsia="zh-CN"/>
        </w:rPr>
        <w:t xml:space="preserve"> （中型企业 小型企业、微型企业）；</w:t>
      </w:r>
    </w:p>
    <w:p w14:paraId="3E0719D4">
      <w:pPr>
        <w:pStyle w:val="10"/>
        <w:widowControl/>
        <w:kinsoku w:val="0"/>
        <w:autoSpaceDE w:val="0"/>
        <w:autoSpaceDN w:val="0"/>
        <w:adjustRightInd w:val="0"/>
        <w:snapToGrid w:val="0"/>
        <w:spacing w:before="16" w:after="0" w:line="31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lang w:val="en-US" w:eastAsia="zh-CN"/>
        </w:rPr>
      </w:pPr>
      <w:r>
        <w:rPr>
          <w:rFonts w:hint="eastAsia" w:ascii="宋体" w:hAnsi="宋体" w:eastAsia="宋体" w:cs="宋体"/>
          <w:snapToGrid w:val="0"/>
          <w:color w:val="000000"/>
          <w:spacing w:val="7"/>
          <w:kern w:val="0"/>
          <w:sz w:val="31"/>
          <w:szCs w:val="31"/>
          <w:highlight w:val="none"/>
          <w:lang w:val="en-US" w:eastAsia="zh-CN"/>
        </w:rPr>
        <w:t>……</w:t>
      </w:r>
    </w:p>
    <w:p w14:paraId="30F09A62">
      <w:pPr>
        <w:pStyle w:val="10"/>
        <w:widowControl/>
        <w:kinsoku w:val="0"/>
        <w:autoSpaceDE w:val="0"/>
        <w:autoSpaceDN w:val="0"/>
        <w:adjustRightInd w:val="0"/>
        <w:snapToGrid w:val="0"/>
        <w:spacing w:before="16" w:after="0" w:line="31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lang w:val="en-US" w:eastAsia="zh-CN"/>
        </w:rPr>
      </w:pPr>
      <w:r>
        <w:rPr>
          <w:rFonts w:hint="eastAsia" w:ascii="宋体" w:hAnsi="宋体" w:eastAsia="宋体" w:cs="宋体"/>
          <w:snapToGrid w:val="0"/>
          <w:color w:val="000000"/>
          <w:spacing w:val="7"/>
          <w:kern w:val="0"/>
          <w:sz w:val="31"/>
          <w:szCs w:val="31"/>
          <w:highlight w:val="none"/>
          <w:lang w:val="en-US" w:eastAsia="zh-CN"/>
        </w:rPr>
        <w:t>以上企业，不属于大企业的分支机构，不存在控股股东 为大企业的情形，也不存在与大企业的负责人为同一人的情形。</w:t>
      </w:r>
    </w:p>
    <w:p w14:paraId="47196840">
      <w:pPr>
        <w:pStyle w:val="10"/>
        <w:widowControl/>
        <w:kinsoku w:val="0"/>
        <w:autoSpaceDE w:val="0"/>
        <w:autoSpaceDN w:val="0"/>
        <w:adjustRightInd w:val="0"/>
        <w:snapToGrid w:val="0"/>
        <w:spacing w:before="16" w:after="0" w:line="310" w:lineRule="auto"/>
        <w:ind w:left="46" w:right="86" w:firstLine="666"/>
        <w:jc w:val="left"/>
        <w:textAlignment w:val="baseline"/>
        <w:rPr>
          <w:rFonts w:hint="eastAsia" w:ascii="宋体" w:hAnsi="宋体" w:eastAsia="宋体" w:cs="宋体"/>
          <w:snapToGrid w:val="0"/>
          <w:color w:val="000000"/>
          <w:spacing w:val="7"/>
          <w:kern w:val="0"/>
          <w:sz w:val="31"/>
          <w:szCs w:val="31"/>
          <w:highlight w:val="none"/>
          <w:lang w:val="en-US" w:eastAsia="zh-CN"/>
        </w:rPr>
      </w:pPr>
      <w:r>
        <w:rPr>
          <w:rFonts w:hint="eastAsia" w:ascii="宋体" w:hAnsi="宋体" w:eastAsia="宋体" w:cs="宋体"/>
          <w:snapToGrid w:val="0"/>
          <w:color w:val="000000"/>
          <w:spacing w:val="7"/>
          <w:kern w:val="0"/>
          <w:sz w:val="31"/>
          <w:szCs w:val="31"/>
          <w:highlight w:val="none"/>
          <w:lang w:val="en-US" w:eastAsia="zh-CN"/>
        </w:rPr>
        <w:t>本企业对上述声明内容的真实性负责。如有虚假，将依法承担相应责任。</w:t>
      </w:r>
    </w:p>
    <w:p w14:paraId="4105ADA7">
      <w:pPr>
        <w:pStyle w:val="10"/>
        <w:widowControl/>
        <w:kinsoku w:val="0"/>
        <w:autoSpaceDE w:val="0"/>
        <w:autoSpaceDN w:val="0"/>
        <w:adjustRightInd w:val="0"/>
        <w:snapToGrid w:val="0"/>
        <w:spacing w:before="16" w:after="0" w:line="310" w:lineRule="auto"/>
        <w:ind w:left="46" w:right="86" w:firstLine="666"/>
        <w:jc w:val="right"/>
        <w:textAlignment w:val="baseline"/>
        <w:rPr>
          <w:rFonts w:hint="eastAsia" w:ascii="宋体" w:hAnsi="宋体" w:eastAsia="宋体" w:cs="宋体"/>
          <w:snapToGrid w:val="0"/>
          <w:color w:val="000000"/>
          <w:spacing w:val="7"/>
          <w:kern w:val="0"/>
          <w:sz w:val="31"/>
          <w:szCs w:val="31"/>
          <w:highlight w:val="none"/>
          <w:lang w:val="en-US" w:eastAsia="zh-CN"/>
        </w:rPr>
      </w:pPr>
      <w:r>
        <w:rPr>
          <w:rFonts w:hint="eastAsia" w:ascii="宋体" w:hAnsi="宋体" w:eastAsia="宋体" w:cs="宋体"/>
          <w:snapToGrid w:val="0"/>
          <w:color w:val="000000"/>
          <w:spacing w:val="7"/>
          <w:kern w:val="0"/>
          <w:sz w:val="31"/>
          <w:szCs w:val="31"/>
          <w:highlight w:val="none"/>
          <w:lang w:val="en-US" w:eastAsia="zh-CN"/>
        </w:rPr>
        <w:t>企业名称（盖章）：</w:t>
      </w:r>
    </w:p>
    <w:p w14:paraId="3D344816">
      <w:pPr>
        <w:pStyle w:val="10"/>
        <w:widowControl/>
        <w:kinsoku w:val="0"/>
        <w:autoSpaceDE w:val="0"/>
        <w:autoSpaceDN w:val="0"/>
        <w:adjustRightInd w:val="0"/>
        <w:snapToGrid w:val="0"/>
        <w:spacing w:before="16" w:after="0" w:line="310" w:lineRule="auto"/>
        <w:ind w:left="46" w:right="86" w:firstLine="666"/>
        <w:jc w:val="right"/>
        <w:textAlignment w:val="baseline"/>
        <w:rPr>
          <w:rFonts w:hint="eastAsia" w:ascii="宋体" w:hAnsi="宋体" w:eastAsia="宋体" w:cs="宋体"/>
          <w:snapToGrid w:val="0"/>
          <w:color w:val="000000"/>
          <w:spacing w:val="7"/>
          <w:kern w:val="0"/>
          <w:sz w:val="31"/>
          <w:szCs w:val="31"/>
          <w:highlight w:val="none"/>
          <w:lang w:val="en-US" w:eastAsia="zh-CN"/>
        </w:rPr>
      </w:pPr>
      <w:bookmarkStart w:id="82" w:name="bookmark2"/>
      <w:bookmarkEnd w:id="82"/>
      <w:r>
        <w:rPr>
          <w:rFonts w:hint="eastAsia" w:ascii="宋体" w:hAnsi="宋体" w:eastAsia="宋体" w:cs="宋体"/>
          <w:snapToGrid w:val="0"/>
          <w:color w:val="000000"/>
          <w:spacing w:val="7"/>
          <w:kern w:val="0"/>
          <w:sz w:val="31"/>
          <w:szCs w:val="31"/>
          <w:highlight w:val="none"/>
          <w:lang w:val="en-US" w:eastAsia="zh-CN"/>
        </w:rPr>
        <w:t>日期：</w:t>
      </w:r>
    </w:p>
    <w:p w14:paraId="1113679B">
      <w:pPr>
        <w:ind w:right="640"/>
        <w:jc w:val="center"/>
        <w:rPr>
          <w:rFonts w:hint="eastAsia" w:ascii="宋体" w:hAnsi="宋体" w:eastAsia="宋体" w:cs="宋体"/>
          <w:color w:val="auto"/>
          <w:highlight w:val="none"/>
        </w:rPr>
      </w:pPr>
      <w:r>
        <w:rPr>
          <w:rFonts w:hint="eastAsia" w:ascii="宋体" w:hAnsi="宋体" w:eastAsia="宋体" w:cs="宋体"/>
          <w:spacing w:val="-1"/>
          <w:position w:val="6"/>
          <w:sz w:val="11"/>
          <w:szCs w:val="11"/>
          <w:highlight w:val="none"/>
        </w:rPr>
        <w:t xml:space="preserve">1   </w:t>
      </w:r>
      <w:r>
        <w:rPr>
          <w:rFonts w:hint="eastAsia" w:ascii="宋体" w:hAnsi="宋体" w:eastAsia="宋体" w:cs="宋体"/>
          <w:spacing w:val="-1"/>
          <w:sz w:val="18"/>
          <w:szCs w:val="18"/>
          <w:highlight w:val="none"/>
        </w:rPr>
        <w:t>从业人员、营业收入、资产总额填报上一年度数据，无上一年度数据的新成立企业可不填报。</w:t>
      </w:r>
    </w:p>
    <w:p w14:paraId="3DFD3B26">
      <w:pPr>
        <w:jc w:val="center"/>
        <w:rPr>
          <w:rFonts w:hint="eastAsia" w:ascii="宋体" w:hAnsi="宋体" w:eastAsia="宋体" w:cs="宋体"/>
          <w:b/>
          <w:bCs/>
          <w:color w:val="auto"/>
          <w:sz w:val="28"/>
          <w:szCs w:val="36"/>
          <w:highlight w:val="none"/>
        </w:rPr>
      </w:pPr>
    </w:p>
    <w:p w14:paraId="040444F2">
      <w:pPr>
        <w:jc w:val="center"/>
        <w:rPr>
          <w:rFonts w:hint="eastAsia" w:ascii="宋体" w:hAnsi="宋体" w:eastAsia="宋体" w:cs="宋体"/>
          <w:b/>
          <w:bCs/>
          <w:color w:val="auto"/>
          <w:sz w:val="28"/>
          <w:szCs w:val="36"/>
          <w:highlight w:val="none"/>
        </w:rPr>
      </w:pPr>
    </w:p>
    <w:p w14:paraId="138A1AA5">
      <w:pPr>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中小企业划型标准规定</w:t>
      </w:r>
    </w:p>
    <w:p w14:paraId="296FE2A5">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一、</w:t>
      </w:r>
      <w:r>
        <w:rPr>
          <w:rFonts w:hint="eastAsia" w:ascii="宋体" w:hAnsi="宋体" w:eastAsia="宋体" w:cs="宋体"/>
          <w:color w:val="auto"/>
          <w:highlight w:val="none"/>
        </w:rPr>
        <w:t>根据《中华人民共和国中小企业促进法》和《国务院关于进一步促进中小企业发展的若干意见》(国发〔2009〕36号)，制定本规定。</w:t>
      </w:r>
    </w:p>
    <w:p w14:paraId="56B332F1">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二、</w:t>
      </w:r>
      <w:r>
        <w:rPr>
          <w:rFonts w:hint="eastAsia" w:ascii="宋体" w:hAnsi="宋体" w:eastAsia="宋体" w:cs="宋体"/>
          <w:color w:val="auto"/>
          <w:highlight w:val="none"/>
        </w:rPr>
        <w:t>中小企业划分为</w:t>
      </w:r>
      <w:r>
        <w:rPr>
          <w:rFonts w:hint="eastAsia" w:ascii="宋体" w:hAnsi="宋体" w:eastAsia="宋体" w:cs="宋体"/>
          <w:b/>
          <w:bCs/>
          <w:color w:val="auto"/>
          <w:highlight w:val="none"/>
          <w:u w:val="single"/>
        </w:rPr>
        <w:t>中型、小型、微型</w:t>
      </w:r>
      <w:r>
        <w:rPr>
          <w:rFonts w:hint="eastAsia" w:ascii="宋体" w:hAnsi="宋体" w:eastAsia="宋体" w:cs="宋体"/>
          <w:color w:val="auto"/>
          <w:highlight w:val="none"/>
        </w:rPr>
        <w:t>三种类型，具体标准根据企业从业人员、营业收入、资产总额等指标，结合行业特点制定。</w:t>
      </w:r>
    </w:p>
    <w:p w14:paraId="591BCFBC">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三、</w:t>
      </w:r>
      <w:r>
        <w:rPr>
          <w:rFonts w:hint="eastAsia" w:ascii="宋体" w:hAnsi="宋体" w:eastAsia="宋体" w:cs="宋体"/>
          <w:color w:val="auto"/>
          <w:highlight w:val="none"/>
        </w:rPr>
        <w:t>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7BA3E30">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四、各行业划型标准为：</w:t>
      </w:r>
    </w:p>
    <w:p w14:paraId="0A7AA44B">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（五）零售业</w:t>
      </w:r>
      <w:r>
        <w:rPr>
          <w:rFonts w:hint="eastAsia" w:ascii="宋体" w:hAnsi="宋体" w:eastAsia="宋体" w:cs="宋体"/>
          <w:color w:val="auto"/>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56D2802">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五、企业类型的划分以统计部门的统计数据为依据。</w:t>
      </w:r>
    </w:p>
    <w:p w14:paraId="63A9453A">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六、本规定适用于在中华人民共和国境内依法设立的各类所有制和各种组织形式的企业。个体工商户和本规定以外的行业，参照本规定进行划型。</w:t>
      </w:r>
    </w:p>
    <w:p w14:paraId="0EE72A79">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F471226">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八、本规定由工业和信息化部、国家统计局会同有关部门根据《国民经济行业分类》修订情况和企业发展变化情况适时修订。</w:t>
      </w:r>
    </w:p>
    <w:p w14:paraId="48BC5C96">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九、本规定由工业和信息化部、国家统计局会同有关部门负责解释。</w:t>
      </w:r>
    </w:p>
    <w:p w14:paraId="188F393A">
      <w:pPr>
        <w:pStyle w:val="9"/>
        <w:spacing w:line="360" w:lineRule="auto"/>
        <w:ind w:left="0"/>
        <w:rPr>
          <w:rFonts w:hint="eastAsia" w:ascii="宋体" w:hAnsi="宋体" w:eastAsia="宋体" w:cs="宋体"/>
          <w:color w:val="auto"/>
          <w:highlight w:val="none"/>
        </w:rPr>
      </w:pPr>
      <w:r>
        <w:rPr>
          <w:rFonts w:hint="eastAsia" w:ascii="宋体" w:hAnsi="宋体" w:eastAsia="宋体" w:cs="宋体"/>
          <w:color w:val="auto"/>
          <w:highlight w:val="none"/>
        </w:rPr>
        <w:t>十、本规定自发布之日起执行，原国家经贸委、原国家计委、财政部和国家统计局2003年颁布的《中小企业标准暂行规定》同时废止。</w:t>
      </w:r>
    </w:p>
    <w:sectPr>
      <w:footerReference r:id="rId3" w:type="default"/>
      <w:pgSz w:w="11906" w:h="16838"/>
      <w:pgMar w:top="1314" w:right="1531" w:bottom="1928" w:left="1531"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3C24267E-B576-4F11-875E-D79272F89D2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de Latin">
    <w:altName w:val="Segoe Print"/>
    <w:panose1 w:val="020A0A07050505020404"/>
    <w:charset w:val="00"/>
    <w:family w:val="roman"/>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2" w:fontKey="{0A48394F-902C-44B1-B80F-287AAABC07D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06B06">
    <w:pPr>
      <w:pStyle w:val="18"/>
      <w:jc w:val="center"/>
    </w:pPr>
    <w:r>
      <w:fldChar w:fldCharType="begin"/>
    </w:r>
    <w:r>
      <w:instrText xml:space="preserve">PAGE   \* MERGEFORMAT</w:instrText>
    </w:r>
    <w:r>
      <w:fldChar w:fldCharType="separate"/>
    </w:r>
    <w:r>
      <w:rPr>
        <w:lang w:val="zh-CN"/>
      </w:rPr>
      <w:t>-</w:t>
    </w:r>
    <w:r>
      <w:t xml:space="preserve"> 3 -</w:t>
    </w:r>
    <w:r>
      <w:fldChar w:fldCharType="end"/>
    </w:r>
  </w:p>
  <w:p w14:paraId="6947DB37">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E331E"/>
    <w:multiLevelType w:val="singleLevel"/>
    <w:tmpl w:val="867E331E"/>
    <w:lvl w:ilvl="0" w:tentative="0">
      <w:start w:val="1"/>
      <w:numFmt w:val="decimal"/>
      <w:lvlText w:val="%1."/>
      <w:lvlJc w:val="left"/>
      <w:pPr>
        <w:tabs>
          <w:tab w:val="left" w:pos="312"/>
        </w:tabs>
      </w:pPr>
    </w:lvl>
  </w:abstractNum>
  <w:abstractNum w:abstractNumId="1">
    <w:nsid w:val="A3792554"/>
    <w:multiLevelType w:val="singleLevel"/>
    <w:tmpl w:val="A3792554"/>
    <w:lvl w:ilvl="0" w:tentative="0">
      <w:start w:val="13"/>
      <w:numFmt w:val="decimal"/>
      <w:lvlText w:val="%1."/>
      <w:lvlJc w:val="left"/>
      <w:pPr>
        <w:tabs>
          <w:tab w:val="left" w:pos="312"/>
        </w:tabs>
      </w:pPr>
    </w:lvl>
  </w:abstractNum>
  <w:abstractNum w:abstractNumId="2">
    <w:nsid w:val="CCC482A5"/>
    <w:multiLevelType w:val="singleLevel"/>
    <w:tmpl w:val="CCC482A5"/>
    <w:lvl w:ilvl="0" w:tentative="0">
      <w:start w:val="3"/>
      <w:numFmt w:val="decimal"/>
      <w:suff w:val="nothing"/>
      <w:lvlText w:val="%1、"/>
      <w:lvlJc w:val="left"/>
    </w:lvl>
  </w:abstractNum>
  <w:abstractNum w:abstractNumId="3">
    <w:nsid w:val="E6B358A3"/>
    <w:multiLevelType w:val="singleLevel"/>
    <w:tmpl w:val="E6B358A3"/>
    <w:lvl w:ilvl="0" w:tentative="0">
      <w:start w:val="6"/>
      <w:numFmt w:val="chineseCounting"/>
      <w:suff w:val="nothing"/>
      <w:lvlText w:val="%1、"/>
      <w:lvlJc w:val="left"/>
      <w:rPr>
        <w:rFonts w:hint="eastAsia"/>
      </w:rPr>
    </w:lvl>
  </w:abstractNum>
  <w:abstractNum w:abstractNumId="4">
    <w:nsid w:val="28B59188"/>
    <w:multiLevelType w:val="singleLevel"/>
    <w:tmpl w:val="28B59188"/>
    <w:lvl w:ilvl="0" w:tentative="0">
      <w:start w:val="37"/>
      <w:numFmt w:val="decimal"/>
      <w:suff w:val="nothing"/>
      <w:lvlText w:val="%1、"/>
      <w:lvlJc w:val="left"/>
    </w:lvl>
  </w:abstractNum>
  <w:abstractNum w:abstractNumId="5">
    <w:nsid w:val="6D4F3E65"/>
    <w:multiLevelType w:val="singleLevel"/>
    <w:tmpl w:val="6D4F3E65"/>
    <w:lvl w:ilvl="0" w:tentative="0">
      <w:start w:val="3"/>
      <w:numFmt w:val="chineseCounting"/>
      <w:suff w:val="space"/>
      <w:lvlText w:val="第%1部分"/>
      <w:lvlJc w:val="left"/>
      <w:rPr>
        <w:rFonts w:hint="eastAsia"/>
      </w:rPr>
    </w:lvl>
  </w:abstractNum>
  <w:num w:numId="1">
    <w:abstractNumId w:val="0"/>
  </w:num>
  <w:num w:numId="2">
    <w:abstractNumId w:val="1"/>
  </w:num>
  <w:num w:numId="3">
    <w:abstractNumId w:val="3"/>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1NjM2MDNjY2RiMmU1NDY3YWJiZTEzYWI5Yjc5NGEifQ=="/>
  </w:docVars>
  <w:rsids>
    <w:rsidRoot w:val="0075193D"/>
    <w:rsid w:val="000A3432"/>
    <w:rsid w:val="0017129A"/>
    <w:rsid w:val="00192388"/>
    <w:rsid w:val="002F3B45"/>
    <w:rsid w:val="00367315"/>
    <w:rsid w:val="003739AF"/>
    <w:rsid w:val="00376103"/>
    <w:rsid w:val="00390C86"/>
    <w:rsid w:val="00414D1F"/>
    <w:rsid w:val="004A17C0"/>
    <w:rsid w:val="00546435"/>
    <w:rsid w:val="005A0A5A"/>
    <w:rsid w:val="0065361B"/>
    <w:rsid w:val="006C55EC"/>
    <w:rsid w:val="00731C04"/>
    <w:rsid w:val="0075193D"/>
    <w:rsid w:val="007C179D"/>
    <w:rsid w:val="00806BAB"/>
    <w:rsid w:val="008F0BD4"/>
    <w:rsid w:val="008F4002"/>
    <w:rsid w:val="009351D6"/>
    <w:rsid w:val="009A2232"/>
    <w:rsid w:val="009A74E0"/>
    <w:rsid w:val="009C04CB"/>
    <w:rsid w:val="00A94D11"/>
    <w:rsid w:val="00AB249B"/>
    <w:rsid w:val="00AF096D"/>
    <w:rsid w:val="00B143E5"/>
    <w:rsid w:val="00B67759"/>
    <w:rsid w:val="00BB685E"/>
    <w:rsid w:val="00BD5F42"/>
    <w:rsid w:val="00C6038E"/>
    <w:rsid w:val="00C73956"/>
    <w:rsid w:val="00C81FAD"/>
    <w:rsid w:val="00D04E6E"/>
    <w:rsid w:val="00D930BE"/>
    <w:rsid w:val="00DC178A"/>
    <w:rsid w:val="00DC645B"/>
    <w:rsid w:val="00DD37F1"/>
    <w:rsid w:val="00DE2090"/>
    <w:rsid w:val="00E241A9"/>
    <w:rsid w:val="00E53168"/>
    <w:rsid w:val="00F123F7"/>
    <w:rsid w:val="00F2257B"/>
    <w:rsid w:val="00F2322A"/>
    <w:rsid w:val="00F9290F"/>
    <w:rsid w:val="00F92984"/>
    <w:rsid w:val="014D4DFA"/>
    <w:rsid w:val="02812CC6"/>
    <w:rsid w:val="02B01AF2"/>
    <w:rsid w:val="02BF15A4"/>
    <w:rsid w:val="02E37041"/>
    <w:rsid w:val="02EB6CB4"/>
    <w:rsid w:val="02EF06D9"/>
    <w:rsid w:val="031E62CB"/>
    <w:rsid w:val="03254D75"/>
    <w:rsid w:val="032D6EBB"/>
    <w:rsid w:val="03306C97"/>
    <w:rsid w:val="037A7A51"/>
    <w:rsid w:val="039F5AB6"/>
    <w:rsid w:val="03A345BA"/>
    <w:rsid w:val="03BB3B2D"/>
    <w:rsid w:val="03F348A0"/>
    <w:rsid w:val="0469145A"/>
    <w:rsid w:val="048F394F"/>
    <w:rsid w:val="04981C7D"/>
    <w:rsid w:val="05155802"/>
    <w:rsid w:val="053F187C"/>
    <w:rsid w:val="05431AE5"/>
    <w:rsid w:val="059A5D60"/>
    <w:rsid w:val="05EF1D0A"/>
    <w:rsid w:val="06410AE0"/>
    <w:rsid w:val="067462A4"/>
    <w:rsid w:val="07251F03"/>
    <w:rsid w:val="07865139"/>
    <w:rsid w:val="079B423C"/>
    <w:rsid w:val="079B50E8"/>
    <w:rsid w:val="07C2334D"/>
    <w:rsid w:val="0898267C"/>
    <w:rsid w:val="089B4C64"/>
    <w:rsid w:val="08A73189"/>
    <w:rsid w:val="09003BA6"/>
    <w:rsid w:val="096F0950"/>
    <w:rsid w:val="097B3BB4"/>
    <w:rsid w:val="098F6FF7"/>
    <w:rsid w:val="099B039B"/>
    <w:rsid w:val="0A26032A"/>
    <w:rsid w:val="0A3D797F"/>
    <w:rsid w:val="0A423398"/>
    <w:rsid w:val="0B073AE9"/>
    <w:rsid w:val="0B1D7389"/>
    <w:rsid w:val="0B72781B"/>
    <w:rsid w:val="0B845139"/>
    <w:rsid w:val="0BB738C2"/>
    <w:rsid w:val="0BD02D72"/>
    <w:rsid w:val="0C272694"/>
    <w:rsid w:val="0CED6A68"/>
    <w:rsid w:val="0D1644B7"/>
    <w:rsid w:val="0D414A43"/>
    <w:rsid w:val="0DF67FA5"/>
    <w:rsid w:val="0E084650"/>
    <w:rsid w:val="0E2F618E"/>
    <w:rsid w:val="0E657FA0"/>
    <w:rsid w:val="0E7F2024"/>
    <w:rsid w:val="0F3704C2"/>
    <w:rsid w:val="0F3F12B4"/>
    <w:rsid w:val="0F503693"/>
    <w:rsid w:val="0F716508"/>
    <w:rsid w:val="104F3F68"/>
    <w:rsid w:val="10AC4F54"/>
    <w:rsid w:val="10B028F0"/>
    <w:rsid w:val="10B075D5"/>
    <w:rsid w:val="10C008AE"/>
    <w:rsid w:val="11117111"/>
    <w:rsid w:val="113660A0"/>
    <w:rsid w:val="11384414"/>
    <w:rsid w:val="11726A68"/>
    <w:rsid w:val="119D364D"/>
    <w:rsid w:val="11A2456B"/>
    <w:rsid w:val="11A61364"/>
    <w:rsid w:val="11B87C11"/>
    <w:rsid w:val="12040DB1"/>
    <w:rsid w:val="12374419"/>
    <w:rsid w:val="12637347"/>
    <w:rsid w:val="12B75F68"/>
    <w:rsid w:val="12BF142E"/>
    <w:rsid w:val="12E3024B"/>
    <w:rsid w:val="12E7492B"/>
    <w:rsid w:val="130E2576"/>
    <w:rsid w:val="13261209"/>
    <w:rsid w:val="132F59D6"/>
    <w:rsid w:val="1375109B"/>
    <w:rsid w:val="13992F0A"/>
    <w:rsid w:val="13AE5D6F"/>
    <w:rsid w:val="13C92283"/>
    <w:rsid w:val="13D30690"/>
    <w:rsid w:val="13EE779D"/>
    <w:rsid w:val="140212F1"/>
    <w:rsid w:val="14181579"/>
    <w:rsid w:val="142B4CEC"/>
    <w:rsid w:val="143E14DF"/>
    <w:rsid w:val="14C0587E"/>
    <w:rsid w:val="14C67614"/>
    <w:rsid w:val="150D2643"/>
    <w:rsid w:val="155D7DFF"/>
    <w:rsid w:val="158020CB"/>
    <w:rsid w:val="15CC746B"/>
    <w:rsid w:val="1608386E"/>
    <w:rsid w:val="16565D79"/>
    <w:rsid w:val="168242D0"/>
    <w:rsid w:val="169847F2"/>
    <w:rsid w:val="169C3C7F"/>
    <w:rsid w:val="16E23BE2"/>
    <w:rsid w:val="16F37D58"/>
    <w:rsid w:val="17EC6540"/>
    <w:rsid w:val="181B27A7"/>
    <w:rsid w:val="181E6800"/>
    <w:rsid w:val="182D6FD9"/>
    <w:rsid w:val="188E46B9"/>
    <w:rsid w:val="18931861"/>
    <w:rsid w:val="18D43B99"/>
    <w:rsid w:val="18EE40A6"/>
    <w:rsid w:val="19B23B03"/>
    <w:rsid w:val="19D21766"/>
    <w:rsid w:val="1A2B21A8"/>
    <w:rsid w:val="1A490F86"/>
    <w:rsid w:val="1A5E6D3A"/>
    <w:rsid w:val="1A787400"/>
    <w:rsid w:val="1A7D2A9A"/>
    <w:rsid w:val="1A800FAF"/>
    <w:rsid w:val="1A86606E"/>
    <w:rsid w:val="1ABA124A"/>
    <w:rsid w:val="1B444C3E"/>
    <w:rsid w:val="1B7B4FAA"/>
    <w:rsid w:val="1C1D4706"/>
    <w:rsid w:val="1C6E7E6B"/>
    <w:rsid w:val="1C90282F"/>
    <w:rsid w:val="1CD4738F"/>
    <w:rsid w:val="1CEF7270"/>
    <w:rsid w:val="1D382F4F"/>
    <w:rsid w:val="1D46626F"/>
    <w:rsid w:val="1D491B27"/>
    <w:rsid w:val="1D682B0D"/>
    <w:rsid w:val="1DDE55D6"/>
    <w:rsid w:val="1EDA4494"/>
    <w:rsid w:val="1F4644C7"/>
    <w:rsid w:val="1F636103"/>
    <w:rsid w:val="1FCD6C57"/>
    <w:rsid w:val="200B777F"/>
    <w:rsid w:val="202A17BC"/>
    <w:rsid w:val="205630F0"/>
    <w:rsid w:val="208154FB"/>
    <w:rsid w:val="210B68A5"/>
    <w:rsid w:val="21645399"/>
    <w:rsid w:val="219D5A18"/>
    <w:rsid w:val="21A061EA"/>
    <w:rsid w:val="21EA6A1B"/>
    <w:rsid w:val="21F4401E"/>
    <w:rsid w:val="22104DC4"/>
    <w:rsid w:val="2272425A"/>
    <w:rsid w:val="22784D6E"/>
    <w:rsid w:val="22BA2ACB"/>
    <w:rsid w:val="23820C4A"/>
    <w:rsid w:val="239E66A1"/>
    <w:rsid w:val="23A6054D"/>
    <w:rsid w:val="23C664E3"/>
    <w:rsid w:val="23DD4FD4"/>
    <w:rsid w:val="23FD1C9E"/>
    <w:rsid w:val="24341252"/>
    <w:rsid w:val="245F74F6"/>
    <w:rsid w:val="248C7D76"/>
    <w:rsid w:val="24961A8B"/>
    <w:rsid w:val="24CB1E38"/>
    <w:rsid w:val="24CC0098"/>
    <w:rsid w:val="25517C73"/>
    <w:rsid w:val="255B232B"/>
    <w:rsid w:val="2578639A"/>
    <w:rsid w:val="25825955"/>
    <w:rsid w:val="258D32B4"/>
    <w:rsid w:val="258E1776"/>
    <w:rsid w:val="25A9417B"/>
    <w:rsid w:val="25BD1038"/>
    <w:rsid w:val="25C805EC"/>
    <w:rsid w:val="25D50C15"/>
    <w:rsid w:val="26110C7A"/>
    <w:rsid w:val="26151358"/>
    <w:rsid w:val="265754CC"/>
    <w:rsid w:val="26855FE2"/>
    <w:rsid w:val="26B74D34"/>
    <w:rsid w:val="26F87F8E"/>
    <w:rsid w:val="27062200"/>
    <w:rsid w:val="277E05E2"/>
    <w:rsid w:val="278F4578"/>
    <w:rsid w:val="27A209C9"/>
    <w:rsid w:val="27AA6169"/>
    <w:rsid w:val="27C32F4A"/>
    <w:rsid w:val="28375606"/>
    <w:rsid w:val="2856377B"/>
    <w:rsid w:val="28B906C0"/>
    <w:rsid w:val="28E34025"/>
    <w:rsid w:val="29231601"/>
    <w:rsid w:val="297D159E"/>
    <w:rsid w:val="29BC51B1"/>
    <w:rsid w:val="29C31331"/>
    <w:rsid w:val="29DE5B6E"/>
    <w:rsid w:val="29EC212B"/>
    <w:rsid w:val="29FF3CC3"/>
    <w:rsid w:val="2AC46EA9"/>
    <w:rsid w:val="2B0D0BD4"/>
    <w:rsid w:val="2B4A5006"/>
    <w:rsid w:val="2B75724F"/>
    <w:rsid w:val="2BAD4869"/>
    <w:rsid w:val="2BF7311E"/>
    <w:rsid w:val="2C110227"/>
    <w:rsid w:val="2C5B55BB"/>
    <w:rsid w:val="2C5D5807"/>
    <w:rsid w:val="2C7F56C9"/>
    <w:rsid w:val="2C9C2F79"/>
    <w:rsid w:val="2C9F42F5"/>
    <w:rsid w:val="2CC9360B"/>
    <w:rsid w:val="2D340315"/>
    <w:rsid w:val="2DEC05FE"/>
    <w:rsid w:val="2E5A0250"/>
    <w:rsid w:val="2EB55B8F"/>
    <w:rsid w:val="2EED175D"/>
    <w:rsid w:val="2F0C124F"/>
    <w:rsid w:val="2F59150E"/>
    <w:rsid w:val="2F8621D1"/>
    <w:rsid w:val="2FAE7476"/>
    <w:rsid w:val="303C3A3A"/>
    <w:rsid w:val="30686258"/>
    <w:rsid w:val="307C060E"/>
    <w:rsid w:val="30802643"/>
    <w:rsid w:val="309B1D9B"/>
    <w:rsid w:val="30DA6ABB"/>
    <w:rsid w:val="30FA6DDA"/>
    <w:rsid w:val="310056E0"/>
    <w:rsid w:val="31394EA7"/>
    <w:rsid w:val="313D4363"/>
    <w:rsid w:val="315A2315"/>
    <w:rsid w:val="31731580"/>
    <w:rsid w:val="31904CE3"/>
    <w:rsid w:val="31AB39B1"/>
    <w:rsid w:val="31ED020F"/>
    <w:rsid w:val="31F93FB6"/>
    <w:rsid w:val="32271014"/>
    <w:rsid w:val="3296323A"/>
    <w:rsid w:val="32BE04B8"/>
    <w:rsid w:val="32E274CD"/>
    <w:rsid w:val="32F26033"/>
    <w:rsid w:val="334C6EA9"/>
    <w:rsid w:val="336A5362"/>
    <w:rsid w:val="337E7484"/>
    <w:rsid w:val="33A76CCE"/>
    <w:rsid w:val="33A77B7D"/>
    <w:rsid w:val="33C01215"/>
    <w:rsid w:val="33EE5B67"/>
    <w:rsid w:val="34033A70"/>
    <w:rsid w:val="342F5C2A"/>
    <w:rsid w:val="34B67BD1"/>
    <w:rsid w:val="34BF3679"/>
    <w:rsid w:val="34C70C2A"/>
    <w:rsid w:val="34E926BF"/>
    <w:rsid w:val="34F14902"/>
    <w:rsid w:val="3503557C"/>
    <w:rsid w:val="352935C0"/>
    <w:rsid w:val="356306F4"/>
    <w:rsid w:val="35AE7614"/>
    <w:rsid w:val="35DA3A24"/>
    <w:rsid w:val="35F40F8A"/>
    <w:rsid w:val="362B6DB9"/>
    <w:rsid w:val="363738B2"/>
    <w:rsid w:val="364F7F6E"/>
    <w:rsid w:val="365D35A5"/>
    <w:rsid w:val="36963DEF"/>
    <w:rsid w:val="369941F5"/>
    <w:rsid w:val="36DD557A"/>
    <w:rsid w:val="371E1262"/>
    <w:rsid w:val="375F68D7"/>
    <w:rsid w:val="377D6276"/>
    <w:rsid w:val="378D6FA0"/>
    <w:rsid w:val="37C5613E"/>
    <w:rsid w:val="37CA6B96"/>
    <w:rsid w:val="37DB6F22"/>
    <w:rsid w:val="37E813AF"/>
    <w:rsid w:val="38CB5869"/>
    <w:rsid w:val="393464A1"/>
    <w:rsid w:val="393E55CA"/>
    <w:rsid w:val="39897049"/>
    <w:rsid w:val="39DF3CFF"/>
    <w:rsid w:val="39FE5653"/>
    <w:rsid w:val="3A647B38"/>
    <w:rsid w:val="3AA14A76"/>
    <w:rsid w:val="3AD67722"/>
    <w:rsid w:val="3AD82C28"/>
    <w:rsid w:val="3B04426E"/>
    <w:rsid w:val="3B1434C8"/>
    <w:rsid w:val="3B64270E"/>
    <w:rsid w:val="3B6E533A"/>
    <w:rsid w:val="3B701D6B"/>
    <w:rsid w:val="3BF12862"/>
    <w:rsid w:val="3BF15DBA"/>
    <w:rsid w:val="3BFF4F29"/>
    <w:rsid w:val="3C1B5BAC"/>
    <w:rsid w:val="3C225164"/>
    <w:rsid w:val="3C281056"/>
    <w:rsid w:val="3C5067EE"/>
    <w:rsid w:val="3C642299"/>
    <w:rsid w:val="3C7D782B"/>
    <w:rsid w:val="3CC3175A"/>
    <w:rsid w:val="3DBD52C0"/>
    <w:rsid w:val="3DD244D9"/>
    <w:rsid w:val="3DDB658B"/>
    <w:rsid w:val="3DF31B27"/>
    <w:rsid w:val="3E515039"/>
    <w:rsid w:val="3E8466C4"/>
    <w:rsid w:val="3F5568B4"/>
    <w:rsid w:val="3F731171"/>
    <w:rsid w:val="3FEA7348"/>
    <w:rsid w:val="3FEE25A6"/>
    <w:rsid w:val="3FF22557"/>
    <w:rsid w:val="3FFFF972"/>
    <w:rsid w:val="40216976"/>
    <w:rsid w:val="40F24318"/>
    <w:rsid w:val="41083B3B"/>
    <w:rsid w:val="41344E77"/>
    <w:rsid w:val="41932953"/>
    <w:rsid w:val="41AE7752"/>
    <w:rsid w:val="41F81D2C"/>
    <w:rsid w:val="41FD4D22"/>
    <w:rsid w:val="42220C2D"/>
    <w:rsid w:val="426F3F47"/>
    <w:rsid w:val="42990FCC"/>
    <w:rsid w:val="429E4962"/>
    <w:rsid w:val="42B2143E"/>
    <w:rsid w:val="42C3497E"/>
    <w:rsid w:val="438F5E4E"/>
    <w:rsid w:val="43D06CAF"/>
    <w:rsid w:val="43EA2ABC"/>
    <w:rsid w:val="44066249"/>
    <w:rsid w:val="443F5AC6"/>
    <w:rsid w:val="444255B6"/>
    <w:rsid w:val="44501A81"/>
    <w:rsid w:val="447D69C2"/>
    <w:rsid w:val="44DD1C06"/>
    <w:rsid w:val="45594A62"/>
    <w:rsid w:val="456D465C"/>
    <w:rsid w:val="45923E73"/>
    <w:rsid w:val="459B1F40"/>
    <w:rsid w:val="45EA7CB3"/>
    <w:rsid w:val="460F3219"/>
    <w:rsid w:val="461D5643"/>
    <w:rsid w:val="46292FDF"/>
    <w:rsid w:val="465810C1"/>
    <w:rsid w:val="467C605D"/>
    <w:rsid w:val="468075E8"/>
    <w:rsid w:val="46D0611F"/>
    <w:rsid w:val="470C343F"/>
    <w:rsid w:val="47413903"/>
    <w:rsid w:val="47633733"/>
    <w:rsid w:val="478D2CB4"/>
    <w:rsid w:val="47A6527D"/>
    <w:rsid w:val="47D3621D"/>
    <w:rsid w:val="488609B8"/>
    <w:rsid w:val="48A36CF6"/>
    <w:rsid w:val="48A374D0"/>
    <w:rsid w:val="48BB02CE"/>
    <w:rsid w:val="48E2521F"/>
    <w:rsid w:val="48E94252"/>
    <w:rsid w:val="4904108C"/>
    <w:rsid w:val="491006E4"/>
    <w:rsid w:val="4923424A"/>
    <w:rsid w:val="4929643D"/>
    <w:rsid w:val="497E0E3E"/>
    <w:rsid w:val="49BB51C6"/>
    <w:rsid w:val="49BC5A67"/>
    <w:rsid w:val="49F034FE"/>
    <w:rsid w:val="49F25388"/>
    <w:rsid w:val="49F66BBA"/>
    <w:rsid w:val="4A7808AB"/>
    <w:rsid w:val="4AFB400A"/>
    <w:rsid w:val="4AFF2019"/>
    <w:rsid w:val="4B16604E"/>
    <w:rsid w:val="4B175F23"/>
    <w:rsid w:val="4B6A0B70"/>
    <w:rsid w:val="4B8B00D3"/>
    <w:rsid w:val="4B9326B5"/>
    <w:rsid w:val="4BE31D34"/>
    <w:rsid w:val="4BE60CDC"/>
    <w:rsid w:val="4C877D59"/>
    <w:rsid w:val="4C9073D0"/>
    <w:rsid w:val="4D34645A"/>
    <w:rsid w:val="4D3F64DE"/>
    <w:rsid w:val="4D4E5051"/>
    <w:rsid w:val="4DDF2E12"/>
    <w:rsid w:val="4DE52E2D"/>
    <w:rsid w:val="4DF47C5D"/>
    <w:rsid w:val="4E1103A0"/>
    <w:rsid w:val="4E9D3807"/>
    <w:rsid w:val="4F427DD6"/>
    <w:rsid w:val="4F4C553B"/>
    <w:rsid w:val="4F520DA0"/>
    <w:rsid w:val="4F5B70BD"/>
    <w:rsid w:val="4F6868AC"/>
    <w:rsid w:val="4FFF39CD"/>
    <w:rsid w:val="506F0B22"/>
    <w:rsid w:val="50941302"/>
    <w:rsid w:val="50DA94FD"/>
    <w:rsid w:val="5168194E"/>
    <w:rsid w:val="518F284A"/>
    <w:rsid w:val="51D960F3"/>
    <w:rsid w:val="51DC70F6"/>
    <w:rsid w:val="522A7EB8"/>
    <w:rsid w:val="5233382C"/>
    <w:rsid w:val="524E3378"/>
    <w:rsid w:val="52505342"/>
    <w:rsid w:val="5254428E"/>
    <w:rsid w:val="527A5F1B"/>
    <w:rsid w:val="52812333"/>
    <w:rsid w:val="52990A97"/>
    <w:rsid w:val="529C2335"/>
    <w:rsid w:val="52AA100F"/>
    <w:rsid w:val="52CC4A7A"/>
    <w:rsid w:val="52CF346A"/>
    <w:rsid w:val="52ED1657"/>
    <w:rsid w:val="530C74BB"/>
    <w:rsid w:val="531269BE"/>
    <w:rsid w:val="532D6D28"/>
    <w:rsid w:val="536966BB"/>
    <w:rsid w:val="53F00B8B"/>
    <w:rsid w:val="540827AA"/>
    <w:rsid w:val="545804DE"/>
    <w:rsid w:val="548967B4"/>
    <w:rsid w:val="54982BEA"/>
    <w:rsid w:val="55B77C2E"/>
    <w:rsid w:val="560D7ADA"/>
    <w:rsid w:val="5613611B"/>
    <w:rsid w:val="56436DEA"/>
    <w:rsid w:val="56630AD4"/>
    <w:rsid w:val="56633896"/>
    <w:rsid w:val="56670CF5"/>
    <w:rsid w:val="567A0B99"/>
    <w:rsid w:val="56957E2D"/>
    <w:rsid w:val="56CB143B"/>
    <w:rsid w:val="576A0FEA"/>
    <w:rsid w:val="57A60A0F"/>
    <w:rsid w:val="57BD6FF9"/>
    <w:rsid w:val="57C32042"/>
    <w:rsid w:val="57DD04AE"/>
    <w:rsid w:val="57F16810"/>
    <w:rsid w:val="582B12C4"/>
    <w:rsid w:val="58385700"/>
    <w:rsid w:val="585F008D"/>
    <w:rsid w:val="588563A2"/>
    <w:rsid w:val="58A66B8F"/>
    <w:rsid w:val="58B0040F"/>
    <w:rsid w:val="599F018C"/>
    <w:rsid w:val="59A23122"/>
    <w:rsid w:val="59A26482"/>
    <w:rsid w:val="59B41F1A"/>
    <w:rsid w:val="59D6612D"/>
    <w:rsid w:val="59E24AD2"/>
    <w:rsid w:val="5A5675B2"/>
    <w:rsid w:val="5AA955EF"/>
    <w:rsid w:val="5AD00DCE"/>
    <w:rsid w:val="5AE86DD6"/>
    <w:rsid w:val="5AE96C28"/>
    <w:rsid w:val="5B0913DA"/>
    <w:rsid w:val="5B1558C6"/>
    <w:rsid w:val="5B4756FB"/>
    <w:rsid w:val="5B972BE0"/>
    <w:rsid w:val="5BB71F8E"/>
    <w:rsid w:val="5BCF1086"/>
    <w:rsid w:val="5BD14DFE"/>
    <w:rsid w:val="5C043B10"/>
    <w:rsid w:val="5C10100E"/>
    <w:rsid w:val="5C4B636A"/>
    <w:rsid w:val="5C7165E1"/>
    <w:rsid w:val="5CD033D2"/>
    <w:rsid w:val="5CE8654D"/>
    <w:rsid w:val="5D177188"/>
    <w:rsid w:val="5D2B291E"/>
    <w:rsid w:val="5D3C5032"/>
    <w:rsid w:val="5D9430FC"/>
    <w:rsid w:val="5DF80C6D"/>
    <w:rsid w:val="5E2F0501"/>
    <w:rsid w:val="5E5804E7"/>
    <w:rsid w:val="5E864930"/>
    <w:rsid w:val="5EB32EE1"/>
    <w:rsid w:val="5F5F0972"/>
    <w:rsid w:val="5F5FE8AA"/>
    <w:rsid w:val="5F6D65C3"/>
    <w:rsid w:val="5FAF36A8"/>
    <w:rsid w:val="5FC506E9"/>
    <w:rsid w:val="603F2AF8"/>
    <w:rsid w:val="60485FBC"/>
    <w:rsid w:val="60567FC7"/>
    <w:rsid w:val="607502FF"/>
    <w:rsid w:val="608A7377"/>
    <w:rsid w:val="60954090"/>
    <w:rsid w:val="616B7AA3"/>
    <w:rsid w:val="618D5C6B"/>
    <w:rsid w:val="62292AF3"/>
    <w:rsid w:val="62960A10"/>
    <w:rsid w:val="62DE476D"/>
    <w:rsid w:val="633E321C"/>
    <w:rsid w:val="634558AD"/>
    <w:rsid w:val="636816DF"/>
    <w:rsid w:val="637C7D45"/>
    <w:rsid w:val="63BE65AF"/>
    <w:rsid w:val="64572560"/>
    <w:rsid w:val="6478540D"/>
    <w:rsid w:val="649355B0"/>
    <w:rsid w:val="64A97070"/>
    <w:rsid w:val="65131822"/>
    <w:rsid w:val="65266F1A"/>
    <w:rsid w:val="65A0093C"/>
    <w:rsid w:val="65DB2200"/>
    <w:rsid w:val="66371997"/>
    <w:rsid w:val="6668154A"/>
    <w:rsid w:val="66A46EE5"/>
    <w:rsid w:val="66C8352D"/>
    <w:rsid w:val="670B4697"/>
    <w:rsid w:val="670F6533"/>
    <w:rsid w:val="671169F6"/>
    <w:rsid w:val="6721571E"/>
    <w:rsid w:val="676B4F51"/>
    <w:rsid w:val="679338AF"/>
    <w:rsid w:val="67B26852"/>
    <w:rsid w:val="67FA1B80"/>
    <w:rsid w:val="6818102C"/>
    <w:rsid w:val="68432470"/>
    <w:rsid w:val="686228B3"/>
    <w:rsid w:val="68CE5B82"/>
    <w:rsid w:val="68FB3A63"/>
    <w:rsid w:val="69153442"/>
    <w:rsid w:val="695E3D1D"/>
    <w:rsid w:val="697917D6"/>
    <w:rsid w:val="697F058F"/>
    <w:rsid w:val="69800C84"/>
    <w:rsid w:val="698D097B"/>
    <w:rsid w:val="69F83AF3"/>
    <w:rsid w:val="6A640234"/>
    <w:rsid w:val="6AEB21F3"/>
    <w:rsid w:val="6B0F243C"/>
    <w:rsid w:val="6B4C0CC7"/>
    <w:rsid w:val="6B75423D"/>
    <w:rsid w:val="6BE82FCF"/>
    <w:rsid w:val="6C08416F"/>
    <w:rsid w:val="6C0D7B78"/>
    <w:rsid w:val="6C64581A"/>
    <w:rsid w:val="6CA81631"/>
    <w:rsid w:val="6CA87DFD"/>
    <w:rsid w:val="6CF75677"/>
    <w:rsid w:val="6D126CA1"/>
    <w:rsid w:val="6D275D81"/>
    <w:rsid w:val="6D3E6E4C"/>
    <w:rsid w:val="6D544868"/>
    <w:rsid w:val="6DB92A7B"/>
    <w:rsid w:val="6E791A9B"/>
    <w:rsid w:val="6E7FDA7C"/>
    <w:rsid w:val="6EC33BE5"/>
    <w:rsid w:val="6EE84441"/>
    <w:rsid w:val="6EEB49D8"/>
    <w:rsid w:val="6F37465C"/>
    <w:rsid w:val="6F452BE5"/>
    <w:rsid w:val="6F667AFB"/>
    <w:rsid w:val="6F871F4B"/>
    <w:rsid w:val="6F937E57"/>
    <w:rsid w:val="6FA9565C"/>
    <w:rsid w:val="6FAB4B62"/>
    <w:rsid w:val="6FBD7E22"/>
    <w:rsid w:val="701B1D7B"/>
    <w:rsid w:val="70227EC6"/>
    <w:rsid w:val="70452BBF"/>
    <w:rsid w:val="70503CF1"/>
    <w:rsid w:val="70651B61"/>
    <w:rsid w:val="70864DB0"/>
    <w:rsid w:val="70961679"/>
    <w:rsid w:val="70B24A8E"/>
    <w:rsid w:val="70D40F9D"/>
    <w:rsid w:val="70DF1913"/>
    <w:rsid w:val="71197126"/>
    <w:rsid w:val="71363B0C"/>
    <w:rsid w:val="71407F9A"/>
    <w:rsid w:val="71840AC3"/>
    <w:rsid w:val="71DD63EE"/>
    <w:rsid w:val="720022A1"/>
    <w:rsid w:val="7213289A"/>
    <w:rsid w:val="722756A8"/>
    <w:rsid w:val="72FA6DBA"/>
    <w:rsid w:val="72FFE214"/>
    <w:rsid w:val="735002A8"/>
    <w:rsid w:val="73847A30"/>
    <w:rsid w:val="73871E52"/>
    <w:rsid w:val="73B4044D"/>
    <w:rsid w:val="73D44DE2"/>
    <w:rsid w:val="740167E5"/>
    <w:rsid w:val="74237D69"/>
    <w:rsid w:val="74517339"/>
    <w:rsid w:val="746A588D"/>
    <w:rsid w:val="74B1789D"/>
    <w:rsid w:val="75BE41ED"/>
    <w:rsid w:val="7601232C"/>
    <w:rsid w:val="760B6636"/>
    <w:rsid w:val="762C4456"/>
    <w:rsid w:val="763F5381"/>
    <w:rsid w:val="767F0E37"/>
    <w:rsid w:val="769C3384"/>
    <w:rsid w:val="76D644A9"/>
    <w:rsid w:val="76FB1652"/>
    <w:rsid w:val="77302EC9"/>
    <w:rsid w:val="775B5A6C"/>
    <w:rsid w:val="7805322B"/>
    <w:rsid w:val="7810333C"/>
    <w:rsid w:val="784A4631"/>
    <w:rsid w:val="78607130"/>
    <w:rsid w:val="78B605DA"/>
    <w:rsid w:val="78C940FD"/>
    <w:rsid w:val="78E64054"/>
    <w:rsid w:val="78E6636B"/>
    <w:rsid w:val="78FC532B"/>
    <w:rsid w:val="78FFF178"/>
    <w:rsid w:val="79016C23"/>
    <w:rsid w:val="79237A64"/>
    <w:rsid w:val="792E55F2"/>
    <w:rsid w:val="7A015210"/>
    <w:rsid w:val="7A016D9E"/>
    <w:rsid w:val="7A234421"/>
    <w:rsid w:val="7AB94F83"/>
    <w:rsid w:val="7ABA4689"/>
    <w:rsid w:val="7ADE3752"/>
    <w:rsid w:val="7AE55D78"/>
    <w:rsid w:val="7B883E22"/>
    <w:rsid w:val="7B9E5976"/>
    <w:rsid w:val="7BEF7405"/>
    <w:rsid w:val="7C6672E7"/>
    <w:rsid w:val="7C9044AE"/>
    <w:rsid w:val="7CAA7692"/>
    <w:rsid w:val="7CF84C34"/>
    <w:rsid w:val="7D07406E"/>
    <w:rsid w:val="7D1646C8"/>
    <w:rsid w:val="7D5A0D9A"/>
    <w:rsid w:val="7D6018CF"/>
    <w:rsid w:val="7D7C62D7"/>
    <w:rsid w:val="7D94637C"/>
    <w:rsid w:val="7DD372B7"/>
    <w:rsid w:val="7DF2721D"/>
    <w:rsid w:val="7E0A24D6"/>
    <w:rsid w:val="7E0D7817"/>
    <w:rsid w:val="7E141E8F"/>
    <w:rsid w:val="7E163D6A"/>
    <w:rsid w:val="7E5869D1"/>
    <w:rsid w:val="7E5D031B"/>
    <w:rsid w:val="7E7FAA44"/>
    <w:rsid w:val="7E94737F"/>
    <w:rsid w:val="7F5160D2"/>
    <w:rsid w:val="7F623E3B"/>
    <w:rsid w:val="7F86042B"/>
    <w:rsid w:val="7F8A3392"/>
    <w:rsid w:val="7F9B0103"/>
    <w:rsid w:val="7FBE064E"/>
    <w:rsid w:val="7FBF4495"/>
    <w:rsid w:val="7FE90CDA"/>
    <w:rsid w:val="7FFD6DDD"/>
    <w:rsid w:val="7FFE0BD3"/>
    <w:rsid w:val="7FFF168A"/>
    <w:rsid w:val="BFADCCEE"/>
    <w:rsid w:val="BFD1595A"/>
    <w:rsid w:val="DACF552F"/>
    <w:rsid w:val="DDE97FD4"/>
    <w:rsid w:val="EA7EA6B4"/>
    <w:rsid w:val="EDFF66C4"/>
    <w:rsid w:val="EFFEADF0"/>
    <w:rsid w:val="EFFFAD51"/>
    <w:rsid w:val="FBDDA002"/>
    <w:rsid w:val="FDAD0576"/>
    <w:rsid w:val="FFF3C8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1"/>
      <w:lang w:val="en-US" w:eastAsia="zh-CN" w:bidi="ar-SA"/>
    </w:rPr>
  </w:style>
  <w:style w:type="paragraph" w:styleId="2">
    <w:name w:val="heading 1"/>
    <w:basedOn w:val="1"/>
    <w:next w:val="1"/>
    <w:link w:val="32"/>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left"/>
      <w:outlineLvl w:val="1"/>
    </w:pPr>
    <w:rPr>
      <w:rFonts w:ascii="Arial" w:hAnsi="Arial" w:cs="Times New Roman"/>
      <w:b/>
      <w:sz w:val="28"/>
      <w:szCs w:val="20"/>
    </w:rPr>
  </w:style>
  <w:style w:type="paragraph" w:styleId="4">
    <w:name w:val="heading 3"/>
    <w:basedOn w:val="1"/>
    <w:next w:val="1"/>
    <w:unhideWhenUsed/>
    <w:qFormat/>
    <w:uiPriority w:val="0"/>
    <w:pPr>
      <w:keepNext/>
      <w:keepLines/>
      <w:spacing w:before="260" w:after="260" w:line="416" w:lineRule="auto"/>
      <w:outlineLvl w:val="2"/>
    </w:pPr>
    <w:rPr>
      <w:rFonts w:ascii="Times New Roman" w:hAnsi="Times New Roman"/>
      <w:b/>
      <w:bCs/>
      <w:sz w:val="32"/>
      <w:szCs w:val="32"/>
    </w:rPr>
  </w:style>
  <w:style w:type="paragraph" w:styleId="5">
    <w:name w:val="heading 4"/>
    <w:basedOn w:val="1"/>
    <w:next w:val="1"/>
    <w:qFormat/>
    <w:uiPriority w:val="0"/>
    <w:pPr>
      <w:keepNext/>
      <w:keepLines/>
      <w:adjustRightInd w:val="0"/>
      <w:spacing w:before="120" w:beforeLines="0" w:after="120" w:afterLines="0" w:line="360" w:lineRule="auto"/>
      <w:ind w:firstLine="284"/>
      <w:jc w:val="left"/>
      <w:outlineLvl w:val="3"/>
    </w:pPr>
    <w:rPr>
      <w:rFonts w:ascii="Arial" w:hAnsi="Arial"/>
      <w:b/>
      <w:kern w:val="0"/>
      <w:szCs w:val="2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1"/>
    <w:qFormat/>
    <w:uiPriority w:val="0"/>
    <w:pPr>
      <w:ind w:firstLine="420"/>
    </w:pPr>
    <w:rPr>
      <w:szCs w:val="20"/>
    </w:rPr>
  </w:style>
  <w:style w:type="paragraph" w:styleId="7">
    <w:name w:val="index 5"/>
    <w:basedOn w:val="1"/>
    <w:next w:val="1"/>
    <w:unhideWhenUsed/>
    <w:qFormat/>
    <w:uiPriority w:val="0"/>
    <w:pPr>
      <w:ind w:left="800" w:leftChars="800"/>
    </w:pPr>
    <w:rPr>
      <w:lang w:bidi="he-IL"/>
    </w:rPr>
  </w:style>
  <w:style w:type="paragraph" w:styleId="8">
    <w:name w:val="toa heading"/>
    <w:basedOn w:val="1"/>
    <w:next w:val="1"/>
    <w:qFormat/>
    <w:uiPriority w:val="0"/>
    <w:pPr>
      <w:spacing w:before="120"/>
    </w:pPr>
    <w:rPr>
      <w:rFonts w:ascii="Arial" w:hAnsi="Arial"/>
      <w:sz w:val="24"/>
    </w:rPr>
  </w:style>
  <w:style w:type="paragraph" w:styleId="9">
    <w:name w:val="index 6"/>
    <w:basedOn w:val="1"/>
    <w:next w:val="1"/>
    <w:qFormat/>
    <w:uiPriority w:val="99"/>
    <w:pPr>
      <w:ind w:left="2100"/>
    </w:pPr>
  </w:style>
  <w:style w:type="paragraph" w:styleId="10">
    <w:name w:val="Body Text"/>
    <w:basedOn w:val="1"/>
    <w:next w:val="11"/>
    <w:qFormat/>
    <w:uiPriority w:val="0"/>
    <w:pPr>
      <w:spacing w:after="120"/>
    </w:pPr>
  </w:style>
  <w:style w:type="paragraph" w:styleId="11">
    <w:name w:val="Body Text First Indent"/>
    <w:basedOn w:val="10"/>
    <w:qFormat/>
    <w:uiPriority w:val="0"/>
    <w:pPr>
      <w:widowControl/>
      <w:spacing w:before="60" w:line="240" w:lineRule="auto"/>
      <w:ind w:firstLine="420" w:firstLineChars="100"/>
    </w:pPr>
    <w:rPr>
      <w:rFonts w:ascii="黑体" w:hAnsi="宋体" w:eastAsia="黑体" w:cs="Wide Latin"/>
      <w:lang w:val="en-US" w:eastAsia="zh-CN"/>
    </w:rPr>
  </w:style>
  <w:style w:type="paragraph" w:styleId="12">
    <w:name w:val="Body Text Indent"/>
    <w:basedOn w:val="1"/>
    <w:next w:val="5"/>
    <w:qFormat/>
    <w:uiPriority w:val="0"/>
    <w:pPr>
      <w:spacing w:after="120"/>
      <w:ind w:left="420" w:leftChars="200"/>
    </w:pPr>
  </w:style>
  <w:style w:type="paragraph" w:styleId="13">
    <w:name w:val="index 4"/>
    <w:basedOn w:val="1"/>
    <w:next w:val="1"/>
    <w:qFormat/>
    <w:uiPriority w:val="0"/>
    <w:pPr>
      <w:ind w:left="600" w:leftChars="600"/>
    </w:pPr>
  </w:style>
  <w:style w:type="paragraph" w:styleId="14">
    <w:name w:val="Plain Text"/>
    <w:basedOn w:val="1"/>
    <w:qFormat/>
    <w:uiPriority w:val="0"/>
    <w:rPr>
      <w:rFonts w:ascii="宋体" w:hAnsi="Courier New" w:cs="Times New Roman"/>
      <w:sz w:val="11"/>
      <w:szCs w:val="20"/>
    </w:rPr>
  </w:style>
  <w:style w:type="paragraph" w:styleId="15">
    <w:name w:val="Date"/>
    <w:basedOn w:val="1"/>
    <w:next w:val="1"/>
    <w:qFormat/>
    <w:uiPriority w:val="0"/>
    <w:pPr>
      <w:adjustRightInd w:val="0"/>
      <w:spacing w:line="420" w:lineRule="atLeast"/>
      <w:ind w:firstLine="454"/>
      <w:jc w:val="right"/>
    </w:pPr>
    <w:rPr>
      <w:kern w:val="0"/>
      <w:szCs w:val="20"/>
    </w:rPr>
  </w:style>
  <w:style w:type="paragraph" w:styleId="16">
    <w:name w:val="Body Text Indent 2"/>
    <w:basedOn w:val="1"/>
    <w:qFormat/>
    <w:uiPriority w:val="0"/>
    <w:pPr>
      <w:spacing w:line="360" w:lineRule="auto"/>
      <w:ind w:left="179" w:leftChars="85"/>
    </w:pPr>
    <w:rPr>
      <w:rFonts w:ascii="Times New Roman" w:hAnsi="Times New Roman" w:cs="Times New Roman"/>
      <w:b/>
      <w:sz w:val="24"/>
      <w:szCs w:val="20"/>
      <w:u w:val="single"/>
    </w:rPr>
  </w:style>
  <w:style w:type="paragraph" w:styleId="17">
    <w:name w:val="Balloon Text"/>
    <w:basedOn w:val="1"/>
    <w:link w:val="43"/>
    <w:qFormat/>
    <w:uiPriority w:val="0"/>
    <w:rPr>
      <w:sz w:val="18"/>
      <w:szCs w:val="18"/>
    </w:rPr>
  </w:style>
  <w:style w:type="paragraph" w:styleId="18">
    <w:name w:val="footer"/>
    <w:basedOn w:val="1"/>
    <w:link w:val="44"/>
    <w:qFormat/>
    <w:uiPriority w:val="99"/>
    <w:pPr>
      <w:tabs>
        <w:tab w:val="center" w:pos="4153"/>
        <w:tab w:val="right" w:pos="8306"/>
      </w:tabs>
      <w:snapToGrid w:val="0"/>
      <w:jc w:val="left"/>
    </w:pPr>
    <w:rPr>
      <w:rFonts w:ascii="Times New Roman" w:hAnsi="Times New Roman" w:cs="Times New Roman"/>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20">
    <w:name w:val="footnote text"/>
    <w:basedOn w:val="1"/>
    <w:next w:val="7"/>
    <w:qFormat/>
    <w:uiPriority w:val="0"/>
    <w:pPr>
      <w:snapToGrid w:val="0"/>
      <w:jc w:val="left"/>
    </w:pPr>
    <w:rPr>
      <w:sz w:val="18"/>
      <w:szCs w:val="24"/>
    </w:rPr>
  </w:style>
  <w:style w:type="paragraph" w:styleId="21">
    <w:name w:val="index 7"/>
    <w:basedOn w:val="1"/>
    <w:next w:val="1"/>
    <w:qFormat/>
    <w:uiPriority w:val="0"/>
    <w:pPr>
      <w:ind w:left="1200" w:leftChars="1200"/>
    </w:pPr>
    <w:rPr>
      <w:szCs w:val="24"/>
    </w:rPr>
  </w:style>
  <w:style w:type="paragraph" w:styleId="22">
    <w:name w:val="HTML Preformatted"/>
    <w:basedOn w:val="1"/>
    <w:qFormat/>
    <w:uiPriority w:val="0"/>
    <w:rPr>
      <w:rFonts w:ascii="Courier New" w:hAnsi="Courier New"/>
      <w:sz w:val="20"/>
    </w:rPr>
  </w:style>
  <w:style w:type="paragraph" w:styleId="23">
    <w:name w:val="Normal (Web)"/>
    <w:basedOn w:val="1"/>
    <w:qFormat/>
    <w:uiPriority w:val="99"/>
    <w:pPr>
      <w:widowControl/>
      <w:jc w:val="left"/>
    </w:pPr>
    <w:rPr>
      <w:rFonts w:ascii="宋体" w:hAnsi="宋体"/>
      <w:kern w:val="0"/>
      <w:sz w:val="24"/>
      <w:szCs w:val="24"/>
    </w:rPr>
  </w:style>
  <w:style w:type="paragraph" w:styleId="24">
    <w:name w:val="Body Text First Indent 2"/>
    <w:basedOn w:val="12"/>
    <w:next w:val="10"/>
    <w:qFormat/>
    <w:uiPriority w:val="99"/>
    <w:pPr>
      <w:ind w:firstLine="420" w:firstLineChars="200"/>
    </w:pPr>
  </w:style>
  <w:style w:type="table" w:styleId="26">
    <w:name w:val="Table Grid"/>
    <w:basedOn w:val="2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22"/>
    <w:rPr>
      <w:b/>
      <w:bCs/>
    </w:rPr>
  </w:style>
  <w:style w:type="character" w:styleId="29">
    <w:name w:val="page number"/>
    <w:basedOn w:val="27"/>
    <w:qFormat/>
    <w:uiPriority w:val="0"/>
  </w:style>
  <w:style w:type="character" w:styleId="30">
    <w:name w:val="Hyperlink"/>
    <w:unhideWhenUsed/>
    <w:qFormat/>
    <w:uiPriority w:val="99"/>
    <w:rPr>
      <w:color w:val="0000FF"/>
      <w:u w:val="single"/>
    </w:rPr>
  </w:style>
  <w:style w:type="paragraph" w:customStyle="1" w:styleId="31">
    <w:name w:val="Default"/>
    <w:next w:val="1"/>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32">
    <w:name w:val="标题 1 字符"/>
    <w:link w:val="2"/>
    <w:qFormat/>
    <w:uiPriority w:val="0"/>
    <w:rPr>
      <w:rFonts w:cs="宋体"/>
      <w:b/>
      <w:bCs/>
      <w:kern w:val="44"/>
      <w:sz w:val="44"/>
      <w:szCs w:val="44"/>
    </w:rPr>
  </w:style>
  <w:style w:type="paragraph" w:customStyle="1" w:styleId="33">
    <w:name w:val="列出段落1"/>
    <w:basedOn w:val="1"/>
    <w:unhideWhenUsed/>
    <w:qFormat/>
    <w:uiPriority w:val="99"/>
    <w:pPr>
      <w:ind w:firstLine="420" w:firstLineChars="200"/>
    </w:pPr>
  </w:style>
  <w:style w:type="paragraph" w:customStyle="1" w:styleId="34">
    <w:name w:val="列表段落1"/>
    <w:basedOn w:val="1"/>
    <w:qFormat/>
    <w:uiPriority w:val="99"/>
    <w:pPr>
      <w:ind w:firstLine="420" w:firstLineChars="200"/>
    </w:pPr>
  </w:style>
  <w:style w:type="paragraph" w:customStyle="1" w:styleId="35">
    <w:name w:val="小五号正文"/>
    <w:basedOn w:val="1"/>
    <w:qFormat/>
    <w:uiPriority w:val="0"/>
    <w:pPr>
      <w:spacing w:line="360" w:lineRule="auto"/>
    </w:pPr>
    <w:rPr>
      <w:rFonts w:ascii="宋体"/>
      <w:color w:val="000000"/>
      <w:kern w:val="21"/>
      <w:sz w:val="18"/>
      <w:szCs w:val="20"/>
    </w:rPr>
  </w:style>
  <w:style w:type="paragraph" w:customStyle="1" w:styleId="36">
    <w:name w:val="正文缩进2格"/>
    <w:basedOn w:val="1"/>
    <w:qFormat/>
    <w:uiPriority w:val="0"/>
    <w:pPr>
      <w:spacing w:line="600" w:lineRule="exact"/>
      <w:ind w:firstLine="639" w:firstLineChars="206"/>
    </w:pPr>
    <w:rPr>
      <w:rFonts w:ascii="仿宋_GB2312" w:hAnsi="宋体" w:eastAsia="仿宋_GB2312" w:cs="Times New Roman"/>
      <w:sz w:val="31"/>
      <w:szCs w:val="28"/>
    </w:rPr>
  </w:style>
  <w:style w:type="paragraph" w:customStyle="1" w:styleId="37">
    <w:name w:val="detail-info"/>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38">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列表段落2"/>
    <w:basedOn w:val="1"/>
    <w:qFormat/>
    <w:uiPriority w:val="34"/>
    <w:pPr>
      <w:ind w:firstLine="420" w:firstLineChars="200"/>
    </w:pPr>
  </w:style>
  <w:style w:type="paragraph" w:customStyle="1" w:styleId="40">
    <w:name w:val="正文缩进1"/>
    <w:basedOn w:val="1"/>
    <w:qFormat/>
    <w:uiPriority w:val="0"/>
    <w:pPr>
      <w:ind w:firstLine="420"/>
    </w:pPr>
    <w:rPr>
      <w:szCs w:val="20"/>
    </w:rPr>
  </w:style>
  <w:style w:type="paragraph" w:customStyle="1" w:styleId="41">
    <w:name w:val="自定样式1"/>
    <w:basedOn w:val="1"/>
    <w:qFormat/>
    <w:uiPriority w:val="0"/>
    <w:pPr>
      <w:suppressAutoHyphens/>
      <w:jc w:val="center"/>
    </w:pPr>
    <w:rPr>
      <w:rFonts w:ascii="宋体" w:hAnsi="宋体"/>
      <w:color w:val="000000"/>
      <w:sz w:val="18"/>
    </w:rPr>
  </w:style>
  <w:style w:type="character" w:customStyle="1" w:styleId="42">
    <w:name w:val="bookmark-item"/>
    <w:qFormat/>
    <w:uiPriority w:val="0"/>
  </w:style>
  <w:style w:type="character" w:customStyle="1" w:styleId="43">
    <w:name w:val="批注框文本 字符"/>
    <w:link w:val="17"/>
    <w:qFormat/>
    <w:uiPriority w:val="0"/>
    <w:rPr>
      <w:rFonts w:cs="宋体"/>
      <w:kern w:val="2"/>
      <w:sz w:val="18"/>
      <w:szCs w:val="18"/>
    </w:rPr>
  </w:style>
  <w:style w:type="character" w:customStyle="1" w:styleId="44">
    <w:name w:val="页脚 字符"/>
    <w:link w:val="18"/>
    <w:qFormat/>
    <w:uiPriority w:val="99"/>
    <w:rPr>
      <w:rFonts w:ascii="Times New Roman" w:hAnsi="Times New Roman"/>
      <w:kern w:val="2"/>
      <w:sz w:val="18"/>
      <w:szCs w:val="18"/>
    </w:rPr>
  </w:style>
  <w:style w:type="table" w:customStyle="1" w:styleId="45">
    <w:name w:val="Table Normal"/>
    <w:unhideWhenUsed/>
    <w:qFormat/>
    <w:uiPriority w:val="0"/>
    <w:tblPr>
      <w:tblCellMar>
        <w:top w:w="0" w:type="dxa"/>
        <w:left w:w="0" w:type="dxa"/>
        <w:bottom w:w="0" w:type="dxa"/>
        <w:right w:w="0" w:type="dxa"/>
      </w:tblCellMar>
    </w:tblPr>
  </w:style>
  <w:style w:type="paragraph" w:customStyle="1" w:styleId="46">
    <w:name w:val="正文 New New New New New New New New New New New New New New New12"/>
    <w:unhideWhenUsed/>
    <w:qFormat/>
    <w:uiPriority w:val="0"/>
    <w:pPr>
      <w:widowControl w:val="0"/>
      <w:spacing w:beforeLines="0" w:afterLines="0" w:line="600" w:lineRule="exact"/>
      <w:jc w:val="both"/>
    </w:pPr>
    <w:rPr>
      <w:rFonts w:hint="eastAsia" w:ascii="仿宋" w:hAnsi="仿宋" w:eastAsia="仿宋" w:cs="仿宋"/>
      <w:kern w:val="2"/>
      <w:sz w:val="28"/>
      <w:szCs w:val="28"/>
      <w:lang w:val="en-US" w:eastAsia="zh-CN" w:bidi="ar-SA"/>
    </w:rPr>
  </w:style>
  <w:style w:type="paragraph" w:customStyle="1" w:styleId="47">
    <w:name w:val="正文_1"/>
    <w:basedOn w:val="48"/>
    <w:next w:val="48"/>
    <w:qFormat/>
    <w:uiPriority w:val="0"/>
    <w:pPr>
      <w:widowControl w:val="0"/>
      <w:jc w:val="both"/>
    </w:pPr>
    <w:rPr>
      <w:rFonts w:ascii="Calibri" w:hAnsi="Calibri"/>
      <w:kern w:val="2"/>
      <w:sz w:val="21"/>
      <w:szCs w:val="22"/>
      <w:lang w:val="en-US" w:eastAsia="zh-CN" w:bidi="ar-SA"/>
    </w:rPr>
  </w:style>
  <w:style w:type="paragraph" w:customStyle="1" w:styleId="4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Style1"/>
    <w:basedOn w:val="1"/>
    <w:qFormat/>
    <w:uiPriority w:val="0"/>
    <w:pPr>
      <w:widowControl/>
      <w:tabs>
        <w:tab w:val="left" w:pos="-720"/>
      </w:tabs>
      <w:spacing w:after="120" w:afterLines="0"/>
    </w:pPr>
    <w:rPr>
      <w:rFonts w:ascii="Times New Roman" w:hAnsi="Times New Roman" w:eastAsia="宋体" w:cs="Times New Roman"/>
      <w:spacing w:val="-3"/>
      <w:kern w:val="0"/>
      <w:sz w:val="24"/>
      <w:szCs w:val="20"/>
      <w:lang w:val="en-AU" w:eastAsia="en-US"/>
    </w:rPr>
  </w:style>
  <w:style w:type="paragraph" w:customStyle="1" w:styleId="50">
    <w:name w:val="Table Paragraph"/>
    <w:basedOn w:val="1"/>
    <w:qFormat/>
    <w:uiPriority w:val="1"/>
  </w:style>
  <w:style w:type="paragraph" w:customStyle="1" w:styleId="51">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52">
    <w:name w:val="5）标书正文 首行缩进2字符"/>
    <w:basedOn w:val="1"/>
    <w:qFormat/>
    <w:uiPriority w:val="99"/>
    <w:pPr>
      <w:spacing w:line="480" w:lineRule="exact"/>
      <w:ind w:firstLine="200" w:firstLineChars="200"/>
    </w:pPr>
    <w:rPr>
      <w:rFonts w:ascii="仿宋_GB2312" w:eastAsia="仿宋_GB2312"/>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63</Pages>
  <Words>29329</Words>
  <Characters>30415</Characters>
  <Lines>176</Lines>
  <Paragraphs>49</Paragraphs>
  <TotalTime>75</TotalTime>
  <ScaleCrop>false</ScaleCrop>
  <LinksUpToDate>false</LinksUpToDate>
  <CharactersWithSpaces>32114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2019-11-20T04:53:00Z</dcterms:created>
  <dc:creator>Administrator</dc:creator>
  <cp:lastModifiedBy>Administrator</cp:lastModifiedBy>
  <cp:lastPrinted>2025-03-06T02:48:00Z</cp:lastPrinted>
  <dcterms:modified xsi:type="dcterms:W3CDTF">2025-04-15T08:17:39Z</dcterms:modified>
  <dc:title>阿勒泰边境管理支队2022年度驻阿勒泰市周边单位协议定点采购项目/主副食(一标段)</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D857DF3EFC244C53A713D9C44E9C874A_13</vt:lpwstr>
  </property>
  <property fmtid="{D5CDD505-2E9C-101B-9397-08002B2CF9AE}" pid="4" name="KSOTemplateDocerSaveRecord">
    <vt:lpwstr>eyJoZGlkIjoiYzQ3MTVlMThhM2M2NDJjZTdjOTNmMjgzNTA2ZWUxNWMiLCJ1c2VySWQiOiIxMjAzMTU0NzE0In0=</vt:lpwstr>
  </property>
</Properties>
</file>