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C7A23A">
      <w:pPr>
        <w:pageBreakBefore w:val="0"/>
        <w:kinsoku/>
        <w:overflowPunct/>
        <w:autoSpaceDE w:val="0"/>
        <w:autoSpaceDN w:val="0"/>
        <w:bidi w:val="0"/>
        <w:adjustRightInd w:val="0"/>
        <w:spacing w:line="360" w:lineRule="auto"/>
        <w:jc w:val="right"/>
        <w:textAlignment w:val="auto"/>
        <w:rPr>
          <w:rFonts w:hint="default" w:ascii="宋体" w:hAnsi="宋体" w:eastAsia="宋体" w:cs="宋体"/>
          <w:b/>
          <w:color w:val="000000" w:themeColor="text1"/>
          <w:sz w:val="24"/>
          <w:szCs w:val="24"/>
          <w:highlight w:val="none"/>
          <w:lang w:val="en-US" w:eastAsia="zh-CN"/>
          <w14:textFill>
            <w14:solidFill>
              <w14:schemeClr w14:val="tx1"/>
            </w14:solidFill>
          </w14:textFill>
        </w:rPr>
      </w:pPr>
      <w:bookmarkStart w:id="0" w:name="_Toc349637918"/>
      <w:bookmarkStart w:id="1" w:name="_Toc349573119"/>
      <w:bookmarkStart w:id="2" w:name="_Toc298240403"/>
      <w:bookmarkStart w:id="3" w:name="_Toc267301280"/>
      <w:bookmarkStart w:id="4" w:name="_Toc527642950"/>
      <w:r>
        <w:rPr>
          <w:rFonts w:hint="eastAsia" w:ascii="宋体" w:hAnsi="宋体" w:cs="宋体"/>
          <w:b/>
          <w:color w:val="000000" w:themeColor="text1"/>
          <w:sz w:val="24"/>
          <w:szCs w:val="24"/>
          <w:highlight w:val="none"/>
          <w:lang w:val="en-US" w:eastAsia="zh-CN"/>
          <w14:textFill>
            <w14:solidFill>
              <w14:schemeClr w14:val="tx1"/>
            </w14:solidFill>
          </w14:textFill>
        </w:rPr>
        <w:t xml:space="preserve">            </w:t>
      </w:r>
      <w:r>
        <w:rPr>
          <w:rFonts w:hint="eastAsia" w:ascii="宋体" w:hAnsi="宋体" w:cs="宋体"/>
          <w:b/>
          <w:color w:val="000000" w:themeColor="text1"/>
          <w:sz w:val="24"/>
          <w:szCs w:val="24"/>
          <w:highlight w:val="none"/>
          <w14:textFill>
            <w14:solidFill>
              <w14:schemeClr w14:val="tx1"/>
            </w14:solidFill>
          </w14:textFill>
        </w:rPr>
        <w:t>编号：</w:t>
      </w:r>
      <w:r>
        <w:rPr>
          <w:rFonts w:hint="eastAsia" w:ascii="宋体" w:hAnsi="宋体" w:cs="宋体"/>
          <w:b/>
          <w:color w:val="000000" w:themeColor="text1"/>
          <w:sz w:val="24"/>
          <w:szCs w:val="24"/>
          <w:highlight w:val="none"/>
          <w:lang w:val="en-US" w:eastAsia="zh-CN"/>
          <w14:textFill>
            <w14:solidFill>
              <w14:schemeClr w14:val="tx1"/>
            </w14:solidFill>
          </w14:textFill>
        </w:rPr>
        <w:t>glzfcg-jzxcs-2025-01</w:t>
      </w:r>
    </w:p>
    <w:p w14:paraId="5CD0FBF4">
      <w:pPr>
        <w:pStyle w:val="16"/>
        <w:pageBreakBefore w:val="0"/>
        <w:kinsoku/>
        <w:overflowPunct/>
        <w:bidi w:val="0"/>
        <w:spacing w:line="360" w:lineRule="auto"/>
        <w:textAlignment w:val="auto"/>
        <w:rPr>
          <w:rFonts w:hint="default"/>
          <w:color w:val="000000" w:themeColor="text1"/>
          <w:highlight w:val="none"/>
          <w:lang w:val="en-US" w:eastAsia="zh-CN"/>
          <w14:textFill>
            <w14:solidFill>
              <w14:schemeClr w14:val="tx1"/>
            </w14:solidFill>
          </w14:textFill>
        </w:rPr>
      </w:pPr>
    </w:p>
    <w:p w14:paraId="78116564">
      <w:pPr>
        <w:pStyle w:val="16"/>
        <w:pageBreakBefore w:val="0"/>
        <w:kinsoku/>
        <w:overflowPunct/>
        <w:bidi w:val="0"/>
        <w:spacing w:line="360" w:lineRule="auto"/>
        <w:textAlignment w:val="auto"/>
        <w:rPr>
          <w:rFonts w:hint="default"/>
          <w:color w:val="000000" w:themeColor="text1"/>
          <w:highlight w:val="none"/>
          <w:lang w:val="en-US" w:eastAsia="zh-CN"/>
          <w14:textFill>
            <w14:solidFill>
              <w14:schemeClr w14:val="tx1"/>
            </w14:solidFill>
          </w14:textFill>
        </w:rPr>
      </w:pPr>
    </w:p>
    <w:p w14:paraId="66764CD1">
      <w:pPr>
        <w:pageBreakBefore w:val="0"/>
        <w:kinsoku/>
        <w:overflowPunct/>
        <w:bidi w:val="0"/>
        <w:spacing w:line="360" w:lineRule="auto"/>
        <w:jc w:val="center"/>
        <w:textAlignment w:val="auto"/>
        <w:rPr>
          <w:rFonts w:hint="eastAsia" w:ascii="宋体" w:hAnsi="宋体" w:cs="Times New Roman"/>
          <w:b/>
          <w:color w:val="000000" w:themeColor="text1"/>
          <w:kern w:val="2"/>
          <w:sz w:val="48"/>
          <w:szCs w:val="48"/>
          <w:highlight w:val="none"/>
          <w:lang w:eastAsia="zh-CN" w:bidi="ar-SA"/>
          <w14:textFill>
            <w14:solidFill>
              <w14:schemeClr w14:val="tx1"/>
            </w14:solidFill>
          </w14:textFill>
        </w:rPr>
      </w:pPr>
      <w:r>
        <w:rPr>
          <w:rFonts w:hint="eastAsia" w:ascii="宋体" w:hAnsi="宋体" w:cs="Times New Roman"/>
          <w:b/>
          <w:color w:val="000000" w:themeColor="text1"/>
          <w:spacing w:val="-17"/>
          <w:kern w:val="2"/>
          <w:sz w:val="48"/>
          <w:szCs w:val="48"/>
          <w:highlight w:val="none"/>
          <w:lang w:eastAsia="zh-CN" w:bidi="ar-SA"/>
          <w14:textFill>
            <w14:solidFill>
              <w14:schemeClr w14:val="tx1"/>
            </w14:solidFill>
          </w14:textFill>
        </w:rPr>
        <w:t>2025年义务教育农村校舍安全保障长效机制项目自治区资金建设项目</w:t>
      </w:r>
    </w:p>
    <w:p w14:paraId="16F89106">
      <w:pPr>
        <w:pageBreakBefore w:val="0"/>
        <w:kinsoku/>
        <w:overflowPunct/>
        <w:bidi w:val="0"/>
        <w:spacing w:line="360" w:lineRule="auto"/>
        <w:jc w:val="center"/>
        <w:textAlignment w:val="auto"/>
        <w:rPr>
          <w:rFonts w:hint="eastAsia" w:ascii="宋体" w:hAnsi="宋体" w:cs="Times New Roman"/>
          <w:b/>
          <w:color w:val="000000" w:themeColor="text1"/>
          <w:kern w:val="2"/>
          <w:sz w:val="48"/>
          <w:szCs w:val="48"/>
          <w:highlight w:val="none"/>
          <w:lang w:eastAsia="zh-CN" w:bidi="ar-SA"/>
          <w14:textFill>
            <w14:solidFill>
              <w14:schemeClr w14:val="tx1"/>
            </w14:solidFill>
          </w14:textFill>
        </w:rPr>
      </w:pPr>
    </w:p>
    <w:p w14:paraId="4D389E86">
      <w:pPr>
        <w:pageBreakBefore w:val="0"/>
        <w:kinsoku/>
        <w:overflowPunct/>
        <w:bidi w:val="0"/>
        <w:spacing w:line="360" w:lineRule="auto"/>
        <w:jc w:val="center"/>
        <w:textAlignment w:val="auto"/>
        <w:rPr>
          <w:rFonts w:hint="eastAsia"/>
          <w:b/>
          <w:bCs/>
          <w:color w:val="000000" w:themeColor="text1"/>
          <w:sz w:val="80"/>
          <w:szCs w:val="80"/>
          <w:highlight w:val="none"/>
          <w14:textFill>
            <w14:solidFill>
              <w14:schemeClr w14:val="tx1"/>
            </w14:solidFill>
          </w14:textFill>
        </w:rPr>
      </w:pPr>
      <w:r>
        <w:rPr>
          <w:rFonts w:hint="eastAsia"/>
          <w:b/>
          <w:bCs/>
          <w:color w:val="000000" w:themeColor="text1"/>
          <w:sz w:val="72"/>
          <w:szCs w:val="72"/>
          <w:highlight w:val="none"/>
          <w14:textFill>
            <w14:solidFill>
              <w14:schemeClr w14:val="tx1"/>
            </w14:solidFill>
          </w14:textFill>
        </w:rPr>
        <w:t>竞争性磋商文件</w:t>
      </w:r>
    </w:p>
    <w:p w14:paraId="5AB5D7F0">
      <w:pPr>
        <w:pageBreakBefore w:val="0"/>
        <w:kinsoku/>
        <w:overflowPunct/>
        <w:bidi w:val="0"/>
        <w:spacing w:line="360" w:lineRule="auto"/>
        <w:textAlignment w:val="auto"/>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pPr>
    </w:p>
    <w:p w14:paraId="60DAB1E3">
      <w:pPr>
        <w:pStyle w:val="16"/>
        <w:pageBreakBefore w:val="0"/>
        <w:kinsoku/>
        <w:overflowPunct/>
        <w:bidi w:val="0"/>
        <w:spacing w:line="360" w:lineRule="auto"/>
        <w:ind w:left="0" w:leftChars="0" w:firstLine="0" w:firstLineChars="0"/>
        <w:textAlignment w:val="auto"/>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pPr>
    </w:p>
    <w:p w14:paraId="5F2B93D9">
      <w:pPr>
        <w:keepNext w:val="0"/>
        <w:keepLines w:val="0"/>
        <w:pageBreakBefore w:val="0"/>
        <w:kinsoku/>
        <w:wordWrap/>
        <w:overflowPunct/>
        <w:topLinePunct w:val="0"/>
        <w:autoSpaceDE/>
        <w:autoSpaceDN/>
        <w:bidi w:val="0"/>
        <w:adjustRightInd/>
        <w:snapToGrid/>
        <w:spacing w:line="360" w:lineRule="auto"/>
        <w:ind w:left="0" w:leftChars="0"/>
        <w:textAlignment w:val="auto"/>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pP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招标人：</w:t>
      </w:r>
      <w:r>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t>巩留县教育局</w:t>
      </w: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（盖章）</w:t>
      </w:r>
    </w:p>
    <w:p w14:paraId="1C16279B">
      <w:pPr>
        <w:keepNext w:val="0"/>
        <w:keepLines w:val="0"/>
        <w:pageBreakBefore w:val="0"/>
        <w:kinsoku/>
        <w:wordWrap/>
        <w:overflowPunct/>
        <w:topLinePunct w:val="0"/>
        <w:autoSpaceDE/>
        <w:autoSpaceDN/>
        <w:bidi w:val="0"/>
        <w:adjustRightInd/>
        <w:snapToGrid/>
        <w:spacing w:line="360" w:lineRule="auto"/>
        <w:ind w:left="0" w:leftChars="0"/>
        <w:textAlignment w:val="auto"/>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pP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联系人：</w:t>
      </w:r>
      <w:r>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t>别里克汗</w:t>
      </w: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 xml:space="preserve">        </w:t>
      </w:r>
      <w:r>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t xml:space="preserve">  </w:t>
      </w: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联系电话：</w:t>
      </w:r>
      <w:r>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t>13899766957</w:t>
      </w:r>
    </w:p>
    <w:p w14:paraId="29A8F916">
      <w:pPr>
        <w:keepNext w:val="0"/>
        <w:keepLines w:val="0"/>
        <w:pageBreakBefore w:val="0"/>
        <w:kinsoku/>
        <w:wordWrap/>
        <w:overflowPunct/>
        <w:topLinePunct w:val="0"/>
        <w:autoSpaceDE/>
        <w:autoSpaceDN/>
        <w:bidi w:val="0"/>
        <w:adjustRightInd/>
        <w:snapToGrid/>
        <w:spacing w:line="360" w:lineRule="auto"/>
        <w:ind w:left="0" w:leftChars="0"/>
        <w:textAlignment w:val="auto"/>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pP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招标代理机构：</w:t>
      </w:r>
      <w:r>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t>巩留县政府采购中心</w:t>
      </w: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（公章)</w:t>
      </w:r>
    </w:p>
    <w:p w14:paraId="6102A61C">
      <w:pPr>
        <w:keepNext w:val="0"/>
        <w:keepLines w:val="0"/>
        <w:pageBreakBefore w:val="0"/>
        <w:kinsoku/>
        <w:wordWrap/>
        <w:overflowPunct/>
        <w:topLinePunct w:val="0"/>
        <w:autoSpaceDE/>
        <w:autoSpaceDN/>
        <w:bidi w:val="0"/>
        <w:adjustRightInd/>
        <w:snapToGrid/>
        <w:spacing w:line="360" w:lineRule="auto"/>
        <w:ind w:left="0" w:leftChars="0"/>
        <w:textAlignment w:val="auto"/>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pP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联系人：</w:t>
      </w:r>
      <w:r>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t xml:space="preserve">吴主任     </w:t>
      </w: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 xml:space="preserve">  </w:t>
      </w:r>
      <w:r>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t xml:space="preserve">   </w:t>
      </w: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联系电话：</w:t>
      </w:r>
      <w:r>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t>17590398738</w:t>
      </w:r>
    </w:p>
    <w:p w14:paraId="25EB440D">
      <w:pPr>
        <w:keepNext w:val="0"/>
        <w:keepLines w:val="0"/>
        <w:pageBreakBefore w:val="0"/>
        <w:kinsoku/>
        <w:wordWrap/>
        <w:overflowPunct/>
        <w:topLinePunct w:val="0"/>
        <w:autoSpaceDE/>
        <w:autoSpaceDN/>
        <w:bidi w:val="0"/>
        <w:adjustRightInd/>
        <w:snapToGrid/>
        <w:spacing w:line="360" w:lineRule="auto"/>
        <w:ind w:left="0" w:leftChars="0"/>
        <w:jc w:val="center"/>
        <w:textAlignment w:val="auto"/>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pPr>
    </w:p>
    <w:p w14:paraId="1F340DC9">
      <w:pPr>
        <w:keepNext w:val="0"/>
        <w:keepLines w:val="0"/>
        <w:pageBreakBefore w:val="0"/>
        <w:kinsoku/>
        <w:wordWrap/>
        <w:overflowPunct/>
        <w:topLinePunct w:val="0"/>
        <w:autoSpaceDE/>
        <w:autoSpaceDN/>
        <w:bidi w:val="0"/>
        <w:adjustRightInd/>
        <w:snapToGrid/>
        <w:spacing w:line="360" w:lineRule="auto"/>
        <w:ind w:left="0" w:leftChars="0"/>
        <w:jc w:val="center"/>
        <w:textAlignment w:val="auto"/>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pP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二〇二</w:t>
      </w:r>
      <w:r>
        <w:rPr>
          <w:rFonts w:hint="eastAsia" w:ascii="宋体" w:hAnsi="宋体" w:cs="Times New Roman"/>
          <w:b/>
          <w:color w:val="000000" w:themeColor="text1"/>
          <w:kern w:val="2"/>
          <w:sz w:val="32"/>
          <w:szCs w:val="32"/>
          <w:highlight w:val="none"/>
          <w:lang w:val="en-US" w:eastAsia="zh-CN" w:bidi="ar-SA"/>
          <w14:textFill>
            <w14:solidFill>
              <w14:schemeClr w14:val="tx1"/>
            </w14:solidFill>
          </w14:textFill>
        </w:rPr>
        <w:t>五年三</w:t>
      </w:r>
      <w:r>
        <w:rPr>
          <w:rFonts w:hint="eastAsia" w:ascii="宋体" w:hAnsi="宋体" w:eastAsia="宋体" w:cs="Times New Roman"/>
          <w:b/>
          <w:color w:val="000000" w:themeColor="text1"/>
          <w:kern w:val="2"/>
          <w:sz w:val="32"/>
          <w:szCs w:val="32"/>
          <w:highlight w:val="none"/>
          <w:lang w:val="en-US" w:eastAsia="zh-CN" w:bidi="ar-SA"/>
          <w14:textFill>
            <w14:solidFill>
              <w14:schemeClr w14:val="tx1"/>
            </w14:solidFill>
          </w14:textFill>
        </w:rPr>
        <w:t>月</w:t>
      </w:r>
    </w:p>
    <w:p w14:paraId="077E4865">
      <w:pPr>
        <w:rPr>
          <w:rFonts w:hint="eastAsia" w:ascii="宋体" w:hAnsi="宋体" w:eastAsia="宋体" w:cs="宋体"/>
          <w:b/>
          <w:color w:val="000000" w:themeColor="text1"/>
          <w:sz w:val="44"/>
          <w:szCs w:val="44"/>
          <w:highlight w:val="none"/>
          <w14:textFill>
            <w14:solidFill>
              <w14:schemeClr w14:val="tx1"/>
            </w14:solidFill>
          </w14:textFill>
        </w:rPr>
      </w:pPr>
      <w:r>
        <w:rPr>
          <w:rFonts w:hint="eastAsia" w:ascii="宋体" w:hAnsi="宋体" w:eastAsia="宋体" w:cs="宋体"/>
          <w:b/>
          <w:color w:val="000000" w:themeColor="text1"/>
          <w:sz w:val="44"/>
          <w:szCs w:val="44"/>
          <w:highlight w:val="none"/>
          <w14:textFill>
            <w14:solidFill>
              <w14:schemeClr w14:val="tx1"/>
            </w14:solidFill>
          </w14:textFill>
        </w:rPr>
        <w:br w:type="page"/>
      </w:r>
    </w:p>
    <w:p w14:paraId="2B29007F">
      <w:pPr>
        <w:pageBreakBefore w:val="0"/>
        <w:kinsoku/>
        <w:overflowPunct/>
        <w:bidi w:val="0"/>
        <w:spacing w:line="480" w:lineRule="exact"/>
        <w:jc w:val="center"/>
        <w:textAlignment w:val="auto"/>
        <w:rPr>
          <w:rFonts w:hint="eastAsia" w:ascii="宋体" w:hAnsi="宋体" w:eastAsia="宋体" w:cs="宋体"/>
          <w:b/>
          <w:color w:val="000000" w:themeColor="text1"/>
          <w:sz w:val="44"/>
          <w:szCs w:val="44"/>
          <w:highlight w:val="none"/>
          <w14:textFill>
            <w14:solidFill>
              <w14:schemeClr w14:val="tx1"/>
            </w14:solidFill>
          </w14:textFill>
        </w:rPr>
      </w:pPr>
      <w:r>
        <w:rPr>
          <w:rFonts w:hint="eastAsia" w:ascii="宋体" w:hAnsi="宋体" w:eastAsia="宋体" w:cs="宋体"/>
          <w:b/>
          <w:color w:val="000000" w:themeColor="text1"/>
          <w:sz w:val="44"/>
          <w:szCs w:val="44"/>
          <w:highlight w:val="none"/>
          <w14:textFill>
            <w14:solidFill>
              <w14:schemeClr w14:val="tx1"/>
            </w14:solidFill>
          </w14:textFill>
        </w:rPr>
        <w:t>目     录</w:t>
      </w:r>
    </w:p>
    <w:p w14:paraId="2FEEC07B">
      <w:pPr>
        <w:pStyle w:val="16"/>
        <w:rPr>
          <w:color w:val="000000" w:themeColor="text1"/>
          <w:highlight w:val="none"/>
          <w14:textFill>
            <w14:solidFill>
              <w14:schemeClr w14:val="tx1"/>
            </w14:solidFill>
          </w14:textFill>
        </w:rPr>
      </w:pPr>
    </w:p>
    <w:p w14:paraId="00775333">
      <w:pPr>
        <w:pStyle w:val="15"/>
        <w:pageBreakBefore w:val="0"/>
        <w:tabs>
          <w:tab w:val="right" w:leader="dot" w:pos="8400"/>
        </w:tabs>
        <w:kinsoku/>
        <w:overflowPunct/>
        <w:bidi w:val="0"/>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TOC \o "1-2" \h \z \u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"_Toc527642949"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第一部分 竞争性磋商公告</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0A8F1C86">
      <w:pPr>
        <w:pStyle w:val="15"/>
        <w:pageBreakBefore w:val="0"/>
        <w:tabs>
          <w:tab w:val="right" w:leader="dot" w:pos="8400"/>
        </w:tabs>
        <w:kinsoku/>
        <w:overflowPunct/>
        <w:bidi w:val="0"/>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"_Toc527642950"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 xml:space="preserve">第二部分 </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须知</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0B2A6E82">
      <w:pPr>
        <w:pStyle w:val="15"/>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"_Toc527642951"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须知附表</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1F25145F">
      <w:pPr>
        <w:pStyle w:val="15"/>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"_Toc527642952"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A  说　明</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2BDF8EEF">
      <w:pPr>
        <w:pStyle w:val="15"/>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"_Toc527642953"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B  磋商文件</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7F49C4B1">
      <w:pPr>
        <w:pStyle w:val="15"/>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"_Toc527642954"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C  磋商响应文件的编写</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6197881F">
      <w:pPr>
        <w:pStyle w:val="15"/>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"_Toc527642955"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D  磋商响应文件的递交</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3</w:t>
      </w:r>
    </w:p>
    <w:p w14:paraId="1410BD8C">
      <w:pPr>
        <w:pStyle w:val="15"/>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"_Toc527642956"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E  磋商程序</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4</w:t>
      </w:r>
    </w:p>
    <w:p w14:paraId="410A33EA">
      <w:pPr>
        <w:pStyle w:val="15"/>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"_Toc527642957"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F  授予合同</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3</w:t>
      </w:r>
    </w:p>
    <w:p w14:paraId="5C5F8792">
      <w:pPr>
        <w:pStyle w:val="15"/>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"_Toc527642958"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G  磋商失败条件</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4</w:t>
      </w:r>
    </w:p>
    <w:p w14:paraId="2CDFC9AA">
      <w:pPr>
        <w:pStyle w:val="15"/>
        <w:pageBreakBefore w:val="0"/>
        <w:tabs>
          <w:tab w:val="right" w:leader="dot" w:pos="8400"/>
        </w:tabs>
        <w:kinsoku/>
        <w:overflowPunct/>
        <w:bidi w:val="0"/>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 xml:space="preserve">第三部分 </w:t>
      </w:r>
      <w:r>
        <w:rPr>
          <w:rFonts w:hint="eastAsia" w:ascii="宋体" w:hAnsi="宋体" w:eastAsia="宋体" w:cs="宋体"/>
          <w:color w:val="000000" w:themeColor="text1"/>
          <w:sz w:val="24"/>
          <w:szCs w:val="24"/>
          <w:highlight w:val="none"/>
          <w:lang w:val="en-US" w:eastAsia="zh-CN"/>
          <w14:textFill>
            <w14:solidFill>
              <w14:schemeClr w14:val="tx1"/>
            </w14:solidFill>
          </w14:textFill>
        </w:rPr>
        <w:t>技术要求</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5</w:t>
      </w:r>
    </w:p>
    <w:p w14:paraId="64455507">
      <w:pPr>
        <w:pStyle w:val="15"/>
        <w:pageBreakBefore w:val="0"/>
        <w:tabs>
          <w:tab w:val="right" w:leader="dot" w:pos="8400"/>
        </w:tabs>
        <w:kinsoku/>
        <w:overflowPunct/>
        <w:bidi w:val="0"/>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"_Toc527642960"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第四部分 合同条款及格式</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6</w:t>
      </w:r>
    </w:p>
    <w:p w14:paraId="4E7B67B1">
      <w:pPr>
        <w:pStyle w:val="15"/>
        <w:pageBreakBefore w:val="0"/>
        <w:tabs>
          <w:tab w:val="right" w:leader="dot" w:pos="8400"/>
        </w:tabs>
        <w:kinsoku/>
        <w:overflowPunct/>
        <w:bidi w:val="0"/>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"_Toc527642969"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第五部分 响应文件格式</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3</w:t>
      </w:r>
    </w:p>
    <w:p w14:paraId="00F1679B">
      <w:pPr>
        <w:pStyle w:val="15"/>
        <w:pageBreakBefore w:val="0"/>
        <w:tabs>
          <w:tab w:val="right" w:leader="dot" w:pos="8400"/>
        </w:tabs>
        <w:kinsoku/>
        <w:overflowPunct/>
        <w:bidi w:val="0"/>
        <w:spacing w:line="480" w:lineRule="exact"/>
        <w:textAlignment w:val="auto"/>
        <w:rPr>
          <w:rFonts w:hint="eastAsia"/>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"_Toc527642969"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w:t>
      </w:r>
      <w:r>
        <w:rPr>
          <w:rFonts w:hint="eastAsia" w:ascii="宋体" w:hAnsi="宋体" w:eastAsia="宋体" w:cs="宋体"/>
          <w:color w:val="000000" w:themeColor="text1"/>
          <w:sz w:val="24"/>
          <w:szCs w:val="24"/>
          <w:highlight w:val="none"/>
          <w:lang w:eastAsia="zh-CN"/>
          <w14:textFill>
            <w14:solidFill>
              <w14:schemeClr w14:val="tx1"/>
            </w14:solidFill>
          </w14:textFill>
        </w:rPr>
        <w:t>六</w:t>
      </w:r>
      <w:r>
        <w:rPr>
          <w:rFonts w:hint="eastAsia" w:ascii="宋体" w:hAnsi="宋体" w:eastAsia="宋体" w:cs="宋体"/>
          <w:color w:val="000000" w:themeColor="text1"/>
          <w:sz w:val="24"/>
          <w:szCs w:val="24"/>
          <w:highlight w:val="none"/>
          <w14:textFill>
            <w14:solidFill>
              <w14:schemeClr w14:val="tx1"/>
            </w14:solidFill>
          </w14:textFill>
        </w:rPr>
        <w:t xml:space="preserve">部分 </w:t>
      </w:r>
      <w:r>
        <w:rPr>
          <w:rFonts w:hint="eastAsia" w:ascii="宋体" w:hAnsi="宋体" w:eastAsia="宋体" w:cs="宋体"/>
          <w:color w:val="000000" w:themeColor="text1"/>
          <w:sz w:val="24"/>
          <w:szCs w:val="24"/>
          <w:highlight w:val="none"/>
          <w:lang w:eastAsia="zh-CN"/>
          <w14:textFill>
            <w14:solidFill>
              <w14:schemeClr w14:val="tx1"/>
            </w14:solidFill>
          </w14:textFill>
        </w:rPr>
        <w:t>补充条款</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cs="宋体"/>
          <w:color w:val="000000" w:themeColor="text1"/>
          <w:sz w:val="24"/>
          <w:szCs w:val="24"/>
          <w:highlight w:val="none"/>
          <w:lang w:val="en-US" w:eastAsia="zh-CN"/>
          <w14:textFill>
            <w14:solidFill>
              <w14:schemeClr w14:val="tx1"/>
            </w14:solidFill>
          </w14:textFill>
        </w:rPr>
        <w:t>5</w:t>
      </w:r>
    </w:p>
    <w:p w14:paraId="6D051502">
      <w:pPr>
        <w:pStyle w:val="15"/>
        <w:pageBreakBefore w:val="0"/>
        <w:tabs>
          <w:tab w:val="right" w:leader="dot" w:pos="8400"/>
        </w:tabs>
        <w:kinsoku/>
        <w:overflowPunct/>
        <w:bidi w:val="0"/>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48A091F7">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58D45E7E">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744BB6F4">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7611F143">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3711F580">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3A7F0ED8">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01C4EB9C">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66E35602">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3223EB2C">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39A4698D">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50613EA8">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4A5F9447">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4D4C5546">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p>
    <w:p w14:paraId="1CE7FD66">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sectPr>
          <w:headerReference r:id="rId3" w:type="default"/>
          <w:footerReference r:id="rId4" w:type="default"/>
          <w:pgSz w:w="11907" w:h="16840"/>
          <w:pgMar w:top="1440" w:right="1080" w:bottom="1440" w:left="1080" w:header="851" w:footer="0" w:gutter="0"/>
          <w:pgBorders>
            <w:top w:val="none" w:sz="0" w:space="0"/>
            <w:left w:val="none" w:sz="0" w:space="0"/>
            <w:bottom w:val="none" w:sz="0" w:space="0"/>
            <w:right w:val="none" w:sz="0" w:space="0"/>
          </w:pgBorders>
          <w:pgNumType w:fmt="decimal" w:start="1"/>
          <w:cols w:space="720" w:num="1"/>
          <w:titlePg/>
          <w:docGrid w:type="lines" w:linePitch="409" w:charSpace="0"/>
        </w:sectPr>
      </w:pPr>
    </w:p>
    <w:p w14:paraId="14636DA4">
      <w:pPr>
        <w:keepNext w:val="0"/>
        <w:keepLines w:val="0"/>
        <w:pageBreakBefore w:val="0"/>
        <w:widowControl w:val="0"/>
        <w:numPr>
          <w:ilvl w:val="0"/>
          <w:numId w:val="2"/>
        </w:numPr>
        <w:kinsoku/>
        <w:wordWrap/>
        <w:overflowPunct/>
        <w:topLinePunct w:val="0"/>
        <w:autoSpaceDE w:val="0"/>
        <w:autoSpaceDN w:val="0"/>
        <w:bidi w:val="0"/>
        <w:adjustRightInd/>
        <w:snapToGrid/>
        <w:spacing w:line="360" w:lineRule="exact"/>
        <w:jc w:val="center"/>
        <w:textAlignment w:val="auto"/>
        <w:rPr>
          <w:rFonts w:hint="eastAsia" w:cs="Times New Roman"/>
          <w:b/>
          <w:bCs/>
          <w:color w:val="000000" w:themeColor="text1"/>
          <w:sz w:val="32"/>
          <w:szCs w:val="32"/>
          <w:highlight w:val="none"/>
          <w:lang w:val="en-US" w:eastAsia="zh-CN"/>
          <w14:textFill>
            <w14:solidFill>
              <w14:schemeClr w14:val="tx1"/>
            </w14:solidFill>
          </w14:textFill>
        </w:rPr>
      </w:pPr>
      <w:r>
        <w:rPr>
          <w:rFonts w:hint="eastAsia" w:cs="Times New Roman"/>
          <w:b/>
          <w:bCs/>
          <w:color w:val="000000" w:themeColor="text1"/>
          <w:sz w:val="32"/>
          <w:szCs w:val="32"/>
          <w:highlight w:val="none"/>
          <w:lang w:val="en-US" w:eastAsia="zh-CN"/>
          <w14:textFill>
            <w14:solidFill>
              <w14:schemeClr w14:val="tx1"/>
            </w14:solidFill>
          </w14:textFill>
        </w:rPr>
        <w:t>竞争性磋商公告</w:t>
      </w:r>
    </w:p>
    <w:p w14:paraId="14DC3E56">
      <w:pPr>
        <w:pStyle w:val="21"/>
        <w:keepNext w:val="0"/>
        <w:keepLines w:val="0"/>
        <w:pageBreakBefore w:val="0"/>
        <w:widowControl w:val="0"/>
        <w:numPr>
          <w:ilvl w:val="0"/>
          <w:numId w:val="0"/>
        </w:numPr>
        <w:kinsoku/>
        <w:wordWrap/>
        <w:overflowPunct/>
        <w:topLinePunct w:val="0"/>
        <w:bidi w:val="0"/>
        <w:adjustRightInd/>
        <w:snapToGrid/>
        <w:spacing w:line="360" w:lineRule="exact"/>
        <w:textAlignment w:val="auto"/>
        <w:rPr>
          <w:rFonts w:hint="eastAsia"/>
          <w:color w:val="000000" w:themeColor="text1"/>
          <w:highlight w:val="none"/>
          <w:lang w:val="en-US" w:eastAsia="zh-CN"/>
          <w14:textFill>
            <w14:solidFill>
              <w14:schemeClr w14:val="tx1"/>
            </w14:solidFill>
          </w14:textFill>
        </w:rPr>
      </w:pPr>
    </w:p>
    <w:p w14:paraId="4BC59275">
      <w:pPr>
        <w:keepNext w:val="0"/>
        <w:keepLines w:val="0"/>
        <w:pageBreakBefore w:val="0"/>
        <w:widowControl w:val="0"/>
        <w:kinsoku/>
        <w:wordWrap/>
        <w:overflowPunct/>
        <w:topLinePunct w:val="0"/>
        <w:autoSpaceDE w:val="0"/>
        <w:autoSpaceDN w:val="0"/>
        <w:bidi w:val="0"/>
        <w:adjustRightInd/>
        <w:snapToGrid/>
        <w:spacing w:line="380" w:lineRule="exact"/>
        <w:jc w:val="center"/>
        <w:textAlignment w:val="auto"/>
        <w:rPr>
          <w:rStyle w:val="25"/>
          <w:rFonts w:hint="eastAsia" w:ascii="宋体" w:hAnsi="宋体" w:cs="宋体"/>
          <w:color w:val="000000" w:themeColor="text1"/>
          <w:kern w:val="0"/>
          <w:sz w:val="28"/>
          <w:szCs w:val="28"/>
          <w:highlight w:val="none"/>
          <w:lang w:eastAsia="zh-CN"/>
          <w14:textFill>
            <w14:solidFill>
              <w14:schemeClr w14:val="tx1"/>
            </w14:solidFill>
          </w14:textFill>
        </w:rPr>
      </w:pPr>
      <w:r>
        <w:rPr>
          <w:rStyle w:val="25"/>
          <w:rFonts w:hint="eastAsia" w:ascii="宋体" w:hAnsi="宋体" w:cs="宋体"/>
          <w:color w:val="000000" w:themeColor="text1"/>
          <w:kern w:val="0"/>
          <w:sz w:val="28"/>
          <w:szCs w:val="28"/>
          <w:highlight w:val="none"/>
          <w:lang w:eastAsia="zh-CN"/>
          <w14:textFill>
            <w14:solidFill>
              <w14:schemeClr w14:val="tx1"/>
            </w14:solidFill>
          </w14:textFill>
        </w:rPr>
        <w:t>2025年义务教育农村校舍安全保障长效机制项目自治区资金建设项目</w:t>
      </w:r>
    </w:p>
    <w:p w14:paraId="6AA297F4">
      <w:pPr>
        <w:keepNext w:val="0"/>
        <w:keepLines w:val="0"/>
        <w:pageBreakBefore w:val="0"/>
        <w:widowControl w:val="0"/>
        <w:kinsoku/>
        <w:wordWrap/>
        <w:overflowPunct/>
        <w:topLinePunct w:val="0"/>
        <w:autoSpaceDE w:val="0"/>
        <w:autoSpaceDN w:val="0"/>
        <w:bidi w:val="0"/>
        <w:adjustRightInd/>
        <w:snapToGrid/>
        <w:spacing w:line="380" w:lineRule="exact"/>
        <w:jc w:val="center"/>
        <w:textAlignment w:val="auto"/>
        <w:rPr>
          <w:rStyle w:val="25"/>
          <w:rFonts w:hint="eastAsia" w:ascii="宋体" w:hAnsi="宋体" w:cs="宋体"/>
          <w:color w:val="000000" w:themeColor="text1"/>
          <w:kern w:val="0"/>
          <w:sz w:val="28"/>
          <w:szCs w:val="28"/>
          <w:highlight w:val="none"/>
          <w:lang w:eastAsia="zh-CN"/>
          <w14:textFill>
            <w14:solidFill>
              <w14:schemeClr w14:val="tx1"/>
            </w14:solidFill>
          </w14:textFill>
        </w:rPr>
      </w:pPr>
      <w:r>
        <w:rPr>
          <w:rStyle w:val="25"/>
          <w:rFonts w:hint="eastAsia" w:ascii="宋体" w:hAnsi="宋体" w:cs="宋体"/>
          <w:color w:val="000000" w:themeColor="text1"/>
          <w:kern w:val="0"/>
          <w:sz w:val="28"/>
          <w:szCs w:val="28"/>
          <w:highlight w:val="none"/>
          <w:lang w:eastAsia="zh-CN"/>
          <w14:textFill>
            <w14:solidFill>
              <w14:schemeClr w14:val="tx1"/>
            </w14:solidFill>
          </w14:textFill>
        </w:rPr>
        <w:t>竞争性磋商公告</w:t>
      </w:r>
    </w:p>
    <w:p w14:paraId="795579AA">
      <w:pPr>
        <w:pStyle w:val="3"/>
        <w:pageBreakBefore w:val="0"/>
        <w:numPr>
          <w:ilvl w:val="0"/>
          <w:numId w:val="0"/>
        </w:numPr>
        <w:tabs>
          <w:tab w:val="clear" w:pos="360"/>
        </w:tabs>
        <w:kinsoku/>
        <w:wordWrap/>
        <w:overflowPunct/>
        <w:topLinePunct w:val="0"/>
        <w:autoSpaceDE w:val="0"/>
        <w:autoSpaceDN w:val="0"/>
        <w:bidi w:val="0"/>
        <w:adjustRightInd w:val="0"/>
        <w:snapToGrid/>
        <w:spacing w:before="0" w:after="0" w:line="380" w:lineRule="exact"/>
        <w:ind w:leftChars="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006EF6FA">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val="0"/>
        <w:spacing w:beforeAutospacing="0" w:afterAutospacing="0" w:line="400" w:lineRule="atLeast"/>
        <w:ind w:left="0" w:leftChars="0" w:right="0" w:rightChars="0" w:firstLine="480" w:firstLineChars="200"/>
        <w:jc w:val="left"/>
        <w:textAlignment w:val="auto"/>
        <w:rPr>
          <w:rFonts w:hint="eastAsia" w:ascii="宋体" w:hAnsi="宋体" w:eastAsia="宋体" w:cs="宋体"/>
          <w:b w:val="0"/>
          <w:bCs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bidi="ar-SA"/>
          <w14:textFill>
            <w14:solidFill>
              <w14:schemeClr w14:val="tx1"/>
            </w14:solidFill>
          </w14:textFill>
        </w:rPr>
        <w:t>项目概况</w:t>
      </w:r>
    </w:p>
    <w:p w14:paraId="03A46721">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val="0"/>
        <w:spacing w:beforeAutospacing="0" w:afterAutospacing="0" w:line="400" w:lineRule="atLeast"/>
        <w:ind w:left="0" w:leftChars="0" w:right="0" w:rightChars="0" w:firstLine="480" w:firstLineChars="200"/>
        <w:jc w:val="left"/>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u w:val="single" w:color="auto"/>
          <w:lang w:eastAsia="zh-CN"/>
          <w14:textFill>
            <w14:solidFill>
              <w14:schemeClr w14:val="tx1"/>
            </w14:solidFill>
          </w14:textFill>
        </w:rPr>
        <w:t>2025年义务教育农村校舍安全保障长效机制项目自治区资金建设项目</w:t>
      </w:r>
      <w:r>
        <w:rPr>
          <w:rFonts w:hint="eastAsia" w:ascii="宋体" w:hAnsi="宋体" w:eastAsia="宋体" w:cs="宋体"/>
          <w:b w:val="0"/>
          <w:bCs w:val="0"/>
          <w:color w:val="000000" w:themeColor="text1"/>
          <w:kern w:val="0"/>
          <w:sz w:val="24"/>
          <w:szCs w:val="24"/>
          <w:highlight w:val="none"/>
          <w:lang w:val="en-US" w:eastAsia="zh-CN" w:bidi="ar-SA"/>
          <w14:textFill>
            <w14:solidFill>
              <w14:schemeClr w14:val="tx1"/>
            </w14:solidFill>
          </w14:textFill>
        </w:rPr>
        <w:t>的潜在供应商应在</w:t>
      </w:r>
      <w:r>
        <w:rPr>
          <w:rFonts w:hint="eastAsia" w:ascii="宋体" w:hAnsi="宋体" w:eastAsia="宋体" w:cs="宋体"/>
          <w:b w:val="0"/>
          <w:bCs w:val="0"/>
          <w:color w:val="000000" w:themeColor="text1"/>
          <w:kern w:val="0"/>
          <w:sz w:val="24"/>
          <w:szCs w:val="24"/>
          <w:highlight w:val="none"/>
          <w:u w:val="single"/>
          <w:lang w:val="en-US" w:eastAsia="zh-CN" w:bidi="ar-SA"/>
          <w14:textFill>
            <w14:solidFill>
              <w14:schemeClr w14:val="tx1"/>
            </w14:solidFill>
          </w14:textFill>
        </w:rPr>
        <w:t>政采云平台线上</w:t>
      </w:r>
      <w:r>
        <w:rPr>
          <w:rFonts w:hint="eastAsia" w:ascii="宋体" w:hAnsi="宋体" w:eastAsia="宋体" w:cs="宋体"/>
          <w:b w:val="0"/>
          <w:bCs w:val="0"/>
          <w:color w:val="000000" w:themeColor="text1"/>
          <w:kern w:val="0"/>
          <w:sz w:val="24"/>
          <w:szCs w:val="24"/>
          <w:highlight w:val="none"/>
          <w:lang w:val="en-US" w:eastAsia="zh-CN" w:bidi="ar-SA"/>
          <w14:textFill>
            <w14:solidFill>
              <w14:schemeClr w14:val="tx1"/>
            </w14:solidFill>
          </w14:textFill>
        </w:rPr>
        <w:t>获取采购文件，并于</w:t>
      </w:r>
      <w:r>
        <w:rPr>
          <w:rFonts w:hint="eastAsia" w:ascii="宋体" w:hAnsi="宋体" w:eastAsia="宋体" w:cs="宋体"/>
          <w:b w:val="0"/>
          <w:bCs w:val="0"/>
          <w:color w:val="000000" w:themeColor="text1"/>
          <w:kern w:val="0"/>
          <w:sz w:val="24"/>
          <w:szCs w:val="24"/>
          <w:highlight w:val="none"/>
          <w:u w:val="single"/>
          <w:lang w:val="en-US" w:eastAsia="zh-CN" w:bidi="ar-SA"/>
          <w14:textFill>
            <w14:solidFill>
              <w14:schemeClr w14:val="tx1"/>
            </w14:solidFill>
          </w14:textFill>
        </w:rPr>
        <w:t>202</w:t>
      </w:r>
      <w:r>
        <w:rPr>
          <w:rFonts w:hint="eastAsia" w:ascii="宋体" w:hAnsi="宋体" w:cs="宋体"/>
          <w:b w:val="0"/>
          <w:bCs w:val="0"/>
          <w:color w:val="000000" w:themeColor="text1"/>
          <w:kern w:val="0"/>
          <w:sz w:val="24"/>
          <w:szCs w:val="24"/>
          <w:highlight w:val="none"/>
          <w:u w:val="single"/>
          <w:lang w:val="en-US" w:eastAsia="zh-CN" w:bidi="ar-SA"/>
          <w14:textFill>
            <w14:solidFill>
              <w14:schemeClr w14:val="tx1"/>
            </w14:solidFill>
          </w14:textFill>
        </w:rPr>
        <w:t>5</w:t>
      </w:r>
      <w:r>
        <w:rPr>
          <w:rFonts w:hint="eastAsia" w:ascii="宋体" w:hAnsi="宋体" w:eastAsia="宋体" w:cs="宋体"/>
          <w:b w:val="0"/>
          <w:bCs w:val="0"/>
          <w:color w:val="000000" w:themeColor="text1"/>
          <w:kern w:val="0"/>
          <w:sz w:val="24"/>
          <w:szCs w:val="24"/>
          <w:highlight w:val="none"/>
          <w:u w:val="single"/>
          <w:lang w:val="en-US" w:eastAsia="zh-CN" w:bidi="ar-SA"/>
          <w14:textFill>
            <w14:solidFill>
              <w14:schemeClr w14:val="tx1"/>
            </w14:solidFill>
          </w14:textFill>
        </w:rPr>
        <w:t>年</w:t>
      </w:r>
      <w:r>
        <w:rPr>
          <w:rFonts w:hint="eastAsia" w:ascii="宋体" w:hAnsi="宋体" w:cs="宋体"/>
          <w:b w:val="0"/>
          <w:bCs w:val="0"/>
          <w:color w:val="000000" w:themeColor="text1"/>
          <w:kern w:val="0"/>
          <w:sz w:val="24"/>
          <w:szCs w:val="24"/>
          <w:highlight w:val="none"/>
          <w:u w:val="single"/>
          <w:lang w:val="en-US" w:eastAsia="zh-CN" w:bidi="ar-SA"/>
          <w14:textFill>
            <w14:solidFill>
              <w14:schemeClr w14:val="tx1"/>
            </w14:solidFill>
          </w14:textFill>
        </w:rPr>
        <w:t xml:space="preserve"> 03 </w:t>
      </w:r>
      <w:r>
        <w:rPr>
          <w:rFonts w:hint="eastAsia" w:ascii="宋体" w:hAnsi="宋体" w:eastAsia="宋体" w:cs="宋体"/>
          <w:b w:val="0"/>
          <w:bCs w:val="0"/>
          <w:color w:val="000000" w:themeColor="text1"/>
          <w:kern w:val="0"/>
          <w:sz w:val="24"/>
          <w:szCs w:val="24"/>
          <w:highlight w:val="none"/>
          <w:u w:val="single"/>
          <w:lang w:val="en-US" w:eastAsia="zh-CN" w:bidi="ar-SA"/>
          <w14:textFill>
            <w14:solidFill>
              <w14:schemeClr w14:val="tx1"/>
            </w14:solidFill>
          </w14:textFill>
        </w:rPr>
        <w:t>月</w:t>
      </w:r>
      <w:r>
        <w:rPr>
          <w:rFonts w:hint="eastAsia" w:ascii="宋体" w:hAnsi="宋体" w:cs="宋体"/>
          <w:b w:val="0"/>
          <w:bCs w:val="0"/>
          <w:color w:val="000000" w:themeColor="text1"/>
          <w:kern w:val="0"/>
          <w:sz w:val="24"/>
          <w:szCs w:val="24"/>
          <w:highlight w:val="none"/>
          <w:u w:val="single"/>
          <w:lang w:val="en-US" w:eastAsia="zh-CN" w:bidi="ar-SA"/>
          <w14:textFill>
            <w14:solidFill>
              <w14:schemeClr w14:val="tx1"/>
            </w14:solidFill>
          </w14:textFill>
        </w:rPr>
        <w:t xml:space="preserve"> 28 </w:t>
      </w:r>
      <w:r>
        <w:rPr>
          <w:rFonts w:hint="eastAsia" w:ascii="宋体" w:hAnsi="宋体" w:eastAsia="宋体" w:cs="宋体"/>
          <w:b w:val="0"/>
          <w:bCs w:val="0"/>
          <w:color w:val="000000" w:themeColor="text1"/>
          <w:kern w:val="0"/>
          <w:sz w:val="24"/>
          <w:szCs w:val="24"/>
          <w:highlight w:val="none"/>
          <w:u w:val="single"/>
          <w:lang w:val="en-US" w:eastAsia="zh-CN" w:bidi="ar-SA"/>
          <w14:textFill>
            <w14:solidFill>
              <w14:schemeClr w14:val="tx1"/>
            </w14:solidFill>
          </w14:textFill>
        </w:rPr>
        <w:t>日</w:t>
      </w:r>
      <w:r>
        <w:rPr>
          <w:rFonts w:hint="eastAsia" w:ascii="宋体" w:hAnsi="宋体" w:cs="宋体"/>
          <w:b w:val="0"/>
          <w:bCs w:val="0"/>
          <w:color w:val="000000" w:themeColor="text1"/>
          <w:kern w:val="0"/>
          <w:sz w:val="24"/>
          <w:szCs w:val="24"/>
          <w:highlight w:val="none"/>
          <w:u w:val="single"/>
          <w:lang w:val="en-US" w:eastAsia="zh-CN" w:bidi="ar-SA"/>
          <w14:textFill>
            <w14:solidFill>
              <w14:schemeClr w14:val="tx1"/>
            </w14:solidFill>
          </w14:textFill>
        </w:rPr>
        <w:t xml:space="preserve"> 10 时30  </w:t>
      </w:r>
      <w:r>
        <w:rPr>
          <w:rFonts w:hint="eastAsia" w:ascii="宋体" w:hAnsi="宋体" w:eastAsia="宋体" w:cs="宋体"/>
          <w:b w:val="0"/>
          <w:bCs w:val="0"/>
          <w:color w:val="000000" w:themeColor="text1"/>
          <w:kern w:val="0"/>
          <w:sz w:val="24"/>
          <w:szCs w:val="24"/>
          <w:highlight w:val="none"/>
          <w:u w:val="single"/>
          <w:lang w:val="en-US" w:eastAsia="zh-CN" w:bidi="ar-SA"/>
          <w14:textFill>
            <w14:solidFill>
              <w14:schemeClr w14:val="tx1"/>
            </w14:solidFill>
          </w14:textFill>
        </w:rPr>
        <w:t>分</w:t>
      </w:r>
      <w:r>
        <w:rPr>
          <w:rFonts w:hint="eastAsia" w:ascii="宋体" w:hAnsi="宋体" w:eastAsia="宋体" w:cs="宋体"/>
          <w:b w:val="0"/>
          <w:bCs w:val="0"/>
          <w:color w:val="000000" w:themeColor="text1"/>
          <w:kern w:val="0"/>
          <w:sz w:val="24"/>
          <w:szCs w:val="24"/>
          <w:highlight w:val="none"/>
          <w:lang w:val="en-US" w:eastAsia="zh-CN" w:bidi="ar-SA"/>
          <w14:textFill>
            <w14:solidFill>
              <w14:schemeClr w14:val="tx1"/>
            </w14:solidFill>
          </w14:textFill>
        </w:rPr>
        <w:t>（北京时间）前提交投标文件。</w:t>
      </w:r>
    </w:p>
    <w:p w14:paraId="1957A0AF">
      <w:pPr>
        <w:pStyle w:val="4"/>
        <w:pageBreakBefore w:val="0"/>
        <w:numPr>
          <w:ilvl w:val="1"/>
          <w:numId w:val="0"/>
        </w:numPr>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5" w:name="_Toc28359002"/>
      <w:bookmarkStart w:id="6" w:name="_Toc35393621"/>
      <w:bookmarkStart w:id="7" w:name="_Toc35393790"/>
      <w:bookmarkStart w:id="8" w:name="_Toc28359079"/>
      <w:bookmarkStart w:id="9" w:name="_Hlk24379207"/>
      <w:r>
        <w:rPr>
          <w:rFonts w:hint="eastAsia" w:ascii="宋体" w:hAnsi="宋体" w:eastAsia="宋体" w:cs="宋体"/>
          <w:color w:val="000000" w:themeColor="text1"/>
          <w:sz w:val="24"/>
          <w:szCs w:val="24"/>
          <w:highlight w:val="none"/>
          <w14:textFill>
            <w14:solidFill>
              <w14:schemeClr w14:val="tx1"/>
            </w14:solidFill>
          </w14:textFill>
        </w:rPr>
        <w:t>一、项目基本情况</w:t>
      </w:r>
      <w:bookmarkEnd w:id="5"/>
      <w:bookmarkEnd w:id="6"/>
      <w:bookmarkEnd w:id="7"/>
      <w:bookmarkEnd w:id="8"/>
    </w:p>
    <w:p w14:paraId="7FFE1DD5">
      <w:pPr>
        <w:pageBreakBefore w:val="0"/>
        <w:kinsoku/>
        <w:wordWrap/>
        <w:overflowPunct/>
        <w:topLinePunct w:val="0"/>
        <w:autoSpaceDE/>
        <w:autoSpaceDN/>
        <w:bidi w:val="0"/>
        <w:adjustRightInd/>
        <w:snapToGrid/>
        <w:spacing w:line="240" w:lineRule="auto"/>
        <w:ind w:left="479" w:leftChars="228" w:firstLine="0" w:firstLine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项目编号：</w:t>
      </w:r>
      <w:r>
        <w:rPr>
          <w:rFonts w:hint="eastAsia" w:ascii="宋体" w:hAnsi="宋体" w:cs="宋体"/>
          <w:color w:val="000000" w:themeColor="text1"/>
          <w:sz w:val="24"/>
          <w:szCs w:val="24"/>
          <w:highlight w:val="none"/>
          <w:lang w:val="en-US" w:eastAsia="zh-CN"/>
          <w14:textFill>
            <w14:solidFill>
              <w14:schemeClr w14:val="tx1"/>
            </w14:solidFill>
          </w14:textFill>
        </w:rPr>
        <w:t>glzfcg-jzxcs-2025-01</w:t>
      </w:r>
    </w:p>
    <w:p w14:paraId="0F778D41">
      <w:pPr>
        <w:pageBreakBefore w:val="0"/>
        <w:kinsoku/>
        <w:wordWrap/>
        <w:overflowPunct/>
        <w:topLinePunct w:val="0"/>
        <w:autoSpaceDE/>
        <w:autoSpaceDN/>
        <w:bidi w:val="0"/>
        <w:adjustRightInd/>
        <w:snapToGrid/>
        <w:spacing w:line="240" w:lineRule="auto"/>
        <w:ind w:left="479" w:leftChars="228" w:firstLine="0" w:firstLineChars="0"/>
        <w:textAlignment w:val="auto"/>
        <w:rPr>
          <w:rFonts w:hint="eastAsia" w:ascii="宋体" w:hAnsi="宋体" w:cs="宋体"/>
          <w:color w:val="000000" w:themeColor="text1"/>
          <w:sz w:val="24"/>
          <w:szCs w:val="24"/>
          <w:highlight w:val="none"/>
          <w:u w:val="none" w:color="auto"/>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bookmarkEnd w:id="9"/>
      <w:r>
        <w:rPr>
          <w:rFonts w:hint="eastAsia" w:ascii="宋体" w:hAnsi="宋体" w:cs="宋体"/>
          <w:color w:val="000000" w:themeColor="text1"/>
          <w:sz w:val="24"/>
          <w:szCs w:val="24"/>
          <w:highlight w:val="none"/>
          <w:u w:val="none" w:color="auto"/>
          <w:lang w:eastAsia="zh-CN"/>
          <w14:textFill>
            <w14:solidFill>
              <w14:schemeClr w14:val="tx1"/>
            </w14:solidFill>
          </w14:textFill>
        </w:rPr>
        <w:t>2025年义务教育农村校舍安全保障长效机制项目自治区资金建设项目</w:t>
      </w:r>
    </w:p>
    <w:p w14:paraId="1E20B712">
      <w:pPr>
        <w:pageBreakBefore w:val="0"/>
        <w:kinsoku/>
        <w:wordWrap/>
        <w:overflowPunct/>
        <w:topLinePunct w:val="0"/>
        <w:autoSpaceDE/>
        <w:autoSpaceDN/>
        <w:bidi w:val="0"/>
        <w:adjustRightInd/>
        <w:snapToGrid/>
        <w:spacing w:line="240" w:lineRule="auto"/>
        <w:ind w:left="479" w:leftChars="228" w:firstLine="0" w:firstLine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预算金额：</w:t>
      </w:r>
      <w:r>
        <w:rPr>
          <w:rFonts w:hint="eastAsia" w:ascii="宋体" w:hAnsi="宋体" w:cs="宋体"/>
          <w:color w:val="000000" w:themeColor="text1"/>
          <w:sz w:val="24"/>
          <w:szCs w:val="24"/>
          <w:highlight w:val="none"/>
          <w:lang w:val="en-US" w:eastAsia="zh-CN"/>
          <w14:textFill>
            <w14:solidFill>
              <w14:schemeClr w14:val="tx1"/>
            </w14:solidFill>
          </w14:textFill>
        </w:rPr>
        <w:t>3680000元</w:t>
      </w:r>
    </w:p>
    <w:p w14:paraId="2BEADE42">
      <w:pPr>
        <w:pageBreakBefore w:val="0"/>
        <w:kinsoku/>
        <w:wordWrap/>
        <w:overflowPunct/>
        <w:topLinePunct w:val="0"/>
        <w:autoSpaceDE/>
        <w:autoSpaceDN/>
        <w:bidi w:val="0"/>
        <w:adjustRightInd/>
        <w:snapToGrid/>
        <w:spacing w:line="240" w:lineRule="auto"/>
        <w:ind w:left="479" w:leftChars="228" w:firstLine="0" w:firstLine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最高限价</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3673505.05元</w:t>
      </w:r>
    </w:p>
    <w:p w14:paraId="5511CC60">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建设内容及规模：</w:t>
      </w:r>
      <w:r>
        <w:rPr>
          <w:rFonts w:hint="eastAsia" w:ascii="宋体" w:hAnsi="宋体" w:cs="宋体"/>
          <w:color w:val="000000" w:themeColor="text1"/>
          <w:sz w:val="24"/>
          <w:szCs w:val="24"/>
          <w:highlight w:val="none"/>
          <w:lang w:eastAsia="zh-CN"/>
          <w14:textFill>
            <w14:solidFill>
              <w14:schemeClr w14:val="tx1"/>
            </w14:solidFill>
          </w14:textFill>
        </w:rPr>
        <w:t>巩留县乡镇9所学校实施屋面防水、校园供电、供水、供暖管道维修、更换暖气片暖气设备维修及围墙维修等；</w:t>
      </w:r>
      <w:r>
        <w:rPr>
          <w:rFonts w:hint="eastAsia" w:ascii="宋体" w:hAnsi="宋体" w:eastAsia="宋体" w:cs="宋体"/>
          <w:color w:val="000000" w:themeColor="text1"/>
          <w:sz w:val="24"/>
          <w:szCs w:val="24"/>
          <w:highlight w:val="none"/>
          <w:lang w:val="en-US" w:eastAsia="zh-CN"/>
          <w14:textFill>
            <w14:solidFill>
              <w14:schemeClr w14:val="tx1"/>
            </w14:solidFill>
          </w14:textFill>
        </w:rPr>
        <w:t>（详细工程量清单）。</w:t>
      </w:r>
    </w:p>
    <w:p w14:paraId="7E61838A">
      <w:pPr>
        <w:pageBreakBefore w:val="0"/>
        <w:kinsoku/>
        <w:wordWrap/>
        <w:overflowPunct/>
        <w:topLinePunct w:val="0"/>
        <w:autoSpaceDE/>
        <w:autoSpaceDN/>
        <w:bidi w:val="0"/>
        <w:adjustRightInd/>
        <w:snapToGrid/>
        <w:spacing w:line="240" w:lineRule="auto"/>
        <w:ind w:firstLine="480" w:firstLineChars="200"/>
        <w:textAlignment w:val="auto"/>
        <w:rPr>
          <w:rFonts w:hint="default" w:ascii="宋体" w:hAnsi="宋体" w:eastAsia="宋体" w:cs="宋体"/>
          <w:color w:val="000000" w:themeColor="text1"/>
          <w:sz w:val="24"/>
          <w:szCs w:val="24"/>
          <w:highlight w:val="green"/>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合同履行期限</w:t>
      </w:r>
      <w:r>
        <w:rPr>
          <w:rFonts w:hint="eastAsia" w:ascii="宋体" w:hAnsi="宋体" w:eastAsia="宋体" w:cs="宋体"/>
          <w:color w:val="000000" w:themeColor="text1"/>
          <w:sz w:val="24"/>
          <w:szCs w:val="24"/>
          <w:highlight w:val="none"/>
          <w:lang w:val="zh-CN" w:eastAsia="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签订合同后30日</w:t>
      </w:r>
    </w:p>
    <w:p w14:paraId="26BFA700">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计划开竣工日期：2025年04月02日至2025年06月20日（计划工期为80日历天）。</w:t>
      </w:r>
    </w:p>
    <w:p w14:paraId="7BEE3892">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本项目不接受联合体投标。</w:t>
      </w:r>
    </w:p>
    <w:p w14:paraId="76141122">
      <w:pPr>
        <w:pStyle w:val="4"/>
        <w:pageBreakBefore w:val="0"/>
        <w:numPr>
          <w:ilvl w:val="1"/>
          <w:numId w:val="0"/>
        </w:numPr>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10" w:name="_Toc35393791"/>
      <w:bookmarkStart w:id="11" w:name="_Toc28359080"/>
      <w:bookmarkStart w:id="12" w:name="_Toc28359003"/>
      <w:bookmarkStart w:id="13" w:name="_Toc35393622"/>
      <w:r>
        <w:rPr>
          <w:rFonts w:hint="eastAsia" w:ascii="宋体" w:hAnsi="宋体" w:eastAsia="宋体" w:cs="宋体"/>
          <w:color w:val="000000" w:themeColor="text1"/>
          <w:sz w:val="24"/>
          <w:szCs w:val="24"/>
          <w:highlight w:val="none"/>
          <w14:textFill>
            <w14:solidFill>
              <w14:schemeClr w14:val="tx1"/>
            </w14:solidFill>
          </w14:textFill>
        </w:rPr>
        <w:t>二、申请人的资格要求：</w:t>
      </w:r>
      <w:bookmarkEnd w:id="10"/>
      <w:bookmarkEnd w:id="11"/>
      <w:bookmarkEnd w:id="12"/>
      <w:bookmarkEnd w:id="13"/>
    </w:p>
    <w:p w14:paraId="773F828C">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1.满足《中华人民共和国政府采购法》第二十二条规定；</w:t>
      </w:r>
    </w:p>
    <w:p w14:paraId="1340DEFC">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14" w:name="_Toc28359081"/>
      <w:bookmarkStart w:id="15" w:name="_Toc28359004"/>
      <w:r>
        <w:rPr>
          <w:rFonts w:hint="eastAsia" w:ascii="宋体" w:hAnsi="宋体" w:eastAsia="宋体" w:cs="宋体"/>
          <w:color w:val="000000" w:themeColor="text1"/>
          <w:sz w:val="24"/>
          <w:szCs w:val="24"/>
          <w:highlight w:val="none"/>
          <w14:textFill>
            <w14:solidFill>
              <w14:schemeClr w14:val="tx1"/>
            </w14:solidFill>
          </w14:textFill>
        </w:rPr>
        <w:t>2.落实政府采购政策需满足的资格要求：</w:t>
      </w:r>
      <w:r>
        <w:rPr>
          <w:rFonts w:hint="default" w:ascii="Times New Roman" w:hAnsi="Times New Roman" w:eastAsia="宋体" w:cs="Times New Roman"/>
          <w:color w:val="000000" w:themeColor="text1"/>
          <w:sz w:val="24"/>
          <w:szCs w:val="24"/>
          <w:highlight w:val="none"/>
          <w:lang w:val="en-US"/>
          <w14:textFill>
            <w14:solidFill>
              <w14:schemeClr w14:val="tx1"/>
            </w14:solidFill>
          </w14:textFill>
        </w:rPr>
        <w:t>严格执行“关于落实好政府采购支持中小企业发展的通知”的相关政策</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5856D4D">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000000" w:themeColor="text1"/>
          <w:sz w:val="24"/>
          <w:szCs w:val="24"/>
          <w:highlight w:val="none"/>
          <w:shd w:val="clear" w:color="050000" w:fill="auto"/>
          <w:lang w:eastAsia="zh-CN"/>
          <w14:textFill>
            <w14:solidFill>
              <w14:schemeClr w14:val="tx1"/>
            </w14:solidFill>
          </w14:textFill>
        </w:rPr>
      </w:pPr>
      <w:bookmarkStart w:id="16" w:name="_Toc35393623"/>
      <w:bookmarkStart w:id="17" w:name="_Toc35393792"/>
      <w:r>
        <w:rPr>
          <w:rFonts w:hint="eastAsia" w:ascii="宋体" w:hAnsi="宋体" w:eastAsia="宋体" w:cs="宋体"/>
          <w:color w:val="000000" w:themeColor="text1"/>
          <w:sz w:val="24"/>
          <w:szCs w:val="24"/>
          <w:highlight w:val="none"/>
          <w:shd w:val="clear" w:color="050000" w:fill="auto"/>
          <w14:textFill>
            <w14:solidFill>
              <w14:schemeClr w14:val="tx1"/>
            </w14:solidFill>
          </w14:textFill>
        </w:rPr>
        <w:t>3.本项目的特定资格要求：</w:t>
      </w:r>
      <w:r>
        <w:rPr>
          <w:rFonts w:hint="eastAsia" w:ascii="宋体" w:hAnsi="宋体" w:eastAsia="宋体" w:cs="宋体"/>
          <w:color w:val="000000" w:themeColor="text1"/>
          <w:sz w:val="24"/>
          <w:szCs w:val="24"/>
          <w:highlight w:val="none"/>
          <w:shd w:val="clear" w:color="050000" w:fill="auto"/>
          <w:lang w:eastAsia="zh-CN"/>
          <w14:textFill>
            <w14:solidFill>
              <w14:schemeClr w14:val="tx1"/>
            </w14:solidFill>
          </w14:textFill>
        </w:rPr>
        <w:t>须具备</w:t>
      </w:r>
      <w:r>
        <w:rPr>
          <w:rFonts w:hint="eastAsia" w:ascii="宋体" w:hAnsi="宋体" w:cs="宋体"/>
          <w:color w:val="000000" w:themeColor="text1"/>
          <w:sz w:val="24"/>
          <w:szCs w:val="24"/>
          <w:highlight w:val="none"/>
          <w:shd w:val="clear" w:color="050000" w:fill="auto"/>
          <w:lang w:eastAsia="zh-CN"/>
          <w14:textFill>
            <w14:solidFill>
              <w14:schemeClr w14:val="tx1"/>
            </w14:solidFill>
          </w14:textFill>
        </w:rPr>
        <w:t>建筑工程施工总承包贰级贰级及以上</w:t>
      </w:r>
      <w:r>
        <w:rPr>
          <w:rFonts w:hint="eastAsia" w:ascii="宋体" w:hAnsi="宋体" w:eastAsia="宋体" w:cs="宋体"/>
          <w:color w:val="000000" w:themeColor="text1"/>
          <w:sz w:val="24"/>
          <w:szCs w:val="24"/>
          <w:highlight w:val="none"/>
          <w:shd w:val="clear" w:color="050000" w:fill="auto"/>
          <w:lang w:eastAsia="zh-CN"/>
          <w14:textFill>
            <w14:solidFill>
              <w14:schemeClr w14:val="tx1"/>
            </w14:solidFill>
          </w14:textFill>
        </w:rPr>
        <w:t>等级的施工企业，并在人员、设备、资金等方面具有相应的施工能力，具备在有效期限内的安全生产许可证</w:t>
      </w:r>
      <w:r>
        <w:rPr>
          <w:rFonts w:hint="eastAsia" w:ascii="宋体" w:hAnsi="宋体" w:eastAsia="宋体" w:cs="宋体"/>
          <w:color w:val="000000" w:themeColor="text1"/>
          <w:sz w:val="24"/>
          <w:szCs w:val="24"/>
          <w:highlight w:val="none"/>
          <w:shd w:val="clear" w:color="050000" w:fill="auto"/>
          <w:lang w:val="en-US" w:eastAsia="zh-CN"/>
          <w14:textFill>
            <w14:solidFill>
              <w14:schemeClr w14:val="tx1"/>
            </w14:solidFill>
          </w14:textFill>
        </w:rPr>
        <w:t>。</w:t>
      </w:r>
    </w:p>
    <w:p w14:paraId="1051973D">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三、获取招标文件</w:t>
      </w:r>
      <w:bookmarkEnd w:id="14"/>
      <w:bookmarkEnd w:id="15"/>
      <w:bookmarkEnd w:id="16"/>
      <w:bookmarkEnd w:id="17"/>
    </w:p>
    <w:p w14:paraId="0FAF3178">
      <w:pPr>
        <w:pageBreakBefore w:val="0"/>
        <w:kinsoku/>
        <w:wordWrap/>
        <w:overflowPunct/>
        <w:topLinePunct w:val="0"/>
        <w:autoSpaceDE/>
        <w:autoSpaceDN/>
        <w:bidi w:val="0"/>
        <w:adjustRightInd/>
        <w:snapToGrid/>
        <w:spacing w:line="240" w:lineRule="auto"/>
        <w:ind w:firstLine="54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bookmarkStart w:id="18" w:name="_Toc28359082"/>
      <w:bookmarkStart w:id="19" w:name="_Toc28359005"/>
      <w:bookmarkStart w:id="20" w:name="_Toc35393793"/>
      <w:bookmarkStart w:id="21" w:name="_Toc35393624"/>
      <w:r>
        <w:rPr>
          <w:rFonts w:hint="eastAsia" w:ascii="宋体" w:hAnsi="宋体" w:eastAsia="宋体" w:cs="宋体"/>
          <w:color w:val="000000" w:themeColor="text1"/>
          <w:sz w:val="24"/>
          <w:szCs w:val="24"/>
          <w:highlight w:val="none"/>
          <w14:textFill>
            <w14:solidFill>
              <w14:schemeClr w14:val="tx1"/>
            </w14:solidFill>
          </w14:textFill>
        </w:rPr>
        <w:t>时间：</w:t>
      </w:r>
      <w:r>
        <w:rPr>
          <w:rFonts w:hint="eastAsia" w:ascii="宋体" w:hAnsi="宋体" w:eastAsia="宋体" w:cs="宋体"/>
          <w:color w:val="000000" w:themeColor="text1"/>
          <w:sz w:val="24"/>
          <w:szCs w:val="24"/>
          <w:highlight w:val="none"/>
          <w:u w:val="single"/>
          <w14:textFill>
            <w14:solidFill>
              <w14:schemeClr w14:val="tx1"/>
            </w14:solidFill>
          </w14:textFill>
        </w:rPr>
        <w:t>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03 </w:t>
      </w:r>
      <w:r>
        <w:rPr>
          <w:rFonts w:hint="eastAsia" w:ascii="宋体" w:hAnsi="宋体" w:eastAsia="宋体" w:cs="宋体"/>
          <w:color w:val="000000" w:themeColor="text1"/>
          <w:sz w:val="24"/>
          <w:szCs w:val="24"/>
          <w:highlight w:val="none"/>
          <w:u w:val="single"/>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18 </w:t>
      </w:r>
      <w:r>
        <w:rPr>
          <w:rFonts w:hint="eastAsia" w:ascii="宋体" w:hAnsi="宋体" w:eastAsia="宋体" w:cs="宋体"/>
          <w:color w:val="000000" w:themeColor="text1"/>
          <w:sz w:val="24"/>
          <w:szCs w:val="24"/>
          <w:highlight w:val="none"/>
          <w:u w:val="single"/>
          <w14:textFill>
            <w14:solidFill>
              <w14:schemeClr w14:val="tx1"/>
            </w14:solidFill>
          </w14:textFill>
        </w:rPr>
        <w:t>日至 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03 </w:t>
      </w:r>
      <w:r>
        <w:rPr>
          <w:rFonts w:hint="eastAsia" w:ascii="宋体" w:hAnsi="宋体" w:eastAsia="宋体" w:cs="宋体"/>
          <w:color w:val="000000" w:themeColor="text1"/>
          <w:sz w:val="24"/>
          <w:szCs w:val="24"/>
          <w:highlight w:val="none"/>
          <w:u w:val="single"/>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24 </w:t>
      </w:r>
      <w:r>
        <w:rPr>
          <w:rFonts w:hint="eastAsia" w:ascii="宋体" w:hAnsi="宋体" w:eastAsia="宋体" w:cs="宋体"/>
          <w:color w:val="000000" w:themeColor="text1"/>
          <w:sz w:val="24"/>
          <w:szCs w:val="24"/>
          <w:highlight w:val="none"/>
          <w:u w:val="single"/>
          <w14:textFill>
            <w14:solidFill>
              <w14:schemeClr w14:val="tx1"/>
            </w14:solidFill>
          </w14:textFill>
        </w:rPr>
        <w:t>日，每天上午10：</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00</w:t>
      </w:r>
      <w:r>
        <w:rPr>
          <w:rFonts w:hint="eastAsia" w:ascii="宋体" w:hAnsi="宋体" w:eastAsia="宋体" w:cs="宋体"/>
          <w:color w:val="000000" w:themeColor="text1"/>
          <w:sz w:val="24"/>
          <w:szCs w:val="24"/>
          <w:highlight w:val="none"/>
          <w:u w:val="single"/>
          <w14:textFill>
            <w14:solidFill>
              <w14:schemeClr w14:val="tx1"/>
            </w14:solidFill>
          </w14:textFill>
        </w:rPr>
        <w:t>至14：</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00</w:t>
      </w:r>
      <w:r>
        <w:rPr>
          <w:rFonts w:hint="eastAsia" w:ascii="宋体" w:hAnsi="宋体" w:eastAsia="宋体" w:cs="宋体"/>
          <w:color w:val="000000" w:themeColor="text1"/>
          <w:sz w:val="24"/>
          <w:szCs w:val="24"/>
          <w:highlight w:val="none"/>
          <w:u w:val="single"/>
          <w14:textFill>
            <w14:solidFill>
              <w14:schemeClr w14:val="tx1"/>
            </w14:solidFill>
          </w14:textFill>
        </w:rPr>
        <w:t>，下午</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1</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14:textFill>
            <w14:solidFill>
              <w14:schemeClr w14:val="tx1"/>
            </w14:solidFill>
          </w14:textFill>
        </w:rPr>
        <w:t>：</w:t>
      </w:r>
      <w:r>
        <w:rPr>
          <w:rFonts w:hint="eastAsia" w:ascii="宋体" w:hAnsi="宋体" w:cs="宋体"/>
          <w:color w:val="000000" w:themeColor="text1"/>
          <w:sz w:val="24"/>
          <w:szCs w:val="24"/>
          <w:highlight w:val="none"/>
          <w:u w:val="singl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u w:val="single"/>
          <w14:textFill>
            <w14:solidFill>
              <w14:schemeClr w14:val="tx1"/>
            </w14:solidFill>
          </w14:textFill>
        </w:rPr>
        <w:t>至</w:t>
      </w:r>
      <w:r>
        <w:rPr>
          <w:rFonts w:hint="eastAsia" w:ascii="宋体" w:hAnsi="宋体" w:cs="宋体"/>
          <w:color w:val="000000" w:themeColor="text1"/>
          <w:sz w:val="24"/>
          <w:szCs w:val="24"/>
          <w:highlight w:val="none"/>
          <w:u w:val="single"/>
          <w:lang w:val="en-US" w:eastAsia="zh-CN"/>
          <w14:textFill>
            <w14:solidFill>
              <w14:schemeClr w14:val="tx1"/>
            </w14:solidFill>
          </w14:textFill>
        </w:rPr>
        <w:t>19</w:t>
      </w:r>
      <w:r>
        <w:rPr>
          <w:rFonts w:hint="eastAsia" w:ascii="宋体" w:hAnsi="宋体" w:eastAsia="宋体" w:cs="宋体"/>
          <w:color w:val="000000" w:themeColor="text1"/>
          <w:sz w:val="24"/>
          <w:szCs w:val="24"/>
          <w:highlight w:val="none"/>
          <w:u w:val="single"/>
          <w14:textFill>
            <w14:solidFill>
              <w14:schemeClr w14:val="tx1"/>
            </w14:solidFill>
          </w14:textFill>
        </w:rPr>
        <w:t>：</w:t>
      </w:r>
      <w:r>
        <w:rPr>
          <w:rFonts w:hint="eastAsia" w:ascii="宋体" w:hAnsi="宋体" w:cs="宋体"/>
          <w:color w:val="000000" w:themeColor="text1"/>
          <w:sz w:val="24"/>
          <w:szCs w:val="24"/>
          <w:highlight w:val="none"/>
          <w:u w:val="singl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u w:val="single"/>
          <w14:textFill>
            <w14:solidFill>
              <w14:schemeClr w14:val="tx1"/>
            </w14:solidFill>
          </w14:textFill>
        </w:rPr>
        <w:t>（法定节假日除外）</w:t>
      </w:r>
      <w:r>
        <w:rPr>
          <w:rFonts w:hint="eastAsia" w:ascii="宋体" w:hAnsi="宋体" w:eastAsia="宋体" w:cs="宋体"/>
          <w:color w:val="000000" w:themeColor="text1"/>
          <w:sz w:val="24"/>
          <w:szCs w:val="24"/>
          <w:highlight w:val="none"/>
          <w14:textFill>
            <w14:solidFill>
              <w14:schemeClr w14:val="tx1"/>
            </w14:solidFill>
          </w14:textFill>
        </w:rPr>
        <w:t>。</w:t>
      </w:r>
    </w:p>
    <w:p w14:paraId="478CD701">
      <w:pPr>
        <w:spacing w:line="240" w:lineRule="auto"/>
        <w:ind w:firstLine="540"/>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地点</w:t>
      </w:r>
      <w:r>
        <w:rPr>
          <w:rFonts w:hint="eastAsia" w:ascii="宋体" w:hAnsi="宋体" w:cs="宋体"/>
          <w:color w:val="000000" w:themeColor="text1"/>
          <w:sz w:val="24"/>
          <w:szCs w:val="24"/>
          <w:highlight w:val="none"/>
          <w:lang w:eastAsia="zh-CN"/>
          <w14:textFill>
            <w14:solidFill>
              <w14:schemeClr w14:val="tx1"/>
            </w14:solidFill>
          </w14:textFill>
        </w:rPr>
        <w:t>：新疆政采云平台线上获取。</w:t>
      </w:r>
    </w:p>
    <w:p w14:paraId="7281C02A">
      <w:pPr>
        <w:spacing w:line="240" w:lineRule="auto"/>
        <w:ind w:firstLine="54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方式：供应商登录政采云平台https://www.zcygov.cn/在线申请获取采购文件（进入</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项目采购</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应用，在获取采购文件菜单中选择项目，申请获取采购文件）</w:t>
      </w:r>
      <w:r>
        <w:rPr>
          <w:rFonts w:hint="eastAsia" w:ascii="宋体" w:hAnsi="宋体" w:cs="宋体"/>
          <w:color w:val="000000" w:themeColor="text1"/>
          <w:sz w:val="24"/>
          <w:szCs w:val="24"/>
          <w:highlight w:val="none"/>
          <w:lang w:eastAsia="zh-CN"/>
          <w14:textFill>
            <w14:solidFill>
              <w14:schemeClr w14:val="tx1"/>
            </w14:solidFill>
          </w14:textFill>
        </w:rPr>
        <w:t>。</w:t>
      </w:r>
    </w:p>
    <w:p w14:paraId="2B12D398">
      <w:pPr>
        <w:spacing w:line="240" w:lineRule="auto"/>
        <w:ind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售价：</w:t>
      </w:r>
      <w:r>
        <w:rPr>
          <w:rFonts w:hint="eastAsia" w:ascii="宋体" w:hAnsi="宋体" w:eastAsia="宋体" w:cs="宋体"/>
          <w:color w:val="000000" w:themeColor="text1"/>
          <w:sz w:val="24"/>
          <w:szCs w:val="24"/>
          <w:highlight w:val="none"/>
          <w:lang w:val="en-US" w:eastAsia="zh-CN"/>
          <w14:textFill>
            <w14:solidFill>
              <w14:schemeClr w14:val="tx1"/>
            </w14:solidFill>
          </w14:textFill>
        </w:rPr>
        <w:t>0元</w:t>
      </w:r>
    </w:p>
    <w:p w14:paraId="55ACC625">
      <w:pPr>
        <w:pStyle w:val="4"/>
        <w:pageBreakBefore w:val="0"/>
        <w:numPr>
          <w:ilvl w:val="1"/>
          <w:numId w:val="0"/>
        </w:numPr>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四、提交投标文件</w:t>
      </w:r>
      <w:bookmarkEnd w:id="18"/>
      <w:bookmarkEnd w:id="19"/>
      <w:r>
        <w:rPr>
          <w:rFonts w:hint="eastAsia" w:ascii="宋体" w:hAnsi="宋体" w:eastAsia="宋体" w:cs="宋体"/>
          <w:color w:val="000000" w:themeColor="text1"/>
          <w:sz w:val="24"/>
          <w:szCs w:val="24"/>
          <w:highlight w:val="none"/>
          <w14:textFill>
            <w14:solidFill>
              <w14:schemeClr w14:val="tx1"/>
            </w14:solidFill>
          </w14:textFill>
        </w:rPr>
        <w:t>截止时间、开标时间和地点</w:t>
      </w:r>
      <w:bookmarkEnd w:id="20"/>
      <w:bookmarkEnd w:id="21"/>
    </w:p>
    <w:p w14:paraId="2FB25569">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bCs/>
          <w:color w:val="000000" w:themeColor="text1"/>
          <w:sz w:val="24"/>
          <w:szCs w:val="24"/>
          <w:highlight w:val="none"/>
          <w:lang w:eastAsia="zh-CN"/>
          <w14:textFill>
            <w14:solidFill>
              <w14:schemeClr w14:val="tx1"/>
            </w14:solidFill>
          </w14:textFill>
        </w:rPr>
      </w:pPr>
      <w:bookmarkStart w:id="22" w:name="_Toc28359084"/>
      <w:bookmarkStart w:id="23" w:name="_Toc35393625"/>
      <w:bookmarkStart w:id="24" w:name="_Toc28359007"/>
      <w:bookmarkStart w:id="25" w:name="_Toc35393794"/>
      <w:r>
        <w:rPr>
          <w:rFonts w:hint="eastAsia" w:ascii="宋体" w:hAnsi="宋体" w:eastAsia="宋体" w:cs="宋体"/>
          <w:color w:val="000000" w:themeColor="text1"/>
          <w:sz w:val="24"/>
          <w:szCs w:val="24"/>
          <w:highlight w:val="none"/>
          <w14:textFill>
            <w14:solidFill>
              <w14:schemeClr w14:val="tx1"/>
            </w14:solidFill>
          </w14:textFill>
        </w:rPr>
        <w:t>截止时间：</w:t>
      </w:r>
      <w:r>
        <w:rPr>
          <w:rFonts w:hint="eastAsia" w:ascii="宋体" w:hAnsi="宋体" w:cs="宋体"/>
          <w:color w:val="000000" w:themeColor="text1"/>
          <w:sz w:val="24"/>
          <w:szCs w:val="24"/>
          <w:highlight w:val="none"/>
          <w:lang w:eastAsia="zh-CN"/>
          <w14:textFill>
            <w14:solidFill>
              <w14:schemeClr w14:val="tx1"/>
            </w14:solidFill>
          </w14:textFill>
        </w:rPr>
        <w:t>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cs="宋体"/>
          <w:color w:val="000000" w:themeColor="text1"/>
          <w:sz w:val="24"/>
          <w:szCs w:val="24"/>
          <w:highlight w:val="none"/>
          <w:lang w:eastAsia="zh-CN"/>
          <w14:textFill>
            <w14:solidFill>
              <w14:schemeClr w14:val="tx1"/>
            </w14:solidFill>
          </w14:textFill>
        </w:rPr>
        <w:t>年</w:t>
      </w:r>
      <w:r>
        <w:rPr>
          <w:rFonts w:hint="eastAsia" w:ascii="宋体" w:hAnsi="宋体" w:cs="宋体"/>
          <w:color w:val="000000" w:themeColor="text1"/>
          <w:sz w:val="24"/>
          <w:szCs w:val="24"/>
          <w:highlight w:val="none"/>
          <w:lang w:val="en-US" w:eastAsia="zh-CN"/>
          <w14:textFill>
            <w14:solidFill>
              <w14:schemeClr w14:val="tx1"/>
            </w14:solidFill>
          </w14:textFill>
        </w:rPr>
        <w:t xml:space="preserve"> 03 </w:t>
      </w:r>
      <w:r>
        <w:rPr>
          <w:rFonts w:hint="eastAsia" w:ascii="宋体" w:hAnsi="宋体" w:cs="宋体"/>
          <w:color w:val="000000" w:themeColor="text1"/>
          <w:sz w:val="24"/>
          <w:szCs w:val="24"/>
          <w:highlight w:val="none"/>
          <w:lang w:eastAsia="zh-CN"/>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 xml:space="preserve"> 28 </w:t>
      </w:r>
      <w:r>
        <w:rPr>
          <w:rFonts w:hint="eastAsia" w:ascii="宋体" w:hAnsi="宋体" w:cs="宋体"/>
          <w:color w:val="000000" w:themeColor="text1"/>
          <w:sz w:val="24"/>
          <w:szCs w:val="24"/>
          <w:highlight w:val="none"/>
          <w:lang w:eastAsia="zh-CN"/>
          <w14:textFill>
            <w14:solidFill>
              <w14:schemeClr w14:val="tx1"/>
            </w14:solidFill>
          </w14:textFill>
        </w:rPr>
        <w:t>日</w:t>
      </w:r>
      <w:r>
        <w:rPr>
          <w:rFonts w:hint="eastAsia" w:ascii="宋体" w:hAnsi="宋体" w:cs="宋体"/>
          <w:color w:val="000000" w:themeColor="text1"/>
          <w:sz w:val="24"/>
          <w:szCs w:val="24"/>
          <w:highlight w:val="none"/>
          <w:lang w:val="en-US" w:eastAsia="zh-CN"/>
          <w14:textFill>
            <w14:solidFill>
              <w14:schemeClr w14:val="tx1"/>
            </w14:solidFill>
          </w14:textFill>
        </w:rPr>
        <w:t xml:space="preserve"> 10 </w:t>
      </w:r>
      <w:r>
        <w:rPr>
          <w:rFonts w:hint="eastAsia" w:ascii="宋体" w:hAnsi="宋体" w:cs="宋体"/>
          <w:color w:val="000000" w:themeColor="text1"/>
          <w:sz w:val="24"/>
          <w:szCs w:val="24"/>
          <w:highlight w:val="none"/>
          <w:lang w:eastAsia="zh-CN"/>
          <w14:textFill>
            <w14:solidFill>
              <w14:schemeClr w14:val="tx1"/>
            </w14:solidFill>
          </w14:textFill>
        </w:rPr>
        <w:t>时</w:t>
      </w:r>
      <w:r>
        <w:rPr>
          <w:rFonts w:hint="eastAsia" w:ascii="宋体" w:hAnsi="宋体" w:cs="宋体"/>
          <w:color w:val="000000" w:themeColor="text1"/>
          <w:sz w:val="24"/>
          <w:szCs w:val="24"/>
          <w:highlight w:val="none"/>
          <w:lang w:val="en-US" w:eastAsia="zh-CN"/>
          <w14:textFill>
            <w14:solidFill>
              <w14:schemeClr w14:val="tx1"/>
            </w14:solidFill>
          </w14:textFill>
        </w:rPr>
        <w:t xml:space="preserve"> 30 </w:t>
      </w:r>
      <w:r>
        <w:rPr>
          <w:rFonts w:hint="eastAsia" w:ascii="宋体" w:hAnsi="宋体" w:cs="宋体"/>
          <w:color w:val="000000" w:themeColor="text1"/>
          <w:sz w:val="24"/>
          <w:szCs w:val="24"/>
          <w:highlight w:val="none"/>
          <w:lang w:eastAsia="zh-CN"/>
          <w14:textFill>
            <w14:solidFill>
              <w14:schemeClr w14:val="tx1"/>
            </w14:solidFill>
          </w14:textFill>
        </w:rPr>
        <w:t>分</w:t>
      </w:r>
    </w:p>
    <w:p w14:paraId="48F10343">
      <w:pPr>
        <w:numPr>
          <w:ilvl w:val="0"/>
          <w:numId w:val="0"/>
        </w:numPr>
        <w:spacing w:line="240" w:lineRule="auto"/>
        <w:ind w:firstLine="480" w:firstLineChars="2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投标地点（网址）：请登录政采云投标客户端，在截止时间前将加密的电子响应文件上传到新疆政府采购网对应的位置（逾期上传或者未上传指定地点的响应文件，采购人不予受理）。 </w:t>
      </w:r>
    </w:p>
    <w:p w14:paraId="07890DCB">
      <w:pPr>
        <w:numPr>
          <w:ilvl w:val="0"/>
          <w:numId w:val="0"/>
        </w:numPr>
        <w:spacing w:line="240" w:lineRule="auto"/>
        <w:ind w:firstLine="480" w:firstLineChars="200"/>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开标方式:不见面开标</w:t>
      </w:r>
      <w:r>
        <w:rPr>
          <w:rFonts w:hint="eastAsia" w:ascii="宋体" w:hAnsi="宋体" w:cs="宋体"/>
          <w:color w:val="000000" w:themeColor="text1"/>
          <w:sz w:val="24"/>
          <w:szCs w:val="24"/>
          <w:highlight w:val="none"/>
          <w:lang w:eastAsia="zh-CN"/>
          <w14:textFill>
            <w14:solidFill>
              <w14:schemeClr w14:val="tx1"/>
            </w14:solidFill>
          </w14:textFill>
        </w:rPr>
        <w:t>。</w:t>
      </w:r>
    </w:p>
    <w:p w14:paraId="4DBCF2D0">
      <w:pPr>
        <w:pStyle w:val="4"/>
        <w:pageBreakBefore w:val="0"/>
        <w:numPr>
          <w:ilvl w:val="1"/>
          <w:numId w:val="0"/>
        </w:numPr>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五、公告期限</w:t>
      </w:r>
      <w:bookmarkEnd w:id="22"/>
      <w:bookmarkEnd w:id="23"/>
      <w:bookmarkEnd w:id="24"/>
      <w:bookmarkEnd w:id="25"/>
    </w:p>
    <w:p w14:paraId="287C5E37">
      <w:pPr>
        <w:pageBreakBefore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自本公告发布之日起</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个工作日。</w:t>
      </w:r>
    </w:p>
    <w:p w14:paraId="6B746C1B">
      <w:pPr>
        <w:pStyle w:val="4"/>
        <w:pageBreakBefore w:val="0"/>
        <w:numPr>
          <w:ilvl w:val="1"/>
          <w:numId w:val="0"/>
        </w:numPr>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26" w:name="_Toc35393795"/>
      <w:bookmarkStart w:id="27" w:name="_Toc35393626"/>
      <w:r>
        <w:rPr>
          <w:rFonts w:hint="eastAsia" w:ascii="宋体" w:hAnsi="宋体" w:eastAsia="宋体" w:cs="宋体"/>
          <w:color w:val="000000" w:themeColor="text1"/>
          <w:sz w:val="24"/>
          <w:szCs w:val="24"/>
          <w:highlight w:val="none"/>
          <w14:textFill>
            <w14:solidFill>
              <w14:schemeClr w14:val="tx1"/>
            </w14:solidFill>
          </w14:textFill>
        </w:rPr>
        <w:t>六、其他补充事宜</w:t>
      </w:r>
      <w:bookmarkEnd w:id="26"/>
      <w:bookmarkEnd w:id="27"/>
    </w:p>
    <w:p w14:paraId="5870A187">
      <w:pPr>
        <w:keepNext w:val="0"/>
        <w:keepLines w:val="0"/>
        <w:widowControl/>
        <w:numPr>
          <w:ilvl w:val="0"/>
          <w:numId w:val="0"/>
        </w:numPr>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bookmarkStart w:id="28" w:name="_Toc35393627"/>
      <w:bookmarkStart w:id="29" w:name="_Toc28359085"/>
      <w:bookmarkStart w:id="30" w:name="_Toc28359008"/>
      <w:bookmarkStart w:id="31" w:name="_Toc35393796"/>
      <w:r>
        <w:rPr>
          <w:rFonts w:hint="default" w:ascii="宋体" w:hAnsi="宋体" w:cs="宋体"/>
          <w:color w:val="000000" w:themeColor="text1"/>
          <w:sz w:val="24"/>
          <w:szCs w:val="24"/>
          <w:highlight w:val="none"/>
          <w:lang w:eastAsia="zh-CN"/>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本项目采购采用电子交易方式，</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投标人无需到达评标地点，</w:t>
      </w:r>
      <w:r>
        <w:rPr>
          <w:rFonts w:hint="eastAsia" w:ascii="宋体" w:hAnsi="宋体" w:eastAsia="宋体" w:cs="宋体"/>
          <w:color w:val="000000" w:themeColor="text1"/>
          <w:sz w:val="24"/>
          <w:szCs w:val="24"/>
          <w:highlight w:val="none"/>
          <w:lang w:eastAsia="zh-CN"/>
          <w14:textFill>
            <w14:solidFill>
              <w14:schemeClr w14:val="tx1"/>
            </w14:solidFill>
          </w14:textFill>
        </w:rPr>
        <w:t>电子交易平台为</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政府采购云平台（https://login.zcygov.cn/）</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。供应商参与本项目电子交易活动前，应注册成为政府采购云平台</w:t>
      </w:r>
      <w:r>
        <w:rPr>
          <w:rFonts w:hint="eastAsia" w:ascii="宋体" w:hAnsi="宋体" w:cs="宋体"/>
          <w:color w:val="000000" w:themeColor="text1"/>
          <w:sz w:val="24"/>
          <w:szCs w:val="24"/>
          <w:highlight w:val="none"/>
          <w:lang w:eastAsia="zh-CN"/>
          <w14:textFill>
            <w14:solidFill>
              <w14:schemeClr w14:val="tx1"/>
            </w14:solidFill>
          </w14:textFill>
        </w:rPr>
        <w:t>正式</w:t>
      </w:r>
      <w:r>
        <w:rPr>
          <w:rFonts w:hint="eastAsia" w:ascii="宋体" w:hAnsi="宋体" w:eastAsia="宋体" w:cs="宋体"/>
          <w:color w:val="000000" w:themeColor="text1"/>
          <w:sz w:val="24"/>
          <w:szCs w:val="24"/>
          <w:highlight w:val="none"/>
          <w:lang w:eastAsia="zh-CN"/>
          <w14:textFill>
            <w14:solidFill>
              <w14:schemeClr w14:val="tx1"/>
            </w14:solidFill>
          </w14:textFill>
        </w:rPr>
        <w:t>供应商。编制电子投标文件前还需申领CA证书并绑定帐号</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因未注册入库、未办理CA数字证书等原因造成无法递交电子版响应文件或递交电子响应文件失败等后果由供应商自行承担。如有操作性问题可与政采云在线客服进行咨询，咨询电话：400-881-7190。</w:t>
      </w:r>
    </w:p>
    <w:p w14:paraId="7A40AE19">
      <w:pPr>
        <w:keepNext w:val="0"/>
        <w:keepLines w:val="0"/>
        <w:widowControl/>
        <w:numPr>
          <w:ilvl w:val="0"/>
          <w:numId w:val="0"/>
        </w:numPr>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供应商应使用最新版本的CA驱动和政采云投标客户端，客户端下载、安装完成后，可通过账号密码或CA登录客户端并按照本采购文件和电子招投标供应商客户端的要求编制并加密投标文件</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未按规定加密的投标文件，将被电子招投标供应商客户端拒收。</w:t>
      </w:r>
    </w:p>
    <w:p w14:paraId="0F7A6584">
      <w:pPr>
        <w:keepNext w:val="0"/>
        <w:keepLines w:val="0"/>
        <w:widowControl/>
        <w:numPr>
          <w:ilvl w:val="0"/>
          <w:numId w:val="0"/>
        </w:numPr>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eastAsia="zh-CN"/>
          <w14:textFill>
            <w14:solidFill>
              <w14:schemeClr w14:val="tx1"/>
            </w14:solidFill>
          </w14:textFill>
        </w:rPr>
        <w:t>供应商应当在投标截止时间前，将生成的</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电子加密响应文件</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上传递交至</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政府采购云平台</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，递交电子响应文件截止时间以后上传递交的响应文件将被</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政府采购云平台</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拒收。</w:t>
      </w:r>
    </w:p>
    <w:p w14:paraId="09C39181">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lang w:eastAsia="zh-CN"/>
          <w14:textFill>
            <w14:solidFill>
              <w14:schemeClr w14:val="tx1"/>
            </w14:solidFill>
          </w14:textFill>
        </w:rPr>
        <w:t>在使用政采云投标客户端时，建议使用谷歌浏览器</w:t>
      </w:r>
      <w:r>
        <w:rPr>
          <w:rFonts w:hint="eastAsia" w:ascii="宋体" w:hAnsi="宋体" w:cs="宋体"/>
          <w:color w:val="000000" w:themeColor="text1"/>
          <w:sz w:val="24"/>
          <w:szCs w:val="24"/>
          <w:highlight w:val="none"/>
          <w:lang w:eastAsia="zh-CN"/>
          <w14:textFill>
            <w14:solidFill>
              <w14:schemeClr w14:val="tx1"/>
            </w14:solidFill>
          </w14:textFill>
        </w:rPr>
        <w:t>或</w:t>
      </w:r>
      <w:r>
        <w:rPr>
          <w:rFonts w:hint="eastAsia" w:ascii="宋体" w:hAnsi="宋体" w:cs="宋体"/>
          <w:color w:val="000000" w:themeColor="text1"/>
          <w:sz w:val="24"/>
          <w:szCs w:val="24"/>
          <w:highlight w:val="none"/>
          <w:lang w:val="en-US" w:eastAsia="zh-CN"/>
          <w14:textFill>
            <w14:solidFill>
              <w14:schemeClr w14:val="tx1"/>
            </w14:solidFill>
          </w14:textFill>
        </w:rPr>
        <w:t>360极速浏览器</w:t>
      </w:r>
      <w:r>
        <w:rPr>
          <w:rFonts w:hint="eastAsia" w:ascii="宋体" w:hAnsi="宋体" w:eastAsia="宋体" w:cs="宋体"/>
          <w:color w:val="000000" w:themeColor="text1"/>
          <w:sz w:val="24"/>
          <w:szCs w:val="24"/>
          <w:highlight w:val="none"/>
          <w:lang w:eastAsia="zh-CN"/>
          <w14:textFill>
            <w14:solidFill>
              <w14:schemeClr w14:val="tx1"/>
            </w14:solidFill>
          </w14:textFill>
        </w:rPr>
        <w:t>，电脑配置满足win7+64位以上操作系统（不能用mac或者linux系统）。客户端请至新疆政府采购网（http://www.ccgp-xinjiang.gov.cn/）下载专区查看，如有问题可拨打政采云客户服务热线400-881-7190进行咨询。</w:t>
      </w:r>
    </w:p>
    <w:p w14:paraId="729F411F">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lang w:eastAsia="zh-CN"/>
          <w14:textFill>
            <w14:solidFill>
              <w14:schemeClr w14:val="tx1"/>
            </w14:solidFill>
          </w14:textFill>
        </w:rPr>
        <w:t>供应商登录政采云平台，在投标截止时间后30分钟内用</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项目采购-开标评标</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功能进行解密响应文件。若供应商在规定时间内未按时解密的，视为无效投标。解密与加密响应文件须使用同一个CA。</w:t>
      </w:r>
    </w:p>
    <w:p w14:paraId="391BD4B3">
      <w:pPr>
        <w:pStyle w:val="4"/>
        <w:pageBreakBefore w:val="0"/>
        <w:numPr>
          <w:ilvl w:val="1"/>
          <w:numId w:val="0"/>
        </w:numPr>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七、对本次招标提出询问，请按以下方式联系。</w:t>
      </w:r>
      <w:bookmarkEnd w:id="28"/>
      <w:bookmarkEnd w:id="29"/>
      <w:bookmarkEnd w:id="30"/>
      <w:bookmarkEnd w:id="31"/>
    </w:p>
    <w:p w14:paraId="35A6FDC4">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1.采购人信息</w:t>
      </w:r>
    </w:p>
    <w:p w14:paraId="313CCBF3">
      <w:pPr>
        <w:keepNext w:val="0"/>
        <w:keepLines w:val="0"/>
        <w:widowControl/>
        <w:suppressLineNumbers w:val="0"/>
        <w:spacing w:line="240" w:lineRule="auto"/>
        <w:ind w:firstLine="480" w:firstLineChars="200"/>
        <w:jc w:val="left"/>
        <w:rPr>
          <w:rFonts w:hint="default"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名称：</w:t>
      </w:r>
      <w:r>
        <w:rPr>
          <w:rFonts w:hint="eastAsia" w:ascii="宋体" w:hAnsi="宋体" w:cs="宋体"/>
          <w:color w:val="000000" w:themeColor="text1"/>
          <w:sz w:val="24"/>
          <w:szCs w:val="24"/>
          <w:highlight w:val="none"/>
          <w:lang w:eastAsia="zh-CN"/>
          <w14:textFill>
            <w14:solidFill>
              <w14:schemeClr w14:val="tx1"/>
            </w14:solidFill>
          </w14:textFill>
        </w:rPr>
        <w:t>巩留县教育局</w:t>
      </w:r>
    </w:p>
    <w:p w14:paraId="755DBB5A">
      <w:pPr>
        <w:keepNext w:val="0"/>
        <w:keepLines w:val="0"/>
        <w:widowControl/>
        <w:suppressLineNumbers w:val="0"/>
        <w:spacing w:line="240" w:lineRule="auto"/>
        <w:ind w:firstLine="480" w:firstLineChars="200"/>
        <w:jc w:val="left"/>
        <w:rPr>
          <w:rFonts w:hint="default"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地址：</w:t>
      </w:r>
      <w:r>
        <w:rPr>
          <w:rFonts w:hint="eastAsia" w:ascii="宋体" w:hAnsi="宋体" w:cs="宋体"/>
          <w:color w:val="000000" w:themeColor="text1"/>
          <w:sz w:val="24"/>
          <w:szCs w:val="24"/>
          <w:highlight w:val="none"/>
          <w:lang w:eastAsia="zh-CN"/>
          <w14:textFill>
            <w14:solidFill>
              <w14:schemeClr w14:val="tx1"/>
            </w14:solidFill>
          </w14:textFill>
        </w:rPr>
        <w:t>巩留县</w:t>
      </w:r>
    </w:p>
    <w:p w14:paraId="5AEC1DB3">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联系方式：</w:t>
      </w:r>
      <w:r>
        <w:rPr>
          <w:rFonts w:hint="eastAsia" w:ascii="宋体" w:hAnsi="宋体" w:cs="宋体"/>
          <w:color w:val="000000" w:themeColor="text1"/>
          <w:sz w:val="24"/>
          <w:szCs w:val="24"/>
          <w:highlight w:val="none"/>
          <w:lang w:val="en-US" w:eastAsia="zh-CN"/>
          <w14:textFill>
            <w14:solidFill>
              <w14:schemeClr w14:val="tx1"/>
            </w14:solidFill>
          </w14:textFill>
        </w:rPr>
        <w:t>13899766957</w:t>
      </w:r>
    </w:p>
    <w:p w14:paraId="3743E96A">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 xml:space="preserve">采购代理机构信息 </w:t>
      </w:r>
    </w:p>
    <w:p w14:paraId="1969A150">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名称：</w:t>
      </w:r>
      <w:r>
        <w:rPr>
          <w:rFonts w:hint="eastAsia" w:ascii="宋体" w:hAnsi="宋体" w:cs="宋体"/>
          <w:color w:val="000000" w:themeColor="text1"/>
          <w:sz w:val="24"/>
          <w:szCs w:val="24"/>
          <w:highlight w:val="none"/>
          <w:lang w:eastAsia="zh-CN"/>
          <w14:textFill>
            <w14:solidFill>
              <w14:schemeClr w14:val="tx1"/>
            </w14:solidFill>
          </w14:textFill>
        </w:rPr>
        <w:t>巩留县政府采购中心</w:t>
      </w:r>
      <w:r>
        <w:rPr>
          <w:rFonts w:hint="eastAsia" w:ascii="宋体" w:hAnsi="宋体" w:eastAsia="宋体" w:cs="宋体"/>
          <w:color w:val="000000" w:themeColor="text1"/>
          <w:sz w:val="24"/>
          <w:szCs w:val="24"/>
          <w:highlight w:val="none"/>
          <w:lang w:eastAsia="zh-CN"/>
          <w14:textFill>
            <w14:solidFill>
              <w14:schemeClr w14:val="tx1"/>
            </w14:solidFill>
          </w14:textFill>
        </w:rPr>
        <w:t>　　　　　　　　　　　</w:t>
      </w:r>
    </w:p>
    <w:p w14:paraId="0634BEBB">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地址：</w:t>
      </w:r>
      <w:r>
        <w:rPr>
          <w:rFonts w:hint="eastAsia" w:ascii="宋体" w:hAnsi="宋体" w:cs="宋体"/>
          <w:color w:val="000000" w:themeColor="text1"/>
          <w:sz w:val="24"/>
          <w:szCs w:val="24"/>
          <w:highlight w:val="none"/>
          <w:lang w:val="en-US" w:eastAsia="zh-CN"/>
          <w14:textFill>
            <w14:solidFill>
              <w14:schemeClr w14:val="tx1"/>
            </w14:solidFill>
          </w14:textFill>
        </w:rPr>
        <w:t>巩留县</w:t>
      </w:r>
    </w:p>
    <w:p w14:paraId="5EDE4A2F">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联系方式：</w:t>
      </w:r>
      <w:bookmarkStart w:id="32" w:name="_Toc28359087"/>
      <w:bookmarkStart w:id="33" w:name="_Toc28359010"/>
      <w:r>
        <w:rPr>
          <w:rFonts w:hint="eastAsia" w:ascii="宋体" w:hAnsi="宋体" w:cs="宋体"/>
          <w:color w:val="000000" w:themeColor="text1"/>
          <w:sz w:val="24"/>
          <w:szCs w:val="24"/>
          <w:highlight w:val="none"/>
          <w:lang w:val="en-US" w:eastAsia="zh-CN"/>
          <w14:textFill>
            <w14:solidFill>
              <w14:schemeClr w14:val="tx1"/>
            </w14:solidFill>
          </w14:textFill>
        </w:rPr>
        <w:t>17590398738</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54171BD9">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3.项目联系方式</w:t>
      </w:r>
      <w:bookmarkEnd w:id="32"/>
      <w:bookmarkEnd w:id="33"/>
    </w:p>
    <w:p w14:paraId="7D3E0D4A">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项目联系人：</w:t>
      </w:r>
      <w:r>
        <w:rPr>
          <w:rFonts w:hint="eastAsia" w:ascii="宋体" w:hAnsi="宋体" w:cs="宋体"/>
          <w:color w:val="000000" w:themeColor="text1"/>
          <w:sz w:val="24"/>
          <w:szCs w:val="24"/>
          <w:highlight w:val="none"/>
          <w:lang w:eastAsia="zh-CN"/>
          <w14:textFill>
            <w14:solidFill>
              <w14:schemeClr w14:val="tx1"/>
            </w14:solidFill>
          </w14:textFill>
        </w:rPr>
        <w:t>吴主任</w:t>
      </w:r>
    </w:p>
    <w:p w14:paraId="6DE276D4">
      <w:pPr>
        <w:keepNext w:val="0"/>
        <w:keepLines w:val="0"/>
        <w:widowControl/>
        <w:suppressLineNumbers w:val="0"/>
        <w:spacing w:line="24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电　话：</w:t>
      </w:r>
      <w:r>
        <w:rPr>
          <w:rFonts w:hint="eastAsia" w:ascii="宋体" w:hAnsi="宋体" w:cs="宋体"/>
          <w:color w:val="000000" w:themeColor="text1"/>
          <w:sz w:val="24"/>
          <w:szCs w:val="24"/>
          <w:highlight w:val="none"/>
          <w:lang w:val="en-US" w:eastAsia="zh-CN"/>
          <w14:textFill>
            <w14:solidFill>
              <w14:schemeClr w14:val="tx1"/>
            </w14:solidFill>
          </w14:textFill>
        </w:rPr>
        <w:t>17590398738</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1AF940AC">
      <w:pPr>
        <w:pageBreakBefore w:val="0"/>
        <w:kinsoku/>
        <w:wordWrap/>
        <w:overflowPunct/>
        <w:topLinePunct w:val="0"/>
        <w:bidi w:val="0"/>
        <w:snapToGrid/>
        <w:spacing w:line="380" w:lineRule="exact"/>
        <w:ind w:firstLine="640" w:firstLineChars="200"/>
        <w:textAlignment w:val="auto"/>
        <w:rPr>
          <w:rFonts w:hint="eastAsia" w:ascii="宋体" w:hAnsi="宋体" w:eastAsia="宋体" w:cs="宋体"/>
          <w:color w:val="000000" w:themeColor="text1"/>
          <w:sz w:val="32"/>
          <w:szCs w:val="32"/>
          <w:highlight w:val="none"/>
          <w:lang w:eastAsia="zh-CN"/>
          <w14:textFill>
            <w14:solidFill>
              <w14:schemeClr w14:val="tx1"/>
            </w14:solidFill>
          </w14:textFill>
        </w:rPr>
      </w:pPr>
    </w:p>
    <w:p w14:paraId="3BDA0192">
      <w:pPr>
        <w:pageBreakBefore w:val="0"/>
        <w:kinsoku/>
        <w:wordWrap/>
        <w:overflowPunct/>
        <w:topLinePunct w:val="0"/>
        <w:bidi w:val="0"/>
        <w:snapToGrid/>
        <w:spacing w:line="380" w:lineRule="exact"/>
        <w:ind w:firstLine="640" w:firstLineChars="200"/>
        <w:textAlignment w:val="auto"/>
        <w:rPr>
          <w:rFonts w:hint="eastAsia" w:ascii="宋体" w:hAnsi="宋体" w:eastAsia="宋体" w:cs="宋体"/>
          <w:color w:val="000000" w:themeColor="text1"/>
          <w:sz w:val="32"/>
          <w:szCs w:val="32"/>
          <w:highlight w:val="none"/>
          <w:lang w:eastAsia="zh-CN"/>
          <w14:textFill>
            <w14:solidFill>
              <w14:schemeClr w14:val="tx1"/>
            </w14:solidFill>
          </w14:textFill>
        </w:rPr>
      </w:pPr>
      <w:r>
        <w:rPr>
          <w:rFonts w:hint="eastAsia" w:ascii="宋体" w:hAnsi="宋体" w:eastAsia="宋体" w:cs="宋体"/>
          <w:color w:val="000000" w:themeColor="text1"/>
          <w:sz w:val="32"/>
          <w:szCs w:val="32"/>
          <w:highlight w:val="none"/>
          <w:lang w:eastAsia="zh-CN"/>
          <w14:textFill>
            <w14:solidFill>
              <w14:schemeClr w14:val="tx1"/>
            </w14:solidFill>
          </w14:textFill>
        </w:rPr>
        <w:br w:type="page"/>
      </w:r>
    </w:p>
    <w:p w14:paraId="737A4F56">
      <w:pPr>
        <w:pStyle w:val="3"/>
        <w:keepLines w:val="0"/>
        <w:pageBreakBefore w:val="0"/>
        <w:widowControl w:val="0"/>
        <w:numPr>
          <w:ilvl w:val="0"/>
          <w:numId w:val="0"/>
        </w:numPr>
        <w:kinsoku/>
        <w:wordWrap/>
        <w:overflowPunct/>
        <w:topLinePunct w:val="0"/>
        <w:bidi w:val="0"/>
        <w:adjustRightInd/>
        <w:snapToGrid/>
        <w:spacing w:line="480" w:lineRule="exact"/>
        <w:jc w:val="center"/>
        <w:textAlignment w:val="auto"/>
        <w:rPr>
          <w:rFonts w:hint="eastAsia" w:ascii="宋体" w:hAnsi="宋体" w:eastAsia="宋体" w:cs="宋体"/>
          <w:color w:val="000000" w:themeColor="text1"/>
          <w:sz w:val="32"/>
          <w:szCs w:val="32"/>
          <w:highlight w:val="none"/>
          <w:lang w:eastAsia="zh-CN"/>
          <w14:textFill>
            <w14:solidFill>
              <w14:schemeClr w14:val="tx1"/>
            </w14:solidFill>
          </w14:textFill>
        </w:rPr>
      </w:pPr>
      <w:r>
        <w:rPr>
          <w:rFonts w:hint="eastAsia" w:ascii="宋体" w:hAnsi="宋体" w:eastAsia="宋体" w:cs="宋体"/>
          <w:color w:val="000000" w:themeColor="text1"/>
          <w:sz w:val="32"/>
          <w:szCs w:val="32"/>
          <w:highlight w:val="none"/>
          <w:lang w:eastAsia="zh-CN"/>
          <w14:textFill>
            <w14:solidFill>
              <w14:schemeClr w14:val="tx1"/>
            </w14:solidFill>
          </w14:textFill>
        </w:rPr>
        <w:t>第二部分  投标单位须知</w:t>
      </w:r>
      <w:bookmarkEnd w:id="0"/>
      <w:bookmarkEnd w:id="1"/>
      <w:bookmarkEnd w:id="2"/>
      <w:bookmarkEnd w:id="3"/>
      <w:bookmarkEnd w:id="4"/>
    </w:p>
    <w:p w14:paraId="5C761908">
      <w:pPr>
        <w:pStyle w:val="4"/>
        <w:pageBreakBefore w:val="0"/>
        <w:kinsoku/>
        <w:overflowPunct/>
        <w:bidi w:val="0"/>
        <w:spacing w:before="0" w:after="100" w:afterAutospacing="1" w:line="480" w:lineRule="exact"/>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bookmarkStart w:id="34" w:name="_Toc527642951"/>
      <w:bookmarkStart w:id="35" w:name="_Toc349573120"/>
      <w:bookmarkStart w:id="36" w:name="_Toc349637919"/>
      <w:bookmarkStart w:id="37" w:name="_Toc298240404"/>
      <w:bookmarkStart w:id="38" w:name="_Toc267301281"/>
      <w:r>
        <w:rPr>
          <w:rFonts w:hint="eastAsia" w:ascii="宋体" w:hAnsi="宋体" w:eastAsia="宋体" w:cs="宋体"/>
          <w:color w:val="000000" w:themeColor="text1"/>
          <w:sz w:val="28"/>
          <w:szCs w:val="28"/>
          <w:highlight w:val="none"/>
          <w:lang w:eastAsia="zh-CN"/>
          <w14:textFill>
            <w14:solidFill>
              <w14:schemeClr w14:val="tx1"/>
            </w14:solidFill>
          </w14:textFill>
        </w:rPr>
        <w:t>投标单位</w:t>
      </w:r>
      <w:r>
        <w:rPr>
          <w:rFonts w:hint="eastAsia" w:ascii="宋体" w:hAnsi="宋体" w:eastAsia="宋体" w:cs="宋体"/>
          <w:color w:val="000000" w:themeColor="text1"/>
          <w:sz w:val="28"/>
          <w:szCs w:val="28"/>
          <w:highlight w:val="none"/>
          <w14:textFill>
            <w14:solidFill>
              <w14:schemeClr w14:val="tx1"/>
            </w14:solidFill>
          </w14:textFill>
        </w:rPr>
        <w:t>须知</w:t>
      </w:r>
      <w:r>
        <w:rPr>
          <w:rFonts w:hint="eastAsia" w:ascii="宋体" w:hAnsi="宋体" w:eastAsia="宋体" w:cs="宋体"/>
          <w:color w:val="000000" w:themeColor="text1"/>
          <w:sz w:val="28"/>
          <w:szCs w:val="28"/>
          <w:highlight w:val="none"/>
          <w:lang w:eastAsia="zh-CN"/>
          <w14:textFill>
            <w14:solidFill>
              <w14:schemeClr w14:val="tx1"/>
            </w14:solidFill>
          </w14:textFill>
        </w:rPr>
        <w:t>前</w:t>
      </w:r>
      <w:r>
        <w:rPr>
          <w:rFonts w:hint="eastAsia" w:ascii="宋体" w:hAnsi="宋体" w:eastAsia="宋体" w:cs="宋体"/>
          <w:color w:val="000000" w:themeColor="text1"/>
          <w:sz w:val="28"/>
          <w:szCs w:val="28"/>
          <w:highlight w:val="none"/>
          <w14:textFill>
            <w14:solidFill>
              <w14:schemeClr w14:val="tx1"/>
            </w14:solidFill>
          </w14:textFill>
        </w:rPr>
        <w:t>附表</w:t>
      </w:r>
      <w:bookmarkEnd w:id="34"/>
      <w:bookmarkEnd w:id="35"/>
      <w:bookmarkEnd w:id="36"/>
      <w:bookmarkEnd w:id="37"/>
      <w:bookmarkEnd w:id="38"/>
    </w:p>
    <w:p w14:paraId="1BD5CD5B">
      <w:pPr>
        <w:pStyle w:val="4"/>
        <w:pageBreakBefore w:val="0"/>
        <w:kinsoku/>
        <w:overflowPunct/>
        <w:bidi w:val="0"/>
        <w:spacing w:before="0" w:after="100" w:afterAutospacing="1" w:line="480" w:lineRule="exact"/>
        <w:jc w:val="both"/>
        <w:textAlignment w:val="auto"/>
        <w:rPr>
          <w:rFonts w:hint="eastAsia" w:ascii="宋体" w:hAnsi="宋体" w:eastAsia="宋体" w:cs="宋体"/>
          <w:b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color w:val="000000" w:themeColor="text1"/>
          <w:kern w:val="2"/>
          <w:sz w:val="21"/>
          <w:szCs w:val="21"/>
          <w:highlight w:val="none"/>
          <w:lang w:val="en-US" w:eastAsia="zh-CN" w:bidi="ar-SA"/>
          <w14:textFill>
            <w14:solidFill>
              <w14:schemeClr w14:val="tx1"/>
            </w14:solidFill>
          </w14:textFill>
        </w:rPr>
        <w:t>正文部分与前附表如有矛盾，以本须知前附表为准。</w:t>
      </w:r>
    </w:p>
    <w:tbl>
      <w:tblPr>
        <w:tblStyle w:val="23"/>
        <w:tblW w:w="99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2155"/>
        <w:gridCol w:w="5"/>
        <w:gridCol w:w="6964"/>
      </w:tblGrid>
      <w:tr w14:paraId="39E15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5570310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b/>
                <w:color w:val="000000" w:themeColor="text1"/>
                <w:sz w:val="21"/>
                <w:szCs w:val="21"/>
                <w:highlight w:val="none"/>
                <w:lang w:eastAsia="zh-CN"/>
                <w14:textFill>
                  <w14:solidFill>
                    <w14:schemeClr w14:val="tx1"/>
                  </w14:solidFill>
                </w14:textFill>
              </w:rPr>
              <w:t>序号</w:t>
            </w:r>
          </w:p>
        </w:tc>
        <w:tc>
          <w:tcPr>
            <w:tcW w:w="2155" w:type="dxa"/>
            <w:vAlign w:val="center"/>
          </w:tcPr>
          <w:p w14:paraId="315D425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cs="宋体"/>
                <w:b/>
                <w:color w:val="000000" w:themeColor="text1"/>
                <w:sz w:val="21"/>
                <w:szCs w:val="21"/>
                <w:highlight w:val="none"/>
                <w:lang w:eastAsia="zh-CN"/>
                <w14:textFill>
                  <w14:solidFill>
                    <w14:schemeClr w14:val="tx1"/>
                  </w14:solidFill>
                </w14:textFill>
              </w:rPr>
              <w:t>内容</w:t>
            </w:r>
          </w:p>
        </w:tc>
        <w:tc>
          <w:tcPr>
            <w:tcW w:w="6969" w:type="dxa"/>
            <w:gridSpan w:val="2"/>
            <w:vAlign w:val="center"/>
          </w:tcPr>
          <w:p w14:paraId="04548B6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编列内容规定</w:t>
            </w:r>
          </w:p>
        </w:tc>
      </w:tr>
      <w:tr w14:paraId="6061F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vAlign w:val="center"/>
          </w:tcPr>
          <w:p w14:paraId="459D66C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p>
        </w:tc>
        <w:tc>
          <w:tcPr>
            <w:tcW w:w="2155" w:type="dxa"/>
            <w:vAlign w:val="center"/>
          </w:tcPr>
          <w:p w14:paraId="1FB6BC5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招标项目</w:t>
            </w:r>
          </w:p>
        </w:tc>
        <w:tc>
          <w:tcPr>
            <w:tcW w:w="6969" w:type="dxa"/>
            <w:gridSpan w:val="2"/>
            <w:vAlign w:val="center"/>
          </w:tcPr>
          <w:p w14:paraId="49A96C39">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项目名称：</w:t>
            </w:r>
            <w:r>
              <w:rPr>
                <w:rFonts w:hint="eastAsia" w:ascii="宋体" w:hAnsi="宋体" w:cs="宋体"/>
                <w:color w:val="000000" w:themeColor="text1"/>
                <w:sz w:val="21"/>
                <w:szCs w:val="21"/>
                <w:highlight w:val="none"/>
                <w:lang w:eastAsia="zh-CN"/>
                <w14:textFill>
                  <w14:solidFill>
                    <w14:schemeClr w14:val="tx1"/>
                  </w14:solidFill>
                </w14:textFill>
              </w:rPr>
              <w:t>2025年义务教育农村校舍安全保障长效机制项目自治区资金建设项目项目</w:t>
            </w:r>
            <w:r>
              <w:rPr>
                <w:rFonts w:hint="eastAsia" w:ascii="宋体" w:hAnsi="宋体" w:cs="宋体"/>
                <w:color w:val="000000" w:themeColor="text1"/>
                <w:sz w:val="21"/>
                <w:szCs w:val="21"/>
                <w:highlight w:val="none"/>
                <w:lang w:val="en-US" w:eastAsia="zh-CN"/>
                <w14:textFill>
                  <w14:solidFill>
                    <w14:schemeClr w14:val="tx1"/>
                  </w14:solidFill>
                </w14:textFill>
              </w:rPr>
              <w:t xml:space="preserve">                                  </w:t>
            </w:r>
          </w:p>
          <w:p w14:paraId="0537630D">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default"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项目编号：glzfcg-jzxcs-2025-01</w:t>
            </w:r>
          </w:p>
        </w:tc>
      </w:tr>
      <w:tr w14:paraId="716EA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834" w:type="dxa"/>
            <w:vAlign w:val="center"/>
          </w:tcPr>
          <w:p w14:paraId="0E1325C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p>
        </w:tc>
        <w:tc>
          <w:tcPr>
            <w:tcW w:w="2155" w:type="dxa"/>
            <w:vAlign w:val="center"/>
          </w:tcPr>
          <w:p w14:paraId="0EE293F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招标范围</w:t>
            </w:r>
          </w:p>
        </w:tc>
        <w:tc>
          <w:tcPr>
            <w:tcW w:w="6969" w:type="dxa"/>
            <w:gridSpan w:val="2"/>
            <w:vAlign w:val="center"/>
          </w:tcPr>
          <w:p w14:paraId="36B63D68">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招标文件、工程量清单、答疑所示全部施工内容，包工包料。</w:t>
            </w:r>
          </w:p>
        </w:tc>
      </w:tr>
      <w:tr w14:paraId="29BAF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vAlign w:val="center"/>
          </w:tcPr>
          <w:p w14:paraId="1638E77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p>
        </w:tc>
        <w:tc>
          <w:tcPr>
            <w:tcW w:w="2155" w:type="dxa"/>
            <w:vAlign w:val="center"/>
          </w:tcPr>
          <w:p w14:paraId="42B42B2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项目地点</w:t>
            </w:r>
          </w:p>
        </w:tc>
        <w:tc>
          <w:tcPr>
            <w:tcW w:w="6969" w:type="dxa"/>
            <w:gridSpan w:val="2"/>
            <w:vAlign w:val="center"/>
          </w:tcPr>
          <w:p w14:paraId="37B147A4">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巩留县</w:t>
            </w:r>
          </w:p>
        </w:tc>
      </w:tr>
      <w:tr w14:paraId="719F3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834" w:type="dxa"/>
            <w:vAlign w:val="center"/>
          </w:tcPr>
          <w:p w14:paraId="465DD49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p>
        </w:tc>
        <w:tc>
          <w:tcPr>
            <w:tcW w:w="2155" w:type="dxa"/>
            <w:vAlign w:val="center"/>
          </w:tcPr>
          <w:p w14:paraId="0C75B94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招标方式</w:t>
            </w:r>
          </w:p>
        </w:tc>
        <w:tc>
          <w:tcPr>
            <w:tcW w:w="6969" w:type="dxa"/>
            <w:gridSpan w:val="2"/>
            <w:vAlign w:val="center"/>
          </w:tcPr>
          <w:p w14:paraId="416C831C">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竞争性磋商</w:t>
            </w:r>
          </w:p>
        </w:tc>
      </w:tr>
      <w:tr w14:paraId="11DBC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73696DB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p>
        </w:tc>
        <w:tc>
          <w:tcPr>
            <w:tcW w:w="2155" w:type="dxa"/>
            <w:vAlign w:val="center"/>
          </w:tcPr>
          <w:p w14:paraId="10F406D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建设内容及规模</w:t>
            </w:r>
          </w:p>
        </w:tc>
        <w:tc>
          <w:tcPr>
            <w:tcW w:w="6969" w:type="dxa"/>
            <w:gridSpan w:val="2"/>
            <w:vAlign w:val="center"/>
          </w:tcPr>
          <w:p w14:paraId="61AC9CF6">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巩留县乡镇9所学校实施屋面防水、校园供电、供水、供暖管道维修、更换暖气片暖气设备维修及围墙维修等；（详细工程量清单）。</w:t>
            </w:r>
          </w:p>
        </w:tc>
      </w:tr>
      <w:tr w14:paraId="32D77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 w:hRule="atLeast"/>
        </w:trPr>
        <w:tc>
          <w:tcPr>
            <w:tcW w:w="834" w:type="dxa"/>
            <w:vAlign w:val="center"/>
          </w:tcPr>
          <w:p w14:paraId="7400665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6</w:t>
            </w:r>
          </w:p>
        </w:tc>
        <w:tc>
          <w:tcPr>
            <w:tcW w:w="2155" w:type="dxa"/>
            <w:vAlign w:val="center"/>
          </w:tcPr>
          <w:p w14:paraId="352DFB7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工期、质量</w:t>
            </w:r>
            <w:r>
              <w:rPr>
                <w:rFonts w:hint="eastAsia" w:ascii="宋体" w:hAnsi="宋体" w:cs="宋体"/>
                <w:color w:val="000000" w:themeColor="text1"/>
                <w:sz w:val="21"/>
                <w:szCs w:val="21"/>
                <w:highlight w:val="none"/>
                <w:lang w:eastAsia="zh-CN"/>
                <w14:textFill>
                  <w14:solidFill>
                    <w14:schemeClr w14:val="tx1"/>
                  </w14:solidFill>
                </w14:textFill>
              </w:rPr>
              <w:t>标准</w:t>
            </w:r>
          </w:p>
        </w:tc>
        <w:tc>
          <w:tcPr>
            <w:tcW w:w="6969" w:type="dxa"/>
            <w:gridSpan w:val="2"/>
            <w:vAlign w:val="center"/>
          </w:tcPr>
          <w:p w14:paraId="1FD4423B">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计划开竣工日期：2025年04月02日至2025年06 月 20 日（计划工期为80日历天）</w:t>
            </w:r>
          </w:p>
          <w:p w14:paraId="5DAF405A">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质量标准：合格</w:t>
            </w:r>
          </w:p>
        </w:tc>
      </w:tr>
      <w:tr w14:paraId="29355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vAlign w:val="center"/>
          </w:tcPr>
          <w:p w14:paraId="22E6EC8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7</w:t>
            </w:r>
          </w:p>
        </w:tc>
        <w:tc>
          <w:tcPr>
            <w:tcW w:w="2155" w:type="dxa"/>
            <w:vAlign w:val="center"/>
          </w:tcPr>
          <w:p w14:paraId="11DF199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招标人</w:t>
            </w:r>
          </w:p>
        </w:tc>
        <w:tc>
          <w:tcPr>
            <w:tcW w:w="6969" w:type="dxa"/>
            <w:gridSpan w:val="2"/>
            <w:vAlign w:val="center"/>
          </w:tcPr>
          <w:p w14:paraId="7E0F54D1">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default" w:ascii="宋体" w:hAnsi="宋体" w:cs="宋体"/>
                <w:color w:val="000000" w:themeColor="text1"/>
                <w:sz w:val="21"/>
                <w:szCs w:val="21"/>
                <w:highlight w:val="none"/>
                <w:lang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名称：</w:t>
            </w:r>
            <w:r>
              <w:rPr>
                <w:rFonts w:hint="eastAsia" w:ascii="宋体" w:hAnsi="宋体" w:cs="宋体"/>
                <w:color w:val="000000" w:themeColor="text1"/>
                <w:sz w:val="21"/>
                <w:szCs w:val="21"/>
                <w:highlight w:val="none"/>
                <w:lang w:eastAsia="zh-CN"/>
                <w14:textFill>
                  <w14:solidFill>
                    <w14:schemeClr w14:val="tx1"/>
                  </w14:solidFill>
                </w14:textFill>
              </w:rPr>
              <w:t>巩留县教育局</w:t>
            </w:r>
          </w:p>
          <w:p w14:paraId="34C6D3A0">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 xml:space="preserve">联系人：别里克汗 </w:t>
            </w:r>
          </w:p>
          <w:p w14:paraId="31802266">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联系电话：13899766957</w:t>
            </w:r>
          </w:p>
        </w:tc>
      </w:tr>
      <w:tr w14:paraId="1CB95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trPr>
        <w:tc>
          <w:tcPr>
            <w:tcW w:w="834" w:type="dxa"/>
            <w:vAlign w:val="center"/>
          </w:tcPr>
          <w:p w14:paraId="0393C5D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8</w:t>
            </w:r>
          </w:p>
        </w:tc>
        <w:tc>
          <w:tcPr>
            <w:tcW w:w="2155" w:type="dxa"/>
            <w:vAlign w:val="center"/>
          </w:tcPr>
          <w:p w14:paraId="76F2CA8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招标代理机构</w:t>
            </w:r>
          </w:p>
        </w:tc>
        <w:tc>
          <w:tcPr>
            <w:tcW w:w="6969" w:type="dxa"/>
            <w:gridSpan w:val="2"/>
            <w:vAlign w:val="center"/>
          </w:tcPr>
          <w:p w14:paraId="46EA0A71">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名称：巩留县政府采购中心</w:t>
            </w:r>
          </w:p>
          <w:p w14:paraId="75D3B6DD">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地址：巩留县</w:t>
            </w:r>
          </w:p>
          <w:p w14:paraId="3E581A6B">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 xml:space="preserve">联 系 人：吴主任   </w:t>
            </w:r>
          </w:p>
          <w:p w14:paraId="702C312F">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 xml:space="preserve">电    话：17590398738    </w:t>
            </w:r>
          </w:p>
        </w:tc>
      </w:tr>
      <w:tr w14:paraId="509C1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3285C35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9</w:t>
            </w:r>
          </w:p>
        </w:tc>
        <w:tc>
          <w:tcPr>
            <w:tcW w:w="2155" w:type="dxa"/>
            <w:vAlign w:val="center"/>
          </w:tcPr>
          <w:p w14:paraId="0697AAB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eastAsia="zh-CN"/>
                <w14:textFill>
                  <w14:solidFill>
                    <w14:schemeClr w14:val="tx1"/>
                  </w14:solidFill>
                </w14:textFill>
              </w:rPr>
              <w:t>投标</w:t>
            </w:r>
            <w:r>
              <w:rPr>
                <w:rFonts w:hint="eastAsia" w:ascii="宋体" w:hAnsi="宋体" w:eastAsia="宋体" w:cs="宋体"/>
                <w:bCs/>
                <w:color w:val="000000" w:themeColor="text1"/>
                <w:sz w:val="21"/>
                <w:szCs w:val="21"/>
                <w:highlight w:val="none"/>
                <w14:textFill>
                  <w14:solidFill>
                    <w14:schemeClr w14:val="tx1"/>
                  </w14:solidFill>
                </w14:textFill>
              </w:rPr>
              <w:t>单位</w:t>
            </w:r>
          </w:p>
          <w:p w14:paraId="0FD3008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资格条件</w:t>
            </w:r>
          </w:p>
        </w:tc>
        <w:tc>
          <w:tcPr>
            <w:tcW w:w="6969" w:type="dxa"/>
            <w:gridSpan w:val="2"/>
            <w:vAlign w:val="center"/>
          </w:tcPr>
          <w:p w14:paraId="5AF96DD3">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供应商为</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新疆政府采购网（http://www.ccgp-xinjiang.gov.cn/）</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正式供应商。</w:t>
            </w:r>
          </w:p>
          <w:p w14:paraId="076FE328">
            <w:pP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b/>
                <w:bCs/>
                <w:color w:val="000000" w:themeColor="text1"/>
                <w:sz w:val="21"/>
                <w:szCs w:val="21"/>
                <w:highlight w:val="none"/>
                <w:lang w:eastAsia="zh-CN"/>
                <w14:textFill>
                  <w14:solidFill>
                    <w14:schemeClr w14:val="tx1"/>
                  </w14:solidFill>
                </w14:textFill>
              </w:rPr>
              <w:t>资质条件：</w:t>
            </w:r>
            <w:r>
              <w:rPr>
                <w:rFonts w:hint="eastAsia" w:ascii="宋体" w:hAnsi="宋体" w:eastAsia="宋体" w:cs="宋体"/>
                <w:color w:val="000000" w:themeColor="text1"/>
                <w:sz w:val="21"/>
                <w:szCs w:val="21"/>
                <w:highlight w:val="none"/>
                <w:lang w:eastAsia="zh-CN"/>
                <w14:textFill>
                  <w14:solidFill>
                    <w14:schemeClr w14:val="tx1"/>
                  </w14:solidFill>
                </w14:textFill>
              </w:rPr>
              <w:t>须具备</w:t>
            </w:r>
            <w:r>
              <w:rPr>
                <w:rFonts w:hint="eastAsia" w:ascii="宋体" w:hAnsi="宋体" w:cs="宋体"/>
                <w:color w:val="000000" w:themeColor="text1"/>
                <w:sz w:val="21"/>
                <w:szCs w:val="21"/>
                <w:highlight w:val="none"/>
                <w:lang w:eastAsia="zh-CN"/>
                <w14:textFill>
                  <w14:solidFill>
                    <w14:schemeClr w14:val="tx1"/>
                  </w14:solidFill>
                </w14:textFill>
              </w:rPr>
              <w:t>建筑工程施工总承包贰级贰级及以上</w:t>
            </w:r>
            <w:r>
              <w:rPr>
                <w:rFonts w:hint="eastAsia" w:ascii="宋体" w:hAnsi="宋体" w:eastAsia="宋体" w:cs="宋体"/>
                <w:color w:val="000000" w:themeColor="text1"/>
                <w:sz w:val="21"/>
                <w:szCs w:val="21"/>
                <w:highlight w:val="none"/>
                <w:lang w:eastAsia="zh-CN"/>
                <w14:textFill>
                  <w14:solidFill>
                    <w14:schemeClr w14:val="tx1"/>
                  </w14:solidFill>
                </w14:textFill>
              </w:rPr>
              <w:t>等级的施工企业，并在人员、设备、资金等方面具有相应的施工能力，具备在有效期限内的安全生产许可证；</w:t>
            </w:r>
            <w:r>
              <w:rPr>
                <w:rFonts w:hint="default" w:ascii="宋体" w:hAnsi="宋体" w:eastAsia="宋体" w:cs="宋体"/>
                <w:color w:val="000000" w:themeColor="text1"/>
                <w:sz w:val="21"/>
                <w:szCs w:val="21"/>
                <w:highlight w:val="none"/>
                <w:lang w:val="en-US" w:eastAsia="zh-CN"/>
                <w14:textFill>
                  <w14:solidFill>
                    <w14:schemeClr w14:val="tx1"/>
                  </w14:solidFill>
                </w14:textFill>
              </w:rPr>
              <w:t>自治区区外企业须在</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default" w:ascii="宋体" w:hAnsi="宋体" w:eastAsia="宋体" w:cs="宋体"/>
                <w:color w:val="000000" w:themeColor="text1"/>
                <w:sz w:val="21"/>
                <w:szCs w:val="21"/>
                <w:highlight w:val="none"/>
                <w:lang w:val="en-US" w:eastAsia="zh-CN"/>
                <w14:textFill>
                  <w14:solidFill>
                    <w14:schemeClr w14:val="tx1"/>
                  </w14:solidFill>
                </w14:textFill>
              </w:rPr>
              <w:t>新疆工程建设云管理系统</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default" w:ascii="宋体" w:hAnsi="宋体" w:eastAsia="宋体" w:cs="宋体"/>
                <w:color w:val="000000" w:themeColor="text1"/>
                <w:sz w:val="21"/>
                <w:szCs w:val="21"/>
                <w:highlight w:val="none"/>
                <w:lang w:val="en-US" w:eastAsia="zh-CN"/>
                <w14:textFill>
                  <w14:solidFill>
                    <w14:schemeClr w14:val="tx1"/>
                  </w14:solidFill>
                </w14:textFill>
              </w:rPr>
              <w:t>报送通过。</w:t>
            </w:r>
          </w:p>
          <w:p w14:paraId="45FAD2AA">
            <w:pP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lang w:eastAsia="zh-CN"/>
                <w14:textFill>
                  <w14:solidFill>
                    <w14:schemeClr w14:val="tx1"/>
                  </w14:solidFill>
                </w14:textFill>
              </w:rPr>
              <w:t>财务要求：</w:t>
            </w:r>
            <w:r>
              <w:rPr>
                <w:rFonts w:hint="eastAsia" w:cs="Times New Roman"/>
                <w:color w:val="000000" w:themeColor="text1"/>
                <w:szCs w:val="21"/>
                <w:highlight w:val="none"/>
                <w:lang w:val="en-US" w:eastAsia="zh-CN"/>
                <w14:textFill>
                  <w14:solidFill>
                    <w14:schemeClr w14:val="tx1"/>
                  </w14:solidFill>
                </w14:textFill>
              </w:rPr>
              <w:t>提供2023年度审计报告或财务报表</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w:t>
            </w:r>
            <w:r>
              <w:rPr>
                <w:rFonts w:hint="eastAsia" w:cs="Times New Roman"/>
                <w:color w:val="000000" w:themeColor="text1"/>
                <w:szCs w:val="21"/>
                <w:highlight w:val="none"/>
                <w:lang w:val="en-US" w:eastAsia="zh-CN"/>
                <w14:textFill>
                  <w14:solidFill>
                    <w14:schemeClr w14:val="tx1"/>
                  </w14:solidFill>
                </w14:textFill>
              </w:rPr>
              <w:t>新公司</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以营业执照发放日期为准</w:t>
            </w:r>
            <w:r>
              <w:rPr>
                <w:rFonts w:hint="eastAsia" w:ascii="Times New Roman" w:hAnsi="Times New Roman" w:eastAsia="宋体" w:cs="Times New Roman"/>
                <w:color w:val="000000" w:themeColor="text1"/>
                <w:szCs w:val="21"/>
                <w:highlight w:val="none"/>
                <w:lang w:val="en-US" w:eastAsia="zh-CN"/>
                <w14:textFill>
                  <w14:solidFill>
                    <w14:schemeClr w14:val="tx1"/>
                  </w14:solidFill>
                </w14:textFill>
              </w:rPr>
              <w:t>。</w:t>
            </w:r>
          </w:p>
          <w:p w14:paraId="701D97C1">
            <w:pP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b/>
                <w:bCs/>
                <w:color w:val="000000" w:themeColor="text1"/>
                <w:sz w:val="21"/>
                <w:szCs w:val="21"/>
                <w:highlight w:val="none"/>
                <w:lang w:eastAsia="zh-CN"/>
                <w14:textFill>
                  <w14:solidFill>
                    <w14:schemeClr w14:val="tx1"/>
                  </w14:solidFill>
                </w14:textFill>
              </w:rPr>
              <w:t>信誉要求：</w:t>
            </w:r>
            <w:r>
              <w:rPr>
                <w:rFonts w:hint="eastAsia"/>
                <w:color w:val="000000" w:themeColor="text1"/>
                <w:spacing w:val="-3"/>
                <w:sz w:val="21"/>
                <w:highlight w:val="none"/>
                <w:lang w:val="en-US" w:eastAsia="zh-CN"/>
                <w14:textFill>
                  <w14:solidFill>
                    <w14:schemeClr w14:val="tx1"/>
                  </w14:solidFill>
                </w14:textFill>
              </w:rPr>
              <w:t>良好，近三年招投标相关活动中无不良行为记录（不良行为记录是指：施工企业发生较大生产安全事故、重大质量事故的；在招标投标过程中因串通投标、围标等违规行为被县级及以上建设行政主管部门处罚或通报的；因拖欠民工工资被县级及以上建设行政主管部门通报的；发生一般安全事故、一般质量事故及违反强制性标准被县级及以上建设行政主管部门处罚或通报的）。</w:t>
            </w:r>
          </w:p>
          <w:p w14:paraId="5B1BC5DB">
            <w:pPr>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b/>
                <w:bCs/>
                <w:color w:val="000000" w:themeColor="text1"/>
                <w:sz w:val="21"/>
                <w:szCs w:val="21"/>
                <w:highlight w:val="none"/>
                <w:lang w:eastAsia="zh-CN"/>
                <w14:textFill>
                  <w14:solidFill>
                    <w14:schemeClr w14:val="tx1"/>
                  </w14:solidFill>
                </w14:textFill>
              </w:rPr>
              <w:t>人员要求：</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lang w:eastAsia="zh-CN"/>
                <w14:textFill>
                  <w14:solidFill>
                    <w14:schemeClr w14:val="tx1"/>
                  </w14:solidFill>
                </w14:textFill>
              </w:rPr>
              <w:t>项目负责人资格：须具备</w:t>
            </w:r>
            <w:r>
              <w:rPr>
                <w:rFonts w:hint="eastAsia" w:ascii="宋体" w:hAnsi="宋体" w:cs="宋体"/>
                <w:color w:val="000000" w:themeColor="text1"/>
                <w:sz w:val="21"/>
                <w:szCs w:val="21"/>
                <w:highlight w:val="none"/>
                <w:lang w:val="en-US" w:eastAsia="zh-CN"/>
                <w14:textFill>
                  <w14:solidFill>
                    <w14:schemeClr w14:val="tx1"/>
                  </w14:solidFill>
                </w14:textFill>
              </w:rPr>
              <w:t>建筑</w:t>
            </w:r>
            <w:r>
              <w:rPr>
                <w:rFonts w:hint="eastAsia" w:ascii="宋体" w:hAnsi="宋体" w:eastAsia="宋体" w:cs="宋体"/>
                <w:color w:val="000000" w:themeColor="text1"/>
                <w:sz w:val="21"/>
                <w:szCs w:val="21"/>
                <w:highlight w:val="none"/>
                <w:lang w:eastAsia="zh-CN"/>
                <w14:textFill>
                  <w14:solidFill>
                    <w14:schemeClr w14:val="tx1"/>
                  </w14:solidFill>
                </w14:textFill>
              </w:rPr>
              <w:t>工程专业二级及以上注册建造师执业资格，具备有效的安全生产考核合格证书</w:t>
            </w:r>
            <w:r>
              <w:rPr>
                <w:rFonts w:hint="eastAsia" w:ascii="宋体" w:hAnsi="宋体" w:cs="宋体"/>
                <w:color w:val="000000" w:themeColor="text1"/>
                <w:sz w:val="21"/>
                <w:szCs w:val="21"/>
                <w:highlight w:val="none"/>
                <w:lang w:eastAsia="zh-CN"/>
                <w14:textFill>
                  <w14:solidFill>
                    <w14:schemeClr w14:val="tx1"/>
                  </w14:solidFill>
                </w14:textFill>
              </w:rPr>
              <w:t>（</w:t>
            </w:r>
            <w:r>
              <w:rPr>
                <w:rFonts w:hint="default" w:ascii="宋体" w:hAnsi="宋体" w:cs="宋体"/>
                <w:color w:val="000000" w:themeColor="text1"/>
                <w:sz w:val="21"/>
                <w:szCs w:val="21"/>
                <w:highlight w:val="none"/>
                <w:lang w:val="en-US" w:eastAsia="zh-CN"/>
                <w14:textFill>
                  <w14:solidFill>
                    <w14:schemeClr w14:val="tx1"/>
                  </w14:solidFill>
                </w14:textFill>
              </w:rPr>
              <w:t>B证</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lang w:eastAsia="zh-CN"/>
                <w14:textFill>
                  <w14:solidFill>
                    <w14:schemeClr w14:val="tx1"/>
                  </w14:solidFill>
                </w14:textFill>
              </w:rPr>
              <w:t>，且未担任其他在施建设工程项目</w:t>
            </w:r>
            <w:r>
              <w:rPr>
                <w:rFonts w:hint="eastAsia" w:ascii="宋体" w:hAnsi="宋体" w:cs="宋体"/>
                <w:color w:val="000000" w:themeColor="text1"/>
                <w:sz w:val="21"/>
                <w:szCs w:val="21"/>
                <w:highlight w:val="none"/>
                <w:lang w:val="en-US" w:eastAsia="zh-CN"/>
                <w14:textFill>
                  <w14:solidFill>
                    <w14:schemeClr w14:val="tx1"/>
                  </w14:solidFill>
                </w14:textFill>
              </w:rPr>
              <w:t>的项目负责人</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lang w:eastAsia="zh-CN"/>
                <w14:textFill>
                  <w14:solidFill>
                    <w14:schemeClr w14:val="tx1"/>
                  </w14:solidFill>
                </w14:textFill>
              </w:rPr>
              <w:t>其他管理人员由投标人根据工程管理需要配备。</w:t>
            </w:r>
          </w:p>
          <w:p w14:paraId="51D78F5A">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lang w:eastAsia="zh-CN"/>
                <w14:textFill>
                  <w14:solidFill>
                    <w14:schemeClr w14:val="tx1"/>
                  </w14:solidFill>
                </w14:textFill>
              </w:rPr>
              <w:t>其他要求：</w:t>
            </w:r>
            <w:r>
              <w:rPr>
                <w:rFonts w:hint="eastAsia" w:ascii="宋体" w:hAnsi="宋体" w:cs="宋体"/>
                <w:color w:val="000000" w:themeColor="text1"/>
                <w:sz w:val="21"/>
                <w:szCs w:val="21"/>
                <w:highlight w:val="none"/>
                <w:lang w:val="en-US" w:eastAsia="zh-CN"/>
                <w14:textFill>
                  <w14:solidFill>
                    <w14:schemeClr w14:val="tx1"/>
                  </w14:solidFill>
                </w14:textFill>
              </w:rPr>
              <w:t>1、提供项目负责人及项目班组人员在本单位近六个月缴纳社保证明文件；2、</w:t>
            </w:r>
            <w:r>
              <w:rPr>
                <w:rFonts w:hint="eastAsia" w:ascii="宋体" w:hAnsi="宋体" w:cs="宋体"/>
                <w:color w:val="000000" w:themeColor="text1"/>
                <w:sz w:val="21"/>
                <w:szCs w:val="21"/>
                <w:highlight w:val="none"/>
                <w:lang w:val="hr-HR" w:eastAsia="zh-CN"/>
                <w14:textFill>
                  <w14:solidFill>
                    <w14:schemeClr w14:val="tx1"/>
                  </w14:solidFill>
                </w14:textFill>
              </w:rPr>
              <w:t>单位负责人为同一人或者存在直接控股、管理关系的不同供应商不得参加同一合同项下的政府采购活动。</w:t>
            </w:r>
          </w:p>
        </w:tc>
      </w:tr>
      <w:tr w14:paraId="16705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388C154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10</w:t>
            </w:r>
          </w:p>
        </w:tc>
        <w:tc>
          <w:tcPr>
            <w:tcW w:w="2155" w:type="dxa"/>
            <w:vAlign w:val="center"/>
          </w:tcPr>
          <w:p w14:paraId="3973AA2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联合体形式</w:t>
            </w:r>
          </w:p>
        </w:tc>
        <w:tc>
          <w:tcPr>
            <w:tcW w:w="6969" w:type="dxa"/>
            <w:gridSpan w:val="2"/>
            <w:vAlign w:val="center"/>
          </w:tcPr>
          <w:p w14:paraId="0697E1AE">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不接受</w:t>
            </w:r>
          </w:p>
        </w:tc>
      </w:tr>
      <w:tr w14:paraId="4D81B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037BF43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11</w:t>
            </w:r>
          </w:p>
        </w:tc>
        <w:tc>
          <w:tcPr>
            <w:tcW w:w="2155" w:type="dxa"/>
            <w:vAlign w:val="center"/>
          </w:tcPr>
          <w:p w14:paraId="2667E95F">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对联合体各方的要求</w:t>
            </w:r>
          </w:p>
        </w:tc>
        <w:tc>
          <w:tcPr>
            <w:tcW w:w="6969" w:type="dxa"/>
            <w:gridSpan w:val="2"/>
            <w:vAlign w:val="center"/>
          </w:tcPr>
          <w:p w14:paraId="45A85019">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无</w:t>
            </w:r>
          </w:p>
        </w:tc>
      </w:tr>
      <w:tr w14:paraId="0856E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34" w:type="dxa"/>
            <w:vAlign w:val="center"/>
          </w:tcPr>
          <w:p w14:paraId="3FE8517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12</w:t>
            </w:r>
          </w:p>
        </w:tc>
        <w:tc>
          <w:tcPr>
            <w:tcW w:w="2155" w:type="dxa"/>
            <w:vAlign w:val="center"/>
          </w:tcPr>
          <w:p w14:paraId="4ADB6C7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现场勘察</w:t>
            </w:r>
          </w:p>
        </w:tc>
        <w:tc>
          <w:tcPr>
            <w:tcW w:w="6969" w:type="dxa"/>
            <w:gridSpan w:val="2"/>
            <w:vAlign w:val="center"/>
          </w:tcPr>
          <w:p w14:paraId="2E6F0003">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不组织</w:t>
            </w:r>
          </w:p>
        </w:tc>
      </w:tr>
      <w:tr w14:paraId="05F91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834" w:type="dxa"/>
            <w:vAlign w:val="center"/>
          </w:tcPr>
          <w:p w14:paraId="2A71F77C">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13</w:t>
            </w:r>
          </w:p>
        </w:tc>
        <w:tc>
          <w:tcPr>
            <w:tcW w:w="2155" w:type="dxa"/>
            <w:vAlign w:val="center"/>
          </w:tcPr>
          <w:p w14:paraId="449A7B9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分包</w:t>
            </w:r>
          </w:p>
        </w:tc>
        <w:tc>
          <w:tcPr>
            <w:tcW w:w="6969" w:type="dxa"/>
            <w:gridSpan w:val="2"/>
            <w:vAlign w:val="center"/>
          </w:tcPr>
          <w:p w14:paraId="6B2C25B9">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不允许</w:t>
            </w:r>
          </w:p>
        </w:tc>
      </w:tr>
      <w:tr w14:paraId="3D8CE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vAlign w:val="center"/>
          </w:tcPr>
          <w:p w14:paraId="7B52960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14</w:t>
            </w:r>
          </w:p>
        </w:tc>
        <w:tc>
          <w:tcPr>
            <w:tcW w:w="2155" w:type="dxa"/>
            <w:vAlign w:val="center"/>
          </w:tcPr>
          <w:p w14:paraId="39C9FEE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磋商</w:t>
            </w:r>
            <w:r>
              <w:rPr>
                <w:rFonts w:hint="eastAsia" w:ascii="宋体" w:hAnsi="宋体" w:eastAsia="宋体" w:cs="宋体"/>
                <w:color w:val="000000" w:themeColor="text1"/>
                <w:sz w:val="21"/>
                <w:szCs w:val="21"/>
                <w:highlight w:val="none"/>
                <w14:textFill>
                  <w14:solidFill>
                    <w14:schemeClr w14:val="tx1"/>
                  </w14:solidFill>
                </w14:textFill>
              </w:rPr>
              <w:t>文件的可能实质性变动内容</w:t>
            </w:r>
          </w:p>
        </w:tc>
        <w:tc>
          <w:tcPr>
            <w:tcW w:w="6969" w:type="dxa"/>
            <w:gridSpan w:val="2"/>
            <w:vAlign w:val="center"/>
          </w:tcPr>
          <w:p w14:paraId="33B24111">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如</w:t>
            </w:r>
            <w:r>
              <w:rPr>
                <w:rFonts w:hint="eastAsia" w:ascii="宋体" w:hAnsi="宋体" w:eastAsia="宋体" w:cs="宋体"/>
                <w:color w:val="000000" w:themeColor="text1"/>
                <w:sz w:val="21"/>
                <w:szCs w:val="21"/>
                <w:highlight w:val="none"/>
                <w:lang w:val="en-US"/>
                <w14:textFill>
                  <w14:solidFill>
                    <w14:schemeClr w14:val="tx1"/>
                  </w14:solidFill>
                </w14:textFill>
              </w:rPr>
              <w:t>磋商文件进行修改，在提交</w:t>
            </w:r>
            <w:r>
              <w:rPr>
                <w:rFonts w:hint="default" w:ascii="宋体" w:hAnsi="宋体" w:eastAsia="宋体" w:cs="宋体"/>
                <w:color w:val="000000" w:themeColor="text1"/>
                <w:sz w:val="21"/>
                <w:szCs w:val="21"/>
                <w:highlight w:val="none"/>
                <w:lang w:val="en-US"/>
                <w14:textFill>
                  <w14:solidFill>
                    <w14:schemeClr w14:val="tx1"/>
                  </w14:solidFill>
                </w14:textFill>
              </w:rPr>
              <w:t>响应文件截止之日</w:t>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default" w:ascii="宋体" w:hAnsi="宋体" w:eastAsia="宋体" w:cs="宋体"/>
                <w:color w:val="000000" w:themeColor="text1"/>
                <w:sz w:val="21"/>
                <w:szCs w:val="21"/>
                <w:highlight w:val="none"/>
                <w:lang w:val="en-US" w:eastAsia="zh-CN"/>
                <w14:textFill>
                  <w14:solidFill>
                    <w14:schemeClr w14:val="tx1"/>
                  </w14:solidFill>
                </w14:textFill>
              </w:rPr>
              <w:t>个工作</w:t>
            </w:r>
            <w:r>
              <w:rPr>
                <w:rFonts w:hint="eastAsia" w:ascii="宋体" w:hAnsi="宋体" w:eastAsia="宋体" w:cs="宋体"/>
                <w:color w:val="000000" w:themeColor="text1"/>
                <w:sz w:val="21"/>
                <w:szCs w:val="21"/>
                <w:highlight w:val="none"/>
                <w:lang w:val="en-US"/>
                <w14:textFill>
                  <w14:solidFill>
                    <w14:schemeClr w14:val="tx1"/>
                  </w14:solidFill>
                </w14:textFill>
              </w:rPr>
              <w:t>日前</w:t>
            </w:r>
            <w:r>
              <w:rPr>
                <w:rFonts w:hint="eastAsia" w:ascii="宋体" w:hAnsi="宋体" w:eastAsia="宋体" w:cs="宋体"/>
                <w:color w:val="000000" w:themeColor="text1"/>
                <w:sz w:val="21"/>
                <w:szCs w:val="21"/>
                <w:highlight w:val="none"/>
                <w:lang w:val="en-US" w:eastAsia="zh-CN"/>
                <w14:textFill>
                  <w14:solidFill>
                    <w14:schemeClr w14:val="tx1"/>
                  </w14:solidFill>
                </w14:textFill>
              </w:rPr>
              <w:t>在新疆政府采购网</w:t>
            </w:r>
            <w:r>
              <w:rPr>
                <w:rFonts w:hint="default" w:ascii="宋体" w:hAnsi="宋体" w:eastAsia="宋体" w:cs="宋体"/>
                <w:color w:val="000000" w:themeColor="text1"/>
                <w:sz w:val="21"/>
                <w:szCs w:val="21"/>
                <w:highlight w:val="none"/>
                <w:lang w:val="en-US"/>
                <w14:textFill>
                  <w14:solidFill>
                    <w14:schemeClr w14:val="tx1"/>
                  </w14:solidFill>
                </w14:textFill>
              </w:rPr>
              <w:t>发布澄清公告</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p>
        </w:tc>
      </w:tr>
      <w:tr w14:paraId="6160A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590CF36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16</w:t>
            </w:r>
          </w:p>
        </w:tc>
        <w:tc>
          <w:tcPr>
            <w:tcW w:w="2155" w:type="dxa"/>
            <w:vAlign w:val="center"/>
          </w:tcPr>
          <w:p w14:paraId="5579A95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响应文件</w:t>
            </w:r>
          </w:p>
          <w:p w14:paraId="5B481DD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有效期</w:t>
            </w:r>
          </w:p>
        </w:tc>
        <w:tc>
          <w:tcPr>
            <w:tcW w:w="6969" w:type="dxa"/>
            <w:gridSpan w:val="2"/>
            <w:vAlign w:val="center"/>
          </w:tcPr>
          <w:p w14:paraId="10058CE3">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u w:val="single"/>
                <w14:textFill>
                  <w14:solidFill>
                    <w14:schemeClr w14:val="tx1"/>
                  </w14:solidFill>
                </w14:textFill>
              </w:rPr>
              <w:t>60</w:t>
            </w:r>
            <w:r>
              <w:rPr>
                <w:rFonts w:hint="eastAsia" w:ascii="宋体" w:hAnsi="宋体" w:eastAsia="宋体" w:cs="宋体"/>
                <w:color w:val="000000" w:themeColor="text1"/>
                <w:sz w:val="21"/>
                <w:szCs w:val="21"/>
                <w:highlight w:val="none"/>
                <w14:textFill>
                  <w14:solidFill>
                    <w14:schemeClr w14:val="tx1"/>
                  </w14:solidFill>
                </w14:textFill>
              </w:rPr>
              <w:t>日（日历日）</w:t>
            </w:r>
          </w:p>
        </w:tc>
      </w:tr>
      <w:tr w14:paraId="0EACC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5" w:hRule="atLeast"/>
        </w:trPr>
        <w:tc>
          <w:tcPr>
            <w:tcW w:w="834" w:type="dxa"/>
            <w:vAlign w:val="center"/>
          </w:tcPr>
          <w:p w14:paraId="03BD85C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17</w:t>
            </w:r>
          </w:p>
        </w:tc>
        <w:tc>
          <w:tcPr>
            <w:tcW w:w="2155" w:type="dxa"/>
            <w:vAlign w:val="center"/>
          </w:tcPr>
          <w:p w14:paraId="27AAF31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响应</w:t>
            </w:r>
            <w:r>
              <w:rPr>
                <w:rFonts w:hint="eastAsia" w:ascii="宋体" w:hAnsi="宋体" w:eastAsia="宋体" w:cs="宋体"/>
                <w:color w:val="000000" w:themeColor="text1"/>
                <w:sz w:val="21"/>
                <w:szCs w:val="21"/>
                <w:highlight w:val="none"/>
                <w14:textFill>
                  <w14:solidFill>
                    <w14:schemeClr w14:val="tx1"/>
                  </w14:solidFill>
                </w14:textFill>
              </w:rPr>
              <w:t>文件份数</w:t>
            </w:r>
          </w:p>
        </w:tc>
        <w:tc>
          <w:tcPr>
            <w:tcW w:w="6969" w:type="dxa"/>
            <w:gridSpan w:val="2"/>
            <w:vAlign w:val="center"/>
          </w:tcPr>
          <w:p w14:paraId="7B35E3AC">
            <w:pPr>
              <w:pStyle w:val="12"/>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cs="Times New Roman"/>
                <w:color w:val="000000" w:themeColor="text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eastAsia="zh-CN"/>
                <w14:textFill>
                  <w14:solidFill>
                    <w14:schemeClr w14:val="tx1"/>
                  </w14:solidFill>
                </w14:textFill>
              </w:rPr>
              <w:t>份数要求</w:t>
            </w:r>
            <w:r>
              <w:rPr>
                <w:rFonts w:hint="default" w:ascii="Times New Roman" w:hAnsi="Times New Roman" w:cs="Times New Roman"/>
                <w:color w:val="000000" w:themeColor="text1"/>
                <w:szCs w:val="21"/>
                <w:highlight w:val="none"/>
                <w:lang w:eastAsia="zh-CN"/>
                <w14:textFill>
                  <w14:solidFill>
                    <w14:schemeClr w14:val="tx1"/>
                  </w14:solidFill>
                </w14:textFill>
              </w:rPr>
              <w:t>：</w:t>
            </w:r>
            <w:r>
              <w:rPr>
                <w:rFonts w:hint="eastAsia" w:ascii="Times New Roman" w:hAnsi="Times New Roman" w:cs="Times New Roman"/>
                <w:color w:val="000000" w:themeColor="text1"/>
                <w:szCs w:val="21"/>
                <w:highlight w:val="none"/>
                <w:lang w:val="en-US" w:eastAsia="zh-CN"/>
                <w14:textFill>
                  <w14:solidFill>
                    <w14:schemeClr w14:val="tx1"/>
                  </w14:solidFill>
                </w14:textFill>
              </w:rPr>
              <w:t>上传</w:t>
            </w:r>
            <w:r>
              <w:rPr>
                <w:rFonts w:hint="default" w:ascii="Times New Roman" w:hAnsi="Times New Roman" w:cs="Times New Roman"/>
                <w:color w:val="000000" w:themeColor="text1"/>
                <w:highlight w:val="none"/>
                <w:lang w:val="en-US" w:eastAsia="zh-CN"/>
                <w14:textFill>
                  <w14:solidFill>
                    <w14:schemeClr w14:val="tx1"/>
                  </w14:solidFill>
                </w14:textFill>
              </w:rPr>
              <w:t>电子加密标书1</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份</w:t>
            </w:r>
            <w:r>
              <w:rPr>
                <w:rFonts w:hint="default" w:ascii="Times New Roman" w:hAnsi="Times New Roman" w:cs="Times New Roman"/>
                <w:color w:val="000000" w:themeColor="text1"/>
                <w:szCs w:val="21"/>
                <w:highlight w:val="none"/>
                <w:lang w:val="en-US" w:eastAsia="zh-CN"/>
                <w14:textFill>
                  <w14:solidFill>
                    <w14:schemeClr w14:val="tx1"/>
                  </w14:solidFill>
                </w14:textFill>
              </w:rPr>
              <w:t>；</w:t>
            </w:r>
          </w:p>
          <w:p w14:paraId="5FAA5E61">
            <w:pPr>
              <w:pStyle w:val="12"/>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000000" w:themeColor="text1"/>
                <w:szCs w:val="21"/>
                <w:highlight w:val="none"/>
                <w:lang w:eastAsia="zh-CN"/>
                <w14:textFill>
                  <w14:solidFill>
                    <w14:schemeClr w14:val="tx1"/>
                  </w14:solidFill>
                </w14:textFill>
              </w:rPr>
            </w:pPr>
            <w:r>
              <w:rPr>
                <w:rFonts w:hint="default" w:ascii="Times New Roman" w:hAnsi="Times New Roman" w:cs="Times New Roman"/>
                <w:color w:val="000000" w:themeColor="text1"/>
                <w:szCs w:val="21"/>
                <w:highlight w:val="none"/>
                <w:lang w:val="en-US" w:eastAsia="zh-CN"/>
                <w14:textFill>
                  <w14:solidFill>
                    <w14:schemeClr w14:val="tx1"/>
                  </w14:solidFill>
                </w14:textFill>
              </w:rPr>
              <w:t>中标</w:t>
            </w:r>
            <w:r>
              <w:rPr>
                <w:rFonts w:hint="eastAsia" w:ascii="Times New Roman" w:hAnsi="Times New Roman" w:cs="Times New Roman"/>
                <w:color w:val="000000" w:themeColor="text1"/>
                <w:szCs w:val="21"/>
                <w:highlight w:val="none"/>
                <w:lang w:val="en-US" w:eastAsia="zh-CN"/>
                <w14:textFill>
                  <w14:solidFill>
                    <w14:schemeClr w14:val="tx1"/>
                  </w14:solidFill>
                </w14:textFill>
              </w:rPr>
              <w:t>后须单独提供</w:t>
            </w:r>
            <w:r>
              <w:rPr>
                <w:rFonts w:hint="default" w:ascii="Times New Roman" w:hAnsi="Times New Roman" w:cs="Times New Roman"/>
                <w:color w:val="000000" w:themeColor="text1"/>
                <w:szCs w:val="21"/>
                <w:highlight w:val="none"/>
                <w:lang w:val="en-US" w:eastAsia="zh-CN"/>
                <w14:textFill>
                  <w14:solidFill>
                    <w14:schemeClr w14:val="tx1"/>
                  </w14:solidFill>
                </w14:textFill>
              </w:rPr>
              <w:t>纸质</w:t>
            </w:r>
            <w:r>
              <w:rPr>
                <w:rFonts w:hint="default" w:ascii="Times New Roman" w:hAnsi="Times New Roman" w:cs="Times New Roman"/>
                <w:color w:val="000000" w:themeColor="text1"/>
                <w:highlight w:val="none"/>
                <w14:textFill>
                  <w14:solidFill>
                    <w14:schemeClr w14:val="tx1"/>
                  </w14:solidFill>
                </w14:textFill>
              </w:rPr>
              <w:t>投标文件</w:t>
            </w:r>
            <w:r>
              <w:rPr>
                <w:rFonts w:hint="default" w:ascii="Times New Roman" w:hAnsi="Times New Roman" w:cs="Times New Roman"/>
                <w:color w:val="000000" w:themeColor="text1"/>
                <w:highlight w:val="none"/>
                <w:lang w:eastAsia="zh-CN"/>
                <w14:textFill>
                  <w14:solidFill>
                    <w14:schemeClr w14:val="tx1"/>
                  </w14:solidFill>
                </w14:textFill>
              </w:rPr>
              <w:t>三份（</w:t>
            </w:r>
            <w:r>
              <w:rPr>
                <w:rFonts w:hint="default" w:ascii="Times New Roman" w:hAnsi="Times New Roman" w:cs="Times New Roman"/>
                <w:color w:val="000000" w:themeColor="text1"/>
                <w:highlight w:val="none"/>
                <w14:textFill>
                  <w14:solidFill>
                    <w14:schemeClr w14:val="tx1"/>
                  </w14:solidFill>
                </w14:textFill>
              </w:rPr>
              <w:t>正本一份，副本</w:t>
            </w:r>
            <w:r>
              <w:rPr>
                <w:rFonts w:hint="default" w:ascii="Times New Roman" w:hAnsi="Times New Roman" w:cs="Times New Roman"/>
                <w:color w:val="000000" w:themeColor="text1"/>
                <w:highlight w:val="none"/>
                <w:lang w:eastAsia="zh-CN"/>
                <w14:textFill>
                  <w14:solidFill>
                    <w14:schemeClr w14:val="tx1"/>
                  </w14:solidFill>
                </w14:textFill>
              </w:rPr>
              <w:t>两</w:t>
            </w:r>
            <w:r>
              <w:rPr>
                <w:rFonts w:hint="default" w:ascii="Times New Roman" w:hAnsi="Times New Roman" w:cs="Times New Roman"/>
                <w:color w:val="000000" w:themeColor="text1"/>
                <w:highlight w:val="none"/>
                <w14:textFill>
                  <w14:solidFill>
                    <w14:schemeClr w14:val="tx1"/>
                  </w14:solidFill>
                </w14:textFill>
              </w:rPr>
              <w:t>份</w:t>
            </w:r>
            <w:r>
              <w:rPr>
                <w:rFonts w:hint="default" w:ascii="Times New Roman" w:hAnsi="Times New Roman" w:cs="Times New Roman"/>
                <w:color w:val="000000" w:themeColor="text1"/>
                <w:highlight w:val="none"/>
                <w:lang w:eastAsia="zh-CN"/>
                <w14:textFill>
                  <w14:solidFill>
                    <w14:schemeClr w14:val="tx1"/>
                  </w14:solidFill>
                </w14:textFill>
              </w:rPr>
              <w:t>）</w:t>
            </w:r>
            <w:r>
              <w:rPr>
                <w:rFonts w:hint="default" w:ascii="Times New Roman" w:hAnsi="Times New Roman" w:cs="Times New Roman"/>
                <w:color w:val="000000" w:themeColor="text1"/>
                <w:highlight w:val="none"/>
                <w14:textFill>
                  <w14:solidFill>
                    <w14:schemeClr w14:val="tx1"/>
                  </w14:solidFill>
                </w14:textFill>
              </w:rPr>
              <w:t>；</w:t>
            </w:r>
            <w:r>
              <w:rPr>
                <w:rFonts w:hint="default" w:ascii="Times New Roman" w:hAnsi="Times New Roman" w:eastAsia="宋体" w:cs="Times New Roman"/>
                <w:color w:val="000000" w:themeColor="text1"/>
                <w:szCs w:val="21"/>
                <w:highlight w:val="none"/>
                <w:lang w:eastAsia="zh-CN"/>
                <w14:textFill>
                  <w14:solidFill>
                    <w14:schemeClr w14:val="tx1"/>
                  </w14:solidFill>
                </w14:textFill>
              </w:rPr>
              <w:t>电子版U盘</w:t>
            </w:r>
            <w:r>
              <w:rPr>
                <w:rFonts w:hint="eastAsia" w:ascii="Times New Roman" w:hAnsi="Times New Roman" w:cs="Times New Roman"/>
                <w:color w:val="000000" w:themeColor="text1"/>
                <w:highlight w:val="none"/>
                <w:lang w:val="en-US" w:eastAsia="zh-CN"/>
                <w14:textFill>
                  <w14:solidFill>
                    <w14:schemeClr w14:val="tx1"/>
                  </w14:solidFill>
                </w14:textFill>
              </w:rPr>
              <w:t>三</w:t>
            </w:r>
            <w:r>
              <w:rPr>
                <w:rFonts w:hint="default" w:ascii="Times New Roman" w:hAnsi="Times New Roman" w:cs="Times New Roman"/>
                <w:color w:val="000000" w:themeColor="text1"/>
                <w:highlight w:val="none"/>
                <w:lang w:val="en-US" w:eastAsia="zh-CN"/>
                <w14:textFill>
                  <w14:solidFill>
                    <w14:schemeClr w14:val="tx1"/>
                  </w14:solidFill>
                </w14:textFill>
              </w:rPr>
              <w:t>份</w:t>
            </w:r>
            <w:r>
              <w:rPr>
                <w:rFonts w:hint="default" w:ascii="Times New Roman" w:hAnsi="Times New Roman" w:eastAsia="宋体" w:cs="Times New Roman"/>
                <w:color w:val="000000" w:themeColor="text1"/>
                <w:szCs w:val="21"/>
                <w:highlight w:val="none"/>
                <w:lang w:eastAsia="zh-CN"/>
                <w14:textFill>
                  <w14:solidFill>
                    <w14:schemeClr w14:val="tx1"/>
                  </w14:solidFill>
                </w14:textFill>
              </w:rPr>
              <w:t>。</w:t>
            </w:r>
          </w:p>
          <w:p w14:paraId="018831DA">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eastAsia="zh-CN"/>
                <w14:textFill>
                  <w14:solidFill>
                    <w14:schemeClr w14:val="tx1"/>
                  </w14:solidFill>
                </w14:textFill>
              </w:rPr>
              <w:t>其他：纸质版投标文件可通过电子版投标文件打印生成，应当与电子版投标文件一致</w:t>
            </w:r>
            <w:r>
              <w:rPr>
                <w:rFonts w:hint="default" w:ascii="Times New Roman" w:hAnsi="Times New Roman" w:cs="Times New Roman"/>
                <w:color w:val="000000" w:themeColor="text1"/>
                <w:szCs w:val="21"/>
                <w:highlight w:val="none"/>
                <w:lang w:eastAsia="zh-CN"/>
                <w14:textFill>
                  <w14:solidFill>
                    <w14:schemeClr w14:val="tx1"/>
                  </w14:solidFill>
                </w14:textFill>
              </w:rPr>
              <w:t>。</w:t>
            </w:r>
          </w:p>
        </w:tc>
      </w:tr>
      <w:tr w14:paraId="291BF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1438084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18</w:t>
            </w:r>
          </w:p>
        </w:tc>
        <w:tc>
          <w:tcPr>
            <w:tcW w:w="2155" w:type="dxa"/>
            <w:vAlign w:val="center"/>
          </w:tcPr>
          <w:p w14:paraId="2803888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响应性文件</w:t>
            </w:r>
          </w:p>
          <w:p w14:paraId="20DECA5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密封</w:t>
            </w:r>
          </w:p>
        </w:tc>
        <w:tc>
          <w:tcPr>
            <w:tcW w:w="6969" w:type="dxa"/>
            <w:gridSpan w:val="2"/>
            <w:vAlign w:val="center"/>
          </w:tcPr>
          <w:p w14:paraId="63CC1BBC">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eastAsia="zh-CN"/>
                <w14:textFill>
                  <w14:solidFill>
                    <w14:schemeClr w14:val="tx1"/>
                  </w14:solidFill>
                </w14:textFill>
              </w:rPr>
              <w:t>无密封要求，</w:t>
            </w:r>
            <w:r>
              <w:rPr>
                <w:rFonts w:hint="default" w:ascii="Times New Roman" w:hAnsi="Times New Roman" w:cs="Times New Roman"/>
                <w:color w:val="000000" w:themeColor="text1"/>
                <w:szCs w:val="21"/>
                <w:highlight w:val="none"/>
                <w:lang w:val="en-US" w:eastAsia="zh-CN"/>
                <w14:textFill>
                  <w14:solidFill>
                    <w14:schemeClr w14:val="tx1"/>
                  </w14:solidFill>
                </w14:textFill>
              </w:rPr>
              <w:t>中标</w:t>
            </w:r>
            <w:r>
              <w:rPr>
                <w:rFonts w:hint="eastAsia" w:ascii="Times New Roman" w:hAnsi="Times New Roman" w:cs="Times New Roman"/>
                <w:color w:val="000000" w:themeColor="text1"/>
                <w:szCs w:val="21"/>
                <w:highlight w:val="none"/>
                <w:lang w:val="en-US" w:eastAsia="zh-CN"/>
                <w14:textFill>
                  <w14:solidFill>
                    <w14:schemeClr w14:val="tx1"/>
                  </w14:solidFill>
                </w14:textFill>
              </w:rPr>
              <w:t>后须单独提供</w:t>
            </w:r>
            <w:r>
              <w:rPr>
                <w:rFonts w:hint="default" w:ascii="Times New Roman" w:hAnsi="Times New Roman" w:cs="Times New Roman"/>
                <w:color w:val="000000" w:themeColor="text1"/>
                <w:szCs w:val="21"/>
                <w:highlight w:val="none"/>
                <w:lang w:val="en-US" w:eastAsia="zh-CN"/>
                <w14:textFill>
                  <w14:solidFill>
                    <w14:schemeClr w14:val="tx1"/>
                  </w14:solidFill>
                </w14:textFill>
              </w:rPr>
              <w:t>纸质</w:t>
            </w:r>
            <w:r>
              <w:rPr>
                <w:rFonts w:hint="default" w:ascii="Times New Roman" w:hAnsi="Times New Roman" w:cs="Times New Roman"/>
                <w:color w:val="000000" w:themeColor="text1"/>
                <w:highlight w:val="none"/>
                <w14:textFill>
                  <w14:solidFill>
                    <w14:schemeClr w14:val="tx1"/>
                  </w14:solidFill>
                </w14:textFill>
              </w:rPr>
              <w:t>投标文件</w:t>
            </w:r>
            <w:r>
              <w:rPr>
                <w:rFonts w:hint="eastAsia" w:ascii="Times New Roman" w:hAnsi="Times New Roman" w:cs="Times New Roman"/>
                <w:color w:val="000000" w:themeColor="text1"/>
                <w:highlight w:val="none"/>
                <w:lang w:val="en-US" w:eastAsia="zh-CN"/>
                <w14:textFill>
                  <w14:solidFill>
                    <w14:schemeClr w14:val="tx1"/>
                  </w14:solidFill>
                </w14:textFill>
              </w:rPr>
              <w:t>及电子版投标文件。</w:t>
            </w:r>
          </w:p>
        </w:tc>
      </w:tr>
      <w:tr w14:paraId="0E7CA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trPr>
        <w:tc>
          <w:tcPr>
            <w:tcW w:w="834" w:type="dxa"/>
            <w:vAlign w:val="center"/>
          </w:tcPr>
          <w:p w14:paraId="1D3A7B1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19</w:t>
            </w:r>
          </w:p>
        </w:tc>
        <w:tc>
          <w:tcPr>
            <w:tcW w:w="2155" w:type="dxa"/>
            <w:vAlign w:val="center"/>
          </w:tcPr>
          <w:p w14:paraId="0D76FA6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提交响应文件的截止时间（开标时间）</w:t>
            </w:r>
          </w:p>
        </w:tc>
        <w:tc>
          <w:tcPr>
            <w:tcW w:w="6969" w:type="dxa"/>
            <w:gridSpan w:val="2"/>
            <w:vAlign w:val="center"/>
          </w:tcPr>
          <w:p w14:paraId="38D9452C">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2025</w:t>
            </w:r>
            <w:r>
              <w:rPr>
                <w:rFonts w:hint="eastAsia" w:ascii="宋体" w:hAnsi="宋体" w:eastAsia="宋体" w:cs="宋体"/>
                <w:color w:val="000000" w:themeColor="text1"/>
                <w:sz w:val="21"/>
                <w:szCs w:val="21"/>
                <w:highlight w:val="none"/>
                <w:lang w:val="en-US" w:eastAsia="zh-CN"/>
                <w14:textFill>
                  <w14:solidFill>
                    <w14:schemeClr w14:val="tx1"/>
                  </w14:solidFill>
                </w14:textFill>
              </w:rPr>
              <w:t>年</w:t>
            </w:r>
            <w:r>
              <w:rPr>
                <w:rFonts w:hint="eastAsia" w:ascii="宋体" w:hAnsi="宋体" w:cs="宋体"/>
                <w:color w:val="000000" w:themeColor="text1"/>
                <w:sz w:val="21"/>
                <w:szCs w:val="21"/>
                <w:highlight w:val="none"/>
                <w:lang w:val="en-US" w:eastAsia="zh-CN"/>
                <w14:textFill>
                  <w14:solidFill>
                    <w14:schemeClr w14:val="tx1"/>
                  </w14:solidFill>
                </w14:textFill>
              </w:rPr>
              <w:t xml:space="preserve"> 03 </w:t>
            </w:r>
            <w:r>
              <w:rPr>
                <w:rFonts w:hint="eastAsia" w:ascii="宋体" w:hAnsi="宋体" w:eastAsia="宋体" w:cs="宋体"/>
                <w:color w:val="000000" w:themeColor="text1"/>
                <w:sz w:val="21"/>
                <w:szCs w:val="21"/>
                <w:highlight w:val="none"/>
                <w:lang w:val="en-US" w:eastAsia="zh-CN"/>
                <w14:textFill>
                  <w14:solidFill>
                    <w14:schemeClr w14:val="tx1"/>
                  </w14:solidFill>
                </w14:textFill>
              </w:rPr>
              <w:t>月</w:t>
            </w:r>
            <w:r>
              <w:rPr>
                <w:rFonts w:hint="eastAsia" w:ascii="宋体" w:hAnsi="宋体" w:cs="宋体"/>
                <w:color w:val="000000" w:themeColor="text1"/>
                <w:sz w:val="21"/>
                <w:szCs w:val="21"/>
                <w:highlight w:val="none"/>
                <w:lang w:val="en-US" w:eastAsia="zh-CN"/>
                <w14:textFill>
                  <w14:solidFill>
                    <w14:schemeClr w14:val="tx1"/>
                  </w14:solidFill>
                </w14:textFill>
              </w:rPr>
              <w:t xml:space="preserve"> 28 </w:t>
            </w:r>
            <w:r>
              <w:rPr>
                <w:rFonts w:hint="eastAsia" w:ascii="宋体" w:hAnsi="宋体" w:eastAsia="宋体" w:cs="宋体"/>
                <w:color w:val="000000" w:themeColor="text1"/>
                <w:sz w:val="21"/>
                <w:szCs w:val="21"/>
                <w:highlight w:val="none"/>
                <w:lang w:val="en-US" w:eastAsia="zh-CN"/>
                <w14:textFill>
                  <w14:solidFill>
                    <w14:schemeClr w14:val="tx1"/>
                  </w14:solidFill>
                </w14:textFill>
              </w:rPr>
              <w:t>日</w:t>
            </w:r>
            <w:r>
              <w:rPr>
                <w:rFonts w:hint="eastAsia" w:ascii="宋体" w:hAnsi="宋体" w:cs="宋体"/>
                <w:color w:val="000000" w:themeColor="text1"/>
                <w:sz w:val="21"/>
                <w:szCs w:val="21"/>
                <w:highlight w:val="none"/>
                <w:lang w:val="en-US" w:eastAsia="zh-CN"/>
                <w14:textFill>
                  <w14:solidFill>
                    <w14:schemeClr w14:val="tx1"/>
                  </w14:solidFill>
                </w14:textFill>
              </w:rPr>
              <w:t xml:space="preserve"> 10</w:t>
            </w:r>
            <w:bookmarkStart w:id="728" w:name="_GoBack"/>
            <w:bookmarkEnd w:id="728"/>
            <w:r>
              <w:rPr>
                <w:rFonts w:hint="eastAsia" w:ascii="宋体" w:hAnsi="宋体" w:cs="宋体"/>
                <w:color w:val="000000" w:themeColor="text1"/>
                <w:sz w:val="21"/>
                <w:szCs w:val="21"/>
                <w:highlight w:val="none"/>
                <w:lang w:val="en-US" w:eastAsia="zh-CN"/>
                <w14:textFill>
                  <w14:solidFill>
                    <w14:schemeClr w14:val="tx1"/>
                  </w14:solidFill>
                </w14:textFill>
              </w:rPr>
              <w:t xml:space="preserve"> 时30 </w:t>
            </w:r>
            <w:r>
              <w:rPr>
                <w:rFonts w:hint="eastAsia" w:ascii="宋体" w:hAnsi="宋体" w:eastAsia="宋体" w:cs="宋体"/>
                <w:color w:val="000000" w:themeColor="text1"/>
                <w:sz w:val="21"/>
                <w:szCs w:val="21"/>
                <w:highlight w:val="none"/>
                <w:lang w:val="en-US" w:eastAsia="zh-CN"/>
                <w14:textFill>
                  <w14:solidFill>
                    <w14:schemeClr w14:val="tx1"/>
                  </w14:solidFill>
                </w14:textFill>
              </w:rPr>
              <w:t>分</w:t>
            </w:r>
          </w:p>
        </w:tc>
      </w:tr>
      <w:tr w14:paraId="7BC81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834" w:type="dxa"/>
            <w:vAlign w:val="center"/>
          </w:tcPr>
          <w:p w14:paraId="0DD225B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20</w:t>
            </w:r>
          </w:p>
        </w:tc>
        <w:tc>
          <w:tcPr>
            <w:tcW w:w="2155" w:type="dxa"/>
            <w:vAlign w:val="center"/>
          </w:tcPr>
          <w:p w14:paraId="14EB94B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响应文件的递交地点</w:t>
            </w:r>
          </w:p>
        </w:tc>
        <w:tc>
          <w:tcPr>
            <w:tcW w:w="6969" w:type="dxa"/>
            <w:gridSpan w:val="2"/>
            <w:vAlign w:val="center"/>
          </w:tcPr>
          <w:p w14:paraId="1ADEC4E6">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请登录政采云投标客户端，在截止时间前将加密的电子响应文件上传到新疆政府采购网对应的位置（逾期上传或者未上传指定地点的响应文件，采购人不予受理）。</w:t>
            </w:r>
          </w:p>
        </w:tc>
      </w:tr>
      <w:tr w14:paraId="52F7D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atLeast"/>
        </w:trPr>
        <w:tc>
          <w:tcPr>
            <w:tcW w:w="834" w:type="dxa"/>
            <w:vAlign w:val="center"/>
          </w:tcPr>
          <w:p w14:paraId="6132ECB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21</w:t>
            </w:r>
          </w:p>
        </w:tc>
        <w:tc>
          <w:tcPr>
            <w:tcW w:w="2155" w:type="dxa"/>
            <w:vAlign w:val="center"/>
          </w:tcPr>
          <w:p w14:paraId="705B7B9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开标</w:t>
            </w:r>
            <w:r>
              <w:rPr>
                <w:rFonts w:hint="eastAsia" w:ascii="宋体" w:hAnsi="宋体" w:cs="宋体"/>
                <w:color w:val="000000" w:themeColor="text1"/>
                <w:sz w:val="21"/>
                <w:szCs w:val="21"/>
                <w:highlight w:val="none"/>
                <w:lang w:eastAsia="zh-CN"/>
                <w14:textFill>
                  <w14:solidFill>
                    <w14:schemeClr w14:val="tx1"/>
                  </w14:solidFill>
                </w14:textFill>
              </w:rPr>
              <w:t>程序</w:t>
            </w:r>
          </w:p>
        </w:tc>
        <w:tc>
          <w:tcPr>
            <w:tcW w:w="6969" w:type="dxa"/>
            <w:gridSpan w:val="2"/>
            <w:vAlign w:val="center"/>
          </w:tcPr>
          <w:p w14:paraId="308067CE">
            <w:pPr>
              <w:pStyle w:val="12"/>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本项目采用不见面开标：</w:t>
            </w:r>
          </w:p>
          <w:p w14:paraId="51A9D0BD">
            <w:pPr>
              <w:pStyle w:val="12"/>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pPr>
            <w:r>
              <w:rPr>
                <w:rFonts w:hint="default" w:ascii="Times New Roman" w:hAnsi="Times New Roman" w:cs="Times New Roman"/>
                <w:color w:val="000000" w:themeColor="text1"/>
                <w:szCs w:val="21"/>
                <w:highlight w:val="none"/>
                <w:lang w:val="en-US" w:eastAsia="zh-CN"/>
                <w14:textFill>
                  <w14:solidFill>
                    <w14:schemeClr w14:val="tx1"/>
                  </w14:solidFill>
                </w14:textFill>
              </w:rPr>
              <w:t>（1）开标时间到达</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后，主持人宣布开标会议开始；</w:t>
            </w:r>
          </w:p>
          <w:p w14:paraId="17BD89CC">
            <w:pPr>
              <w:pStyle w:val="12"/>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2</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）公布投标人，投标文件解密，公布解密情况；</w:t>
            </w:r>
          </w:p>
          <w:p w14:paraId="3E494DBD">
            <w:pPr>
              <w:pStyle w:val="12"/>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3</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）评标委员会进入评审阶段；</w:t>
            </w:r>
          </w:p>
          <w:p w14:paraId="5490B494">
            <w:pPr>
              <w:pStyle w:val="12"/>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w:t>
            </w:r>
            <w:r>
              <w:rPr>
                <w:rFonts w:hint="default" w:ascii="Times New Roman" w:hAnsi="Times New Roman" w:cs="Times New Roman"/>
                <w:color w:val="000000" w:themeColor="text1"/>
                <w:szCs w:val="21"/>
                <w:highlight w:val="none"/>
                <w:lang w:val="en-US" w:eastAsia="zh-CN"/>
                <w14:textFill>
                  <w14:solidFill>
                    <w14:schemeClr w14:val="tx1"/>
                  </w14:solidFill>
                </w14:textFill>
              </w:rPr>
              <w:t>4</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）评标结束后，有关人员在开标记录表签字确认。</w:t>
            </w:r>
          </w:p>
          <w:p w14:paraId="388C566F">
            <w:pPr>
              <w:pStyle w:val="12"/>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特别说明：</w:t>
            </w:r>
          </w:p>
          <w:p w14:paraId="50FA61A9">
            <w:pPr>
              <w:pStyle w:val="12"/>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highlight w:val="none"/>
                <w:lang w:eastAsia="zh-CN"/>
                <w14:textFill>
                  <w14:solidFill>
                    <w14:schemeClr w14:val="tx1"/>
                  </w14:solidFill>
                </w14:textFill>
              </w:rPr>
            </w:pP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（1）</w:t>
            </w:r>
            <w:r>
              <w:rPr>
                <w:rFonts w:hint="default" w:ascii="Times New Roman" w:hAnsi="Times New Roman" w:eastAsia="宋体" w:cs="Times New Roman"/>
                <w:color w:val="000000" w:themeColor="text1"/>
                <w:szCs w:val="21"/>
                <w:highlight w:val="none"/>
                <w:lang w:eastAsia="zh-CN"/>
                <w14:textFill>
                  <w14:solidFill>
                    <w14:schemeClr w14:val="tx1"/>
                  </w14:solidFill>
                </w14:textFill>
              </w:rPr>
              <w:t>投标人务必将加密电子投标文件在投标截止时间之前上传至政采云平台</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https://login.zcygov.cn/</w:t>
            </w:r>
            <w:r>
              <w:rPr>
                <w:rFonts w:hint="default" w:ascii="Times New Roman" w:hAnsi="Times New Roman" w:eastAsia="宋体" w:cs="Times New Roman"/>
                <w:color w:val="000000" w:themeColor="text1"/>
                <w:szCs w:val="21"/>
                <w:highlight w:val="none"/>
                <w:lang w:eastAsia="zh-CN"/>
                <w14:textFill>
                  <w14:solidFill>
                    <w14:schemeClr w14:val="tx1"/>
                  </w14:solidFill>
                </w14:textFill>
              </w:rPr>
              <w:t>并在开标当天开标截止时间前登录到</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https://www.zcygov.cn</w:t>
            </w:r>
            <w:r>
              <w:rPr>
                <w:rFonts w:hint="eastAsia" w:ascii="Times New Roman" w:hAnsi="Times New Roman" w:cs="Times New Roman"/>
                <w:color w:val="000000" w:themeColor="text1"/>
                <w:szCs w:val="21"/>
                <w:highlight w:val="none"/>
                <w:lang w:val="en-US" w:eastAsia="zh-CN"/>
                <w14:textFill>
                  <w14:solidFill>
                    <w14:schemeClr w14:val="tx1"/>
                  </w14:solidFill>
                </w14:textFill>
              </w:rPr>
              <w:t>/</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 xml:space="preserve"> 政采云电子开标大厅</w:t>
            </w:r>
            <w:r>
              <w:rPr>
                <w:rFonts w:hint="default" w:ascii="Times New Roman" w:hAnsi="Times New Roman" w:eastAsia="宋体" w:cs="Times New Roman"/>
                <w:color w:val="000000" w:themeColor="text1"/>
                <w:szCs w:val="21"/>
                <w:highlight w:val="none"/>
                <w:lang w:eastAsia="zh-CN"/>
                <w14:textFill>
                  <w14:solidFill>
                    <w14:schemeClr w14:val="tx1"/>
                  </w14:solidFill>
                </w14:textFill>
              </w:rPr>
              <w:t>完成签到并等候开标，</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投标截止时间以后上传递交的投标文件将被</w:t>
            </w:r>
            <w:r>
              <w:rPr>
                <w:rFonts w:hint="eastAsia" w:ascii="Times New Roman" w:hAnsi="Times New Roman" w:cs="Times New Roman"/>
                <w:color w:val="000000" w:themeColor="text1"/>
                <w:szCs w:val="21"/>
                <w:highlight w:val="none"/>
                <w:lang w:val="en-US" w:eastAsia="zh-CN"/>
                <w14:textFill>
                  <w14:solidFill>
                    <w14:schemeClr w14:val="tx1"/>
                  </w14:solidFill>
                </w14:textFill>
              </w:rPr>
              <w:t>“</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政府采购云平台</w:t>
            </w:r>
            <w:r>
              <w:rPr>
                <w:rFonts w:hint="eastAsia" w:ascii="Times New Roman" w:hAnsi="Times New Roman" w:cs="Times New Roman"/>
                <w:color w:val="000000" w:themeColor="text1"/>
                <w:szCs w:val="21"/>
                <w:highlight w:val="none"/>
                <w:lang w:val="en-US" w:eastAsia="zh-CN"/>
                <w14:textFill>
                  <w14:solidFill>
                    <w14:schemeClr w14:val="tx1"/>
                  </w14:solidFill>
                </w14:textFill>
              </w:rPr>
              <w:t>”</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拒收。</w:t>
            </w:r>
          </w:p>
          <w:p w14:paraId="06F339EB">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Cs/>
                <w:color w:val="000000" w:themeColor="text1"/>
                <w:sz w:val="21"/>
                <w:szCs w:val="21"/>
                <w:highlight w:val="none"/>
                <w14:textFill>
                  <w14:solidFill>
                    <w14:schemeClr w14:val="tx1"/>
                  </w14:solidFill>
                </w14:textFill>
              </w:rPr>
            </w:pP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（2）投标文件解密时间30分钟，开标前需投标单位用CA证书登录政采云平台开标大厅签到，在30分钟解密时间内输入CA证书 PIN 码解密投标文件。在30分钟解密时间内未进行解密的投标单位将导致废标。</w:t>
            </w:r>
          </w:p>
        </w:tc>
      </w:tr>
      <w:tr w14:paraId="5C0B5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atLeast"/>
        </w:trPr>
        <w:tc>
          <w:tcPr>
            <w:tcW w:w="834" w:type="dxa"/>
            <w:vAlign w:val="center"/>
          </w:tcPr>
          <w:p w14:paraId="1F14DD9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22</w:t>
            </w:r>
          </w:p>
        </w:tc>
        <w:tc>
          <w:tcPr>
            <w:tcW w:w="2155" w:type="dxa"/>
            <w:vAlign w:val="center"/>
          </w:tcPr>
          <w:p w14:paraId="693CA63F">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default" w:ascii="宋体" w:hAnsi="宋体" w:eastAsia="宋体" w:cs="宋体"/>
                <w:color w:val="000000" w:themeColor="text1"/>
                <w:sz w:val="21"/>
                <w:szCs w:val="21"/>
                <w:highlight w:val="none"/>
                <w:lang w:val="en-US" w:eastAsia="zh-CN"/>
                <w14:textFill>
                  <w14:solidFill>
                    <w14:schemeClr w14:val="tx1"/>
                  </w14:solidFill>
                </w14:textFill>
              </w:rPr>
              <w:t>是否授权评标委员会确定中标人</w:t>
            </w:r>
          </w:p>
        </w:tc>
        <w:tc>
          <w:tcPr>
            <w:tcW w:w="6969" w:type="dxa"/>
            <w:gridSpan w:val="2"/>
            <w:vAlign w:val="center"/>
          </w:tcPr>
          <w:p w14:paraId="74E639BA">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否（由专家评审小组最终评审汇总，推荐综合排名前三的投标单位为中标候选人）</w:t>
            </w:r>
          </w:p>
        </w:tc>
      </w:tr>
      <w:tr w14:paraId="5EE27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1D552C7F">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cs="宋体"/>
                <w:color w:val="000000" w:themeColor="text1"/>
                <w:sz w:val="21"/>
                <w:szCs w:val="21"/>
                <w:highlight w:val="none"/>
                <w:lang w:val="en-US" w:eastAsia="zh-CN"/>
                <w14:textFill>
                  <w14:solidFill>
                    <w14:schemeClr w14:val="tx1"/>
                  </w14:solidFill>
                </w14:textFill>
              </w:rPr>
              <w:t>3</w:t>
            </w:r>
          </w:p>
        </w:tc>
        <w:tc>
          <w:tcPr>
            <w:tcW w:w="2155" w:type="dxa"/>
            <w:vAlign w:val="center"/>
          </w:tcPr>
          <w:p w14:paraId="53637EC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中标</w:t>
            </w:r>
            <w:r>
              <w:rPr>
                <w:rFonts w:hint="default" w:ascii="宋体" w:hAnsi="宋体" w:eastAsia="宋体" w:cs="宋体"/>
                <w:color w:val="000000" w:themeColor="text1"/>
                <w:sz w:val="21"/>
                <w:szCs w:val="21"/>
                <w:highlight w:val="none"/>
                <w:lang w:val="en-US"/>
                <w14:textFill>
                  <w14:solidFill>
                    <w14:schemeClr w14:val="tx1"/>
                  </w14:solidFill>
                </w14:textFill>
              </w:rPr>
              <w:t>结果</w:t>
            </w:r>
            <w:r>
              <w:rPr>
                <w:rFonts w:hint="eastAsia" w:ascii="宋体" w:hAnsi="宋体" w:eastAsia="宋体" w:cs="宋体"/>
                <w:color w:val="000000" w:themeColor="text1"/>
                <w:sz w:val="21"/>
                <w:szCs w:val="21"/>
                <w:highlight w:val="none"/>
                <w14:textFill>
                  <w14:solidFill>
                    <w14:schemeClr w14:val="tx1"/>
                  </w14:solidFill>
                </w14:textFill>
              </w:rPr>
              <w:t>公示</w:t>
            </w:r>
          </w:p>
          <w:p w14:paraId="4FBB694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发布媒体</w:t>
            </w:r>
          </w:p>
        </w:tc>
        <w:tc>
          <w:tcPr>
            <w:tcW w:w="6969" w:type="dxa"/>
            <w:gridSpan w:val="2"/>
            <w:vAlign w:val="center"/>
          </w:tcPr>
          <w:p w14:paraId="5364986A">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u w:color="000000"/>
                <w:lang w:val="en-US" w:eastAsia="zh-CN" w:bidi="ar-SA"/>
                <w14:textFill>
                  <w14:solidFill>
                    <w14:schemeClr w14:val="tx1"/>
                  </w14:solidFill>
                </w14:textFill>
              </w:rPr>
              <w:t>新疆政府采购网（http://www.ccgp-xinjiang.gov.cn/）</w:t>
            </w:r>
          </w:p>
        </w:tc>
      </w:tr>
      <w:tr w14:paraId="76F65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34" w:type="dxa"/>
            <w:vAlign w:val="center"/>
          </w:tcPr>
          <w:p w14:paraId="24E2DFEE">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cs="宋体"/>
                <w:color w:val="000000" w:themeColor="text1"/>
                <w:sz w:val="21"/>
                <w:szCs w:val="21"/>
                <w:highlight w:val="none"/>
                <w:lang w:val="en-US" w:eastAsia="zh-CN"/>
                <w14:textFill>
                  <w14:solidFill>
                    <w14:schemeClr w14:val="tx1"/>
                  </w14:solidFill>
                </w14:textFill>
              </w:rPr>
              <w:t>4</w:t>
            </w:r>
          </w:p>
        </w:tc>
        <w:tc>
          <w:tcPr>
            <w:tcW w:w="2155" w:type="dxa"/>
            <w:vAlign w:val="center"/>
          </w:tcPr>
          <w:p w14:paraId="71EA7D0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履约</w:t>
            </w:r>
            <w:r>
              <w:rPr>
                <w:rFonts w:hint="eastAsia" w:ascii="宋体" w:hAnsi="宋体" w:cs="宋体"/>
                <w:color w:val="000000" w:themeColor="text1"/>
                <w:sz w:val="21"/>
                <w:szCs w:val="21"/>
                <w:highlight w:val="none"/>
                <w:lang w:val="en-US" w:eastAsia="zh-CN"/>
                <w14:textFill>
                  <w14:solidFill>
                    <w14:schemeClr w14:val="tx1"/>
                  </w14:solidFill>
                </w14:textFill>
              </w:rPr>
              <w:t>保证金</w:t>
            </w:r>
          </w:p>
        </w:tc>
        <w:tc>
          <w:tcPr>
            <w:tcW w:w="6969" w:type="dxa"/>
            <w:gridSpan w:val="2"/>
            <w:vAlign w:val="center"/>
          </w:tcPr>
          <w:p w14:paraId="4F8C8562">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签订合同金额的10%，履约保函或电汇等非现金形式</w:t>
            </w:r>
          </w:p>
        </w:tc>
      </w:tr>
      <w:tr w14:paraId="470D0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34" w:type="dxa"/>
            <w:vAlign w:val="center"/>
          </w:tcPr>
          <w:p w14:paraId="08F56ED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cs="宋体"/>
                <w:color w:val="000000" w:themeColor="text1"/>
                <w:sz w:val="21"/>
                <w:szCs w:val="21"/>
                <w:highlight w:val="none"/>
                <w:lang w:val="en-US" w:eastAsia="zh-CN"/>
                <w14:textFill>
                  <w14:solidFill>
                    <w14:schemeClr w14:val="tx1"/>
                  </w14:solidFill>
                </w14:textFill>
              </w:rPr>
              <w:t>5</w:t>
            </w:r>
          </w:p>
        </w:tc>
        <w:tc>
          <w:tcPr>
            <w:tcW w:w="2155" w:type="dxa"/>
            <w:vAlign w:val="center"/>
          </w:tcPr>
          <w:p w14:paraId="0DEE98B7">
            <w:pPr>
              <w:pStyle w:val="54"/>
              <w:spacing w:line="400" w:lineRule="exact"/>
              <w:jc w:val="center"/>
              <w:rPr>
                <w:rFonts w:hint="eastAsia" w:ascii="宋体" w:hAnsi="宋体" w:eastAsia="宋体" w:cs="宋体"/>
                <w:b w:val="0"/>
                <w:bCs/>
                <w:color w:val="000000" w:themeColor="text1"/>
                <w:kern w:val="0"/>
                <w:sz w:val="21"/>
                <w:szCs w:val="21"/>
                <w:highlight w:val="none"/>
                <w14:textFill>
                  <w14:solidFill>
                    <w14:schemeClr w14:val="tx1"/>
                  </w14:solidFill>
                </w14:textFill>
              </w:rPr>
            </w:pPr>
            <w:r>
              <w:rPr>
                <w:rFonts w:hint="eastAsia" w:ascii="宋体" w:hAnsi="宋体" w:eastAsia="宋体" w:cs="宋体"/>
                <w:b w:val="0"/>
                <w:bCs/>
                <w:color w:val="000000" w:themeColor="text1"/>
                <w:kern w:val="0"/>
                <w:sz w:val="21"/>
                <w:szCs w:val="21"/>
                <w:highlight w:val="none"/>
                <w14:textFill>
                  <w14:solidFill>
                    <w14:schemeClr w14:val="tx1"/>
                  </w14:solidFill>
                </w14:textFill>
              </w:rPr>
              <w:t>中小微型企业</w:t>
            </w:r>
          </w:p>
          <w:p w14:paraId="0C67B0A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 w:val="0"/>
                <w:bCs/>
                <w:color w:val="000000" w:themeColor="text1"/>
                <w:sz w:val="21"/>
                <w:szCs w:val="21"/>
                <w:highlight w:val="none"/>
                <w14:textFill>
                  <w14:solidFill>
                    <w14:schemeClr w14:val="tx1"/>
                  </w14:solidFill>
                </w14:textFill>
              </w:rPr>
            </w:pPr>
            <w:r>
              <w:rPr>
                <w:rFonts w:hint="eastAsia" w:ascii="宋体" w:hAnsi="宋体" w:eastAsia="宋体" w:cs="宋体"/>
                <w:b w:val="0"/>
                <w:bCs/>
                <w:color w:val="000000" w:themeColor="text1"/>
                <w:kern w:val="0"/>
                <w:sz w:val="21"/>
                <w:szCs w:val="21"/>
                <w:highlight w:val="none"/>
                <w14:textFill>
                  <w14:solidFill>
                    <w14:schemeClr w14:val="tx1"/>
                  </w14:solidFill>
                </w14:textFill>
              </w:rPr>
              <w:t>有关政策</w:t>
            </w:r>
          </w:p>
        </w:tc>
        <w:tc>
          <w:tcPr>
            <w:tcW w:w="6969" w:type="dxa"/>
            <w:gridSpan w:val="2"/>
            <w:vAlign w:val="center"/>
          </w:tcPr>
          <w:p w14:paraId="4D9FAD81">
            <w:pPr>
              <w:pStyle w:val="3"/>
              <w:keepNext w:val="0"/>
              <w:keepLines w:val="0"/>
              <w:widowControl/>
              <w:numPr>
                <w:ilvl w:val="0"/>
                <w:numId w:val="0"/>
              </w:numPr>
              <w:suppressLineNumbers w:val="0"/>
              <w:spacing w:line="450" w:lineRule="atLeast"/>
              <w:ind w:leftChars="0"/>
              <w:jc w:val="both"/>
              <w:rPr>
                <w:rFonts w:hint="default" w:ascii="宋体" w:hAnsi="宋体" w:eastAsia="宋体" w:cs="宋体"/>
                <w:b w:val="0"/>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color w:val="000000" w:themeColor="text1"/>
                <w:sz w:val="21"/>
                <w:szCs w:val="21"/>
                <w:highlight w:val="none"/>
                <w14:textFill>
                  <w14:solidFill>
                    <w14:schemeClr w14:val="tx1"/>
                  </w14:solidFill>
                </w14:textFill>
              </w:rPr>
              <w:t>1、根据</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w:t>
            </w:r>
            <w:r>
              <w:rPr>
                <w:rFonts w:hint="default" w:ascii="宋体" w:hAnsi="宋体" w:eastAsia="宋体" w:cs="宋体"/>
                <w:b w:val="0"/>
                <w:bCs/>
                <w:color w:val="000000" w:themeColor="text1"/>
                <w:sz w:val="21"/>
                <w:szCs w:val="21"/>
                <w:highlight w:val="none"/>
                <w:lang w:val="en-US" w:eastAsia="zh-CN"/>
                <w14:textFill>
                  <w14:solidFill>
                    <w14:schemeClr w14:val="tx1"/>
                  </w14:solidFill>
                </w14:textFill>
              </w:rPr>
              <w:t>政府采购促进中小企业发展管理办法</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w:t>
            </w:r>
            <w:r>
              <w:rPr>
                <w:rFonts w:hint="eastAsia" w:ascii="宋体" w:hAnsi="宋体" w:cs="宋体"/>
                <w:b w:val="0"/>
                <w:bCs/>
                <w:color w:val="000000" w:themeColor="text1"/>
                <w:sz w:val="21"/>
                <w:szCs w:val="21"/>
                <w:highlight w:val="none"/>
                <w:lang w:eastAsia="zh-CN"/>
                <w14:textFill>
                  <w14:solidFill>
                    <w14:schemeClr w14:val="tx1"/>
                  </w14:solidFill>
                </w14:textFill>
              </w:rPr>
              <w:t>、</w:t>
            </w:r>
            <w:r>
              <w:rPr>
                <w:rFonts w:hint="eastAsia" w:ascii="宋体" w:hAnsi="宋体" w:eastAsia="宋体" w:cs="宋体"/>
                <w:b w:val="0"/>
                <w:bCs/>
                <w:color w:val="000000" w:themeColor="text1"/>
                <w:sz w:val="21"/>
                <w:szCs w:val="21"/>
                <w:highlight w:val="none"/>
                <w14:textFill>
                  <w14:solidFill>
                    <w14:schemeClr w14:val="tx1"/>
                  </w14:solidFill>
                </w14:textFill>
              </w:rPr>
              <w:t>《</w:t>
            </w:r>
            <w:r>
              <w:rPr>
                <w:rFonts w:hint="default" w:ascii="宋体" w:hAnsi="宋体" w:eastAsia="宋体" w:cs="宋体"/>
                <w:b w:val="0"/>
                <w:bCs/>
                <w:color w:val="000000" w:themeColor="text1"/>
                <w:sz w:val="21"/>
                <w:szCs w:val="21"/>
                <w:highlight w:val="none"/>
                <w14:textFill>
                  <w14:solidFill>
                    <w14:schemeClr w14:val="tx1"/>
                  </w14:solidFill>
                </w14:textFill>
              </w:rPr>
              <w:t>关于进一步加大政府采购支持中小企业力度的通知</w:t>
            </w:r>
            <w:r>
              <w:rPr>
                <w:rFonts w:hint="eastAsia" w:ascii="宋体" w:hAnsi="宋体" w:eastAsia="宋体" w:cs="宋体"/>
                <w:b w:val="0"/>
                <w:bCs/>
                <w:color w:val="000000" w:themeColor="text1"/>
                <w:sz w:val="21"/>
                <w:szCs w:val="21"/>
                <w:highlight w:val="none"/>
                <w14:textFill>
                  <w14:solidFill>
                    <w14:schemeClr w14:val="tx1"/>
                  </w14:solidFill>
                </w14:textFill>
              </w:rPr>
              <w:t>》规定要求，对非专门面向中小企业采购的采购项目，将对小微企业报价给予</w:t>
            </w:r>
            <w:r>
              <w:rPr>
                <w:rFonts w:hint="eastAsia" w:ascii="宋体" w:hAnsi="宋体" w:cs="宋体"/>
                <w:b w:val="0"/>
                <w:bCs/>
                <w:color w:val="000000" w:themeColor="text1"/>
                <w:sz w:val="21"/>
                <w:szCs w:val="21"/>
                <w:highlight w:val="none"/>
                <w:lang w:val="en-US" w:eastAsia="zh-CN"/>
                <w14:textFill>
                  <w14:solidFill>
                    <w14:schemeClr w14:val="tx1"/>
                  </w14:solidFill>
                </w14:textFill>
              </w:rPr>
              <w:t>3</w:t>
            </w:r>
            <w:r>
              <w:rPr>
                <w:rFonts w:hint="eastAsia" w:ascii="宋体" w:hAnsi="宋体" w:eastAsia="宋体" w:cs="宋体"/>
                <w:b w:val="0"/>
                <w:bCs/>
                <w:color w:val="000000" w:themeColor="text1"/>
                <w:sz w:val="21"/>
                <w:szCs w:val="21"/>
                <w:highlight w:val="none"/>
                <w14:textFill>
                  <w14:solidFill>
                    <w14:schemeClr w14:val="tx1"/>
                  </w14:solidFill>
                </w14:textFill>
              </w:rPr>
              <w:t>%—</w:t>
            </w:r>
            <w:r>
              <w:rPr>
                <w:rFonts w:hint="eastAsia" w:ascii="宋体" w:hAnsi="宋体" w:cs="宋体"/>
                <w:b w:val="0"/>
                <w:bCs/>
                <w:color w:val="000000" w:themeColor="text1"/>
                <w:sz w:val="21"/>
                <w:szCs w:val="21"/>
                <w:highlight w:val="none"/>
                <w:lang w:val="en-US" w:eastAsia="zh-CN"/>
                <w14:textFill>
                  <w14:solidFill>
                    <w14:schemeClr w14:val="tx1"/>
                  </w14:solidFill>
                </w14:textFill>
              </w:rPr>
              <w:t>5</w:t>
            </w:r>
            <w:r>
              <w:rPr>
                <w:rFonts w:hint="eastAsia" w:ascii="宋体" w:hAnsi="宋体" w:eastAsia="宋体" w:cs="宋体"/>
                <w:b w:val="0"/>
                <w:bCs/>
                <w:color w:val="000000" w:themeColor="text1"/>
                <w:sz w:val="21"/>
                <w:szCs w:val="21"/>
                <w:highlight w:val="none"/>
                <w14:textFill>
                  <w14:solidFill>
                    <w14:schemeClr w14:val="tx1"/>
                  </w14:solidFill>
                </w14:textFill>
              </w:rPr>
              <w:t>%</w:t>
            </w:r>
            <w:r>
              <w:rPr>
                <w:rFonts w:hint="eastAsia" w:ascii="宋体" w:hAnsi="宋体" w:eastAsia="宋体" w:cs="宋体"/>
                <w:b w:val="0"/>
                <w:bCs/>
                <w:color w:val="000000" w:themeColor="text1"/>
                <w:sz w:val="21"/>
                <w:szCs w:val="21"/>
                <w:highlight w:val="none"/>
                <w:lang w:val="zh-CN" w:eastAsia="zh-CN"/>
                <w14:textFill>
                  <w14:solidFill>
                    <w14:schemeClr w14:val="tx1"/>
                  </w14:solidFill>
                </w14:textFill>
              </w:rPr>
              <w:t>（</w:t>
            </w:r>
            <w:r>
              <w:rPr>
                <w:rFonts w:hint="eastAsia" w:ascii="宋体" w:hAnsi="宋体" w:cs="宋体"/>
                <w:b w:val="0"/>
                <w:bCs/>
                <w:color w:val="000000" w:themeColor="text1"/>
                <w:sz w:val="21"/>
                <w:szCs w:val="21"/>
                <w:highlight w:val="none"/>
                <w:lang w:val="zh-CN" w:eastAsia="zh-CN"/>
                <w14:textFill>
                  <w14:solidFill>
                    <w14:schemeClr w14:val="tx1"/>
                  </w14:solidFill>
                </w14:textFill>
              </w:rPr>
              <w:t>货物和服务采购</w:t>
            </w:r>
            <w:r>
              <w:rPr>
                <w:rFonts w:hint="eastAsia" w:ascii="宋体" w:hAnsi="宋体" w:eastAsia="宋体" w:cs="宋体"/>
                <w:b w:val="0"/>
                <w:bCs/>
                <w:color w:val="000000" w:themeColor="text1"/>
                <w:sz w:val="21"/>
                <w:szCs w:val="21"/>
                <w:highlight w:val="none"/>
                <w:lang w:val="zh-CN" w:eastAsia="zh-CN"/>
                <w14:textFill>
                  <w14:solidFill>
                    <w14:schemeClr w14:val="tx1"/>
                  </w14:solidFill>
                </w14:textFill>
              </w:rPr>
              <w:t>项目为</w:t>
            </w:r>
            <w:r>
              <w:rPr>
                <w:rFonts w:hint="eastAsia" w:ascii="宋体" w:hAnsi="宋体" w:cs="宋体"/>
                <w:b w:val="0"/>
                <w:bCs/>
                <w:color w:val="000000" w:themeColor="text1"/>
                <w:sz w:val="21"/>
                <w:szCs w:val="21"/>
                <w:highlight w:val="none"/>
                <w:lang w:val="en-US" w:eastAsia="zh-CN"/>
                <w14:textFill>
                  <w14:solidFill>
                    <w14:schemeClr w14:val="tx1"/>
                  </w14:solidFill>
                </w14:textFill>
              </w:rPr>
              <w:t>10</w:t>
            </w:r>
            <w:r>
              <w:rPr>
                <w:rFonts w:hint="eastAsia" w:ascii="宋体" w:hAnsi="宋体" w:eastAsia="宋体" w:cs="宋体"/>
                <w:b w:val="0"/>
                <w:bCs/>
                <w:color w:val="000000" w:themeColor="text1"/>
                <w:sz w:val="21"/>
                <w:szCs w:val="21"/>
                <w:highlight w:val="none"/>
                <w:lang w:val="zh-CN" w:eastAsia="zh-CN"/>
                <w14:textFill>
                  <w14:solidFill>
                    <w14:schemeClr w14:val="tx1"/>
                  </w14:solidFill>
                </w14:textFill>
              </w:rPr>
              <w:t>%-</w:t>
            </w:r>
            <w:r>
              <w:rPr>
                <w:rFonts w:hint="eastAsia" w:ascii="宋体" w:hAnsi="宋体" w:cs="宋体"/>
                <w:b w:val="0"/>
                <w:bCs/>
                <w:color w:val="000000" w:themeColor="text1"/>
                <w:sz w:val="21"/>
                <w:szCs w:val="21"/>
                <w:highlight w:val="none"/>
                <w:lang w:val="en-US" w:eastAsia="zh-CN"/>
                <w14:textFill>
                  <w14:solidFill>
                    <w14:schemeClr w14:val="tx1"/>
                  </w14:solidFill>
                </w14:textFill>
              </w:rPr>
              <w:t>20</w:t>
            </w:r>
            <w:r>
              <w:rPr>
                <w:rFonts w:hint="eastAsia" w:ascii="宋体" w:hAnsi="宋体" w:eastAsia="宋体" w:cs="宋体"/>
                <w:b w:val="0"/>
                <w:bCs/>
                <w:color w:val="000000" w:themeColor="text1"/>
                <w:sz w:val="21"/>
                <w:szCs w:val="21"/>
                <w:highlight w:val="none"/>
                <w:lang w:val="zh-CN" w:eastAsia="zh-CN"/>
                <w14:textFill>
                  <w14:solidFill>
                    <w14:schemeClr w14:val="tx1"/>
                  </w14:solidFill>
                </w14:textFill>
              </w:rPr>
              <w:t>%）</w:t>
            </w:r>
            <w:r>
              <w:rPr>
                <w:rFonts w:hint="eastAsia" w:ascii="宋体" w:hAnsi="宋体" w:eastAsia="宋体" w:cs="宋体"/>
                <w:b w:val="0"/>
                <w:bCs/>
                <w:color w:val="000000" w:themeColor="text1"/>
                <w:sz w:val="21"/>
                <w:szCs w:val="21"/>
                <w:highlight w:val="none"/>
                <w14:textFill>
                  <w14:solidFill>
                    <w14:schemeClr w14:val="tx1"/>
                  </w14:solidFill>
                </w14:textFill>
              </w:rPr>
              <w:t>的扣除，用扣除后的价格参加评审。</w:t>
            </w:r>
            <w:r>
              <w:rPr>
                <w:rFonts w:hint="eastAsia" w:ascii="宋体" w:hAnsi="宋体" w:cs="宋体"/>
                <w:b w:val="0"/>
                <w:bCs/>
                <w:color w:val="000000" w:themeColor="text1"/>
                <w:sz w:val="21"/>
                <w:szCs w:val="21"/>
                <w:highlight w:val="none"/>
                <w:lang w:val="en-US" w:eastAsia="zh-CN"/>
                <w14:textFill>
                  <w14:solidFill>
                    <w14:schemeClr w14:val="tx1"/>
                  </w14:solidFill>
                </w14:textFill>
              </w:rPr>
              <w:t xml:space="preserve">  </w:t>
            </w:r>
          </w:p>
          <w:p w14:paraId="7E0C3172">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color w:val="000000" w:themeColor="text1"/>
                <w:kern w:val="2"/>
                <w:sz w:val="21"/>
                <w:szCs w:val="21"/>
                <w:highlight w:val="none"/>
                <w:lang w:val="en-US" w:eastAsia="zh-CN" w:bidi="ar-SA"/>
                <w14:textFill>
                  <w14:solidFill>
                    <w14:schemeClr w14:val="tx1"/>
                  </w14:solidFill>
                </w14:textFill>
              </w:rPr>
              <w:t>2、根据</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w:t>
            </w:r>
            <w:r>
              <w:rPr>
                <w:rFonts w:hint="eastAsia" w:ascii="宋体" w:hAnsi="宋体" w:eastAsia="宋体" w:cs="宋体"/>
                <w:b w:val="0"/>
                <w:bCs/>
                <w:color w:val="000000" w:themeColor="text1"/>
                <w:kern w:val="2"/>
                <w:sz w:val="21"/>
                <w:szCs w:val="21"/>
                <w:highlight w:val="none"/>
                <w:lang w:val="en-US" w:eastAsia="zh-CN" w:bidi="ar-SA"/>
                <w14:textFill>
                  <w14:solidFill>
                    <w14:schemeClr w14:val="tx1"/>
                  </w14:solidFill>
                </w14:textFill>
              </w:rPr>
              <w:t>关于印发中小企业划型标准规定的通知</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w:t>
            </w:r>
            <w:r>
              <w:rPr>
                <w:rFonts w:hint="eastAsia" w:ascii="宋体" w:hAnsi="宋体" w:eastAsia="宋体" w:cs="宋体"/>
                <w:b w:val="0"/>
                <w:bCs/>
                <w:color w:val="000000" w:themeColor="text1"/>
                <w:kern w:val="2"/>
                <w:sz w:val="21"/>
                <w:szCs w:val="21"/>
                <w:highlight w:val="none"/>
                <w:lang w:val="en-US" w:eastAsia="zh-CN" w:bidi="ar-SA"/>
                <w14:textFill>
                  <w14:solidFill>
                    <w14:schemeClr w14:val="tx1"/>
                  </w14:solidFill>
                </w14:textFill>
              </w:rPr>
              <w:t xml:space="preserve"> 文件的规定，本项目所属行业：</w:t>
            </w:r>
            <w:r>
              <w:rPr>
                <w:rFonts w:hint="eastAsia" w:ascii="宋体" w:hAnsi="宋体" w:cs="宋体"/>
                <w:b w:val="0"/>
                <w:bCs/>
                <w:color w:val="000000" w:themeColor="text1"/>
                <w:kern w:val="2"/>
                <w:sz w:val="21"/>
                <w:szCs w:val="21"/>
                <w:highlight w:val="none"/>
                <w:u w:val="single"/>
                <w:lang w:val="en-US" w:eastAsia="zh-CN" w:bidi="ar-SA"/>
                <w14:textFill>
                  <w14:solidFill>
                    <w14:schemeClr w14:val="tx1"/>
                  </w14:solidFill>
                </w14:textFill>
              </w:rPr>
              <w:t xml:space="preserve"> </w:t>
            </w:r>
            <w:r>
              <w:rPr>
                <w:rFonts w:hint="eastAsia" w:ascii="宋体" w:hAnsi="宋体" w:eastAsia="宋体" w:cs="宋体"/>
                <w:b w:val="0"/>
                <w:bCs/>
                <w:color w:val="000000" w:themeColor="text1"/>
                <w:kern w:val="2"/>
                <w:sz w:val="21"/>
                <w:szCs w:val="21"/>
                <w:highlight w:val="none"/>
                <w:u w:val="single"/>
                <w:lang w:val="en-US" w:eastAsia="zh-CN" w:bidi="ar-SA"/>
                <w14:textFill>
                  <w14:solidFill>
                    <w14:schemeClr w14:val="tx1"/>
                  </w14:solidFill>
                </w14:textFill>
              </w:rPr>
              <w:t>建筑业</w:t>
            </w:r>
            <w:r>
              <w:rPr>
                <w:rFonts w:hint="eastAsia" w:ascii="宋体" w:hAnsi="宋体" w:cs="宋体"/>
                <w:b w:val="0"/>
                <w:bCs/>
                <w:color w:val="000000" w:themeColor="text1"/>
                <w:kern w:val="2"/>
                <w:sz w:val="21"/>
                <w:szCs w:val="21"/>
                <w:highlight w:val="none"/>
                <w:u w:val="single"/>
                <w:lang w:val="en-US" w:eastAsia="zh-CN" w:bidi="ar-SA"/>
                <w14:textFill>
                  <w14:solidFill>
                    <w14:schemeClr w14:val="tx1"/>
                  </w14:solidFill>
                </w14:textFill>
              </w:rPr>
              <w:t xml:space="preserve"> </w:t>
            </w:r>
            <w:r>
              <w:rPr>
                <w:rFonts w:hint="eastAsia" w:ascii="宋体" w:hAnsi="宋体" w:eastAsia="宋体" w:cs="宋体"/>
                <w:b w:val="0"/>
                <w:bCs/>
                <w:color w:val="000000" w:themeColor="text1"/>
                <w:kern w:val="2"/>
                <w:sz w:val="21"/>
                <w:szCs w:val="21"/>
                <w:highlight w:val="none"/>
                <w:lang w:val="en-US" w:eastAsia="zh-CN" w:bidi="ar-SA"/>
                <w14:textFill>
                  <w14:solidFill>
                    <w14:schemeClr w14:val="tx1"/>
                  </w14:solidFill>
                </w14:textFill>
              </w:rPr>
              <w:t>。</w:t>
            </w:r>
          </w:p>
        </w:tc>
      </w:tr>
      <w:tr w14:paraId="2A550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vAlign w:val="center"/>
          </w:tcPr>
          <w:p w14:paraId="3FA2697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cs="宋体"/>
                <w:color w:val="000000" w:themeColor="text1"/>
                <w:sz w:val="21"/>
                <w:szCs w:val="21"/>
                <w:highlight w:val="none"/>
                <w:lang w:val="en-US" w:eastAsia="zh-CN"/>
                <w14:textFill>
                  <w14:solidFill>
                    <w14:schemeClr w14:val="tx1"/>
                  </w14:solidFill>
                </w14:textFill>
              </w:rPr>
              <w:t>6</w:t>
            </w:r>
          </w:p>
        </w:tc>
        <w:tc>
          <w:tcPr>
            <w:tcW w:w="2155" w:type="dxa"/>
            <w:vAlign w:val="center"/>
          </w:tcPr>
          <w:p w14:paraId="767CD8B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 w:val="0"/>
                <w:bCs/>
                <w:color w:val="000000" w:themeColor="text1"/>
                <w:kern w:val="0"/>
                <w:sz w:val="21"/>
                <w:szCs w:val="21"/>
                <w:highlight w:val="none"/>
                <w14:textFill>
                  <w14:solidFill>
                    <w14:schemeClr w14:val="tx1"/>
                  </w14:solidFill>
                </w14:textFill>
              </w:rPr>
            </w:pPr>
            <w:r>
              <w:rPr>
                <w:rFonts w:hint="eastAsia" w:ascii="宋体" w:hAnsi="宋体" w:eastAsia="宋体" w:cs="宋体"/>
                <w:b w:val="0"/>
                <w:bCs/>
                <w:color w:val="000000" w:themeColor="text1"/>
                <w:kern w:val="0"/>
                <w:sz w:val="21"/>
                <w:szCs w:val="21"/>
                <w:highlight w:val="none"/>
                <w:lang w:val="en-US" w:eastAsia="zh-CN" w:bidi="ar-SA"/>
                <w14:textFill>
                  <w14:solidFill>
                    <w14:schemeClr w14:val="tx1"/>
                  </w14:solidFill>
                </w14:textFill>
              </w:rPr>
              <w:t>节能、环保要求</w:t>
            </w:r>
          </w:p>
        </w:tc>
        <w:tc>
          <w:tcPr>
            <w:tcW w:w="6969" w:type="dxa"/>
            <w:gridSpan w:val="2"/>
            <w:vAlign w:val="center"/>
          </w:tcPr>
          <w:p w14:paraId="3BB3D89A">
            <w:pPr>
              <w:pStyle w:val="54"/>
              <w:spacing w:line="400" w:lineRule="exact"/>
              <w:rPr>
                <w:rFonts w:hint="eastAsia" w:ascii="宋体" w:hAnsi="宋体" w:eastAsia="宋体" w:cs="宋体"/>
                <w:b w:val="0"/>
                <w:bCs/>
                <w:color w:val="000000" w:themeColor="text1"/>
                <w:kern w:val="0"/>
                <w:sz w:val="21"/>
                <w:szCs w:val="21"/>
                <w:highlight w:val="none"/>
                <w14:textFill>
                  <w14:solidFill>
                    <w14:schemeClr w14:val="tx1"/>
                  </w14:solidFill>
                </w14:textFill>
              </w:rPr>
            </w:pPr>
            <w:r>
              <w:rPr>
                <w:rFonts w:hint="eastAsia" w:ascii="宋体" w:hAnsi="宋体" w:eastAsia="宋体" w:cs="宋体"/>
                <w:b w:val="0"/>
                <w:bCs/>
                <w:color w:val="000000" w:themeColor="text1"/>
                <w:kern w:val="0"/>
                <w:sz w:val="21"/>
                <w:szCs w:val="21"/>
                <w:highlight w:val="none"/>
                <w14:textFill>
                  <w14:solidFill>
                    <w14:schemeClr w14:val="tx1"/>
                  </w14:solidFill>
                </w14:textFill>
              </w:rPr>
              <w:t>按国家有关节能环保政策执行：</w:t>
            </w:r>
          </w:p>
          <w:p w14:paraId="3472CB1B">
            <w:pPr>
              <w:pStyle w:val="54"/>
              <w:spacing w:line="400" w:lineRule="exact"/>
              <w:rPr>
                <w:rFonts w:hint="eastAsia" w:ascii="宋体" w:hAnsi="宋体" w:eastAsia="宋体" w:cs="宋体"/>
                <w:b w:val="0"/>
                <w:bCs/>
                <w:color w:val="000000" w:themeColor="text1"/>
                <w:kern w:val="0"/>
                <w:sz w:val="21"/>
                <w:szCs w:val="21"/>
                <w:highlight w:val="none"/>
                <w14:textFill>
                  <w14:solidFill>
                    <w14:schemeClr w14:val="tx1"/>
                  </w14:solidFill>
                </w14:textFill>
              </w:rPr>
            </w:pPr>
            <w:r>
              <w:rPr>
                <w:rFonts w:hint="eastAsia" w:ascii="宋体" w:hAnsi="宋体" w:eastAsia="宋体" w:cs="宋体"/>
                <w:b w:val="0"/>
                <w:bCs/>
                <w:color w:val="000000" w:themeColor="text1"/>
                <w:kern w:val="0"/>
                <w:sz w:val="21"/>
                <w:szCs w:val="21"/>
                <w:highlight w:val="none"/>
                <w14:textFill>
                  <w14:solidFill>
                    <w14:schemeClr w14:val="tx1"/>
                  </w14:solidFill>
                </w14:textFill>
              </w:rPr>
              <w:t>1、财政部发展改革委生态环境部市场监管总局《关于调整优化节能产品、环境标志产品政府采购执行机制的通知》。</w:t>
            </w:r>
          </w:p>
          <w:p w14:paraId="5D410C96">
            <w:pPr>
              <w:pStyle w:val="54"/>
              <w:spacing w:line="400" w:lineRule="exact"/>
              <w:rPr>
                <w:rFonts w:hint="eastAsia" w:ascii="宋体" w:hAnsi="宋体" w:eastAsia="宋体" w:cs="宋体"/>
                <w:b w:val="0"/>
                <w:bCs/>
                <w:color w:val="000000" w:themeColor="text1"/>
                <w:kern w:val="0"/>
                <w:sz w:val="21"/>
                <w:szCs w:val="21"/>
                <w:highlight w:val="none"/>
                <w14:textFill>
                  <w14:solidFill>
                    <w14:schemeClr w14:val="tx1"/>
                  </w14:solidFill>
                </w14:textFill>
              </w:rPr>
            </w:pPr>
            <w:r>
              <w:rPr>
                <w:rFonts w:hint="eastAsia" w:ascii="宋体" w:hAnsi="宋体" w:eastAsia="宋体" w:cs="宋体"/>
                <w:b w:val="0"/>
                <w:bCs/>
                <w:color w:val="000000" w:themeColor="text1"/>
                <w:kern w:val="0"/>
                <w:sz w:val="21"/>
                <w:szCs w:val="21"/>
                <w:highlight w:val="none"/>
                <w14:textFill>
                  <w14:solidFill>
                    <w14:schemeClr w14:val="tx1"/>
                  </w14:solidFill>
                </w14:textFill>
              </w:rPr>
              <w:t>2、财政部发展改革委《关于印发节能产品政府采购品目清单的通知》。</w:t>
            </w:r>
          </w:p>
          <w:p w14:paraId="2AE6A55B">
            <w:pPr>
              <w:pStyle w:val="54"/>
              <w:spacing w:line="400" w:lineRule="exact"/>
              <w:rPr>
                <w:rFonts w:hint="eastAsia" w:ascii="宋体" w:hAnsi="宋体" w:eastAsia="宋体" w:cs="宋体"/>
                <w:b w:val="0"/>
                <w:bCs/>
                <w:color w:val="000000" w:themeColor="text1"/>
                <w:kern w:val="0"/>
                <w:sz w:val="21"/>
                <w:szCs w:val="21"/>
                <w:highlight w:val="none"/>
                <w14:textFill>
                  <w14:solidFill>
                    <w14:schemeClr w14:val="tx1"/>
                  </w14:solidFill>
                </w14:textFill>
              </w:rPr>
            </w:pPr>
            <w:r>
              <w:rPr>
                <w:rFonts w:hint="eastAsia" w:ascii="宋体" w:hAnsi="宋体" w:eastAsia="宋体" w:cs="宋体"/>
                <w:b w:val="0"/>
                <w:bCs/>
                <w:color w:val="000000" w:themeColor="text1"/>
                <w:kern w:val="0"/>
                <w:sz w:val="21"/>
                <w:szCs w:val="21"/>
                <w:highlight w:val="none"/>
                <w14:textFill>
                  <w14:solidFill>
                    <w14:schemeClr w14:val="tx1"/>
                  </w14:solidFill>
                </w14:textFill>
              </w:rPr>
              <w:t>3、财政部生态环境部</w:t>
            </w:r>
            <w:r>
              <w:rPr>
                <w:rFonts w:hint="eastAsia" w:ascii="宋体" w:hAnsi="宋体" w:cs="宋体"/>
                <w:b w:val="0"/>
                <w:bCs/>
                <w:color w:val="000000" w:themeColor="text1"/>
                <w:kern w:val="0"/>
                <w:sz w:val="21"/>
                <w:szCs w:val="21"/>
                <w:highlight w:val="none"/>
                <w:lang w:val="en-US" w:eastAsia="zh-CN"/>
                <w14:textFill>
                  <w14:solidFill>
                    <w14:schemeClr w14:val="tx1"/>
                  </w14:solidFill>
                </w14:textFill>
              </w:rPr>
              <w:t xml:space="preserve"> </w:t>
            </w:r>
            <w:r>
              <w:rPr>
                <w:rFonts w:hint="eastAsia" w:ascii="宋体" w:hAnsi="宋体" w:eastAsia="宋体" w:cs="宋体"/>
                <w:b w:val="0"/>
                <w:bCs/>
                <w:color w:val="000000" w:themeColor="text1"/>
                <w:kern w:val="0"/>
                <w:sz w:val="21"/>
                <w:szCs w:val="21"/>
                <w:highlight w:val="none"/>
                <w14:textFill>
                  <w14:solidFill>
                    <w14:schemeClr w14:val="tx1"/>
                  </w14:solidFill>
                </w14:textFill>
              </w:rPr>
              <w:t>《关于印发环境标志产品政府采购品目清单的通知》。</w:t>
            </w:r>
          </w:p>
          <w:p w14:paraId="512CEB51">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b w:val="0"/>
                <w:bCs/>
                <w:color w:val="000000" w:themeColor="text1"/>
                <w:sz w:val="21"/>
                <w:szCs w:val="21"/>
                <w:highlight w:val="none"/>
                <w14:textFill>
                  <w14:solidFill>
                    <w14:schemeClr w14:val="tx1"/>
                  </w14:solidFill>
                </w14:textFill>
              </w:rPr>
            </w:pPr>
            <w:r>
              <w:rPr>
                <w:rFonts w:hint="eastAsia" w:ascii="宋体" w:hAnsi="宋体" w:eastAsia="宋体" w:cs="宋体"/>
                <w:b w:val="0"/>
                <w:bCs/>
                <w:color w:val="000000" w:themeColor="text1"/>
                <w:kern w:val="0"/>
                <w:sz w:val="21"/>
                <w:szCs w:val="21"/>
                <w:highlight w:val="none"/>
                <w14:textFill>
                  <w14:solidFill>
                    <w14:schemeClr w14:val="tx1"/>
                  </w14:solidFill>
                </w14:textFill>
              </w:rPr>
              <w:t>4、市场监管总局《关于发布参与实施政府采购节能产品、环境标志产品认证机构名录的公告》。</w:t>
            </w:r>
          </w:p>
        </w:tc>
      </w:tr>
      <w:tr w14:paraId="0DFE6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834" w:type="dxa"/>
            <w:vAlign w:val="center"/>
          </w:tcPr>
          <w:p w14:paraId="2C585B6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cs="宋体"/>
                <w:color w:val="000000" w:themeColor="text1"/>
                <w:sz w:val="21"/>
                <w:szCs w:val="21"/>
                <w:highlight w:val="none"/>
                <w:lang w:val="en-US" w:eastAsia="zh-CN"/>
                <w14:textFill>
                  <w14:solidFill>
                    <w14:schemeClr w14:val="tx1"/>
                  </w14:solidFill>
                </w14:textFill>
              </w:rPr>
              <w:t>7</w:t>
            </w:r>
          </w:p>
        </w:tc>
        <w:tc>
          <w:tcPr>
            <w:tcW w:w="2155" w:type="dxa"/>
            <w:vAlign w:val="center"/>
          </w:tcPr>
          <w:p w14:paraId="3E99C32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招标代理服务费</w:t>
            </w:r>
          </w:p>
        </w:tc>
        <w:tc>
          <w:tcPr>
            <w:tcW w:w="6969" w:type="dxa"/>
            <w:gridSpan w:val="2"/>
            <w:vAlign w:val="center"/>
          </w:tcPr>
          <w:p w14:paraId="4BFFEB79">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spacing w:val="13"/>
                <w:lang w:eastAsia="zh-CN"/>
              </w:rPr>
              <w:t>根据招标代理服务收费按差额定率累进法计算；</w:t>
            </w:r>
            <w:r>
              <w:rPr>
                <w:rFonts w:hint="eastAsia" w:ascii="宋体" w:hAnsi="宋体" w:eastAsia="宋体" w:cs="宋体"/>
                <w:color w:val="000000" w:themeColor="text1"/>
                <w:sz w:val="21"/>
                <w:szCs w:val="21"/>
                <w:highlight w:val="none"/>
                <w:lang w:val="en-US" w:eastAsia="zh-CN"/>
                <w14:textFill>
                  <w14:solidFill>
                    <w14:schemeClr w14:val="tx1"/>
                  </w14:solidFill>
                </w14:textFill>
              </w:rPr>
              <w:t>由中标方支付。</w:t>
            </w:r>
          </w:p>
        </w:tc>
      </w:tr>
      <w:tr w14:paraId="2F14D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trPr>
        <w:tc>
          <w:tcPr>
            <w:tcW w:w="834" w:type="dxa"/>
            <w:vAlign w:val="center"/>
          </w:tcPr>
          <w:p w14:paraId="4989834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cs="宋体"/>
                <w:color w:val="000000" w:themeColor="text1"/>
                <w:sz w:val="21"/>
                <w:szCs w:val="21"/>
                <w:highlight w:val="none"/>
                <w:lang w:val="en-US" w:eastAsia="zh-CN"/>
                <w14:textFill>
                  <w14:solidFill>
                    <w14:schemeClr w14:val="tx1"/>
                  </w14:solidFill>
                </w14:textFill>
              </w:rPr>
              <w:t>8</w:t>
            </w:r>
          </w:p>
        </w:tc>
        <w:tc>
          <w:tcPr>
            <w:tcW w:w="2155" w:type="dxa"/>
            <w:vAlign w:val="center"/>
          </w:tcPr>
          <w:p w14:paraId="47304B7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最高投标限价</w:t>
            </w:r>
          </w:p>
        </w:tc>
        <w:tc>
          <w:tcPr>
            <w:tcW w:w="6969" w:type="dxa"/>
            <w:gridSpan w:val="2"/>
            <w:vAlign w:val="center"/>
          </w:tcPr>
          <w:p w14:paraId="1424DF32">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3673505.05元</w:t>
            </w:r>
            <w:r>
              <w:rPr>
                <w:rFonts w:hint="eastAsia" w:ascii="宋体" w:hAnsi="宋体" w:eastAsia="宋体" w:cs="宋体"/>
                <w:color w:val="000000" w:themeColor="text1"/>
                <w:sz w:val="21"/>
                <w:szCs w:val="21"/>
                <w:highlight w:val="none"/>
                <w:lang w:val="en-US" w:eastAsia="zh-CN"/>
                <w14:textFill>
                  <w14:solidFill>
                    <w14:schemeClr w14:val="tx1"/>
                  </w14:solidFill>
                </w14:textFill>
              </w:rPr>
              <w:t>（大写：</w:t>
            </w:r>
            <w:r>
              <w:rPr>
                <w:rFonts w:hint="eastAsia" w:ascii="宋体" w:hAnsi="宋体" w:cs="宋体"/>
                <w:color w:val="000000" w:themeColor="text1"/>
                <w:sz w:val="21"/>
                <w:szCs w:val="21"/>
                <w:highlight w:val="none"/>
                <w:lang w:val="en-US" w:eastAsia="zh-CN"/>
                <w14:textFill>
                  <w14:solidFill>
                    <w14:schemeClr w14:val="tx1"/>
                  </w14:solidFill>
                </w14:textFill>
              </w:rPr>
              <w:t xml:space="preserve">叁佰陆拾柒万叁仟伍佰零伍元零伍分 </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p>
          <w:p w14:paraId="52CF8D29">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投标单位报价均不得超过此限价，超过此限价视为无效投标。</w:t>
            </w:r>
          </w:p>
        </w:tc>
      </w:tr>
      <w:tr w14:paraId="57DB1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34" w:type="dxa"/>
            <w:vAlign w:val="center"/>
          </w:tcPr>
          <w:p w14:paraId="04378B6F">
            <w:pPr>
              <w:keepNext w:val="0"/>
              <w:keepLines w:val="0"/>
              <w:pageBreakBefore w:val="0"/>
              <w:widowControl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cs="宋体"/>
                <w:color w:val="000000" w:themeColor="text1"/>
                <w:sz w:val="21"/>
                <w:szCs w:val="21"/>
                <w:highlight w:val="none"/>
                <w:lang w:val="en-US" w:eastAsia="zh-CN"/>
                <w14:textFill>
                  <w14:solidFill>
                    <w14:schemeClr w14:val="tx1"/>
                  </w14:solidFill>
                </w14:textFill>
              </w:rPr>
              <w:t>9</w:t>
            </w:r>
          </w:p>
        </w:tc>
        <w:tc>
          <w:tcPr>
            <w:tcW w:w="2160" w:type="dxa"/>
            <w:gridSpan w:val="2"/>
            <w:vAlign w:val="center"/>
          </w:tcPr>
          <w:p w14:paraId="5398FA4A">
            <w:pPr>
              <w:keepNext w:val="0"/>
              <w:keepLines w:val="0"/>
              <w:pageBreakBefore w:val="0"/>
              <w:widowControl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其他内容</w:t>
            </w:r>
          </w:p>
        </w:tc>
        <w:tc>
          <w:tcPr>
            <w:tcW w:w="6964" w:type="dxa"/>
            <w:vAlign w:val="center"/>
          </w:tcPr>
          <w:p w14:paraId="3F0FBC77">
            <w:pPr>
              <w:keepNext w:val="0"/>
              <w:keepLines w:val="0"/>
              <w:pageBreakBefore w:val="0"/>
              <w:widowControl w:val="0"/>
              <w:kinsoku/>
              <w:wordWrap/>
              <w:overflowPunct/>
              <w:topLinePunct w:val="0"/>
              <w:autoSpaceDE/>
              <w:autoSpaceDN/>
              <w:bidi w:val="0"/>
              <w:spacing w:line="40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招标人补充的其他内容：</w:t>
            </w:r>
          </w:p>
          <w:p w14:paraId="60FB26FD">
            <w:pPr>
              <w:keepNext w:val="0"/>
              <w:keepLines w:val="0"/>
              <w:pageBreakBefore w:val="0"/>
              <w:widowControl w:val="0"/>
              <w:numPr>
                <w:ilvl w:val="0"/>
                <w:numId w:val="3"/>
              </w:numPr>
              <w:kinsoku/>
              <w:wordWrap/>
              <w:overflowPunct/>
              <w:topLinePunct w:val="0"/>
              <w:autoSpaceDE/>
              <w:autoSpaceDN/>
              <w:bidi w:val="0"/>
              <w:spacing w:line="400" w:lineRule="exact"/>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建设工程扬尘防范措施</w:t>
            </w:r>
            <w:r>
              <w:rPr>
                <w:rFonts w:hint="eastAsia" w:ascii="宋体" w:hAnsi="宋体" w:eastAsia="宋体" w:cs="宋体"/>
                <w:color w:val="000000" w:themeColor="text1"/>
                <w:sz w:val="21"/>
                <w:szCs w:val="21"/>
                <w:highlight w:val="none"/>
                <w:lang w:val="en-US" w:eastAsia="zh-CN"/>
                <w14:textFill>
                  <w14:solidFill>
                    <w14:schemeClr w14:val="tx1"/>
                  </w14:solidFill>
                </w14:textFill>
              </w:rPr>
              <w:t>参照</w:t>
            </w:r>
            <w:r>
              <w:rPr>
                <w:rFonts w:hint="eastAsia" w:ascii="宋体" w:hAnsi="宋体" w:eastAsia="宋体" w:cs="宋体"/>
                <w:color w:val="000000" w:themeColor="text1"/>
                <w:sz w:val="21"/>
                <w:szCs w:val="21"/>
                <w:highlight w:val="none"/>
                <w:lang w:eastAsia="zh-CN"/>
                <w14:textFill>
                  <w14:solidFill>
                    <w14:schemeClr w14:val="tx1"/>
                  </w14:solidFill>
                </w14:textFill>
              </w:rPr>
              <w:t>《关于印发伊犁州直建设工程扬尘防范措施增加费用的通知》，</w:t>
            </w:r>
            <w:r>
              <w:rPr>
                <w:rFonts w:hint="eastAsia" w:ascii="宋体" w:hAnsi="宋体" w:eastAsia="宋体" w:cs="宋体"/>
                <w:color w:val="000000" w:themeColor="text1"/>
                <w:sz w:val="21"/>
                <w:szCs w:val="21"/>
                <w:highlight w:val="none"/>
                <w:lang w:val="en-US" w:eastAsia="zh-CN"/>
                <w14:textFill>
                  <w14:solidFill>
                    <w14:schemeClr w14:val="tx1"/>
                  </w14:solidFill>
                </w14:textFill>
              </w:rPr>
              <w:t>建设工程智慧工地基础配置参照</w:t>
            </w:r>
            <w:r>
              <w:rPr>
                <w:rFonts w:hint="eastAsia" w:ascii="宋体" w:hAnsi="宋体" w:eastAsia="宋体" w:cs="宋体"/>
                <w:color w:val="000000" w:themeColor="text1"/>
                <w:sz w:val="21"/>
                <w:szCs w:val="21"/>
                <w:highlight w:val="none"/>
                <w:lang w:eastAsia="zh-CN"/>
                <w14:textFill>
                  <w14:solidFill>
                    <w14:schemeClr w14:val="tx1"/>
                  </w14:solidFill>
                </w14:textFill>
              </w:rPr>
              <w:t>《关于</w:t>
            </w:r>
            <w:r>
              <w:rPr>
                <w:rFonts w:hint="eastAsia" w:ascii="宋体" w:hAnsi="宋体" w:eastAsia="宋体" w:cs="宋体"/>
                <w:color w:val="000000" w:themeColor="text1"/>
                <w:sz w:val="21"/>
                <w:szCs w:val="21"/>
                <w:highlight w:val="none"/>
                <w:lang w:val="en-US" w:eastAsia="zh-CN"/>
                <w14:textFill>
                  <w14:solidFill>
                    <w14:schemeClr w14:val="tx1"/>
                  </w14:solidFill>
                </w14:textFill>
              </w:rPr>
              <w:t>建设工程智慧工地基础配置费用计取事项（试行）的通知</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14:paraId="06B6D3B1">
            <w:pPr>
              <w:keepNext w:val="0"/>
              <w:keepLines w:val="0"/>
              <w:pageBreakBefore w:val="0"/>
              <w:widowControl w:val="0"/>
              <w:numPr>
                <w:ilvl w:val="0"/>
                <w:numId w:val="0"/>
              </w:numPr>
              <w:kinsoku/>
              <w:wordWrap/>
              <w:overflowPunct/>
              <w:topLinePunct w:val="0"/>
              <w:autoSpaceDE/>
              <w:autoSpaceDN/>
              <w:bidi w:val="0"/>
              <w:spacing w:line="400" w:lineRule="exact"/>
              <w:textAlignment w:val="auto"/>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2、投标企业须提供针对本项目不拖欠农民工工资，建筑工人实名制管理，且在工程施工中使用不低于70%的当地农民工的承诺函</w:t>
            </w:r>
            <w:r>
              <w:rPr>
                <w:rFonts w:hint="eastAsia" w:ascii="宋体" w:hAnsi="宋体" w:cs="宋体"/>
                <w:color w:val="000000" w:themeColor="text1"/>
                <w:sz w:val="21"/>
                <w:szCs w:val="21"/>
                <w:highlight w:val="none"/>
                <w:lang w:val="en-US" w:eastAsia="zh-CN"/>
                <w14:textFill>
                  <w14:solidFill>
                    <w14:schemeClr w14:val="tx1"/>
                  </w14:solidFill>
                </w14:textFill>
              </w:rPr>
              <w:t>。</w:t>
            </w:r>
          </w:p>
        </w:tc>
      </w:tr>
    </w:tbl>
    <w:p w14:paraId="076CAA76">
      <w:pPr>
        <w:rPr>
          <w:rFonts w:hint="eastAsia"/>
          <w:color w:val="000000" w:themeColor="text1"/>
          <w:highlight w:val="none"/>
          <w:lang w:eastAsia="zh-CN"/>
          <w14:textFill>
            <w14:solidFill>
              <w14:schemeClr w14:val="tx1"/>
            </w14:solidFill>
          </w14:textFill>
        </w:rPr>
      </w:pPr>
      <w:bookmarkStart w:id="39" w:name="_Toc349573121"/>
      <w:bookmarkStart w:id="40" w:name="_Toc298240405"/>
      <w:bookmarkStart w:id="41" w:name="_Toc349637920"/>
      <w:bookmarkStart w:id="42" w:name="_Toc527642952"/>
      <w:bookmarkStart w:id="43" w:name="_Toc267301282"/>
    </w:p>
    <w:p w14:paraId="5ED497BD">
      <w:pPr>
        <w:pStyle w:val="4"/>
        <w:pageBreakBefore w:val="0"/>
        <w:kinsoku/>
        <w:wordWrap/>
        <w:overflowPunct/>
        <w:autoSpaceDE/>
        <w:autoSpaceDN/>
        <w:bidi w:val="0"/>
        <w:adjustRightInd/>
        <w:snapToGrid/>
        <w:spacing w:before="100" w:beforeAutospacing="1" w:after="100" w:afterAutospacing="1" w:line="480" w:lineRule="exact"/>
        <w:jc w:val="center"/>
        <w:textAlignment w:val="auto"/>
        <w:rPr>
          <w:rFonts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A  说　明</w:t>
      </w:r>
      <w:bookmarkEnd w:id="39"/>
      <w:bookmarkEnd w:id="40"/>
      <w:bookmarkEnd w:id="41"/>
      <w:bookmarkEnd w:id="42"/>
      <w:bookmarkEnd w:id="43"/>
    </w:p>
    <w:p w14:paraId="78729F99">
      <w:pPr>
        <w:pageBreakBefore w:val="0"/>
        <w:numPr>
          <w:ilvl w:val="0"/>
          <w:numId w:val="4"/>
        </w:numPr>
        <w:kinsoku/>
        <w:wordWrap/>
        <w:overflowPunct/>
        <w:autoSpaceDE/>
        <w:autoSpaceDN/>
        <w:bidi w:val="0"/>
        <w:adjustRightInd/>
        <w:snapToGrid/>
        <w:spacing w:line="480" w:lineRule="exact"/>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适用范围</w:t>
      </w:r>
    </w:p>
    <w:p w14:paraId="301F0E4F">
      <w:pPr>
        <w:pageBreakBefore w:val="0"/>
        <w:numPr>
          <w:ilvl w:val="1"/>
          <w:numId w:val="5"/>
        </w:numPr>
        <w:kinsoku/>
        <w:wordWrap/>
        <w:overflowPunct/>
        <w:autoSpaceDE/>
        <w:autoSpaceDN/>
        <w:bidi w:val="0"/>
        <w:adjustRightInd/>
        <w:snapToGrid/>
        <w:spacing w:line="480" w:lineRule="exact"/>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本磋商文件仅适用于本次投标中所叙述项目的工程项目招标。</w:t>
      </w:r>
    </w:p>
    <w:p w14:paraId="4358793A">
      <w:pPr>
        <w:pageBreakBefore w:val="0"/>
        <w:numPr>
          <w:ilvl w:val="0"/>
          <w:numId w:val="4"/>
        </w:numPr>
        <w:kinsoku/>
        <w:wordWrap/>
        <w:overflowPunct/>
        <w:autoSpaceDE/>
        <w:autoSpaceDN/>
        <w:bidi w:val="0"/>
        <w:adjustRightInd/>
        <w:snapToGrid/>
        <w:spacing w:line="480" w:lineRule="exact"/>
        <w:ind w:left="0" w:leftChars="0" w:firstLine="0" w:firstLineChars="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定义</w:t>
      </w:r>
    </w:p>
    <w:p w14:paraId="5057676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2.1 </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招标代理机构</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系指</w:t>
      </w:r>
      <w:r>
        <w:rPr>
          <w:rFonts w:hint="eastAsia" w:ascii="宋体" w:hAnsi="宋体" w:cs="宋体"/>
          <w:color w:val="000000" w:themeColor="text1"/>
          <w:sz w:val="24"/>
          <w:highlight w:val="none"/>
          <w:lang w:eastAsia="zh-CN"/>
          <w14:textFill>
            <w14:solidFill>
              <w14:schemeClr w14:val="tx1"/>
            </w14:solidFill>
          </w14:textFill>
        </w:rPr>
        <w:t>巩留县政府采购中心。</w:t>
      </w:r>
    </w:p>
    <w:p w14:paraId="349BDCC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2.2 </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eastAsia="zh-CN"/>
          <w14:textFill>
            <w14:solidFill>
              <w14:schemeClr w14:val="tx1"/>
            </w14:solidFill>
          </w14:textFill>
        </w:rPr>
        <w:t>招标人</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系指</w:t>
      </w:r>
      <w:r>
        <w:rPr>
          <w:rFonts w:hint="eastAsia" w:ascii="宋体" w:hAnsi="宋体" w:eastAsia="宋体" w:cs="宋体"/>
          <w:color w:val="000000" w:themeColor="text1"/>
          <w:sz w:val="24"/>
          <w:szCs w:val="24"/>
          <w:highlight w:val="none"/>
          <w14:textFill>
            <w14:solidFill>
              <w14:schemeClr w14:val="tx1"/>
            </w14:solidFill>
          </w14:textFill>
        </w:rPr>
        <w:t>（名</w:t>
      </w:r>
      <w:r>
        <w:rPr>
          <w:rFonts w:hint="eastAsia" w:ascii="宋体" w:hAnsi="宋体" w:eastAsia="宋体" w:cs="宋体"/>
          <w:color w:val="000000" w:themeColor="text1"/>
          <w:sz w:val="24"/>
          <w:highlight w:val="none"/>
          <w14:textFill>
            <w14:solidFill>
              <w14:schemeClr w14:val="tx1"/>
            </w14:solidFill>
          </w14:textFill>
        </w:rPr>
        <w:t>称）</w:t>
      </w:r>
      <w:r>
        <w:rPr>
          <w:rFonts w:hint="eastAsia" w:ascii="宋体" w:hAnsi="宋体" w:cs="宋体"/>
          <w:color w:val="000000" w:themeColor="text1"/>
          <w:sz w:val="24"/>
          <w:highlight w:val="none"/>
          <w:lang w:eastAsia="zh-CN"/>
          <w14:textFill>
            <w14:solidFill>
              <w14:schemeClr w14:val="tx1"/>
            </w14:solidFill>
          </w14:textFill>
        </w:rPr>
        <w:t>巩留县教育局</w:t>
      </w:r>
      <w:r>
        <w:rPr>
          <w:rFonts w:hint="eastAsia" w:ascii="宋体" w:hAnsi="宋体" w:cs="宋体"/>
          <w:color w:val="000000" w:themeColor="text1"/>
          <w:sz w:val="24"/>
          <w:highlight w:val="none"/>
          <w:lang w:val="en-US" w:eastAsia="zh-CN"/>
          <w14:textFill>
            <w14:solidFill>
              <w14:schemeClr w14:val="tx1"/>
            </w14:solidFill>
          </w14:textFill>
        </w:rPr>
        <w:t>。</w:t>
      </w:r>
    </w:p>
    <w:p w14:paraId="580F361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2.3 </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eastAsia="zh-CN"/>
          <w14:textFill>
            <w14:solidFill>
              <w14:schemeClr w14:val="tx1"/>
            </w14:solidFill>
          </w14:textFill>
        </w:rPr>
        <w:t>投标单位</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系指向招标代理机构提交磋商响应文件的</w:t>
      </w:r>
      <w:r>
        <w:rPr>
          <w:rFonts w:hint="eastAsia" w:ascii="宋体" w:hAnsi="宋体" w:eastAsia="宋体" w:cs="宋体"/>
          <w:color w:val="000000" w:themeColor="text1"/>
          <w:sz w:val="24"/>
          <w:highlight w:val="none"/>
          <w:lang w:eastAsia="zh-CN"/>
          <w14:textFill>
            <w14:solidFill>
              <w14:schemeClr w14:val="tx1"/>
            </w14:solidFill>
          </w14:textFill>
        </w:rPr>
        <w:t>投标企业。</w:t>
      </w:r>
    </w:p>
    <w:p w14:paraId="4A07097C">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2.4 </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中标方</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系指在本次项目中将被授予合同的</w:t>
      </w:r>
      <w:r>
        <w:rPr>
          <w:rFonts w:hint="eastAsia" w:ascii="宋体" w:hAnsi="宋体" w:eastAsia="宋体" w:cs="宋体"/>
          <w:color w:val="000000" w:themeColor="text1"/>
          <w:sz w:val="24"/>
          <w:highlight w:val="none"/>
          <w:lang w:eastAsia="zh-CN"/>
          <w14:textFill>
            <w14:solidFill>
              <w14:schemeClr w14:val="tx1"/>
            </w14:solidFill>
          </w14:textFill>
        </w:rPr>
        <w:t>投标单位</w:t>
      </w:r>
      <w:r>
        <w:rPr>
          <w:rFonts w:hint="eastAsia" w:ascii="宋体" w:hAnsi="宋体" w:eastAsia="宋体" w:cs="宋体"/>
          <w:color w:val="000000" w:themeColor="text1"/>
          <w:sz w:val="24"/>
          <w:highlight w:val="none"/>
          <w14:textFill>
            <w14:solidFill>
              <w14:schemeClr w14:val="tx1"/>
            </w14:solidFill>
          </w14:textFill>
        </w:rPr>
        <w:t>。</w:t>
      </w:r>
    </w:p>
    <w:p w14:paraId="68FF7D4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3．合格的</w:t>
      </w:r>
      <w:r>
        <w:rPr>
          <w:rFonts w:hint="eastAsia" w:ascii="宋体" w:hAnsi="宋体" w:eastAsia="宋体" w:cs="宋体"/>
          <w:color w:val="000000" w:themeColor="text1"/>
          <w:sz w:val="24"/>
          <w:highlight w:val="none"/>
          <w:lang w:eastAsia="zh-CN"/>
          <w14:textFill>
            <w14:solidFill>
              <w14:schemeClr w14:val="tx1"/>
            </w14:solidFill>
          </w14:textFill>
        </w:rPr>
        <w:t>投标单位</w:t>
      </w:r>
    </w:p>
    <w:p w14:paraId="0C2FF0C2">
      <w:pPr>
        <w:pageBreakBefore w:val="0"/>
        <w:kinsoku/>
        <w:wordWrap/>
        <w:overflowPunct/>
        <w:autoSpaceDE/>
        <w:autoSpaceDN/>
        <w:bidi w:val="0"/>
        <w:adjustRightInd/>
        <w:snapToGrid/>
        <w:spacing w:line="480" w:lineRule="exact"/>
        <w:ind w:left="480" w:hanging="480" w:hangingChars="200"/>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3.1 有能力提供磋商文件中所要求的服务、资格审查合格的</w:t>
      </w:r>
      <w:r>
        <w:rPr>
          <w:rFonts w:hint="eastAsia" w:ascii="宋体" w:hAnsi="宋体" w:eastAsia="宋体" w:cs="宋体"/>
          <w:color w:val="000000" w:themeColor="text1"/>
          <w:sz w:val="24"/>
          <w:highlight w:val="none"/>
          <w:lang w:eastAsia="zh-CN"/>
          <w14:textFill>
            <w14:solidFill>
              <w14:schemeClr w14:val="tx1"/>
            </w14:solidFill>
          </w14:textFill>
        </w:rPr>
        <w:t>投标单位。</w:t>
      </w:r>
    </w:p>
    <w:p w14:paraId="09B38D75">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3.2 </w:t>
      </w:r>
      <w:r>
        <w:rPr>
          <w:rFonts w:hint="eastAsia" w:ascii="宋体" w:hAnsi="宋体" w:eastAsia="宋体" w:cs="宋体"/>
          <w:color w:val="000000" w:themeColor="text1"/>
          <w:sz w:val="24"/>
          <w:highlight w:val="none"/>
          <w:lang w:eastAsia="zh-CN"/>
          <w14:textFill>
            <w14:solidFill>
              <w14:schemeClr w14:val="tx1"/>
            </w14:solidFill>
          </w14:textFill>
        </w:rPr>
        <w:t>投标单位</w:t>
      </w:r>
      <w:r>
        <w:rPr>
          <w:rFonts w:hint="eastAsia" w:ascii="宋体" w:hAnsi="宋体" w:eastAsia="宋体" w:cs="宋体"/>
          <w:color w:val="000000" w:themeColor="text1"/>
          <w:sz w:val="24"/>
          <w:highlight w:val="none"/>
          <w14:textFill>
            <w14:solidFill>
              <w14:schemeClr w14:val="tx1"/>
            </w14:solidFill>
          </w14:textFill>
        </w:rPr>
        <w:t>必须遵守有关的国内法律和规章条例。</w:t>
      </w:r>
    </w:p>
    <w:p w14:paraId="7D0B5737">
      <w:pPr>
        <w:pageBreakBefore w:val="0"/>
        <w:kinsoku/>
        <w:wordWrap/>
        <w:overflowPunct/>
        <w:autoSpaceDE/>
        <w:autoSpaceDN/>
        <w:bidi w:val="0"/>
        <w:adjustRightInd/>
        <w:snapToGrid/>
        <w:spacing w:line="480" w:lineRule="exact"/>
        <w:ind w:left="480" w:hanging="480" w:hangingChars="2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w:t>
      </w:r>
      <w:r>
        <w:rPr>
          <w:rFonts w:hint="eastAsia" w:ascii="宋体" w:hAnsi="宋体" w:eastAsia="宋体" w:cs="宋体"/>
          <w:color w:val="000000" w:themeColor="text1"/>
          <w:sz w:val="24"/>
          <w:highlight w:val="none"/>
          <w:lang w:eastAsia="zh-CN"/>
          <w14:textFill>
            <w14:solidFill>
              <w14:schemeClr w14:val="tx1"/>
            </w14:solidFill>
          </w14:textFill>
        </w:rPr>
        <w:t>投标单位</w:t>
      </w:r>
      <w:r>
        <w:rPr>
          <w:rFonts w:hint="eastAsia" w:ascii="宋体" w:hAnsi="宋体" w:eastAsia="宋体" w:cs="宋体"/>
          <w:color w:val="000000" w:themeColor="text1"/>
          <w:sz w:val="24"/>
          <w:highlight w:val="none"/>
          <w14:textFill>
            <w14:solidFill>
              <w14:schemeClr w14:val="tx1"/>
            </w14:solidFill>
          </w14:textFill>
        </w:rPr>
        <w:t>资格(废标因素)</w:t>
      </w:r>
    </w:p>
    <w:p w14:paraId="30DAFB23">
      <w:pPr>
        <w:pageBreakBefore w:val="0"/>
        <w:kinsoku/>
        <w:wordWrap/>
        <w:overflowPunct/>
        <w:autoSpaceDE/>
        <w:autoSpaceDN/>
        <w:bidi w:val="0"/>
        <w:adjustRightInd/>
        <w:snapToGrid/>
        <w:spacing w:line="480" w:lineRule="exact"/>
        <w:ind w:firstLine="480" w:firstLineChars="2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szCs w:val="22"/>
          <w:highlight w:val="none"/>
          <w14:textFill>
            <w14:solidFill>
              <w14:schemeClr w14:val="tx1"/>
            </w14:solidFill>
          </w14:textFill>
        </w:rPr>
        <w:t>符合</w:t>
      </w:r>
      <w:r>
        <w:rPr>
          <w:rFonts w:hint="eastAsia" w:ascii="宋体" w:hAnsi="宋体" w:eastAsia="宋体" w:cs="宋体"/>
          <w:color w:val="000000" w:themeColor="text1"/>
          <w:sz w:val="24"/>
          <w:szCs w:val="22"/>
          <w:highlight w:val="none"/>
          <w:lang w:eastAsia="zh-CN"/>
          <w14:textFill>
            <w14:solidFill>
              <w14:schemeClr w14:val="tx1"/>
            </w14:solidFill>
          </w14:textFill>
        </w:rPr>
        <w:t>投标单位</w:t>
      </w:r>
      <w:r>
        <w:rPr>
          <w:rFonts w:hint="eastAsia" w:ascii="宋体" w:hAnsi="宋体" w:eastAsia="宋体" w:cs="宋体"/>
          <w:color w:val="000000" w:themeColor="text1"/>
          <w:sz w:val="24"/>
          <w:szCs w:val="22"/>
          <w:highlight w:val="none"/>
          <w14:textFill>
            <w14:solidFill>
              <w14:schemeClr w14:val="tx1"/>
            </w14:solidFill>
          </w14:textFill>
        </w:rPr>
        <w:t>须知前附表第</w:t>
      </w:r>
      <w:r>
        <w:rPr>
          <w:rFonts w:hint="eastAsia" w:ascii="宋体" w:hAnsi="宋体" w:eastAsia="宋体" w:cs="宋体"/>
          <w:color w:val="000000" w:themeColor="text1"/>
          <w:sz w:val="24"/>
          <w:szCs w:val="22"/>
          <w:highlight w:val="none"/>
          <w:lang w:val="en-US" w:eastAsia="zh-CN"/>
          <w14:textFill>
            <w14:solidFill>
              <w14:schemeClr w14:val="tx1"/>
            </w14:solidFill>
          </w14:textFill>
        </w:rPr>
        <w:t>9</w:t>
      </w:r>
      <w:r>
        <w:rPr>
          <w:rFonts w:hint="eastAsia" w:ascii="宋体" w:hAnsi="宋体" w:eastAsia="宋体" w:cs="宋体"/>
          <w:color w:val="000000" w:themeColor="text1"/>
          <w:sz w:val="24"/>
          <w:szCs w:val="22"/>
          <w:highlight w:val="none"/>
          <w14:textFill>
            <w14:solidFill>
              <w14:schemeClr w14:val="tx1"/>
            </w14:solidFill>
          </w14:textFill>
        </w:rPr>
        <w:t>款。</w:t>
      </w:r>
    </w:p>
    <w:p w14:paraId="03DDC302">
      <w:pPr>
        <w:pageBreakBefore w:val="0"/>
        <w:tabs>
          <w:tab w:val="left" w:pos="252"/>
          <w:tab w:val="left" w:pos="671"/>
        </w:tabs>
        <w:kinsoku/>
        <w:wordWrap/>
        <w:overflowPunct/>
        <w:autoSpaceDE/>
        <w:autoSpaceDN/>
        <w:bidi w:val="0"/>
        <w:adjustRightInd/>
        <w:snapToGrid/>
        <w:spacing w:line="480" w:lineRule="exact"/>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5．投标费用</w:t>
      </w:r>
    </w:p>
    <w:p w14:paraId="19D7CF7E">
      <w:pPr>
        <w:pageBreakBefore w:val="0"/>
        <w:kinsoku/>
        <w:wordWrap/>
        <w:overflowPunct/>
        <w:autoSpaceDE/>
        <w:autoSpaceDN/>
        <w:bidi w:val="0"/>
        <w:adjustRightInd/>
        <w:snapToGrid/>
        <w:spacing w:line="480" w:lineRule="exact"/>
        <w:ind w:left="482" w:leftChars="199" w:hanging="64" w:hangingChars="27"/>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w:t>
      </w:r>
      <w:r>
        <w:rPr>
          <w:rFonts w:hint="eastAsia" w:ascii="宋体" w:hAnsi="宋体" w:eastAsia="宋体" w:cs="宋体"/>
          <w:color w:val="000000" w:themeColor="text1"/>
          <w:sz w:val="24"/>
          <w:highlight w:val="none"/>
          <w:lang w:eastAsia="zh-CN"/>
          <w14:textFill>
            <w14:solidFill>
              <w14:schemeClr w14:val="tx1"/>
            </w14:solidFill>
          </w14:textFill>
        </w:rPr>
        <w:t>投标单位</w:t>
      </w:r>
      <w:r>
        <w:rPr>
          <w:rFonts w:hint="eastAsia" w:ascii="宋体" w:hAnsi="宋体" w:eastAsia="宋体" w:cs="宋体"/>
          <w:color w:val="000000" w:themeColor="text1"/>
          <w:sz w:val="24"/>
          <w:highlight w:val="none"/>
          <w14:textFill>
            <w14:solidFill>
              <w14:schemeClr w14:val="tx1"/>
            </w14:solidFill>
          </w14:textFill>
        </w:rPr>
        <w:t>将自行承担所有与参加投标有关的全部费用。</w:t>
      </w:r>
    </w:p>
    <w:p w14:paraId="2E852E61">
      <w:pPr>
        <w:pStyle w:val="4"/>
        <w:pageBreakBefore w:val="0"/>
        <w:kinsoku/>
        <w:wordWrap/>
        <w:overflowPunct/>
        <w:autoSpaceDE/>
        <w:autoSpaceDN/>
        <w:bidi w:val="0"/>
        <w:adjustRightInd/>
        <w:snapToGrid/>
        <w:spacing w:before="100" w:beforeAutospacing="1" w:after="100" w:afterAutospacing="1" w:line="480" w:lineRule="exact"/>
        <w:jc w:val="center"/>
        <w:textAlignment w:val="auto"/>
        <w:rPr>
          <w:rFonts w:ascii="宋体" w:hAnsi="宋体" w:eastAsia="宋体" w:cs="宋体"/>
          <w:color w:val="000000" w:themeColor="text1"/>
          <w:sz w:val="28"/>
          <w:szCs w:val="28"/>
          <w:highlight w:val="none"/>
          <w14:textFill>
            <w14:solidFill>
              <w14:schemeClr w14:val="tx1"/>
            </w14:solidFill>
          </w14:textFill>
        </w:rPr>
      </w:pPr>
      <w:bookmarkStart w:id="44" w:name="_Toc267301283"/>
      <w:bookmarkStart w:id="45" w:name="_Toc527642953"/>
      <w:bookmarkStart w:id="46" w:name="_Toc298240406"/>
      <w:bookmarkStart w:id="47" w:name="_Toc349637921"/>
      <w:bookmarkStart w:id="48" w:name="_Toc349573122"/>
      <w:r>
        <w:rPr>
          <w:rFonts w:hint="eastAsia" w:ascii="宋体" w:hAnsi="宋体" w:eastAsia="宋体" w:cs="宋体"/>
          <w:color w:val="000000" w:themeColor="text1"/>
          <w:sz w:val="28"/>
          <w:szCs w:val="28"/>
          <w:highlight w:val="none"/>
          <w14:textFill>
            <w14:solidFill>
              <w14:schemeClr w14:val="tx1"/>
            </w14:solidFill>
          </w14:textFill>
        </w:rPr>
        <w:t>B  磋商文件</w:t>
      </w:r>
      <w:bookmarkEnd w:id="44"/>
      <w:bookmarkEnd w:id="45"/>
      <w:bookmarkEnd w:id="46"/>
      <w:bookmarkEnd w:id="47"/>
      <w:bookmarkEnd w:id="48"/>
    </w:p>
    <w:p w14:paraId="1975176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6．磋商文件构成</w:t>
      </w:r>
    </w:p>
    <w:p w14:paraId="06BA7AD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6.1磋商文件包括：</w:t>
      </w:r>
    </w:p>
    <w:p w14:paraId="1D673260">
      <w:pPr>
        <w:pStyle w:val="15"/>
        <w:pageBreakBefore w:val="0"/>
        <w:tabs>
          <w:tab w:val="right" w:leader="dot" w:pos="8400"/>
          <w:tab w:val="right" w:leader="dot" w:pos="9737"/>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TOC \o "1-2" \h \z \u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"_Toc527642949"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（1）竞争性磋商公告</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702E6690">
      <w:pPr>
        <w:pStyle w:val="15"/>
        <w:pageBreakBefore w:val="0"/>
        <w:tabs>
          <w:tab w:val="right" w:leader="dot" w:pos="8400"/>
          <w:tab w:val="right" w:leader="dot" w:pos="9737"/>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"_Toc527642950"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须知</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657BBB5B">
      <w:pPr>
        <w:pStyle w:val="15"/>
        <w:pageBreakBefore w:val="0"/>
        <w:tabs>
          <w:tab w:val="right" w:leader="dot" w:pos="9737"/>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"_Toc527642959"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（3）技术要求</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4A4DB0D2">
      <w:pPr>
        <w:pStyle w:val="15"/>
        <w:pageBreakBefore w:val="0"/>
        <w:tabs>
          <w:tab w:val="right" w:leader="dot" w:pos="9737"/>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"_Toc527642960"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）合同条款及格式</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2C4FDF43">
      <w:pPr>
        <w:pStyle w:val="15"/>
        <w:pageBreakBefore w:val="0"/>
        <w:tabs>
          <w:tab w:val="right" w:leader="dot" w:pos="9737"/>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"_Toc527642969"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）响应文件格式</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1EC96319">
      <w:pPr>
        <w:pStyle w:val="15"/>
        <w:pageBreakBefore w:val="0"/>
        <w:tabs>
          <w:tab w:val="right" w:leader="dot" w:pos="8541"/>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）补充条款</w:t>
      </w:r>
    </w:p>
    <w:p w14:paraId="0028870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6.2 磋商文件以中文编写</w:t>
      </w:r>
    </w:p>
    <w:p w14:paraId="27FC4A7C">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6.3 </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应认真阅读磋商文件中所有的事项、格式、条款和规范等要求，从而对磋商文件作出实质性响应。如果没有按照磋商文件要求提交全部磋商响应文件或资料，没有对磋商文件作出实质性响应，其风险应由</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自行承担。</w:t>
      </w:r>
    </w:p>
    <w:p w14:paraId="5AE11A7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7．磋商文件澄清</w:t>
      </w:r>
    </w:p>
    <w:p w14:paraId="764840A9">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7.1 </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对磋商文件有疑问的，可以向招标代理机构提出询问，招标代理机构将及时做出答复</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3531ACC5">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7.2 </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对磋商文件有质疑，须在得到磋商文件之日起至质疑截止时间止，以书面形式向招标机构提出质疑</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招标机构在收到书面质疑后，在</w:t>
      </w:r>
      <w:r>
        <w:rPr>
          <w:rFonts w:hint="eastAsia" w:ascii="宋体" w:hAnsi="宋体" w:eastAsia="宋体" w:cs="宋体"/>
          <w:color w:val="000000" w:themeColor="text1"/>
          <w:sz w:val="24"/>
          <w:szCs w:val="24"/>
          <w:highlight w:val="none"/>
          <w:lang w:eastAsia="zh-CN"/>
          <w14:textFill>
            <w14:solidFill>
              <w14:schemeClr w14:val="tx1"/>
            </w14:solidFill>
          </w14:textFill>
        </w:rPr>
        <w:t>提交响应文件截止时间</w:t>
      </w:r>
      <w:r>
        <w:rPr>
          <w:rFonts w:hint="eastAsia" w:ascii="宋体" w:hAnsi="宋体" w:eastAsia="宋体" w:cs="宋体"/>
          <w:color w:val="000000" w:themeColor="text1"/>
          <w:sz w:val="24"/>
          <w:szCs w:val="24"/>
          <w:highlight w:val="none"/>
          <w14:textFill>
            <w14:solidFill>
              <w14:schemeClr w14:val="tx1"/>
            </w14:solidFill>
          </w14:textFill>
        </w:rPr>
        <w:t>3个工作日前做出答复，并以书面形式通知质疑</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w:t>
      </w:r>
    </w:p>
    <w:p w14:paraId="4D7D850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  磋商文件的修改</w:t>
      </w:r>
    </w:p>
    <w:p w14:paraId="14210447">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8.1 对磋商文件进行必要的修改，招标代理机构将在</w:t>
      </w:r>
      <w:r>
        <w:rPr>
          <w:rFonts w:hint="default" w:ascii="宋体" w:hAnsi="宋体" w:eastAsia="宋体" w:cs="宋体"/>
          <w:color w:val="000000" w:themeColor="text1"/>
          <w:sz w:val="24"/>
          <w:szCs w:val="24"/>
          <w:highlight w:val="none"/>
          <w:lang w:val="en-US"/>
          <w14:textFill>
            <w14:solidFill>
              <w14:schemeClr w14:val="tx1"/>
            </w14:solidFill>
          </w14:textFill>
        </w:rPr>
        <w:t>提交响应文件</w:t>
      </w:r>
      <w:r>
        <w:rPr>
          <w:rFonts w:hint="eastAsia" w:ascii="宋体" w:hAnsi="宋体" w:eastAsia="宋体" w:cs="宋体"/>
          <w:color w:val="000000" w:themeColor="text1"/>
          <w:sz w:val="24"/>
          <w:szCs w:val="24"/>
          <w:highlight w:val="none"/>
          <w14:textFill>
            <w14:solidFill>
              <w14:schemeClr w14:val="tx1"/>
            </w14:solidFill>
          </w14:textFill>
        </w:rPr>
        <w:t>截止时间3个工作日前</w:t>
      </w:r>
      <w:r>
        <w:rPr>
          <w:rFonts w:hint="eastAsia" w:ascii="宋体" w:hAnsi="宋体" w:eastAsia="宋体" w:cs="宋体"/>
          <w:color w:val="000000" w:themeColor="text1"/>
          <w:sz w:val="24"/>
          <w:szCs w:val="24"/>
          <w:highlight w:val="none"/>
          <w:lang w:val="en-US" w:eastAsia="zh-CN"/>
          <w14:textFill>
            <w14:solidFill>
              <w14:schemeClr w14:val="tx1"/>
            </w14:solidFill>
          </w14:textFill>
        </w:rPr>
        <w:t>在新疆政府采购网</w:t>
      </w:r>
      <w:r>
        <w:rPr>
          <w:rFonts w:hint="default" w:ascii="宋体" w:hAnsi="宋体" w:eastAsia="宋体" w:cs="宋体"/>
          <w:color w:val="000000" w:themeColor="text1"/>
          <w:sz w:val="24"/>
          <w:szCs w:val="24"/>
          <w:highlight w:val="none"/>
          <w:lang w:val="en-US"/>
          <w14:textFill>
            <w14:solidFill>
              <w14:schemeClr w14:val="tx1"/>
            </w14:solidFill>
          </w14:textFill>
        </w:rPr>
        <w:t>发布澄清公告</w:t>
      </w:r>
      <w:r>
        <w:rPr>
          <w:rFonts w:hint="eastAsia" w:ascii="宋体" w:hAnsi="宋体" w:eastAsia="宋体" w:cs="宋体"/>
          <w:color w:val="000000" w:themeColor="text1"/>
          <w:sz w:val="24"/>
          <w:szCs w:val="24"/>
          <w:highlight w:val="none"/>
          <w14:textFill>
            <w14:solidFill>
              <w14:schemeClr w14:val="tx1"/>
            </w14:solidFill>
          </w14:textFill>
        </w:rPr>
        <w:t>。该修改的内容为磋商文件的组成部分</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365461A5">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8.2 在投标截止时间前，招标机构可视具体情况延长投标截止时间，</w:t>
      </w:r>
      <w:r>
        <w:rPr>
          <w:rFonts w:hint="eastAsia" w:ascii="宋体" w:hAnsi="宋体" w:eastAsia="宋体" w:cs="宋体"/>
          <w:color w:val="000000" w:themeColor="text1"/>
          <w:sz w:val="24"/>
          <w:szCs w:val="24"/>
          <w:highlight w:val="none"/>
          <w:lang w:val="en-US" w:eastAsia="zh-CN"/>
          <w14:textFill>
            <w14:solidFill>
              <w14:schemeClr w14:val="tx1"/>
            </w14:solidFill>
          </w14:textFill>
        </w:rPr>
        <w:t>在新疆政府采购网发布变更公告。</w:t>
      </w:r>
    </w:p>
    <w:p w14:paraId="07E3590D">
      <w:pPr>
        <w:pStyle w:val="4"/>
        <w:pageBreakBefore w:val="0"/>
        <w:kinsoku/>
        <w:wordWrap/>
        <w:overflowPunct/>
        <w:autoSpaceDE/>
        <w:autoSpaceDN/>
        <w:bidi w:val="0"/>
        <w:adjustRightInd/>
        <w:snapToGrid/>
        <w:spacing w:before="100" w:beforeAutospacing="1" w:after="100" w:afterAutospacing="1" w:line="480" w:lineRule="exact"/>
        <w:jc w:val="center"/>
        <w:textAlignment w:val="auto"/>
        <w:rPr>
          <w:rFonts w:ascii="宋体" w:hAnsi="宋体" w:eastAsia="宋体" w:cs="宋体"/>
          <w:color w:val="000000" w:themeColor="text1"/>
          <w:sz w:val="28"/>
          <w:szCs w:val="28"/>
          <w:highlight w:val="none"/>
          <w14:textFill>
            <w14:solidFill>
              <w14:schemeClr w14:val="tx1"/>
            </w14:solidFill>
          </w14:textFill>
        </w:rPr>
      </w:pPr>
      <w:bookmarkStart w:id="49" w:name="_Toc298240407"/>
      <w:bookmarkStart w:id="50" w:name="_Toc349637922"/>
      <w:bookmarkStart w:id="51" w:name="_Toc267301284"/>
      <w:bookmarkStart w:id="52" w:name="_Toc349573123"/>
      <w:bookmarkStart w:id="53" w:name="_Toc527642954"/>
      <w:r>
        <w:rPr>
          <w:rFonts w:hint="eastAsia" w:ascii="宋体" w:hAnsi="宋体" w:eastAsia="宋体" w:cs="宋体"/>
          <w:color w:val="000000" w:themeColor="text1"/>
          <w:sz w:val="28"/>
          <w:szCs w:val="28"/>
          <w:highlight w:val="none"/>
          <w14:textFill>
            <w14:solidFill>
              <w14:schemeClr w14:val="tx1"/>
            </w14:solidFill>
          </w14:textFill>
        </w:rPr>
        <w:t>C  磋商响应文件的编写</w:t>
      </w:r>
      <w:bookmarkEnd w:id="49"/>
      <w:bookmarkEnd w:id="50"/>
      <w:bookmarkEnd w:id="51"/>
      <w:bookmarkEnd w:id="52"/>
      <w:bookmarkEnd w:id="53"/>
    </w:p>
    <w:p w14:paraId="461A9CA2">
      <w:pPr>
        <w:pageBreakBefore w:val="0"/>
        <w:numPr>
          <w:ilvl w:val="0"/>
          <w:numId w:val="6"/>
        </w:numPr>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要求</w:t>
      </w:r>
    </w:p>
    <w:p w14:paraId="1571F855">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应仔细阅读磋商文件的所有内容，按磋商文件的要求提供磋商响应文件，并保证所提供的全部资料的真实性，以使其投标对磋商文件作出实质性响应，否则，其投标可能被拒绝。</w:t>
      </w:r>
    </w:p>
    <w:p w14:paraId="76716CC2">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10．投标语言</w:t>
      </w:r>
    </w:p>
    <w:p w14:paraId="6596409B">
      <w:pPr>
        <w:pageBreakBefore w:val="0"/>
        <w:kinsoku/>
        <w:wordWrap/>
        <w:overflowPunct/>
        <w:autoSpaceDE/>
        <w:autoSpaceDN/>
        <w:bidi w:val="0"/>
        <w:adjustRightInd/>
        <w:snapToGrid/>
        <w:spacing w:line="480" w:lineRule="exact"/>
        <w:ind w:left="599" w:leftChars="228" w:hanging="120" w:hangingChars="5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磋商响应文件及</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与招标代理机构就投标交换的文件和来往信件，应以中文书写。</w:t>
      </w:r>
    </w:p>
    <w:p w14:paraId="35636DEE">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11．磋商响应文件的构成</w:t>
      </w:r>
    </w:p>
    <w:p w14:paraId="1F2480D3">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11.1 </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编写的磋商响应文件应包括下列内容：</w:t>
      </w:r>
    </w:p>
    <w:p w14:paraId="4222FBED">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响应文件包含：商务标、经济标、技术标</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0CD796FC">
      <w:pPr>
        <w:pageBreakBefore w:val="0"/>
        <w:tabs>
          <w:tab w:val="left" w:pos="540"/>
          <w:tab w:val="left" w:pos="900"/>
          <w:tab w:val="left" w:pos="1080"/>
        </w:tabs>
        <w:kinsoku/>
        <w:wordWrap/>
        <w:overflowPunct/>
        <w:autoSpaceDE/>
        <w:autoSpaceDN/>
        <w:bidi w:val="0"/>
        <w:adjustRightInd/>
        <w:snapToGrid/>
        <w:spacing w:line="480" w:lineRule="exact"/>
        <w:textAlignment w:val="auto"/>
        <w:rPr>
          <w:rFonts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11.1 .1商务标内容：</w:t>
      </w:r>
    </w:p>
    <w:p w14:paraId="78DEE53A">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1、投标承诺书（一）</w:t>
      </w:r>
    </w:p>
    <w:p w14:paraId="5DEE604F">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2、投标承诺书（二）</w:t>
      </w:r>
    </w:p>
    <w:p w14:paraId="21A88FA8">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3、投标承诺书（三）</w:t>
      </w:r>
    </w:p>
    <w:p w14:paraId="21E2F7BE">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4、法定代表人身份证明书</w:t>
      </w:r>
    </w:p>
    <w:p w14:paraId="4E2CC8BC">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5、法定代表人授权委托书</w:t>
      </w:r>
    </w:p>
    <w:p w14:paraId="19737916">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概况（企业营业执照、资质证书、安全生产许可证、注册建造师证书和安全考核证</w:t>
      </w:r>
      <w:r>
        <w:rPr>
          <w:rFonts w:hint="eastAsia" w:ascii="宋体" w:hAnsi="宋体" w:cs="宋体"/>
          <w:color w:val="000000" w:themeColor="text1"/>
          <w:sz w:val="24"/>
          <w:szCs w:val="24"/>
          <w:highlight w:val="none"/>
          <w:lang w:eastAsia="zh-CN"/>
          <w14:textFill>
            <w14:solidFill>
              <w14:schemeClr w14:val="tx1"/>
            </w14:solidFill>
          </w14:textFill>
        </w:rPr>
        <w:t>、企业类似业绩、财务状况</w:t>
      </w:r>
      <w:r>
        <w:rPr>
          <w:rFonts w:hint="eastAsia" w:ascii="宋体" w:hAnsi="宋体" w:eastAsia="宋体" w:cs="宋体"/>
          <w:color w:val="000000" w:themeColor="text1"/>
          <w:sz w:val="24"/>
          <w:szCs w:val="24"/>
          <w:highlight w:val="none"/>
          <w:lang w:eastAsia="zh-CN"/>
          <w14:textFill>
            <w14:solidFill>
              <w14:schemeClr w14:val="tx1"/>
            </w14:solidFill>
          </w14:textFill>
        </w:rPr>
        <w:t>等</w:t>
      </w:r>
      <w:r>
        <w:rPr>
          <w:rFonts w:hint="eastAsia" w:ascii="宋体" w:hAnsi="宋体" w:eastAsia="宋体" w:cs="宋体"/>
          <w:color w:val="000000" w:themeColor="text1"/>
          <w:sz w:val="24"/>
          <w:szCs w:val="24"/>
          <w:highlight w:val="none"/>
          <w14:textFill>
            <w14:solidFill>
              <w14:schemeClr w14:val="tx1"/>
            </w14:solidFill>
          </w14:textFill>
        </w:rPr>
        <w:t>）</w:t>
      </w:r>
    </w:p>
    <w:p w14:paraId="4902622C">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7、项目管理人员</w:t>
      </w:r>
    </w:p>
    <w:p w14:paraId="71ED66B3">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8、投标保证金</w:t>
      </w:r>
      <w:r>
        <w:rPr>
          <w:rFonts w:hint="eastAsia" w:ascii="宋体" w:hAnsi="宋体" w:cs="宋体"/>
          <w:color w:val="000000" w:themeColor="text1"/>
          <w:sz w:val="24"/>
          <w:szCs w:val="24"/>
          <w:highlight w:val="none"/>
          <w:lang w:val="en-US" w:eastAsia="zh-CN"/>
          <w14:textFill>
            <w14:solidFill>
              <w14:schemeClr w14:val="tx1"/>
            </w14:solidFill>
          </w14:textFill>
        </w:rPr>
        <w:t>凭证</w:t>
      </w:r>
    </w:p>
    <w:p w14:paraId="0B6DEB07">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9、磋商文件要求的其他证明材料</w:t>
      </w:r>
    </w:p>
    <w:p w14:paraId="5BD33A26">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11.1 .2技术标内容：</w:t>
      </w:r>
    </w:p>
    <w:p w14:paraId="6A410C1D">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1、工程概况及特点</w:t>
      </w:r>
    </w:p>
    <w:p w14:paraId="5B24BC48">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2、施工准备计划</w:t>
      </w:r>
    </w:p>
    <w:p w14:paraId="07ECAC5D">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3、施工方案</w:t>
      </w:r>
    </w:p>
    <w:p w14:paraId="7DCA6023">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4、施工进度计划</w:t>
      </w:r>
    </w:p>
    <w:p w14:paraId="53938A28">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5、施工平面图</w:t>
      </w:r>
    </w:p>
    <w:p w14:paraId="5EDF01A2">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6、劳动力用量计划</w:t>
      </w:r>
    </w:p>
    <w:p w14:paraId="39CE5963">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7、材料用量计划</w:t>
      </w:r>
    </w:p>
    <w:p w14:paraId="1FBEC166">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8、机械设备用量计划</w:t>
      </w:r>
    </w:p>
    <w:p w14:paraId="3557706C">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9、质量保证措施和体系</w:t>
      </w:r>
    </w:p>
    <w:p w14:paraId="547751E1">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10、工期保证措施和体系</w:t>
      </w:r>
    </w:p>
    <w:p w14:paraId="3F8A9BA5">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11、安全保证措施和体系</w:t>
      </w:r>
    </w:p>
    <w:p w14:paraId="1A7C0A22">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12、现场文明施工措施</w:t>
      </w:r>
    </w:p>
    <w:p w14:paraId="3168BCE5">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13、承诺</w:t>
      </w:r>
    </w:p>
    <w:p w14:paraId="2A441693">
      <w:pPr>
        <w:pageBreakBefore w:val="0"/>
        <w:kinsoku/>
        <w:wordWrap/>
        <w:overflowPunct/>
        <w:topLinePunct/>
        <w:autoSpaceDE/>
        <w:autoSpaceDN/>
        <w:bidi w:val="0"/>
        <w:adjustRightInd/>
        <w:snapToGrid/>
        <w:spacing w:line="480" w:lineRule="exact"/>
        <w:ind w:firstLine="240" w:firstLineChars="1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注：投标文件须按技术标格式目录顺序编写</w:t>
      </w:r>
      <w:r>
        <w:rPr>
          <w:rFonts w:hint="eastAsia" w:ascii="宋体" w:hAnsi="宋体" w:cs="宋体"/>
          <w:color w:val="000000" w:themeColor="text1"/>
          <w:sz w:val="24"/>
          <w:szCs w:val="24"/>
          <w:highlight w:val="none"/>
          <w:lang w:eastAsia="zh-CN"/>
          <w14:textFill>
            <w14:solidFill>
              <w14:schemeClr w14:val="tx1"/>
            </w14:solidFill>
          </w14:textFill>
        </w:rPr>
        <w:t>。</w:t>
      </w:r>
    </w:p>
    <w:p w14:paraId="7B600619">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11.1 .3经济标内容：</w:t>
      </w:r>
    </w:p>
    <w:p w14:paraId="603DEFB9">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经济标内容（</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以本工程的招标工程量清单为依据编制，需按正规经济标内容及磋商文件规定编制</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7E50CFBE">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11.2</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响应文件纸张要求</w:t>
      </w:r>
    </w:p>
    <w:p w14:paraId="4DA31839">
      <w:pPr>
        <w:pageBreakBefore w:val="0"/>
        <w:tabs>
          <w:tab w:val="left" w:pos="540"/>
          <w:tab w:val="left" w:pos="900"/>
          <w:tab w:val="left" w:pos="1080"/>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商务标、技术标、经济标</w:t>
      </w:r>
      <w:r>
        <w:rPr>
          <w:rFonts w:hint="eastAsia" w:ascii="宋体" w:hAnsi="宋体" w:eastAsia="宋体" w:cs="宋体"/>
          <w:color w:val="000000" w:themeColor="text1"/>
          <w:sz w:val="24"/>
          <w:szCs w:val="24"/>
          <w:highlight w:val="none"/>
          <w14:textFill>
            <w14:solidFill>
              <w14:schemeClr w14:val="tx1"/>
            </w14:solidFill>
          </w14:textFill>
        </w:rPr>
        <w:t>应采用A4打印纸。</w:t>
      </w:r>
    </w:p>
    <w:p w14:paraId="4EA74A64">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54" w:name="_Hlk54580127"/>
      <w:bookmarkEnd w:id="54"/>
      <w:bookmarkStart w:id="55" w:name="_Hlk64525194"/>
      <w:bookmarkEnd w:id="55"/>
      <w:bookmarkStart w:id="56" w:name="_Hlk40073500"/>
      <w:bookmarkEnd w:id="56"/>
      <w:bookmarkStart w:id="57" w:name="_Hlk40073498"/>
      <w:bookmarkEnd w:id="57"/>
      <w:bookmarkStart w:id="58" w:name="_Hlk64525193"/>
      <w:bookmarkEnd w:id="58"/>
      <w:bookmarkStart w:id="59" w:name="_Hlk64525192"/>
      <w:bookmarkEnd w:id="59"/>
      <w:bookmarkStart w:id="60" w:name="_Hlk40073499"/>
      <w:bookmarkEnd w:id="60"/>
      <w:bookmarkStart w:id="61" w:name="_Hlk54580126"/>
      <w:bookmarkEnd w:id="61"/>
      <w:bookmarkStart w:id="62" w:name="_Hlk54580125"/>
      <w:bookmarkEnd w:id="62"/>
      <w:r>
        <w:rPr>
          <w:rFonts w:hint="eastAsia" w:ascii="宋体" w:hAnsi="宋体" w:eastAsia="宋体" w:cs="宋体"/>
          <w:color w:val="000000" w:themeColor="text1"/>
          <w:sz w:val="24"/>
          <w:szCs w:val="24"/>
          <w:highlight w:val="none"/>
          <w14:textFill>
            <w14:solidFill>
              <w14:schemeClr w14:val="tx1"/>
            </w14:solidFill>
          </w14:textFill>
        </w:rPr>
        <w:t>11.3</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响应文件书写要求</w:t>
      </w:r>
    </w:p>
    <w:p w14:paraId="59EF0493">
      <w:pPr>
        <w:pageBreakBefore w:val="0"/>
        <w:tabs>
          <w:tab w:val="left" w:pos="540"/>
          <w:tab w:val="left" w:pos="900"/>
          <w:tab w:val="left" w:pos="1080"/>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响应文件商务标、技术标、经济标采用打印方式书写。</w:t>
      </w:r>
    </w:p>
    <w:p w14:paraId="3A715431">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11.4</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响应文件装订要求</w:t>
      </w:r>
    </w:p>
    <w:p w14:paraId="1178AACB">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63" w:name="_Hlk64525276"/>
      <w:bookmarkEnd w:id="63"/>
      <w:bookmarkStart w:id="64" w:name="_Hlk54580193"/>
      <w:bookmarkEnd w:id="64"/>
      <w:bookmarkStart w:id="65" w:name="_Hlk54580195"/>
      <w:bookmarkEnd w:id="65"/>
      <w:bookmarkStart w:id="66" w:name="_Hlk64525274"/>
      <w:bookmarkEnd w:id="66"/>
      <w:bookmarkStart w:id="67" w:name="_Hlk64525275"/>
      <w:bookmarkEnd w:id="67"/>
      <w:bookmarkStart w:id="68" w:name="_Hlk54580194"/>
      <w:bookmarkEnd w:id="68"/>
      <w:r>
        <w:rPr>
          <w:rFonts w:hint="eastAsia" w:ascii="宋体" w:hAnsi="宋体" w:eastAsia="宋体" w:cs="宋体"/>
          <w:color w:val="000000" w:themeColor="text1"/>
          <w:sz w:val="24"/>
          <w:szCs w:val="24"/>
          <w:highlight w:val="none"/>
          <w14:textFill>
            <w14:solidFill>
              <w14:schemeClr w14:val="tx1"/>
            </w14:solidFill>
          </w14:textFill>
        </w:rPr>
        <w:t>11.4.1</w:t>
      </w:r>
      <w:r>
        <w:rPr>
          <w:rFonts w:hint="eastAsia" w:ascii="宋体" w:hAnsi="宋体" w:eastAsia="宋体" w:cs="宋体"/>
          <w:bCs/>
          <w:color w:val="000000" w:themeColor="text1"/>
          <w:sz w:val="24"/>
          <w:szCs w:val="24"/>
          <w:highlight w:val="none"/>
          <w14:textFill>
            <w14:solidFill>
              <w14:schemeClr w14:val="tx1"/>
            </w14:solidFill>
          </w14:textFill>
        </w:rPr>
        <w:t>商务标、技术标、经济标必须分别装订成册。否则整个响应文件将被视为不响应磋商文件，而予以拒绝评审。</w:t>
      </w:r>
    </w:p>
    <w:p w14:paraId="6920D94A">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69" w:name="_Hlk40073623"/>
      <w:bookmarkEnd w:id="69"/>
      <w:bookmarkStart w:id="70" w:name="_Hlk40073576"/>
      <w:bookmarkEnd w:id="70"/>
      <w:bookmarkStart w:id="71" w:name="_Hlk40073612"/>
      <w:bookmarkEnd w:id="71"/>
      <w:bookmarkStart w:id="72" w:name="_Hlk40073578"/>
      <w:bookmarkEnd w:id="72"/>
      <w:bookmarkStart w:id="73" w:name="_Hlk40073624"/>
      <w:bookmarkEnd w:id="73"/>
      <w:bookmarkStart w:id="74" w:name="_Hlk40073614"/>
      <w:bookmarkEnd w:id="74"/>
      <w:bookmarkStart w:id="75" w:name="_Hlk40073577"/>
      <w:bookmarkEnd w:id="75"/>
      <w:bookmarkStart w:id="76" w:name="_Hlk40073622"/>
      <w:bookmarkEnd w:id="76"/>
      <w:bookmarkStart w:id="77" w:name="_Hlk40073613"/>
      <w:bookmarkEnd w:id="77"/>
      <w:r>
        <w:rPr>
          <w:rFonts w:hint="eastAsia" w:ascii="宋体" w:hAnsi="宋体" w:eastAsia="宋体" w:cs="宋体"/>
          <w:color w:val="000000" w:themeColor="text1"/>
          <w:sz w:val="24"/>
          <w:szCs w:val="24"/>
          <w:highlight w:val="none"/>
          <w14:textFill>
            <w14:solidFill>
              <w14:schemeClr w14:val="tx1"/>
            </w14:solidFill>
          </w14:textFill>
        </w:rPr>
        <w:t>11.4.2商务标、经济标、技术标应按封面、目录、正文顺序装订。</w:t>
      </w:r>
    </w:p>
    <w:p w14:paraId="3BB6270E">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11.5</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响应文件字体要求</w:t>
      </w:r>
    </w:p>
    <w:p w14:paraId="53BCACC7">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响应文件商务标、技术标、经济标所采用的字体，以能够供评委识别看清为准。</w:t>
      </w:r>
    </w:p>
    <w:p w14:paraId="47FD170A">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11.6</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响应文件封面要求</w:t>
      </w:r>
    </w:p>
    <w:p w14:paraId="4712BA2D">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响应文件商务标、技术标、经济标封面宜按磋商文件规定格式编制。</w:t>
      </w:r>
    </w:p>
    <w:p w14:paraId="340D5AFE">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11.7</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响应文件目录要求</w:t>
      </w:r>
    </w:p>
    <w:p w14:paraId="41EF183A">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为便于评审，响应文件商务标、技术标、经济标目录宜按本磋商文件相关内容先后顺序编排。</w:t>
      </w:r>
    </w:p>
    <w:p w14:paraId="3443C491">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11.8</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响应文件的份数和签署</w:t>
      </w:r>
    </w:p>
    <w:p w14:paraId="580E2994">
      <w:pPr>
        <w:pageBreakBefore w:val="0"/>
        <w:tabs>
          <w:tab w:val="left" w:pos="540"/>
          <w:tab w:val="left" w:pos="900"/>
          <w:tab w:val="left" w:pos="1080"/>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加密电子版投标文件（一份）在投标截止前上传至</w:t>
      </w:r>
      <w:r>
        <w:rPr>
          <w:rFonts w:hint="default" w:ascii="宋体" w:hAnsi="宋体" w:eastAsia="宋体" w:cs="宋体"/>
          <w:color w:val="000000" w:themeColor="text1"/>
          <w:sz w:val="24"/>
          <w:szCs w:val="24"/>
          <w:highlight w:val="none"/>
          <w:lang w:val="en-US" w:eastAsia="zh-CN"/>
          <w14:textFill>
            <w14:solidFill>
              <w14:schemeClr w14:val="tx1"/>
            </w14:solidFill>
          </w14:textFill>
        </w:rPr>
        <w:t>新疆政府采购网（http://www.ccgp-xinjiang.gov.cn/）</w:t>
      </w:r>
      <w:r>
        <w:rPr>
          <w:rFonts w:hint="eastAsia" w:ascii="宋体" w:hAnsi="宋体" w:eastAsia="宋体" w:cs="宋体"/>
          <w:color w:val="000000" w:themeColor="text1"/>
          <w:sz w:val="24"/>
          <w:szCs w:val="24"/>
          <w:highlight w:val="none"/>
          <w:lang w:val="en-US" w:eastAsia="zh-CN"/>
          <w14:textFill>
            <w14:solidFill>
              <w14:schemeClr w14:val="tx1"/>
            </w14:solidFill>
          </w14:textFill>
        </w:rPr>
        <w:t>，否则视为无效，</w:t>
      </w:r>
      <w:r>
        <w:rPr>
          <w:rFonts w:hint="eastAsia" w:ascii="宋体" w:hAnsi="宋体" w:eastAsia="宋体" w:cs="宋体"/>
          <w:color w:val="000000" w:themeColor="text1"/>
          <w:sz w:val="24"/>
          <w:szCs w:val="24"/>
          <w:highlight w:val="none"/>
          <w:lang w:eastAsia="zh-CN"/>
          <w14:textFill>
            <w14:solidFill>
              <w14:schemeClr w14:val="tx1"/>
            </w14:solidFill>
          </w14:textFill>
        </w:rPr>
        <w:t>提供纸质版投标文件按以下要求签署</w:t>
      </w:r>
      <w:r>
        <w:rPr>
          <w:rFonts w:hint="eastAsia" w:ascii="宋体" w:hAnsi="宋体" w:cs="宋体"/>
          <w:color w:val="000000" w:themeColor="text1"/>
          <w:sz w:val="24"/>
          <w:szCs w:val="24"/>
          <w:highlight w:val="none"/>
          <w:lang w:eastAsia="zh-CN"/>
          <w14:textFill>
            <w14:solidFill>
              <w14:schemeClr w14:val="tx1"/>
            </w14:solidFill>
          </w14:textFill>
        </w:rPr>
        <w:t>。</w:t>
      </w:r>
    </w:p>
    <w:p w14:paraId="095A5939">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bookmarkStart w:id="78" w:name="_Hlk64546847"/>
      <w:bookmarkEnd w:id="78"/>
      <w:bookmarkStart w:id="79" w:name="_Hlk39211638"/>
      <w:bookmarkEnd w:id="79"/>
      <w:bookmarkStart w:id="80" w:name="_Hlk64398585"/>
      <w:bookmarkEnd w:id="80"/>
      <w:bookmarkStart w:id="81" w:name="_Hlk39211639"/>
      <w:bookmarkEnd w:id="81"/>
      <w:bookmarkStart w:id="82" w:name="_Hlk56077600"/>
      <w:bookmarkEnd w:id="82"/>
      <w:bookmarkStart w:id="83" w:name="_Hlk64398586"/>
      <w:bookmarkEnd w:id="83"/>
      <w:bookmarkStart w:id="84" w:name="_Hlk39211640"/>
      <w:bookmarkEnd w:id="84"/>
      <w:bookmarkStart w:id="85" w:name="_Hlk64546848"/>
      <w:bookmarkEnd w:id="85"/>
      <w:bookmarkStart w:id="86" w:name="_Hlk64398587"/>
      <w:bookmarkEnd w:id="86"/>
      <w:bookmarkStart w:id="87" w:name="_Hlk56077598"/>
      <w:bookmarkEnd w:id="87"/>
      <w:bookmarkStart w:id="88" w:name="_Hlk56077599"/>
      <w:bookmarkEnd w:id="88"/>
      <w:bookmarkStart w:id="89" w:name="_Hlk64546849"/>
      <w:bookmarkEnd w:id="89"/>
      <w:r>
        <w:rPr>
          <w:rFonts w:hint="eastAsia" w:ascii="宋体" w:hAnsi="宋体" w:eastAsia="宋体" w:cs="宋体"/>
          <w:color w:val="000000" w:themeColor="text1"/>
          <w:sz w:val="24"/>
          <w:szCs w:val="24"/>
          <w:highlight w:val="none"/>
          <w14:textFill>
            <w14:solidFill>
              <w14:schemeClr w14:val="tx1"/>
            </w14:solidFill>
          </w14:textFill>
        </w:rPr>
        <w:t>11.8.1</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应按</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须知前附表</w:t>
      </w:r>
      <w:bookmarkStart w:id="90" w:name="_Hlt39573761"/>
      <w:bookmarkEnd w:id="90"/>
      <w:bookmarkStart w:id="91" w:name="_Hlt64398617"/>
      <w:bookmarkEnd w:id="91"/>
      <w:bookmarkStart w:id="92" w:name="_Hlt19040661"/>
      <w:bookmarkEnd w:id="92"/>
      <w:bookmarkStart w:id="93" w:name="_Hlt38090323"/>
      <w:bookmarkEnd w:id="93"/>
      <w:bookmarkStart w:id="94" w:name="_Hlt64546867"/>
      <w:bookmarkEnd w:id="94"/>
      <w:bookmarkStart w:id="95" w:name="_Hlt18988738"/>
      <w:bookmarkEnd w:id="95"/>
      <w:bookmarkStart w:id="96" w:name="_Hlt38090339"/>
      <w:bookmarkEnd w:id="96"/>
      <w:bookmarkStart w:id="97" w:name="_Hlt19040430"/>
      <w:bookmarkEnd w:id="97"/>
      <w:bookmarkStart w:id="98" w:name="_Hlt39211642"/>
      <w:bookmarkEnd w:id="98"/>
      <w:bookmarkStart w:id="99" w:name="_Hlt38281763"/>
      <w:bookmarkEnd w:id="99"/>
      <w:bookmarkStart w:id="100" w:name="_Hlt19071243"/>
      <w:bookmarkEnd w:id="100"/>
      <w:bookmarkStart w:id="101" w:name="_Hlt18988603"/>
      <w:bookmarkEnd w:id="101"/>
      <w:bookmarkStart w:id="102" w:name="_Hlt38090346"/>
      <w:bookmarkEnd w:id="102"/>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"_Hlk18988600"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bookmarkStart w:id="103" w:name="_Hlt64398813"/>
      <w:bookmarkEnd w:id="103"/>
      <w:r>
        <w:rPr>
          <w:rFonts w:hint="eastAsia" w:ascii="宋体" w:hAnsi="宋体" w:eastAsia="宋体" w:cs="宋体"/>
          <w:color w:val="000000" w:themeColor="text1"/>
          <w:sz w:val="24"/>
          <w:szCs w:val="24"/>
          <w:highlight w:val="none"/>
          <w:u w:val="single"/>
          <w14:textFill>
            <w14:solidFill>
              <w14:schemeClr w14:val="tx1"/>
            </w14:solidFill>
          </w14:textFill>
        </w:rPr>
        <w:t>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17</w:t>
      </w:r>
      <w:r>
        <w:rPr>
          <w:rFonts w:hint="eastAsia" w:ascii="宋体" w:hAnsi="宋体" w:eastAsia="宋体" w:cs="宋体"/>
          <w:color w:val="000000" w:themeColor="text1"/>
          <w:sz w:val="24"/>
          <w:szCs w:val="24"/>
          <w:highlight w:val="none"/>
          <w:u w:val="single"/>
          <w14:textFill>
            <w14:solidFill>
              <w14:schemeClr w14:val="tx1"/>
            </w14:solidFill>
          </w14:textFill>
        </w:rPr>
        <w:t>款项规定，编制响应文件</w:t>
      </w:r>
      <w:r>
        <w:rPr>
          <w:rFonts w:hint="eastAsia" w:ascii="宋体" w:hAnsi="宋体" w:cs="宋体"/>
          <w:color w:val="000000" w:themeColor="text1"/>
          <w:sz w:val="24"/>
          <w:szCs w:val="24"/>
          <w:highlight w:val="none"/>
          <w:u w:val="single"/>
          <w:lang w:eastAsia="zh-CN"/>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正本</w:t>
      </w:r>
      <w:r>
        <w:rPr>
          <w:rFonts w:hint="eastAsia" w:ascii="宋体" w:hAnsi="宋体" w:cs="宋体"/>
          <w:color w:val="000000" w:themeColor="text1"/>
          <w:sz w:val="24"/>
          <w:szCs w:val="24"/>
          <w:highlight w:val="none"/>
          <w:u w:val="single"/>
          <w:lang w:eastAsia="zh-CN"/>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和</w:t>
      </w:r>
      <w:r>
        <w:rPr>
          <w:rFonts w:hint="eastAsia" w:ascii="宋体" w:hAnsi="宋体" w:cs="宋体"/>
          <w:color w:val="000000" w:themeColor="text1"/>
          <w:sz w:val="24"/>
          <w:szCs w:val="24"/>
          <w:highlight w:val="none"/>
          <w:u w:val="single"/>
          <w:lang w:eastAsia="zh-CN"/>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副本</w:t>
      </w:r>
      <w:r>
        <w:rPr>
          <w:rFonts w:hint="eastAsia" w:ascii="宋体" w:hAnsi="宋体" w:cs="宋体"/>
          <w:color w:val="000000" w:themeColor="text1"/>
          <w:sz w:val="24"/>
          <w:szCs w:val="24"/>
          <w:highlight w:val="none"/>
          <w:u w:val="single"/>
          <w:lang w:eastAsia="zh-CN"/>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份数</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5087D63A">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bookmarkStart w:id="104" w:name="_Hlk72641330"/>
      <w:bookmarkEnd w:id="104"/>
      <w:bookmarkStart w:id="105" w:name="_Hlk54581279"/>
      <w:bookmarkEnd w:id="105"/>
      <w:bookmarkStart w:id="106" w:name="_Hlk72641331"/>
      <w:bookmarkEnd w:id="106"/>
      <w:bookmarkStart w:id="107" w:name="_Hlk72641068"/>
      <w:bookmarkEnd w:id="107"/>
      <w:bookmarkStart w:id="108" w:name="_Hlk64525471"/>
      <w:bookmarkEnd w:id="108"/>
      <w:bookmarkStart w:id="109" w:name="_Hlk54581277"/>
      <w:bookmarkEnd w:id="109"/>
      <w:bookmarkStart w:id="110" w:name="_Hlk54579899"/>
      <w:bookmarkEnd w:id="110"/>
      <w:bookmarkStart w:id="111" w:name="_Hlk72641069"/>
      <w:bookmarkEnd w:id="111"/>
      <w:bookmarkStart w:id="112" w:name="_Hlk40073910"/>
      <w:bookmarkEnd w:id="112"/>
      <w:bookmarkStart w:id="113" w:name="_Hlk54579898"/>
      <w:bookmarkEnd w:id="113"/>
      <w:bookmarkStart w:id="114" w:name="_Hlk64545794"/>
      <w:bookmarkEnd w:id="114"/>
      <w:bookmarkStart w:id="115" w:name="_Hlk64545795"/>
      <w:bookmarkEnd w:id="115"/>
      <w:bookmarkStart w:id="116" w:name="_Hlk54581278"/>
      <w:bookmarkEnd w:id="116"/>
      <w:bookmarkStart w:id="117" w:name="_Hlk64545793"/>
      <w:bookmarkEnd w:id="117"/>
      <w:bookmarkStart w:id="118" w:name="_Hlk64525473"/>
      <w:bookmarkEnd w:id="118"/>
      <w:bookmarkStart w:id="119" w:name="_Hlk72641070"/>
      <w:bookmarkEnd w:id="119"/>
      <w:bookmarkStart w:id="120" w:name="_Hlk72641332"/>
      <w:bookmarkEnd w:id="120"/>
      <w:bookmarkStart w:id="121" w:name="_Hlk54579900"/>
      <w:bookmarkEnd w:id="121"/>
      <w:bookmarkStart w:id="122" w:name="_Hlk64525472"/>
      <w:bookmarkEnd w:id="122"/>
      <w:bookmarkStart w:id="123" w:name="_Hlk40073911"/>
      <w:bookmarkEnd w:id="123"/>
      <w:bookmarkStart w:id="124" w:name="_Hlk40073912"/>
      <w:bookmarkEnd w:id="124"/>
      <w:r>
        <w:rPr>
          <w:rFonts w:hint="eastAsia" w:ascii="宋体" w:hAnsi="宋体" w:eastAsia="宋体" w:cs="宋体"/>
          <w:color w:val="000000" w:themeColor="text1"/>
          <w:sz w:val="24"/>
          <w:szCs w:val="24"/>
          <w:highlight w:val="none"/>
          <w14:textFill>
            <w14:solidFill>
              <w14:schemeClr w14:val="tx1"/>
            </w14:solidFill>
          </w14:textFill>
        </w:rPr>
        <w:t>11.8.2</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商务标、技术标、经济标封面右上角必须注明</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正本</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或</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副本</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字样</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374B17A1">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11.8.3</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商务标、技术标、经济标凡是要求盖</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章、法定代表人或授权代理人章处，</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必须加盖</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599151A3">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125" w:name="_Hlk64544614"/>
      <w:bookmarkEnd w:id="125"/>
      <w:bookmarkStart w:id="126" w:name="_Hlk131417274"/>
      <w:bookmarkEnd w:id="126"/>
      <w:bookmarkStart w:id="127" w:name="_Hlk64544612"/>
      <w:bookmarkEnd w:id="127"/>
      <w:bookmarkStart w:id="128" w:name="_Hlk40073787"/>
      <w:bookmarkEnd w:id="128"/>
      <w:bookmarkStart w:id="129" w:name="_Hlk64544613"/>
      <w:bookmarkEnd w:id="129"/>
      <w:bookmarkStart w:id="130" w:name="_Hlk54580743"/>
      <w:bookmarkEnd w:id="130"/>
      <w:bookmarkStart w:id="131" w:name="_Hlk131417276"/>
      <w:bookmarkEnd w:id="131"/>
      <w:bookmarkStart w:id="132" w:name="_Hlk40073788"/>
      <w:bookmarkEnd w:id="132"/>
      <w:bookmarkStart w:id="133" w:name="_Hlk54580742"/>
      <w:bookmarkEnd w:id="133"/>
      <w:bookmarkStart w:id="134" w:name="_Hlk40073789"/>
      <w:bookmarkEnd w:id="134"/>
      <w:bookmarkStart w:id="135" w:name="_Hlk131417275"/>
      <w:bookmarkEnd w:id="135"/>
      <w:bookmarkStart w:id="136" w:name="_Hlk54580744"/>
      <w:bookmarkEnd w:id="136"/>
      <w:r>
        <w:rPr>
          <w:rFonts w:hint="eastAsia" w:ascii="宋体" w:hAnsi="宋体" w:eastAsia="宋体" w:cs="宋体"/>
          <w:color w:val="000000" w:themeColor="text1"/>
          <w:sz w:val="24"/>
          <w:szCs w:val="24"/>
          <w:highlight w:val="none"/>
          <w14:textFill>
            <w14:solidFill>
              <w14:schemeClr w14:val="tx1"/>
            </w14:solidFill>
          </w14:textFill>
        </w:rPr>
        <w:t>11.8.4</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投标总价要求</w:t>
      </w:r>
      <w:r>
        <w:rPr>
          <w:rFonts w:hint="eastAsia" w:ascii="宋体" w:hAnsi="宋体" w:eastAsia="宋体" w:cs="宋体"/>
          <w:color w:val="000000" w:themeColor="text1"/>
          <w:sz w:val="24"/>
          <w:szCs w:val="24"/>
          <w:highlight w:val="none"/>
          <w:lang w:eastAsia="zh-CN"/>
          <w14:textFill>
            <w14:solidFill>
              <w14:schemeClr w14:val="tx1"/>
            </w14:solidFill>
          </w14:textFill>
        </w:rPr>
        <w:t>加盖投标单位</w:t>
      </w:r>
      <w:r>
        <w:rPr>
          <w:rFonts w:hint="eastAsia" w:ascii="宋体" w:hAnsi="宋体" w:eastAsia="宋体" w:cs="宋体"/>
          <w:color w:val="000000" w:themeColor="text1"/>
          <w:sz w:val="24"/>
          <w:szCs w:val="24"/>
          <w:highlight w:val="none"/>
          <w14:textFill>
            <w14:solidFill>
              <w14:schemeClr w14:val="tx1"/>
            </w14:solidFill>
          </w14:textFill>
        </w:rPr>
        <w:t>章、法定代表人或授权代理人章、造价人员章处，</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必须加盖。</w:t>
      </w:r>
    </w:p>
    <w:p w14:paraId="0370CC67">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11.9</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响应文件正本和副本如有不一致之处，以正本为准。</w:t>
      </w:r>
    </w:p>
    <w:p w14:paraId="2DF05BD9">
      <w:pPr>
        <w:pageBreakBefore w:val="0"/>
        <w:tabs>
          <w:tab w:val="left" w:pos="540"/>
          <w:tab w:val="left" w:pos="900"/>
          <w:tab w:val="left" w:pos="1080"/>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bookmarkStart w:id="137" w:name="_Hlk64544689"/>
      <w:bookmarkEnd w:id="137"/>
      <w:bookmarkStart w:id="138" w:name="_Hlk64544687"/>
      <w:bookmarkEnd w:id="138"/>
      <w:bookmarkStart w:id="139" w:name="_Hlk64544688"/>
      <w:bookmarkEnd w:id="139"/>
      <w:r>
        <w:rPr>
          <w:rFonts w:hint="eastAsia" w:ascii="宋体" w:hAnsi="宋体" w:eastAsia="宋体" w:cs="宋体"/>
          <w:color w:val="000000" w:themeColor="text1"/>
          <w:sz w:val="24"/>
          <w:szCs w:val="24"/>
          <w:highlight w:val="none"/>
          <w14:textFill>
            <w14:solidFill>
              <w14:schemeClr w14:val="tx1"/>
            </w14:solidFill>
          </w14:textFill>
        </w:rPr>
        <w:t>全套响应文件应无涂改和行间插字，除非这些删改是根据</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的指示进行的，或者是</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造成的必须修改的错误。修改处应加盖法定代表人或授权代理人章。但技术标、经济标严禁涂改和行间插字。</w:t>
      </w:r>
    </w:p>
    <w:p w14:paraId="7EB93864">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11.10</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响应文件的密封与标志</w:t>
      </w:r>
    </w:p>
    <w:p w14:paraId="7529A3B0">
      <w:pPr>
        <w:pageBreakBefore w:val="0"/>
        <w:tabs>
          <w:tab w:val="left" w:pos="540"/>
          <w:tab w:val="left" w:pos="900"/>
          <w:tab w:val="left" w:pos="1080"/>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必须</w:t>
      </w:r>
      <w:r>
        <w:rPr>
          <w:rFonts w:hint="eastAsia" w:ascii="宋体" w:hAnsi="宋体" w:eastAsia="宋体" w:cs="宋体"/>
          <w:color w:val="000000" w:themeColor="text1"/>
          <w:sz w:val="24"/>
          <w:szCs w:val="24"/>
          <w:highlight w:val="none"/>
          <w:lang w:eastAsia="zh-CN"/>
          <w14:textFill>
            <w14:solidFill>
              <w14:schemeClr w14:val="tx1"/>
            </w14:solidFill>
          </w14:textFill>
        </w:rPr>
        <w:t>严格按照</w:t>
      </w:r>
      <w:r>
        <w:rPr>
          <w:rFonts w:hint="eastAsia" w:ascii="宋体" w:hAnsi="宋体" w:eastAsia="宋体" w:cs="宋体"/>
          <w:color w:val="000000" w:themeColor="text1"/>
          <w:sz w:val="24"/>
          <w:szCs w:val="24"/>
          <w:highlight w:val="none"/>
          <w14:textFill>
            <w14:solidFill>
              <w14:schemeClr w14:val="tx1"/>
            </w14:solidFill>
          </w14:textFill>
        </w:rPr>
        <w:t>商务标、技术标、经济标</w:t>
      </w:r>
      <w:r>
        <w:rPr>
          <w:rFonts w:hint="eastAsia" w:ascii="宋体" w:hAnsi="宋体" w:eastAsia="宋体" w:cs="宋体"/>
          <w:color w:val="000000" w:themeColor="text1"/>
          <w:sz w:val="24"/>
          <w:szCs w:val="24"/>
          <w:highlight w:val="none"/>
          <w:lang w:eastAsia="zh-CN"/>
          <w14:textFill>
            <w14:solidFill>
              <w14:schemeClr w14:val="tx1"/>
            </w14:solidFill>
          </w14:textFill>
        </w:rPr>
        <w:t>顺序制作电子版投标文件，并上传至</w:t>
      </w:r>
      <w:r>
        <w:rPr>
          <w:rFonts w:hint="eastAsia" w:ascii="宋体" w:hAnsi="宋体" w:eastAsia="宋体" w:cs="宋体"/>
          <w:color w:val="000000" w:themeColor="text1"/>
          <w:sz w:val="24"/>
          <w:szCs w:val="24"/>
          <w:highlight w:val="none"/>
          <w:lang w:val="en-US" w:eastAsia="zh-CN"/>
          <w14:textFill>
            <w14:solidFill>
              <w14:schemeClr w14:val="tx1"/>
            </w14:solidFill>
          </w14:textFill>
        </w:rPr>
        <w:t>新疆政府采购网政采云平台。</w:t>
      </w:r>
    </w:p>
    <w:p w14:paraId="18FEAD1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12．磋商响应文件格式</w:t>
      </w:r>
    </w:p>
    <w:p w14:paraId="07C03DC1">
      <w:pPr>
        <w:pageBreakBefore w:val="0"/>
        <w:kinsoku/>
        <w:wordWrap/>
        <w:overflowPunct/>
        <w:autoSpaceDE/>
        <w:autoSpaceDN/>
        <w:bidi w:val="0"/>
        <w:adjustRightInd/>
        <w:snapToGrid/>
        <w:spacing w:line="480" w:lineRule="exact"/>
        <w:ind w:left="599" w:leftChars="228" w:hanging="120" w:hangingChars="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应按磋商文件的范本格式中提供的磋商响应文件格式填写响应文件。</w:t>
      </w:r>
    </w:p>
    <w:p w14:paraId="77D6564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13．投标报价</w:t>
      </w:r>
    </w:p>
    <w:p w14:paraId="7AC0D493">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13.1除本磋商文件另有规定外，</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应按磋商文件所附相应的投标一览表格式标明拟提供服务的单价和总价等内容。报价以人民币报价，不接受有任何选择性报价。</w:t>
      </w:r>
    </w:p>
    <w:p w14:paraId="0E3EB605">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13.2 投标报价应注意下列要求：</w:t>
      </w:r>
    </w:p>
    <w:p w14:paraId="179BA4F5">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投标报价应包括实施该项目涵盖的所有费用。</w:t>
      </w:r>
    </w:p>
    <w:p w14:paraId="5ADA84A4">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13.3 算术性修正。算术性修正是指对磋商响应文件的报价明细进行校核，并对其算术上和运算上的差错给予修正。修正的原则如下：</w:t>
      </w:r>
    </w:p>
    <w:p w14:paraId="333F55D0">
      <w:pPr>
        <w:pageBreakBefore w:val="0"/>
        <w:kinsoku/>
        <w:wordWrap/>
        <w:overflowPunct/>
        <w:autoSpaceDE/>
        <w:autoSpaceDN/>
        <w:bidi w:val="0"/>
        <w:adjustRightInd/>
        <w:snapToGrid/>
        <w:spacing w:line="480" w:lineRule="exact"/>
        <w:ind w:left="720" w:hanging="720" w:hangingChars="3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13.3.1 当以数字表示的金额与文字表示的金额有差异时，以文字表示的金额为准；</w:t>
      </w:r>
    </w:p>
    <w:p w14:paraId="57C50F73">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13.3.2 当单价与数量相乘不等于合价时，以单价计算为准。如果单价有明显的小数点位置差错，应以标出的合价为准，同时对单价予以修正；</w:t>
      </w:r>
    </w:p>
    <w:p w14:paraId="10EF1A16">
      <w:pPr>
        <w:pageBreakBefore w:val="0"/>
        <w:kinsoku/>
        <w:wordWrap/>
        <w:overflowPunct/>
        <w:autoSpaceDE/>
        <w:autoSpaceDN/>
        <w:bidi w:val="0"/>
        <w:adjustRightInd/>
        <w:snapToGrid/>
        <w:spacing w:line="480" w:lineRule="exact"/>
        <w:ind w:left="720" w:hanging="720" w:hangingChars="3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13.3.3 当各明细部分的价格累计不等于合价时，应以各明细的累计计数为准，修正合价</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57B99B0A">
      <w:pPr>
        <w:pageBreakBefore w:val="0"/>
        <w:tabs>
          <w:tab w:val="left" w:pos="540"/>
          <w:tab w:val="left" w:pos="900"/>
          <w:tab w:val="left" w:pos="1080"/>
        </w:tabs>
        <w:kinsoku/>
        <w:wordWrap/>
        <w:overflowPunct/>
        <w:autoSpaceDE/>
        <w:autoSpaceDN/>
        <w:bidi w:val="0"/>
        <w:adjustRightInd/>
        <w:snapToGrid/>
        <w:spacing w:line="480" w:lineRule="exact"/>
        <w:ind w:left="480" w:hanging="480" w:hanging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13.3.4 按以上原则对算术性差错修正，应取得</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的同意，并确认修正后最终投标价。如果</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拒绝确认，则其磋商响应文件将不予以评审并按废标处理，没收其投标担保。</w:t>
      </w:r>
    </w:p>
    <w:p w14:paraId="2088D63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14．投标货币</w:t>
      </w:r>
    </w:p>
    <w:p w14:paraId="49AB5DB8">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人民币报价。</w:t>
      </w:r>
    </w:p>
    <w:p w14:paraId="2BAB543C">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w:t>
      </w:r>
      <w:r>
        <w:rPr>
          <w:rFonts w:hint="eastAsia" w:ascii="宋体" w:hAnsi="宋体" w:eastAsia="宋体" w:cs="宋体"/>
          <w:bCs/>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bCs/>
          <w:color w:val="000000" w:themeColor="text1"/>
          <w:sz w:val="24"/>
          <w:szCs w:val="24"/>
          <w:highlight w:val="none"/>
          <w14:textFill>
            <w14:solidFill>
              <w14:schemeClr w14:val="tx1"/>
            </w14:solidFill>
          </w14:textFill>
        </w:rPr>
        <w:t>的证明文件：</w:t>
      </w:r>
    </w:p>
    <w:p w14:paraId="5DBE548A">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bCs/>
          <w:color w:val="000000" w:themeColor="text1"/>
          <w:spacing w:val="8"/>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bCs/>
          <w:color w:val="000000" w:themeColor="text1"/>
          <w:sz w:val="24"/>
          <w:szCs w:val="24"/>
          <w:highlight w:val="none"/>
          <w14:textFill>
            <w14:solidFill>
              <w14:schemeClr w14:val="tx1"/>
            </w14:solidFill>
          </w14:textFill>
        </w:rPr>
        <w:t>必须提交证明其有资格进行投标和有能力履行合同的文件（范本格式），作为磋商响应文件的一部分。</w:t>
      </w:r>
    </w:p>
    <w:p w14:paraId="708D0364">
      <w:pPr>
        <w:pageBreakBefore w:val="0"/>
        <w:kinsoku/>
        <w:wordWrap/>
        <w:overflowPunct/>
        <w:autoSpaceDE/>
        <w:autoSpaceDN/>
        <w:bidi w:val="0"/>
        <w:adjustRightInd/>
        <w:snapToGrid/>
        <w:spacing w:line="480" w:lineRule="exact"/>
        <w:ind w:left="73" w:leftChars="35"/>
        <w:textAlignment w:val="auto"/>
        <w:rPr>
          <w:rFonts w:hint="eastAsia" w:ascii="宋体" w:hAnsi="宋体" w:eastAsia="宋体" w:cs="宋体"/>
          <w:b/>
          <w:color w:val="000000" w:themeColor="text1"/>
          <w:spacing w:val="8"/>
          <w:sz w:val="24"/>
          <w:szCs w:val="24"/>
          <w:highlight w:val="none"/>
          <w14:textFill>
            <w14:solidFill>
              <w14:schemeClr w14:val="tx1"/>
            </w14:solidFill>
          </w14:textFill>
        </w:rPr>
      </w:pPr>
      <w:r>
        <w:rPr>
          <w:rFonts w:hint="eastAsia" w:ascii="宋体" w:hAnsi="宋体" w:eastAsia="宋体" w:cs="宋体"/>
          <w:b/>
          <w:color w:val="000000" w:themeColor="text1"/>
          <w:spacing w:val="8"/>
          <w:sz w:val="24"/>
          <w:szCs w:val="24"/>
          <w:highlight w:val="none"/>
          <w14:textFill>
            <w14:solidFill>
              <w14:schemeClr w14:val="tx1"/>
            </w14:solidFill>
          </w14:textFill>
        </w:rPr>
        <w:t>注：（1）磋商响应文件中，所有</w:t>
      </w:r>
      <w:r>
        <w:rPr>
          <w:rFonts w:hint="eastAsia" w:ascii="宋体" w:hAnsi="宋体" w:eastAsia="宋体" w:cs="宋体"/>
          <w:b/>
          <w:color w:val="000000" w:themeColor="text1"/>
          <w:spacing w:val="8"/>
          <w:sz w:val="24"/>
          <w:szCs w:val="24"/>
          <w:highlight w:val="none"/>
          <w:lang w:eastAsia="zh-CN"/>
          <w14:textFill>
            <w14:solidFill>
              <w14:schemeClr w14:val="tx1"/>
            </w14:solidFill>
          </w14:textFill>
        </w:rPr>
        <w:t>投标单位</w:t>
      </w:r>
      <w:r>
        <w:rPr>
          <w:rFonts w:hint="eastAsia" w:ascii="宋体" w:hAnsi="宋体" w:eastAsia="宋体" w:cs="宋体"/>
          <w:b/>
          <w:color w:val="000000" w:themeColor="text1"/>
          <w:spacing w:val="8"/>
          <w:sz w:val="24"/>
          <w:szCs w:val="24"/>
          <w:highlight w:val="none"/>
          <w14:textFill>
            <w14:solidFill>
              <w14:schemeClr w14:val="tx1"/>
            </w14:solidFill>
          </w14:textFill>
        </w:rPr>
        <w:t>签字、法人代表签字、法人代表授权人签字和其它签字处须同时加盖有关有法律效力的印章方为有效；</w:t>
      </w:r>
    </w:p>
    <w:p w14:paraId="3A7FCE30">
      <w:pPr>
        <w:pageBreakBefore w:val="0"/>
        <w:kinsoku/>
        <w:wordWrap/>
        <w:overflowPunct/>
        <w:autoSpaceDE/>
        <w:autoSpaceDN/>
        <w:bidi w:val="0"/>
        <w:adjustRightInd/>
        <w:snapToGrid/>
        <w:spacing w:line="480" w:lineRule="exact"/>
        <w:ind w:firstLine="482"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（2）所有资格证明文件必须满足磋商文件要求，否则将导致废标。</w:t>
      </w:r>
    </w:p>
    <w:p w14:paraId="07423D5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 投标服务符合磋商文件规定的技术响应文件</w:t>
      </w:r>
    </w:p>
    <w:p w14:paraId="6ABAE5C1">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16.1</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须提交证明拟供服务符合磋商文件规定的技术响应文件，作为磋商响应文件的一部分</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6791764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16.2上述文件可以是文字资料、图纸和数据，没有按要求提供资料或提供资料不完全，将是对本次招标没有作出实质性响应，其风险由</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自行承担。</w:t>
      </w:r>
    </w:p>
    <w:p w14:paraId="6F06EA8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17．投标的有效期</w:t>
      </w:r>
    </w:p>
    <w:p w14:paraId="4F14AFE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17.1</w:t>
      </w:r>
      <w:r>
        <w:rPr>
          <w:rFonts w:hint="eastAsia" w:ascii="宋体" w:hAnsi="宋体" w:eastAsia="宋体" w:cs="宋体"/>
          <w:b/>
          <w:color w:val="000000" w:themeColor="text1"/>
          <w:sz w:val="24"/>
          <w:szCs w:val="24"/>
          <w:highlight w:val="none"/>
          <w14:textFill>
            <w14:solidFill>
              <w14:schemeClr w14:val="tx1"/>
            </w14:solidFill>
          </w14:textFill>
        </w:rPr>
        <w:t xml:space="preserve"> 磋商响应文件从开标之日起，投标有效期为60天</w:t>
      </w:r>
      <w:r>
        <w:rPr>
          <w:rFonts w:hint="eastAsia" w:ascii="宋体" w:hAnsi="宋体" w:eastAsia="宋体" w:cs="宋体"/>
          <w:b/>
          <w:color w:val="000000" w:themeColor="text1"/>
          <w:sz w:val="24"/>
          <w:szCs w:val="24"/>
          <w:highlight w:val="none"/>
          <w:lang w:eastAsia="zh-CN"/>
          <w14:textFill>
            <w14:solidFill>
              <w14:schemeClr w14:val="tx1"/>
            </w14:solidFill>
          </w14:textFill>
        </w:rPr>
        <w:t>。</w:t>
      </w:r>
      <w:r>
        <w:rPr>
          <w:rFonts w:hint="eastAsia" w:ascii="宋体" w:hAnsi="宋体" w:eastAsia="宋体" w:cs="宋体"/>
          <w:b/>
          <w:color w:val="000000" w:themeColor="text1"/>
          <w:sz w:val="24"/>
          <w:szCs w:val="24"/>
          <w:highlight w:val="none"/>
          <w14:textFill>
            <w14:solidFill>
              <w14:schemeClr w14:val="tx1"/>
            </w14:solidFill>
          </w14:textFill>
        </w:rPr>
        <w:t>（如不满足将导致废标）</w:t>
      </w:r>
    </w:p>
    <w:p w14:paraId="388260D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17.2 在特殊情况下，招标代理机构可与</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商量延长磋商响应文件的有效期。</w:t>
      </w:r>
    </w:p>
    <w:p w14:paraId="5251F57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18．磋商响应文件的书写要求。</w:t>
      </w:r>
    </w:p>
    <w:p w14:paraId="4BC64B1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18.1 磋商响应文件</w:t>
      </w:r>
      <w:r>
        <w:rPr>
          <w:rFonts w:hint="eastAsia" w:ascii="宋体" w:hAnsi="宋体" w:cs="宋体"/>
          <w:color w:val="000000" w:themeColor="text1"/>
          <w:sz w:val="24"/>
          <w:szCs w:val="24"/>
          <w:highlight w:val="none"/>
          <w:lang w:eastAsia="zh-CN"/>
          <w14:textFill>
            <w14:solidFill>
              <w14:schemeClr w14:val="tx1"/>
            </w14:solidFill>
          </w14:textFill>
        </w:rPr>
        <w:t>按格式要求编制</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11BC28A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18.2 磋商响应文件应清楚工整，修改处应由投标全权代表签章</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5A2CB322">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18.3磋商响应文件应由法人代表或法人授权代表在凡规定签章处逐一签署及加盖单位的公章</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6EDA148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18.4电报、电话、传真形式的投标概不接受</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6E316CF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18.5磋商响应文件的份数：</w:t>
      </w:r>
      <w:r>
        <w:rPr>
          <w:rFonts w:hint="eastAsia"/>
          <w:b w:val="0"/>
          <w:bCs/>
          <w:color w:val="000000" w:themeColor="text1"/>
          <w:sz w:val="24"/>
          <w:szCs w:val="24"/>
          <w:highlight w:val="none"/>
          <w:lang w:eastAsia="zh-CN"/>
          <w14:textFill>
            <w14:solidFill>
              <w14:schemeClr w14:val="tx1"/>
            </w14:solidFill>
          </w14:textFill>
        </w:rPr>
        <w:t>加密电子版投标文件（一份）在投标截止前上传至</w:t>
      </w:r>
      <w:r>
        <w:rPr>
          <w:rFonts w:hint="default"/>
          <w:b w:val="0"/>
          <w:bCs/>
          <w:color w:val="000000" w:themeColor="text1"/>
          <w:sz w:val="24"/>
          <w:szCs w:val="24"/>
          <w:highlight w:val="none"/>
          <w:lang w:val="en-US" w:eastAsia="zh-CN"/>
          <w14:textFill>
            <w14:solidFill>
              <w14:schemeClr w14:val="tx1"/>
            </w14:solidFill>
          </w14:textFill>
        </w:rPr>
        <w:t>新疆政府采购网（http://www.ccgp-xinjiang.gov.cn/）</w:t>
      </w:r>
      <w:r>
        <w:rPr>
          <w:rFonts w:hint="eastAsia"/>
          <w:b w:val="0"/>
          <w:bCs/>
          <w:color w:val="000000" w:themeColor="text1"/>
          <w:sz w:val="24"/>
          <w:szCs w:val="24"/>
          <w:highlight w:val="none"/>
          <w:lang w:val="en-US" w:eastAsia="zh-CN"/>
          <w14:textFill>
            <w14:solidFill>
              <w14:schemeClr w14:val="tx1"/>
            </w14:solidFill>
          </w14:textFill>
        </w:rPr>
        <w:t>，否则视为无效。</w:t>
      </w:r>
    </w:p>
    <w:p w14:paraId="7149796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19．投标保证金</w:t>
      </w:r>
    </w:p>
    <w:p w14:paraId="71FD24D1">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19.1于投标截止时间前向招标代理机构交纳投标保证金</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7C2706A1">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19.2本次招标不接受现金作为投标保证金，投标保证金有效期应当与投标有效期一致</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54583EA5">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19.3投标保证金的退还时间：</w:t>
      </w:r>
    </w:p>
    <w:p w14:paraId="12A227D1">
      <w:pPr>
        <w:pageBreakBefore w:val="0"/>
        <w:tabs>
          <w:tab w:val="left" w:pos="540"/>
          <w:tab w:val="left" w:pos="900"/>
          <w:tab w:val="left" w:pos="1080"/>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在</w:t>
      </w:r>
      <w:r>
        <w:rPr>
          <w:rFonts w:hint="eastAsia" w:ascii="宋体" w:hAnsi="宋体" w:eastAsia="宋体" w:cs="宋体"/>
          <w:color w:val="000000" w:themeColor="text1"/>
          <w:sz w:val="24"/>
          <w:szCs w:val="24"/>
          <w:highlight w:val="none"/>
          <w:lang w:eastAsia="zh-CN"/>
          <w14:textFill>
            <w14:solidFill>
              <w14:schemeClr w14:val="tx1"/>
            </w14:solidFill>
          </w14:textFill>
        </w:rPr>
        <w:t>中标</w:t>
      </w:r>
      <w:r>
        <w:rPr>
          <w:rFonts w:hint="eastAsia" w:ascii="宋体" w:hAnsi="宋体" w:eastAsia="宋体" w:cs="宋体"/>
          <w:color w:val="000000" w:themeColor="text1"/>
          <w:sz w:val="24"/>
          <w:szCs w:val="24"/>
          <w:highlight w:val="none"/>
          <w14:textFill>
            <w14:solidFill>
              <w14:schemeClr w14:val="tx1"/>
            </w14:solidFill>
          </w14:textFill>
        </w:rPr>
        <w:t>通知书发出后5个工作日内退还未中标</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的投标保证金，在</w:t>
      </w:r>
      <w:r>
        <w:rPr>
          <w:rFonts w:hint="eastAsia" w:ascii="宋体" w:hAnsi="宋体" w:eastAsia="宋体" w:cs="宋体"/>
          <w:color w:val="000000" w:themeColor="text1"/>
          <w:sz w:val="24"/>
          <w:szCs w:val="24"/>
          <w:highlight w:val="none"/>
          <w:lang w:eastAsia="zh-CN"/>
          <w14:textFill>
            <w14:solidFill>
              <w14:schemeClr w14:val="tx1"/>
            </w14:solidFill>
          </w14:textFill>
        </w:rPr>
        <w:t>施工</w:t>
      </w:r>
      <w:r>
        <w:rPr>
          <w:rFonts w:hint="eastAsia" w:ascii="宋体" w:hAnsi="宋体" w:eastAsia="宋体" w:cs="宋体"/>
          <w:color w:val="000000" w:themeColor="text1"/>
          <w:sz w:val="24"/>
          <w:szCs w:val="24"/>
          <w:highlight w:val="none"/>
          <w14:textFill>
            <w14:solidFill>
              <w14:schemeClr w14:val="tx1"/>
            </w14:solidFill>
          </w14:textFill>
        </w:rPr>
        <w:t>合同签订后5个工作日内退还中标</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的投标保证金。</w:t>
      </w:r>
    </w:p>
    <w:p w14:paraId="1DB02993">
      <w:pPr>
        <w:pageBreakBefore w:val="0"/>
        <w:kinsoku/>
        <w:wordWrap/>
        <w:overflowPunct/>
        <w:autoSpaceDE/>
        <w:autoSpaceDN/>
        <w:bidi w:val="0"/>
        <w:adjustRightInd/>
        <w:snapToGrid/>
        <w:spacing w:line="480" w:lineRule="exact"/>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b w:val="0"/>
          <w:bCs w:val="0"/>
          <w:color w:val="000000" w:themeColor="text1"/>
          <w:sz w:val="24"/>
          <w:szCs w:val="24"/>
          <w:highlight w:val="none"/>
          <w14:textFill>
            <w14:solidFill>
              <w14:schemeClr w14:val="tx1"/>
            </w14:solidFill>
          </w14:textFill>
        </w:rPr>
        <w:t>9.4未按规定提交投标保证金的投标，将被视为投标无效。</w:t>
      </w:r>
    </w:p>
    <w:p w14:paraId="73D42E67">
      <w:pPr>
        <w:pStyle w:val="12"/>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19.5下列任何情况发生时，投标保证金将被没收：</w:t>
      </w:r>
    </w:p>
    <w:p w14:paraId="7BB04F7D">
      <w:pPr>
        <w:pStyle w:val="12"/>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19.5.1</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在磋商文件规定的投标有效期内撤回其投标；</w:t>
      </w:r>
    </w:p>
    <w:p w14:paraId="4088F61F">
      <w:pPr>
        <w:pStyle w:val="12"/>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19.5.2成交方在规定期限内未能：</w:t>
      </w:r>
    </w:p>
    <w:p w14:paraId="40A0EFD6">
      <w:pPr>
        <w:pStyle w:val="12"/>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19.5.2.1按本须知第3</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 xml:space="preserve">条规定签订合同； </w:t>
      </w:r>
    </w:p>
    <w:p w14:paraId="2D820F47">
      <w:pPr>
        <w:pStyle w:val="12"/>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19.5.2.2按须知第3</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条向</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提交履约保证金；</w:t>
      </w:r>
    </w:p>
    <w:p w14:paraId="339F8362">
      <w:pPr>
        <w:pStyle w:val="12"/>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19.5.2.3按本须知第3</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条规定向招标代理机构交纳招标代理服务费。</w:t>
      </w:r>
    </w:p>
    <w:p w14:paraId="327C7F4F">
      <w:pPr>
        <w:pStyle w:val="4"/>
        <w:pageBreakBefore w:val="0"/>
        <w:kinsoku/>
        <w:wordWrap/>
        <w:overflowPunct/>
        <w:autoSpaceDE/>
        <w:autoSpaceDN/>
        <w:bidi w:val="0"/>
        <w:adjustRightInd/>
        <w:snapToGrid/>
        <w:spacing w:before="100" w:beforeAutospacing="1" w:after="100" w:afterAutospacing="1" w:line="480" w:lineRule="exact"/>
        <w:jc w:val="center"/>
        <w:textAlignment w:val="auto"/>
        <w:rPr>
          <w:rFonts w:ascii="宋体" w:hAnsi="宋体" w:eastAsia="宋体" w:cs="宋体"/>
          <w:color w:val="000000" w:themeColor="text1"/>
          <w:sz w:val="28"/>
          <w:szCs w:val="28"/>
          <w:highlight w:val="none"/>
          <w14:textFill>
            <w14:solidFill>
              <w14:schemeClr w14:val="tx1"/>
            </w14:solidFill>
          </w14:textFill>
        </w:rPr>
      </w:pPr>
      <w:bookmarkStart w:id="140" w:name="_Toc267301285"/>
      <w:bookmarkStart w:id="141" w:name="_Toc527642955"/>
      <w:bookmarkStart w:id="142" w:name="_Toc349637923"/>
      <w:bookmarkStart w:id="143" w:name="_Toc298240408"/>
      <w:bookmarkStart w:id="144" w:name="_Toc349573124"/>
      <w:r>
        <w:rPr>
          <w:rFonts w:hint="eastAsia" w:ascii="宋体" w:hAnsi="宋体" w:eastAsia="宋体" w:cs="宋体"/>
          <w:color w:val="000000" w:themeColor="text1"/>
          <w:sz w:val="28"/>
          <w:szCs w:val="28"/>
          <w:highlight w:val="none"/>
          <w14:textFill>
            <w14:solidFill>
              <w14:schemeClr w14:val="tx1"/>
            </w14:solidFill>
          </w14:textFill>
        </w:rPr>
        <w:t>D  磋商响应文件的递交</w:t>
      </w:r>
      <w:bookmarkEnd w:id="140"/>
      <w:bookmarkEnd w:id="141"/>
      <w:bookmarkEnd w:id="142"/>
      <w:bookmarkEnd w:id="143"/>
      <w:bookmarkEnd w:id="144"/>
    </w:p>
    <w:p w14:paraId="60196167">
      <w:pPr>
        <w:pageBreakBefore w:val="0"/>
        <w:numPr>
          <w:ilvl w:val="0"/>
          <w:numId w:val="7"/>
        </w:numPr>
        <w:kinsoku/>
        <w:wordWrap/>
        <w:overflowPunct/>
        <w:autoSpaceDE/>
        <w:autoSpaceDN/>
        <w:bidi w:val="0"/>
        <w:adjustRightInd/>
        <w:snapToGrid/>
        <w:spacing w:line="480" w:lineRule="exact"/>
        <w:ind w:left="600" w:hanging="600" w:hangingChars="25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磋商文件装订要求：</w:t>
      </w:r>
      <w:r>
        <w:rPr>
          <w:rFonts w:hint="eastAsia" w:ascii="宋体" w:hAnsi="宋体" w:cs="宋体"/>
          <w:color w:val="000000" w:themeColor="text1"/>
          <w:sz w:val="24"/>
          <w:highlight w:val="none"/>
          <w:lang w:eastAsia="zh-CN"/>
          <w14:textFill>
            <w14:solidFill>
              <w14:schemeClr w14:val="tx1"/>
            </w14:solidFill>
          </w14:textFill>
        </w:rPr>
        <w:t>中标单位提供纸质版</w:t>
      </w:r>
      <w:r>
        <w:rPr>
          <w:rFonts w:hint="eastAsia" w:ascii="宋体" w:hAnsi="宋体" w:eastAsia="宋体" w:cs="宋体"/>
          <w:color w:val="000000" w:themeColor="text1"/>
          <w:sz w:val="24"/>
          <w:highlight w:val="none"/>
          <w14:textFill>
            <w14:solidFill>
              <w14:schemeClr w14:val="tx1"/>
            </w14:solidFill>
          </w14:textFill>
        </w:rPr>
        <w:t>磋商响应响应文件要求不得活页装订。</w:t>
      </w:r>
    </w:p>
    <w:p w14:paraId="568FADDC">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 磋商响应文件递交截止时间</w:t>
      </w:r>
    </w:p>
    <w:p w14:paraId="18937616">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2"/>
          <w:highlight w:val="none"/>
          <w:lang w:eastAsia="zh-CN"/>
          <w14:textFill>
            <w14:solidFill>
              <w14:schemeClr w14:val="tx1"/>
            </w14:solidFill>
          </w14:textFill>
        </w:rPr>
      </w:pPr>
      <w:r>
        <w:rPr>
          <w:rFonts w:hint="eastAsia" w:ascii="宋体" w:hAnsi="宋体" w:eastAsia="宋体" w:cs="宋体"/>
          <w:color w:val="000000" w:themeColor="text1"/>
          <w:sz w:val="24"/>
          <w:szCs w:val="22"/>
          <w:highlight w:val="none"/>
          <w14:textFill>
            <w14:solidFill>
              <w14:schemeClr w14:val="tx1"/>
            </w14:solidFill>
          </w14:textFill>
        </w:rPr>
        <w:t>21.1 磋商响应文件递交</w:t>
      </w:r>
      <w:r>
        <w:rPr>
          <w:rFonts w:hint="eastAsia" w:ascii="宋体" w:hAnsi="宋体" w:cs="宋体"/>
          <w:color w:val="000000" w:themeColor="text1"/>
          <w:sz w:val="24"/>
          <w:szCs w:val="22"/>
          <w:highlight w:val="none"/>
          <w:lang w:eastAsia="zh-CN"/>
          <w14:textFill>
            <w14:solidFill>
              <w14:schemeClr w14:val="tx1"/>
            </w14:solidFill>
          </w14:textFill>
        </w:rPr>
        <w:t>的</w:t>
      </w:r>
      <w:r>
        <w:rPr>
          <w:rFonts w:hint="eastAsia" w:ascii="宋体" w:hAnsi="宋体" w:eastAsia="宋体" w:cs="宋体"/>
          <w:color w:val="000000" w:themeColor="text1"/>
          <w:sz w:val="24"/>
          <w:szCs w:val="22"/>
          <w:highlight w:val="none"/>
          <w14:textFill>
            <w14:solidFill>
              <w14:schemeClr w14:val="tx1"/>
            </w14:solidFill>
          </w14:textFill>
        </w:rPr>
        <w:t>截止时间：</w:t>
      </w:r>
      <w:r>
        <w:rPr>
          <w:rFonts w:hint="eastAsia" w:ascii="宋体" w:hAnsi="宋体" w:eastAsia="宋体" w:cs="宋体"/>
          <w:color w:val="000000" w:themeColor="text1"/>
          <w:sz w:val="24"/>
          <w:szCs w:val="22"/>
          <w:highlight w:val="none"/>
          <w:lang w:eastAsia="zh-CN"/>
          <w14:textFill>
            <w14:solidFill>
              <w14:schemeClr w14:val="tx1"/>
            </w14:solidFill>
          </w14:textFill>
        </w:rPr>
        <w:t>见投标须知前附表。</w:t>
      </w:r>
    </w:p>
    <w:p w14:paraId="1784CB37">
      <w:pPr>
        <w:pageBreakBefore w:val="0"/>
        <w:kinsoku/>
        <w:wordWrap/>
        <w:overflowPunct/>
        <w:autoSpaceDE/>
        <w:autoSpaceDN/>
        <w:bidi w:val="0"/>
        <w:adjustRightInd/>
        <w:snapToGrid/>
        <w:spacing w:line="480" w:lineRule="exact"/>
        <w:ind w:left="540" w:leftChars="257"/>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磋商响应文件以密封形式递交至：</w:t>
      </w:r>
      <w:r>
        <w:rPr>
          <w:rFonts w:hint="eastAsia" w:ascii="宋体" w:hAnsi="宋体" w:eastAsia="宋体" w:cs="宋体"/>
          <w:color w:val="000000" w:themeColor="text1"/>
          <w:sz w:val="24"/>
          <w:szCs w:val="22"/>
          <w:highlight w:val="none"/>
          <w:lang w:eastAsia="zh-CN"/>
          <w14:textFill>
            <w14:solidFill>
              <w14:schemeClr w14:val="tx1"/>
            </w14:solidFill>
          </w14:textFill>
        </w:rPr>
        <w:t>投标须知前附表指定地点。</w:t>
      </w:r>
    </w:p>
    <w:p w14:paraId="300CD299">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21.2 所有磋商响应文件都必须按招标代理机构在磋商文件中规定的投标截止时间之前</w:t>
      </w:r>
      <w:r>
        <w:rPr>
          <w:rFonts w:hint="eastAsia" w:ascii="宋体" w:hAnsi="宋体" w:cs="宋体"/>
          <w:color w:val="000000" w:themeColor="text1"/>
          <w:sz w:val="24"/>
          <w:highlight w:val="none"/>
          <w:lang w:eastAsia="zh-CN"/>
          <w14:textFill>
            <w14:solidFill>
              <w14:schemeClr w14:val="tx1"/>
            </w14:solidFill>
          </w14:textFill>
        </w:rPr>
        <w:t>递交至</w:t>
      </w:r>
      <w:r>
        <w:rPr>
          <w:rFonts w:hint="eastAsia" w:ascii="宋体" w:hAnsi="宋体" w:eastAsia="宋体" w:cs="宋体"/>
          <w:color w:val="000000" w:themeColor="text1"/>
          <w:sz w:val="24"/>
          <w:highlight w:val="none"/>
          <w14:textFill>
            <w14:solidFill>
              <w14:schemeClr w14:val="tx1"/>
            </w14:solidFill>
          </w14:textFill>
        </w:rPr>
        <w:t>磋商文件规定的地点</w:t>
      </w:r>
      <w:r>
        <w:rPr>
          <w:rFonts w:hint="eastAsia" w:ascii="宋体" w:hAnsi="宋体" w:eastAsia="宋体" w:cs="宋体"/>
          <w:color w:val="000000" w:themeColor="text1"/>
          <w:sz w:val="24"/>
          <w:highlight w:val="none"/>
          <w:lang w:eastAsia="zh-CN"/>
          <w14:textFill>
            <w14:solidFill>
              <w14:schemeClr w14:val="tx1"/>
            </w14:solidFill>
          </w14:textFill>
        </w:rPr>
        <w:t>。</w:t>
      </w:r>
    </w:p>
    <w:p w14:paraId="3E1B8B7A">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21.3</w:t>
      </w:r>
      <w:r>
        <w:rPr>
          <w:rFonts w:hint="eastAsia" w:ascii="宋体" w:hAnsi="宋体" w:eastAsia="宋体" w:cs="宋体"/>
          <w:color w:val="000000" w:themeColor="text1"/>
          <w:sz w:val="24"/>
          <w:highlight w:val="none"/>
          <w:shd w:val="clear" w:color="auto" w:fill="auto"/>
          <w14:textFill>
            <w14:solidFill>
              <w14:schemeClr w14:val="tx1"/>
            </w14:solidFill>
          </w14:textFill>
        </w:rPr>
        <w:t xml:space="preserve"> 出现第8.2款因磋</w:t>
      </w:r>
      <w:r>
        <w:rPr>
          <w:rFonts w:hint="eastAsia" w:ascii="宋体" w:hAnsi="宋体" w:eastAsia="宋体" w:cs="宋体"/>
          <w:color w:val="000000" w:themeColor="text1"/>
          <w:sz w:val="24"/>
          <w:highlight w:val="none"/>
          <w14:textFill>
            <w14:solidFill>
              <w14:schemeClr w14:val="tx1"/>
            </w14:solidFill>
          </w14:textFill>
        </w:rPr>
        <w:t>商文件的修改推迟投标截止时间时，则按招标代理机构修改通知规定的时间递交</w:t>
      </w:r>
      <w:r>
        <w:rPr>
          <w:rFonts w:hint="eastAsia" w:ascii="宋体" w:hAnsi="宋体" w:eastAsia="宋体" w:cs="宋体"/>
          <w:color w:val="000000" w:themeColor="text1"/>
          <w:sz w:val="24"/>
          <w:highlight w:val="none"/>
          <w:lang w:eastAsia="zh-CN"/>
          <w14:textFill>
            <w14:solidFill>
              <w14:schemeClr w14:val="tx1"/>
            </w14:solidFill>
          </w14:textFill>
        </w:rPr>
        <w:t>。</w:t>
      </w:r>
    </w:p>
    <w:p w14:paraId="79EACD78">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22．磋商响应文件的修改和撤销</w:t>
      </w:r>
    </w:p>
    <w:p w14:paraId="78471FD3">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22.1 </w:t>
      </w:r>
      <w:r>
        <w:rPr>
          <w:rFonts w:hint="eastAsia" w:ascii="宋体" w:hAnsi="宋体" w:eastAsia="宋体" w:cs="宋体"/>
          <w:color w:val="000000" w:themeColor="text1"/>
          <w:sz w:val="24"/>
          <w:highlight w:val="none"/>
          <w:lang w:eastAsia="zh-CN"/>
          <w14:textFill>
            <w14:solidFill>
              <w14:schemeClr w14:val="tx1"/>
            </w14:solidFill>
          </w14:textFill>
        </w:rPr>
        <w:t>投标单位在提交投标文件以后，</w:t>
      </w:r>
      <w:r>
        <w:rPr>
          <w:rFonts w:hint="eastAsia" w:ascii="宋体" w:hAnsi="宋体" w:eastAsia="宋体" w:cs="宋体"/>
          <w:color w:val="000000" w:themeColor="text1"/>
          <w:sz w:val="24"/>
          <w:highlight w:val="none"/>
          <w14:textFill>
            <w14:solidFill>
              <w14:schemeClr w14:val="tx1"/>
            </w14:solidFill>
          </w14:textFill>
        </w:rPr>
        <w:t>投标截止时间之前可对其磋商响应文件进行修改或撤销，但招标代理机构须在投标截止时间之前收到该修改或撤销的书面通知，该通知须有经正式授权的</w:t>
      </w:r>
      <w:r>
        <w:rPr>
          <w:rFonts w:hint="eastAsia" w:ascii="宋体" w:hAnsi="宋体" w:eastAsia="宋体" w:cs="宋体"/>
          <w:color w:val="000000" w:themeColor="text1"/>
          <w:sz w:val="24"/>
          <w:highlight w:val="none"/>
          <w:lang w:eastAsia="zh-CN"/>
          <w14:textFill>
            <w14:solidFill>
              <w14:schemeClr w14:val="tx1"/>
            </w14:solidFill>
          </w14:textFill>
        </w:rPr>
        <w:t>投标单位</w:t>
      </w:r>
      <w:r>
        <w:rPr>
          <w:rFonts w:hint="eastAsia" w:ascii="宋体" w:hAnsi="宋体" w:eastAsia="宋体" w:cs="宋体"/>
          <w:color w:val="000000" w:themeColor="text1"/>
          <w:sz w:val="24"/>
          <w:highlight w:val="none"/>
          <w14:textFill>
            <w14:solidFill>
              <w14:schemeClr w14:val="tx1"/>
            </w14:solidFill>
          </w14:textFill>
        </w:rPr>
        <w:t>代表签字</w:t>
      </w:r>
      <w:r>
        <w:rPr>
          <w:rFonts w:hint="eastAsia" w:ascii="宋体" w:hAnsi="宋体" w:eastAsia="宋体" w:cs="宋体"/>
          <w:color w:val="000000" w:themeColor="text1"/>
          <w:sz w:val="24"/>
          <w:highlight w:val="none"/>
          <w:lang w:eastAsia="zh-CN"/>
          <w14:textFill>
            <w14:solidFill>
              <w14:schemeClr w14:val="tx1"/>
            </w14:solidFill>
          </w14:textFill>
        </w:rPr>
        <w:t>。</w:t>
      </w:r>
    </w:p>
    <w:p w14:paraId="008EF78C">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22.2 投标截止时间以后不得修改磋商响应文件</w:t>
      </w:r>
      <w:r>
        <w:rPr>
          <w:rFonts w:hint="eastAsia" w:ascii="宋体" w:hAnsi="宋体" w:eastAsia="宋体" w:cs="宋体"/>
          <w:color w:val="000000" w:themeColor="text1"/>
          <w:sz w:val="24"/>
          <w:highlight w:val="none"/>
          <w:lang w:eastAsia="zh-CN"/>
          <w14:textFill>
            <w14:solidFill>
              <w14:schemeClr w14:val="tx1"/>
            </w14:solidFill>
          </w14:textFill>
        </w:rPr>
        <w:t>。</w:t>
      </w:r>
    </w:p>
    <w:p w14:paraId="1CCC369A">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22.3 </w:t>
      </w:r>
      <w:r>
        <w:rPr>
          <w:rFonts w:hint="eastAsia" w:ascii="宋体" w:hAnsi="宋体" w:eastAsia="宋体" w:cs="宋体"/>
          <w:color w:val="000000" w:themeColor="text1"/>
          <w:sz w:val="24"/>
          <w:highlight w:val="none"/>
          <w:lang w:eastAsia="zh-CN"/>
          <w14:textFill>
            <w14:solidFill>
              <w14:schemeClr w14:val="tx1"/>
            </w14:solidFill>
          </w14:textFill>
        </w:rPr>
        <w:t>投标单位</w:t>
      </w:r>
      <w:r>
        <w:rPr>
          <w:rFonts w:hint="eastAsia" w:ascii="宋体" w:hAnsi="宋体" w:eastAsia="宋体" w:cs="宋体"/>
          <w:color w:val="000000" w:themeColor="text1"/>
          <w:sz w:val="24"/>
          <w:highlight w:val="none"/>
          <w14:textFill>
            <w14:solidFill>
              <w14:schemeClr w14:val="tx1"/>
            </w14:solidFill>
          </w14:textFill>
        </w:rPr>
        <w:t>不得在开标时间起至投标有效期期满前撤销磋商响应文件。否则其投标保证金将不予退还</w:t>
      </w:r>
      <w:bookmarkStart w:id="145" w:name="_Toc298240409"/>
      <w:bookmarkStart w:id="146" w:name="_Toc349637924"/>
      <w:bookmarkStart w:id="147" w:name="_Toc349573125"/>
      <w:bookmarkStart w:id="148" w:name="_Toc527642956"/>
      <w:bookmarkStart w:id="149" w:name="_Toc267301286"/>
      <w:r>
        <w:rPr>
          <w:rFonts w:hint="eastAsia" w:ascii="宋体" w:hAnsi="宋体" w:eastAsia="宋体" w:cs="宋体"/>
          <w:color w:val="000000" w:themeColor="text1"/>
          <w:sz w:val="24"/>
          <w:highlight w:val="none"/>
          <w:lang w:eastAsia="zh-CN"/>
          <w14:textFill>
            <w14:solidFill>
              <w14:schemeClr w14:val="tx1"/>
            </w14:solidFill>
          </w14:textFill>
        </w:rPr>
        <w:t>。</w:t>
      </w:r>
    </w:p>
    <w:p w14:paraId="7BCA37B9">
      <w:pPr>
        <w:pageBreakBefore w:val="0"/>
        <w:kinsoku/>
        <w:wordWrap/>
        <w:overflowPunct/>
        <w:autoSpaceDE/>
        <w:autoSpaceDN/>
        <w:bidi w:val="0"/>
        <w:adjustRightInd/>
        <w:snapToGrid/>
        <w:spacing w:line="480" w:lineRule="exact"/>
        <w:ind w:left="703" w:hanging="703" w:hangingChars="250"/>
        <w:jc w:val="center"/>
        <w:textAlignment w:val="auto"/>
        <w:rPr>
          <w:rFonts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E  磋商程序</w:t>
      </w:r>
      <w:bookmarkEnd w:id="145"/>
      <w:bookmarkEnd w:id="146"/>
      <w:bookmarkEnd w:id="147"/>
      <w:bookmarkEnd w:id="148"/>
      <w:bookmarkEnd w:id="149"/>
    </w:p>
    <w:p w14:paraId="34C03151">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23．磋商小组组成及职责 </w:t>
      </w:r>
    </w:p>
    <w:p w14:paraId="0A7AE19E">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23.1</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磋商小组组成：在磋商开始前，组建磋商小组共</w:t>
      </w:r>
      <w:r>
        <w:rPr>
          <w:rFonts w:hint="eastAsia" w:ascii="宋体" w:hAnsi="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14:textFill>
            <w14:solidFill>
              <w14:schemeClr w14:val="tx1"/>
            </w14:solidFill>
          </w14:textFill>
        </w:rPr>
        <w:t>人组成，磋商小组成员</w:t>
      </w:r>
      <w:r>
        <w:rPr>
          <w:rFonts w:hint="eastAsia" w:ascii="宋体" w:hAnsi="宋体" w:eastAsia="宋体" w:cs="宋体"/>
          <w:color w:val="000000" w:themeColor="text1"/>
          <w:sz w:val="24"/>
          <w:highlight w:val="none"/>
          <w:lang w:eastAsia="zh-CN"/>
          <w14:textFill>
            <w14:solidFill>
              <w14:schemeClr w14:val="tx1"/>
            </w14:solidFill>
          </w14:textFill>
        </w:rPr>
        <w:t>由</w:t>
      </w:r>
      <w:r>
        <w:rPr>
          <w:rFonts w:hint="eastAsia" w:ascii="宋体" w:hAnsi="宋体" w:eastAsia="宋体" w:cs="宋体"/>
          <w:color w:val="000000" w:themeColor="text1"/>
          <w:sz w:val="24"/>
          <w:highlight w:val="none"/>
          <w14:textFill>
            <w14:solidFill>
              <w14:schemeClr w14:val="tx1"/>
            </w14:solidFill>
          </w14:textFill>
        </w:rPr>
        <w:t>有关技术、经济等方面的专家组成，其中技术、经济类专家人数不少于总人数的 2/3</w:t>
      </w:r>
      <w:r>
        <w:rPr>
          <w:rFonts w:hint="eastAsia" w:ascii="宋体" w:hAnsi="宋体" w:cs="宋体"/>
          <w:color w:val="000000" w:themeColor="text1"/>
          <w:sz w:val="24"/>
          <w:highlight w:val="none"/>
          <w:lang w:eastAsia="zh-CN"/>
          <w14:textFill>
            <w14:solidFill>
              <w14:schemeClr w14:val="tx1"/>
            </w14:solidFill>
          </w14:textFill>
        </w:rPr>
        <w:t>，本项目</w:t>
      </w:r>
      <w:r>
        <w:rPr>
          <w:rFonts w:hint="eastAsia" w:ascii="宋体" w:hAnsi="宋体" w:eastAsia="宋体" w:cs="宋体"/>
          <w:color w:val="000000" w:themeColor="text1"/>
          <w:sz w:val="24"/>
          <w:highlight w:val="none"/>
          <w14:textFill>
            <w14:solidFill>
              <w14:schemeClr w14:val="tx1"/>
            </w14:solidFill>
          </w14:textFill>
        </w:rPr>
        <w:t>磋商小组</w:t>
      </w:r>
      <w:r>
        <w:rPr>
          <w:rFonts w:hint="eastAsia" w:ascii="宋体" w:hAnsi="宋体" w:cs="宋体"/>
          <w:color w:val="000000" w:themeColor="text1"/>
          <w:sz w:val="24"/>
          <w:highlight w:val="none"/>
          <w:lang w:eastAsia="zh-CN"/>
          <w14:textFill>
            <w14:solidFill>
              <w14:schemeClr w14:val="tx1"/>
            </w14:solidFill>
          </w14:textFill>
        </w:rPr>
        <w:t>人数：建设单位代表</w:t>
      </w:r>
      <w:r>
        <w:rPr>
          <w:rFonts w:hint="eastAsia" w:ascii="宋体" w:hAnsi="宋体" w:cs="宋体"/>
          <w:color w:val="000000" w:themeColor="text1"/>
          <w:sz w:val="24"/>
          <w:highlight w:val="none"/>
          <w:lang w:val="en-US" w:eastAsia="zh-CN"/>
          <w14:textFill>
            <w14:solidFill>
              <w14:schemeClr w14:val="tx1"/>
            </w14:solidFill>
          </w14:textFill>
        </w:rPr>
        <w:t>1人，</w:t>
      </w:r>
      <w:r>
        <w:rPr>
          <w:rFonts w:hint="eastAsia" w:ascii="宋体" w:hAnsi="宋体" w:eastAsia="宋体" w:cs="宋体"/>
          <w:color w:val="000000" w:themeColor="text1"/>
          <w:sz w:val="24"/>
          <w:highlight w:val="none"/>
          <w14:textFill>
            <w14:solidFill>
              <w14:schemeClr w14:val="tx1"/>
            </w14:solidFill>
          </w14:textFill>
        </w:rPr>
        <w:t>技术、经济类专家</w:t>
      </w:r>
      <w:r>
        <w:rPr>
          <w:rFonts w:hint="eastAsia" w:ascii="宋体" w:hAnsi="宋体" w:cs="宋体"/>
          <w:color w:val="000000" w:themeColor="text1"/>
          <w:sz w:val="24"/>
          <w:highlight w:val="none"/>
          <w:lang w:val="en-US" w:eastAsia="zh-CN"/>
          <w14:textFill>
            <w14:solidFill>
              <w14:schemeClr w14:val="tx1"/>
            </w14:solidFill>
          </w14:textFill>
        </w:rPr>
        <w:t>2人</w:t>
      </w:r>
      <w:r>
        <w:rPr>
          <w:rFonts w:hint="eastAsia" w:ascii="宋体" w:hAnsi="宋体" w:eastAsia="宋体" w:cs="宋体"/>
          <w:color w:val="000000" w:themeColor="text1"/>
          <w:sz w:val="24"/>
          <w:highlight w:val="none"/>
          <w14:textFill>
            <w14:solidFill>
              <w14:schemeClr w14:val="tx1"/>
            </w14:solidFill>
          </w14:textFill>
        </w:rPr>
        <w:t>。</w:t>
      </w:r>
    </w:p>
    <w:p w14:paraId="34B51325">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23.2</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磋商小组职责</w:t>
      </w:r>
    </w:p>
    <w:p w14:paraId="4ED3B84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23.2.1</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准时参加磋商评审会议</w:t>
      </w:r>
      <w:r>
        <w:rPr>
          <w:rFonts w:hint="eastAsia" w:ascii="宋体" w:hAnsi="宋体" w:eastAsia="宋体" w:cs="宋体"/>
          <w:color w:val="000000" w:themeColor="text1"/>
          <w:sz w:val="24"/>
          <w:highlight w:val="none"/>
          <w:lang w:eastAsia="zh-CN"/>
          <w14:textFill>
            <w14:solidFill>
              <w14:schemeClr w14:val="tx1"/>
            </w14:solidFill>
          </w14:textFill>
        </w:rPr>
        <w:t>；</w:t>
      </w:r>
    </w:p>
    <w:p w14:paraId="3AD3F516">
      <w:pPr>
        <w:pageBreakBefore w:val="0"/>
        <w:kinsoku/>
        <w:wordWrap/>
        <w:overflowPunct/>
        <w:autoSpaceDE/>
        <w:autoSpaceDN/>
        <w:bidi w:val="0"/>
        <w:adjustRightInd/>
        <w:snapToGrid/>
        <w:spacing w:line="480" w:lineRule="exact"/>
        <w:textAlignment w:val="auto"/>
        <w:rPr>
          <w:rFonts w:hint="eastAsia" w:ascii="宋体" w:hAnsi="宋体" w:cs="宋体"/>
          <w:color w:val="000000" w:themeColor="text1"/>
          <w:sz w:val="24"/>
          <w:szCs w:val="22"/>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23.2.2</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cs="宋体"/>
          <w:color w:val="000000" w:themeColor="text1"/>
          <w:sz w:val="24"/>
          <w:szCs w:val="22"/>
          <w:highlight w:val="none"/>
          <w:lang w:eastAsia="zh-CN"/>
          <w14:textFill>
            <w14:solidFill>
              <w14:schemeClr w14:val="tx1"/>
            </w14:solidFill>
          </w14:textFill>
        </w:rPr>
        <w:t>对投标单位的响应文件进行初审；</w:t>
      </w:r>
    </w:p>
    <w:p w14:paraId="159F513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23.2.3</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审查</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的磋商响应文件并做出评价</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2FA468C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23.2.4</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要求</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解释或者澄清其磋商响应文件</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4F67933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23.2.5</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编写磋商评审报告。 </w:t>
      </w:r>
    </w:p>
    <w:p w14:paraId="180AE4AF">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24.</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磋商活动将按以下步骤进行：</w:t>
      </w:r>
    </w:p>
    <w:p w14:paraId="4EB15001">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（1）标前会议；</w:t>
      </w:r>
    </w:p>
    <w:p w14:paraId="6B84E350">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（2）初步评审；</w:t>
      </w:r>
    </w:p>
    <w:p w14:paraId="264FC835">
      <w:pPr>
        <w:pageBreakBefore w:val="0"/>
        <w:kinsoku/>
        <w:overflowPunct/>
        <w:bidi w:val="0"/>
        <w:spacing w:line="480" w:lineRule="exact"/>
        <w:textAlignment w:val="auto"/>
        <w:rPr>
          <w:rFonts w:hint="eastAsia" w:ascii="宋体" w:hAnsi="宋体" w:eastAsia="宋体" w:cs="Times New Roman"/>
          <w:b/>
          <w:bCs/>
          <w:color w:val="000000" w:themeColor="text1"/>
          <w:sz w:val="24"/>
          <w:szCs w:val="22"/>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eastAsia="zh-CN"/>
          <w14:textFill>
            <w14:solidFill>
              <w14:schemeClr w14:val="tx1"/>
            </w14:solidFill>
          </w14:textFill>
        </w:rPr>
        <w:t>现场在线开启二次报价；</w:t>
      </w:r>
    </w:p>
    <w:p w14:paraId="53B20F11">
      <w:pPr>
        <w:pStyle w:val="21"/>
        <w:pageBreakBefore w:val="0"/>
        <w:kinsoku/>
        <w:wordWrap/>
        <w:overflowPunct/>
        <w:autoSpaceDE/>
        <w:autoSpaceDN/>
        <w:bidi w:val="0"/>
        <w:adjustRightInd/>
        <w:snapToGrid/>
        <w:spacing w:line="480" w:lineRule="exact"/>
        <w:ind w:firstLine="0" w:firstLine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（4）详细评审（包括技术</w:t>
      </w:r>
      <w:r>
        <w:rPr>
          <w:rFonts w:hint="eastAsia" w:ascii="宋体" w:hAnsi="宋体" w:eastAsia="宋体" w:cs="宋体"/>
          <w:color w:val="000000" w:themeColor="text1"/>
          <w:sz w:val="24"/>
          <w:szCs w:val="24"/>
          <w:highlight w:val="none"/>
          <w:lang w:eastAsia="zh-CN"/>
          <w14:textFill>
            <w14:solidFill>
              <w14:schemeClr w14:val="tx1"/>
            </w14:solidFill>
          </w14:textFill>
        </w:rPr>
        <w:t>商务部分</w:t>
      </w:r>
      <w:r>
        <w:rPr>
          <w:rFonts w:hint="eastAsia" w:ascii="宋体" w:hAnsi="宋体" w:eastAsia="宋体" w:cs="宋体"/>
          <w:color w:val="000000" w:themeColor="text1"/>
          <w:sz w:val="24"/>
          <w:szCs w:val="24"/>
          <w:highlight w:val="none"/>
          <w14:textFill>
            <w14:solidFill>
              <w14:schemeClr w14:val="tx1"/>
            </w14:solidFill>
          </w14:textFill>
        </w:rPr>
        <w:t>评定、</w:t>
      </w:r>
      <w:r>
        <w:rPr>
          <w:rFonts w:hint="eastAsia" w:ascii="宋体" w:hAnsi="宋体" w:eastAsia="宋体" w:cs="宋体"/>
          <w:color w:val="000000" w:themeColor="text1"/>
          <w:sz w:val="24"/>
          <w:szCs w:val="24"/>
          <w:highlight w:val="none"/>
          <w:lang w:eastAsia="zh-CN"/>
          <w14:textFill>
            <w14:solidFill>
              <w14:schemeClr w14:val="tx1"/>
            </w14:solidFill>
          </w14:textFill>
        </w:rPr>
        <w:t>经济部分</w:t>
      </w:r>
      <w:r>
        <w:rPr>
          <w:rFonts w:hint="eastAsia" w:ascii="宋体" w:hAnsi="宋体" w:eastAsia="宋体" w:cs="宋体"/>
          <w:color w:val="000000" w:themeColor="text1"/>
          <w:sz w:val="24"/>
          <w:szCs w:val="24"/>
          <w:highlight w:val="none"/>
          <w14:textFill>
            <w14:solidFill>
              <w14:schemeClr w14:val="tx1"/>
            </w14:solidFill>
          </w14:textFill>
        </w:rPr>
        <w:t>评定）；</w:t>
      </w:r>
    </w:p>
    <w:p w14:paraId="77D58FCE">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）按照评审得分由高到低顺序推荐3名以上成交候选</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，并编写评审报告。</w:t>
      </w:r>
    </w:p>
    <w:p w14:paraId="0667940C">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 xml:space="preserve"> 对</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的纪律要求</w:t>
      </w:r>
    </w:p>
    <w:p w14:paraId="27514C85">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不得泄露磋商活动中应当保密的情况和资料，不得与</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串通损害国家利益、社会公共利益或者他人合法权益。</w:t>
      </w:r>
    </w:p>
    <w:p w14:paraId="5E6B4A4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对</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的纪律要求</w:t>
      </w:r>
    </w:p>
    <w:p w14:paraId="19582638">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不得互相串通磋商或者与</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串通磋商，不得向</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或者磋商小组成员行贿谋取成交，不得以他人名义磋商或者以其他方式弄虚作假骗取成交</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不得以任何方式干扰、影响磋商工作。</w:t>
      </w:r>
    </w:p>
    <w:p w14:paraId="53880A4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 xml:space="preserve"> 对与磋商活动有关的工作人员的纪律要求</w:t>
      </w:r>
    </w:p>
    <w:p w14:paraId="5ABF5B4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与磋商活动有关的工作人员不得收受他人的财物或者好处，不得向其他人透露对磋商响应文件的评审和比较、成交候选人的推荐情况及磋商有关其他情况。在磋商活动中，与磋商活动有关的工作人员不得擅离职守，影响磋商程序正常进行。</w:t>
      </w:r>
    </w:p>
    <w:p w14:paraId="7FC7995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8 </w:t>
      </w:r>
      <w:r>
        <w:rPr>
          <w:rFonts w:hint="eastAsia" w:ascii="宋体" w:hAnsi="宋体" w:eastAsia="宋体" w:cs="宋体"/>
          <w:color w:val="000000" w:themeColor="text1"/>
          <w:sz w:val="24"/>
          <w:szCs w:val="24"/>
          <w:highlight w:val="none"/>
          <w14:textFill>
            <w14:solidFill>
              <w14:schemeClr w14:val="tx1"/>
            </w14:solidFill>
          </w14:textFill>
        </w:rPr>
        <w:t>对磋商小组成员要求磋商纪律</w:t>
      </w:r>
    </w:p>
    <w:p w14:paraId="6859DD0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14:textFill>
            <w14:solidFill>
              <w14:schemeClr w14:val="tx1"/>
            </w14:solidFill>
          </w14:textFill>
        </w:rPr>
        <w:t>.1磋商小组应当依照有关法律法规的规定，按照磋商文件确定的磋商标准和办法客观、公正的对磋商响应文件提出评审意见。磋商文件设有规定的磋商标准和方法不得作为磋商依据</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4FC2229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14:textFill>
            <w14:solidFill>
              <w14:schemeClr w14:val="tx1"/>
            </w14:solidFill>
          </w14:textFill>
        </w:rPr>
        <w:t>.2磋商小组成员不得私下接触</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，不得收受</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给予的财务或者其他好处，不得向</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征询确定成交方意向</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114EE6B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14:textFill>
            <w14:solidFill>
              <w14:schemeClr w14:val="tx1"/>
            </w14:solidFill>
          </w14:textFill>
        </w:rPr>
        <w:t>.3不得接受任何单位或个人明示或暗示提出的倾向或排斥特定</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的要求</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6BB9492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14:textFill>
            <w14:solidFill>
              <w14:schemeClr w14:val="tx1"/>
            </w14:solidFill>
          </w14:textFill>
        </w:rPr>
        <w:t>.4不得有其他不客观，不公正履行职务的行为。</w:t>
      </w:r>
    </w:p>
    <w:p w14:paraId="6F0267E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25．磋商过程</w:t>
      </w:r>
    </w:p>
    <w:p w14:paraId="720F5E0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25.1 磋商的依据为磋商文件和磋商响应文件。</w:t>
      </w:r>
    </w:p>
    <w:p w14:paraId="20F7ECA2">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25.2 磋商后磋商小组审查磋商响应文件是否完整，是否有计算错误，要求的保证金是否提供，文件是否恰当地签署。</w:t>
      </w:r>
    </w:p>
    <w:p w14:paraId="5FB1DAE8">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25.3 在对磋商响应文件进行详细评估之前，监督人员或招标代理机构将依据</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提供的资格证明文件审查</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的财务、技术和生产能力。如果确定</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无资格履行合同，其投标将被拒绝。</w:t>
      </w:r>
    </w:p>
    <w:p w14:paraId="0AB5AE9A">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25.4 磋商小组将确定每一磋商响应文件是否对磋商文件的要求作出了实质性的响应，而没有重大偏离。实质性响应的磋商响应文件是指符合磋商文件的所有条款、条件和规定且没有重大偏离或保留。重大偏离或保留系指影响到磋商文件规定的供货范围、质量和性能，或限制了</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的权利和</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的义务的规定，而纠正这些偏离将影响到其他提交实质性响应投标的</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 xml:space="preserve">的公平竞争地位。   </w:t>
      </w:r>
    </w:p>
    <w:p w14:paraId="2D16716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26．磋商响应文件的澄清</w:t>
      </w:r>
    </w:p>
    <w:p w14:paraId="0DA48C78">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26.1为有助于对磋商响应文件进行审查、评估和比较，磋商小组将对</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进行磋商，请</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澄清其磋商内容，并对重要内容作出书面答复。</w:t>
      </w:r>
    </w:p>
    <w:p w14:paraId="744B6605">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26.2 要澄清的答复应是书面的，但不得对磋商内容进行实质性修改。澄清文件须由</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法人代表或法人授权代表签字和/或加盖公章并作为磋商响应文件的组成部分。</w:t>
      </w:r>
    </w:p>
    <w:p w14:paraId="61E74B57">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26.3 磋商结束后，磋商小组要求所有参加磋商的</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在规定的时间内进行最后报价。</w:t>
      </w:r>
    </w:p>
    <w:p w14:paraId="49C9124E">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27．确定成交</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的办法</w:t>
      </w:r>
    </w:p>
    <w:p w14:paraId="7E4183CE">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27</w:t>
      </w:r>
      <w:r>
        <w:rPr>
          <w:rFonts w:hint="eastAsia" w:ascii="宋体" w:hAnsi="宋体" w:eastAsia="宋体" w:cs="宋体"/>
          <w:bCs/>
          <w:color w:val="000000" w:themeColor="text1"/>
          <w:sz w:val="24"/>
          <w:szCs w:val="24"/>
          <w:highlight w:val="none"/>
          <w14:textFill>
            <w14:solidFill>
              <w14:schemeClr w14:val="tx1"/>
            </w14:solidFill>
          </w14:textFill>
        </w:rPr>
        <w:t>.1磋商小组按照磋商文件要求对磋商响应文件中重要技术指标以及技术、经济和商务上要求的其它重要内容进行审核。</w:t>
      </w:r>
    </w:p>
    <w:p w14:paraId="34FF7AEF">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27</w:t>
      </w:r>
      <w:r>
        <w:rPr>
          <w:rFonts w:hint="eastAsia" w:ascii="宋体" w:hAnsi="宋体" w:eastAsia="宋体" w:cs="宋体"/>
          <w:bCs/>
          <w:color w:val="000000" w:themeColor="text1"/>
          <w:sz w:val="24"/>
          <w:szCs w:val="24"/>
          <w:highlight w:val="none"/>
          <w14:textFill>
            <w14:solidFill>
              <w14:schemeClr w14:val="tx1"/>
            </w14:solidFill>
          </w14:textFill>
        </w:rPr>
        <w:t>.2磋商小组和</w:t>
      </w:r>
      <w:r>
        <w:rPr>
          <w:rFonts w:hint="eastAsia" w:ascii="宋体" w:hAnsi="宋体" w:eastAsia="宋体" w:cs="宋体"/>
          <w:bCs/>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bCs/>
          <w:color w:val="000000" w:themeColor="text1"/>
          <w:sz w:val="24"/>
          <w:szCs w:val="24"/>
          <w:highlight w:val="none"/>
          <w14:textFill>
            <w14:solidFill>
              <w14:schemeClr w14:val="tx1"/>
            </w14:solidFill>
          </w14:textFill>
        </w:rPr>
        <w:t>磋商过程中作出的书面承诺是否符合磋商文件中对质量、技术、经济和服务的要求。</w:t>
      </w:r>
    </w:p>
    <w:p w14:paraId="73061F3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27</w:t>
      </w:r>
      <w:r>
        <w:rPr>
          <w:rFonts w:hint="eastAsia" w:ascii="宋体" w:hAnsi="宋体" w:eastAsia="宋体" w:cs="宋体"/>
          <w:bCs/>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经磋商确定最终采购需求和提交最终报价的</w:t>
      </w:r>
      <w:r>
        <w:rPr>
          <w:rFonts w:hint="eastAsia" w:ascii="宋体" w:hAnsi="宋体" w:eastAsia="宋体" w:cs="宋体"/>
          <w:color w:val="000000" w:themeColor="text1"/>
          <w:sz w:val="24"/>
          <w:szCs w:val="24"/>
          <w:highlight w:val="none"/>
          <w:shd w:val="clear" w:color="auto" w:fill="FFFFFF"/>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后，由磋商小组采用综合评分法对提交最终报价的</w:t>
      </w:r>
      <w:r>
        <w:rPr>
          <w:rFonts w:hint="eastAsia" w:ascii="宋体" w:hAnsi="宋体" w:eastAsia="宋体" w:cs="宋体"/>
          <w:color w:val="000000" w:themeColor="text1"/>
          <w:sz w:val="24"/>
          <w:szCs w:val="24"/>
          <w:highlight w:val="none"/>
          <w:shd w:val="clear" w:color="auto" w:fill="FFFFFF"/>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的响应文件和最终报价进行综合评分。</w:t>
      </w:r>
    </w:p>
    <w:p w14:paraId="3F1A09D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28</w:t>
      </w:r>
      <w:r>
        <w:rPr>
          <w:rFonts w:hint="eastAsia" w:ascii="宋体" w:hAnsi="宋体" w:eastAsia="宋体" w:cs="宋体"/>
          <w:bCs/>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评审标准</w:t>
      </w:r>
    </w:p>
    <w:p w14:paraId="40D97CC1">
      <w:pPr>
        <w:pStyle w:val="46"/>
        <w:pageBreakBefore w:val="0"/>
        <w:widowControl/>
        <w:kinsoku/>
        <w:wordWrap/>
        <w:overflowPunct/>
        <w:autoSpaceDE/>
        <w:autoSpaceDN/>
        <w:bidi w:val="0"/>
        <w:adjustRightInd/>
        <w:snapToGrid/>
        <w:spacing w:line="480" w:lineRule="exact"/>
        <w:textAlignment w:val="auto"/>
        <w:rPr>
          <w:rFonts w:hint="eastAsia" w:ascii="宋体" w:hAnsi="宋体" w:eastAsia="宋体" w:cs="宋体"/>
          <w:b w:val="0"/>
          <w:bCs w:val="0"/>
          <w:color w:val="000000" w:themeColor="text1"/>
          <w:sz w:val="24"/>
          <w:szCs w:val="24"/>
          <w:highlight w:val="none"/>
          <w14:textFill>
            <w14:solidFill>
              <w14:schemeClr w14:val="tx1"/>
            </w14:solidFill>
          </w14:textFill>
        </w:rPr>
      </w:pPr>
      <w:bookmarkStart w:id="150" w:name="_Toc7276"/>
      <w:bookmarkStart w:id="151" w:name="_Toc18339"/>
      <w:r>
        <w:rPr>
          <w:rFonts w:hint="eastAsia" w:ascii="宋体" w:hAnsi="宋体" w:eastAsia="宋体" w:cs="宋体"/>
          <w:b w:val="0"/>
          <w:bCs w:val="0"/>
          <w:color w:val="000000" w:themeColor="text1"/>
          <w:sz w:val="24"/>
          <w:szCs w:val="24"/>
          <w:highlight w:val="none"/>
          <w14:textFill>
            <w14:solidFill>
              <w14:schemeClr w14:val="tx1"/>
            </w14:solidFill>
          </w14:textFill>
        </w:rPr>
        <w:t>2</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 w:val="0"/>
          <w:bCs w:val="0"/>
          <w:color w:val="000000" w:themeColor="text1"/>
          <w:sz w:val="24"/>
          <w:szCs w:val="24"/>
          <w:highlight w:val="none"/>
          <w14:textFill>
            <w14:solidFill>
              <w14:schemeClr w14:val="tx1"/>
            </w14:solidFill>
          </w14:textFill>
        </w:rPr>
        <w:t>.1 初步评审标准</w:t>
      </w:r>
      <w:bookmarkEnd w:id="150"/>
      <w:bookmarkEnd w:id="151"/>
    </w:p>
    <w:p w14:paraId="4D99821B">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default" w:ascii="宋体" w:hAnsi="宋体" w:eastAsia="宋体" w:cs="宋体"/>
          <w:bCs/>
          <w:color w:val="000000" w:themeColor="text1"/>
          <w:sz w:val="24"/>
          <w:szCs w:val="24"/>
          <w:highlight w:val="none"/>
          <w:lang w:val="en-US"/>
          <w14:textFill>
            <w14:solidFill>
              <w14:schemeClr w14:val="tx1"/>
            </w14:solidFill>
          </w14:textFill>
        </w:rPr>
        <w:t>28.1.1初步评审标准-资格</w:t>
      </w:r>
      <w:r>
        <w:rPr>
          <w:rFonts w:hint="eastAsia" w:ascii="宋体" w:hAnsi="宋体" w:cs="宋体"/>
          <w:bCs/>
          <w:color w:val="000000" w:themeColor="text1"/>
          <w:sz w:val="24"/>
          <w:szCs w:val="24"/>
          <w:highlight w:val="none"/>
          <w:lang w:val="en-US" w:eastAsia="zh-CN"/>
          <w14:textFill>
            <w14:solidFill>
              <w14:schemeClr w14:val="tx1"/>
            </w14:solidFill>
          </w14:textFill>
        </w:rPr>
        <w:t>性</w:t>
      </w:r>
      <w:r>
        <w:rPr>
          <w:rFonts w:hint="default" w:ascii="宋体" w:hAnsi="宋体" w:eastAsia="宋体" w:cs="宋体"/>
          <w:bCs/>
          <w:color w:val="000000" w:themeColor="text1"/>
          <w:sz w:val="24"/>
          <w:szCs w:val="24"/>
          <w:highlight w:val="none"/>
          <w:lang w:val="en-US"/>
          <w14:textFill>
            <w14:solidFill>
              <w14:schemeClr w14:val="tx1"/>
            </w14:solidFill>
          </w14:textFill>
        </w:rPr>
        <w:t>评审：</w:t>
      </w:r>
    </w:p>
    <w:tbl>
      <w:tblPr>
        <w:tblStyle w:val="23"/>
        <w:tblW w:w="97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39"/>
        <w:gridCol w:w="6790"/>
        <w:gridCol w:w="1415"/>
      </w:tblGrid>
      <w:tr w14:paraId="310B0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539" w:type="dxa"/>
            <w:noWrap w:val="0"/>
            <w:vAlign w:val="center"/>
          </w:tcPr>
          <w:p w14:paraId="24C8AD0A">
            <w:pPr>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类型</w:t>
            </w:r>
          </w:p>
        </w:tc>
        <w:tc>
          <w:tcPr>
            <w:tcW w:w="6790" w:type="dxa"/>
            <w:noWrap w:val="0"/>
            <w:vAlign w:val="center"/>
          </w:tcPr>
          <w:p w14:paraId="793B6669">
            <w:pPr>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审查要求</w:t>
            </w:r>
          </w:p>
        </w:tc>
        <w:tc>
          <w:tcPr>
            <w:tcW w:w="1415" w:type="dxa"/>
            <w:noWrap w:val="0"/>
            <w:vAlign w:val="center"/>
          </w:tcPr>
          <w:p w14:paraId="768E0FE4">
            <w:pPr>
              <w:jc w:val="center"/>
              <w:rPr>
                <w:rFonts w:hint="eastAsia" w:ascii="宋体" w:hAnsi="宋体" w:eastAsia="宋体" w:cs="宋体"/>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要求说明</w:t>
            </w:r>
          </w:p>
          <w:p w14:paraId="556B60A2">
            <w:pPr>
              <w:rPr>
                <w:rFonts w:hint="eastAsia" w:ascii="宋体" w:hAnsi="宋体" w:eastAsia="宋体" w:cs="宋体"/>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（是否响应）</w:t>
            </w:r>
          </w:p>
        </w:tc>
      </w:tr>
      <w:tr w14:paraId="5E112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1539" w:type="dxa"/>
            <w:noWrap w:val="0"/>
            <w:vAlign w:val="center"/>
          </w:tcPr>
          <w:p w14:paraId="1B755411">
            <w:pPr>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采购政策</w:t>
            </w:r>
          </w:p>
        </w:tc>
        <w:tc>
          <w:tcPr>
            <w:tcW w:w="6790" w:type="dxa"/>
            <w:noWrap w:val="0"/>
            <w:vAlign w:val="center"/>
          </w:tcPr>
          <w:p w14:paraId="347EDAFD">
            <w:pPr>
              <w:jc w:val="left"/>
              <w:rPr>
                <w:rFonts w:hint="eastAsia" w:ascii="宋体" w:hAnsi="宋体" w:eastAsia="宋体" w:cs="宋体"/>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供应商应为中小企业</w:t>
            </w:r>
            <w:r>
              <w:rPr>
                <w:rFonts w:hint="eastAsia" w:ascii="宋体" w:hAnsi="宋体" w:cs="宋体"/>
                <w:color w:val="000000" w:themeColor="text1"/>
                <w:sz w:val="21"/>
                <w:szCs w:val="21"/>
                <w:highlight w:val="none"/>
                <w:lang w:val="zh-CN" w:eastAsia="zh-CN"/>
                <w14:textFill>
                  <w14:solidFill>
                    <w14:schemeClr w14:val="tx1"/>
                  </w14:solidFill>
                </w14:textFill>
              </w:rPr>
              <w:t>：请根据要求单独上传《中小企业声明函》。格式以采购文件要求为准。</w:t>
            </w:r>
          </w:p>
        </w:tc>
        <w:tc>
          <w:tcPr>
            <w:tcW w:w="1415" w:type="dxa"/>
            <w:noWrap w:val="0"/>
            <w:vAlign w:val="center"/>
          </w:tcPr>
          <w:p w14:paraId="36492317">
            <w:pPr>
              <w:rPr>
                <w:rFonts w:hint="eastAsia" w:ascii="宋体" w:hAnsi="宋体" w:eastAsia="宋体" w:cs="宋体"/>
                <w:color w:val="000000" w:themeColor="text1"/>
                <w:sz w:val="21"/>
                <w:szCs w:val="21"/>
                <w:highlight w:val="none"/>
                <w:lang w:val="zh-CN" w:eastAsia="zh-CN"/>
                <w14:textFill>
                  <w14:solidFill>
                    <w14:schemeClr w14:val="tx1"/>
                  </w14:solidFill>
                </w14:textFill>
              </w:rPr>
            </w:pPr>
          </w:p>
        </w:tc>
      </w:tr>
      <w:tr w14:paraId="0E71B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539" w:type="dxa"/>
            <w:noWrap w:val="0"/>
            <w:vAlign w:val="center"/>
          </w:tcPr>
          <w:p w14:paraId="32FBF781">
            <w:pPr>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营业执照</w:t>
            </w:r>
          </w:p>
        </w:tc>
        <w:tc>
          <w:tcPr>
            <w:tcW w:w="6790" w:type="dxa"/>
            <w:noWrap w:val="0"/>
            <w:vAlign w:val="center"/>
          </w:tcPr>
          <w:p w14:paraId="2DECF2E0">
            <w:pPr>
              <w:rPr>
                <w:rFonts w:hint="default"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供应商为</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新疆政府采购网（http://www.ccgp-xinjiang.gov.cn/）</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正式供应商，</w:t>
            </w:r>
            <w:r>
              <w:rPr>
                <w:rFonts w:hint="default" w:ascii="宋体" w:hAnsi="宋体" w:eastAsia="宋体" w:cs="宋体"/>
                <w:color w:val="000000" w:themeColor="text1"/>
                <w:sz w:val="21"/>
                <w:szCs w:val="21"/>
                <w:highlight w:val="none"/>
                <w:lang w:val="en-US" w:eastAsia="zh-CN"/>
                <w14:textFill>
                  <w14:solidFill>
                    <w14:schemeClr w14:val="tx1"/>
                  </w14:solidFill>
                </w14:textFill>
              </w:rPr>
              <w:t>提供合格的营业执照</w:t>
            </w:r>
            <w:r>
              <w:rPr>
                <w:rFonts w:hint="default" w:ascii="宋体" w:hAnsi="宋体" w:cs="宋体"/>
                <w:color w:val="000000" w:themeColor="text1"/>
                <w:sz w:val="21"/>
                <w:szCs w:val="21"/>
                <w:highlight w:val="none"/>
                <w:lang w:eastAsia="zh-CN"/>
                <w14:textFill>
                  <w14:solidFill>
                    <w14:schemeClr w14:val="tx1"/>
                  </w14:solidFill>
                </w14:textFill>
              </w:rPr>
              <w:t>。</w:t>
            </w:r>
          </w:p>
        </w:tc>
        <w:tc>
          <w:tcPr>
            <w:tcW w:w="1415" w:type="dxa"/>
            <w:noWrap w:val="0"/>
            <w:vAlign w:val="center"/>
          </w:tcPr>
          <w:p w14:paraId="370E7FC2">
            <w:pPr>
              <w:rPr>
                <w:rFonts w:hint="default" w:ascii="宋体" w:hAnsi="宋体" w:eastAsia="宋体" w:cs="宋体"/>
                <w:color w:val="000000" w:themeColor="text1"/>
                <w:sz w:val="21"/>
                <w:szCs w:val="21"/>
                <w:highlight w:val="none"/>
                <w:lang w:val="en-US" w:eastAsia="zh-CN"/>
                <w14:textFill>
                  <w14:solidFill>
                    <w14:schemeClr w14:val="tx1"/>
                  </w14:solidFill>
                </w14:textFill>
              </w:rPr>
            </w:pPr>
          </w:p>
        </w:tc>
      </w:tr>
      <w:tr w14:paraId="6F6EA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39" w:type="dxa"/>
            <w:noWrap w:val="0"/>
            <w:vAlign w:val="center"/>
          </w:tcPr>
          <w:p w14:paraId="70E4A047">
            <w:pPr>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财务报告</w:t>
            </w:r>
          </w:p>
        </w:tc>
        <w:tc>
          <w:tcPr>
            <w:tcW w:w="6790" w:type="dxa"/>
            <w:noWrap w:val="0"/>
            <w:vAlign w:val="center"/>
          </w:tcPr>
          <w:p w14:paraId="32703C07">
            <w:pP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cs="Times New Roman"/>
                <w:color w:val="000000" w:themeColor="text1"/>
                <w:szCs w:val="21"/>
                <w:highlight w:val="none"/>
                <w:lang w:val="en-US" w:eastAsia="zh-CN"/>
                <w14:textFill>
                  <w14:solidFill>
                    <w14:schemeClr w14:val="tx1"/>
                  </w14:solidFill>
                </w14:textFill>
              </w:rPr>
              <w:t>提供2023年度审计报告或财务报表</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经会计师事务所或审计机构审计的财务会计报表，202</w:t>
            </w:r>
            <w:r>
              <w:rPr>
                <w:rFonts w:hint="eastAsia" w:cs="Times New Roman"/>
                <w:color w:val="000000" w:themeColor="text1"/>
                <w:szCs w:val="21"/>
                <w:highlight w:val="none"/>
                <w:lang w:val="en-US" w:eastAsia="zh-CN"/>
                <w14:textFill>
                  <w14:solidFill>
                    <w14:schemeClr w14:val="tx1"/>
                  </w14:solidFill>
                </w14:textFill>
              </w:rPr>
              <w:t>4</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年新公司以营业执照发放日期</w:t>
            </w:r>
            <w:r>
              <w:rPr>
                <w:rFonts w:hint="eastAsia" w:cs="Times New Roman"/>
                <w:color w:val="000000" w:themeColor="text1"/>
                <w:szCs w:val="21"/>
                <w:highlight w:val="none"/>
                <w:lang w:val="en-US" w:eastAsia="zh-CN"/>
                <w14:textFill>
                  <w14:solidFill>
                    <w14:schemeClr w14:val="tx1"/>
                  </w14:solidFill>
                </w14:textFill>
              </w:rPr>
              <w:t>提供</w:t>
            </w:r>
            <w:r>
              <w:rPr>
                <w:rFonts w:hint="default" w:ascii="Times New Roman" w:hAnsi="Times New Roman" w:eastAsia="宋体" w:cs="Times New Roman"/>
                <w:color w:val="000000" w:themeColor="text1"/>
                <w:szCs w:val="21"/>
                <w:highlight w:val="none"/>
                <w:lang w:val="en-US" w:eastAsia="zh-CN"/>
                <w14:textFill>
                  <w14:solidFill>
                    <w14:schemeClr w14:val="tx1"/>
                  </w14:solidFill>
                </w14:textFill>
              </w:rPr>
              <w:t>财务</w:t>
            </w:r>
            <w:r>
              <w:rPr>
                <w:rFonts w:hint="eastAsia" w:cs="Times New Roman"/>
                <w:color w:val="000000" w:themeColor="text1"/>
                <w:szCs w:val="21"/>
                <w:highlight w:val="none"/>
                <w:lang w:val="en-US" w:eastAsia="zh-CN"/>
                <w14:textFill>
                  <w14:solidFill>
                    <w14:schemeClr w14:val="tx1"/>
                  </w14:solidFill>
                </w14:textFill>
              </w:rPr>
              <w:t>报表</w:t>
            </w:r>
            <w:r>
              <w:rPr>
                <w:rFonts w:hint="eastAsia" w:ascii="Times New Roman" w:hAnsi="Times New Roman" w:eastAsia="宋体" w:cs="Times New Roman"/>
                <w:color w:val="000000" w:themeColor="text1"/>
                <w:szCs w:val="21"/>
                <w:highlight w:val="none"/>
                <w:lang w:val="en-US" w:eastAsia="zh-CN"/>
                <w14:textFill>
                  <w14:solidFill>
                    <w14:schemeClr w14:val="tx1"/>
                  </w14:solidFill>
                </w14:textFill>
              </w:rPr>
              <w:t>。</w:t>
            </w:r>
          </w:p>
        </w:tc>
        <w:tc>
          <w:tcPr>
            <w:tcW w:w="1415" w:type="dxa"/>
            <w:noWrap w:val="0"/>
            <w:vAlign w:val="center"/>
          </w:tcPr>
          <w:p w14:paraId="242492FA">
            <w:pPr>
              <w:rPr>
                <w:rFonts w:hint="default" w:ascii="宋体" w:hAnsi="宋体" w:eastAsia="宋体" w:cs="宋体"/>
                <w:color w:val="000000" w:themeColor="text1"/>
                <w:sz w:val="21"/>
                <w:szCs w:val="21"/>
                <w:highlight w:val="none"/>
                <w:lang w:val="en-US" w:eastAsia="zh-CN"/>
                <w14:textFill>
                  <w14:solidFill>
                    <w14:schemeClr w14:val="tx1"/>
                  </w14:solidFill>
                </w14:textFill>
              </w:rPr>
            </w:pPr>
          </w:p>
        </w:tc>
      </w:tr>
      <w:tr w14:paraId="7EA2E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6" w:hRule="atLeast"/>
          <w:jc w:val="center"/>
        </w:trPr>
        <w:tc>
          <w:tcPr>
            <w:tcW w:w="1539" w:type="dxa"/>
            <w:noWrap w:val="0"/>
            <w:vAlign w:val="center"/>
          </w:tcPr>
          <w:p w14:paraId="63DDD577">
            <w:pPr>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基本资质</w:t>
            </w:r>
          </w:p>
          <w:p w14:paraId="48119977">
            <w:pPr>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p>
        </w:tc>
        <w:tc>
          <w:tcPr>
            <w:tcW w:w="6790" w:type="dxa"/>
            <w:noWrap w:val="0"/>
            <w:vAlign w:val="center"/>
          </w:tcPr>
          <w:p w14:paraId="005BC3D9">
            <w:pP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lang w:val="en-US" w:eastAsia="zh-CN"/>
                <w14:textFill>
                  <w14:solidFill>
                    <w14:schemeClr w14:val="tx1"/>
                  </w14:solidFill>
                </w14:textFill>
              </w:rPr>
              <w:t>企业法人授权委托书、委托人身份证</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eastAsia" w:ascii="宋体" w:hAnsi="宋体" w:cs="宋体"/>
                <w:color w:val="000000" w:themeColor="text1"/>
                <w:sz w:val="21"/>
                <w:szCs w:val="21"/>
                <w:highlight w:val="none"/>
                <w:lang w:val="en-US" w:eastAsia="zh-CN"/>
                <w14:textFill>
                  <w14:solidFill>
                    <w14:schemeClr w14:val="tx1"/>
                  </w14:solidFill>
                </w14:textFill>
              </w:rPr>
              <w:br w:type="textWrapping"/>
            </w:r>
            <w:r>
              <w:rPr>
                <w:rFonts w:hint="eastAsia" w:ascii="宋体" w:hAnsi="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lang w:val="en-US" w:eastAsia="zh-CN"/>
                <w14:textFill>
                  <w14:solidFill>
                    <w14:schemeClr w14:val="tx1"/>
                  </w14:solidFill>
                </w14:textFill>
              </w:rPr>
              <w:t>须具备</w:t>
            </w:r>
            <w:r>
              <w:rPr>
                <w:rFonts w:hint="eastAsia" w:ascii="宋体" w:hAnsi="宋体" w:cs="宋体"/>
                <w:color w:val="000000" w:themeColor="text1"/>
                <w:sz w:val="21"/>
                <w:szCs w:val="21"/>
                <w:highlight w:val="none"/>
                <w:lang w:val="en-US" w:eastAsia="zh-CN"/>
                <w14:textFill>
                  <w14:solidFill>
                    <w14:schemeClr w14:val="tx1"/>
                  </w14:solidFill>
                </w14:textFill>
              </w:rPr>
              <w:t>建筑工程施工总承包贰级及以上</w:t>
            </w:r>
            <w:r>
              <w:rPr>
                <w:rFonts w:hint="eastAsia" w:ascii="宋体" w:hAnsi="宋体" w:eastAsia="宋体" w:cs="宋体"/>
                <w:color w:val="000000" w:themeColor="text1"/>
                <w:sz w:val="21"/>
                <w:szCs w:val="21"/>
                <w:highlight w:val="none"/>
                <w:lang w:val="en-US" w:eastAsia="zh-CN"/>
                <w14:textFill>
                  <w14:solidFill>
                    <w14:schemeClr w14:val="tx1"/>
                  </w14:solidFill>
                </w14:textFill>
              </w:rPr>
              <w:t>以上资质等级的施工企业。</w:t>
            </w:r>
          </w:p>
        </w:tc>
        <w:tc>
          <w:tcPr>
            <w:tcW w:w="1415" w:type="dxa"/>
            <w:noWrap w:val="0"/>
            <w:vAlign w:val="center"/>
          </w:tcPr>
          <w:p w14:paraId="35FE1C0C">
            <w:pPr>
              <w:rPr>
                <w:rFonts w:hint="default" w:ascii="宋体" w:hAnsi="宋体" w:eastAsia="宋体" w:cs="宋体"/>
                <w:color w:val="000000" w:themeColor="text1"/>
                <w:sz w:val="21"/>
                <w:szCs w:val="21"/>
                <w:highlight w:val="none"/>
                <w:lang w:val="en-US" w:eastAsia="zh-CN"/>
                <w14:textFill>
                  <w14:solidFill>
                    <w14:schemeClr w14:val="tx1"/>
                  </w14:solidFill>
                </w14:textFill>
              </w:rPr>
            </w:pPr>
          </w:p>
        </w:tc>
      </w:tr>
    </w:tbl>
    <w:p w14:paraId="386A158B">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如果资格评审中有一项不满足审查标准的，磋商小组将认定该投标单位不通过资格审查，不得进入下一阶段评审。并且不允许投标单位通过修改或撤销其不符合要求的差异或保留，使之成为具有响应性的投标。</w:t>
      </w:r>
    </w:p>
    <w:p w14:paraId="465321F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2</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Cs/>
          <w:color w:val="000000" w:themeColor="text1"/>
          <w:sz w:val="24"/>
          <w:szCs w:val="24"/>
          <w:highlight w:val="none"/>
          <w14:textFill>
            <w14:solidFill>
              <w14:schemeClr w14:val="tx1"/>
            </w14:solidFill>
          </w14:textFill>
        </w:rPr>
        <w:t>.1.2</w:t>
      </w:r>
      <w:r>
        <w:rPr>
          <w:rFonts w:hint="eastAsia" w:ascii="宋体" w:hAnsi="宋体" w:eastAsia="宋体" w:cs="宋体"/>
          <w:color w:val="000000" w:themeColor="text1"/>
          <w:sz w:val="24"/>
          <w:szCs w:val="24"/>
          <w:highlight w:val="none"/>
          <w14:textFill>
            <w14:solidFill>
              <w14:schemeClr w14:val="tx1"/>
            </w14:solidFill>
          </w14:textFill>
        </w:rPr>
        <w:t>初步评审标准-</w:t>
      </w:r>
      <w:r>
        <w:rPr>
          <w:rFonts w:hint="eastAsia" w:ascii="宋体" w:hAnsi="宋体" w:cs="宋体"/>
          <w:color w:val="000000" w:themeColor="text1"/>
          <w:sz w:val="24"/>
          <w:szCs w:val="24"/>
          <w:highlight w:val="none"/>
          <w:lang w:eastAsia="zh-CN"/>
          <w14:textFill>
            <w14:solidFill>
              <w14:schemeClr w14:val="tx1"/>
            </w14:solidFill>
          </w14:textFill>
        </w:rPr>
        <w:t>符合性评审</w:t>
      </w:r>
    </w:p>
    <w:tbl>
      <w:tblPr>
        <w:tblStyle w:val="22"/>
        <w:tblpPr w:leftFromText="180" w:rightFromText="180" w:vertAnchor="text" w:horzAnchor="page" w:tblpX="1065" w:tblpY="457"/>
        <w:tblOverlap w:val="never"/>
        <w:tblW w:w="98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0"/>
        <w:gridCol w:w="6675"/>
        <w:gridCol w:w="1803"/>
      </w:tblGrid>
      <w:tr w14:paraId="2A560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360" w:type="dxa"/>
            <w:noWrap w:val="0"/>
            <w:vAlign w:val="center"/>
          </w:tcPr>
          <w:p w14:paraId="4A087316">
            <w:pPr>
              <w:keepNext w:val="0"/>
              <w:keepLines w:val="0"/>
              <w:pageBreakBefore w:val="0"/>
              <w:widowControl/>
              <w:kinsoku/>
              <w:wordWrap/>
              <w:overflowPunct/>
              <w:topLinePunct w:val="0"/>
              <w:autoSpaceDE/>
              <w:autoSpaceDN/>
              <w:bidi w:val="0"/>
              <w:adjustRightInd/>
              <w:snapToGrid/>
              <w:spacing w:line="240" w:lineRule="auto"/>
              <w:jc w:val="center"/>
              <w:rPr>
                <w:color w:val="000000" w:themeColor="text1"/>
                <w:sz w:val="21"/>
                <w:szCs w:val="21"/>
                <w:highlight w:val="none"/>
                <w14:textFill>
                  <w14:solidFill>
                    <w14:schemeClr w14:val="tx1"/>
                  </w14:solidFill>
                </w14:textFill>
              </w:rPr>
            </w:pPr>
            <w:r>
              <w:rPr>
                <w:rFonts w:hint="eastAsia" w:eastAsia="宋体" w:cs="Times New Roman"/>
                <w:color w:val="000000" w:themeColor="text1"/>
                <w:kern w:val="2"/>
                <w:sz w:val="21"/>
                <w:szCs w:val="21"/>
                <w:highlight w:val="none"/>
                <w:lang w:val="zh-CN" w:eastAsia="zh-CN" w:bidi="ar-SA"/>
                <w14:textFill>
                  <w14:solidFill>
                    <w14:schemeClr w14:val="tx1"/>
                  </w14:solidFill>
                </w14:textFill>
              </w:rPr>
              <w:t>类型</w:t>
            </w:r>
          </w:p>
        </w:tc>
        <w:tc>
          <w:tcPr>
            <w:tcW w:w="6675" w:type="dxa"/>
            <w:noWrap w:val="0"/>
            <w:vAlign w:val="center"/>
          </w:tcPr>
          <w:p w14:paraId="1D911674">
            <w:pPr>
              <w:keepNext w:val="0"/>
              <w:keepLines w:val="0"/>
              <w:pageBreakBefore w:val="0"/>
              <w:widowControl/>
              <w:kinsoku/>
              <w:wordWrap/>
              <w:overflowPunct/>
              <w:topLinePunct w:val="0"/>
              <w:autoSpaceDE/>
              <w:autoSpaceDN/>
              <w:bidi w:val="0"/>
              <w:adjustRightInd/>
              <w:snapToGrid/>
              <w:spacing w:line="240" w:lineRule="auto"/>
              <w:jc w:val="center"/>
              <w:rPr>
                <w:rFonts w:hint="eastAsia"/>
                <w:color w:val="000000" w:themeColor="text1"/>
                <w:sz w:val="21"/>
                <w:szCs w:val="21"/>
                <w:highlight w:val="none"/>
                <w:lang w:val="en-US" w:eastAsia="zh-CN"/>
                <w14:textFill>
                  <w14:solidFill>
                    <w14:schemeClr w14:val="tx1"/>
                  </w14:solidFill>
                </w14:textFill>
              </w:rPr>
            </w:pPr>
            <w:r>
              <w:rPr>
                <w:rFonts w:hint="eastAsia" w:ascii="Times New Roman" w:hAnsi="Times New Roman" w:eastAsia="宋体" w:cs="Times New Roman"/>
                <w:color w:val="000000" w:themeColor="text1"/>
                <w:kern w:val="2"/>
                <w:sz w:val="21"/>
                <w:szCs w:val="21"/>
                <w:highlight w:val="none"/>
                <w:lang w:val="zh-CN" w:eastAsia="zh-CN" w:bidi="ar-SA"/>
                <w14:textFill>
                  <w14:solidFill>
                    <w14:schemeClr w14:val="tx1"/>
                  </w14:solidFill>
                </w14:textFill>
              </w:rPr>
              <w:t>审查</w:t>
            </w:r>
            <w:r>
              <w:rPr>
                <w:rFonts w:hint="eastAsia" w:eastAsia="宋体" w:cs="Times New Roman"/>
                <w:color w:val="000000" w:themeColor="text1"/>
                <w:kern w:val="2"/>
                <w:sz w:val="21"/>
                <w:szCs w:val="21"/>
                <w:highlight w:val="none"/>
                <w:lang w:val="zh-CN" w:eastAsia="zh-CN" w:bidi="ar-SA"/>
                <w14:textFill>
                  <w14:solidFill>
                    <w14:schemeClr w14:val="tx1"/>
                  </w14:solidFill>
                </w14:textFill>
              </w:rPr>
              <w:t>要求</w:t>
            </w:r>
          </w:p>
        </w:tc>
        <w:tc>
          <w:tcPr>
            <w:tcW w:w="1803" w:type="dxa"/>
            <w:noWrap w:val="0"/>
            <w:vAlign w:val="center"/>
          </w:tcPr>
          <w:p w14:paraId="4CDB3013">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t>要求说明</w:t>
            </w:r>
          </w:p>
          <w:p w14:paraId="1F5B633B">
            <w:pPr>
              <w:keepNext w:val="0"/>
              <w:keepLines w:val="0"/>
              <w:pageBreakBefore w:val="0"/>
              <w:widowControl/>
              <w:kinsoku/>
              <w:wordWrap/>
              <w:overflowPunct/>
              <w:topLinePunct w:val="0"/>
              <w:autoSpaceDE/>
              <w:autoSpaceDN/>
              <w:bidi w:val="0"/>
              <w:adjustRightInd/>
              <w:snapToGrid/>
              <w:spacing w:line="240" w:lineRule="auto"/>
              <w:jc w:val="center"/>
              <w:rPr>
                <w:rFonts w:hint="eastAsia" w:eastAsia="宋体"/>
                <w:color w:val="000000" w:themeColor="text1"/>
                <w:sz w:val="21"/>
                <w:szCs w:val="21"/>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t>（是否响应）</w:t>
            </w:r>
          </w:p>
        </w:tc>
      </w:tr>
      <w:tr w14:paraId="2FDDE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restart"/>
            <w:tcBorders>
              <w:top w:val="single" w:color="auto" w:sz="4" w:space="0"/>
            </w:tcBorders>
            <w:noWrap w:val="0"/>
            <w:vAlign w:val="center"/>
          </w:tcPr>
          <w:p w14:paraId="46391BBE">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r>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t>商务</w:t>
            </w:r>
          </w:p>
        </w:tc>
        <w:tc>
          <w:tcPr>
            <w:tcW w:w="6675" w:type="dxa"/>
            <w:noWrap w:val="0"/>
            <w:vAlign w:val="center"/>
          </w:tcPr>
          <w:p w14:paraId="6B1815FE">
            <w:pPr>
              <w:pStyle w:val="12"/>
              <w:keepNext w:val="0"/>
              <w:keepLines w:val="0"/>
              <w:pageBreakBefore w:val="0"/>
              <w:widowControl/>
              <w:kinsoku/>
              <w:wordWrap/>
              <w:overflowPunct/>
              <w:topLinePunct w:val="0"/>
              <w:autoSpaceDE/>
              <w:autoSpaceDN/>
              <w:bidi w:val="0"/>
              <w:adjustRightInd/>
              <w:snapToGrid/>
              <w:spacing w:line="240" w:lineRule="auto"/>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投标保证金的缴纳主体与</w:t>
            </w:r>
            <w:r>
              <w:rPr>
                <w:rFonts w:hint="eastAsia" w:ascii="宋体" w:hAnsi="宋体" w:eastAsia="宋体" w:cs="宋体"/>
                <w:color w:val="000000" w:themeColor="text1"/>
                <w:sz w:val="21"/>
                <w:szCs w:val="21"/>
                <w:highlight w:val="none"/>
                <w:lang w:val="zh-CN" w:eastAsia="zh-CN"/>
                <w14:textFill>
                  <w14:solidFill>
                    <w14:schemeClr w14:val="tx1"/>
                  </w14:solidFill>
                </w14:textFill>
              </w:rPr>
              <w:t>投标单位</w:t>
            </w:r>
            <w:r>
              <w:rPr>
                <w:rFonts w:hint="eastAsia" w:ascii="宋体" w:hAnsi="宋体" w:eastAsia="宋体" w:cs="宋体"/>
                <w:color w:val="000000" w:themeColor="text1"/>
                <w:sz w:val="21"/>
                <w:szCs w:val="21"/>
                <w:highlight w:val="none"/>
                <w:lang w:val="zh-CN"/>
                <w14:textFill>
                  <w14:solidFill>
                    <w14:schemeClr w14:val="tx1"/>
                  </w14:solidFill>
                </w14:textFill>
              </w:rPr>
              <w:t>一致的，按照磋商文件要求提供投标担保，或者所提供的投标担保无瑕疵的；</w:t>
            </w:r>
          </w:p>
        </w:tc>
        <w:tc>
          <w:tcPr>
            <w:tcW w:w="1803" w:type="dxa"/>
            <w:noWrap w:val="0"/>
            <w:vAlign w:val="center"/>
          </w:tcPr>
          <w:p w14:paraId="334F57BF">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r>
      <w:tr w14:paraId="2F96A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0CDFAFB8">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c>
          <w:tcPr>
            <w:tcW w:w="6675" w:type="dxa"/>
            <w:noWrap w:val="0"/>
            <w:vAlign w:val="center"/>
          </w:tcPr>
          <w:p w14:paraId="4FD84CF1">
            <w:pPr>
              <w:pStyle w:val="12"/>
              <w:keepNext w:val="0"/>
              <w:keepLines w:val="0"/>
              <w:pageBreakBefore w:val="0"/>
              <w:widowControl/>
              <w:kinsoku/>
              <w:wordWrap/>
              <w:overflowPunct/>
              <w:topLinePunct w:val="0"/>
              <w:autoSpaceDE/>
              <w:autoSpaceDN/>
              <w:bidi w:val="0"/>
              <w:adjustRightInd/>
              <w:snapToGrid/>
              <w:spacing w:line="240" w:lineRule="auto"/>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t>磋商响应文件有投标单位法定代表人（签字或盖章）或其授权代表签字和加盖投标单位公章的；</w:t>
            </w:r>
          </w:p>
        </w:tc>
        <w:tc>
          <w:tcPr>
            <w:tcW w:w="1803" w:type="dxa"/>
            <w:noWrap w:val="0"/>
            <w:vAlign w:val="center"/>
          </w:tcPr>
          <w:p w14:paraId="2E6CA644">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r>
      <w:tr w14:paraId="57017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4F0971BE">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c>
          <w:tcPr>
            <w:tcW w:w="6675" w:type="dxa"/>
            <w:noWrap w:val="0"/>
            <w:vAlign w:val="center"/>
          </w:tcPr>
          <w:p w14:paraId="62B72962">
            <w:pPr>
              <w:pStyle w:val="12"/>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投标工程的完成期限未超过磋商文件规定期限的；</w:t>
            </w:r>
          </w:p>
        </w:tc>
        <w:tc>
          <w:tcPr>
            <w:tcW w:w="1803" w:type="dxa"/>
            <w:noWrap w:val="0"/>
            <w:vAlign w:val="center"/>
          </w:tcPr>
          <w:p w14:paraId="5C1A683F">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r>
      <w:tr w14:paraId="24DD4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4D26C4B1">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c>
          <w:tcPr>
            <w:tcW w:w="6675" w:type="dxa"/>
            <w:noWrap w:val="0"/>
            <w:vAlign w:val="center"/>
          </w:tcPr>
          <w:p w14:paraId="15BCA3E7">
            <w:pPr>
              <w:pStyle w:val="12"/>
              <w:keepNext w:val="0"/>
              <w:keepLines w:val="0"/>
              <w:pageBreakBefore w:val="0"/>
              <w:widowControl/>
              <w:kinsoku/>
              <w:wordWrap/>
              <w:overflowPunct/>
              <w:topLinePunct w:val="0"/>
              <w:autoSpaceDE/>
              <w:autoSpaceDN/>
              <w:bidi w:val="0"/>
              <w:adjustRightInd/>
              <w:snapToGrid/>
              <w:spacing w:line="240" w:lineRule="auto"/>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磋商文件未附有招标人不能接受条件的；</w:t>
            </w:r>
          </w:p>
        </w:tc>
        <w:tc>
          <w:tcPr>
            <w:tcW w:w="1803" w:type="dxa"/>
            <w:noWrap w:val="0"/>
            <w:vAlign w:val="center"/>
          </w:tcPr>
          <w:p w14:paraId="57BB2B63">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r>
      <w:tr w14:paraId="57940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28C51C39">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c>
          <w:tcPr>
            <w:tcW w:w="6675" w:type="dxa"/>
            <w:noWrap w:val="0"/>
            <w:vAlign w:val="center"/>
          </w:tcPr>
          <w:p w14:paraId="627479C6">
            <w:pPr>
              <w:pStyle w:val="12"/>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满足磋商文件实质性要求的其他情形</w:t>
            </w:r>
            <w:r>
              <w:rPr>
                <w:rFonts w:hint="eastAsia" w:hAnsi="宋体" w:cs="宋体"/>
                <w:color w:val="000000" w:themeColor="text1"/>
                <w:sz w:val="21"/>
                <w:szCs w:val="21"/>
                <w:highlight w:val="none"/>
                <w:lang w:eastAsia="zh-CN"/>
                <w14:textFill>
                  <w14:solidFill>
                    <w14:schemeClr w14:val="tx1"/>
                  </w14:solidFill>
                </w14:textFill>
              </w:rPr>
              <w:t>；</w:t>
            </w:r>
          </w:p>
        </w:tc>
        <w:tc>
          <w:tcPr>
            <w:tcW w:w="1803" w:type="dxa"/>
            <w:noWrap w:val="0"/>
            <w:vAlign w:val="center"/>
          </w:tcPr>
          <w:p w14:paraId="70E03E29">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r>
      <w:tr w14:paraId="5E681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3ADEF25A">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c>
          <w:tcPr>
            <w:tcW w:w="6675" w:type="dxa"/>
            <w:noWrap w:val="0"/>
            <w:vAlign w:val="center"/>
          </w:tcPr>
          <w:p w14:paraId="3B0A091B">
            <w:pPr>
              <w:pStyle w:val="12"/>
              <w:keepNext w:val="0"/>
              <w:keepLines w:val="0"/>
              <w:pageBreakBefore w:val="0"/>
              <w:widowControl/>
              <w:kinsoku/>
              <w:wordWrap/>
              <w:overflowPunct/>
              <w:topLinePunct w:val="0"/>
              <w:autoSpaceDE/>
              <w:autoSpaceDN/>
              <w:bidi w:val="0"/>
              <w:adjustRightInd/>
              <w:snapToGrid/>
              <w:spacing w:line="240" w:lineRule="auto"/>
              <w:rPr>
                <w:rFonts w:hint="default" w:ascii="Times New Roman" w:hAnsi="Times New Roman" w:eastAsia="宋体" w:cs="Times New Roman"/>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按招标文件规定的格式填写，未出现内容不全或关键字迹模糊、无法辨认的；（包括分部分项工程量清单中暂估价、暂列金额的改动）</w:t>
            </w:r>
            <w:r>
              <w:rPr>
                <w:rFonts w:hint="default" w:hAnsi="宋体" w:cs="宋体"/>
                <w:color w:val="000000" w:themeColor="text1"/>
                <w:sz w:val="21"/>
                <w:szCs w:val="21"/>
                <w:highlight w:val="none"/>
                <w14:textFill>
                  <w14:solidFill>
                    <w14:schemeClr w14:val="tx1"/>
                  </w14:solidFill>
                </w14:textFill>
              </w:rPr>
              <w:t>；</w:t>
            </w:r>
          </w:p>
        </w:tc>
        <w:tc>
          <w:tcPr>
            <w:tcW w:w="1803" w:type="dxa"/>
            <w:noWrap w:val="0"/>
            <w:vAlign w:val="center"/>
          </w:tcPr>
          <w:p w14:paraId="64A4D2EA">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r>
      <w:tr w14:paraId="3EB6C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63576DC6">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c>
          <w:tcPr>
            <w:tcW w:w="6675" w:type="dxa"/>
            <w:noWrap w:val="0"/>
            <w:vAlign w:val="center"/>
          </w:tcPr>
          <w:p w14:paraId="6E8970EF">
            <w:pPr>
              <w:pStyle w:val="12"/>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000000" w:themeColor="text1"/>
                <w:sz w:val="21"/>
                <w:szCs w:val="21"/>
                <w:highlight w:val="none"/>
                <w:lang w:val="zh-CN"/>
                <w14:textFill>
                  <w14:solidFill>
                    <w14:schemeClr w14:val="tx1"/>
                  </w14:solidFill>
                </w14:textFill>
              </w:rPr>
            </w:pPr>
            <w:r>
              <w:rPr>
                <w:rFonts w:hint="default" w:ascii="宋体" w:hAnsi="宋体" w:eastAsia="宋体" w:cs="宋体"/>
                <w:color w:val="000000" w:themeColor="text1"/>
                <w:sz w:val="21"/>
                <w:szCs w:val="21"/>
                <w:highlight w:val="none"/>
                <w:lang w:val="en-US"/>
                <w14:textFill>
                  <w14:solidFill>
                    <w14:schemeClr w14:val="tx1"/>
                  </w14:solidFill>
                </w14:textFill>
              </w:rPr>
              <w:t>未</w:t>
            </w:r>
            <w:r>
              <w:rPr>
                <w:rFonts w:hint="eastAsia" w:ascii="宋体" w:hAnsi="宋体" w:eastAsia="宋体" w:cs="宋体"/>
                <w:color w:val="000000" w:themeColor="text1"/>
                <w:sz w:val="21"/>
                <w:szCs w:val="21"/>
                <w:highlight w:val="none"/>
                <w:lang w:val="zh-CN"/>
                <w14:textFill>
                  <w14:solidFill>
                    <w14:schemeClr w14:val="tx1"/>
                  </w14:solidFill>
                </w14:textFill>
              </w:rPr>
              <w:t>改变招标文件提供的工程量清单中的项目编码、项目名称、项目特征、计量单位、工程量的；</w:t>
            </w:r>
          </w:p>
        </w:tc>
        <w:tc>
          <w:tcPr>
            <w:tcW w:w="1803" w:type="dxa"/>
            <w:noWrap w:val="0"/>
            <w:vAlign w:val="center"/>
          </w:tcPr>
          <w:p w14:paraId="173FBC09">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r>
      <w:tr w14:paraId="174F3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41420179">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c>
          <w:tcPr>
            <w:tcW w:w="6675" w:type="dxa"/>
            <w:noWrap w:val="0"/>
            <w:vAlign w:val="center"/>
          </w:tcPr>
          <w:p w14:paraId="5A1F51EB">
            <w:pPr>
              <w:pStyle w:val="12"/>
              <w:keepNext w:val="0"/>
              <w:keepLines w:val="0"/>
              <w:pageBreakBefore w:val="0"/>
              <w:widowControl/>
              <w:kinsoku/>
              <w:wordWrap/>
              <w:overflowPunct/>
              <w:topLinePunct w:val="0"/>
              <w:autoSpaceDE/>
              <w:autoSpaceDN/>
              <w:bidi w:val="0"/>
              <w:adjustRightInd/>
              <w:snapToGrid/>
              <w:spacing w:line="240" w:lineRule="auto"/>
              <w:rPr>
                <w:rFonts w:hint="default"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未出现投标人名称与报名不符，涉嫌以他人名义投标的；</w:t>
            </w:r>
          </w:p>
        </w:tc>
        <w:tc>
          <w:tcPr>
            <w:tcW w:w="1803" w:type="dxa"/>
            <w:noWrap w:val="0"/>
            <w:vAlign w:val="center"/>
          </w:tcPr>
          <w:p w14:paraId="72C086AC">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r>
      <w:tr w14:paraId="3AF01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3787F9E2">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c>
          <w:tcPr>
            <w:tcW w:w="6675" w:type="dxa"/>
            <w:noWrap w:val="0"/>
            <w:vAlign w:val="center"/>
          </w:tcPr>
          <w:p w14:paraId="04D892B6">
            <w:pPr>
              <w:pStyle w:val="12"/>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未出现投标人之间或者投标人与招标人串通投标的；</w:t>
            </w:r>
          </w:p>
        </w:tc>
        <w:tc>
          <w:tcPr>
            <w:tcW w:w="1803" w:type="dxa"/>
            <w:noWrap w:val="0"/>
            <w:vAlign w:val="center"/>
          </w:tcPr>
          <w:p w14:paraId="349996ED">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r>
      <w:tr w14:paraId="06BB4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tcBorders>
              <w:bottom w:val="single" w:color="auto" w:sz="4" w:space="0"/>
            </w:tcBorders>
            <w:noWrap w:val="0"/>
            <w:vAlign w:val="center"/>
          </w:tcPr>
          <w:p w14:paraId="33612AD6">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c>
          <w:tcPr>
            <w:tcW w:w="6675" w:type="dxa"/>
            <w:noWrap w:val="0"/>
            <w:vAlign w:val="center"/>
          </w:tcPr>
          <w:p w14:paraId="698F23A5">
            <w:pPr>
              <w:pStyle w:val="12"/>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未以行贿手段谋取中标或者以其他弄虚作假方式投标的</w:t>
            </w:r>
            <w:r>
              <w:rPr>
                <w:rFonts w:hint="eastAsia" w:hAnsi="宋体" w:cs="宋体"/>
                <w:color w:val="000000" w:themeColor="text1"/>
                <w:sz w:val="21"/>
                <w:szCs w:val="21"/>
                <w:highlight w:val="none"/>
                <w:lang w:val="zh-CN"/>
                <w14:textFill>
                  <w14:solidFill>
                    <w14:schemeClr w14:val="tx1"/>
                  </w14:solidFill>
                </w14:textFill>
              </w:rPr>
              <w:t>；</w:t>
            </w:r>
          </w:p>
        </w:tc>
        <w:tc>
          <w:tcPr>
            <w:tcW w:w="1803" w:type="dxa"/>
            <w:noWrap w:val="0"/>
            <w:vAlign w:val="center"/>
          </w:tcPr>
          <w:p w14:paraId="796255F9">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r>
      <w:tr w14:paraId="1BDBB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restart"/>
            <w:noWrap w:val="0"/>
            <w:vAlign w:val="center"/>
          </w:tcPr>
          <w:p w14:paraId="5B6B13A9">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r>
              <w:rPr>
                <w:rFonts w:hint="eastAsia" w:ascii="Times New Roman" w:hAnsi="Times New Roman" w:cs="Times New Roman"/>
                <w:color w:val="000000" w:themeColor="text1"/>
                <w:sz w:val="21"/>
                <w:szCs w:val="21"/>
                <w:highlight w:val="none"/>
                <w:lang w:val="zh-CN" w:eastAsia="zh-CN"/>
                <w14:textFill>
                  <w14:solidFill>
                    <w14:schemeClr w14:val="tx1"/>
                  </w14:solidFill>
                </w14:textFill>
              </w:rPr>
              <w:t>报价</w:t>
            </w:r>
          </w:p>
        </w:tc>
        <w:tc>
          <w:tcPr>
            <w:tcW w:w="6675" w:type="dxa"/>
            <w:noWrap w:val="0"/>
            <w:vAlign w:val="center"/>
          </w:tcPr>
          <w:p w14:paraId="3240CA6C">
            <w:pPr>
              <w:pStyle w:val="12"/>
              <w:keepNext w:val="0"/>
              <w:keepLines w:val="0"/>
              <w:pageBreakBefore w:val="0"/>
              <w:widowControl/>
              <w:kinsoku/>
              <w:wordWrap/>
              <w:overflowPunct/>
              <w:topLinePunct w:val="0"/>
              <w:autoSpaceDE/>
              <w:autoSpaceDN/>
              <w:bidi w:val="0"/>
              <w:adjustRightInd/>
              <w:snapToGrid/>
              <w:spacing w:line="240" w:lineRule="auto"/>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投标报价未高于设定的工程预算招标控制价（工程限额）的；</w:t>
            </w:r>
          </w:p>
        </w:tc>
        <w:tc>
          <w:tcPr>
            <w:tcW w:w="1803" w:type="dxa"/>
            <w:noWrap w:val="0"/>
            <w:vAlign w:val="center"/>
          </w:tcPr>
          <w:p w14:paraId="7F05FA9F">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r>
      <w:tr w14:paraId="54C06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6338C78D">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cs="Times New Roman"/>
                <w:color w:val="000000" w:themeColor="text1"/>
                <w:sz w:val="21"/>
                <w:szCs w:val="21"/>
                <w:highlight w:val="none"/>
                <w:lang w:val="zh-CN" w:eastAsia="zh-CN"/>
                <w14:textFill>
                  <w14:solidFill>
                    <w14:schemeClr w14:val="tx1"/>
                  </w14:solidFill>
                </w14:textFill>
              </w:rPr>
            </w:pPr>
          </w:p>
        </w:tc>
        <w:tc>
          <w:tcPr>
            <w:tcW w:w="6675" w:type="dxa"/>
            <w:noWrap w:val="0"/>
            <w:vAlign w:val="center"/>
          </w:tcPr>
          <w:p w14:paraId="0BFD4B94">
            <w:pPr>
              <w:pStyle w:val="12"/>
              <w:keepNext w:val="0"/>
              <w:keepLines w:val="0"/>
              <w:pageBreakBefore w:val="0"/>
              <w:widowControl/>
              <w:kinsoku/>
              <w:wordWrap/>
              <w:overflowPunct/>
              <w:topLinePunct w:val="0"/>
              <w:autoSpaceDE/>
              <w:autoSpaceDN/>
              <w:bidi w:val="0"/>
              <w:adjustRightInd/>
              <w:snapToGrid/>
              <w:spacing w:line="240" w:lineRule="auto"/>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投标人对同一招标项目未作出两个以上报价的；</w:t>
            </w:r>
          </w:p>
        </w:tc>
        <w:tc>
          <w:tcPr>
            <w:tcW w:w="1803" w:type="dxa"/>
            <w:noWrap w:val="0"/>
            <w:vAlign w:val="center"/>
          </w:tcPr>
          <w:p w14:paraId="3503A166">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r>
      <w:tr w14:paraId="5B9AD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360" w:type="dxa"/>
            <w:vMerge w:val="continue"/>
            <w:noWrap w:val="0"/>
            <w:vAlign w:val="center"/>
          </w:tcPr>
          <w:p w14:paraId="2E977413">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cs="Times New Roman"/>
                <w:color w:val="000000" w:themeColor="text1"/>
                <w:sz w:val="21"/>
                <w:szCs w:val="21"/>
                <w:highlight w:val="none"/>
                <w:lang w:val="zh-CN" w:eastAsia="zh-CN"/>
                <w14:textFill>
                  <w14:solidFill>
                    <w14:schemeClr w14:val="tx1"/>
                  </w14:solidFill>
                </w14:textFill>
              </w:rPr>
            </w:pPr>
          </w:p>
        </w:tc>
        <w:tc>
          <w:tcPr>
            <w:tcW w:w="6675" w:type="dxa"/>
            <w:noWrap w:val="0"/>
            <w:vAlign w:val="center"/>
          </w:tcPr>
          <w:p w14:paraId="4F52B5AD">
            <w:pPr>
              <w:pStyle w:val="12"/>
              <w:keepNext w:val="0"/>
              <w:keepLines w:val="0"/>
              <w:pageBreakBefore w:val="0"/>
              <w:widowControl/>
              <w:kinsoku/>
              <w:wordWrap/>
              <w:overflowPunct/>
              <w:topLinePunct w:val="0"/>
              <w:autoSpaceDE/>
              <w:autoSpaceDN/>
              <w:bidi w:val="0"/>
              <w:adjustRightInd/>
              <w:snapToGrid/>
              <w:spacing w:line="240" w:lineRule="auto"/>
              <w:rPr>
                <w:rFonts w:hint="eastAsia" w:ascii="Times New Roman" w:hAnsi="Times New Roman" w:eastAsia="宋体" w:cs="Times New Roman"/>
                <w:color w:val="000000" w:themeColor="text1"/>
                <w:sz w:val="21"/>
                <w:szCs w:val="21"/>
                <w:highlight w:val="none"/>
                <w:lang w:val="en-US" w:eastAsia="zh-CN"/>
                <w14:textFill>
                  <w14:solidFill>
                    <w14:schemeClr w14:val="tx1"/>
                  </w14:solidFill>
                </w14:textFill>
              </w:rPr>
            </w:pPr>
            <w:r>
              <w:rPr>
                <w:rFonts w:hint="default" w:ascii="宋体" w:hAnsi="宋体" w:eastAsia="宋体" w:cs="宋体"/>
                <w:color w:val="000000" w:themeColor="text1"/>
                <w:sz w:val="21"/>
                <w:szCs w:val="21"/>
                <w:highlight w:val="none"/>
                <w:lang w:val="en-US"/>
                <w14:textFill>
                  <w14:solidFill>
                    <w14:schemeClr w14:val="tx1"/>
                  </w14:solidFill>
                </w14:textFill>
              </w:rPr>
              <w:t>未</w:t>
            </w:r>
            <w:r>
              <w:rPr>
                <w:rFonts w:hint="eastAsia" w:ascii="宋体" w:hAnsi="宋体" w:eastAsia="宋体" w:cs="宋体"/>
                <w:color w:val="000000" w:themeColor="text1"/>
                <w:sz w:val="21"/>
                <w:szCs w:val="21"/>
                <w:highlight w:val="none"/>
                <w:lang w:val="zh-CN"/>
                <w14:textFill>
                  <w14:solidFill>
                    <w14:schemeClr w14:val="tx1"/>
                  </w14:solidFill>
                </w14:textFill>
              </w:rPr>
              <w:t>将工程排污费、社会保障费、住房公积金、大型机械检测检验费等规费和增值税销项税额等税金，以及安全文明施工费列入招标投标竞争性费用的；</w:t>
            </w:r>
          </w:p>
        </w:tc>
        <w:tc>
          <w:tcPr>
            <w:tcW w:w="1803" w:type="dxa"/>
            <w:noWrap w:val="0"/>
            <w:vAlign w:val="center"/>
          </w:tcPr>
          <w:p w14:paraId="74468D30">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eastAsia="zh-CN"/>
                <w14:textFill>
                  <w14:solidFill>
                    <w14:schemeClr w14:val="tx1"/>
                  </w14:solidFill>
                </w14:textFill>
              </w:rPr>
            </w:pPr>
          </w:p>
        </w:tc>
      </w:tr>
      <w:tr w14:paraId="2E7B3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3" w:hRule="atLeast"/>
        </w:trPr>
        <w:tc>
          <w:tcPr>
            <w:tcW w:w="1360" w:type="dxa"/>
            <w:noWrap w:val="0"/>
            <w:vAlign w:val="center"/>
          </w:tcPr>
          <w:p w14:paraId="43713F7A">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r>
              <w:rPr>
                <w:rFonts w:hint="eastAsia" w:ascii="Times New Roman" w:hAnsi="Times New Roman" w:cs="Times New Roman"/>
                <w:color w:val="000000" w:themeColor="text1"/>
                <w:sz w:val="21"/>
                <w:szCs w:val="21"/>
                <w:highlight w:val="none"/>
                <w:lang w:val="zh-CN" w:eastAsia="zh-CN"/>
                <w14:textFill>
                  <w14:solidFill>
                    <w14:schemeClr w14:val="tx1"/>
                  </w14:solidFill>
                </w14:textFill>
              </w:rPr>
              <w:t>技术</w:t>
            </w:r>
          </w:p>
        </w:tc>
        <w:tc>
          <w:tcPr>
            <w:tcW w:w="6675" w:type="dxa"/>
            <w:noWrap w:val="0"/>
            <w:vAlign w:val="center"/>
          </w:tcPr>
          <w:p w14:paraId="4B84398C">
            <w:pPr>
              <w:pStyle w:val="12"/>
              <w:keepNext w:val="0"/>
              <w:keepLines w:val="0"/>
              <w:pageBreakBefore w:val="0"/>
              <w:widowControl/>
              <w:kinsoku/>
              <w:wordWrap/>
              <w:overflowPunct/>
              <w:topLinePunct w:val="0"/>
              <w:autoSpaceDE/>
              <w:autoSpaceDN/>
              <w:bidi w:val="0"/>
              <w:adjustRightInd/>
              <w:snapToGrid/>
              <w:spacing w:line="240" w:lineRule="auto"/>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磋商文件载明的技术规格、技术标准、货物包装方式、检验标准和方法等，符合磋商文件要求的；</w:t>
            </w:r>
          </w:p>
        </w:tc>
        <w:tc>
          <w:tcPr>
            <w:tcW w:w="1803" w:type="dxa"/>
            <w:noWrap w:val="0"/>
            <w:vAlign w:val="center"/>
          </w:tcPr>
          <w:p w14:paraId="20A176B1">
            <w:pPr>
              <w:pStyle w:val="12"/>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color w:val="000000" w:themeColor="text1"/>
                <w:sz w:val="21"/>
                <w:szCs w:val="21"/>
                <w:highlight w:val="none"/>
                <w:lang w:val="zh-CN" w:eastAsia="zh-CN"/>
                <w14:textFill>
                  <w14:solidFill>
                    <w14:schemeClr w14:val="tx1"/>
                  </w14:solidFill>
                </w14:textFill>
              </w:rPr>
            </w:pPr>
          </w:p>
        </w:tc>
      </w:tr>
    </w:tbl>
    <w:p w14:paraId="7D5342E6">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如果</w:t>
      </w:r>
      <w:r>
        <w:rPr>
          <w:rFonts w:hint="eastAsia" w:ascii="宋体" w:hAnsi="宋体" w:cs="宋体"/>
          <w:color w:val="000000" w:themeColor="text1"/>
          <w:sz w:val="24"/>
          <w:szCs w:val="24"/>
          <w:highlight w:val="none"/>
          <w:lang w:val="zh-CN"/>
          <w14:textFill>
            <w14:solidFill>
              <w14:schemeClr w14:val="tx1"/>
            </w14:solidFill>
          </w14:textFill>
        </w:rPr>
        <w:t>符合性</w:t>
      </w:r>
      <w:r>
        <w:rPr>
          <w:rFonts w:hint="eastAsia" w:ascii="宋体" w:hAnsi="宋体" w:eastAsia="宋体" w:cs="宋体"/>
          <w:color w:val="000000" w:themeColor="text1"/>
          <w:sz w:val="24"/>
          <w:szCs w:val="24"/>
          <w:highlight w:val="none"/>
          <w:lang w:val="zh-CN"/>
          <w14:textFill>
            <w14:solidFill>
              <w14:schemeClr w14:val="tx1"/>
            </w14:solidFill>
          </w14:textFill>
        </w:rPr>
        <w:t>评审中有一项不满足审查标准的，磋商小组将认定该投标单位不通过</w:t>
      </w:r>
      <w:r>
        <w:rPr>
          <w:rFonts w:hint="eastAsia" w:ascii="宋体" w:hAnsi="宋体" w:cs="宋体"/>
          <w:color w:val="000000" w:themeColor="text1"/>
          <w:sz w:val="24"/>
          <w:szCs w:val="24"/>
          <w:highlight w:val="none"/>
          <w:lang w:val="zh-CN"/>
          <w14:textFill>
            <w14:solidFill>
              <w14:schemeClr w14:val="tx1"/>
            </w14:solidFill>
          </w14:textFill>
        </w:rPr>
        <w:t>符合</w:t>
      </w:r>
      <w:r>
        <w:rPr>
          <w:rFonts w:hint="eastAsia" w:ascii="宋体" w:hAnsi="宋体" w:eastAsia="宋体" w:cs="宋体"/>
          <w:color w:val="000000" w:themeColor="text1"/>
          <w:sz w:val="24"/>
          <w:szCs w:val="24"/>
          <w:highlight w:val="none"/>
          <w:lang w:val="zh-CN"/>
          <w14:textFill>
            <w14:solidFill>
              <w14:schemeClr w14:val="tx1"/>
            </w14:solidFill>
          </w14:textFill>
        </w:rPr>
        <w:t>审查，不得进入下一阶段评审。并且不允许投标单位通过修改或撤销其不符合要求的差异或保留，使之成为具有响应性的投标。</w:t>
      </w:r>
    </w:p>
    <w:p w14:paraId="20A8EB2D">
      <w:pPr>
        <w:pageBreakBefore w:val="0"/>
        <w:kinsoku/>
        <w:wordWrap/>
        <w:overflowPunct/>
        <w:autoSpaceDE/>
        <w:autoSpaceDN/>
        <w:bidi w:val="0"/>
        <w:adjustRightInd/>
        <w:snapToGrid/>
        <w:spacing w:line="480" w:lineRule="exact"/>
        <w:textAlignment w:val="auto"/>
        <w:rPr>
          <w:rFonts w:hint="eastAsia" w:ascii="宋体" w:hAnsi="宋体" w:eastAsia="宋体" w:cs="宋体"/>
          <w:b w:val="0"/>
          <w:bCs/>
          <w:color w:val="000000" w:themeColor="text1"/>
          <w:sz w:val="24"/>
          <w:szCs w:val="24"/>
          <w:highlight w:val="none"/>
          <w14:textFill>
            <w14:solidFill>
              <w14:schemeClr w14:val="tx1"/>
            </w14:solidFill>
          </w14:textFill>
        </w:rPr>
      </w:pPr>
      <w:r>
        <w:rPr>
          <w:rFonts w:hint="eastAsia" w:ascii="宋体" w:hAnsi="宋体" w:eastAsia="宋体" w:cs="宋体"/>
          <w:b w:val="0"/>
          <w:bCs/>
          <w:color w:val="000000" w:themeColor="text1"/>
          <w:sz w:val="24"/>
          <w:szCs w:val="24"/>
          <w:highlight w:val="none"/>
          <w14:textFill>
            <w14:solidFill>
              <w14:schemeClr w14:val="tx1"/>
            </w14:solidFill>
          </w14:textFill>
        </w:rPr>
        <w:t>2</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 w:val="0"/>
          <w:bCs/>
          <w:color w:val="000000" w:themeColor="text1"/>
          <w:sz w:val="24"/>
          <w:szCs w:val="24"/>
          <w:highlight w:val="none"/>
          <w14:textFill>
            <w14:solidFill>
              <w14:schemeClr w14:val="tx1"/>
            </w14:solidFill>
          </w14:textFill>
        </w:rPr>
        <w:t>.</w:t>
      </w:r>
      <w:r>
        <w:rPr>
          <w:rFonts w:hint="eastAsia" w:ascii="宋体" w:hAnsi="宋体" w:cs="宋体"/>
          <w:b w:val="0"/>
          <w:bCs/>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 w:val="0"/>
          <w:bCs/>
          <w:color w:val="000000" w:themeColor="text1"/>
          <w:sz w:val="24"/>
          <w:szCs w:val="24"/>
          <w:highlight w:val="none"/>
          <w14:textFill>
            <w14:solidFill>
              <w14:schemeClr w14:val="tx1"/>
            </w14:solidFill>
          </w14:textFill>
        </w:rPr>
        <w:t>详细评审标准</w:t>
      </w:r>
    </w:p>
    <w:p w14:paraId="4544C703">
      <w:pPr>
        <w:pageBreakBefore w:val="0"/>
        <w:kinsoku/>
        <w:wordWrap/>
        <w:overflowPunct/>
        <w:autoSpaceDE/>
        <w:autoSpaceDN/>
        <w:bidi w:val="0"/>
        <w:adjustRightInd/>
        <w:snapToGrid/>
        <w:spacing w:line="480" w:lineRule="exact"/>
        <w:textAlignment w:val="auto"/>
        <w:rPr>
          <w:rFonts w:hint="eastAsia" w:ascii="宋体" w:hAnsi="宋体" w:eastAsia="宋体" w:cs="宋体"/>
          <w:b w:val="0"/>
          <w:bCs/>
          <w:color w:val="000000" w:themeColor="text1"/>
          <w:sz w:val="24"/>
          <w:szCs w:val="24"/>
          <w:highlight w:val="none"/>
          <w14:textFill>
            <w14:solidFill>
              <w14:schemeClr w14:val="tx1"/>
            </w14:solidFill>
          </w14:textFill>
        </w:rPr>
      </w:pPr>
      <w:r>
        <w:rPr>
          <w:rFonts w:hint="eastAsia" w:ascii="宋体" w:hAnsi="宋体" w:eastAsia="宋体" w:cs="宋体"/>
          <w:b w:val="0"/>
          <w:bCs/>
          <w:color w:val="000000" w:themeColor="text1"/>
          <w:sz w:val="24"/>
          <w:szCs w:val="24"/>
          <w:highlight w:val="none"/>
          <w14:textFill>
            <w14:solidFill>
              <w14:schemeClr w14:val="tx1"/>
            </w14:solidFill>
          </w14:textFill>
        </w:rPr>
        <w:t>2</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 w:val="0"/>
          <w:bCs/>
          <w:color w:val="000000" w:themeColor="text1"/>
          <w:sz w:val="24"/>
          <w:szCs w:val="24"/>
          <w:highlight w:val="none"/>
          <w14:textFill>
            <w14:solidFill>
              <w14:schemeClr w14:val="tx1"/>
            </w14:solidFill>
          </w14:textFill>
        </w:rPr>
        <w:t>.</w:t>
      </w:r>
      <w:r>
        <w:rPr>
          <w:rFonts w:hint="eastAsia" w:ascii="宋体" w:hAnsi="宋体" w:cs="宋体"/>
          <w:b w:val="0"/>
          <w:bCs/>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 w:val="0"/>
          <w:bCs/>
          <w:color w:val="000000" w:themeColor="text1"/>
          <w:sz w:val="24"/>
          <w:szCs w:val="24"/>
          <w:highlight w:val="none"/>
          <w14:textFill>
            <w14:solidFill>
              <w14:schemeClr w14:val="tx1"/>
            </w14:solidFill>
          </w14:textFill>
        </w:rPr>
        <w:t>.1技术</w:t>
      </w:r>
      <w:r>
        <w:rPr>
          <w:rFonts w:hint="eastAsia" w:ascii="宋体" w:hAnsi="宋体" w:cs="宋体"/>
          <w:b w:val="0"/>
          <w:bCs/>
          <w:color w:val="000000" w:themeColor="text1"/>
          <w:sz w:val="24"/>
          <w:szCs w:val="24"/>
          <w:highlight w:val="none"/>
          <w:lang w:eastAsia="zh-CN"/>
          <w14:textFill>
            <w14:solidFill>
              <w14:schemeClr w14:val="tx1"/>
            </w14:solidFill>
          </w14:textFill>
        </w:rPr>
        <w:t>商务部分</w:t>
      </w:r>
      <w:r>
        <w:rPr>
          <w:rFonts w:hint="eastAsia" w:ascii="宋体" w:hAnsi="宋体" w:eastAsia="宋体" w:cs="宋体"/>
          <w:b w:val="0"/>
          <w:bCs/>
          <w:color w:val="000000" w:themeColor="text1"/>
          <w:sz w:val="24"/>
          <w:szCs w:val="24"/>
          <w:highlight w:val="none"/>
          <w14:textFill>
            <w14:solidFill>
              <w14:schemeClr w14:val="tx1"/>
            </w14:solidFill>
          </w14:textFill>
        </w:rPr>
        <w:t>评定</w:t>
      </w:r>
      <w:bookmarkStart w:id="152" w:name="_Toc4220"/>
      <w:bookmarkStart w:id="153" w:name="_Toc18855"/>
    </w:p>
    <w:p w14:paraId="4E75E2D3">
      <w:pPr>
        <w:pageBreakBefore w:val="0"/>
        <w:kinsoku/>
        <w:wordWrap/>
        <w:overflowPunct/>
        <w:autoSpaceDE/>
        <w:autoSpaceDN/>
        <w:bidi w:val="0"/>
        <w:adjustRightInd/>
        <w:snapToGrid/>
        <w:spacing w:line="480" w:lineRule="exact"/>
        <w:ind w:firstLine="435"/>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评委按照磋商文件要求，对技术</w:t>
      </w:r>
      <w:r>
        <w:rPr>
          <w:rFonts w:hint="eastAsia" w:ascii="宋体" w:hAnsi="宋体" w:cs="宋体"/>
          <w:color w:val="000000" w:themeColor="text1"/>
          <w:sz w:val="24"/>
          <w:szCs w:val="24"/>
          <w:highlight w:val="none"/>
          <w:lang w:eastAsia="zh-CN"/>
          <w14:textFill>
            <w14:solidFill>
              <w14:schemeClr w14:val="tx1"/>
            </w14:solidFill>
          </w14:textFill>
        </w:rPr>
        <w:t>标和商务标</w:t>
      </w:r>
      <w:r>
        <w:rPr>
          <w:rFonts w:hint="eastAsia" w:ascii="宋体" w:hAnsi="宋体" w:eastAsia="宋体" w:cs="宋体"/>
          <w:color w:val="000000" w:themeColor="text1"/>
          <w:sz w:val="24"/>
          <w:szCs w:val="24"/>
          <w:highlight w:val="none"/>
          <w14:textFill>
            <w14:solidFill>
              <w14:schemeClr w14:val="tx1"/>
            </w14:solidFill>
          </w14:textFill>
        </w:rPr>
        <w:t>磋商响应文件进行评定，磋商小组对于认定不合格的技术标</w:t>
      </w:r>
      <w:r>
        <w:rPr>
          <w:rFonts w:hint="eastAsia" w:ascii="宋体" w:hAnsi="宋体" w:cs="宋体"/>
          <w:color w:val="000000" w:themeColor="text1"/>
          <w:sz w:val="24"/>
          <w:szCs w:val="24"/>
          <w:highlight w:val="none"/>
          <w:lang w:eastAsia="zh-CN"/>
          <w14:textFill>
            <w14:solidFill>
              <w14:schemeClr w14:val="tx1"/>
            </w14:solidFill>
          </w14:textFill>
        </w:rPr>
        <w:t>和商务标</w:t>
      </w:r>
      <w:r>
        <w:rPr>
          <w:rFonts w:hint="eastAsia" w:ascii="宋体" w:hAnsi="宋体" w:eastAsia="宋体" w:cs="宋体"/>
          <w:color w:val="000000" w:themeColor="text1"/>
          <w:sz w:val="24"/>
          <w:szCs w:val="24"/>
          <w:highlight w:val="none"/>
          <w14:textFill>
            <w14:solidFill>
              <w14:schemeClr w14:val="tx1"/>
            </w14:solidFill>
          </w14:textFill>
        </w:rPr>
        <w:t>，应</w:t>
      </w:r>
      <w:r>
        <w:rPr>
          <w:rFonts w:hint="eastAsia" w:ascii="宋体" w:hAnsi="宋体" w:cs="宋体"/>
          <w:color w:val="000000" w:themeColor="text1"/>
          <w:sz w:val="24"/>
          <w:szCs w:val="24"/>
          <w:highlight w:val="none"/>
          <w:lang w:eastAsia="zh-CN"/>
          <w14:textFill>
            <w14:solidFill>
              <w14:schemeClr w14:val="tx1"/>
            </w14:solidFill>
          </w14:textFill>
        </w:rPr>
        <w:t>出</w:t>
      </w:r>
      <w:r>
        <w:rPr>
          <w:rFonts w:hint="eastAsia" w:ascii="宋体" w:hAnsi="宋体" w:eastAsia="宋体" w:cs="宋体"/>
          <w:color w:val="000000" w:themeColor="text1"/>
          <w:sz w:val="24"/>
          <w:szCs w:val="24"/>
          <w:highlight w:val="none"/>
          <w14:textFill>
            <w14:solidFill>
              <w14:schemeClr w14:val="tx1"/>
            </w14:solidFill>
          </w14:textFill>
        </w:rPr>
        <w:t>具评标报告。评标报告全体评标成员签字确认（评审标准详附表）。</w:t>
      </w:r>
      <w:bookmarkEnd w:id="152"/>
      <w:bookmarkEnd w:id="153"/>
    </w:p>
    <w:p w14:paraId="1D141CB9">
      <w:pPr>
        <w:pStyle w:val="46"/>
        <w:pageBreakBefore w:val="0"/>
        <w:widowControl/>
        <w:kinsoku/>
        <w:wordWrap/>
        <w:overflowPunct/>
        <w:autoSpaceDE/>
        <w:autoSpaceDN/>
        <w:bidi w:val="0"/>
        <w:adjustRightInd/>
        <w:snapToGrid/>
        <w:spacing w:line="480" w:lineRule="exact"/>
        <w:textAlignment w:val="auto"/>
        <w:rPr>
          <w:rFonts w:hint="eastAsia" w:ascii="宋体" w:hAnsi="宋体" w:eastAsia="宋体" w:cs="宋体"/>
          <w:b w:val="0"/>
          <w:bCs w:val="0"/>
          <w:color w:val="000000" w:themeColor="text1"/>
          <w:sz w:val="24"/>
          <w:szCs w:val="24"/>
          <w:highlight w:val="none"/>
          <w14:textFill>
            <w14:solidFill>
              <w14:schemeClr w14:val="tx1"/>
            </w14:solidFill>
          </w14:textFill>
        </w:rPr>
      </w:pPr>
      <w:bookmarkStart w:id="154" w:name="_Toc671"/>
      <w:bookmarkStart w:id="155" w:name="_Toc19540"/>
      <w:r>
        <w:rPr>
          <w:rFonts w:hint="eastAsia" w:ascii="宋体" w:hAnsi="宋体" w:eastAsia="宋体" w:cs="宋体"/>
          <w:b w:val="0"/>
          <w:bCs w:val="0"/>
          <w:color w:val="000000" w:themeColor="text1"/>
          <w:sz w:val="24"/>
          <w:szCs w:val="24"/>
          <w:highlight w:val="none"/>
          <w14:textFill>
            <w14:solidFill>
              <w14:schemeClr w14:val="tx1"/>
            </w14:solidFill>
          </w14:textFill>
        </w:rPr>
        <w:t>2</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 w:val="0"/>
          <w:bCs w:val="0"/>
          <w:color w:val="000000" w:themeColor="text1"/>
          <w:sz w:val="24"/>
          <w:szCs w:val="24"/>
          <w:highlight w:val="none"/>
          <w14:textFill>
            <w14:solidFill>
              <w14:schemeClr w14:val="tx1"/>
            </w14:solidFill>
          </w14:textFill>
        </w:rPr>
        <w:t>.</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 w:val="0"/>
          <w:bCs w:val="0"/>
          <w:color w:val="000000" w:themeColor="text1"/>
          <w:sz w:val="24"/>
          <w:szCs w:val="24"/>
          <w:highlight w:val="none"/>
          <w14:textFill>
            <w14:solidFill>
              <w14:schemeClr w14:val="tx1"/>
            </w14:solidFill>
          </w14:textFill>
        </w:rPr>
        <w:t>.2</w:t>
      </w:r>
      <w:r>
        <w:rPr>
          <w:rFonts w:hint="eastAsia" w:ascii="宋体" w:hAnsi="宋体" w:eastAsia="宋体" w:cs="宋体"/>
          <w:b w:val="0"/>
          <w:bCs w:val="0"/>
          <w:color w:val="000000" w:themeColor="text1"/>
          <w:sz w:val="24"/>
          <w:szCs w:val="24"/>
          <w:highlight w:val="none"/>
          <w:lang w:eastAsia="zh-CN"/>
          <w14:textFill>
            <w14:solidFill>
              <w14:schemeClr w14:val="tx1"/>
            </w14:solidFill>
          </w14:textFill>
        </w:rPr>
        <w:t>经济部分</w:t>
      </w:r>
      <w:r>
        <w:rPr>
          <w:rFonts w:hint="eastAsia" w:ascii="宋体" w:hAnsi="宋体" w:eastAsia="宋体" w:cs="宋体"/>
          <w:b w:val="0"/>
          <w:bCs w:val="0"/>
          <w:color w:val="000000" w:themeColor="text1"/>
          <w:sz w:val="24"/>
          <w:szCs w:val="24"/>
          <w:highlight w:val="none"/>
          <w14:textFill>
            <w14:solidFill>
              <w14:schemeClr w14:val="tx1"/>
            </w14:solidFill>
          </w14:textFill>
        </w:rPr>
        <w:t>评定</w:t>
      </w:r>
      <w:bookmarkEnd w:id="154"/>
      <w:bookmarkEnd w:id="155"/>
    </w:p>
    <w:p w14:paraId="70D57EF7">
      <w:pPr>
        <w:pStyle w:val="46"/>
        <w:pageBreakBefore w:val="0"/>
        <w:widowControl/>
        <w:kinsoku/>
        <w:wordWrap/>
        <w:overflowPunct/>
        <w:autoSpaceDE/>
        <w:autoSpaceDN/>
        <w:bidi w:val="0"/>
        <w:adjustRightInd/>
        <w:snapToGrid/>
        <w:spacing w:line="480" w:lineRule="exact"/>
        <w:ind w:firstLine="480" w:firstLineChars="200"/>
        <w:textAlignment w:val="auto"/>
        <w:rPr>
          <w:rFonts w:hint="eastAsia" w:ascii="宋体" w:hAnsi="宋体" w:eastAsia="宋体" w:cs="宋体"/>
          <w:b w:val="0"/>
          <w:bCs w:val="0"/>
          <w:color w:val="000000" w:themeColor="text1"/>
          <w:sz w:val="24"/>
          <w:szCs w:val="24"/>
          <w:highlight w:val="none"/>
          <w14:textFill>
            <w14:solidFill>
              <w14:schemeClr w14:val="tx1"/>
            </w14:solidFill>
          </w14:textFill>
        </w:rPr>
      </w:pPr>
      <w:bookmarkStart w:id="156" w:name="_Toc11285"/>
      <w:bookmarkStart w:id="157" w:name="_Toc19117"/>
      <w:r>
        <w:rPr>
          <w:rFonts w:hint="eastAsia" w:ascii="宋体" w:hAnsi="宋体" w:eastAsia="宋体" w:cs="宋体"/>
          <w:b w:val="0"/>
          <w:bCs w:val="0"/>
          <w:color w:val="000000" w:themeColor="text1"/>
          <w:sz w:val="24"/>
          <w:szCs w:val="24"/>
          <w:highlight w:val="none"/>
          <w:lang w:eastAsia="zh-CN"/>
          <w14:textFill>
            <w14:solidFill>
              <w14:schemeClr w14:val="tx1"/>
            </w14:solidFill>
          </w14:textFill>
        </w:rPr>
        <w:t>经济部分</w:t>
      </w:r>
      <w:r>
        <w:rPr>
          <w:rFonts w:hint="eastAsia" w:ascii="宋体" w:hAnsi="宋体" w:eastAsia="宋体" w:cs="宋体"/>
          <w:b w:val="0"/>
          <w:bCs w:val="0"/>
          <w:color w:val="000000" w:themeColor="text1"/>
          <w:sz w:val="24"/>
          <w:szCs w:val="24"/>
          <w:highlight w:val="none"/>
          <w14:textFill>
            <w14:solidFill>
              <w14:schemeClr w14:val="tx1"/>
            </w14:solidFill>
          </w14:textFill>
        </w:rPr>
        <w:t>的评审标准详见附表。</w:t>
      </w:r>
      <w:bookmarkEnd w:id="156"/>
      <w:bookmarkEnd w:id="157"/>
    </w:p>
    <w:p w14:paraId="4023D4CB">
      <w:pPr>
        <w:pageBreakBefore w:val="0"/>
        <w:kinsoku/>
        <w:wordWrap/>
        <w:overflowPunct/>
        <w:autoSpaceDE/>
        <w:autoSpaceDN/>
        <w:bidi w:val="0"/>
        <w:adjustRightInd/>
        <w:snapToGrid/>
        <w:spacing w:line="480" w:lineRule="exact"/>
        <w:textAlignment w:val="auto"/>
        <w:rPr>
          <w:rFonts w:hint="eastAsia"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2</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 w:val="0"/>
          <w:bCs w:val="0"/>
          <w:color w:val="000000" w:themeColor="text1"/>
          <w:sz w:val="24"/>
          <w:szCs w:val="24"/>
          <w:highlight w:val="none"/>
          <w14:textFill>
            <w14:solidFill>
              <w14:schemeClr w14:val="tx1"/>
            </w14:solidFill>
          </w14:textFill>
        </w:rPr>
        <w:t>.</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val="0"/>
          <w:bCs w:val="0"/>
          <w:color w:val="000000" w:themeColor="text1"/>
          <w:sz w:val="24"/>
          <w:szCs w:val="24"/>
          <w:highlight w:val="none"/>
          <w14:textFill>
            <w14:solidFill>
              <w14:schemeClr w14:val="tx1"/>
            </w14:solidFill>
          </w14:textFill>
        </w:rPr>
        <w:t xml:space="preserve"> 评审结果</w:t>
      </w:r>
    </w:p>
    <w:p w14:paraId="1BEAD84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b w:val="0"/>
          <w:bCs/>
          <w:color w:val="000000" w:themeColor="text1"/>
          <w:sz w:val="24"/>
          <w:szCs w:val="24"/>
          <w:highlight w:val="none"/>
          <w14:textFill>
            <w14:solidFill>
              <w14:schemeClr w14:val="tx1"/>
            </w14:solidFill>
          </w14:textFill>
        </w:rPr>
        <w:t>2</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 w:val="0"/>
          <w:bCs/>
          <w:color w:val="000000" w:themeColor="text1"/>
          <w:sz w:val="24"/>
          <w:szCs w:val="24"/>
          <w:highlight w:val="none"/>
          <w14:textFill>
            <w14:solidFill>
              <w14:schemeClr w14:val="tx1"/>
            </w14:solidFill>
          </w14:textFill>
        </w:rPr>
        <w:t>.</w:t>
      </w:r>
      <w:r>
        <w:rPr>
          <w:rFonts w:hint="eastAsia" w:ascii="宋体" w:hAnsi="宋体" w:cs="宋体"/>
          <w:b w:val="0"/>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.1</w:t>
      </w:r>
      <w:r>
        <w:rPr>
          <w:rFonts w:hint="eastAsia" w:ascii="宋体" w:hAnsi="宋体" w:eastAsia="宋体" w:cs="宋体"/>
          <w:b w:val="0"/>
          <w:bCs/>
          <w:color w:val="000000" w:themeColor="text1"/>
          <w:sz w:val="24"/>
          <w:szCs w:val="24"/>
          <w:highlight w:val="none"/>
          <w14:textFill>
            <w14:solidFill>
              <w14:schemeClr w14:val="tx1"/>
            </w14:solidFill>
          </w14:textFill>
        </w:rPr>
        <w:t>除第二</w:t>
      </w:r>
      <w:r>
        <w:rPr>
          <w:rFonts w:hint="eastAsia" w:ascii="宋体" w:hAnsi="宋体" w:cs="宋体"/>
          <w:b w:val="0"/>
          <w:bCs/>
          <w:color w:val="000000" w:themeColor="text1"/>
          <w:sz w:val="24"/>
          <w:szCs w:val="24"/>
          <w:highlight w:val="none"/>
          <w:lang w:eastAsia="zh-CN"/>
          <w14:textFill>
            <w14:solidFill>
              <w14:schemeClr w14:val="tx1"/>
            </w14:solidFill>
          </w14:textFill>
        </w:rPr>
        <w:t>部分“</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b w:val="0"/>
          <w:bCs/>
          <w:color w:val="000000" w:themeColor="text1"/>
          <w:sz w:val="24"/>
          <w:szCs w:val="24"/>
          <w:highlight w:val="none"/>
          <w14:textFill>
            <w14:solidFill>
              <w14:schemeClr w14:val="tx1"/>
            </w14:solidFill>
          </w14:textFill>
        </w:rPr>
        <w:t>须知</w:t>
      </w:r>
      <w:r>
        <w:rPr>
          <w:rFonts w:hint="eastAsia" w:ascii="宋体" w:hAnsi="宋体" w:cs="宋体"/>
          <w:b w:val="0"/>
          <w:bCs/>
          <w:color w:val="000000" w:themeColor="text1"/>
          <w:sz w:val="24"/>
          <w:szCs w:val="24"/>
          <w:highlight w:val="none"/>
          <w:lang w:eastAsia="zh-CN"/>
          <w14:textFill>
            <w14:solidFill>
              <w14:schemeClr w14:val="tx1"/>
            </w14:solidFill>
          </w14:textFill>
        </w:rPr>
        <w:t>”</w:t>
      </w:r>
      <w:r>
        <w:rPr>
          <w:rFonts w:hint="eastAsia" w:ascii="宋体" w:hAnsi="宋体" w:eastAsia="宋体" w:cs="宋体"/>
          <w:b w:val="0"/>
          <w:bCs/>
          <w:color w:val="000000" w:themeColor="text1"/>
          <w:sz w:val="24"/>
          <w:szCs w:val="24"/>
          <w:highlight w:val="none"/>
          <w14:textFill>
            <w14:solidFill>
              <w14:schemeClr w14:val="tx1"/>
            </w14:solidFill>
          </w14:textFill>
        </w:rPr>
        <w:t>前附表授权直接确定中标人外，磋商小组通过评标办法以得分由高到</w:t>
      </w:r>
      <w:r>
        <w:rPr>
          <w:rFonts w:hint="eastAsia" w:ascii="宋体" w:hAnsi="宋体" w:eastAsia="宋体" w:cs="宋体"/>
          <w:color w:val="000000" w:themeColor="text1"/>
          <w:sz w:val="24"/>
          <w:szCs w:val="24"/>
          <w:highlight w:val="none"/>
          <w14:textFill>
            <w14:solidFill>
              <w14:schemeClr w14:val="tx1"/>
            </w14:solidFill>
          </w14:textFill>
        </w:rPr>
        <w:t>低确定出前三名作为中标候选人推荐给</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p>
    <w:p w14:paraId="04FEF69D">
      <w:pPr>
        <w:pageBreakBefore w:val="0"/>
        <w:kinsoku/>
        <w:wordWrap/>
        <w:overflowPunct/>
        <w:autoSpaceDE/>
        <w:autoSpaceDN/>
        <w:bidi w:val="0"/>
        <w:adjustRightInd/>
        <w:snapToGrid/>
        <w:spacing w:line="480" w:lineRule="exact"/>
        <w:ind w:firstLine="435"/>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依法必须招标的项目，</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应当确定排名第一的中标候选人为中标人。排名第一的中标候选人放弃中标、因不可抗力提出不能履行合同、或者磋商文件规定应当提交履约保证金而在规定的期限内未能提交的，招标人可以确定排名第二的中标候选人为中标人。</w:t>
      </w:r>
    </w:p>
    <w:p w14:paraId="1EEEBC4A">
      <w:pPr>
        <w:pageBreakBefore w:val="0"/>
        <w:kinsoku/>
        <w:wordWrap/>
        <w:overflowPunct/>
        <w:autoSpaceDE/>
        <w:autoSpaceDN/>
        <w:bidi w:val="0"/>
        <w:adjustRightInd/>
        <w:snapToGrid/>
        <w:spacing w:line="480" w:lineRule="exact"/>
        <w:ind w:firstLine="435"/>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排名第二的中标候选人因前款确定的同样原因不能签订合同的，</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可以确定排名第三的中标候选人为中标人。</w:t>
      </w:r>
    </w:p>
    <w:p w14:paraId="4363F4ED">
      <w:pPr>
        <w:pageBreakBefore w:val="0"/>
        <w:kinsoku/>
        <w:wordWrap/>
        <w:overflowPunct/>
        <w:autoSpaceDE/>
        <w:autoSpaceDN/>
        <w:bidi w:val="0"/>
        <w:adjustRightInd/>
        <w:snapToGrid/>
        <w:spacing w:line="480" w:lineRule="exact"/>
        <w:textAlignment w:val="auto"/>
        <w:rPr>
          <w:rFonts w:hint="eastAsia" w:ascii="宋体" w:hAnsi="宋体" w:eastAsia="宋体" w:cs="宋体"/>
          <w:b w:val="0"/>
          <w:bCs/>
          <w:color w:val="000000" w:themeColor="text1"/>
          <w:sz w:val="24"/>
          <w:szCs w:val="24"/>
          <w:highlight w:val="none"/>
          <w:lang w:eastAsia="zh-CN"/>
          <w14:textFill>
            <w14:solidFill>
              <w14:schemeClr w14:val="tx1"/>
            </w14:solidFill>
          </w14:textFill>
        </w:rPr>
      </w:pPr>
      <w:r>
        <w:rPr>
          <w:rFonts w:hint="eastAsia" w:ascii="宋体" w:hAnsi="宋体" w:eastAsia="宋体" w:cs="宋体"/>
          <w:b w:val="0"/>
          <w:bCs/>
          <w:color w:val="000000" w:themeColor="text1"/>
          <w:sz w:val="24"/>
          <w:szCs w:val="24"/>
          <w:highlight w:val="none"/>
          <w14:textFill>
            <w14:solidFill>
              <w14:schemeClr w14:val="tx1"/>
            </w14:solidFill>
          </w14:textFill>
        </w:rPr>
        <w:t>2</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8.</w:t>
      </w:r>
      <w:r>
        <w:rPr>
          <w:rFonts w:hint="eastAsia" w:ascii="宋体" w:hAnsi="宋体" w:cs="宋体"/>
          <w:b w:val="0"/>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 w:val="0"/>
          <w:bCs/>
          <w:color w:val="000000" w:themeColor="text1"/>
          <w:sz w:val="24"/>
          <w:szCs w:val="24"/>
          <w:highlight w:val="none"/>
          <w14:textFill>
            <w14:solidFill>
              <w14:schemeClr w14:val="tx1"/>
            </w14:solidFill>
          </w14:textFill>
        </w:rPr>
        <w:t>磋商小组完成评审后，应当向</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招标人</w:t>
      </w:r>
      <w:r>
        <w:rPr>
          <w:rFonts w:hint="eastAsia" w:ascii="宋体" w:hAnsi="宋体" w:eastAsia="宋体" w:cs="宋体"/>
          <w:b w:val="0"/>
          <w:bCs/>
          <w:color w:val="000000" w:themeColor="text1"/>
          <w:sz w:val="24"/>
          <w:szCs w:val="24"/>
          <w:highlight w:val="none"/>
          <w14:textFill>
            <w14:solidFill>
              <w14:schemeClr w14:val="tx1"/>
            </w14:solidFill>
          </w14:textFill>
        </w:rPr>
        <w:t>提交书面评审报告</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w:t>
      </w:r>
    </w:p>
    <w:p w14:paraId="6B54F9C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val="0"/>
          <w:bCs/>
          <w:color w:val="000000" w:themeColor="text1"/>
          <w:sz w:val="24"/>
          <w:szCs w:val="24"/>
          <w:highlight w:val="none"/>
          <w14:textFill>
            <w14:solidFill>
              <w14:schemeClr w14:val="tx1"/>
            </w14:solidFill>
          </w14:textFill>
        </w:rPr>
        <w:t>2</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 w:val="0"/>
          <w:bCs/>
          <w:color w:val="000000" w:themeColor="text1"/>
          <w:sz w:val="24"/>
          <w:szCs w:val="24"/>
          <w:highlight w:val="none"/>
          <w14:textFill>
            <w14:solidFill>
              <w14:schemeClr w14:val="tx1"/>
            </w14:solidFill>
          </w14:textFill>
        </w:rPr>
        <w:t>.</w:t>
      </w:r>
      <w:r>
        <w:rPr>
          <w:rFonts w:hint="eastAsia" w:ascii="宋体" w:hAnsi="宋体" w:cs="宋体"/>
          <w:b w:val="0"/>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val="0"/>
          <w:bCs/>
          <w:color w:val="000000" w:themeColor="text1"/>
          <w:sz w:val="24"/>
          <w:szCs w:val="24"/>
          <w:highlight w:val="none"/>
          <w14:textFill>
            <w14:solidFill>
              <w14:schemeClr w14:val="tx1"/>
            </w14:solidFill>
          </w14:textFill>
        </w:rPr>
        <w:t>成</w:t>
      </w:r>
      <w:r>
        <w:rPr>
          <w:rFonts w:hint="eastAsia" w:ascii="宋体" w:hAnsi="宋体" w:eastAsia="宋体" w:cs="宋体"/>
          <w:color w:val="000000" w:themeColor="text1"/>
          <w:sz w:val="24"/>
          <w:szCs w:val="24"/>
          <w:highlight w:val="none"/>
          <w14:textFill>
            <w14:solidFill>
              <w14:schemeClr w14:val="tx1"/>
            </w14:solidFill>
          </w14:textFill>
        </w:rPr>
        <w:t>交结果信息公布</w:t>
      </w:r>
    </w:p>
    <w:p w14:paraId="5102C9FD">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中标结果公告将在新疆政府采购网上发布，公告期限为1个工作日。</w:t>
      </w:r>
    </w:p>
    <w:p w14:paraId="0A2F8468">
      <w:pPr>
        <w:pageBreakBefore w:val="0"/>
        <w:kinsoku/>
        <w:wordWrap/>
        <w:overflowPunct/>
        <w:autoSpaceDE/>
        <w:autoSpaceDN/>
        <w:bidi w:val="0"/>
        <w:adjustRightInd/>
        <w:snapToGrid/>
        <w:spacing w:line="480" w:lineRule="exact"/>
        <w:textAlignment w:val="auto"/>
        <w:rPr>
          <w:rFonts w:hint="eastAsia" w:ascii="宋体" w:hAnsi="宋体" w:eastAsia="宋体" w:cs="宋体"/>
          <w:b w:val="0"/>
          <w:bCs/>
          <w:color w:val="000000" w:themeColor="text1"/>
          <w:sz w:val="24"/>
          <w:szCs w:val="24"/>
          <w:highlight w:val="none"/>
          <w:lang w:eastAsia="zh-CN"/>
          <w14:textFill>
            <w14:solidFill>
              <w14:schemeClr w14:val="tx1"/>
            </w14:solidFill>
          </w14:textFill>
        </w:rPr>
      </w:pP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29.</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评审标准</w:t>
      </w:r>
    </w:p>
    <w:p w14:paraId="7CF85AF5">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b/>
          <w:color w:val="000000" w:themeColor="text1"/>
          <w:sz w:val="32"/>
          <w:szCs w:val="24"/>
          <w:highlight w:val="none"/>
          <w:lang w:val="zh-CN"/>
          <w14:textFill>
            <w14:solidFill>
              <w14:schemeClr w14:val="tx1"/>
            </w14:solidFill>
          </w14:textFill>
        </w:rPr>
      </w:pPr>
      <w:r>
        <w:rPr>
          <w:rFonts w:hint="eastAsia" w:ascii="宋体" w:hAnsi="宋体" w:eastAsia="宋体" w:cs="宋体"/>
          <w:b w:val="0"/>
          <w:bCs/>
          <w:color w:val="000000" w:themeColor="text1"/>
          <w:sz w:val="24"/>
          <w:szCs w:val="24"/>
          <w:highlight w:val="none"/>
          <w14:textFill>
            <w14:solidFill>
              <w14:schemeClr w14:val="tx1"/>
            </w14:solidFill>
          </w14:textFill>
        </w:rPr>
        <w:t>磋商小组按照磋商文件要求对响应文件中的重要技术指标以及技术和商务上要求的其它重要内容进行审核，审核合格后即视为实质性响应的磋商响应文件，进行第二个步骤：对实质性响应的磋商响应文件进行评估和比较采用综合评分法进行打分评比，打分方法：总分为100分，其中经济</w:t>
      </w:r>
      <w:r>
        <w:rPr>
          <w:rFonts w:hint="eastAsia" w:ascii="宋体" w:hAnsi="宋体" w:cs="宋体"/>
          <w:b w:val="0"/>
          <w:bCs/>
          <w:color w:val="000000" w:themeColor="text1"/>
          <w:sz w:val="24"/>
          <w:szCs w:val="24"/>
          <w:highlight w:val="none"/>
          <w:lang w:eastAsia="zh-CN"/>
          <w14:textFill>
            <w14:solidFill>
              <w14:schemeClr w14:val="tx1"/>
            </w14:solidFill>
          </w14:textFill>
        </w:rPr>
        <w:t>部分</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val="0"/>
          <w:bCs/>
          <w:color w:val="000000" w:themeColor="text1"/>
          <w:sz w:val="24"/>
          <w:szCs w:val="24"/>
          <w:highlight w:val="none"/>
          <w14:textFill>
            <w14:solidFill>
              <w14:schemeClr w14:val="tx1"/>
            </w14:solidFill>
          </w14:textFill>
        </w:rPr>
        <w:t>0分，技术商务</w:t>
      </w:r>
      <w:r>
        <w:rPr>
          <w:rFonts w:hint="eastAsia" w:ascii="宋体" w:hAnsi="宋体" w:cs="宋体"/>
          <w:b w:val="0"/>
          <w:bCs/>
          <w:color w:val="000000" w:themeColor="text1"/>
          <w:sz w:val="24"/>
          <w:szCs w:val="24"/>
          <w:highlight w:val="none"/>
          <w:lang w:eastAsia="zh-CN"/>
          <w14:textFill>
            <w14:solidFill>
              <w14:schemeClr w14:val="tx1"/>
            </w14:solidFill>
          </w14:textFill>
        </w:rPr>
        <w:t>部分</w:t>
      </w:r>
      <w:r>
        <w:rPr>
          <w:rFonts w:hint="eastAsia" w:ascii="宋体" w:hAnsi="宋体" w:cs="宋体"/>
          <w:b w:val="0"/>
          <w:bCs/>
          <w:color w:val="000000" w:themeColor="text1"/>
          <w:sz w:val="24"/>
          <w:szCs w:val="24"/>
          <w:highlight w:val="none"/>
          <w:lang w:val="en-US" w:eastAsia="zh-CN"/>
          <w14:textFill>
            <w14:solidFill>
              <w14:schemeClr w14:val="tx1"/>
            </w14:solidFill>
          </w14:textFill>
        </w:rPr>
        <w:t>7</w:t>
      </w:r>
      <w:r>
        <w:rPr>
          <w:rFonts w:hint="eastAsia" w:ascii="宋体" w:hAnsi="宋体" w:eastAsia="宋体" w:cs="宋体"/>
          <w:b w:val="0"/>
          <w:bCs/>
          <w:color w:val="000000" w:themeColor="text1"/>
          <w:sz w:val="24"/>
          <w:szCs w:val="24"/>
          <w:highlight w:val="none"/>
          <w14:textFill>
            <w14:solidFill>
              <w14:schemeClr w14:val="tx1"/>
            </w14:solidFill>
          </w14:textFill>
        </w:rPr>
        <w:t>0分。将每位</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b w:val="0"/>
          <w:bCs/>
          <w:color w:val="000000" w:themeColor="text1"/>
          <w:sz w:val="24"/>
          <w:szCs w:val="24"/>
          <w:highlight w:val="none"/>
          <w14:textFill>
            <w14:solidFill>
              <w14:schemeClr w14:val="tx1"/>
            </w14:solidFill>
          </w14:textFill>
        </w:rPr>
        <w:t>的所有得分相加即为该</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b w:val="0"/>
          <w:bCs/>
          <w:color w:val="000000" w:themeColor="text1"/>
          <w:sz w:val="24"/>
          <w:szCs w:val="24"/>
          <w:highlight w:val="none"/>
          <w14:textFill>
            <w14:solidFill>
              <w14:schemeClr w14:val="tx1"/>
            </w14:solidFill>
          </w14:textFill>
        </w:rPr>
        <w:t>的总得分。初步评审附表及详细评审内容标准如下：</w:t>
      </w:r>
      <w:bookmarkStart w:id="158" w:name="_Toc349573126"/>
      <w:bookmarkStart w:id="159" w:name="_Toc471489758"/>
      <w:bookmarkStart w:id="160" w:name="_Toc527642957"/>
      <w:bookmarkStart w:id="161" w:name="_Toc349637925"/>
      <w:bookmarkStart w:id="162" w:name="_Toc298240410"/>
      <w:bookmarkStart w:id="163" w:name="_Toc267301287"/>
      <w:bookmarkStart w:id="164" w:name="_Toc267301288"/>
    </w:p>
    <w:p w14:paraId="181DC5E7">
      <w:pPr>
        <w:pStyle w:val="21"/>
        <w:pageBreakBefore w:val="0"/>
        <w:kinsoku/>
        <w:overflowPunct/>
        <w:bidi w:val="0"/>
        <w:spacing w:line="480" w:lineRule="exact"/>
        <w:ind w:firstLine="0" w:firstLineChars="0"/>
        <w:jc w:val="both"/>
        <w:textAlignment w:val="auto"/>
        <w:rPr>
          <w:rFonts w:hint="eastAsia" w:ascii="宋体" w:hAnsi="宋体" w:eastAsia="宋体" w:cs="宋体"/>
          <w:b/>
          <w:color w:val="000000" w:themeColor="text1"/>
          <w:sz w:val="32"/>
          <w:szCs w:val="24"/>
          <w:highlight w:val="none"/>
          <w:lang w:val="zh-CN"/>
          <w14:textFill>
            <w14:solidFill>
              <w14:schemeClr w14:val="tx1"/>
            </w14:solidFill>
          </w14:textFill>
        </w:rPr>
      </w:pPr>
    </w:p>
    <w:p w14:paraId="75A18E75">
      <w:pPr>
        <w:pStyle w:val="21"/>
        <w:pageBreakBefore w:val="0"/>
        <w:kinsoku/>
        <w:overflowPunct/>
        <w:bidi w:val="0"/>
        <w:spacing w:line="480" w:lineRule="exact"/>
        <w:ind w:firstLine="0" w:firstLineChars="0"/>
        <w:jc w:val="center"/>
        <w:textAlignment w:val="auto"/>
        <w:rPr>
          <w:rFonts w:ascii="宋体" w:hAnsi="宋体" w:eastAsia="宋体" w:cs="宋体"/>
          <w:b/>
          <w:color w:val="000000" w:themeColor="text1"/>
          <w:sz w:val="32"/>
          <w:szCs w:val="24"/>
          <w:highlight w:val="none"/>
          <w:lang w:val="zh-CN"/>
          <w14:textFill>
            <w14:solidFill>
              <w14:schemeClr w14:val="tx1"/>
            </w14:solidFill>
          </w14:textFill>
        </w:rPr>
      </w:pPr>
      <w:r>
        <w:rPr>
          <w:rFonts w:hint="eastAsia" w:ascii="宋体" w:hAnsi="宋体" w:eastAsia="宋体" w:cs="宋体"/>
          <w:b/>
          <w:color w:val="000000" w:themeColor="text1"/>
          <w:sz w:val="32"/>
          <w:szCs w:val="24"/>
          <w:highlight w:val="none"/>
          <w:lang w:val="zh-CN"/>
          <w14:textFill>
            <w14:solidFill>
              <w14:schemeClr w14:val="tx1"/>
            </w14:solidFill>
          </w14:textFill>
        </w:rPr>
        <w:t>详细评审内容标准</w:t>
      </w:r>
    </w:p>
    <w:tbl>
      <w:tblPr>
        <w:tblStyle w:val="22"/>
        <w:tblpPr w:leftFromText="180" w:rightFromText="180" w:vertAnchor="text" w:horzAnchor="page" w:tblpX="1100" w:tblpY="208"/>
        <w:tblOverlap w:val="never"/>
        <w:tblW w:w="98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0"/>
        <w:gridCol w:w="1313"/>
        <w:gridCol w:w="902"/>
        <w:gridCol w:w="6463"/>
      </w:tblGrid>
      <w:tr w14:paraId="39C1E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180" w:type="dxa"/>
            <w:vAlign w:val="center"/>
          </w:tcPr>
          <w:p w14:paraId="1F44BE75">
            <w:pPr>
              <w:pageBreakBefore w:val="0"/>
              <w:kinsoku/>
              <w:overflowPunct/>
              <w:bidi w:val="0"/>
              <w:snapToGrid w:val="0"/>
              <w:spacing w:line="480" w:lineRule="exact"/>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评审项目</w:t>
            </w:r>
          </w:p>
        </w:tc>
        <w:tc>
          <w:tcPr>
            <w:tcW w:w="2215" w:type="dxa"/>
            <w:gridSpan w:val="2"/>
            <w:vAlign w:val="center"/>
          </w:tcPr>
          <w:p w14:paraId="1966B17A">
            <w:pPr>
              <w:pageBreakBefore w:val="0"/>
              <w:kinsoku/>
              <w:overflowPunct/>
              <w:bidi w:val="0"/>
              <w:snapToGrid w:val="0"/>
              <w:spacing w:line="480" w:lineRule="exact"/>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权重</w:t>
            </w:r>
          </w:p>
        </w:tc>
        <w:tc>
          <w:tcPr>
            <w:tcW w:w="6463" w:type="dxa"/>
            <w:vAlign w:val="center"/>
          </w:tcPr>
          <w:p w14:paraId="251ECC1E">
            <w:pPr>
              <w:pageBreakBefore w:val="0"/>
              <w:kinsoku/>
              <w:overflowPunct/>
              <w:bidi w:val="0"/>
              <w:snapToGrid w:val="0"/>
              <w:spacing w:line="480" w:lineRule="exact"/>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评分标准说明</w:t>
            </w:r>
          </w:p>
        </w:tc>
      </w:tr>
      <w:tr w14:paraId="2CD44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5" w:hRule="atLeast"/>
        </w:trPr>
        <w:tc>
          <w:tcPr>
            <w:tcW w:w="9858" w:type="dxa"/>
            <w:gridSpan w:val="4"/>
            <w:vAlign w:val="center"/>
          </w:tcPr>
          <w:p w14:paraId="709C2DBF">
            <w:pPr>
              <w:pageBreakBefore w:val="0"/>
              <w:kinsoku/>
              <w:overflowPunct/>
              <w:bidi w:val="0"/>
              <w:snapToGrid w:val="0"/>
              <w:spacing w:line="480" w:lineRule="exact"/>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一、</w:t>
            </w:r>
            <w:r>
              <w:rPr>
                <w:rFonts w:hint="eastAsia" w:ascii="宋体" w:hAnsi="宋体" w:cs="宋体"/>
                <w:b/>
                <w:bCs/>
                <w:color w:val="000000" w:themeColor="text1"/>
                <w:sz w:val="21"/>
                <w:szCs w:val="21"/>
                <w:highlight w:val="none"/>
                <w:lang w:eastAsia="zh-CN"/>
                <w14:textFill>
                  <w14:solidFill>
                    <w14:schemeClr w14:val="tx1"/>
                  </w14:solidFill>
                </w14:textFill>
              </w:rPr>
              <w:t>经济部分</w:t>
            </w:r>
            <w:r>
              <w:rPr>
                <w:rFonts w:hint="eastAsia" w:ascii="宋体" w:hAnsi="宋体" w:eastAsia="宋体" w:cs="宋体"/>
                <w:b/>
                <w:bCs/>
                <w:color w:val="000000" w:themeColor="text1"/>
                <w:sz w:val="21"/>
                <w:szCs w:val="21"/>
                <w:highlight w:val="none"/>
                <w14:textFill>
                  <w14:solidFill>
                    <w14:schemeClr w14:val="tx1"/>
                  </w14:solidFill>
                </w14:textFill>
              </w:rPr>
              <w:t>报价</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3</w:t>
            </w:r>
            <w:r>
              <w:rPr>
                <w:rFonts w:hint="eastAsia" w:ascii="宋体" w:hAnsi="宋体" w:eastAsia="宋体" w:cs="宋体"/>
                <w:b/>
                <w:bCs/>
                <w:color w:val="000000" w:themeColor="text1"/>
                <w:sz w:val="21"/>
                <w:szCs w:val="21"/>
                <w:highlight w:val="none"/>
                <w14:textFill>
                  <w14:solidFill>
                    <w14:schemeClr w14:val="tx1"/>
                  </w14:solidFill>
                </w14:textFill>
              </w:rPr>
              <w:t>0分</w:t>
            </w:r>
          </w:p>
        </w:tc>
      </w:tr>
      <w:tr w14:paraId="1874D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63" w:hRule="atLeast"/>
        </w:trPr>
        <w:tc>
          <w:tcPr>
            <w:tcW w:w="1180" w:type="dxa"/>
            <w:vAlign w:val="center"/>
          </w:tcPr>
          <w:p w14:paraId="096B1AA5">
            <w:pPr>
              <w:pageBreakBefore w:val="0"/>
              <w:widowControl/>
              <w:kinsoku/>
              <w:overflowPunct/>
              <w:bidi w:val="0"/>
              <w:spacing w:line="480" w:lineRule="exact"/>
              <w:ind w:left="630" w:hanging="630" w:hangingChars="300"/>
              <w:contextualSpacing/>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报价</w:t>
            </w:r>
          </w:p>
        </w:tc>
        <w:tc>
          <w:tcPr>
            <w:tcW w:w="2215" w:type="dxa"/>
            <w:gridSpan w:val="2"/>
            <w:vAlign w:val="center"/>
          </w:tcPr>
          <w:p w14:paraId="01B71D36">
            <w:pPr>
              <w:pageBreakBefore w:val="0"/>
              <w:kinsoku/>
              <w:overflowPunct/>
              <w:bidi w:val="0"/>
              <w:spacing w:line="480" w:lineRule="exact"/>
              <w:contextualSpacing/>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0分</w:t>
            </w:r>
          </w:p>
        </w:tc>
        <w:tc>
          <w:tcPr>
            <w:tcW w:w="6463" w:type="dxa"/>
            <w:vAlign w:val="center"/>
          </w:tcPr>
          <w:p w14:paraId="40679C2D">
            <w:pPr>
              <w:pageBreakBefore w:val="0"/>
              <w:kinsoku/>
              <w:overflowPunct/>
              <w:bidi w:val="0"/>
              <w:spacing w:line="480" w:lineRule="exact"/>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价格分采用低价优先法计算，即满足竞争性磋商文件要求且最终报价最低的投标单位的价格为磋商基准价，其价格分为满分</w:t>
            </w:r>
            <w:r>
              <w:rPr>
                <w:rFonts w:hint="default" w:ascii="宋体" w:hAnsi="宋体" w:eastAsia="宋体" w:cs="宋体"/>
                <w:color w:val="000000" w:themeColor="text1"/>
                <w:spacing w:val="-4"/>
                <w:sz w:val="21"/>
                <w:szCs w:val="21"/>
                <w:highlight w:val="none"/>
                <w:lang w:val="en-US"/>
                <w14:textFill>
                  <w14:solidFill>
                    <w14:schemeClr w14:val="tx1"/>
                  </w14:solidFill>
                </w14:textFill>
              </w:rPr>
              <w:t>30分</w:t>
            </w:r>
            <w:r>
              <w:rPr>
                <w:rFonts w:hint="eastAsia" w:ascii="宋体" w:hAnsi="宋体" w:eastAsia="宋体" w:cs="宋体"/>
                <w:color w:val="000000" w:themeColor="text1"/>
                <w:spacing w:val="-4"/>
                <w:sz w:val="21"/>
                <w:szCs w:val="21"/>
                <w:highlight w:val="none"/>
                <w14:textFill>
                  <w14:solidFill>
                    <w14:schemeClr w14:val="tx1"/>
                  </w14:solidFill>
                </w14:textFill>
              </w:rPr>
              <w:t>。</w:t>
            </w:r>
          </w:p>
          <w:p w14:paraId="5894EFA6">
            <w:pPr>
              <w:pageBreakBefore w:val="0"/>
              <w:kinsoku/>
              <w:overflowPunct/>
              <w:bidi w:val="0"/>
              <w:spacing w:line="480" w:lineRule="exact"/>
              <w:jc w:val="left"/>
              <w:textAlignment w:val="auto"/>
              <w:rPr>
                <w:rFonts w:hint="default" w:ascii="宋体" w:hAnsi="宋体" w:eastAsia="宋体" w:cs="宋体"/>
                <w:color w:val="000000" w:themeColor="text1"/>
                <w:spacing w:val="-4"/>
                <w:sz w:val="21"/>
                <w:szCs w:val="21"/>
                <w:highlight w:val="none"/>
                <w:lang w:val="en-US"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其他投标单位的价格得分计算：磋商报价得分=（磋商基准价/最终磋商报价）×</w:t>
            </w:r>
            <w:r>
              <w:rPr>
                <w:rFonts w:hint="eastAsia" w:ascii="宋体" w:hAnsi="宋体" w:cs="宋体"/>
                <w:color w:val="000000" w:themeColor="text1"/>
                <w:spacing w:val="-4"/>
                <w:sz w:val="21"/>
                <w:szCs w:val="21"/>
                <w:highlight w:val="none"/>
                <w:lang w:val="en-US" w:eastAsia="zh-CN"/>
                <w14:textFill>
                  <w14:solidFill>
                    <w14:schemeClr w14:val="tx1"/>
                  </w14:solidFill>
                </w14:textFill>
              </w:rPr>
              <w:t>30</w:t>
            </w:r>
            <w:r>
              <w:rPr>
                <w:rFonts w:hint="default" w:ascii="宋体" w:hAnsi="宋体" w:cs="宋体"/>
                <w:color w:val="000000" w:themeColor="text1"/>
                <w:spacing w:val="-4"/>
                <w:sz w:val="21"/>
                <w:szCs w:val="21"/>
                <w:highlight w:val="none"/>
                <w:lang w:val="en-US" w:eastAsia="zh-CN"/>
                <w14:textFill>
                  <w14:solidFill>
                    <w14:schemeClr w14:val="tx1"/>
                  </w14:solidFill>
                </w14:textFill>
              </w:rPr>
              <w:t>分</w:t>
            </w:r>
          </w:p>
        </w:tc>
      </w:tr>
      <w:tr w14:paraId="4F120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5" w:hRule="atLeast"/>
        </w:trPr>
        <w:tc>
          <w:tcPr>
            <w:tcW w:w="9858" w:type="dxa"/>
            <w:gridSpan w:val="4"/>
            <w:tcBorders>
              <w:top w:val="single" w:color="auto" w:sz="4" w:space="0"/>
              <w:left w:val="single" w:color="auto" w:sz="4" w:space="0"/>
              <w:bottom w:val="single" w:color="auto" w:sz="4" w:space="0"/>
              <w:right w:val="single" w:color="auto" w:sz="4" w:space="0"/>
            </w:tcBorders>
            <w:vAlign w:val="center"/>
          </w:tcPr>
          <w:p w14:paraId="13FC8263">
            <w:pPr>
              <w:pageBreakBefore w:val="0"/>
              <w:widowControl/>
              <w:kinsoku/>
              <w:overflowPunct/>
              <w:bidi w:val="0"/>
              <w:spacing w:line="480" w:lineRule="exact"/>
              <w:contextualSpacing/>
              <w:jc w:val="left"/>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b/>
                <w:bCs/>
                <w:color w:val="000000" w:themeColor="text1"/>
                <w:sz w:val="21"/>
                <w:szCs w:val="21"/>
                <w:highlight w:val="none"/>
                <w:lang w:eastAsia="zh-CN"/>
                <w14:textFill>
                  <w14:solidFill>
                    <w14:schemeClr w14:val="tx1"/>
                  </w14:solidFill>
                </w14:textFill>
              </w:rPr>
              <w:t>二</w:t>
            </w:r>
            <w:r>
              <w:rPr>
                <w:rFonts w:hint="eastAsia" w:ascii="宋体" w:hAnsi="宋体" w:eastAsia="宋体" w:cs="宋体"/>
                <w:b/>
                <w:bCs/>
                <w:color w:val="000000" w:themeColor="text1"/>
                <w:sz w:val="21"/>
                <w:szCs w:val="21"/>
                <w:highlight w:val="none"/>
                <w14:textFill>
                  <w14:solidFill>
                    <w14:schemeClr w14:val="tx1"/>
                  </w14:solidFill>
                </w14:textFill>
              </w:rPr>
              <w:t>、</w:t>
            </w:r>
            <w:r>
              <w:rPr>
                <w:rFonts w:hint="eastAsia" w:ascii="宋体" w:hAnsi="宋体" w:cs="宋体"/>
                <w:b/>
                <w:bCs/>
                <w:color w:val="000000" w:themeColor="text1"/>
                <w:sz w:val="21"/>
                <w:szCs w:val="21"/>
                <w:highlight w:val="none"/>
                <w:lang w:eastAsia="zh-CN"/>
                <w14:textFill>
                  <w14:solidFill>
                    <w14:schemeClr w14:val="tx1"/>
                  </w14:solidFill>
                </w14:textFill>
              </w:rPr>
              <w:t>商务</w:t>
            </w:r>
            <w:r>
              <w:rPr>
                <w:rFonts w:hint="eastAsia" w:ascii="宋体" w:hAnsi="宋体" w:eastAsia="宋体" w:cs="宋体"/>
                <w:b/>
                <w:bCs/>
                <w:color w:val="000000" w:themeColor="text1"/>
                <w:sz w:val="21"/>
                <w:szCs w:val="21"/>
                <w:highlight w:val="none"/>
                <w14:textFill>
                  <w14:solidFill>
                    <w14:schemeClr w14:val="tx1"/>
                  </w14:solidFill>
                </w14:textFill>
              </w:rPr>
              <w:t>技术</w:t>
            </w:r>
            <w:r>
              <w:rPr>
                <w:rFonts w:hint="eastAsia" w:ascii="宋体" w:hAnsi="宋体" w:cs="宋体"/>
                <w:b/>
                <w:bCs/>
                <w:color w:val="000000" w:themeColor="text1"/>
                <w:sz w:val="21"/>
                <w:szCs w:val="21"/>
                <w:highlight w:val="none"/>
                <w:lang w:eastAsia="zh-CN"/>
                <w14:textFill>
                  <w14:solidFill>
                    <w14:schemeClr w14:val="tx1"/>
                  </w14:solidFill>
                </w14:textFill>
              </w:rPr>
              <w:t>部分</w:t>
            </w:r>
            <w:r>
              <w:rPr>
                <w:rFonts w:hint="eastAsia" w:ascii="宋体" w:hAnsi="宋体" w:cs="宋体"/>
                <w:b/>
                <w:bCs/>
                <w:color w:val="000000" w:themeColor="text1"/>
                <w:sz w:val="21"/>
                <w:szCs w:val="21"/>
                <w:highlight w:val="none"/>
                <w:lang w:val="en-US" w:eastAsia="zh-CN"/>
                <w14:textFill>
                  <w14:solidFill>
                    <w14:schemeClr w14:val="tx1"/>
                  </w14:solidFill>
                </w14:textFill>
              </w:rPr>
              <w:t>7</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0分</w:t>
            </w:r>
          </w:p>
        </w:tc>
      </w:tr>
      <w:tr w14:paraId="20884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blHeader/>
        </w:trPr>
        <w:tc>
          <w:tcPr>
            <w:tcW w:w="1180" w:type="dxa"/>
            <w:vAlign w:val="center"/>
          </w:tcPr>
          <w:p w14:paraId="045193F2">
            <w:pPr>
              <w:pageBreakBefore w:val="0"/>
              <w:tabs>
                <w:tab w:val="left" w:pos="749"/>
                <w:tab w:val="left" w:pos="3346"/>
                <w:tab w:val="left" w:pos="3873"/>
                <w:tab w:val="left" w:pos="9611"/>
              </w:tabs>
              <w:kinsoku/>
              <w:overflowPunct/>
              <w:bidi w:val="0"/>
              <w:spacing w:line="480" w:lineRule="exact"/>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序号</w:t>
            </w:r>
          </w:p>
        </w:tc>
        <w:tc>
          <w:tcPr>
            <w:tcW w:w="1313" w:type="dxa"/>
            <w:vAlign w:val="center"/>
          </w:tcPr>
          <w:p w14:paraId="079956A1">
            <w:pPr>
              <w:pageBreakBefore w:val="0"/>
              <w:tabs>
                <w:tab w:val="left" w:pos="749"/>
                <w:tab w:val="left" w:pos="3346"/>
                <w:tab w:val="left" w:pos="3873"/>
                <w:tab w:val="left" w:pos="9611"/>
              </w:tabs>
              <w:kinsoku/>
              <w:overflowPunct/>
              <w:bidi w:val="0"/>
              <w:spacing w:line="480" w:lineRule="exact"/>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评审项目</w:t>
            </w:r>
          </w:p>
        </w:tc>
        <w:tc>
          <w:tcPr>
            <w:tcW w:w="902" w:type="dxa"/>
            <w:vAlign w:val="center"/>
          </w:tcPr>
          <w:p w14:paraId="6FB455A7">
            <w:pPr>
              <w:pageBreakBefore w:val="0"/>
              <w:tabs>
                <w:tab w:val="left" w:pos="749"/>
                <w:tab w:val="left" w:pos="3346"/>
                <w:tab w:val="left" w:pos="3873"/>
                <w:tab w:val="left" w:pos="9611"/>
              </w:tabs>
              <w:kinsoku/>
              <w:overflowPunct/>
              <w:bidi w:val="0"/>
              <w:spacing w:line="480" w:lineRule="exact"/>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分值</w:t>
            </w:r>
          </w:p>
        </w:tc>
        <w:tc>
          <w:tcPr>
            <w:tcW w:w="6463" w:type="dxa"/>
            <w:vAlign w:val="center"/>
          </w:tcPr>
          <w:p w14:paraId="256FFFCA">
            <w:pPr>
              <w:pageBreakBefore w:val="0"/>
              <w:tabs>
                <w:tab w:val="left" w:pos="749"/>
                <w:tab w:val="left" w:pos="3346"/>
                <w:tab w:val="left" w:pos="3873"/>
                <w:tab w:val="left" w:pos="9611"/>
              </w:tabs>
              <w:kinsoku/>
              <w:overflowPunct/>
              <w:bidi w:val="0"/>
              <w:spacing w:line="480" w:lineRule="exact"/>
              <w:jc w:val="center"/>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评审内容</w:t>
            </w:r>
          </w:p>
        </w:tc>
      </w:tr>
      <w:tr w14:paraId="778E3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6D82E893">
            <w:pPr>
              <w:keepNext w:val="0"/>
              <w:keepLines w:val="0"/>
              <w:pageBreakBefore w:val="0"/>
              <w:tabs>
                <w:tab w:val="left" w:pos="749"/>
                <w:tab w:val="left" w:pos="3346"/>
                <w:tab w:val="left" w:pos="3873"/>
                <w:tab w:val="left" w:pos="9611"/>
              </w:tabs>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1</w:t>
            </w:r>
          </w:p>
        </w:tc>
        <w:tc>
          <w:tcPr>
            <w:tcW w:w="1313" w:type="dxa"/>
            <w:vAlign w:val="center"/>
          </w:tcPr>
          <w:p w14:paraId="7BA3ADFE">
            <w:pPr>
              <w:keepNext w:val="0"/>
              <w:keepLines w:val="0"/>
              <w:pageBreakBefore w:val="0"/>
              <w:tabs>
                <w:tab w:val="left" w:pos="749"/>
                <w:tab w:val="left" w:pos="3346"/>
                <w:tab w:val="left" w:pos="3873"/>
                <w:tab w:val="left" w:pos="9611"/>
              </w:tabs>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投标人近3年类似业绩</w:t>
            </w:r>
          </w:p>
        </w:tc>
        <w:tc>
          <w:tcPr>
            <w:tcW w:w="902" w:type="dxa"/>
            <w:vAlign w:val="center"/>
          </w:tcPr>
          <w:p w14:paraId="61AF5331">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6</w:t>
            </w:r>
          </w:p>
        </w:tc>
        <w:tc>
          <w:tcPr>
            <w:tcW w:w="6463" w:type="dxa"/>
            <w:vAlign w:val="center"/>
          </w:tcPr>
          <w:p w14:paraId="580DBA4D">
            <w:pPr>
              <w:keepNext w:val="0"/>
              <w:keepLines w:val="0"/>
              <w:pageBreakBefore w:val="0"/>
              <w:tabs>
                <w:tab w:val="left" w:pos="749"/>
                <w:tab w:val="left" w:pos="3346"/>
                <w:tab w:val="left" w:pos="3873"/>
                <w:tab w:val="left" w:pos="9611"/>
              </w:tabs>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pP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近3年（投标截止日期</w:t>
            </w:r>
            <w:r>
              <w:rPr>
                <w:rFonts w:hint="eastAsia" w:ascii="宋体" w:hAnsi="宋体" w:cs="宋体"/>
                <w:color w:val="000000" w:themeColor="text1"/>
                <w:spacing w:val="-4"/>
                <w:sz w:val="21"/>
                <w:szCs w:val="21"/>
                <w:highlight w:val="none"/>
                <w:lang w:val="en-US" w:eastAsia="zh-CN"/>
                <w14:textFill>
                  <w14:solidFill>
                    <w14:schemeClr w14:val="tx1"/>
                  </w14:solidFill>
                </w14:textFill>
              </w:rPr>
              <w:t>往前</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）类似的业绩，每项业绩得</w:t>
            </w:r>
            <w:r>
              <w:rPr>
                <w:rFonts w:hint="eastAsia" w:ascii="宋体" w:hAnsi="宋体" w:cs="宋体"/>
                <w:color w:val="000000" w:themeColor="text1"/>
                <w:spacing w:val="-4"/>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分，共</w:t>
            </w:r>
            <w:r>
              <w:rPr>
                <w:rFonts w:hint="eastAsia" w:ascii="宋体" w:hAnsi="宋体" w:cs="宋体"/>
                <w:color w:val="000000" w:themeColor="text1"/>
                <w:spacing w:val="-4"/>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分，得满为止（提供中标通知书及合同</w:t>
            </w:r>
            <w:r>
              <w:rPr>
                <w:rFonts w:hint="eastAsia" w:ascii="宋体" w:hAnsi="宋体" w:cs="宋体"/>
                <w:color w:val="000000" w:themeColor="text1"/>
                <w:spacing w:val="-4"/>
                <w:sz w:val="21"/>
                <w:szCs w:val="21"/>
                <w:highlight w:val="none"/>
                <w:lang w:val="en-US" w:eastAsia="zh-CN"/>
                <w14:textFill>
                  <w14:solidFill>
                    <w14:schemeClr w14:val="tx1"/>
                  </w14:solidFill>
                </w14:textFill>
              </w:rPr>
              <w:t>和竣工验收证明材料</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w:t>
            </w:r>
          </w:p>
        </w:tc>
      </w:tr>
      <w:tr w14:paraId="7EC3C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298AEC29">
            <w:pPr>
              <w:keepNext w:val="0"/>
              <w:keepLines w:val="0"/>
              <w:pageBreakBefore w:val="0"/>
              <w:tabs>
                <w:tab w:val="left" w:pos="749"/>
                <w:tab w:val="left" w:pos="3346"/>
                <w:tab w:val="left" w:pos="3873"/>
                <w:tab w:val="left" w:pos="9611"/>
              </w:tabs>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2</w:t>
            </w:r>
          </w:p>
        </w:tc>
        <w:tc>
          <w:tcPr>
            <w:tcW w:w="1313" w:type="dxa"/>
            <w:vAlign w:val="center"/>
          </w:tcPr>
          <w:p w14:paraId="13D45414">
            <w:pPr>
              <w:keepNext w:val="0"/>
              <w:keepLines w:val="0"/>
              <w:pageBreakBefore w:val="0"/>
              <w:tabs>
                <w:tab w:val="left" w:pos="749"/>
                <w:tab w:val="left" w:pos="3346"/>
                <w:tab w:val="left" w:pos="3873"/>
                <w:tab w:val="left" w:pos="9611"/>
              </w:tabs>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拟投入本项目人员配置情况</w:t>
            </w:r>
          </w:p>
        </w:tc>
        <w:tc>
          <w:tcPr>
            <w:tcW w:w="902" w:type="dxa"/>
            <w:vAlign w:val="center"/>
          </w:tcPr>
          <w:p w14:paraId="0375DB92">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6</w:t>
            </w:r>
          </w:p>
        </w:tc>
        <w:tc>
          <w:tcPr>
            <w:tcW w:w="6463" w:type="dxa"/>
            <w:vAlign w:val="center"/>
          </w:tcPr>
          <w:p w14:paraId="410EBF31">
            <w:pPr>
              <w:keepNext w:val="0"/>
              <w:keepLines w:val="0"/>
              <w:pageBreakBefore w:val="0"/>
              <w:tabs>
                <w:tab w:val="left" w:pos="749"/>
                <w:tab w:val="left" w:pos="3346"/>
                <w:tab w:val="left" w:pos="3873"/>
                <w:tab w:val="left" w:pos="9611"/>
              </w:tabs>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本项目管理机构除项目经理以外，还应当包括技术负责人、施工员、资料员、安全员、质检员等岗位。有与项目规模大小相匹配的管理机构且相应岗位证书齐全的得6分；岗位或证书每缺少1个扣1分，</w:t>
            </w:r>
            <w:r>
              <w:rPr>
                <w:rFonts w:hint="eastAsia" w:ascii="宋体" w:hAnsi="宋体" w:cs="宋体"/>
                <w:color w:val="000000" w:themeColor="text1"/>
                <w:spacing w:val="-4"/>
                <w:sz w:val="21"/>
                <w:szCs w:val="21"/>
                <w:highlight w:val="none"/>
                <w:lang w:eastAsia="zh-CN"/>
                <w14:textFill>
                  <w14:solidFill>
                    <w14:schemeClr w14:val="tx1"/>
                  </w14:solidFill>
                </w14:textFill>
              </w:rPr>
              <w:t>未提供不得分</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tc>
      </w:tr>
      <w:tr w14:paraId="09A24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2" w:hRule="atLeast"/>
          <w:tblHeader/>
        </w:trPr>
        <w:tc>
          <w:tcPr>
            <w:tcW w:w="1180" w:type="dxa"/>
            <w:tcBorders>
              <w:bottom w:val="single" w:color="auto" w:sz="4" w:space="0"/>
            </w:tcBorders>
            <w:vAlign w:val="center"/>
          </w:tcPr>
          <w:p w14:paraId="02ED8A29">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3</w:t>
            </w:r>
          </w:p>
        </w:tc>
        <w:tc>
          <w:tcPr>
            <w:tcW w:w="1313" w:type="dxa"/>
            <w:tcBorders>
              <w:bottom w:val="single" w:color="auto" w:sz="4" w:space="0"/>
            </w:tcBorders>
            <w:vAlign w:val="center"/>
          </w:tcPr>
          <w:p w14:paraId="0D48398D">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工程概况</w:t>
            </w:r>
          </w:p>
          <w:p w14:paraId="5C63B035">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及特点</w:t>
            </w:r>
          </w:p>
        </w:tc>
        <w:tc>
          <w:tcPr>
            <w:tcW w:w="902" w:type="dxa"/>
            <w:tcBorders>
              <w:bottom w:val="single" w:color="auto" w:sz="4" w:space="0"/>
            </w:tcBorders>
            <w:vAlign w:val="center"/>
          </w:tcPr>
          <w:p w14:paraId="615DC2CF">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2</w:t>
            </w:r>
          </w:p>
        </w:tc>
        <w:tc>
          <w:tcPr>
            <w:tcW w:w="6463" w:type="dxa"/>
            <w:tcBorders>
              <w:bottom w:val="single" w:color="auto" w:sz="4" w:space="0"/>
            </w:tcBorders>
            <w:vAlign w:val="center"/>
          </w:tcPr>
          <w:p w14:paraId="42C14289">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宋体" w:hAnsi="宋体" w:eastAsia="宋体" w:cs="宋体"/>
                <w:color w:val="000000" w:themeColor="text1"/>
                <w:spacing w:val="-4"/>
                <w:sz w:val="21"/>
                <w:szCs w:val="21"/>
                <w:highlight w:val="none"/>
                <w:lang w:val="en-US" w:eastAsia="zh-CN"/>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根据</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招标文件要求</w:t>
            </w:r>
            <w:r>
              <w:rPr>
                <w:rFonts w:hint="default" w:ascii="宋体" w:hAnsi="宋体" w:eastAsia="宋体" w:cs="宋体"/>
                <w:color w:val="000000" w:themeColor="text1"/>
                <w:spacing w:val="-4"/>
                <w:sz w:val="21"/>
                <w:szCs w:val="21"/>
                <w:highlight w:val="none"/>
                <w:lang w:val="en-US" w:eastAsia="zh-CN"/>
                <w14:textFill>
                  <w14:solidFill>
                    <w14:schemeClr w14:val="tx1"/>
                  </w14:solidFill>
                </w14:textFill>
              </w:rPr>
              <w:t>的</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满足程度</w:t>
            </w:r>
            <w:r>
              <w:rPr>
                <w:rFonts w:hint="eastAsia" w:ascii="宋体" w:hAnsi="宋体" w:cs="宋体"/>
                <w:color w:val="000000" w:themeColor="text1"/>
                <w:spacing w:val="-4"/>
                <w:sz w:val="21"/>
                <w:szCs w:val="21"/>
                <w:highlight w:val="none"/>
                <w:lang w:eastAsia="zh-CN"/>
                <w14:textFill>
                  <w14:solidFill>
                    <w14:schemeClr w14:val="tx1"/>
                  </w14:solidFill>
                </w14:textFill>
              </w:rPr>
              <w:t>，</w:t>
            </w:r>
            <w:r>
              <w:rPr>
                <w:rFonts w:hint="eastAsia" w:ascii="宋体" w:hAnsi="宋体" w:eastAsia="宋体" w:cs="宋体"/>
                <w:color w:val="000000" w:themeColor="text1"/>
                <w:spacing w:val="-4"/>
                <w:sz w:val="21"/>
                <w:szCs w:val="21"/>
                <w:highlight w:val="none"/>
                <w14:textFill>
                  <w14:solidFill>
                    <w14:schemeClr w14:val="tx1"/>
                  </w14:solidFill>
                </w14:textFill>
              </w:rPr>
              <w:t>工程概况及特点叙述清楚，符合实际</w:t>
            </w:r>
            <w:r>
              <w:rPr>
                <w:rFonts w:hint="default" w:ascii="宋体" w:hAnsi="宋体" w:eastAsia="宋体" w:cs="宋体"/>
                <w:color w:val="000000" w:themeColor="text1"/>
                <w:spacing w:val="-4"/>
                <w:sz w:val="21"/>
                <w:szCs w:val="21"/>
                <w:highlight w:val="none"/>
                <w:lang w:val="en-US"/>
                <w14:textFill>
                  <w14:solidFill>
                    <w14:schemeClr w14:val="tx1"/>
                  </w14:solidFill>
                </w14:textFill>
              </w:rPr>
              <w:t>的</w:t>
            </w:r>
            <w:r>
              <w:rPr>
                <w:rFonts w:hint="eastAsia" w:ascii="宋体" w:hAnsi="宋体" w:eastAsia="宋体" w:cs="宋体"/>
                <w:color w:val="000000" w:themeColor="text1"/>
                <w:spacing w:val="-4"/>
                <w:sz w:val="21"/>
                <w:szCs w:val="21"/>
                <w:highlight w:val="none"/>
                <w14:textFill>
                  <w14:solidFill>
                    <w14:schemeClr w14:val="tx1"/>
                  </w14:solidFill>
                </w14:textFill>
              </w:rPr>
              <w:t>得</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4"/>
                <w:sz w:val="21"/>
                <w:szCs w:val="21"/>
                <w:highlight w:val="none"/>
                <w14:textFill>
                  <w14:solidFill>
                    <w14:schemeClr w14:val="tx1"/>
                  </w14:solidFill>
                </w14:textFill>
              </w:rPr>
              <w:t>分</w:t>
            </w:r>
            <w:r>
              <w:rPr>
                <w:rFonts w:hint="eastAsia" w:ascii="宋体" w:hAnsi="宋体" w:cs="宋体"/>
                <w:color w:val="000000" w:themeColor="text1"/>
                <w:spacing w:val="-4"/>
                <w:sz w:val="21"/>
                <w:szCs w:val="21"/>
                <w:highlight w:val="none"/>
                <w:lang w:eastAsia="zh-CN"/>
                <w14:textFill>
                  <w14:solidFill>
                    <w14:schemeClr w14:val="tx1"/>
                  </w14:solidFill>
                </w14:textFill>
              </w:rPr>
              <w:t>；描述不清楚，不详细的得</w:t>
            </w:r>
            <w:r>
              <w:rPr>
                <w:rFonts w:hint="eastAsia" w:ascii="宋体" w:hAnsi="宋体" w:cs="宋体"/>
                <w:color w:val="000000" w:themeColor="text1"/>
                <w:spacing w:val="-4"/>
                <w:sz w:val="21"/>
                <w:szCs w:val="21"/>
                <w:highlight w:val="none"/>
                <w:lang w:val="en-US" w:eastAsia="zh-CN"/>
                <w14:textFill>
                  <w14:solidFill>
                    <w14:schemeClr w14:val="tx1"/>
                  </w14:solidFill>
                </w14:textFill>
              </w:rPr>
              <w:t>1分；</w:t>
            </w:r>
            <w:r>
              <w:rPr>
                <w:rFonts w:hint="eastAsia" w:ascii="宋体" w:hAnsi="宋体" w:cs="宋体"/>
                <w:color w:val="000000" w:themeColor="text1"/>
                <w:spacing w:val="-4"/>
                <w:sz w:val="21"/>
                <w:szCs w:val="21"/>
                <w:highlight w:val="none"/>
                <w:lang w:eastAsia="zh-CN"/>
                <w14:textFill>
                  <w14:solidFill>
                    <w14:schemeClr w14:val="tx1"/>
                  </w14:solidFill>
                </w14:textFill>
              </w:rPr>
              <w:t>未提供不得分</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tc>
      </w:tr>
      <w:tr w14:paraId="332E0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1DA627D3">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4</w:t>
            </w:r>
          </w:p>
        </w:tc>
        <w:tc>
          <w:tcPr>
            <w:tcW w:w="1313" w:type="dxa"/>
            <w:vAlign w:val="center"/>
          </w:tcPr>
          <w:p w14:paraId="178AACEA">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施工准备</w:t>
            </w:r>
          </w:p>
          <w:p w14:paraId="15677FB9">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计划</w:t>
            </w:r>
          </w:p>
        </w:tc>
        <w:tc>
          <w:tcPr>
            <w:tcW w:w="902" w:type="dxa"/>
            <w:vAlign w:val="center"/>
          </w:tcPr>
          <w:p w14:paraId="648795CF">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3</w:t>
            </w:r>
          </w:p>
        </w:tc>
        <w:tc>
          <w:tcPr>
            <w:tcW w:w="6463" w:type="dxa"/>
            <w:vAlign w:val="center"/>
          </w:tcPr>
          <w:p w14:paraId="22C4A39D">
            <w:pPr>
              <w:keepNext w:val="0"/>
              <w:keepLines w:val="0"/>
              <w:pageBreakBefore w:val="0"/>
              <w:widowControl/>
              <w:numPr>
                <w:ilvl w:val="0"/>
                <w:numId w:val="8"/>
              </w:numP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eastAsia="zh-CN"/>
                <w14:textFill>
                  <w14:solidFill>
                    <w14:schemeClr w14:val="tx1"/>
                  </w14:solidFill>
                </w14:textFill>
              </w:rPr>
              <w:t>施工技术、现场管理计划应能充分保证工程需要；</w:t>
            </w:r>
          </w:p>
          <w:p w14:paraId="0717568B">
            <w:pPr>
              <w:keepNext w:val="0"/>
              <w:keepLines w:val="0"/>
              <w:pageBreakBefore w:val="0"/>
              <w:widowControl/>
              <w:numPr>
                <w:ilvl w:val="0"/>
                <w:numId w:val="8"/>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资源投入计划、施工部署、施工方法与进度计划能够相互呼应满足施工需要；</w:t>
            </w:r>
          </w:p>
          <w:p w14:paraId="420D38BD">
            <w:pPr>
              <w:keepNext w:val="0"/>
              <w:keepLines w:val="0"/>
              <w:pageBreakBefore w:val="0"/>
              <w:widowControl/>
              <w:numPr>
                <w:ilvl w:val="0"/>
                <w:numId w:val="8"/>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物资储备能充分保证工程需要</w:t>
            </w:r>
            <w:r>
              <w:rPr>
                <w:rFonts w:hint="eastAsia" w:ascii="宋体" w:hAnsi="宋体" w:cs="宋体"/>
                <w:color w:val="000000" w:themeColor="text1"/>
                <w:kern w:val="0"/>
                <w:sz w:val="21"/>
                <w:szCs w:val="21"/>
                <w:highlight w:val="none"/>
                <w:lang w:val="en-US" w:eastAsia="zh-CN"/>
                <w14:textFill>
                  <w14:solidFill>
                    <w14:schemeClr w14:val="tx1"/>
                  </w14:solidFill>
                </w14:textFill>
              </w:rPr>
              <w:t>。</w:t>
            </w:r>
          </w:p>
          <w:p w14:paraId="6A52EA06">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eastAsia="zh-CN"/>
                <w14:textFill>
                  <w14:solidFill>
                    <w14:schemeClr w14:val="tx1"/>
                  </w14:solidFill>
                </w14:textFill>
              </w:rPr>
              <w:t>计划内容完整可行、符合项目实际情况的得</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3</w:t>
            </w:r>
            <w:r>
              <w:rPr>
                <w:rFonts w:hint="eastAsia" w:ascii="宋体" w:hAnsi="宋体" w:eastAsia="宋体" w:cs="宋体"/>
                <w:color w:val="000000" w:themeColor="text1"/>
                <w:kern w:val="0"/>
                <w:sz w:val="21"/>
                <w:szCs w:val="21"/>
                <w:highlight w:val="none"/>
                <w:lang w:eastAsia="zh-CN"/>
                <w14:textFill>
                  <w14:solidFill>
                    <w14:schemeClr w14:val="tx1"/>
                  </w14:solidFill>
                </w14:textFill>
              </w:rPr>
              <w:t>分；</w:t>
            </w:r>
            <w:r>
              <w:rPr>
                <w:rFonts w:hint="eastAsia" w:ascii="宋体" w:hAnsi="宋体" w:eastAsia="宋体" w:cs="宋体"/>
                <w:color w:val="000000" w:themeColor="text1"/>
                <w:kern w:val="0"/>
                <w:sz w:val="21"/>
                <w:szCs w:val="21"/>
                <w:highlight w:val="none"/>
                <w14:textFill>
                  <w14:solidFill>
                    <w14:schemeClr w14:val="tx1"/>
                  </w14:solidFill>
                </w14:textFill>
              </w:rPr>
              <w:t>每存在一处缺漏或不详实或描述不清的扣</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1</w:t>
            </w:r>
            <w:r>
              <w:rPr>
                <w:rFonts w:hint="eastAsia" w:ascii="宋体" w:hAnsi="宋体" w:eastAsia="宋体" w:cs="宋体"/>
                <w:color w:val="000000" w:themeColor="text1"/>
                <w:kern w:val="0"/>
                <w:sz w:val="21"/>
                <w:szCs w:val="21"/>
                <w:highlight w:val="none"/>
                <w14:textFill>
                  <w14:solidFill>
                    <w14:schemeClr w14:val="tx1"/>
                  </w14:solidFill>
                </w14:textFill>
              </w:rPr>
              <w:t>分，扣完为止</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p>
        </w:tc>
      </w:tr>
      <w:tr w14:paraId="7BC86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1" w:hRule="atLeast"/>
          <w:tblHeader/>
        </w:trPr>
        <w:tc>
          <w:tcPr>
            <w:tcW w:w="1180" w:type="dxa"/>
            <w:vAlign w:val="center"/>
          </w:tcPr>
          <w:p w14:paraId="0498169F">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shd w:val="clear" w:color="auto" w:fill="auto"/>
                <w:lang w:val="en-US" w:eastAsia="zh-CN"/>
                <w14:textFill>
                  <w14:solidFill>
                    <w14:schemeClr w14:val="tx1"/>
                  </w14:solidFill>
                </w14:textFill>
              </w:rPr>
              <w:t>5</w:t>
            </w:r>
          </w:p>
        </w:tc>
        <w:tc>
          <w:tcPr>
            <w:tcW w:w="1313" w:type="dxa"/>
            <w:vAlign w:val="center"/>
          </w:tcPr>
          <w:p w14:paraId="51F07E96">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施工方案</w:t>
            </w:r>
          </w:p>
        </w:tc>
        <w:tc>
          <w:tcPr>
            <w:tcW w:w="902" w:type="dxa"/>
            <w:vAlign w:val="center"/>
          </w:tcPr>
          <w:p w14:paraId="16161195">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10</w:t>
            </w:r>
          </w:p>
        </w:tc>
        <w:tc>
          <w:tcPr>
            <w:tcW w:w="6463" w:type="dxa"/>
            <w:vAlign w:val="center"/>
          </w:tcPr>
          <w:p w14:paraId="44C9413C">
            <w:pPr>
              <w:keepNext w:val="0"/>
              <w:keepLines w:val="0"/>
              <w:pageBreakBefore w:val="0"/>
              <w:numPr>
                <w:ilvl w:val="0"/>
                <w:numId w:val="9"/>
              </w:numPr>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对项目总体概况表述清晰、完整；</w:t>
            </w:r>
          </w:p>
          <w:p w14:paraId="5C6235FF">
            <w:pPr>
              <w:keepNext w:val="0"/>
              <w:keepLines w:val="0"/>
              <w:pageBreakBefore w:val="0"/>
              <w:numPr>
                <w:ilvl w:val="0"/>
                <w:numId w:val="9"/>
              </w:numPr>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部署及措施先进、可靠；</w:t>
            </w:r>
          </w:p>
          <w:p w14:paraId="4703E431">
            <w:pPr>
              <w:keepNext w:val="0"/>
              <w:keepLines w:val="0"/>
              <w:pageBreakBefore w:val="0"/>
              <w:numPr>
                <w:ilvl w:val="0"/>
                <w:numId w:val="9"/>
              </w:numPr>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针对项目的重点、难点分析透彻，解决方案切实可行；</w:t>
            </w:r>
          </w:p>
          <w:p w14:paraId="2F350C17">
            <w:pPr>
              <w:keepNext w:val="0"/>
              <w:keepLines w:val="0"/>
              <w:pageBreakBefore w:val="0"/>
              <w:numPr>
                <w:ilvl w:val="0"/>
                <w:numId w:val="9"/>
              </w:numPr>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施工</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方案</w:t>
            </w:r>
            <w:r>
              <w:rPr>
                <w:rFonts w:hint="eastAsia" w:ascii="宋体" w:hAnsi="宋体" w:eastAsia="宋体" w:cs="宋体"/>
                <w:color w:val="000000" w:themeColor="text1"/>
                <w:spacing w:val="-4"/>
                <w:sz w:val="21"/>
                <w:szCs w:val="21"/>
                <w:highlight w:val="none"/>
                <w14:textFill>
                  <w14:solidFill>
                    <w14:schemeClr w14:val="tx1"/>
                  </w14:solidFill>
                </w14:textFill>
              </w:rPr>
              <w:t>布置有针对性、合理，较好满足施工需要，符合安全、文明生产要求等</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p w14:paraId="1D8241B2">
            <w:pPr>
              <w:keepNext w:val="0"/>
              <w:keepLines w:val="0"/>
              <w:pageBreakBefore w:val="0"/>
              <w:numPr>
                <w:ilvl w:val="0"/>
                <w:numId w:val="9"/>
              </w:numPr>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提高生产率、缩短工期、提高质量、降低消耗、减轻劳动强度</w:t>
            </w:r>
            <w:r>
              <w:rPr>
                <w:rFonts w:hint="eastAsia" w:ascii="宋体" w:hAnsi="宋体" w:cs="宋体"/>
                <w:color w:val="000000" w:themeColor="text1"/>
                <w:spacing w:val="-4"/>
                <w:sz w:val="21"/>
                <w:szCs w:val="21"/>
                <w:highlight w:val="none"/>
                <w:lang w:eastAsia="zh-CN"/>
                <w14:textFill>
                  <w14:solidFill>
                    <w14:schemeClr w14:val="tx1"/>
                  </w14:solidFill>
                </w14:textFill>
              </w:rPr>
              <w:t>。</w:t>
            </w:r>
          </w:p>
          <w:p w14:paraId="05EDA572">
            <w:pPr>
              <w:keepNext w:val="0"/>
              <w:keepLines w:val="0"/>
              <w:pageBreakBefore w:val="0"/>
              <w:numPr>
                <w:ilvl w:val="0"/>
                <w:numId w:val="0"/>
              </w:numPr>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方案完整、可行、准确，完全符合项目实际情况的得</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10</w:t>
            </w:r>
            <w:r>
              <w:rPr>
                <w:rFonts w:hint="eastAsia" w:ascii="宋体" w:hAnsi="宋体" w:eastAsia="宋体" w:cs="宋体"/>
                <w:color w:val="000000" w:themeColor="text1"/>
                <w:spacing w:val="-4"/>
                <w:sz w:val="21"/>
                <w:szCs w:val="21"/>
                <w:highlight w:val="none"/>
                <w14:textFill>
                  <w14:solidFill>
                    <w14:schemeClr w14:val="tx1"/>
                  </w14:solidFill>
                </w14:textFill>
              </w:rPr>
              <w:t>分；每存在一处缺漏或不详实或描述不清的扣</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4"/>
                <w:sz w:val="21"/>
                <w:szCs w:val="21"/>
                <w:highlight w:val="none"/>
                <w14:textFill>
                  <w14:solidFill>
                    <w14:schemeClr w14:val="tx1"/>
                  </w14:solidFill>
                </w14:textFill>
              </w:rPr>
              <w:t>分，扣完为止</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tc>
      </w:tr>
      <w:tr w14:paraId="45ED9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36414CFF">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shd w:val="clear" w:color="auto" w:fill="auto"/>
                <w:lang w:val="en-US" w:eastAsia="zh-CN"/>
                <w14:textFill>
                  <w14:solidFill>
                    <w14:schemeClr w14:val="tx1"/>
                  </w14:solidFill>
                </w14:textFill>
              </w:rPr>
              <w:t>6</w:t>
            </w:r>
          </w:p>
        </w:tc>
        <w:tc>
          <w:tcPr>
            <w:tcW w:w="1313" w:type="dxa"/>
            <w:vAlign w:val="center"/>
          </w:tcPr>
          <w:p w14:paraId="3A7B6AAC">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施工进度</w:t>
            </w:r>
          </w:p>
          <w:p w14:paraId="7279F9B3">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计划</w:t>
            </w:r>
          </w:p>
        </w:tc>
        <w:tc>
          <w:tcPr>
            <w:tcW w:w="902" w:type="dxa"/>
            <w:vAlign w:val="center"/>
          </w:tcPr>
          <w:p w14:paraId="078AAFB3">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4</w:t>
            </w:r>
          </w:p>
        </w:tc>
        <w:tc>
          <w:tcPr>
            <w:tcW w:w="6463" w:type="dxa"/>
            <w:vAlign w:val="center"/>
          </w:tcPr>
          <w:p w14:paraId="3709E75F">
            <w:pPr>
              <w:keepNext w:val="0"/>
              <w:keepLines w:val="0"/>
              <w:pageBreakBefore w:val="0"/>
              <w:widowControl/>
              <w:numPr>
                <w:ilvl w:val="0"/>
                <w:numId w:val="10"/>
              </w:numP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总工期及节点工期满足招标文件要求；</w:t>
            </w:r>
          </w:p>
          <w:p w14:paraId="1B92F6EA">
            <w:pPr>
              <w:keepNext w:val="0"/>
              <w:keepLines w:val="0"/>
              <w:pageBreakBefore w:val="0"/>
              <w:widowControl/>
              <w:numPr>
                <w:ilvl w:val="0"/>
                <w:numId w:val="1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施工进度计划内容全面，线路清晰、准确、完整，计划编制合理、可行；</w:t>
            </w:r>
          </w:p>
          <w:p w14:paraId="4EA35DF5">
            <w:pPr>
              <w:keepNext w:val="0"/>
              <w:keepLines w:val="0"/>
              <w:pageBreakBefore w:val="0"/>
              <w:widowControl/>
              <w:numPr>
                <w:ilvl w:val="0"/>
                <w:numId w:val="1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措施有力、合理、可行</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p w14:paraId="7085CFE0">
            <w:pPr>
              <w:keepNext w:val="0"/>
              <w:keepLines w:val="0"/>
              <w:pageBreakBefore w:val="0"/>
              <w:widowControl/>
              <w:numPr>
                <w:ilvl w:val="0"/>
                <w:numId w:val="1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进度计划应在空间和时间上做合理的统筹安排且符合施工的科学规律</w:t>
            </w:r>
            <w:r>
              <w:rPr>
                <w:rFonts w:hint="eastAsia" w:ascii="宋体" w:hAnsi="宋体" w:cs="宋体"/>
                <w:color w:val="000000" w:themeColor="text1"/>
                <w:spacing w:val="-4"/>
                <w:sz w:val="21"/>
                <w:szCs w:val="21"/>
                <w:highlight w:val="none"/>
                <w:lang w:eastAsia="zh-CN"/>
                <w14:textFill>
                  <w14:solidFill>
                    <w14:schemeClr w14:val="tx1"/>
                  </w14:solidFill>
                </w14:textFill>
              </w:rPr>
              <w:t>。</w:t>
            </w:r>
          </w:p>
          <w:p w14:paraId="4F1C74B1">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计划完整、科学、符合项目实际情况的得</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8</w:t>
            </w:r>
            <w:r>
              <w:rPr>
                <w:rFonts w:hint="eastAsia" w:ascii="宋体" w:hAnsi="宋体" w:eastAsia="宋体" w:cs="宋体"/>
                <w:color w:val="000000" w:themeColor="text1"/>
                <w:spacing w:val="-4"/>
                <w:sz w:val="21"/>
                <w:szCs w:val="21"/>
                <w:highlight w:val="none"/>
                <w14:textFill>
                  <w14:solidFill>
                    <w14:schemeClr w14:val="tx1"/>
                  </w14:solidFill>
                </w14:textFill>
              </w:rPr>
              <w:t>分；每存在一处缺漏或不详实或描述不清的扣</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4"/>
                <w:sz w:val="21"/>
                <w:szCs w:val="21"/>
                <w:highlight w:val="none"/>
                <w14:textFill>
                  <w14:solidFill>
                    <w14:schemeClr w14:val="tx1"/>
                  </w14:solidFill>
                </w14:textFill>
              </w:rPr>
              <w:t>分，扣完为止</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tc>
      </w:tr>
      <w:tr w14:paraId="2436A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675FB148">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7</w:t>
            </w:r>
          </w:p>
        </w:tc>
        <w:tc>
          <w:tcPr>
            <w:tcW w:w="1313" w:type="dxa"/>
            <w:vAlign w:val="center"/>
          </w:tcPr>
          <w:p w14:paraId="6937D487">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施工平面图</w:t>
            </w:r>
          </w:p>
        </w:tc>
        <w:tc>
          <w:tcPr>
            <w:tcW w:w="902" w:type="dxa"/>
            <w:vAlign w:val="center"/>
          </w:tcPr>
          <w:p w14:paraId="2C014CE8">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4</w:t>
            </w:r>
          </w:p>
        </w:tc>
        <w:tc>
          <w:tcPr>
            <w:tcW w:w="6463" w:type="dxa"/>
            <w:vAlign w:val="center"/>
          </w:tcPr>
          <w:p w14:paraId="690340E4">
            <w:pPr>
              <w:keepNext w:val="0"/>
              <w:keepLines w:val="0"/>
              <w:pageBreakBefore w:val="0"/>
              <w:numPr>
                <w:ilvl w:val="0"/>
                <w:numId w:val="11"/>
              </w:numP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lang w:eastAsia="zh-CN"/>
                <w14:textFill>
                  <w14:solidFill>
                    <w14:schemeClr w14:val="tx1"/>
                  </w14:solidFill>
                </w14:textFill>
              </w:rPr>
              <w:t>根据投标单位提供的</w:t>
            </w:r>
            <w:r>
              <w:rPr>
                <w:rFonts w:hint="eastAsia" w:ascii="宋体" w:hAnsi="宋体" w:eastAsia="宋体" w:cs="宋体"/>
                <w:color w:val="000000" w:themeColor="text1"/>
                <w:spacing w:val="-4"/>
                <w:sz w:val="21"/>
                <w:szCs w:val="21"/>
                <w:highlight w:val="none"/>
                <w14:textFill>
                  <w14:solidFill>
                    <w14:schemeClr w14:val="tx1"/>
                  </w14:solidFill>
                </w14:textFill>
              </w:rPr>
              <w:t>施工平面图</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r>
              <w:rPr>
                <w:rFonts w:hint="eastAsia" w:ascii="宋体" w:hAnsi="宋体" w:eastAsia="宋体" w:cs="宋体"/>
                <w:color w:val="000000" w:themeColor="text1"/>
                <w:spacing w:val="-4"/>
                <w:sz w:val="21"/>
                <w:szCs w:val="21"/>
                <w:highlight w:val="none"/>
                <w14:textFill>
                  <w14:solidFill>
                    <w14:schemeClr w14:val="tx1"/>
                  </w14:solidFill>
                </w14:textFill>
              </w:rPr>
              <w:t>符合工程实际，布置紧凑</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p w14:paraId="20B40CBD">
            <w:pPr>
              <w:keepNext w:val="0"/>
              <w:keepLines w:val="0"/>
              <w:pageBreakBefore w:val="0"/>
              <w:numPr>
                <w:ilvl w:val="0"/>
                <w:numId w:val="11"/>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总体布局</w:t>
            </w:r>
            <w:r>
              <w:rPr>
                <w:rFonts w:hint="eastAsia" w:ascii="宋体" w:hAnsi="宋体" w:eastAsia="宋体" w:cs="宋体"/>
                <w:color w:val="000000" w:themeColor="text1"/>
                <w:spacing w:val="-4"/>
                <w:sz w:val="21"/>
                <w:szCs w:val="21"/>
                <w:highlight w:val="none"/>
                <w14:textFill>
                  <w14:solidFill>
                    <w14:schemeClr w14:val="tx1"/>
                  </w14:solidFill>
                </w14:textFill>
              </w:rPr>
              <w:t>便于施工和管理并符合劳保、安全要求</w:t>
            </w:r>
            <w:r>
              <w:rPr>
                <w:rFonts w:hint="eastAsia" w:ascii="宋体" w:hAnsi="宋体" w:cs="宋体"/>
                <w:color w:val="000000" w:themeColor="text1"/>
                <w:spacing w:val="-4"/>
                <w:sz w:val="21"/>
                <w:szCs w:val="21"/>
                <w:highlight w:val="none"/>
                <w:lang w:eastAsia="zh-CN"/>
                <w14:textFill>
                  <w14:solidFill>
                    <w14:schemeClr w14:val="tx1"/>
                  </w14:solidFill>
                </w14:textFill>
              </w:rPr>
              <w:t>。</w:t>
            </w:r>
          </w:p>
          <w:p w14:paraId="3CD80C39">
            <w:pPr>
              <w:keepNext w:val="0"/>
              <w:keepLines w:val="0"/>
              <w:pageBreakBefore w:val="0"/>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lang w:eastAsia="zh-CN"/>
                <w14:textFill>
                  <w14:solidFill>
                    <w14:schemeClr w14:val="tx1"/>
                  </w14:solidFill>
                </w14:textFill>
              </w:rPr>
              <w:t>布局合理</w:t>
            </w:r>
            <w:r>
              <w:rPr>
                <w:rFonts w:hint="eastAsia" w:ascii="宋体" w:hAnsi="宋体" w:eastAsia="宋体" w:cs="宋体"/>
                <w:color w:val="000000" w:themeColor="text1"/>
                <w:spacing w:val="-4"/>
                <w:sz w:val="21"/>
                <w:szCs w:val="21"/>
                <w:highlight w:val="none"/>
                <w14:textFill>
                  <w14:solidFill>
                    <w14:schemeClr w14:val="tx1"/>
                  </w14:solidFill>
                </w14:textFill>
              </w:rPr>
              <w:t>、科学、符合项目实际情况的得</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pacing w:val="-4"/>
                <w:sz w:val="21"/>
                <w:szCs w:val="21"/>
                <w:highlight w:val="none"/>
                <w14:textFill>
                  <w14:solidFill>
                    <w14:schemeClr w14:val="tx1"/>
                  </w14:solidFill>
                </w14:textFill>
              </w:rPr>
              <w:t>分；每存在一处缺漏或不详实或描述不清的扣</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4"/>
                <w:sz w:val="21"/>
                <w:szCs w:val="21"/>
                <w:highlight w:val="none"/>
                <w14:textFill>
                  <w14:solidFill>
                    <w14:schemeClr w14:val="tx1"/>
                  </w14:solidFill>
                </w14:textFill>
              </w:rPr>
              <w:t>分，扣完为止</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tc>
      </w:tr>
      <w:tr w14:paraId="56396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3EE9DD4F">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8</w:t>
            </w:r>
          </w:p>
        </w:tc>
        <w:tc>
          <w:tcPr>
            <w:tcW w:w="1313" w:type="dxa"/>
            <w:vAlign w:val="center"/>
          </w:tcPr>
          <w:p w14:paraId="6F611AB3">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劳动力</w:t>
            </w:r>
          </w:p>
          <w:p w14:paraId="46B05F53">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用量计划</w:t>
            </w:r>
          </w:p>
        </w:tc>
        <w:tc>
          <w:tcPr>
            <w:tcW w:w="902" w:type="dxa"/>
            <w:vAlign w:val="center"/>
          </w:tcPr>
          <w:p w14:paraId="79759184">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6</w:t>
            </w:r>
          </w:p>
        </w:tc>
        <w:tc>
          <w:tcPr>
            <w:tcW w:w="6463" w:type="dxa"/>
            <w:vAlign w:val="center"/>
          </w:tcPr>
          <w:p w14:paraId="1ED68C23">
            <w:pPr>
              <w:keepNext w:val="0"/>
              <w:keepLines w:val="0"/>
              <w:pageBreakBefore w:val="0"/>
              <w:numPr>
                <w:ilvl w:val="0"/>
                <w:numId w:val="12"/>
              </w:numP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lang w:eastAsia="zh-CN"/>
                <w14:textFill>
                  <w14:solidFill>
                    <w14:schemeClr w14:val="tx1"/>
                  </w14:solidFill>
                </w14:textFill>
              </w:rPr>
              <w:t>劳动力</w:t>
            </w:r>
            <w:r>
              <w:rPr>
                <w:rFonts w:hint="eastAsia" w:ascii="宋体" w:hAnsi="宋体" w:eastAsia="宋体" w:cs="宋体"/>
                <w:color w:val="000000" w:themeColor="text1"/>
                <w:spacing w:val="-4"/>
                <w:sz w:val="21"/>
                <w:szCs w:val="21"/>
                <w:highlight w:val="none"/>
                <w14:textFill>
                  <w14:solidFill>
                    <w14:schemeClr w14:val="tx1"/>
                  </w14:solidFill>
                </w14:textFill>
              </w:rPr>
              <w:t>用量计划须根据工程进度计划的安排计算，并与工程进度计划相一致</w:t>
            </w:r>
            <w:r>
              <w:rPr>
                <w:rFonts w:hint="eastAsia" w:ascii="宋体" w:hAnsi="宋体" w:cs="宋体"/>
                <w:color w:val="000000" w:themeColor="text1"/>
                <w:spacing w:val="-4"/>
                <w:sz w:val="21"/>
                <w:szCs w:val="21"/>
                <w:highlight w:val="none"/>
                <w:lang w:eastAsia="zh-CN"/>
                <w14:textFill>
                  <w14:solidFill>
                    <w14:schemeClr w14:val="tx1"/>
                  </w14:solidFill>
                </w14:textFill>
              </w:rPr>
              <w:t>；</w:t>
            </w:r>
          </w:p>
          <w:p w14:paraId="29E4676E">
            <w:pPr>
              <w:keepNext w:val="0"/>
              <w:keepLines w:val="0"/>
              <w:pageBreakBefore w:val="0"/>
              <w:numPr>
                <w:ilvl w:val="0"/>
                <w:numId w:val="12"/>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lang w:eastAsia="zh-CN"/>
                <w14:textFill>
                  <w14:solidFill>
                    <w14:schemeClr w14:val="tx1"/>
                  </w14:solidFill>
                </w14:textFill>
              </w:rPr>
              <w:t>劳动力用量计划</w:t>
            </w:r>
            <w:r>
              <w:rPr>
                <w:rFonts w:hint="eastAsia" w:ascii="宋体" w:hAnsi="宋体" w:eastAsia="宋体" w:cs="宋体"/>
                <w:color w:val="000000" w:themeColor="text1"/>
                <w:spacing w:val="-4"/>
                <w:sz w:val="21"/>
                <w:szCs w:val="21"/>
                <w:highlight w:val="none"/>
                <w14:textFill>
                  <w14:solidFill>
                    <w14:schemeClr w14:val="tx1"/>
                  </w14:solidFill>
                </w14:textFill>
              </w:rPr>
              <w:t>降低消耗、减轻劳动强度</w:t>
            </w:r>
            <w:r>
              <w:rPr>
                <w:rFonts w:hint="eastAsia" w:ascii="宋体" w:hAnsi="宋体" w:cs="宋体"/>
                <w:color w:val="000000" w:themeColor="text1"/>
                <w:spacing w:val="-4"/>
                <w:sz w:val="21"/>
                <w:szCs w:val="21"/>
                <w:highlight w:val="none"/>
                <w:lang w:eastAsia="zh-CN"/>
                <w14:textFill>
                  <w14:solidFill>
                    <w14:schemeClr w14:val="tx1"/>
                  </w14:solidFill>
                </w14:textFill>
              </w:rPr>
              <w:t>。</w:t>
            </w:r>
          </w:p>
          <w:p w14:paraId="409EBA8B">
            <w:pPr>
              <w:keepNext w:val="0"/>
              <w:keepLines w:val="0"/>
              <w:pageBreakBefore w:val="0"/>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计划完整、科学、符合项目实际情况的得</w:t>
            </w:r>
            <w:r>
              <w:rPr>
                <w:rFonts w:hint="eastAsia" w:ascii="宋体" w:hAnsi="宋体" w:cs="宋体"/>
                <w:color w:val="000000" w:themeColor="text1"/>
                <w:spacing w:val="-4"/>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pacing w:val="-4"/>
                <w:sz w:val="21"/>
                <w:szCs w:val="21"/>
                <w:highlight w:val="none"/>
                <w14:textFill>
                  <w14:solidFill>
                    <w14:schemeClr w14:val="tx1"/>
                  </w14:solidFill>
                </w14:textFill>
              </w:rPr>
              <w:t>分；</w:t>
            </w:r>
            <w:r>
              <w:rPr>
                <w:rFonts w:hint="eastAsia" w:ascii="宋体" w:hAnsi="宋体" w:eastAsia="宋体" w:cs="宋体"/>
                <w:color w:val="000000" w:themeColor="text1"/>
                <w:spacing w:val="-4"/>
                <w:sz w:val="21"/>
                <w:szCs w:val="21"/>
                <w:highlight w:val="none"/>
                <w14:textFill>
                  <w14:solidFill>
                    <w14:schemeClr w14:val="tx1"/>
                  </w14:solidFill>
                </w14:textFill>
              </w:rPr>
              <w:br w:type="textWrapping"/>
            </w:r>
            <w:r>
              <w:rPr>
                <w:rFonts w:hint="eastAsia" w:ascii="宋体" w:hAnsi="宋体" w:eastAsia="宋体" w:cs="宋体"/>
                <w:color w:val="000000" w:themeColor="text1"/>
                <w:spacing w:val="-4"/>
                <w:sz w:val="21"/>
                <w:szCs w:val="21"/>
                <w:highlight w:val="none"/>
                <w14:textFill>
                  <w14:solidFill>
                    <w14:schemeClr w14:val="tx1"/>
                  </w14:solidFill>
                </w14:textFill>
              </w:rPr>
              <w:t>每存在一处缺漏或不详实或描述不清的扣</w:t>
            </w:r>
            <w:r>
              <w:rPr>
                <w:rFonts w:hint="eastAsia" w:ascii="宋体" w:hAnsi="宋体" w:cs="宋体"/>
                <w:color w:val="000000" w:themeColor="text1"/>
                <w:spacing w:val="-4"/>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pacing w:val="-4"/>
                <w:sz w:val="21"/>
                <w:szCs w:val="21"/>
                <w:highlight w:val="none"/>
                <w14:textFill>
                  <w14:solidFill>
                    <w14:schemeClr w14:val="tx1"/>
                  </w14:solidFill>
                </w14:textFill>
              </w:rPr>
              <w:t>分，扣完为止</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tc>
      </w:tr>
      <w:tr w14:paraId="0D8CA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13E7E5E0">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9</w:t>
            </w:r>
          </w:p>
        </w:tc>
        <w:tc>
          <w:tcPr>
            <w:tcW w:w="1313" w:type="dxa"/>
            <w:vAlign w:val="center"/>
          </w:tcPr>
          <w:p w14:paraId="38A5025D">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材料</w:t>
            </w:r>
          </w:p>
          <w:p w14:paraId="731AFCBD">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用量计划</w:t>
            </w:r>
          </w:p>
        </w:tc>
        <w:tc>
          <w:tcPr>
            <w:tcW w:w="902" w:type="dxa"/>
            <w:vAlign w:val="center"/>
          </w:tcPr>
          <w:p w14:paraId="31F0A71A">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4</w:t>
            </w:r>
          </w:p>
        </w:tc>
        <w:tc>
          <w:tcPr>
            <w:tcW w:w="6463" w:type="dxa"/>
            <w:vAlign w:val="center"/>
          </w:tcPr>
          <w:p w14:paraId="083442D3">
            <w:pPr>
              <w:keepNext w:val="0"/>
              <w:keepLines w:val="0"/>
              <w:pageBreakBefore w:val="0"/>
              <w:numPr>
                <w:ilvl w:val="0"/>
                <w:numId w:val="13"/>
              </w:numPr>
              <w:kinsoku/>
              <w:wordWrap/>
              <w:overflowPunct/>
              <w:topLinePunct w:val="0"/>
              <w:autoSpaceDE/>
              <w:autoSpaceDN/>
              <w:bidi w:val="0"/>
              <w:adjustRightInd/>
              <w:snapToGrid/>
              <w:spacing w:line="400" w:lineRule="exact"/>
              <w:jc w:val="left"/>
              <w:textAlignment w:val="auto"/>
              <w:rPr>
                <w:rFonts w:hint="eastAsia" w:ascii="宋体" w:hAnsi="宋体" w:cs="宋体"/>
                <w:color w:val="000000" w:themeColor="text1"/>
                <w:sz w:val="21"/>
                <w:szCs w:val="21"/>
                <w:highlight w:val="none"/>
                <w:lang w:eastAsia="zh-CN"/>
                <w14:textFill>
                  <w14:solidFill>
                    <w14:schemeClr w14:val="tx1"/>
                  </w14:solidFill>
                </w14:textFill>
              </w:rPr>
            </w:pPr>
            <w:r>
              <w:rPr>
                <w:rFonts w:hint="default" w:ascii="宋体" w:hAnsi="宋体" w:eastAsia="宋体" w:cs="宋体"/>
                <w:color w:val="000000" w:themeColor="text1"/>
                <w:spacing w:val="-4"/>
                <w:sz w:val="21"/>
                <w:szCs w:val="21"/>
                <w:highlight w:val="none"/>
                <w:lang w:val="en-US"/>
                <w14:textFill>
                  <w14:solidFill>
                    <w14:schemeClr w14:val="tx1"/>
                  </w14:solidFill>
                </w14:textFill>
              </w:rPr>
              <w:t>材料</w:t>
            </w:r>
            <w:r>
              <w:rPr>
                <w:rFonts w:hint="eastAsia" w:ascii="宋体" w:hAnsi="宋体" w:eastAsia="宋体" w:cs="宋体"/>
                <w:color w:val="000000" w:themeColor="text1"/>
                <w:spacing w:val="-4"/>
                <w:sz w:val="21"/>
                <w:szCs w:val="21"/>
                <w:highlight w:val="none"/>
                <w14:textFill>
                  <w14:solidFill>
                    <w14:schemeClr w14:val="tx1"/>
                  </w14:solidFill>
                </w14:textFill>
              </w:rPr>
              <w:t>用量计划</w:t>
            </w:r>
            <w:r>
              <w:rPr>
                <w:rFonts w:hint="eastAsia" w:ascii="宋体" w:hAnsi="宋体" w:eastAsia="宋体" w:cs="宋体"/>
                <w:color w:val="000000" w:themeColor="text1"/>
                <w:sz w:val="21"/>
                <w:szCs w:val="21"/>
                <w:highlight w:val="none"/>
                <w14:textFill>
                  <w14:solidFill>
                    <w14:schemeClr w14:val="tx1"/>
                  </w14:solidFill>
                </w14:textFill>
              </w:rPr>
              <w:t>与施工进度计划相呼应且满足施工需要</w:t>
            </w:r>
            <w:r>
              <w:rPr>
                <w:rFonts w:hint="eastAsia" w:ascii="宋体" w:hAnsi="宋体" w:cs="宋体"/>
                <w:color w:val="000000" w:themeColor="text1"/>
                <w:sz w:val="21"/>
                <w:szCs w:val="21"/>
                <w:highlight w:val="none"/>
                <w:lang w:eastAsia="zh-CN"/>
                <w14:textFill>
                  <w14:solidFill>
                    <w14:schemeClr w14:val="tx1"/>
                  </w14:solidFill>
                </w14:textFill>
              </w:rPr>
              <w:t>；</w:t>
            </w:r>
          </w:p>
          <w:p w14:paraId="04B161E3">
            <w:pPr>
              <w:keepNext w:val="0"/>
              <w:keepLines w:val="0"/>
              <w:pageBreakBefore w:val="0"/>
              <w:numPr>
                <w:ilvl w:val="0"/>
                <w:numId w:val="13"/>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周转材料与主体搭配周全合理</w:t>
            </w:r>
            <w:r>
              <w:rPr>
                <w:rFonts w:hint="eastAsia" w:ascii="宋体" w:hAnsi="宋体" w:cs="宋体"/>
                <w:color w:val="000000" w:themeColor="text1"/>
                <w:sz w:val="21"/>
                <w:szCs w:val="21"/>
                <w:highlight w:val="none"/>
                <w:lang w:eastAsia="zh-CN"/>
                <w14:textFill>
                  <w14:solidFill>
                    <w14:schemeClr w14:val="tx1"/>
                  </w14:solidFill>
                </w14:textFill>
              </w:rPr>
              <w:t>。</w:t>
            </w:r>
          </w:p>
          <w:p w14:paraId="3A3CDB52">
            <w:pPr>
              <w:keepNext w:val="0"/>
              <w:keepLines w:val="0"/>
              <w:pageBreakBefore w:val="0"/>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计划完整、科学、符合项目实际情况的得</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pacing w:val="-4"/>
                <w:sz w:val="21"/>
                <w:szCs w:val="21"/>
                <w:highlight w:val="none"/>
                <w14:textFill>
                  <w14:solidFill>
                    <w14:schemeClr w14:val="tx1"/>
                  </w14:solidFill>
                </w14:textFill>
              </w:rPr>
              <w:t>分；每存在一处缺漏或不详实或描述不清的扣</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4"/>
                <w:sz w:val="21"/>
                <w:szCs w:val="21"/>
                <w:highlight w:val="none"/>
                <w14:textFill>
                  <w14:solidFill>
                    <w14:schemeClr w14:val="tx1"/>
                  </w14:solidFill>
                </w14:textFill>
              </w:rPr>
              <w:t>分，扣完为止</w:t>
            </w:r>
            <w:r>
              <w:rPr>
                <w:rFonts w:hint="eastAsia" w:ascii="宋体" w:hAnsi="宋体" w:cs="宋体"/>
                <w:color w:val="000000" w:themeColor="text1"/>
                <w:spacing w:val="-4"/>
                <w:sz w:val="21"/>
                <w:szCs w:val="21"/>
                <w:highlight w:val="none"/>
                <w:lang w:eastAsia="zh-CN"/>
                <w14:textFill>
                  <w14:solidFill>
                    <w14:schemeClr w14:val="tx1"/>
                  </w14:solidFill>
                </w14:textFill>
              </w:rPr>
              <w:t>；</w:t>
            </w:r>
          </w:p>
        </w:tc>
      </w:tr>
      <w:tr w14:paraId="5694C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5D00F01A">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10</w:t>
            </w:r>
          </w:p>
        </w:tc>
        <w:tc>
          <w:tcPr>
            <w:tcW w:w="1313" w:type="dxa"/>
            <w:vAlign w:val="center"/>
          </w:tcPr>
          <w:p w14:paraId="20931BB9">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机械设备</w:t>
            </w:r>
          </w:p>
          <w:p w14:paraId="767093C5">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用量计划</w:t>
            </w:r>
          </w:p>
        </w:tc>
        <w:tc>
          <w:tcPr>
            <w:tcW w:w="902" w:type="dxa"/>
            <w:vAlign w:val="center"/>
          </w:tcPr>
          <w:p w14:paraId="767A9818">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4</w:t>
            </w:r>
          </w:p>
        </w:tc>
        <w:tc>
          <w:tcPr>
            <w:tcW w:w="6463" w:type="dxa"/>
            <w:vAlign w:val="center"/>
          </w:tcPr>
          <w:p w14:paraId="072970CD">
            <w:pPr>
              <w:keepNext w:val="0"/>
              <w:keepLines w:val="0"/>
              <w:pageBreakBefore w:val="0"/>
              <w:numPr>
                <w:ilvl w:val="0"/>
                <w:numId w:val="14"/>
              </w:numPr>
              <w:kinsoku/>
              <w:wordWrap/>
              <w:overflowPunct/>
              <w:topLinePunct w:val="0"/>
              <w:autoSpaceDE/>
              <w:autoSpaceDN/>
              <w:bidi w:val="0"/>
              <w:adjustRightInd/>
              <w:snapToGrid/>
              <w:spacing w:line="400" w:lineRule="exact"/>
              <w:jc w:val="left"/>
              <w:textAlignment w:val="auto"/>
              <w:rPr>
                <w:rFonts w:hint="eastAsia" w:ascii="宋体" w:hAnsi="宋体" w:cs="宋体"/>
                <w:color w:val="000000" w:themeColor="text1"/>
                <w:sz w:val="21"/>
                <w:szCs w:val="21"/>
                <w:highlight w:val="none"/>
                <w:lang w:eastAsia="zh-CN"/>
                <w14:textFill>
                  <w14:solidFill>
                    <w14:schemeClr w14:val="tx1"/>
                  </w14:solidFill>
                </w14:textFill>
              </w:rPr>
            </w:pPr>
            <w:r>
              <w:rPr>
                <w:rFonts w:hint="eastAsia" w:ascii="宋体" w:hAnsi="宋体" w:cs="宋体"/>
                <w:color w:val="000000" w:themeColor="text1"/>
                <w:sz w:val="21"/>
                <w:szCs w:val="21"/>
                <w:highlight w:val="none"/>
                <w:lang w:eastAsia="zh-CN"/>
                <w14:textFill>
                  <w14:solidFill>
                    <w14:schemeClr w14:val="tx1"/>
                  </w14:solidFill>
                </w14:textFill>
              </w:rPr>
              <w:t>根据项目情况，</w:t>
            </w:r>
            <w:r>
              <w:rPr>
                <w:rFonts w:hint="eastAsia" w:ascii="宋体" w:hAnsi="宋体" w:eastAsia="宋体" w:cs="宋体"/>
                <w:color w:val="000000" w:themeColor="text1"/>
                <w:sz w:val="21"/>
                <w:szCs w:val="21"/>
                <w:highlight w:val="none"/>
                <w14:textFill>
                  <w14:solidFill>
                    <w14:schemeClr w14:val="tx1"/>
                  </w14:solidFill>
                </w14:textFill>
              </w:rPr>
              <w:t>施工机械投入与施工季度计划相呼应且能满足工序衔接的要求</w:t>
            </w:r>
            <w:r>
              <w:rPr>
                <w:rFonts w:hint="eastAsia" w:ascii="宋体" w:hAnsi="宋体" w:cs="宋体"/>
                <w:color w:val="000000" w:themeColor="text1"/>
                <w:sz w:val="21"/>
                <w:szCs w:val="21"/>
                <w:highlight w:val="none"/>
                <w:lang w:eastAsia="zh-CN"/>
                <w14:textFill>
                  <w14:solidFill>
                    <w14:schemeClr w14:val="tx1"/>
                  </w14:solidFill>
                </w14:textFill>
              </w:rPr>
              <w:t>；</w:t>
            </w:r>
          </w:p>
          <w:p w14:paraId="4C23D055">
            <w:pPr>
              <w:keepNext w:val="0"/>
              <w:keepLines w:val="0"/>
              <w:pageBreakBefore w:val="0"/>
              <w:numPr>
                <w:ilvl w:val="0"/>
                <w:numId w:val="14"/>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施工机械与主体搭配周全合理</w:t>
            </w:r>
            <w:r>
              <w:rPr>
                <w:rFonts w:hint="eastAsia" w:ascii="宋体" w:hAnsi="宋体" w:cs="宋体"/>
                <w:color w:val="000000" w:themeColor="text1"/>
                <w:sz w:val="21"/>
                <w:szCs w:val="21"/>
                <w:highlight w:val="none"/>
                <w:lang w:eastAsia="zh-CN"/>
                <w14:textFill>
                  <w14:solidFill>
                    <w14:schemeClr w14:val="tx1"/>
                  </w14:solidFill>
                </w14:textFill>
              </w:rPr>
              <w:t>。</w:t>
            </w:r>
          </w:p>
          <w:p w14:paraId="23BA6583">
            <w:pPr>
              <w:keepNext w:val="0"/>
              <w:keepLines w:val="0"/>
              <w:pageBreakBefore w:val="0"/>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计划完整、科学、符合项目实际情况的得</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pacing w:val="-4"/>
                <w:sz w:val="21"/>
                <w:szCs w:val="21"/>
                <w:highlight w:val="none"/>
                <w14:textFill>
                  <w14:solidFill>
                    <w14:schemeClr w14:val="tx1"/>
                  </w14:solidFill>
                </w14:textFill>
              </w:rPr>
              <w:t>分；每存在一处缺漏或不详实或描述不清的扣</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4"/>
                <w:sz w:val="21"/>
                <w:szCs w:val="21"/>
                <w:highlight w:val="none"/>
                <w14:textFill>
                  <w14:solidFill>
                    <w14:schemeClr w14:val="tx1"/>
                  </w14:solidFill>
                </w14:textFill>
              </w:rPr>
              <w:t>分，扣完为止</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tc>
      </w:tr>
      <w:tr w14:paraId="78FE1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2558E7F8">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11</w:t>
            </w:r>
          </w:p>
        </w:tc>
        <w:tc>
          <w:tcPr>
            <w:tcW w:w="1313" w:type="dxa"/>
            <w:vAlign w:val="center"/>
          </w:tcPr>
          <w:p w14:paraId="7EE74A11">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质量</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、工期</w:t>
            </w:r>
            <w:r>
              <w:rPr>
                <w:rFonts w:hint="eastAsia" w:ascii="宋体" w:hAnsi="宋体" w:eastAsia="宋体" w:cs="宋体"/>
                <w:color w:val="000000" w:themeColor="text1"/>
                <w:spacing w:val="-4"/>
                <w:sz w:val="21"/>
                <w:szCs w:val="21"/>
                <w:highlight w:val="none"/>
                <w14:textFill>
                  <w14:solidFill>
                    <w14:schemeClr w14:val="tx1"/>
                  </w14:solidFill>
                </w14:textFill>
              </w:rPr>
              <w:t>保证措施和体系</w:t>
            </w:r>
          </w:p>
        </w:tc>
        <w:tc>
          <w:tcPr>
            <w:tcW w:w="902" w:type="dxa"/>
            <w:vAlign w:val="center"/>
          </w:tcPr>
          <w:p w14:paraId="0F5E40D1">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8</w:t>
            </w:r>
          </w:p>
        </w:tc>
        <w:tc>
          <w:tcPr>
            <w:tcW w:w="6463" w:type="dxa"/>
            <w:vAlign w:val="center"/>
          </w:tcPr>
          <w:p w14:paraId="3DA1B732">
            <w:pPr>
              <w:keepNext w:val="0"/>
              <w:keepLines w:val="0"/>
              <w:pageBreakBefore w:val="0"/>
              <w:widowControl/>
              <w:numPr>
                <w:ilvl w:val="0"/>
                <w:numId w:val="0"/>
              </w:numP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t>1、工期、</w:t>
            </w:r>
            <w:r>
              <w:rPr>
                <w:rFonts w:hint="eastAsia" w:ascii="宋体" w:hAnsi="宋体" w:eastAsia="宋体" w:cs="宋体"/>
                <w:color w:val="000000" w:themeColor="text1"/>
                <w:spacing w:val="-4"/>
                <w:sz w:val="21"/>
                <w:szCs w:val="21"/>
                <w:highlight w:val="none"/>
                <w14:textFill>
                  <w14:solidFill>
                    <w14:schemeClr w14:val="tx1"/>
                  </w14:solidFill>
                </w14:textFill>
              </w:rPr>
              <w:t>质量目标明确，优于招标文件的要求；</w:t>
            </w:r>
          </w:p>
          <w:p w14:paraId="2420DC3E">
            <w:pPr>
              <w:keepNext w:val="0"/>
              <w:keepLines w:val="0"/>
              <w:pageBreakBefore w:val="0"/>
              <w:widowControl/>
              <w:numPr>
                <w:ilvl w:val="0"/>
                <w:numId w:val="0"/>
              </w:numP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kern w:val="0"/>
                <w:sz w:val="21"/>
                <w:szCs w:val="21"/>
                <w:highlight w:val="none"/>
                <w:lang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2、</w:t>
            </w:r>
            <w:r>
              <w:rPr>
                <w:rFonts w:hint="eastAsia" w:ascii="宋体" w:hAnsi="宋体" w:eastAsia="宋体" w:cs="宋体"/>
                <w:color w:val="000000" w:themeColor="text1"/>
                <w:kern w:val="0"/>
                <w:sz w:val="21"/>
                <w:szCs w:val="21"/>
                <w:highlight w:val="none"/>
                <w14:textFill>
                  <w14:solidFill>
                    <w14:schemeClr w14:val="tx1"/>
                  </w14:solidFill>
                </w14:textFill>
              </w:rPr>
              <w:t>提高生产率、缩短工期、提高质量</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color w:val="000000" w:themeColor="text1"/>
                <w:kern w:val="0"/>
                <w:sz w:val="21"/>
                <w:szCs w:val="21"/>
                <w:highlight w:val="none"/>
                <w14:textFill>
                  <w14:solidFill>
                    <w14:schemeClr w14:val="tx1"/>
                  </w14:solidFill>
                </w14:textFill>
              </w:rPr>
              <w:t>提高进度提案</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p>
          <w:p w14:paraId="42AC9F8F">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t>3、</w:t>
            </w:r>
            <w:r>
              <w:rPr>
                <w:rFonts w:hint="eastAsia" w:ascii="宋体" w:hAnsi="宋体" w:eastAsia="宋体" w:cs="宋体"/>
                <w:color w:val="000000" w:themeColor="text1"/>
                <w:spacing w:val="-4"/>
                <w:sz w:val="21"/>
                <w:szCs w:val="21"/>
                <w:highlight w:val="none"/>
                <w14:textFill>
                  <w14:solidFill>
                    <w14:schemeClr w14:val="tx1"/>
                  </w14:solidFill>
                </w14:textFill>
              </w:rPr>
              <w:t>管理</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体系</w:t>
            </w:r>
            <w:r>
              <w:rPr>
                <w:rFonts w:hint="eastAsia" w:ascii="宋体" w:hAnsi="宋体" w:eastAsia="宋体" w:cs="宋体"/>
                <w:color w:val="000000" w:themeColor="text1"/>
                <w:spacing w:val="-4"/>
                <w:sz w:val="21"/>
                <w:szCs w:val="21"/>
                <w:highlight w:val="none"/>
                <w14:textFill>
                  <w14:solidFill>
                    <w14:schemeClr w14:val="tx1"/>
                  </w14:solidFill>
                </w14:textFill>
              </w:rPr>
              <w:t>齐全；</w:t>
            </w:r>
          </w:p>
          <w:p w14:paraId="2DB66494">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t>4、</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保证</w:t>
            </w:r>
            <w:r>
              <w:rPr>
                <w:rFonts w:hint="eastAsia" w:ascii="宋体" w:hAnsi="宋体" w:eastAsia="宋体" w:cs="宋体"/>
                <w:color w:val="000000" w:themeColor="text1"/>
                <w:spacing w:val="-4"/>
                <w:sz w:val="21"/>
                <w:szCs w:val="21"/>
                <w:highlight w:val="none"/>
                <w14:textFill>
                  <w14:solidFill>
                    <w14:schemeClr w14:val="tx1"/>
                  </w14:solidFill>
                </w14:textFill>
              </w:rPr>
              <w:t>措施全面、有效</w:t>
            </w:r>
            <w:r>
              <w:rPr>
                <w:rFonts w:hint="eastAsia" w:ascii="宋体" w:hAnsi="宋体" w:cs="宋体"/>
                <w:color w:val="000000" w:themeColor="text1"/>
                <w:spacing w:val="-4"/>
                <w:sz w:val="21"/>
                <w:szCs w:val="21"/>
                <w:highlight w:val="none"/>
                <w:lang w:eastAsia="zh-CN"/>
                <w14:textFill>
                  <w14:solidFill>
                    <w14:schemeClr w14:val="tx1"/>
                  </w14:solidFill>
                </w14:textFill>
              </w:rPr>
              <w:t>。</w:t>
            </w:r>
          </w:p>
          <w:p w14:paraId="0C395DFD">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切实可行得</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8</w:t>
            </w:r>
            <w:r>
              <w:rPr>
                <w:rFonts w:hint="eastAsia" w:ascii="宋体" w:hAnsi="宋体" w:eastAsia="宋体" w:cs="宋体"/>
                <w:color w:val="000000" w:themeColor="text1"/>
                <w:spacing w:val="-4"/>
                <w:sz w:val="21"/>
                <w:szCs w:val="21"/>
                <w:highlight w:val="none"/>
                <w14:textFill>
                  <w14:solidFill>
                    <w14:schemeClr w14:val="tx1"/>
                  </w14:solidFill>
                </w14:textFill>
              </w:rPr>
              <w:t>分；每有一项缺失或不详实准确的扣</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4"/>
                <w:sz w:val="21"/>
                <w:szCs w:val="21"/>
                <w:highlight w:val="none"/>
                <w14:textFill>
                  <w14:solidFill>
                    <w14:schemeClr w14:val="tx1"/>
                  </w14:solidFill>
                </w14:textFill>
              </w:rPr>
              <w:t>分，扣完为止。</w:t>
            </w:r>
          </w:p>
        </w:tc>
      </w:tr>
      <w:tr w14:paraId="2B6D3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5" w:hRule="atLeast"/>
          <w:tblHeader/>
        </w:trPr>
        <w:tc>
          <w:tcPr>
            <w:tcW w:w="1180" w:type="dxa"/>
            <w:vAlign w:val="center"/>
          </w:tcPr>
          <w:p w14:paraId="3B1366CE">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12</w:t>
            </w:r>
          </w:p>
        </w:tc>
        <w:tc>
          <w:tcPr>
            <w:tcW w:w="1313" w:type="dxa"/>
            <w:vAlign w:val="center"/>
          </w:tcPr>
          <w:p w14:paraId="127F1D58">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安全保证措施和体系</w:t>
            </w:r>
          </w:p>
        </w:tc>
        <w:tc>
          <w:tcPr>
            <w:tcW w:w="902" w:type="dxa"/>
            <w:vAlign w:val="center"/>
          </w:tcPr>
          <w:p w14:paraId="6B22CDD1">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6</w:t>
            </w:r>
          </w:p>
        </w:tc>
        <w:tc>
          <w:tcPr>
            <w:tcW w:w="6463" w:type="dxa"/>
            <w:vAlign w:val="center"/>
          </w:tcPr>
          <w:p w14:paraId="53933207">
            <w:pPr>
              <w:keepNext w:val="0"/>
              <w:keepLines w:val="0"/>
              <w:pageBreakBefore w:val="0"/>
              <w:widowControl/>
              <w:numPr>
                <w:ilvl w:val="0"/>
                <w:numId w:val="0"/>
              </w:numPr>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t>1、</w:t>
            </w:r>
            <w:r>
              <w:rPr>
                <w:rFonts w:hint="eastAsia" w:ascii="宋体" w:hAnsi="宋体" w:eastAsia="宋体" w:cs="宋体"/>
                <w:color w:val="000000" w:themeColor="text1"/>
                <w:kern w:val="0"/>
                <w:sz w:val="21"/>
                <w:szCs w:val="21"/>
                <w:highlight w:val="none"/>
                <w14:textFill>
                  <w14:solidFill>
                    <w14:schemeClr w14:val="tx1"/>
                  </w14:solidFill>
                </w14:textFill>
              </w:rPr>
              <w:t>安全目标明确，优于招标文件的要求；</w:t>
            </w:r>
          </w:p>
          <w:p w14:paraId="763E7E14">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t>2、</w:t>
            </w:r>
            <w:r>
              <w:rPr>
                <w:rFonts w:hint="eastAsia" w:ascii="宋体" w:hAnsi="宋体" w:cs="宋体"/>
                <w:color w:val="000000" w:themeColor="text1"/>
                <w:kern w:val="0"/>
                <w:sz w:val="21"/>
                <w:szCs w:val="21"/>
                <w:highlight w:val="none"/>
                <w:lang w:eastAsia="zh-CN"/>
                <w14:textFill>
                  <w14:solidFill>
                    <w14:schemeClr w14:val="tx1"/>
                  </w14:solidFill>
                </w14:textFill>
              </w:rPr>
              <w:t>安全</w:t>
            </w:r>
            <w:r>
              <w:rPr>
                <w:rFonts w:hint="eastAsia" w:ascii="宋体" w:hAnsi="宋体" w:eastAsia="宋体" w:cs="宋体"/>
                <w:color w:val="000000" w:themeColor="text1"/>
                <w:kern w:val="0"/>
                <w:sz w:val="21"/>
                <w:szCs w:val="21"/>
                <w:highlight w:val="none"/>
                <w14:textFill>
                  <w14:solidFill>
                    <w14:schemeClr w14:val="tx1"/>
                  </w14:solidFill>
                </w14:textFill>
              </w:rPr>
              <w:t>管理机构健全，职责分工明确</w:t>
            </w:r>
            <w:r>
              <w:rPr>
                <w:rFonts w:hint="eastAsia" w:ascii="宋体" w:hAnsi="宋体" w:cs="宋体"/>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color w:val="000000" w:themeColor="text1"/>
                <w:kern w:val="0"/>
                <w:sz w:val="21"/>
                <w:szCs w:val="21"/>
                <w:highlight w:val="none"/>
                <w14:textFill>
                  <w14:solidFill>
                    <w14:schemeClr w14:val="tx1"/>
                  </w14:solidFill>
                </w14:textFill>
              </w:rPr>
              <w:t>管理制度齐全；</w:t>
            </w:r>
          </w:p>
          <w:p w14:paraId="77779A57">
            <w:pPr>
              <w:keepNext w:val="0"/>
              <w:keepLines w:val="0"/>
              <w:pageBreakBefore w:val="0"/>
              <w:widowControl/>
              <w:numPr>
                <w:ilvl w:val="0"/>
                <w:numId w:val="0"/>
              </w:numPr>
              <w:kinsoku/>
              <w:wordWrap/>
              <w:overflowPunct/>
              <w:topLinePunct w:val="0"/>
              <w:autoSpaceDE/>
              <w:autoSpaceDN/>
              <w:bidi w:val="0"/>
              <w:adjustRightInd/>
              <w:snapToGrid/>
              <w:spacing w:line="400" w:lineRule="exact"/>
              <w:ind w:leftChars="0"/>
              <w:jc w:val="left"/>
              <w:textAlignment w:val="auto"/>
              <w:rPr>
                <w:rFonts w:hint="eastAsia" w:ascii="宋体" w:hAnsi="宋体" w:eastAsia="宋体" w:cs="宋体"/>
                <w:color w:val="000000" w:themeColor="text1"/>
                <w:kern w:val="0"/>
                <w:sz w:val="21"/>
                <w:szCs w:val="21"/>
                <w:highlight w:val="none"/>
                <w:lang w:eastAsia="zh-CN"/>
                <w14:textFill>
                  <w14:solidFill>
                    <w14:schemeClr w14:val="tx1"/>
                  </w14:solidFill>
                </w14:textFill>
              </w:rPr>
            </w:pPr>
            <w:r>
              <w:rPr>
                <w:rFonts w:hint="eastAsia" w:ascii="宋体" w:hAnsi="宋体" w:cs="宋体"/>
                <w:color w:val="000000" w:themeColor="text1"/>
                <w:kern w:val="0"/>
                <w:sz w:val="21"/>
                <w:szCs w:val="21"/>
                <w:highlight w:val="none"/>
                <w:lang w:val="en-US" w:eastAsia="zh-CN"/>
                <w14:textFill>
                  <w14:solidFill>
                    <w14:schemeClr w14:val="tx1"/>
                  </w14:solidFill>
                </w14:textFill>
              </w:rPr>
              <w:t>3、</w:t>
            </w:r>
            <w:r>
              <w:rPr>
                <w:rFonts w:hint="eastAsia" w:ascii="宋体" w:hAnsi="宋体" w:eastAsia="宋体" w:cs="宋体"/>
                <w:color w:val="000000" w:themeColor="text1"/>
                <w:kern w:val="0"/>
                <w:sz w:val="21"/>
                <w:szCs w:val="21"/>
                <w:highlight w:val="none"/>
                <w14:textFill>
                  <w14:solidFill>
                    <w14:schemeClr w14:val="tx1"/>
                  </w14:solidFill>
                </w14:textFill>
              </w:rPr>
              <w:t>实施与监控措施全面、有效</w:t>
            </w:r>
            <w:r>
              <w:rPr>
                <w:rFonts w:hint="eastAsia" w:ascii="宋体" w:hAnsi="宋体" w:cs="宋体"/>
                <w:color w:val="000000" w:themeColor="text1"/>
                <w:kern w:val="0"/>
                <w:sz w:val="21"/>
                <w:szCs w:val="21"/>
                <w:highlight w:val="none"/>
                <w:lang w:eastAsia="zh-CN"/>
                <w14:textFill>
                  <w14:solidFill>
                    <w14:schemeClr w14:val="tx1"/>
                  </w14:solidFill>
                </w14:textFill>
              </w:rPr>
              <w:t>。</w:t>
            </w:r>
          </w:p>
          <w:p w14:paraId="291474BC">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切实可行得</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pacing w:val="-4"/>
                <w:sz w:val="21"/>
                <w:szCs w:val="21"/>
                <w:highlight w:val="none"/>
                <w14:textFill>
                  <w14:solidFill>
                    <w14:schemeClr w14:val="tx1"/>
                  </w14:solidFill>
                </w14:textFill>
              </w:rPr>
              <w:t>分；每有一项缺失或不详实准确的扣</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4"/>
                <w:sz w:val="21"/>
                <w:szCs w:val="21"/>
                <w:highlight w:val="none"/>
                <w14:textFill>
                  <w14:solidFill>
                    <w14:schemeClr w14:val="tx1"/>
                  </w14:solidFill>
                </w14:textFill>
              </w:rPr>
              <w:t>分，扣完为止。</w:t>
            </w:r>
          </w:p>
        </w:tc>
      </w:tr>
      <w:tr w14:paraId="54FE4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1180" w:type="dxa"/>
            <w:vAlign w:val="center"/>
          </w:tcPr>
          <w:p w14:paraId="36147CBD">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13</w:t>
            </w:r>
          </w:p>
        </w:tc>
        <w:tc>
          <w:tcPr>
            <w:tcW w:w="1313" w:type="dxa"/>
            <w:vAlign w:val="center"/>
          </w:tcPr>
          <w:p w14:paraId="106C1909">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现场文明施工措施</w:t>
            </w:r>
          </w:p>
        </w:tc>
        <w:tc>
          <w:tcPr>
            <w:tcW w:w="902" w:type="dxa"/>
            <w:vAlign w:val="center"/>
          </w:tcPr>
          <w:p w14:paraId="0A43AEAB">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5</w:t>
            </w:r>
          </w:p>
        </w:tc>
        <w:tc>
          <w:tcPr>
            <w:tcW w:w="6463" w:type="dxa"/>
            <w:vAlign w:val="center"/>
          </w:tcPr>
          <w:p w14:paraId="141150D6">
            <w:pPr>
              <w:keepNext w:val="0"/>
              <w:keepLines w:val="0"/>
              <w:pageBreakBefore w:val="0"/>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rFonts w:hint="eastAsia" w:ascii="宋体" w:hAnsi="宋体" w:cs="宋体"/>
                <w:color w:val="000000" w:themeColor="text1"/>
                <w:spacing w:val="-4"/>
                <w:sz w:val="21"/>
                <w:szCs w:val="21"/>
                <w:highlight w:val="none"/>
                <w:lang w:eastAsia="zh-CN"/>
                <w14:textFill>
                  <w14:solidFill>
                    <w14:schemeClr w14:val="tx1"/>
                  </w14:solidFill>
                </w14:textFill>
              </w:rPr>
              <w:t>根据投标单位提供的</w:t>
            </w:r>
            <w:r>
              <w:rPr>
                <w:rFonts w:hint="eastAsia" w:ascii="宋体" w:hAnsi="宋体" w:eastAsia="宋体" w:cs="宋体"/>
                <w:color w:val="000000" w:themeColor="text1"/>
                <w:spacing w:val="-4"/>
                <w:sz w:val="21"/>
                <w:szCs w:val="21"/>
                <w:highlight w:val="none"/>
                <w14:textFill>
                  <w14:solidFill>
                    <w14:schemeClr w14:val="tx1"/>
                  </w14:solidFill>
                </w14:textFill>
              </w:rPr>
              <w:t>现场文明施工</w:t>
            </w:r>
            <w:r>
              <w:rPr>
                <w:rFonts w:hint="eastAsia" w:ascii="宋体" w:hAnsi="宋体" w:cs="宋体"/>
                <w:color w:val="000000" w:themeColor="text1"/>
                <w:spacing w:val="-4"/>
                <w:sz w:val="21"/>
                <w:szCs w:val="21"/>
                <w:highlight w:val="none"/>
                <w:lang w:eastAsia="zh-CN"/>
                <w14:textFill>
                  <w14:solidFill>
                    <w14:schemeClr w14:val="tx1"/>
                  </w14:solidFill>
                </w14:textFill>
              </w:rPr>
              <w:t>措施，</w:t>
            </w:r>
            <w:r>
              <w:rPr>
                <w:rFonts w:hint="eastAsia" w:ascii="宋体" w:hAnsi="宋体" w:eastAsia="宋体" w:cs="宋体"/>
                <w:color w:val="000000" w:themeColor="text1"/>
                <w:spacing w:val="-4"/>
                <w:sz w:val="21"/>
                <w:szCs w:val="21"/>
                <w:highlight w:val="none"/>
                <w14:textFill>
                  <w14:solidFill>
                    <w14:schemeClr w14:val="tx1"/>
                  </w14:solidFill>
                </w14:textFill>
              </w:rPr>
              <w:t>符合工程实际情况</w:t>
            </w:r>
            <w:r>
              <w:rPr>
                <w:rFonts w:hint="eastAsia" w:ascii="宋体" w:hAnsi="宋体" w:cs="宋体"/>
                <w:color w:val="000000" w:themeColor="text1"/>
                <w:spacing w:val="-4"/>
                <w:sz w:val="21"/>
                <w:szCs w:val="21"/>
                <w:highlight w:val="none"/>
                <w:lang w:eastAsia="zh-CN"/>
                <w14:textFill>
                  <w14:solidFill>
                    <w14:schemeClr w14:val="tx1"/>
                  </w14:solidFill>
                </w14:textFill>
              </w:rPr>
              <w:t>，</w:t>
            </w:r>
            <w:r>
              <w:rPr>
                <w:rFonts w:hint="eastAsia" w:ascii="宋体" w:hAnsi="宋体" w:eastAsia="宋体" w:cs="宋体"/>
                <w:color w:val="000000" w:themeColor="text1"/>
                <w:spacing w:val="-4"/>
                <w:sz w:val="21"/>
                <w:szCs w:val="21"/>
                <w:highlight w:val="none"/>
                <w14:textFill>
                  <w14:solidFill>
                    <w14:schemeClr w14:val="tx1"/>
                  </w14:solidFill>
                </w14:textFill>
              </w:rPr>
              <w:t>表述清晰、完整</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的得</w:t>
            </w:r>
            <w:r>
              <w:rPr>
                <w:rFonts w:hint="eastAsia" w:ascii="宋体" w:hAnsi="宋体" w:cs="宋体"/>
                <w:color w:val="000000" w:themeColor="text1"/>
                <w:spacing w:val="-4"/>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pacing w:val="-4"/>
                <w:sz w:val="21"/>
                <w:szCs w:val="21"/>
                <w:highlight w:val="none"/>
                <w:lang w:val="en-US" w:eastAsia="zh-CN"/>
                <w14:textFill>
                  <w14:solidFill>
                    <w14:schemeClr w14:val="tx1"/>
                  </w14:solidFill>
                </w14:textFill>
              </w:rPr>
              <w:t>分；措施内容</w:t>
            </w:r>
            <w:r>
              <w:rPr>
                <w:rFonts w:hint="eastAsia" w:ascii="宋体" w:hAnsi="宋体" w:cs="宋体"/>
                <w:color w:val="000000" w:themeColor="text1"/>
                <w:spacing w:val="-4"/>
                <w:sz w:val="21"/>
                <w:szCs w:val="21"/>
                <w:highlight w:val="none"/>
                <w:lang w:eastAsia="zh-CN"/>
                <w14:textFill>
                  <w14:solidFill>
                    <w14:schemeClr w14:val="tx1"/>
                  </w14:solidFill>
                </w14:textFill>
              </w:rPr>
              <w:t>描述不清楚，不详细，考虑不全的得</w:t>
            </w:r>
            <w:r>
              <w:rPr>
                <w:rFonts w:hint="eastAsia" w:ascii="宋体" w:hAnsi="宋体" w:cs="宋体"/>
                <w:color w:val="000000" w:themeColor="text1"/>
                <w:spacing w:val="-4"/>
                <w:sz w:val="21"/>
                <w:szCs w:val="21"/>
                <w:highlight w:val="none"/>
                <w:lang w:val="en-US" w:eastAsia="zh-CN"/>
                <w14:textFill>
                  <w14:solidFill>
                    <w14:schemeClr w14:val="tx1"/>
                  </w14:solidFill>
                </w14:textFill>
              </w:rPr>
              <w:t>3分；</w:t>
            </w:r>
            <w:r>
              <w:rPr>
                <w:rFonts w:hint="eastAsia" w:ascii="宋体" w:hAnsi="宋体" w:cs="宋体"/>
                <w:color w:val="000000" w:themeColor="text1"/>
                <w:spacing w:val="-4"/>
                <w:sz w:val="21"/>
                <w:szCs w:val="21"/>
                <w:highlight w:val="none"/>
                <w:lang w:eastAsia="zh-CN"/>
                <w14:textFill>
                  <w14:solidFill>
                    <w14:schemeClr w14:val="tx1"/>
                  </w14:solidFill>
                </w14:textFill>
              </w:rPr>
              <w:t>未提供不得分</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tc>
      </w:tr>
      <w:tr w14:paraId="2B68F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4" w:hRule="atLeast"/>
          <w:tblHeader/>
        </w:trPr>
        <w:tc>
          <w:tcPr>
            <w:tcW w:w="1180" w:type="dxa"/>
            <w:vAlign w:val="center"/>
          </w:tcPr>
          <w:p w14:paraId="53930A41">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14</w:t>
            </w:r>
          </w:p>
        </w:tc>
        <w:tc>
          <w:tcPr>
            <w:tcW w:w="1313" w:type="dxa"/>
            <w:vAlign w:val="center"/>
          </w:tcPr>
          <w:p w14:paraId="5F7E5B0A">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sz w:val="21"/>
                <w:szCs w:val="21"/>
                <w:highlight w:val="none"/>
                <w14:textFill>
                  <w14:solidFill>
                    <w14:schemeClr w14:val="tx1"/>
                  </w14:solidFill>
                </w14:textFill>
              </w:rPr>
            </w:pPr>
            <w:r>
              <w:rPr>
                <w:rFonts w:hint="eastAsia" w:ascii="宋体" w:hAnsi="宋体" w:eastAsia="宋体" w:cs="宋体"/>
                <w:color w:val="000000" w:themeColor="text1"/>
                <w:spacing w:val="-4"/>
                <w:sz w:val="21"/>
                <w:szCs w:val="21"/>
                <w:highlight w:val="none"/>
                <w14:textFill>
                  <w14:solidFill>
                    <w14:schemeClr w14:val="tx1"/>
                  </w14:solidFill>
                </w14:textFill>
              </w:rPr>
              <w:t>承诺</w:t>
            </w:r>
          </w:p>
        </w:tc>
        <w:tc>
          <w:tcPr>
            <w:tcW w:w="902" w:type="dxa"/>
            <w:vAlign w:val="center"/>
          </w:tcPr>
          <w:p w14:paraId="1D39E915">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pacing w:val="-4"/>
                <w:sz w:val="21"/>
                <w:szCs w:val="21"/>
                <w:highlight w:val="none"/>
                <w:lang w:val="en-US" w:eastAsia="zh-CN"/>
                <w14:textFill>
                  <w14:solidFill>
                    <w14:schemeClr w14:val="tx1"/>
                  </w14:solidFill>
                </w14:textFill>
              </w:rPr>
              <w:t>2</w:t>
            </w:r>
          </w:p>
        </w:tc>
        <w:tc>
          <w:tcPr>
            <w:tcW w:w="6463" w:type="dxa"/>
            <w:vAlign w:val="center"/>
          </w:tcPr>
          <w:p w14:paraId="31BA2FA9">
            <w:pPr>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themeColor="text1"/>
                <w:spacing w:val="-4"/>
                <w:sz w:val="21"/>
                <w:szCs w:val="21"/>
                <w:highlight w:val="none"/>
                <w:lang w:eastAsia="zh-CN"/>
                <w14:textFill>
                  <w14:solidFill>
                    <w14:schemeClr w14:val="tx1"/>
                  </w14:solidFill>
                </w14:textFill>
              </w:rPr>
            </w:pPr>
            <w:r>
              <w:rPr>
                <w:color w:val="000000" w:themeColor="text1"/>
                <w:sz w:val="21"/>
                <w:highlight w:val="none"/>
                <w14:textFill>
                  <w14:solidFill>
                    <w14:schemeClr w14:val="tx1"/>
                  </w14:solidFill>
                </w14:textFill>
              </w:rPr>
              <w:t>有承诺、有违约经济处罚且措施可行</w:t>
            </w:r>
            <w:r>
              <w:rPr>
                <w:rFonts w:hint="eastAsia"/>
                <w:color w:val="000000" w:themeColor="text1"/>
                <w:sz w:val="21"/>
                <w:highlight w:val="none"/>
                <w:lang w:eastAsia="zh-CN"/>
                <w14:textFill>
                  <w14:solidFill>
                    <w14:schemeClr w14:val="tx1"/>
                  </w14:solidFill>
                </w14:textFill>
              </w:rPr>
              <w:t>的</w:t>
            </w:r>
            <w:r>
              <w:rPr>
                <w:color w:val="000000" w:themeColor="text1"/>
                <w:sz w:val="21"/>
                <w:highlight w:val="none"/>
                <w14:textFill>
                  <w14:solidFill>
                    <w14:schemeClr w14:val="tx1"/>
                  </w14:solidFill>
                </w14:textFill>
              </w:rPr>
              <w:t>得</w:t>
            </w:r>
            <w:r>
              <w:rPr>
                <w:rFonts w:hint="eastAsia"/>
                <w:color w:val="000000" w:themeColor="text1"/>
                <w:sz w:val="21"/>
                <w:highlight w:val="none"/>
                <w:lang w:val="en-US" w:eastAsia="zh-CN"/>
                <w14:textFill>
                  <w14:solidFill>
                    <w14:schemeClr w14:val="tx1"/>
                  </w14:solidFill>
                </w14:textFill>
              </w:rPr>
              <w:t>2分；</w:t>
            </w:r>
            <w:r>
              <w:rPr>
                <w:rFonts w:hint="eastAsia" w:ascii="宋体" w:hAnsi="宋体" w:eastAsia="宋体" w:cs="宋体"/>
                <w:color w:val="000000" w:themeColor="text1"/>
                <w:spacing w:val="-4"/>
                <w:sz w:val="21"/>
                <w:szCs w:val="21"/>
                <w:highlight w:val="none"/>
                <w14:textFill>
                  <w14:solidFill>
                    <w14:schemeClr w14:val="tx1"/>
                  </w14:solidFill>
                </w14:textFill>
              </w:rPr>
              <w:t>有承诺、无违约经济处罚且措施可行</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的</w:t>
            </w:r>
            <w:r>
              <w:rPr>
                <w:rFonts w:hint="eastAsia" w:ascii="宋体" w:hAnsi="宋体" w:eastAsia="宋体" w:cs="宋体"/>
                <w:color w:val="000000" w:themeColor="text1"/>
                <w:spacing w:val="-4"/>
                <w:sz w:val="21"/>
                <w:szCs w:val="21"/>
                <w:highlight w:val="none"/>
                <w14:textFill>
                  <w14:solidFill>
                    <w14:schemeClr w14:val="tx1"/>
                  </w14:solidFill>
                </w14:textFill>
              </w:rPr>
              <w:t>得</w:t>
            </w:r>
            <w:r>
              <w:rPr>
                <w:rFonts w:hint="eastAsia" w:ascii="宋体" w:hAnsi="宋体" w:cs="宋体"/>
                <w:color w:val="000000" w:themeColor="text1"/>
                <w:spacing w:val="-4"/>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pacing w:val="-4"/>
                <w:sz w:val="21"/>
                <w:szCs w:val="21"/>
                <w:highlight w:val="none"/>
                <w14:textFill>
                  <w14:solidFill>
                    <w14:schemeClr w14:val="tx1"/>
                  </w14:solidFill>
                </w14:textFill>
              </w:rPr>
              <w:t>分，</w:t>
            </w:r>
            <w:r>
              <w:rPr>
                <w:rFonts w:hint="eastAsia" w:ascii="宋体" w:hAnsi="宋体" w:cs="宋体"/>
                <w:color w:val="000000" w:themeColor="text1"/>
                <w:spacing w:val="-4"/>
                <w:sz w:val="21"/>
                <w:szCs w:val="21"/>
                <w:highlight w:val="none"/>
                <w:lang w:eastAsia="zh-CN"/>
                <w14:textFill>
                  <w14:solidFill>
                    <w14:schemeClr w14:val="tx1"/>
                  </w14:solidFill>
                </w14:textFill>
              </w:rPr>
              <w:t>未提供不得分</w:t>
            </w:r>
            <w:r>
              <w:rPr>
                <w:rFonts w:hint="eastAsia" w:ascii="宋体" w:hAnsi="宋体" w:eastAsia="宋体" w:cs="宋体"/>
                <w:color w:val="000000" w:themeColor="text1"/>
                <w:spacing w:val="-4"/>
                <w:sz w:val="21"/>
                <w:szCs w:val="21"/>
                <w:highlight w:val="none"/>
                <w:lang w:eastAsia="zh-CN"/>
                <w14:textFill>
                  <w14:solidFill>
                    <w14:schemeClr w14:val="tx1"/>
                  </w14:solidFill>
                </w14:textFill>
              </w:rPr>
              <w:t>。</w:t>
            </w:r>
          </w:p>
        </w:tc>
      </w:tr>
      <w:tr w14:paraId="22307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tblHeader/>
        </w:trPr>
        <w:tc>
          <w:tcPr>
            <w:tcW w:w="1180" w:type="dxa"/>
            <w:vAlign w:val="center"/>
          </w:tcPr>
          <w:p w14:paraId="6A6D4015">
            <w:pPr>
              <w:keepNext w:val="0"/>
              <w:keepLines w:val="0"/>
              <w:pageBreakBefore w:val="0"/>
              <w:kinsoku/>
              <w:wordWrap/>
              <w:overflowPunct/>
              <w:topLinePunct w:val="0"/>
              <w:autoSpaceDE/>
              <w:autoSpaceDN/>
              <w:bidi w:val="0"/>
              <w:adjustRightInd/>
              <w:snapToGrid/>
              <w:spacing w:line="400" w:lineRule="exact"/>
              <w:jc w:val="center"/>
              <w:textAlignment w:val="auto"/>
              <w:rPr>
                <w:rFonts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合计</w:t>
            </w:r>
          </w:p>
        </w:tc>
        <w:tc>
          <w:tcPr>
            <w:tcW w:w="8678" w:type="dxa"/>
            <w:gridSpan w:val="3"/>
            <w:vAlign w:val="center"/>
          </w:tcPr>
          <w:p w14:paraId="123A6087">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7</w:t>
            </w:r>
            <w:r>
              <w:rPr>
                <w:rFonts w:hint="eastAsia" w:ascii="宋体" w:hAnsi="宋体" w:eastAsia="宋体" w:cs="宋体"/>
                <w:color w:val="000000" w:themeColor="text1"/>
                <w:sz w:val="21"/>
                <w:szCs w:val="21"/>
                <w:highlight w:val="none"/>
                <w:lang w:val="en-US" w:eastAsia="zh-CN"/>
                <w14:textFill>
                  <w14:solidFill>
                    <w14:schemeClr w14:val="tx1"/>
                  </w14:solidFill>
                </w14:textFill>
              </w:rPr>
              <w:t>0分</w:t>
            </w:r>
          </w:p>
        </w:tc>
      </w:tr>
    </w:tbl>
    <w:p w14:paraId="6A0260C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注：1、各评委应认真了解本磋商文件和工程有关情况后，做出须自己负责的评审。</w:t>
      </w:r>
    </w:p>
    <w:p w14:paraId="4843A11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2、技术</w:t>
      </w:r>
      <w:r>
        <w:rPr>
          <w:rFonts w:hint="eastAsia" w:ascii="宋体" w:hAnsi="宋体" w:cs="宋体"/>
          <w:color w:val="000000" w:themeColor="text1"/>
          <w:sz w:val="24"/>
          <w:szCs w:val="24"/>
          <w:highlight w:val="none"/>
          <w:lang w:val="zh-CN"/>
          <w14:textFill>
            <w14:solidFill>
              <w14:schemeClr w14:val="tx1"/>
            </w14:solidFill>
          </w14:textFill>
        </w:rPr>
        <w:t>商务部分</w:t>
      </w:r>
      <w:r>
        <w:rPr>
          <w:rFonts w:hint="eastAsia" w:ascii="宋体" w:hAnsi="宋体" w:eastAsia="宋体" w:cs="宋体"/>
          <w:color w:val="000000" w:themeColor="text1"/>
          <w:sz w:val="24"/>
          <w:szCs w:val="24"/>
          <w:highlight w:val="none"/>
          <w:lang w:val="zh-CN"/>
          <w14:textFill>
            <w14:solidFill>
              <w14:schemeClr w14:val="tx1"/>
            </w14:solidFill>
          </w14:textFill>
        </w:rPr>
        <w:t>在进行汇总时，分项项目评分进行算术平均，计算结果值在小数点后保留两位小数，后余位数四舍五入计。项目评审过程中，不得去掉最后报价中的最高报价和最低报价。</w:t>
      </w:r>
    </w:p>
    <w:p w14:paraId="7265A43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、投标单位请认真阅读和理解上述内容，避免投标文件中有违背上述审查标准之一的情况发生而造成废标；评标中各评委若发生意见分歧，通过书面表决形式，以少数服从多数为原则决定。</w:t>
      </w:r>
    </w:p>
    <w:p w14:paraId="26C37CB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lang w:val="zh-CN"/>
          <w14:textFill>
            <w14:solidFill>
              <w14:schemeClr w14:val="tx1"/>
            </w14:solidFill>
          </w14:textFill>
        </w:rPr>
        <w:t>、磋商确定最终采购需求和提交最后报价的投标单位后，价格得分的评分方法：价格分采用低价优先法计算，即满足竞争性磋商文件要求且最终报价最低的投标单位的价格为磋商基准价，其价格分为满分</w:t>
      </w:r>
      <w:r>
        <w:rPr>
          <w:rFonts w:hint="default" w:ascii="宋体" w:hAnsi="宋体" w:eastAsia="宋体" w:cs="宋体"/>
          <w:color w:val="000000" w:themeColor="text1"/>
          <w:sz w:val="24"/>
          <w:szCs w:val="24"/>
          <w:highlight w:val="none"/>
          <w:lang w:val="en-US"/>
          <w14:textFill>
            <w14:solidFill>
              <w14:schemeClr w14:val="tx1"/>
            </w14:solidFill>
          </w14:textFill>
        </w:rPr>
        <w:t>30分</w:t>
      </w:r>
      <w:r>
        <w:rPr>
          <w:rFonts w:hint="eastAsia" w:ascii="宋体" w:hAnsi="宋体" w:eastAsia="宋体" w:cs="宋体"/>
          <w:color w:val="000000" w:themeColor="text1"/>
          <w:sz w:val="24"/>
          <w:szCs w:val="24"/>
          <w:highlight w:val="none"/>
          <w:lang w:val="zh-CN"/>
          <w14:textFill>
            <w14:solidFill>
              <w14:schemeClr w14:val="tx1"/>
            </w14:solidFill>
          </w14:textFill>
        </w:rPr>
        <w:t>。其他投标单位的价格得分计算：</w:t>
      </w:r>
    </w:p>
    <w:p w14:paraId="5E3BEB6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磋商报价得分=（磋商基准价/最终磋商报价）×</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0</w:t>
      </w:r>
      <w:r>
        <w:rPr>
          <w:rFonts w:hint="default" w:ascii="宋体" w:hAnsi="宋体" w:eastAsia="宋体" w:cs="宋体"/>
          <w:color w:val="000000" w:themeColor="text1"/>
          <w:sz w:val="24"/>
          <w:szCs w:val="24"/>
          <w:highlight w:val="none"/>
          <w:lang w:val="en-US"/>
          <w14:textFill>
            <w14:solidFill>
              <w14:schemeClr w14:val="tx1"/>
            </w14:solidFill>
          </w14:textFill>
        </w:rPr>
        <w:t>分</w:t>
      </w:r>
      <w:r>
        <w:rPr>
          <w:rFonts w:hint="eastAsia" w:ascii="宋体" w:hAnsi="宋体" w:eastAsia="宋体" w:cs="宋体"/>
          <w:color w:val="000000" w:themeColor="text1"/>
          <w:sz w:val="24"/>
          <w:szCs w:val="24"/>
          <w:highlight w:val="none"/>
          <w:lang w:val="zh-CN"/>
          <w14:textFill>
            <w14:solidFill>
              <w14:schemeClr w14:val="tx1"/>
            </w14:solidFill>
          </w14:textFill>
        </w:rPr>
        <w:t>，如此类推，算出所有投标投标单位的价格得分。                               </w:t>
      </w:r>
    </w:p>
    <w:p w14:paraId="7F5DCAC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评分分值计算结果值在小数点后均保留两位小数，后余位数四舍五入计。</w:t>
      </w:r>
    </w:p>
    <w:p w14:paraId="3C5DFFB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在报价评审中，若磋商小组发现投标单位以明显低于市场或成本的价格投标，而投标单位又未在投标文件中提供有力证据证明其报价合理的，磋商小组可以认定该投标以低于成本的价格投标。被认定为低于成本价格的投标将按废标处理。</w:t>
      </w:r>
    </w:p>
    <w:p w14:paraId="773E29E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lang w:val="zh-CN"/>
          <w14:textFill>
            <w14:solidFill>
              <w14:schemeClr w14:val="tx1"/>
            </w14:solidFill>
          </w14:textFill>
        </w:rPr>
        <w:t>、磋商小组应当根据综合评分情况，按照评审得分由高到低顺序推荐3名成交候选投标单位。评审得分相同的，按照最终报价由低到高的顺序推荐。评审得分且最终报价相同的，按照技术指标优劣顺序推荐。</w:t>
      </w:r>
    </w:p>
    <w:p w14:paraId="2AF3FA7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lang w:val="zh-CN"/>
          <w14:textFill>
            <w14:solidFill>
              <w14:schemeClr w14:val="tx1"/>
            </w14:solidFill>
          </w14:textFill>
        </w:rPr>
        <w:t>、招标人根据磋商小组推荐的成交候选投标单位名单，根据相关法律法规的规定确定最终成交商。如果排名第一的成交候选投标单位的实际情况与其磋商资料不相符，将取消其成交资格，由排名第二的成交候选投标单位递补，以此类推。</w:t>
      </w:r>
      <w:bookmarkEnd w:id="158"/>
      <w:bookmarkEnd w:id="159"/>
      <w:bookmarkEnd w:id="160"/>
      <w:bookmarkEnd w:id="161"/>
      <w:bookmarkEnd w:id="162"/>
      <w:bookmarkEnd w:id="163"/>
    </w:p>
    <w:p w14:paraId="1536C3D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shd w:val="clear" w:color="auto" w:fill="auto"/>
          <w:lang w:val="zh-CN" w:eastAsia="zh-CN"/>
          <w14:textFill>
            <w14:solidFill>
              <w14:schemeClr w14:val="tx1"/>
            </w14:solidFill>
          </w14:textFill>
        </w:rPr>
      </w:pP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7</w:t>
      </w: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lang w:val="zh-CN" w:eastAsia="zh-CN"/>
          <w14:textFill>
            <w14:solidFill>
              <w14:schemeClr w14:val="tx1"/>
            </w14:solidFill>
          </w14:textFill>
        </w:rPr>
        <w:t>评审过程中，在同等条件下，优先采购具有环境标志、节能、自主创新的产品。（注：环境标志产品是指由财政部、国家环境保护总局颁布的</w:t>
      </w:r>
      <w:r>
        <w:rPr>
          <w:rFonts w:hint="eastAsia" w:ascii="宋体" w:hAnsi="宋体" w:cs="宋体"/>
          <w:color w:val="000000" w:themeColor="text1"/>
          <w:sz w:val="24"/>
          <w:szCs w:val="24"/>
          <w:highlight w:val="none"/>
          <w:shd w:val="clear" w:color="auto" w:fill="auto"/>
          <w:lang w:val="zh-CN"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lang w:val="zh-CN" w:eastAsia="zh-CN"/>
          <w14:textFill>
            <w14:solidFill>
              <w14:schemeClr w14:val="tx1"/>
            </w14:solidFill>
          </w14:textFill>
        </w:rPr>
        <w:t>环境标志产品政府采购清单</w:t>
      </w:r>
      <w:r>
        <w:rPr>
          <w:rFonts w:hint="eastAsia" w:ascii="宋体" w:hAnsi="宋体" w:cs="宋体"/>
          <w:color w:val="000000" w:themeColor="text1"/>
          <w:sz w:val="24"/>
          <w:szCs w:val="24"/>
          <w:highlight w:val="none"/>
          <w:shd w:val="clear" w:color="auto" w:fill="auto"/>
          <w:lang w:val="zh-CN"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lang w:val="zh-CN" w:eastAsia="zh-CN"/>
          <w14:textFill>
            <w14:solidFill>
              <w14:schemeClr w14:val="tx1"/>
            </w14:solidFill>
          </w14:textFill>
        </w:rPr>
        <w:t>中的有效期内的产品；节能产品是指由财政部、国家发展改革委颁布的</w:t>
      </w:r>
      <w:r>
        <w:rPr>
          <w:rFonts w:hint="eastAsia" w:ascii="宋体" w:hAnsi="宋体" w:cs="宋体"/>
          <w:color w:val="000000" w:themeColor="text1"/>
          <w:sz w:val="24"/>
          <w:szCs w:val="24"/>
          <w:highlight w:val="none"/>
          <w:shd w:val="clear" w:color="auto" w:fill="auto"/>
          <w:lang w:val="zh-CN"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lang w:val="zh-CN" w:eastAsia="zh-CN"/>
          <w14:textFill>
            <w14:solidFill>
              <w14:schemeClr w14:val="tx1"/>
            </w14:solidFill>
          </w14:textFill>
        </w:rPr>
        <w:t>节能产品政府采购清单</w:t>
      </w:r>
      <w:r>
        <w:rPr>
          <w:rFonts w:hint="eastAsia" w:ascii="宋体" w:hAnsi="宋体" w:cs="宋体"/>
          <w:color w:val="000000" w:themeColor="text1"/>
          <w:sz w:val="24"/>
          <w:szCs w:val="24"/>
          <w:highlight w:val="none"/>
          <w:shd w:val="clear" w:color="auto" w:fill="auto"/>
          <w:lang w:val="zh-CN"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lang w:val="zh-CN" w:eastAsia="zh-CN"/>
          <w14:textFill>
            <w14:solidFill>
              <w14:schemeClr w14:val="tx1"/>
            </w14:solidFill>
          </w14:textFill>
        </w:rPr>
        <w:t>中的有效期内的产品。）</w:t>
      </w:r>
    </w:p>
    <w:p w14:paraId="278A7F0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shd w:val="clear" w:color="auto" w:fill="auto"/>
          <w:lang w:val="zh-CN" w:eastAsia="zh-CN"/>
          <w14:textFill>
            <w14:solidFill>
              <w14:schemeClr w14:val="tx1"/>
            </w14:solidFill>
          </w14:textFill>
        </w:rPr>
      </w:pPr>
      <w:r>
        <w:rPr>
          <w:rFonts w:hint="eastAsia" w:ascii="宋体" w:hAnsi="宋体" w:cs="宋体"/>
          <w:color w:val="000000" w:themeColor="text1"/>
          <w:sz w:val="24"/>
          <w:szCs w:val="24"/>
          <w:highlight w:val="none"/>
          <w:shd w:val="clear" w:color="auto" w:fill="auto"/>
          <w:lang w:val="en-US" w:eastAsia="zh-CN"/>
          <w14:textFill>
            <w14:solidFill>
              <w14:schemeClr w14:val="tx1"/>
            </w14:solidFill>
          </w14:textFill>
        </w:rPr>
        <w:t>8</w:t>
      </w: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w:t>
      </w:r>
      <w:r>
        <w:rPr>
          <w:rFonts w:hint="eastAsia" w:ascii="宋体" w:hAnsi="宋体" w:eastAsia="宋体" w:cs="宋体"/>
          <w:color w:val="000000" w:themeColor="text1"/>
          <w:sz w:val="24"/>
          <w:szCs w:val="24"/>
          <w:highlight w:val="none"/>
          <w:shd w:val="clear" w:color="auto" w:fill="auto"/>
          <w:lang w:val="zh-CN" w:eastAsia="zh-CN"/>
          <w14:textFill>
            <w14:solidFill>
              <w14:schemeClr w14:val="tx1"/>
            </w14:solidFill>
          </w14:textFill>
        </w:rPr>
        <w:t>根据《关于印发政府采购促进中小企业发展管理办法的通知》（财库[2020]46号文）规定要求，属中小企业制造的货物、承担的工程、服务，供应商须提供《中小企业声明函》，并由供应商加盖公章，其划型标准严格按照国家工信部、国家统计局、国家发改委、财政部出台的《中小企业划型标准规定》（工信部联企业[2011]300号）执行。供应商提供的《中小企业声明函》资料必须真实，否则，按照有关规定予以处理。残疾人福利性单位、监狱企业视同中小企业。</w:t>
      </w:r>
    </w:p>
    <w:p w14:paraId="19CEEA6A">
      <w:pPr>
        <w:pStyle w:val="4"/>
        <w:pageBreakBefore w:val="0"/>
        <w:kinsoku/>
        <w:overflowPunct/>
        <w:bidi w:val="0"/>
        <w:spacing w:before="100" w:beforeAutospacing="1" w:after="100" w:afterAutospacing="1" w:line="480" w:lineRule="exact"/>
        <w:jc w:val="center"/>
        <w:textAlignment w:val="auto"/>
        <w:rPr>
          <w:rFonts w:hint="default" w:ascii="Times New Roman" w:hAnsi="Times New Roman" w:eastAsia="宋体" w:cs="Times New Roman"/>
          <w:color w:val="000000" w:themeColor="text1"/>
          <w:sz w:val="28"/>
          <w:szCs w:val="28"/>
          <w:highlight w:val="none"/>
          <w14:textFill>
            <w14:solidFill>
              <w14:schemeClr w14:val="tx1"/>
            </w14:solidFill>
          </w14:textFill>
        </w:rPr>
      </w:pPr>
      <w:r>
        <w:rPr>
          <w:rFonts w:hint="default" w:ascii="Times New Roman" w:hAnsi="Times New Roman" w:eastAsia="宋体" w:cs="Times New Roman"/>
          <w:color w:val="000000" w:themeColor="text1"/>
          <w:sz w:val="28"/>
          <w:szCs w:val="28"/>
          <w:highlight w:val="none"/>
          <w14:textFill>
            <w14:solidFill>
              <w14:schemeClr w14:val="tx1"/>
            </w14:solidFill>
          </w14:textFill>
        </w:rPr>
        <w:t>F  授予合同</w:t>
      </w:r>
    </w:p>
    <w:p w14:paraId="3CEAB5B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lang w:val="zh-CN"/>
          <w14:textFill>
            <w14:solidFill>
              <w14:schemeClr w14:val="tx1"/>
            </w14:solidFill>
          </w14:textFill>
        </w:rPr>
        <w:t>．合同授予标准</w:t>
      </w:r>
    </w:p>
    <w:p w14:paraId="708442B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lang w:val="zh-CN"/>
          <w14:textFill>
            <w14:solidFill>
              <w14:schemeClr w14:val="tx1"/>
            </w14:solidFill>
          </w14:textFill>
        </w:rPr>
        <w:t>.1合同将授予被确定为实质上响应磋商文件要求，符合招标需求、质量和服务相等且综合评分最高的</w:t>
      </w:r>
      <w:r>
        <w:rPr>
          <w:rFonts w:hint="eastAsia" w:ascii="宋体" w:hAnsi="宋体" w:eastAsia="宋体" w:cs="宋体"/>
          <w:color w:val="000000" w:themeColor="text1"/>
          <w:sz w:val="24"/>
          <w:szCs w:val="24"/>
          <w:highlight w:val="none"/>
          <w:lang w:val="zh-CN" w:eastAsia="zh-CN"/>
          <w14:textFill>
            <w14:solidFill>
              <w14:schemeClr w14:val="tx1"/>
            </w14:solidFill>
          </w14:textFill>
        </w:rPr>
        <w:t>投标单位</w:t>
      </w:r>
      <w:r>
        <w:rPr>
          <w:rFonts w:hint="eastAsia" w:ascii="宋体" w:hAnsi="宋体" w:eastAsia="宋体" w:cs="宋体"/>
          <w:color w:val="000000" w:themeColor="text1"/>
          <w:sz w:val="24"/>
          <w:szCs w:val="24"/>
          <w:highlight w:val="none"/>
          <w:lang w:val="zh-CN"/>
          <w14:textFill>
            <w14:solidFill>
              <w14:schemeClr w14:val="tx1"/>
            </w14:solidFill>
          </w14:textFill>
        </w:rPr>
        <w:t>。</w:t>
      </w:r>
    </w:p>
    <w:p w14:paraId="6937108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lang w:val="zh-CN"/>
          <w14:textFill>
            <w14:solidFill>
              <w14:schemeClr w14:val="tx1"/>
            </w14:solidFill>
          </w14:textFill>
        </w:rPr>
        <w:t>.2 最低报价不一定是被授予合同的保证。</w:t>
      </w:r>
    </w:p>
    <w:p w14:paraId="5D8E6B4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lang w:val="zh-CN"/>
          <w14:textFill>
            <w14:solidFill>
              <w14:schemeClr w14:val="tx1"/>
            </w14:solidFill>
          </w14:textFill>
        </w:rPr>
        <w:t>.3排名第一的成交候选人放弃中标、因不可抗力不能履行合同、不按照磋商文件要求提交履约保证金，或者被查实存在影响中标结果的违法行为等情形，不符合成交条件的，</w:t>
      </w:r>
      <w:r>
        <w:rPr>
          <w:rFonts w:hint="eastAsia" w:ascii="宋体" w:hAnsi="宋体" w:eastAsia="宋体" w:cs="宋体"/>
          <w:color w:val="000000" w:themeColor="text1"/>
          <w:sz w:val="24"/>
          <w:szCs w:val="24"/>
          <w:highlight w:val="none"/>
          <w:lang w:val="zh-CN" w:eastAsia="zh-CN"/>
          <w14:textFill>
            <w14:solidFill>
              <w14:schemeClr w14:val="tx1"/>
            </w14:solidFill>
          </w14:textFill>
        </w:rPr>
        <w:t>招标人</w:t>
      </w:r>
      <w:r>
        <w:rPr>
          <w:rFonts w:hint="eastAsia" w:ascii="宋体" w:hAnsi="宋体" w:eastAsia="宋体" w:cs="宋体"/>
          <w:color w:val="000000" w:themeColor="text1"/>
          <w:sz w:val="24"/>
          <w:szCs w:val="24"/>
          <w:highlight w:val="none"/>
          <w:lang w:val="zh-CN"/>
          <w14:textFill>
            <w14:solidFill>
              <w14:schemeClr w14:val="tx1"/>
            </w14:solidFill>
          </w14:textFill>
        </w:rPr>
        <w:t>可以按照磋商小组提出的成交候选人名单排序依次确定其他中标候选人为成交</w:t>
      </w:r>
      <w:r>
        <w:rPr>
          <w:rFonts w:hint="eastAsia" w:ascii="宋体" w:hAnsi="宋体" w:eastAsia="宋体" w:cs="宋体"/>
          <w:color w:val="000000" w:themeColor="text1"/>
          <w:sz w:val="24"/>
          <w:szCs w:val="24"/>
          <w:highlight w:val="none"/>
          <w:lang w:val="zh-CN" w:eastAsia="zh-CN"/>
          <w14:textFill>
            <w14:solidFill>
              <w14:schemeClr w14:val="tx1"/>
            </w14:solidFill>
          </w14:textFill>
        </w:rPr>
        <w:t>投标单位</w:t>
      </w:r>
      <w:r>
        <w:rPr>
          <w:rFonts w:hint="eastAsia" w:ascii="宋体" w:hAnsi="宋体" w:eastAsia="宋体" w:cs="宋体"/>
          <w:color w:val="000000" w:themeColor="text1"/>
          <w:sz w:val="24"/>
          <w:szCs w:val="24"/>
          <w:highlight w:val="none"/>
          <w:lang w:val="zh-CN"/>
          <w14:textFill>
            <w14:solidFill>
              <w14:schemeClr w14:val="tx1"/>
            </w14:solidFill>
          </w14:textFill>
        </w:rPr>
        <w:t>，也可以重新招标。</w:t>
      </w:r>
    </w:p>
    <w:p w14:paraId="335FDE5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30</w:t>
      </w:r>
      <w:r>
        <w:rPr>
          <w:rFonts w:hint="eastAsia" w:ascii="宋体" w:hAnsi="宋体" w:eastAsia="宋体" w:cs="宋体"/>
          <w:color w:val="000000" w:themeColor="text1"/>
          <w:sz w:val="24"/>
          <w:szCs w:val="24"/>
          <w:highlight w:val="none"/>
          <w:lang w:val="zh-CN"/>
          <w14:textFill>
            <w14:solidFill>
              <w14:schemeClr w14:val="tx1"/>
            </w14:solidFill>
          </w14:textFill>
        </w:rPr>
        <w:t>．接受和拒绝任何或所有磋商的权力</w:t>
      </w:r>
    </w:p>
    <w:p w14:paraId="43BCFC8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为维护国家利益，</w:t>
      </w:r>
      <w:r>
        <w:rPr>
          <w:rFonts w:hint="eastAsia" w:ascii="宋体" w:hAnsi="宋体" w:eastAsia="宋体" w:cs="宋体"/>
          <w:color w:val="000000" w:themeColor="text1"/>
          <w:sz w:val="24"/>
          <w:szCs w:val="24"/>
          <w:highlight w:val="none"/>
          <w:lang w:val="zh-CN" w:eastAsia="zh-CN"/>
          <w14:textFill>
            <w14:solidFill>
              <w14:schemeClr w14:val="tx1"/>
            </w14:solidFill>
          </w14:textFill>
        </w:rPr>
        <w:t>招标人</w:t>
      </w:r>
      <w:r>
        <w:rPr>
          <w:rFonts w:hint="eastAsia" w:ascii="宋体" w:hAnsi="宋体" w:eastAsia="宋体" w:cs="宋体"/>
          <w:color w:val="000000" w:themeColor="text1"/>
          <w:sz w:val="24"/>
          <w:szCs w:val="24"/>
          <w:highlight w:val="none"/>
          <w:lang w:val="zh-CN"/>
          <w14:textFill>
            <w14:solidFill>
              <w14:schemeClr w14:val="tx1"/>
            </w14:solidFill>
          </w14:textFill>
        </w:rPr>
        <w:t>在授予合同之前仍有选择或拒绝任何全部磋商的权力，并对所采取的行为不作任何解释。</w:t>
      </w:r>
    </w:p>
    <w:p w14:paraId="7EB8A8C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31</w:t>
      </w:r>
      <w:r>
        <w:rPr>
          <w:rFonts w:hint="eastAsia" w:ascii="宋体" w:hAnsi="宋体" w:eastAsia="宋体" w:cs="宋体"/>
          <w:color w:val="000000" w:themeColor="text1"/>
          <w:sz w:val="24"/>
          <w:szCs w:val="24"/>
          <w:highlight w:val="none"/>
          <w:lang w:val="zh-CN"/>
          <w14:textFill>
            <w14:solidFill>
              <w14:schemeClr w14:val="tx1"/>
            </w14:solidFill>
          </w14:textFill>
        </w:rPr>
        <w:t>．成交通知书</w:t>
      </w:r>
    </w:p>
    <w:p w14:paraId="354C21C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31.1 成交公告期满后，招标代理机构将以书面形式发出《成交通知书》，但发出时间不超过磋商有效期，《成交通知书》一经发出即发生法律效力。</w:t>
      </w:r>
    </w:p>
    <w:p w14:paraId="556209B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val="zh-CN"/>
          <w14:textFill>
            <w14:solidFill>
              <w14:schemeClr w14:val="tx1"/>
            </w14:solidFill>
          </w14:textFill>
        </w:rPr>
        <w:t>.2 《成交通知书》将作为签订合同的依据。</w:t>
      </w:r>
    </w:p>
    <w:p w14:paraId="44BF99A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31.3 在成交通知书发出后五个工作日内退还未成交投标单位的保证金，在合同签订后五个工作日内退还成交投标单位的保证金。</w:t>
      </w:r>
    </w:p>
    <w:p w14:paraId="4B7D7E7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．签订合同</w:t>
      </w:r>
    </w:p>
    <w:p w14:paraId="71C8A3E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32.1 投标单位收到《成交通知书》后，按《成交通知书》中规定的时间地点与招标人签订合同。招标人和成交方不得再订立背离合同实质性内容的其他协议。</w:t>
      </w:r>
    </w:p>
    <w:p w14:paraId="585CA6A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.2如成交方拒签合同，则按违约处理。招标代理机构没收其磋商保证金。</w:t>
      </w:r>
    </w:p>
    <w:p w14:paraId="24ED3E0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.3磋商文件、成交方的磋商响应文件及其澄清文件等，均为签订经济合同的依据。</w:t>
      </w:r>
    </w:p>
    <w:p w14:paraId="5FDC363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．履约保证金（如适用）</w:t>
      </w:r>
    </w:p>
    <w:p w14:paraId="277D7F4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成交方应按合同规定的方式、时间和金额向</w:t>
      </w:r>
      <w:r>
        <w:rPr>
          <w:rFonts w:hint="eastAsia" w:ascii="宋体" w:hAnsi="宋体" w:eastAsia="宋体" w:cs="宋体"/>
          <w:color w:val="000000" w:themeColor="text1"/>
          <w:sz w:val="24"/>
          <w:szCs w:val="24"/>
          <w:highlight w:val="none"/>
          <w:lang w:val="zh-CN" w:eastAsia="zh-CN"/>
          <w14:textFill>
            <w14:solidFill>
              <w14:schemeClr w14:val="tx1"/>
            </w14:solidFill>
          </w14:textFill>
        </w:rPr>
        <w:t>招标人</w:t>
      </w:r>
      <w:r>
        <w:rPr>
          <w:rFonts w:hint="eastAsia" w:ascii="宋体" w:hAnsi="宋体" w:eastAsia="宋体" w:cs="宋体"/>
          <w:color w:val="000000" w:themeColor="text1"/>
          <w:sz w:val="24"/>
          <w:szCs w:val="24"/>
          <w:highlight w:val="none"/>
          <w:lang w:val="zh-CN"/>
          <w14:textFill>
            <w14:solidFill>
              <w14:schemeClr w14:val="tx1"/>
            </w14:solidFill>
          </w14:textFill>
        </w:rPr>
        <w:t>提交履约保证金。</w:t>
      </w:r>
    </w:p>
    <w:p w14:paraId="604392B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履约保证金为合同价款的</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cs="宋体"/>
          <w:b/>
          <w:bCs/>
          <w:color w:val="000000" w:themeColor="text1"/>
          <w:sz w:val="24"/>
          <w:szCs w:val="24"/>
          <w:highlight w:val="none"/>
          <w:u w:val="single"/>
          <w:lang w:val="en-US" w:eastAsia="zh-CN"/>
          <w14:textFill>
            <w14:solidFill>
              <w14:schemeClr w14:val="tx1"/>
            </w14:solidFill>
          </w14:textFill>
        </w:rPr>
        <w:t>具体以合同为准</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w:t>
      </w:r>
    </w:p>
    <w:p w14:paraId="2748394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lang w:val="zh-CN"/>
          <w14:textFill>
            <w14:solidFill>
              <w14:schemeClr w14:val="tx1"/>
            </w14:solidFill>
          </w14:textFill>
        </w:rPr>
        <w:t>．招标代理服务费</w:t>
      </w:r>
    </w:p>
    <w:p w14:paraId="747B6E6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招标代理代理服务费由成交人向招标代理机构支付。</w:t>
      </w:r>
    </w:p>
    <w:p w14:paraId="6D390FC5">
      <w:pPr>
        <w:pStyle w:val="4"/>
        <w:pageBreakBefore w:val="0"/>
        <w:kinsoku/>
        <w:overflowPunct/>
        <w:bidi w:val="0"/>
        <w:spacing w:before="100" w:beforeAutospacing="1" w:after="100" w:afterAutospacing="1" w:line="480" w:lineRule="exact"/>
        <w:jc w:val="center"/>
        <w:textAlignment w:val="auto"/>
        <w:rPr>
          <w:rFonts w:ascii="宋体" w:hAnsi="宋体" w:eastAsia="宋体" w:cs="宋体"/>
          <w:bCs/>
          <w:color w:val="000000" w:themeColor="text1"/>
          <w:sz w:val="24"/>
          <w:highlight w:val="none"/>
          <w14:textFill>
            <w14:solidFill>
              <w14:schemeClr w14:val="tx1"/>
            </w14:solidFill>
          </w14:textFill>
        </w:rPr>
      </w:pPr>
      <w:bookmarkStart w:id="165" w:name="_Toc471489759"/>
      <w:bookmarkStart w:id="166" w:name="_Toc527642958"/>
      <w:r>
        <w:rPr>
          <w:rFonts w:hint="eastAsia" w:ascii="宋体" w:hAnsi="宋体" w:eastAsia="宋体" w:cs="宋体"/>
          <w:color w:val="000000" w:themeColor="text1"/>
          <w:sz w:val="28"/>
          <w:szCs w:val="28"/>
          <w:highlight w:val="none"/>
          <w14:textFill>
            <w14:solidFill>
              <w14:schemeClr w14:val="tx1"/>
            </w14:solidFill>
          </w14:textFill>
        </w:rPr>
        <w:t>G  磋商失败条件</w:t>
      </w:r>
      <w:bookmarkEnd w:id="165"/>
      <w:bookmarkEnd w:id="166"/>
    </w:p>
    <w:p w14:paraId="1C13F00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lang w:val="zh-CN"/>
          <w14:textFill>
            <w14:solidFill>
              <w14:schemeClr w14:val="tx1"/>
            </w14:solidFill>
          </w14:textFill>
        </w:rPr>
        <w:t>.出现影响招标公正的违法、违规行为的</w:t>
      </w:r>
      <w:r>
        <w:rPr>
          <w:rFonts w:hint="eastAsia" w:ascii="宋体" w:hAnsi="宋体" w:eastAsia="宋体" w:cs="宋体"/>
          <w:color w:val="000000" w:themeColor="text1"/>
          <w:sz w:val="24"/>
          <w:szCs w:val="24"/>
          <w:highlight w:val="none"/>
          <w:lang w:val="zh-CN" w:eastAsia="zh-CN"/>
          <w14:textFill>
            <w14:solidFill>
              <w14:schemeClr w14:val="tx1"/>
            </w14:solidFill>
          </w14:textFill>
        </w:rPr>
        <w:t>；</w:t>
      </w:r>
    </w:p>
    <w:p w14:paraId="1C1190C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lang w:val="zh-CN"/>
          <w14:textFill>
            <w14:solidFill>
              <w14:schemeClr w14:val="tx1"/>
            </w14:solidFill>
          </w14:textFill>
        </w:rPr>
        <w:t>.因重大变故，采购任务取消的</w:t>
      </w:r>
      <w:r>
        <w:rPr>
          <w:rFonts w:hint="eastAsia" w:ascii="宋体" w:hAnsi="宋体" w:eastAsia="宋体" w:cs="宋体"/>
          <w:color w:val="000000" w:themeColor="text1"/>
          <w:sz w:val="24"/>
          <w:szCs w:val="24"/>
          <w:highlight w:val="none"/>
          <w:lang w:val="zh-CN" w:eastAsia="zh-CN"/>
          <w14:textFill>
            <w14:solidFill>
              <w14:schemeClr w14:val="tx1"/>
            </w14:solidFill>
          </w14:textFill>
        </w:rPr>
        <w:t>；</w:t>
      </w:r>
    </w:p>
    <w:p w14:paraId="71E81CD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lang w:val="zh-CN"/>
          <w14:textFill>
            <w14:solidFill>
              <w14:schemeClr w14:val="tx1"/>
            </w14:solidFill>
          </w14:textFill>
        </w:rPr>
        <w:t>.磋商响应文件截止时间后，实际参与的</w:t>
      </w:r>
      <w:r>
        <w:rPr>
          <w:rFonts w:hint="eastAsia" w:ascii="宋体" w:hAnsi="宋体" w:eastAsia="宋体" w:cs="宋体"/>
          <w:color w:val="000000" w:themeColor="text1"/>
          <w:sz w:val="24"/>
          <w:szCs w:val="24"/>
          <w:highlight w:val="none"/>
          <w:lang w:val="zh-CN" w:eastAsia="zh-CN"/>
          <w14:textFill>
            <w14:solidFill>
              <w14:schemeClr w14:val="tx1"/>
            </w14:solidFill>
          </w14:textFill>
        </w:rPr>
        <w:t>投标单位</w:t>
      </w:r>
      <w:r>
        <w:rPr>
          <w:rFonts w:hint="eastAsia" w:ascii="宋体" w:hAnsi="宋体" w:eastAsia="宋体" w:cs="宋体"/>
          <w:color w:val="000000" w:themeColor="text1"/>
          <w:sz w:val="24"/>
          <w:szCs w:val="24"/>
          <w:highlight w:val="none"/>
          <w:lang w:val="zh-CN"/>
          <w14:textFill>
            <w14:solidFill>
              <w14:schemeClr w14:val="tx1"/>
            </w14:solidFill>
          </w14:textFill>
        </w:rPr>
        <w:t>不足法定家数的</w:t>
      </w:r>
      <w:r>
        <w:rPr>
          <w:rFonts w:hint="eastAsia" w:ascii="宋体" w:hAnsi="宋体" w:eastAsia="宋体" w:cs="宋体"/>
          <w:color w:val="000000" w:themeColor="text1"/>
          <w:sz w:val="24"/>
          <w:szCs w:val="24"/>
          <w:highlight w:val="none"/>
          <w:lang w:val="zh-CN" w:eastAsia="zh-CN"/>
          <w14:textFill>
            <w14:solidFill>
              <w14:schemeClr w14:val="tx1"/>
            </w14:solidFill>
          </w14:textFill>
        </w:rPr>
        <w:t>；</w:t>
      </w:r>
    </w:p>
    <w:p w14:paraId="2BB9487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lang w:val="zh-CN"/>
          <w14:textFill>
            <w14:solidFill>
              <w14:schemeClr w14:val="tx1"/>
            </w14:solidFill>
          </w14:textFill>
        </w:rPr>
        <w:t>.最终报价均超过采购预算的</w:t>
      </w:r>
      <w:r>
        <w:rPr>
          <w:rFonts w:hint="eastAsia" w:ascii="宋体" w:hAnsi="宋体" w:eastAsia="宋体" w:cs="宋体"/>
          <w:color w:val="000000" w:themeColor="text1"/>
          <w:sz w:val="24"/>
          <w:szCs w:val="24"/>
          <w:highlight w:val="none"/>
          <w:lang w:val="zh-CN" w:eastAsia="zh-CN"/>
          <w14:textFill>
            <w14:solidFill>
              <w14:schemeClr w14:val="tx1"/>
            </w14:solidFill>
          </w14:textFill>
        </w:rPr>
        <w:t>；</w:t>
      </w:r>
    </w:p>
    <w:p w14:paraId="03073077">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lang w:val="zh-CN"/>
          <w14:textFill>
            <w14:solidFill>
              <w14:schemeClr w14:val="tx1"/>
            </w14:solidFill>
          </w14:textFill>
        </w:rPr>
        <w:t>.对磋商文件作出实质性响应的</w:t>
      </w:r>
      <w:r>
        <w:rPr>
          <w:rFonts w:hint="eastAsia" w:ascii="宋体" w:hAnsi="宋体" w:eastAsia="宋体" w:cs="宋体"/>
          <w:color w:val="000000" w:themeColor="text1"/>
          <w:sz w:val="24"/>
          <w:szCs w:val="24"/>
          <w:highlight w:val="none"/>
          <w:lang w:val="zh-CN" w:eastAsia="zh-CN"/>
          <w14:textFill>
            <w14:solidFill>
              <w14:schemeClr w14:val="tx1"/>
            </w14:solidFill>
          </w14:textFill>
        </w:rPr>
        <w:t>投标单位</w:t>
      </w:r>
      <w:r>
        <w:rPr>
          <w:rFonts w:hint="eastAsia" w:ascii="宋体" w:hAnsi="宋体" w:eastAsia="宋体" w:cs="宋体"/>
          <w:color w:val="000000" w:themeColor="text1"/>
          <w:sz w:val="24"/>
          <w:szCs w:val="24"/>
          <w:highlight w:val="none"/>
          <w:lang w:val="zh-CN"/>
          <w14:textFill>
            <w14:solidFill>
              <w14:schemeClr w14:val="tx1"/>
            </w14:solidFill>
          </w14:textFill>
        </w:rPr>
        <w:t>不足法定家数的</w:t>
      </w:r>
      <w:r>
        <w:rPr>
          <w:rFonts w:hint="eastAsia" w:ascii="宋体" w:hAnsi="宋体" w:eastAsia="宋体" w:cs="宋体"/>
          <w:color w:val="000000" w:themeColor="text1"/>
          <w:sz w:val="24"/>
          <w:szCs w:val="24"/>
          <w:highlight w:val="none"/>
          <w:lang w:val="zh-CN" w:eastAsia="zh-CN"/>
          <w14:textFill>
            <w14:solidFill>
              <w14:schemeClr w14:val="tx1"/>
            </w14:solidFill>
          </w14:textFill>
        </w:rPr>
        <w:t>。</w:t>
      </w:r>
      <w:bookmarkEnd w:id="164"/>
      <w:bookmarkStart w:id="167" w:name="_Toc527642959"/>
      <w:bookmarkStart w:id="168" w:name="_Toc349637926"/>
      <w:bookmarkStart w:id="169" w:name="_Toc349573127"/>
      <w:bookmarkStart w:id="170" w:name="_Toc298240411"/>
      <w:bookmarkStart w:id="171" w:name="_Toc267301295"/>
    </w:p>
    <w:p w14:paraId="6A2AF187">
      <w:pPr>
        <w:bidi w:val="0"/>
        <w:rPr>
          <w:rFonts w:hint="eastAsia"/>
          <w:color w:val="000000" w:themeColor="text1"/>
          <w:highlight w:val="none"/>
          <w14:textFill>
            <w14:solidFill>
              <w14:schemeClr w14:val="tx1"/>
            </w14:solidFill>
          </w14:textFill>
        </w:rPr>
      </w:pPr>
    </w:p>
    <w:p w14:paraId="781EBC0D">
      <w:pPr>
        <w:pStyle w:val="3"/>
        <w:pageBreakBefore w:val="0"/>
        <w:numPr>
          <w:ilvl w:val="0"/>
          <w:numId w:val="0"/>
        </w:numPr>
        <w:kinsoku/>
        <w:overflowPunct/>
        <w:bidi w:val="0"/>
        <w:spacing w:line="480" w:lineRule="exact"/>
        <w:jc w:val="center"/>
        <w:textAlignment w:val="auto"/>
        <w:rPr>
          <w:rFonts w:hint="eastAsia" w:ascii="宋体" w:hAnsi="宋体" w:eastAsia="宋体" w:cs="宋体"/>
          <w:bCs/>
          <w:color w:val="000000" w:themeColor="text1"/>
          <w:sz w:val="32"/>
          <w:szCs w:val="32"/>
          <w:highlight w:val="none"/>
          <w14:textFill>
            <w14:solidFill>
              <w14:schemeClr w14:val="tx1"/>
            </w14:solidFill>
          </w14:textFill>
        </w:rPr>
      </w:pPr>
    </w:p>
    <w:p w14:paraId="2CC82117">
      <w:pPr>
        <w:pStyle w:val="3"/>
        <w:pageBreakBefore w:val="0"/>
        <w:numPr>
          <w:ilvl w:val="0"/>
          <w:numId w:val="0"/>
        </w:numPr>
        <w:kinsoku/>
        <w:overflowPunct/>
        <w:bidi w:val="0"/>
        <w:spacing w:line="480" w:lineRule="exact"/>
        <w:jc w:val="center"/>
        <w:textAlignment w:val="auto"/>
        <w:rPr>
          <w:rFonts w:hint="eastAsia" w:ascii="宋体" w:hAnsi="宋体" w:eastAsia="宋体" w:cs="宋体"/>
          <w:bCs/>
          <w:color w:val="000000" w:themeColor="text1"/>
          <w:sz w:val="32"/>
          <w:szCs w:val="32"/>
          <w:highlight w:val="none"/>
          <w14:textFill>
            <w14:solidFill>
              <w14:schemeClr w14:val="tx1"/>
            </w14:solidFill>
          </w14:textFill>
        </w:rPr>
      </w:pPr>
    </w:p>
    <w:p w14:paraId="52ED0778">
      <w:pPr>
        <w:pStyle w:val="3"/>
        <w:pageBreakBefore w:val="0"/>
        <w:numPr>
          <w:ilvl w:val="0"/>
          <w:numId w:val="0"/>
        </w:numPr>
        <w:kinsoku/>
        <w:overflowPunct/>
        <w:bidi w:val="0"/>
        <w:spacing w:line="480" w:lineRule="exact"/>
        <w:jc w:val="center"/>
        <w:textAlignment w:val="auto"/>
        <w:rPr>
          <w:rFonts w:hint="eastAsia" w:ascii="宋体" w:hAnsi="宋体" w:eastAsia="宋体" w:cs="宋体"/>
          <w:bCs/>
          <w:color w:val="000000" w:themeColor="text1"/>
          <w:sz w:val="32"/>
          <w:szCs w:val="32"/>
          <w:highlight w:val="none"/>
          <w14:textFill>
            <w14:solidFill>
              <w14:schemeClr w14:val="tx1"/>
            </w14:solidFill>
          </w14:textFill>
        </w:rPr>
      </w:pPr>
    </w:p>
    <w:p w14:paraId="1EE88AD7">
      <w:pPr>
        <w:pStyle w:val="3"/>
        <w:pageBreakBefore w:val="0"/>
        <w:numPr>
          <w:ilvl w:val="0"/>
          <w:numId w:val="0"/>
        </w:numPr>
        <w:kinsoku/>
        <w:overflowPunct/>
        <w:bidi w:val="0"/>
        <w:spacing w:line="480" w:lineRule="exact"/>
        <w:jc w:val="center"/>
        <w:textAlignment w:val="auto"/>
        <w:rPr>
          <w:rFonts w:hint="eastAsia" w:ascii="宋体" w:hAnsi="宋体" w:eastAsia="宋体" w:cs="宋体"/>
          <w:bCs/>
          <w:color w:val="000000" w:themeColor="text1"/>
          <w:sz w:val="32"/>
          <w:szCs w:val="32"/>
          <w:highlight w:val="none"/>
          <w14:textFill>
            <w14:solidFill>
              <w14:schemeClr w14:val="tx1"/>
            </w14:solidFill>
          </w14:textFill>
        </w:rPr>
      </w:pPr>
    </w:p>
    <w:p w14:paraId="0F7EDB59">
      <w:pPr>
        <w:rPr>
          <w:rFonts w:hint="eastAsia" w:ascii="宋体" w:hAnsi="宋体" w:eastAsia="宋体" w:cs="宋体"/>
          <w:bCs/>
          <w:color w:val="000000" w:themeColor="text1"/>
          <w:sz w:val="32"/>
          <w:szCs w:val="32"/>
          <w:highlight w:val="none"/>
          <w14:textFill>
            <w14:solidFill>
              <w14:schemeClr w14:val="tx1"/>
            </w14:solidFill>
          </w14:textFill>
        </w:rPr>
      </w:pPr>
      <w:r>
        <w:rPr>
          <w:rFonts w:hint="eastAsia" w:ascii="宋体" w:hAnsi="宋体" w:eastAsia="宋体" w:cs="宋体"/>
          <w:bCs/>
          <w:color w:val="000000" w:themeColor="text1"/>
          <w:sz w:val="32"/>
          <w:szCs w:val="32"/>
          <w:highlight w:val="none"/>
          <w14:textFill>
            <w14:solidFill>
              <w14:schemeClr w14:val="tx1"/>
            </w14:solidFill>
          </w14:textFill>
        </w:rPr>
        <w:br w:type="page"/>
      </w:r>
    </w:p>
    <w:p w14:paraId="213A1375">
      <w:pPr>
        <w:pStyle w:val="3"/>
        <w:pageBreakBefore w:val="0"/>
        <w:numPr>
          <w:ilvl w:val="0"/>
          <w:numId w:val="0"/>
        </w:numPr>
        <w:kinsoku/>
        <w:overflowPunct/>
        <w:bidi w:val="0"/>
        <w:spacing w:line="480" w:lineRule="exact"/>
        <w:jc w:val="center"/>
        <w:textAlignment w:val="auto"/>
        <w:rPr>
          <w:rFonts w:hint="eastAsia" w:ascii="宋体" w:hAnsi="宋体" w:eastAsia="宋体" w:cs="宋体"/>
          <w:bCs/>
          <w:color w:val="000000" w:themeColor="text1"/>
          <w:sz w:val="32"/>
          <w:szCs w:val="32"/>
          <w:highlight w:val="none"/>
          <w14:textFill>
            <w14:solidFill>
              <w14:schemeClr w14:val="tx1"/>
            </w14:solidFill>
          </w14:textFill>
        </w:rPr>
      </w:pPr>
      <w:r>
        <w:rPr>
          <w:rFonts w:hint="eastAsia" w:ascii="宋体" w:hAnsi="宋体" w:eastAsia="宋体" w:cs="宋体"/>
          <w:bCs/>
          <w:color w:val="000000" w:themeColor="text1"/>
          <w:sz w:val="32"/>
          <w:szCs w:val="32"/>
          <w:highlight w:val="none"/>
          <w14:textFill>
            <w14:solidFill>
              <w14:schemeClr w14:val="tx1"/>
            </w14:solidFill>
          </w14:textFill>
        </w:rPr>
        <w:t>第三部分  技术要求</w:t>
      </w:r>
      <w:bookmarkEnd w:id="167"/>
      <w:bookmarkEnd w:id="168"/>
      <w:bookmarkEnd w:id="169"/>
      <w:bookmarkEnd w:id="170"/>
    </w:p>
    <w:p w14:paraId="77CCF10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7B6ED639">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一、项目名称：见投标单位须知附表</w:t>
      </w:r>
    </w:p>
    <w:p w14:paraId="61B89610">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二、招标编号：见投标单位须知附表</w:t>
      </w:r>
    </w:p>
    <w:p w14:paraId="056512B2">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三、最高投标限价：见投标单位须知附表</w:t>
      </w:r>
    </w:p>
    <w:p w14:paraId="6E20BC20">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四、质量要求：见投标单位须知附表</w:t>
      </w:r>
    </w:p>
    <w:p w14:paraId="767A7D62">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五、工期：见投标单位须知附表</w:t>
      </w:r>
    </w:p>
    <w:p w14:paraId="53924096">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招标范围：本工程范围内的磋商文件及工程量清单，磋商文件补充范围内的全部施工内容（包括招标答疑等内容）。</w:t>
      </w:r>
    </w:p>
    <w:p w14:paraId="6F585C2B">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六、 技术要求内容：(详见工程量清单)</w:t>
      </w:r>
    </w:p>
    <w:p w14:paraId="666C2AD1">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172" w:name="_Toc349637935"/>
      <w:bookmarkStart w:id="173" w:name="_Toc349573136"/>
      <w:r>
        <w:rPr>
          <w:rFonts w:hint="eastAsia" w:ascii="宋体" w:hAnsi="宋体" w:eastAsia="宋体" w:cs="宋体"/>
          <w:color w:val="000000" w:themeColor="text1"/>
          <w:sz w:val="24"/>
          <w:szCs w:val="24"/>
          <w:highlight w:val="none"/>
          <w:lang w:val="en-US" w:eastAsia="zh-CN"/>
          <w14:textFill>
            <w14:solidFill>
              <w14:schemeClr w14:val="tx1"/>
            </w14:solidFill>
          </w14:textFill>
        </w:rPr>
        <w:t>1、本工程完成必须符合国家和地方现行相关质量评定标准和施工技术规范、施工图设计要求。</w:t>
      </w:r>
    </w:p>
    <w:p w14:paraId="740A7C70">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2、本工程的材料检验和质量、工艺试验按国家、地方现行相关规定执行。</w:t>
      </w:r>
    </w:p>
    <w:p w14:paraId="6225DE0B">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备注：若招标文件中附表表格格式与工程量清单中表格格式不一致的，以工程量清单表格格式为主。</w:t>
      </w:r>
    </w:p>
    <w:bookmarkEnd w:id="171"/>
    <w:bookmarkEnd w:id="172"/>
    <w:bookmarkEnd w:id="173"/>
    <w:p w14:paraId="58F66563">
      <w:pPr>
        <w:pStyle w:val="3"/>
        <w:pageBreakBefore w:val="0"/>
        <w:numPr>
          <w:ilvl w:val="0"/>
          <w:numId w:val="0"/>
        </w:numPr>
        <w:kinsoku/>
        <w:overflowPunct/>
        <w:bidi w:val="0"/>
        <w:spacing w:line="480" w:lineRule="exact"/>
        <w:jc w:val="center"/>
        <w:textAlignment w:val="auto"/>
        <w:rPr>
          <w:rFonts w:hint="eastAsia" w:ascii="宋体" w:hAnsi="宋体" w:eastAsia="宋体" w:cs="宋体"/>
          <w:color w:val="000000" w:themeColor="text1"/>
          <w:sz w:val="32"/>
          <w:szCs w:val="32"/>
          <w:highlight w:val="none"/>
          <w14:textFill>
            <w14:solidFill>
              <w14:schemeClr w14:val="tx1"/>
            </w14:solidFill>
          </w14:textFill>
        </w:rPr>
      </w:pPr>
      <w:bookmarkStart w:id="174" w:name="_Toc351203633"/>
    </w:p>
    <w:p w14:paraId="5750B0E2">
      <w:pPr>
        <w:pStyle w:val="3"/>
        <w:pageBreakBefore w:val="0"/>
        <w:numPr>
          <w:ilvl w:val="0"/>
          <w:numId w:val="0"/>
        </w:numPr>
        <w:kinsoku/>
        <w:overflowPunct/>
        <w:bidi w:val="0"/>
        <w:spacing w:line="480" w:lineRule="exact"/>
        <w:jc w:val="center"/>
        <w:textAlignment w:val="auto"/>
        <w:rPr>
          <w:rFonts w:hint="eastAsia" w:ascii="宋体" w:hAnsi="宋体" w:eastAsia="宋体" w:cs="宋体"/>
          <w:color w:val="000000" w:themeColor="text1"/>
          <w:sz w:val="32"/>
          <w:szCs w:val="32"/>
          <w:highlight w:val="none"/>
          <w14:textFill>
            <w14:solidFill>
              <w14:schemeClr w14:val="tx1"/>
            </w14:solidFill>
          </w14:textFill>
        </w:rPr>
      </w:pPr>
    </w:p>
    <w:p w14:paraId="7D70C0CC">
      <w:pPr>
        <w:pStyle w:val="3"/>
        <w:pageBreakBefore w:val="0"/>
        <w:numPr>
          <w:ilvl w:val="0"/>
          <w:numId w:val="0"/>
        </w:numPr>
        <w:kinsoku/>
        <w:overflowPunct/>
        <w:bidi w:val="0"/>
        <w:spacing w:line="480" w:lineRule="exact"/>
        <w:jc w:val="center"/>
        <w:textAlignment w:val="auto"/>
        <w:rPr>
          <w:rFonts w:hint="eastAsia" w:ascii="宋体" w:hAnsi="宋体" w:eastAsia="宋体" w:cs="宋体"/>
          <w:color w:val="000000" w:themeColor="text1"/>
          <w:sz w:val="32"/>
          <w:szCs w:val="32"/>
          <w:highlight w:val="none"/>
          <w14:textFill>
            <w14:solidFill>
              <w14:schemeClr w14:val="tx1"/>
            </w14:solidFill>
          </w14:textFill>
        </w:rPr>
      </w:pPr>
    </w:p>
    <w:p w14:paraId="0F8B38CB">
      <w:pPr>
        <w:pStyle w:val="3"/>
        <w:pageBreakBefore w:val="0"/>
        <w:numPr>
          <w:ilvl w:val="0"/>
          <w:numId w:val="0"/>
        </w:numPr>
        <w:kinsoku/>
        <w:overflowPunct/>
        <w:bidi w:val="0"/>
        <w:spacing w:line="480" w:lineRule="exact"/>
        <w:jc w:val="center"/>
        <w:textAlignment w:val="auto"/>
        <w:rPr>
          <w:rFonts w:hint="eastAsia" w:ascii="宋体" w:hAnsi="宋体" w:eastAsia="宋体" w:cs="宋体"/>
          <w:color w:val="000000" w:themeColor="text1"/>
          <w:sz w:val="32"/>
          <w:szCs w:val="32"/>
          <w:highlight w:val="none"/>
          <w14:textFill>
            <w14:solidFill>
              <w14:schemeClr w14:val="tx1"/>
            </w14:solidFill>
          </w14:textFill>
        </w:rPr>
      </w:pPr>
    </w:p>
    <w:p w14:paraId="0EDFAA37">
      <w:pPr>
        <w:rPr>
          <w:rFonts w:hint="eastAsia"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sz w:val="32"/>
          <w:szCs w:val="32"/>
          <w:highlight w:val="none"/>
          <w14:textFill>
            <w14:solidFill>
              <w14:schemeClr w14:val="tx1"/>
            </w14:solidFill>
          </w14:textFill>
        </w:rPr>
        <w:br w:type="page"/>
      </w:r>
    </w:p>
    <w:p w14:paraId="2A164850">
      <w:pPr>
        <w:pStyle w:val="3"/>
        <w:pageBreakBefore w:val="0"/>
        <w:numPr>
          <w:ilvl w:val="0"/>
          <w:numId w:val="0"/>
        </w:numPr>
        <w:kinsoku/>
        <w:overflowPunct/>
        <w:bidi w:val="0"/>
        <w:spacing w:line="480" w:lineRule="exact"/>
        <w:jc w:val="center"/>
        <w:textAlignment w:val="auto"/>
        <w:rPr>
          <w:rFonts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sz w:val="32"/>
          <w:szCs w:val="32"/>
          <w:highlight w:val="none"/>
          <w14:textFill>
            <w14:solidFill>
              <w14:schemeClr w14:val="tx1"/>
            </w14:solidFill>
          </w14:textFill>
        </w:rPr>
        <w:t xml:space="preserve">第四部分   </w:t>
      </w:r>
      <w:r>
        <w:rPr>
          <w:rFonts w:hint="eastAsia" w:ascii="宋体" w:hAnsi="宋体" w:eastAsia="宋体" w:cs="宋体"/>
          <w:bCs/>
          <w:color w:val="000000" w:themeColor="text1"/>
          <w:sz w:val="32"/>
          <w:szCs w:val="32"/>
          <w:highlight w:val="none"/>
          <w14:textFill>
            <w14:solidFill>
              <w14:schemeClr w14:val="tx1"/>
            </w14:solidFill>
          </w14:textFill>
        </w:rPr>
        <w:t>合同条款及格式</w:t>
      </w:r>
    </w:p>
    <w:p w14:paraId="0B74373A">
      <w:pPr>
        <w:pageBreakBefore w:val="0"/>
        <w:kinsoku/>
        <w:wordWrap/>
        <w:overflowPunct/>
        <w:autoSpaceDE/>
        <w:autoSpaceDN/>
        <w:bidi w:val="0"/>
        <w:adjustRightInd/>
        <w:snapToGrid/>
        <w:spacing w:line="480" w:lineRule="exact"/>
        <w:jc w:val="center"/>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合同通用条款</w:t>
      </w:r>
    </w:p>
    <w:p w14:paraId="71FA75E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 本工程通用条款采用建设工程施工合同示范文本（GF-2017-0201）中的通用条款。</w:t>
      </w:r>
    </w:p>
    <w:p w14:paraId="2ABE9C2E">
      <w:pPr>
        <w:pageBreakBefore w:val="0"/>
        <w:kinsoku/>
        <w:wordWrap/>
        <w:overflowPunct/>
        <w:autoSpaceDE/>
        <w:autoSpaceDN/>
        <w:bidi w:val="0"/>
        <w:adjustRightInd/>
        <w:snapToGrid/>
        <w:spacing w:line="480" w:lineRule="exact"/>
        <w:jc w:val="center"/>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合同专用条款（具体以签订的合同为准）</w:t>
      </w:r>
    </w:p>
    <w:p w14:paraId="2F9113D5">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w:t>
      </w:r>
      <w:bookmarkStart w:id="175" w:name="_Toc296347155"/>
      <w:bookmarkStart w:id="176" w:name="_Toc296890984"/>
      <w:bookmarkStart w:id="177" w:name="_Toc297120456"/>
      <w:bookmarkStart w:id="178" w:name="_Toc296944495"/>
      <w:bookmarkStart w:id="179" w:name="_Toc292559866"/>
      <w:bookmarkStart w:id="180" w:name="_Toc296503156"/>
      <w:bookmarkStart w:id="181" w:name="_Toc296346657"/>
      <w:bookmarkStart w:id="182" w:name="_Toc292559361"/>
      <w:bookmarkStart w:id="183" w:name="_Toc297048342"/>
      <w:bookmarkStart w:id="184" w:name="_Toc296891196"/>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一般约定</w:t>
      </w:r>
      <w:bookmarkEnd w:id="174"/>
    </w:p>
    <w:bookmarkEnd w:id="175"/>
    <w:bookmarkEnd w:id="176"/>
    <w:bookmarkEnd w:id="177"/>
    <w:bookmarkEnd w:id="178"/>
    <w:bookmarkEnd w:id="179"/>
    <w:bookmarkEnd w:id="180"/>
    <w:bookmarkEnd w:id="181"/>
    <w:bookmarkEnd w:id="182"/>
    <w:bookmarkEnd w:id="183"/>
    <w:bookmarkEnd w:id="184"/>
    <w:p w14:paraId="60264C3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 词语定义</w:t>
      </w:r>
    </w:p>
    <w:p w14:paraId="2E83215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1.1.1合同</w:t>
      </w:r>
    </w:p>
    <w:p w14:paraId="7E5FC72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1.1.1 其他合同文件包括：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其它有关本工程的洽商、变更等书面协议</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7D118F2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1.1.2 合同当事人及其他相关方</w:t>
      </w:r>
    </w:p>
    <w:p w14:paraId="1AB746B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1.1.2.4监理人：</w:t>
      </w:r>
    </w:p>
    <w:p w14:paraId="7030FF9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名    称：</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03085E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资质类别和等级：</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FC1BBC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联系电话：</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6B5763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电子信箱：</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1B8C62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通信地址：</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BB00B2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1.1.2.5 设计人：</w:t>
      </w:r>
    </w:p>
    <w:p w14:paraId="74DCEE0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名    称：</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07877D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资质类别和等级：</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546C7C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联系电话：</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27F8E2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电子信箱：</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2AD280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通信地址：</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30D2EA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1.1.3 工程和设备</w:t>
      </w:r>
    </w:p>
    <w:p w14:paraId="4AAECBF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1.1.3.7 作为施工现场组成部分的其他场所包括：              </w:t>
      </w:r>
    </w:p>
    <w:p w14:paraId="517A9E3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1.1.3.9 永久占地包括：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2C6864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1.1.3.10 临时占地包括：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F75C10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1.3法律 </w:t>
      </w:r>
    </w:p>
    <w:p w14:paraId="5743356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适用于合同的其他规范性文件：</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62EE515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 标准和规范</w:t>
      </w:r>
    </w:p>
    <w:p w14:paraId="7AD97AF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1.4.1适用于工程的标准规范包括：本工程项目的施工、材料及设备招标必须达到现行中华人民共和国及省、自治区、直辖市或行业的工程建设标准、规范的要求，如下述标准及规范有新出版者，以新出版者为准。</w:t>
      </w:r>
    </w:p>
    <w:p w14:paraId="384F4DD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1.4.2 发包人提供国外标准、规范的名称：</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p>
    <w:p w14:paraId="4318FDB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发包人提供国外标准、规范的份数：</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97990D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发包人提供国外标准、规范的名称：</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96F237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1.4.3发包人对工程的技术标准和功能要求的特殊要求：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p>
    <w:p w14:paraId="7191CE3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1.5 合同文件的优先顺序</w:t>
      </w:r>
    </w:p>
    <w:p w14:paraId="2C4DA8A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合同文件组成及优先顺序为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：1、本合同协议书；2、中标通知书；3、商务标及其商务标附录；4、专用条款及其附件；5、通用合同条款；6、技术标准和要求；7、图纸 8、已标价的工程量清单；9、其他合同文件</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140A31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 图纸和承包人文件</w:t>
      </w:r>
      <w:r>
        <w:rPr>
          <w:rFonts w:hint="eastAsia" w:ascii="宋体" w:hAnsi="宋体" w:eastAsia="宋体" w:cs="宋体"/>
          <w:color w:val="000000" w:themeColor="text1"/>
          <w:sz w:val="24"/>
          <w:szCs w:val="24"/>
          <w:highlight w:val="none"/>
          <w:lang w:val="en-US" w:eastAsia="zh-CN"/>
          <w14:textFill>
            <w14:solidFill>
              <w14:schemeClr w14:val="tx1"/>
            </w14:solidFill>
          </w14:textFill>
        </w:rPr>
        <w:tab/>
      </w:r>
    </w:p>
    <w:p w14:paraId="11996A4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1.6.1 图纸的提供</w:t>
      </w:r>
    </w:p>
    <w:p w14:paraId="3C24734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发包人向承包人提供图纸的期限：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0EFAE15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发包人向承包人提供图纸的数量： / ；</w:t>
      </w:r>
    </w:p>
    <w:p w14:paraId="7888972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发包人向承包人提供图纸的内容：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C9281E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1.6.4 承包人文件</w:t>
      </w:r>
    </w:p>
    <w:p w14:paraId="7491543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需要由承包人提供的文件，包括：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AAA708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承包人提供的文件的期限为：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4C807C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承包人提供的文件的数量为：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10F9D5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承包人提供的文件的形式为：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366AA7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发包人审批承包人文件的期限：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8B3F9D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1.6.5 现场图纸准备</w:t>
      </w:r>
    </w:p>
    <w:p w14:paraId="434254A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关于现场图纸准备的约定：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D517DB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1.7 联络</w:t>
      </w:r>
    </w:p>
    <w:p w14:paraId="7957865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1.7.1发包人和承包人应当在</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天内将与合同有关的通知、批准、证明、证书、指示、指令、要求、请求、同意、意见、确定和决定等书面函件送达对方当事人。</w:t>
      </w:r>
    </w:p>
    <w:p w14:paraId="22EEA83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1.7.2 发包人接收文件的地点：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913FD8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发包人指定的接收人为：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8D9EB4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承包人接收文件的地点：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C80065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承包人指定的接收人为：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4F0DA9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监理人接收文件的地点：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02FFD7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监理人指定的接收人为：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034485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1.10 交通运输</w:t>
      </w:r>
    </w:p>
    <w:p w14:paraId="3CE241C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bookmarkStart w:id="185" w:name="_Toc303539100"/>
      <w:bookmarkStart w:id="186" w:name="_Toc304295521"/>
      <w:bookmarkStart w:id="187" w:name="_Toc318581155"/>
      <w:bookmarkStart w:id="188" w:name="_Toc300934943"/>
      <w:bookmarkStart w:id="189" w:name="_Toc312677986"/>
      <w:r>
        <w:rPr>
          <w:rFonts w:hint="eastAsia" w:ascii="宋体" w:hAnsi="宋体" w:eastAsia="宋体" w:cs="宋体"/>
          <w:color w:val="000000" w:themeColor="text1"/>
          <w:sz w:val="24"/>
          <w:szCs w:val="24"/>
          <w:highlight w:val="none"/>
          <w:lang w:val="en-US" w:eastAsia="zh-CN"/>
          <w14:textFill>
            <w14:solidFill>
              <w14:schemeClr w14:val="tx1"/>
            </w14:solidFill>
          </w14:textFill>
        </w:rPr>
        <w:t>.10.1 出入现场的权利</w:t>
      </w:r>
    </w:p>
    <w:p w14:paraId="640C4E0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关于出入现场的权利的约定：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185"/>
    <w:bookmarkEnd w:id="186"/>
    <w:bookmarkEnd w:id="187"/>
    <w:bookmarkEnd w:id="188"/>
    <w:bookmarkEnd w:id="189"/>
    <w:p w14:paraId="4B960E7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bookmarkStart w:id="190" w:name="_Toc300934944"/>
      <w:bookmarkStart w:id="191" w:name="_Toc312677987"/>
      <w:bookmarkStart w:id="192" w:name="_Toc318581156"/>
      <w:bookmarkStart w:id="193" w:name="_Toc303539101"/>
      <w:bookmarkStart w:id="194" w:name="_Toc304295522"/>
      <w:r>
        <w:rPr>
          <w:rFonts w:hint="eastAsia" w:ascii="宋体" w:hAnsi="宋体" w:eastAsia="宋体" w:cs="宋体"/>
          <w:color w:val="000000" w:themeColor="text1"/>
          <w:sz w:val="24"/>
          <w:szCs w:val="24"/>
          <w:highlight w:val="none"/>
          <w:lang w:val="en-US" w:eastAsia="zh-CN"/>
          <w14:textFill>
            <w14:solidFill>
              <w14:schemeClr w14:val="tx1"/>
            </w14:solidFill>
          </w14:textFill>
        </w:rPr>
        <w:t>.10.3 场内交通</w:t>
      </w:r>
    </w:p>
    <w:p w14:paraId="56A4698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关于场外交通和场内交通的边界的约定：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693E98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关于发包人向承包人免费提供满足工程施工需要的场内道路和交通设施的约定：</w:t>
      </w:r>
      <w:bookmarkEnd w:id="190"/>
      <w:bookmarkEnd w:id="191"/>
      <w:bookmarkEnd w:id="192"/>
      <w:bookmarkEnd w:id="193"/>
      <w:bookmarkEnd w:id="194"/>
      <w:bookmarkStart w:id="195" w:name="_Toc318581157"/>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50497B8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1.10.4超大件和超重件的运输</w:t>
      </w:r>
    </w:p>
    <w:p w14:paraId="4989897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运输超大件或超重件所需的道路和桥梁临时加固改造费用和其他有关费用由</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承担。</w:t>
      </w:r>
    </w:p>
    <w:bookmarkEnd w:id="195"/>
    <w:p w14:paraId="7AD778D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1.11 知识产权</w:t>
      </w:r>
    </w:p>
    <w:p w14:paraId="1C123E3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1.11.1关于发包人提供给承包人的图纸、发包人为实施工程自行编制或委托编制的技术规范以及反映发包人关于合同要求或其他类似性质的文件的著作权的归属：</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E41E1C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关于发包人提供的上述文件的使用限制的要求：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DADACF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1.11.2 关于承包人为实施工程所编制文件的著作权的归属：</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A63DFA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1.11.3关于承包人提供的上述文件的使用限制的要求：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33AC2D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1.11.4 承包人在施工过程中所采用的专利、专有技术、技术秘密的使用费的承担方式</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766B53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1.13工程量清单错误的修正</w:t>
      </w:r>
    </w:p>
    <w:p w14:paraId="3AE3DCA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出现工程量清单错误时，是否调整合同价格</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9AD883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允许调整合同价格的工程量偏差范围：</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01A0C150">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u w:val="none"/>
          <w:lang w:val="en-US" w:eastAsia="zh-CN"/>
          <w14:textFill>
            <w14:solidFill>
              <w14:schemeClr w14:val="tx1"/>
            </w14:solidFill>
          </w14:textFill>
        </w:rPr>
      </w:pPr>
      <w:bookmarkStart w:id="196" w:name="_Toc351203634"/>
      <w:r>
        <w:rPr>
          <w:rFonts w:hint="eastAsia" w:ascii="宋体" w:hAnsi="宋体" w:eastAsia="宋体" w:cs="宋体"/>
          <w:b/>
          <w:bCs/>
          <w:color w:val="000000" w:themeColor="text1"/>
          <w:sz w:val="24"/>
          <w:szCs w:val="24"/>
          <w:highlight w:val="none"/>
          <w:u w:val="none"/>
          <w:lang w:val="en-US" w:eastAsia="zh-CN"/>
          <w14:textFill>
            <w14:solidFill>
              <w14:schemeClr w14:val="tx1"/>
            </w14:solidFill>
          </w14:textFill>
        </w:rPr>
        <w:t>2</w:t>
      </w:r>
      <w:bookmarkStart w:id="197" w:name="_Toc296346658"/>
      <w:bookmarkStart w:id="198" w:name="_Toc296503157"/>
      <w:bookmarkStart w:id="199" w:name="_Toc296347156"/>
      <w:bookmarkStart w:id="200" w:name="_Toc296891197"/>
      <w:bookmarkStart w:id="201" w:name="_Toc297048343"/>
      <w:bookmarkStart w:id="202" w:name="_Toc292559362"/>
      <w:bookmarkStart w:id="203" w:name="_Toc297120457"/>
      <w:bookmarkStart w:id="204" w:name="_Toc296890985"/>
      <w:bookmarkStart w:id="205" w:name="_Toc292559867"/>
      <w:bookmarkStart w:id="206" w:name="_Toc296944496"/>
      <w:r>
        <w:rPr>
          <w:rFonts w:hint="eastAsia" w:ascii="宋体" w:hAnsi="宋体" w:eastAsia="宋体" w:cs="宋体"/>
          <w:b/>
          <w:bCs/>
          <w:color w:val="000000" w:themeColor="text1"/>
          <w:sz w:val="24"/>
          <w:szCs w:val="24"/>
          <w:highlight w:val="none"/>
          <w:u w:val="none"/>
          <w:lang w:val="en-US" w:eastAsia="zh-CN"/>
          <w14:textFill>
            <w14:solidFill>
              <w14:schemeClr w14:val="tx1"/>
            </w14:solidFill>
          </w14:textFill>
        </w:rPr>
        <w:t>. 发包人</w:t>
      </w:r>
      <w:bookmarkEnd w:id="196"/>
    </w:p>
    <w:bookmarkEnd w:id="197"/>
    <w:bookmarkEnd w:id="198"/>
    <w:bookmarkEnd w:id="199"/>
    <w:bookmarkEnd w:id="200"/>
    <w:bookmarkEnd w:id="201"/>
    <w:bookmarkEnd w:id="202"/>
    <w:bookmarkEnd w:id="203"/>
    <w:bookmarkEnd w:id="204"/>
    <w:bookmarkEnd w:id="205"/>
    <w:bookmarkEnd w:id="206"/>
    <w:p w14:paraId="302223B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2.2 发包人代表</w:t>
      </w:r>
    </w:p>
    <w:p w14:paraId="61A2F7D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发包人代表：</w:t>
      </w:r>
    </w:p>
    <w:p w14:paraId="4B19AAF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姓    名：</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BD9E33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身份证号：</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640AC3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职    务：</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349F1F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联系电话：</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80AAAA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电子信箱：</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10D458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通信地址：</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8A0E0C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发包人对发包人代表的授权范围如下：</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1、协调各有关单位工作；2、工程进度与工程量的确认；3、督促并控制好工程进度、质量、投资</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49F764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2.4 施工现场、施工条件和基础资料的提供</w:t>
      </w:r>
    </w:p>
    <w:p w14:paraId="30378F3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2.4.1 提供施工现场</w:t>
      </w:r>
    </w:p>
    <w:p w14:paraId="16E6C03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关于发包人移交施工现场的期限要求：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开工前</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66A482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2.4.2 提供施工条件</w:t>
      </w:r>
    </w:p>
    <w:p w14:paraId="7CFE02B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关于发包人应负责提供施工所需要的条件，包括：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89284F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2.5 资金来源证明及支付担保</w:t>
      </w:r>
    </w:p>
    <w:p w14:paraId="427163F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发包人提供资金来源证明的期限要求：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082DC9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发包人是否提供支付担保：</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685AD24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发包人提供支付担保的形式：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2DC6B79">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207" w:name="_Toc351203635"/>
      <w:r>
        <w:rPr>
          <w:rFonts w:hint="eastAsia" w:ascii="宋体" w:hAnsi="宋体" w:eastAsia="宋体" w:cs="宋体"/>
          <w:b/>
          <w:bCs/>
          <w:color w:val="000000" w:themeColor="text1"/>
          <w:sz w:val="24"/>
          <w:szCs w:val="24"/>
          <w:highlight w:val="none"/>
          <w:lang w:val="en-US" w:eastAsia="zh-CN"/>
          <w14:textFill>
            <w14:solidFill>
              <w14:schemeClr w14:val="tx1"/>
            </w14:solidFill>
          </w14:textFill>
        </w:rPr>
        <w:t>3</w:t>
      </w:r>
      <w:bookmarkStart w:id="208" w:name="_Toc297048344"/>
      <w:bookmarkStart w:id="209" w:name="_Toc292559363"/>
      <w:bookmarkStart w:id="210" w:name="_Toc296347157"/>
      <w:bookmarkStart w:id="211" w:name="_Toc292559868"/>
      <w:bookmarkStart w:id="212" w:name="_Toc296944497"/>
      <w:bookmarkStart w:id="213" w:name="_Toc297120458"/>
      <w:bookmarkStart w:id="214" w:name="_Toc296890986"/>
      <w:bookmarkStart w:id="215" w:name="_Toc296346659"/>
      <w:bookmarkStart w:id="216" w:name="_Toc296503158"/>
      <w:bookmarkStart w:id="217" w:name="_Toc296891198"/>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承包人</w:t>
      </w:r>
      <w:bookmarkEnd w:id="207"/>
    </w:p>
    <w:bookmarkEnd w:id="208"/>
    <w:bookmarkEnd w:id="209"/>
    <w:bookmarkEnd w:id="210"/>
    <w:bookmarkEnd w:id="211"/>
    <w:bookmarkEnd w:id="212"/>
    <w:bookmarkEnd w:id="213"/>
    <w:bookmarkEnd w:id="214"/>
    <w:bookmarkEnd w:id="215"/>
    <w:bookmarkEnd w:id="216"/>
    <w:bookmarkEnd w:id="217"/>
    <w:p w14:paraId="44E718F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3.1 承包人的一般义务</w:t>
      </w:r>
    </w:p>
    <w:p w14:paraId="39B7784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（9）承包人提交的竣工资料的内容：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46728A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承包人需要提交的竣工资料套数：</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E57C30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承包人提交的竣工资料的费用承担：</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51B7BAA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承包人提交的竣工资料移交时间：</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B556DB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承包人提交的竣工资料形式要求：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8706F6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（10）承包人应履行的其他义务：</w:t>
      </w:r>
    </w:p>
    <w:p w14:paraId="7009201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1）承包人在施工时，必须全面协调好与周边环境关系，施工时承包人因自身原因未处理好周边环境关系而导致工程停工，发包人将不承担由此引起的工期延误及其他工程费用损失</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EE242C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3.2 项目经理</w:t>
      </w:r>
    </w:p>
    <w:p w14:paraId="6B00FEE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3.2.1 项目经理：</w:t>
      </w:r>
    </w:p>
    <w:p w14:paraId="6334EE6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姓    名：</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3A8B074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身份证号：</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F92A99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执业资格等级：</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5B5E6E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注册证书号：</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8CA912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执业印章号：</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078EC0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安全生产考核合格证书号：</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AE4F5A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联系电话：</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7B8010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电子信箱：</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FB9443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通信地址：</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76004B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承包人对项目经理的授权范围如下：</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26D88B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关于项目经理每月在施工现场的时间要求：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083863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承包人未提交劳动合同，以及没有为项目经理缴纳社会保险证明的违约责任：       </w:t>
      </w:r>
    </w:p>
    <w:p w14:paraId="27B0A49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项目经理未经批准，擅自离开施工现场的违约责任：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946C8D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3.2.3 承包人擅自更换项目经理的违约责任：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8B3FA9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3.2.4 承包人无正当理由拒绝更换项目经理的违约责任：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FF948E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3.3 承包人人员</w:t>
      </w:r>
    </w:p>
    <w:p w14:paraId="592F88A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3.3.1 承包人提交项目管理机构及施工现场管理人员安排报告的期限：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299E6D3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3.3.3 承包人无正当理由拒绝撤换主要施工管理人员的违约责任：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C244D7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3.3.4 承包人主要施工管理人员离开施工现场的批准要求：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2C641E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3.3.5承包人擅自更换主要施工管理人员的违约责任：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5400A6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承包人主要施工管理人员擅自离开施工现场的违约责任：1）</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项目管理班子人员在施工现场时间必须与响应文件的承诺相一致，如未经工程师书面同意达不到承诺要求的：</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C7326B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bookmarkStart w:id="218" w:name="_Toc297216151"/>
      <w:bookmarkStart w:id="219" w:name="_Toc304295523"/>
      <w:bookmarkStart w:id="220" w:name="_Toc300934945"/>
      <w:bookmarkStart w:id="221" w:name="_Toc292559869"/>
      <w:bookmarkStart w:id="222" w:name="_Toc296944498"/>
      <w:bookmarkStart w:id="223" w:name="_Toc296503159"/>
      <w:bookmarkStart w:id="224" w:name="_Toc296347158"/>
      <w:bookmarkStart w:id="225" w:name="_Toc296890987"/>
      <w:bookmarkStart w:id="226" w:name="_Toc297048345"/>
      <w:bookmarkStart w:id="227" w:name="_Toc297123492"/>
      <w:bookmarkStart w:id="228" w:name="_Toc312677988"/>
      <w:bookmarkStart w:id="229" w:name="_Toc292559364"/>
      <w:bookmarkStart w:id="230" w:name="_Toc297120459"/>
      <w:bookmarkStart w:id="231" w:name="_Toc296346660"/>
      <w:bookmarkStart w:id="232" w:name="_Toc303539102"/>
      <w:bookmarkStart w:id="233" w:name="_Toc296891199"/>
      <w:r>
        <w:rPr>
          <w:rFonts w:hint="eastAsia" w:ascii="宋体" w:hAnsi="宋体" w:eastAsia="宋体" w:cs="宋体"/>
          <w:color w:val="000000" w:themeColor="text1"/>
          <w:sz w:val="24"/>
          <w:szCs w:val="24"/>
          <w:highlight w:val="none"/>
          <w:lang w:val="en-US" w:eastAsia="zh-CN"/>
          <w14:textFill>
            <w14:solidFill>
              <w14:schemeClr w14:val="tx1"/>
            </w14:solidFill>
          </w14:textFill>
        </w:rPr>
        <w:t>.5 分包</w:t>
      </w:r>
    </w:p>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p w14:paraId="36B1989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bookmarkStart w:id="234" w:name="_Toc292559870"/>
      <w:bookmarkStart w:id="235" w:name="_Toc296944499"/>
      <w:bookmarkStart w:id="236" w:name="_Toc296503160"/>
      <w:bookmarkStart w:id="237" w:name="_Toc292559365"/>
      <w:bookmarkStart w:id="238" w:name="_Toc303539103"/>
      <w:bookmarkStart w:id="239" w:name="_Toc296347159"/>
      <w:bookmarkStart w:id="240" w:name="_Toc297120460"/>
      <w:bookmarkStart w:id="241" w:name="_Toc297123493"/>
      <w:bookmarkStart w:id="242" w:name="_Toc304295524"/>
      <w:bookmarkStart w:id="243" w:name="_Toc300934946"/>
      <w:bookmarkStart w:id="244" w:name="_Toc297048346"/>
      <w:bookmarkStart w:id="245" w:name="_Toc297216152"/>
      <w:bookmarkStart w:id="246" w:name="_Toc296346661"/>
      <w:bookmarkStart w:id="247" w:name="_Toc296891200"/>
      <w:bookmarkStart w:id="248" w:name="_Toc296890988"/>
      <w:bookmarkStart w:id="249" w:name="_Toc318581158"/>
      <w:bookmarkStart w:id="250" w:name="_Toc312677989"/>
      <w:r>
        <w:rPr>
          <w:rFonts w:hint="eastAsia" w:ascii="宋体" w:hAnsi="宋体" w:eastAsia="宋体" w:cs="宋体"/>
          <w:color w:val="000000" w:themeColor="text1"/>
          <w:sz w:val="24"/>
          <w:szCs w:val="24"/>
          <w:highlight w:val="none"/>
          <w:lang w:val="en-US" w:eastAsia="zh-CN"/>
          <w14:textFill>
            <w14:solidFill>
              <w14:schemeClr w14:val="tx1"/>
            </w14:solidFill>
          </w14:textFill>
        </w:rPr>
        <w:t>.5.1 分包的一般约定</w:t>
      </w:r>
    </w:p>
    <w:p w14:paraId="115C67D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禁止分包的工程包括：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653309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主体结构、关键性工作的范围：</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Start w:id="251" w:name="_Toc300934947"/>
      <w:bookmarkStart w:id="252" w:name="_Toc296944500"/>
      <w:bookmarkStart w:id="253" w:name="_Toc297120461"/>
      <w:bookmarkStart w:id="254" w:name="_Toc296503161"/>
      <w:bookmarkStart w:id="255" w:name="_Toc296347160"/>
      <w:bookmarkStart w:id="256" w:name="_Toc304295525"/>
      <w:bookmarkStart w:id="257" w:name="_Toc296891201"/>
      <w:bookmarkStart w:id="258" w:name="_Toc297048347"/>
      <w:bookmarkStart w:id="259" w:name="_Toc297123494"/>
      <w:bookmarkStart w:id="260" w:name="_Toc296346662"/>
      <w:bookmarkStart w:id="261" w:name="_Toc296890989"/>
      <w:bookmarkStart w:id="262" w:name="_Toc303539104"/>
      <w:bookmarkStart w:id="263" w:name="_Toc297216153"/>
    </w:p>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p w14:paraId="01C00B2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bookmarkStart w:id="264" w:name="_Toc312677990"/>
      <w:bookmarkStart w:id="265" w:name="_Toc318581159"/>
      <w:r>
        <w:rPr>
          <w:rFonts w:hint="eastAsia" w:ascii="宋体" w:hAnsi="宋体" w:eastAsia="宋体" w:cs="宋体"/>
          <w:color w:val="000000" w:themeColor="text1"/>
          <w:sz w:val="24"/>
          <w:szCs w:val="24"/>
          <w:highlight w:val="none"/>
          <w:lang w:val="en-US" w:eastAsia="zh-CN"/>
          <w14:textFill>
            <w14:solidFill>
              <w14:schemeClr w14:val="tx1"/>
            </w14:solidFill>
          </w14:textFill>
        </w:rPr>
        <w:t>.5.2分包的确定</w:t>
      </w:r>
    </w:p>
    <w:p w14:paraId="1540685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允许分包的专业工程包括：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0F497B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其他关于分包的约定：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D70E5A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3.5.4 分包合同价款</w:t>
      </w:r>
    </w:p>
    <w:p w14:paraId="5D68E77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关于分包合同价款支付的约定：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264"/>
    <w:bookmarkEnd w:id="265"/>
    <w:p w14:paraId="2A0F458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 工程照管与成品、半成品保护</w:t>
      </w:r>
    </w:p>
    <w:p w14:paraId="6935D6E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承包人负责照管工程及工程相关的材料、工程设备的起始时间：</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3D23D3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3.7 履约担保</w:t>
      </w:r>
    </w:p>
    <w:p w14:paraId="2EA5B3C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承包人是否提供履约担保：</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0448B4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承包人提供履约担保的形式、金额及期限的：</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B4CD349">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266" w:name="_Toc351203636"/>
      <w:r>
        <w:rPr>
          <w:rFonts w:hint="eastAsia" w:ascii="宋体" w:hAnsi="宋体" w:eastAsia="宋体" w:cs="宋体"/>
          <w:b/>
          <w:bCs/>
          <w:color w:val="000000" w:themeColor="text1"/>
          <w:sz w:val="24"/>
          <w:szCs w:val="24"/>
          <w:highlight w:val="none"/>
          <w:lang w:val="en-US" w:eastAsia="zh-CN"/>
          <w14:textFill>
            <w14:solidFill>
              <w14:schemeClr w14:val="tx1"/>
            </w14:solidFill>
          </w14:textFill>
        </w:rPr>
        <w:t>4</w:t>
      </w:r>
      <w:bookmarkStart w:id="267" w:name="_Toc296346663"/>
      <w:bookmarkStart w:id="268" w:name="_Toc296890990"/>
      <w:bookmarkStart w:id="269" w:name="_Toc267251413"/>
      <w:bookmarkStart w:id="270" w:name="_Toc297120462"/>
      <w:bookmarkStart w:id="271" w:name="_Toc296891202"/>
      <w:bookmarkStart w:id="272" w:name="_Toc296347161"/>
      <w:bookmarkStart w:id="273" w:name="_Toc296944501"/>
      <w:bookmarkStart w:id="274" w:name="_Toc297048348"/>
      <w:bookmarkStart w:id="275" w:name="_Toc292559366"/>
      <w:bookmarkStart w:id="276" w:name="_Toc292559871"/>
      <w:bookmarkStart w:id="277" w:name="_Toc296503162"/>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监</w:t>
      </w:r>
      <w:bookmarkEnd w:id="267"/>
      <w:bookmarkEnd w:id="268"/>
      <w:bookmarkEnd w:id="269"/>
      <w:bookmarkEnd w:id="270"/>
      <w:bookmarkEnd w:id="271"/>
      <w:bookmarkEnd w:id="272"/>
      <w:bookmarkEnd w:id="273"/>
      <w:bookmarkEnd w:id="274"/>
      <w:bookmarkEnd w:id="275"/>
      <w:bookmarkEnd w:id="276"/>
      <w:bookmarkEnd w:id="277"/>
      <w:r>
        <w:rPr>
          <w:rFonts w:hint="eastAsia" w:ascii="宋体" w:hAnsi="宋体" w:eastAsia="宋体" w:cs="宋体"/>
          <w:b/>
          <w:bCs/>
          <w:color w:val="000000" w:themeColor="text1"/>
          <w:sz w:val="24"/>
          <w:szCs w:val="24"/>
          <w:highlight w:val="none"/>
          <w:lang w:val="en-US" w:eastAsia="zh-CN"/>
          <w14:textFill>
            <w14:solidFill>
              <w14:schemeClr w14:val="tx1"/>
            </w14:solidFill>
          </w14:textFill>
        </w:rPr>
        <w:t>理人</w:t>
      </w:r>
      <w:bookmarkEnd w:id="266"/>
    </w:p>
    <w:p w14:paraId="66D4946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4.1监理人的一般规定</w:t>
      </w:r>
    </w:p>
    <w:p w14:paraId="4328528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关于监理人的监理内容：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无</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7C92CB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关于监理人的监理权限：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364DBF4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关于监理人在施工现场的办公场所、生活场所的提供和费用承担的约定：          </w:t>
      </w:r>
    </w:p>
    <w:p w14:paraId="19EFCDD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4.4 商定或确定</w:t>
      </w:r>
    </w:p>
    <w:p w14:paraId="2B3342F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278" w:name="_Toc267251418"/>
      <w:r>
        <w:rPr>
          <w:rFonts w:hint="eastAsia" w:ascii="宋体" w:hAnsi="宋体" w:eastAsia="宋体" w:cs="宋体"/>
          <w:color w:val="000000" w:themeColor="text1"/>
          <w:sz w:val="24"/>
          <w:szCs w:val="24"/>
          <w:highlight w:val="none"/>
          <w:lang w:val="en-US" w:eastAsia="zh-CN"/>
          <w14:textFill>
            <w14:solidFill>
              <w14:schemeClr w14:val="tx1"/>
            </w14:solidFill>
          </w14:textFill>
        </w:rPr>
        <w:t>在发包人和承包人不能通过协商达成一致意见时，发包人授权监理人对以下事项进行确定：</w:t>
      </w:r>
    </w:p>
    <w:p w14:paraId="70C4316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D2C3C8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E677C3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31C260E5">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279" w:name="_Toc351203637"/>
      <w:r>
        <w:rPr>
          <w:rFonts w:hint="eastAsia" w:ascii="宋体" w:hAnsi="宋体" w:eastAsia="宋体" w:cs="宋体"/>
          <w:b/>
          <w:bCs/>
          <w:color w:val="000000" w:themeColor="text1"/>
          <w:sz w:val="24"/>
          <w:szCs w:val="24"/>
          <w:highlight w:val="none"/>
          <w:lang w:val="en-US" w:eastAsia="zh-CN"/>
          <w14:textFill>
            <w14:solidFill>
              <w14:schemeClr w14:val="tx1"/>
            </w14:solidFill>
          </w14:textFill>
        </w:rPr>
        <w:t>5</w:t>
      </w:r>
      <w:bookmarkEnd w:id="278"/>
      <w:bookmarkStart w:id="280" w:name="_Toc296346664"/>
      <w:bookmarkStart w:id="281" w:name="_Toc296503163"/>
      <w:bookmarkStart w:id="282" w:name="_Toc292559367"/>
      <w:bookmarkStart w:id="283" w:name="_Toc296347162"/>
      <w:bookmarkStart w:id="284" w:name="_Toc297120463"/>
      <w:bookmarkStart w:id="285" w:name="_Toc296891203"/>
      <w:bookmarkStart w:id="286" w:name="_Toc292559872"/>
      <w:bookmarkStart w:id="287" w:name="_Toc297048349"/>
      <w:bookmarkStart w:id="288" w:name="_Toc296944502"/>
      <w:bookmarkStart w:id="289" w:name="_Toc296890991"/>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工程质量</w:t>
      </w:r>
      <w:bookmarkEnd w:id="279"/>
    </w:p>
    <w:p w14:paraId="39933B6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5.1 质量要求</w:t>
      </w:r>
    </w:p>
    <w:p w14:paraId="6B64DBA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bookmarkStart w:id="290" w:name="_Toc303539106"/>
      <w:bookmarkStart w:id="291" w:name="_Toc304295527"/>
      <w:bookmarkStart w:id="292" w:name="_Toc318581164"/>
      <w:bookmarkStart w:id="293" w:name="_Toc297216155"/>
      <w:bookmarkStart w:id="294" w:name="_Toc297123496"/>
      <w:bookmarkStart w:id="295" w:name="_Toc312677997"/>
      <w:bookmarkStart w:id="296" w:name="_Toc300934949"/>
      <w:r>
        <w:rPr>
          <w:rFonts w:hint="eastAsia" w:ascii="宋体" w:hAnsi="宋体" w:eastAsia="宋体" w:cs="宋体"/>
          <w:color w:val="000000" w:themeColor="text1"/>
          <w:sz w:val="24"/>
          <w:szCs w:val="24"/>
          <w:highlight w:val="none"/>
          <w:lang w:val="en-US" w:eastAsia="zh-CN"/>
          <w14:textFill>
            <w14:solidFill>
              <w14:schemeClr w14:val="tx1"/>
            </w14:solidFill>
          </w14:textFill>
        </w:rPr>
        <w:t>.1.1 特殊质量标准和要求</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B79583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关于工程奖项的约定</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12C9A8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5.3 隐蔽工程检查</w:t>
      </w:r>
    </w:p>
    <w:p w14:paraId="41325FD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5.3.2承包人提前通知监理人隐蔽工程检查的期限的约定：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19CB31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监理人不能按时进行检查时，应提前</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小时提交书面延期要求。</w:t>
      </w:r>
    </w:p>
    <w:p w14:paraId="51E2908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关于延期最长不得超过：</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小时。</w:t>
      </w:r>
    </w:p>
    <w:p w14:paraId="4F308764">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297" w:name="_Toc351203638"/>
      <w:r>
        <w:rPr>
          <w:rFonts w:hint="eastAsia" w:ascii="宋体" w:hAnsi="宋体" w:eastAsia="宋体" w:cs="宋体"/>
          <w:b/>
          <w:bCs/>
          <w:color w:val="000000" w:themeColor="text1"/>
          <w:sz w:val="24"/>
          <w:szCs w:val="24"/>
          <w:highlight w:val="none"/>
          <w:lang w:val="en-US" w:eastAsia="zh-CN"/>
          <w14:textFill>
            <w14:solidFill>
              <w14:schemeClr w14:val="tx1"/>
            </w14:solidFill>
          </w14:textFill>
        </w:rPr>
        <w:t>6. 安全文明施工与环境保护</w:t>
      </w:r>
      <w:bookmarkEnd w:id="297"/>
    </w:p>
    <w:p w14:paraId="3DF3FE3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6.1安全文明施工</w:t>
      </w:r>
    </w:p>
    <w:p w14:paraId="784C742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6.1.1 项目安全生产的达标目标及相应事项的约定：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DA236E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6.1.4 关于治安保卫的特别约定：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7A873D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关于编制施工场地治安管理计划的约定：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69D77B0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6.1.5 文明施工</w:t>
      </w:r>
    </w:p>
    <w:p w14:paraId="297EC18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合同当事人对文明施工的要求：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①承包人必须按照规定进行施工现场文明施工管理，所发生的费用由承包人承担。②承包人必须做好施工现场的安全围护栏（网）等防护性措施，并设置必要的警示牌，做到文明施工，安全施工，建立重大事故报告制，加强安全教育，采取必要的一切防护措施，必须消除一切不安全隐患的存在和发生，协调处理好和周围住户的关系。③乙方应根据《建筑施工安全检查标准》和《强制性条文》及有关建筑施工安全生产条例及甲方的有关管理要求，确保安全生产，同时做好社会治安综合治理工作，严格执行建设项目所在地文明施工、标准化管理规定，明确具体措施，积极落实各项安全生产工作，杜绝重大伤亡事故</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C09745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6.1.6 关于安全文明施工费支付比例和支付期限的约定：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290"/>
    <w:bookmarkEnd w:id="291"/>
    <w:bookmarkEnd w:id="292"/>
    <w:bookmarkEnd w:id="293"/>
    <w:bookmarkEnd w:id="294"/>
    <w:bookmarkEnd w:id="295"/>
    <w:bookmarkEnd w:id="296"/>
    <w:p w14:paraId="6F289365">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298" w:name="_Toc351203639"/>
      <w:r>
        <w:rPr>
          <w:rFonts w:hint="eastAsia" w:ascii="宋体" w:hAnsi="宋体" w:eastAsia="宋体" w:cs="宋体"/>
          <w:b/>
          <w:bCs/>
          <w:color w:val="000000" w:themeColor="text1"/>
          <w:sz w:val="24"/>
          <w:szCs w:val="24"/>
          <w:highlight w:val="none"/>
          <w:lang w:val="en-US" w:eastAsia="zh-CN"/>
          <w14:textFill>
            <w14:solidFill>
              <w14:schemeClr w14:val="tx1"/>
            </w14:solidFill>
          </w14:textFill>
        </w:rPr>
        <w:t>7. 工期和进度</w:t>
      </w:r>
      <w:bookmarkEnd w:id="298"/>
    </w:p>
    <w:p w14:paraId="7E1FF78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7.1 施工组织设计</w:t>
      </w:r>
    </w:p>
    <w:p w14:paraId="59AF62D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7.1.1 合同当事人约定的施工组织设计应包括的其他内容：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214445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7.1.2 施工组织设计的提交和修改</w:t>
      </w:r>
    </w:p>
    <w:p w14:paraId="6DA3FCC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承包人提交详细施工组织设计的期限的约定：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C882D2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发包人和监理人在收到详细的施工组织设计后确认或提出修改意见的期限：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2ED5E3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bookmarkStart w:id="299" w:name="_Toc297123514"/>
      <w:bookmarkStart w:id="300" w:name="_Toc312678005"/>
      <w:bookmarkStart w:id="301" w:name="_Toc300934966"/>
      <w:bookmarkStart w:id="302" w:name="_Toc297216173"/>
      <w:bookmarkStart w:id="303" w:name="_Toc304295541"/>
      <w:bookmarkStart w:id="304" w:name="_Toc303539123"/>
      <w:bookmarkStart w:id="305" w:name="_Toc312677479"/>
      <w:r>
        <w:rPr>
          <w:rFonts w:hint="eastAsia" w:ascii="宋体" w:hAnsi="宋体" w:eastAsia="宋体" w:cs="宋体"/>
          <w:color w:val="000000" w:themeColor="text1"/>
          <w:sz w:val="24"/>
          <w:szCs w:val="24"/>
          <w:highlight w:val="none"/>
          <w:lang w:val="en-US" w:eastAsia="zh-CN"/>
          <w14:textFill>
            <w14:solidFill>
              <w14:schemeClr w14:val="tx1"/>
            </w14:solidFill>
          </w14:textFill>
        </w:rPr>
        <w:t>.2 施工进度计划</w:t>
      </w:r>
    </w:p>
    <w:p w14:paraId="479F9F5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7.2.2 施工进度计划的修订</w:t>
      </w:r>
    </w:p>
    <w:p w14:paraId="00C1A8B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发包人和监理人在收到修订的施工进度计划后确认或提出修改意见的期限：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267A97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7.3 开工</w:t>
      </w:r>
    </w:p>
    <w:p w14:paraId="58155FA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7.3.1 开工准备</w:t>
      </w:r>
    </w:p>
    <w:p w14:paraId="768DEF6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关于承包人提交工程开工报审表的期限：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6D8C78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关于发包人应完成的其他开工准备工作及期限：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0DEBAD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关于承包人应完成的其他开工准备工作及期限：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D12568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7.3.2开工通知</w:t>
      </w:r>
    </w:p>
    <w:p w14:paraId="792848D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因发包人原因造成监理人未能在计划开工日期之日起</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60 </w:t>
      </w:r>
      <w:r>
        <w:rPr>
          <w:rFonts w:hint="eastAsia" w:ascii="宋体" w:hAnsi="宋体" w:eastAsia="宋体" w:cs="宋体"/>
          <w:color w:val="000000" w:themeColor="text1"/>
          <w:sz w:val="24"/>
          <w:szCs w:val="24"/>
          <w:highlight w:val="none"/>
          <w:lang w:val="en-US" w:eastAsia="zh-CN"/>
          <w14:textFill>
            <w14:solidFill>
              <w14:schemeClr w14:val="tx1"/>
            </w14:solidFill>
          </w14:textFill>
        </w:rPr>
        <w:t>天内发出开工通知的，承包人有权提出价格调整要求，或者解除合同。</w:t>
      </w:r>
    </w:p>
    <w:bookmarkEnd w:id="299"/>
    <w:bookmarkEnd w:id="300"/>
    <w:bookmarkEnd w:id="301"/>
    <w:bookmarkEnd w:id="302"/>
    <w:bookmarkEnd w:id="303"/>
    <w:bookmarkEnd w:id="304"/>
    <w:bookmarkEnd w:id="305"/>
    <w:p w14:paraId="59B9035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7.4 测量放线</w:t>
      </w:r>
    </w:p>
    <w:p w14:paraId="3C8542C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7.4.1发包人通过监理人向承包人提供测量基准点、基准线和水准点及其书面资料的期限：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815312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bookmarkStart w:id="306" w:name="_Toc312677484"/>
      <w:bookmarkStart w:id="307" w:name="_Toc303539125"/>
      <w:bookmarkStart w:id="308" w:name="_Toc304295546"/>
      <w:bookmarkStart w:id="309" w:name="_Toc312678010"/>
      <w:bookmarkStart w:id="310" w:name="_Toc297216175"/>
      <w:bookmarkStart w:id="311" w:name="_Toc300934968"/>
      <w:bookmarkStart w:id="312" w:name="_Toc297123516"/>
      <w:r>
        <w:rPr>
          <w:rFonts w:hint="eastAsia" w:ascii="宋体" w:hAnsi="宋体" w:eastAsia="宋体" w:cs="宋体"/>
          <w:color w:val="000000" w:themeColor="text1"/>
          <w:sz w:val="24"/>
          <w:szCs w:val="24"/>
          <w:highlight w:val="none"/>
          <w:lang w:val="en-US" w:eastAsia="zh-CN"/>
          <w14:textFill>
            <w14:solidFill>
              <w14:schemeClr w14:val="tx1"/>
            </w14:solidFill>
          </w14:textFill>
        </w:rPr>
        <w:t>.5 工期延误</w:t>
      </w:r>
    </w:p>
    <w:bookmarkEnd w:id="306"/>
    <w:bookmarkEnd w:id="307"/>
    <w:bookmarkEnd w:id="308"/>
    <w:bookmarkEnd w:id="309"/>
    <w:bookmarkEnd w:id="310"/>
    <w:bookmarkEnd w:id="311"/>
    <w:bookmarkEnd w:id="312"/>
    <w:p w14:paraId="6144341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7.5.1 因发包人原因导致工期延误</w:t>
      </w:r>
    </w:p>
    <w:p w14:paraId="10D5761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（7）因发包人原因导致工期延误的其他情形：</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7FDDCC9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bookmarkStart w:id="313" w:name="_Toc318581169"/>
      <w:bookmarkStart w:id="314" w:name="_Toc312677486"/>
      <w:bookmarkStart w:id="315" w:name="_Toc312678012"/>
      <w:bookmarkStart w:id="316" w:name="_Toc300934970"/>
      <w:bookmarkStart w:id="317" w:name="_Toc303539127"/>
      <w:bookmarkStart w:id="318" w:name="_Toc304295548"/>
      <w:bookmarkStart w:id="319" w:name="_Toc297123518"/>
      <w:bookmarkStart w:id="320" w:name="_Toc297216177"/>
      <w:r>
        <w:rPr>
          <w:rFonts w:hint="eastAsia" w:ascii="宋体" w:hAnsi="宋体" w:eastAsia="宋体" w:cs="宋体"/>
          <w:color w:val="000000" w:themeColor="text1"/>
          <w:sz w:val="24"/>
          <w:szCs w:val="24"/>
          <w:highlight w:val="none"/>
          <w:lang w:val="en-US" w:eastAsia="zh-CN"/>
          <w14:textFill>
            <w14:solidFill>
              <w14:schemeClr w14:val="tx1"/>
            </w14:solidFill>
          </w14:textFill>
        </w:rPr>
        <w:t>.5.2 因承包人原因导致工期延误</w:t>
      </w:r>
    </w:p>
    <w:bookmarkEnd w:id="313"/>
    <w:bookmarkEnd w:id="314"/>
    <w:bookmarkEnd w:id="315"/>
    <w:p w14:paraId="2F2E926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因</w:t>
      </w:r>
      <w:bookmarkStart w:id="321" w:name="_Toc312678013"/>
      <w:bookmarkStart w:id="322" w:name="_Toc312677487"/>
      <w:bookmarkStart w:id="323" w:name="_Toc318581170"/>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承包人原因造成工期延误，逾期竣工违约金的计算方法为：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bookmarkEnd w:id="316"/>
      <w:bookmarkEnd w:id="317"/>
      <w:bookmarkEnd w:id="318"/>
      <w:bookmarkEnd w:id="319"/>
      <w:bookmarkEnd w:id="320"/>
      <w:bookmarkEnd w:id="321"/>
      <w:bookmarkEnd w:id="322"/>
    </w:p>
    <w:bookmarkEnd w:id="323"/>
    <w:p w14:paraId="35C835E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因承包人原因造成工期延误，逾</w:t>
      </w:r>
      <w:bookmarkStart w:id="324" w:name="_Toc318581171"/>
      <w:bookmarkStart w:id="325" w:name="_Toc312678014"/>
      <w:r>
        <w:rPr>
          <w:rFonts w:hint="eastAsia" w:ascii="宋体" w:hAnsi="宋体" w:eastAsia="宋体" w:cs="宋体"/>
          <w:color w:val="000000" w:themeColor="text1"/>
          <w:sz w:val="24"/>
          <w:szCs w:val="24"/>
          <w:highlight w:val="none"/>
          <w:lang w:val="en-US" w:eastAsia="zh-CN"/>
          <w14:textFill>
            <w14:solidFill>
              <w14:schemeClr w14:val="tx1"/>
            </w14:solidFill>
          </w14:textFill>
        </w:rPr>
        <w:t>期竣工违约金的上限：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bookmarkEnd w:id="324"/>
    <w:bookmarkEnd w:id="325"/>
    <w:p w14:paraId="4698992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bookmarkStart w:id="326" w:name="_Toc304295549"/>
      <w:bookmarkStart w:id="327" w:name="_Toc297123519"/>
      <w:bookmarkStart w:id="328" w:name="_Toc300934971"/>
      <w:bookmarkStart w:id="329" w:name="_Toc303539128"/>
      <w:bookmarkStart w:id="330" w:name="_Toc297216178"/>
      <w:bookmarkStart w:id="331" w:name="_Toc312678015"/>
      <w:r>
        <w:rPr>
          <w:rFonts w:hint="eastAsia" w:ascii="宋体" w:hAnsi="宋体" w:eastAsia="宋体" w:cs="宋体"/>
          <w:color w:val="000000" w:themeColor="text1"/>
          <w:sz w:val="24"/>
          <w:szCs w:val="24"/>
          <w:highlight w:val="none"/>
          <w:lang w:val="en-US" w:eastAsia="zh-CN"/>
          <w14:textFill>
            <w14:solidFill>
              <w14:schemeClr w14:val="tx1"/>
            </w14:solidFill>
          </w14:textFill>
        </w:rPr>
        <w:t>.6 不</w:t>
      </w:r>
      <w:bookmarkEnd w:id="326"/>
      <w:bookmarkEnd w:id="327"/>
      <w:bookmarkEnd w:id="328"/>
      <w:bookmarkEnd w:id="329"/>
      <w:bookmarkEnd w:id="330"/>
      <w:bookmarkEnd w:id="331"/>
      <w:r>
        <w:rPr>
          <w:rFonts w:hint="eastAsia" w:ascii="宋体" w:hAnsi="宋体" w:eastAsia="宋体" w:cs="宋体"/>
          <w:color w:val="000000" w:themeColor="text1"/>
          <w:sz w:val="24"/>
          <w:szCs w:val="24"/>
          <w:highlight w:val="none"/>
          <w:lang w:val="en-US" w:eastAsia="zh-CN"/>
          <w14:textFill>
            <w14:solidFill>
              <w14:schemeClr w14:val="tx1"/>
            </w14:solidFill>
          </w14:textFill>
        </w:rPr>
        <w:t>利物质条件</w:t>
      </w:r>
    </w:p>
    <w:p w14:paraId="11ACC1C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332" w:name="_Toc303539129"/>
      <w:bookmarkStart w:id="333" w:name="_Toc300934972"/>
      <w:bookmarkStart w:id="334" w:name="_Toc304295550"/>
      <w:bookmarkStart w:id="335" w:name="_Toc318581172"/>
      <w:bookmarkStart w:id="336" w:name="_Toc297123520"/>
      <w:bookmarkStart w:id="337" w:name="_Toc297216179"/>
      <w:bookmarkStart w:id="338" w:name="_Toc312678016"/>
      <w:r>
        <w:rPr>
          <w:rFonts w:hint="eastAsia" w:ascii="宋体" w:hAnsi="宋体" w:eastAsia="宋体" w:cs="宋体"/>
          <w:color w:val="000000" w:themeColor="text1"/>
          <w:sz w:val="24"/>
          <w:szCs w:val="24"/>
          <w:highlight w:val="none"/>
          <w:lang w:val="en-US" w:eastAsia="zh-CN"/>
          <w14:textFill>
            <w14:solidFill>
              <w14:schemeClr w14:val="tx1"/>
            </w14:solidFill>
          </w14:textFill>
        </w:rPr>
        <w:t>不利物质条件的其他情形和有关约定：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bookmarkEnd w:id="332"/>
    <w:bookmarkEnd w:id="333"/>
    <w:bookmarkEnd w:id="334"/>
    <w:bookmarkEnd w:id="335"/>
    <w:bookmarkEnd w:id="336"/>
    <w:bookmarkEnd w:id="337"/>
    <w:bookmarkEnd w:id="338"/>
    <w:p w14:paraId="1C315A4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bookmarkStart w:id="339" w:name="_Toc297123521"/>
      <w:bookmarkStart w:id="340" w:name="_Toc300934973"/>
      <w:bookmarkStart w:id="341" w:name="_Toc297216180"/>
      <w:bookmarkStart w:id="342" w:name="_Toc312678017"/>
      <w:bookmarkStart w:id="343" w:name="_Toc304295551"/>
      <w:bookmarkStart w:id="344" w:name="_Toc303539130"/>
      <w:r>
        <w:rPr>
          <w:rFonts w:hint="eastAsia" w:ascii="宋体" w:hAnsi="宋体" w:eastAsia="宋体" w:cs="宋体"/>
          <w:color w:val="000000" w:themeColor="text1"/>
          <w:sz w:val="24"/>
          <w:szCs w:val="24"/>
          <w:highlight w:val="none"/>
          <w:lang w:val="en-US" w:eastAsia="zh-CN"/>
          <w14:textFill>
            <w14:solidFill>
              <w14:schemeClr w14:val="tx1"/>
            </w14:solidFill>
          </w14:textFill>
        </w:rPr>
        <w:t>.7异常恶劣的气候条件</w:t>
      </w:r>
    </w:p>
    <w:bookmarkEnd w:id="339"/>
    <w:bookmarkEnd w:id="340"/>
    <w:bookmarkEnd w:id="341"/>
    <w:bookmarkEnd w:id="342"/>
    <w:bookmarkEnd w:id="343"/>
    <w:bookmarkEnd w:id="344"/>
    <w:p w14:paraId="133CF15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发包人和承包人同意以下情形视为异常恶劣的气候条件：</w:t>
      </w:r>
    </w:p>
    <w:p w14:paraId="23902A6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6452BC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DA50AA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74B5B8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7.9 提前竣工的奖励</w:t>
      </w:r>
    </w:p>
    <w:p w14:paraId="40C2BAB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7.9.2提前竣工的奖励：</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0EBDB4E7">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345" w:name="_Toc351203640"/>
      <w:r>
        <w:rPr>
          <w:rFonts w:hint="eastAsia" w:ascii="宋体" w:hAnsi="宋体" w:eastAsia="宋体" w:cs="宋体"/>
          <w:b/>
          <w:bCs/>
          <w:color w:val="000000" w:themeColor="text1"/>
          <w:sz w:val="24"/>
          <w:szCs w:val="24"/>
          <w:highlight w:val="none"/>
          <w:lang w:val="en-US" w:eastAsia="zh-CN"/>
          <w14:textFill>
            <w14:solidFill>
              <w14:schemeClr w14:val="tx1"/>
            </w14:solidFill>
          </w14:textFill>
        </w:rPr>
        <w:t>8. 材料与设备</w:t>
      </w:r>
      <w:bookmarkEnd w:id="345"/>
    </w:p>
    <w:bookmarkEnd w:id="280"/>
    <w:bookmarkEnd w:id="281"/>
    <w:bookmarkEnd w:id="282"/>
    <w:bookmarkEnd w:id="283"/>
    <w:bookmarkEnd w:id="284"/>
    <w:bookmarkEnd w:id="285"/>
    <w:bookmarkEnd w:id="286"/>
    <w:bookmarkEnd w:id="287"/>
    <w:bookmarkEnd w:id="288"/>
    <w:bookmarkEnd w:id="289"/>
    <w:p w14:paraId="05BEDD5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bookmarkStart w:id="346" w:name="_Toc300934979"/>
      <w:bookmarkStart w:id="347" w:name="_Toc297120467"/>
      <w:bookmarkStart w:id="348" w:name="_Toc296503167"/>
      <w:bookmarkStart w:id="349" w:name="_Toc297216186"/>
      <w:bookmarkStart w:id="350" w:name="_Toc312677493"/>
      <w:bookmarkStart w:id="351" w:name="_Toc292559372"/>
      <w:bookmarkStart w:id="352" w:name="_Toc297123527"/>
      <w:bookmarkStart w:id="353" w:name="_Toc296347166"/>
      <w:bookmarkStart w:id="354" w:name="_Toc312678019"/>
      <w:bookmarkStart w:id="355" w:name="_Toc303539136"/>
      <w:bookmarkStart w:id="356" w:name="_Toc297048353"/>
      <w:bookmarkStart w:id="357" w:name="_Toc296944506"/>
      <w:bookmarkStart w:id="358" w:name="_Toc292559877"/>
      <w:bookmarkStart w:id="359" w:name="_Toc304295556"/>
      <w:bookmarkStart w:id="360" w:name="_Toc296346668"/>
      <w:bookmarkStart w:id="361" w:name="_Toc280868654"/>
      <w:bookmarkStart w:id="362" w:name="_Toc296891207"/>
      <w:bookmarkStart w:id="363" w:name="_Toc296890995"/>
      <w:bookmarkStart w:id="364" w:name="_Toc280868655"/>
      <w:bookmarkStart w:id="365" w:name="_Toc280868656"/>
      <w:bookmarkStart w:id="366" w:name="_Toc267251424"/>
      <w:r>
        <w:rPr>
          <w:rFonts w:hint="eastAsia" w:ascii="宋体" w:hAnsi="宋体" w:eastAsia="宋体" w:cs="宋体"/>
          <w:color w:val="000000" w:themeColor="text1"/>
          <w:sz w:val="24"/>
          <w:szCs w:val="24"/>
          <w:highlight w:val="none"/>
          <w:lang w:val="en-US" w:eastAsia="zh-CN"/>
          <w14:textFill>
            <w14:solidFill>
              <w14:schemeClr w14:val="tx1"/>
            </w14:solidFill>
          </w14:textFill>
        </w:rPr>
        <w:t>.4材料与工程设备的保管与使用</w:t>
      </w:r>
    </w:p>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p w14:paraId="371BCC7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bookmarkStart w:id="367" w:name="_Toc292559878"/>
      <w:bookmarkStart w:id="368" w:name="_Toc292559373"/>
      <w:bookmarkStart w:id="369" w:name="_Toc312678020"/>
      <w:bookmarkStart w:id="370" w:name="_Toc297216187"/>
      <w:bookmarkStart w:id="371" w:name="_Toc304295557"/>
      <w:bookmarkStart w:id="372" w:name="_Toc297120468"/>
      <w:bookmarkStart w:id="373" w:name="_Toc296347167"/>
      <w:bookmarkStart w:id="374" w:name="_Toc303539137"/>
      <w:bookmarkStart w:id="375" w:name="_Toc296944507"/>
      <w:bookmarkStart w:id="376" w:name="_Toc312677494"/>
      <w:bookmarkStart w:id="377" w:name="_Toc296503168"/>
      <w:bookmarkStart w:id="378" w:name="_Toc296890996"/>
      <w:bookmarkStart w:id="379" w:name="_Toc296346669"/>
      <w:bookmarkStart w:id="380" w:name="_Toc297048354"/>
      <w:bookmarkStart w:id="381" w:name="_Toc300934980"/>
      <w:bookmarkStart w:id="382" w:name="_Toc318581173"/>
      <w:bookmarkStart w:id="383" w:name="_Toc297123528"/>
      <w:bookmarkStart w:id="384" w:name="_Toc296891208"/>
      <w:r>
        <w:rPr>
          <w:rFonts w:hint="eastAsia" w:ascii="宋体" w:hAnsi="宋体" w:eastAsia="宋体" w:cs="宋体"/>
          <w:color w:val="000000" w:themeColor="text1"/>
          <w:sz w:val="24"/>
          <w:szCs w:val="24"/>
          <w:highlight w:val="none"/>
          <w:lang w:val="en-US" w:eastAsia="zh-CN"/>
          <w14:textFill>
            <w14:solidFill>
              <w14:schemeClr w14:val="tx1"/>
            </w14:solidFill>
          </w14:textFill>
        </w:rPr>
        <w:t>.4.1发包人供应的材料设备的保管费用的承担：         。</w:t>
      </w:r>
      <w:bookmarkEnd w:id="367"/>
      <w:bookmarkEnd w:id="368"/>
    </w:p>
    <w:p w14:paraId="015042D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8.6 样品</w:t>
      </w:r>
    </w:p>
    <w:p w14:paraId="457F949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8.6.1</w:t>
      </w:r>
      <w:r>
        <w:rPr>
          <w:rFonts w:hint="eastAsia" w:ascii="宋体" w:hAnsi="宋体" w:eastAsia="宋体" w:cs="宋体"/>
          <w:color w:val="000000" w:themeColor="text1"/>
          <w:sz w:val="24"/>
          <w:szCs w:val="24"/>
          <w:highlight w:val="none"/>
          <w:lang w:val="en-US" w:eastAsia="zh-CN"/>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样品的报送与封存</w:t>
      </w:r>
    </w:p>
    <w:p w14:paraId="56E976A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需要承包人报送样品的材料或工程设备，样品的种类、名称、规格、数量要求：</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5B35E5B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8.8 施工设备和临时设施</w:t>
      </w:r>
    </w:p>
    <w:p w14:paraId="41532F6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8.8.1 承包人提供的施工设备和临时设施</w:t>
      </w:r>
    </w:p>
    <w:p w14:paraId="08F7312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关于修建临时设施费用承担的约定：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p w14:paraId="474620EE">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385" w:name="_Toc351203641"/>
      <w:r>
        <w:rPr>
          <w:rFonts w:hint="eastAsia" w:ascii="宋体" w:hAnsi="宋体" w:eastAsia="宋体" w:cs="宋体"/>
          <w:b/>
          <w:bCs/>
          <w:color w:val="000000" w:themeColor="text1"/>
          <w:sz w:val="24"/>
          <w:szCs w:val="24"/>
          <w:highlight w:val="none"/>
          <w:lang w:val="en-US" w:eastAsia="zh-CN"/>
          <w14:textFill>
            <w14:solidFill>
              <w14:schemeClr w14:val="tx1"/>
            </w14:solidFill>
          </w14:textFill>
        </w:rPr>
        <w:t>9</w:t>
      </w:r>
      <w:bookmarkEnd w:id="364"/>
      <w:bookmarkEnd w:id="365"/>
      <w:bookmarkEnd w:id="366"/>
      <w:bookmarkStart w:id="386" w:name="_Toc297216192"/>
      <w:bookmarkStart w:id="387" w:name="_Toc304295559"/>
      <w:bookmarkStart w:id="388" w:name="_Toc300934982"/>
      <w:bookmarkStart w:id="389" w:name="_Toc297123533"/>
      <w:bookmarkStart w:id="390" w:name="_Toc312678021"/>
      <w:bookmarkStart w:id="391" w:name="_Toc303539139"/>
      <w:bookmarkStart w:id="392" w:name="_Toc312677495"/>
      <w:bookmarkStart w:id="393" w:name="_Toc296891213"/>
      <w:bookmarkStart w:id="394" w:name="_Toc297120473"/>
      <w:bookmarkStart w:id="395" w:name="_Toc267251428"/>
      <w:bookmarkStart w:id="396" w:name="_Toc292559883"/>
      <w:bookmarkStart w:id="397" w:name="_Toc292559378"/>
      <w:bookmarkStart w:id="398" w:name="_Toc297048359"/>
      <w:bookmarkStart w:id="399" w:name="_Toc267251427"/>
      <w:bookmarkStart w:id="400" w:name="_Toc296347172"/>
      <w:bookmarkStart w:id="401" w:name="_Toc296503173"/>
      <w:bookmarkStart w:id="402" w:name="_Toc296346674"/>
      <w:bookmarkStart w:id="403" w:name="_Toc296944512"/>
      <w:bookmarkStart w:id="404" w:name="_Toc296891001"/>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试验与检验</w:t>
      </w:r>
      <w:bookmarkEnd w:id="385"/>
    </w:p>
    <w:bookmarkEnd w:id="386"/>
    <w:bookmarkEnd w:id="387"/>
    <w:bookmarkEnd w:id="388"/>
    <w:bookmarkEnd w:id="389"/>
    <w:bookmarkEnd w:id="390"/>
    <w:bookmarkEnd w:id="391"/>
    <w:bookmarkEnd w:id="392"/>
    <w:p w14:paraId="5EDC055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bookmarkStart w:id="405" w:name="_Toc303539140"/>
      <w:bookmarkStart w:id="406" w:name="_Toc312677496"/>
      <w:bookmarkStart w:id="407" w:name="_Toc312678022"/>
      <w:bookmarkStart w:id="408" w:name="_Toc300934983"/>
      <w:bookmarkStart w:id="409" w:name="_Toc297123534"/>
      <w:bookmarkStart w:id="410" w:name="_Toc297216193"/>
      <w:bookmarkStart w:id="411" w:name="_Toc304295560"/>
      <w:r>
        <w:rPr>
          <w:rFonts w:hint="eastAsia" w:ascii="宋体" w:hAnsi="宋体" w:eastAsia="宋体" w:cs="宋体"/>
          <w:color w:val="000000" w:themeColor="text1"/>
          <w:sz w:val="24"/>
          <w:szCs w:val="24"/>
          <w:highlight w:val="none"/>
          <w:lang w:val="en-US" w:eastAsia="zh-CN"/>
          <w14:textFill>
            <w14:solidFill>
              <w14:schemeClr w14:val="tx1"/>
            </w14:solidFill>
          </w14:textFill>
        </w:rPr>
        <w:t>.1试验设备与试验人员</w:t>
      </w:r>
    </w:p>
    <w:bookmarkEnd w:id="405"/>
    <w:bookmarkEnd w:id="406"/>
    <w:bookmarkEnd w:id="407"/>
    <w:bookmarkEnd w:id="408"/>
    <w:bookmarkEnd w:id="409"/>
    <w:bookmarkEnd w:id="410"/>
    <w:bookmarkEnd w:id="411"/>
    <w:p w14:paraId="4EBE9A0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bookmarkStart w:id="412" w:name="_Toc300934984"/>
      <w:bookmarkStart w:id="413" w:name="_Toc312678023"/>
      <w:bookmarkStart w:id="414" w:name="_Toc304295561"/>
      <w:bookmarkStart w:id="415" w:name="_Toc303539141"/>
      <w:bookmarkStart w:id="416" w:name="_Toc297123535"/>
      <w:bookmarkStart w:id="417" w:name="_Toc297216194"/>
      <w:bookmarkStart w:id="418" w:name="_Toc312677497"/>
      <w:bookmarkStart w:id="419" w:name="_Toc318581174"/>
      <w:r>
        <w:rPr>
          <w:rFonts w:hint="eastAsia" w:ascii="宋体" w:hAnsi="宋体" w:eastAsia="宋体" w:cs="宋体"/>
          <w:color w:val="000000" w:themeColor="text1"/>
          <w:sz w:val="24"/>
          <w:szCs w:val="24"/>
          <w:highlight w:val="none"/>
          <w:lang w:val="en-US" w:eastAsia="zh-CN"/>
          <w14:textFill>
            <w14:solidFill>
              <w14:schemeClr w14:val="tx1"/>
            </w14:solidFill>
          </w14:textFill>
        </w:rPr>
        <w:t>.1.2 试验设备</w:t>
      </w:r>
    </w:p>
    <w:p w14:paraId="669E1CA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施工现场需要配置的试验场所：</w:t>
      </w:r>
      <w:bookmarkEnd w:id="412"/>
      <w:bookmarkEnd w:id="413"/>
      <w:bookmarkEnd w:id="414"/>
      <w:bookmarkEnd w:id="415"/>
      <w:bookmarkEnd w:id="416"/>
      <w:bookmarkEnd w:id="417"/>
      <w:bookmarkEnd w:id="418"/>
      <w:bookmarkStart w:id="420" w:name="_Toc300934985"/>
      <w:bookmarkStart w:id="421" w:name="_Toc312677498"/>
      <w:bookmarkStart w:id="422" w:name="_Toc304295562"/>
      <w:bookmarkStart w:id="423" w:name="_Toc303539142"/>
      <w:bookmarkStart w:id="424" w:name="_Toc312678024"/>
      <w:bookmarkStart w:id="425" w:name="_Toc297123536"/>
      <w:bookmarkStart w:id="426" w:name="_Toc297216195"/>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 </w:t>
      </w:r>
    </w:p>
    <w:p w14:paraId="1AC72EF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施工现场需要配备的试验设备：</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4963255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施工现场需要具备的其他试验条件：</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23A577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9.4 现场工艺试验 </w:t>
      </w:r>
    </w:p>
    <w:p w14:paraId="7A278B1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现场工艺试验的有关约定：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bookmarkEnd w:id="419"/>
    <w:bookmarkEnd w:id="420"/>
    <w:bookmarkEnd w:id="421"/>
    <w:bookmarkEnd w:id="422"/>
    <w:bookmarkEnd w:id="423"/>
    <w:bookmarkEnd w:id="424"/>
    <w:bookmarkEnd w:id="425"/>
    <w:bookmarkEnd w:id="426"/>
    <w:p w14:paraId="727679EF">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427" w:name="_Toc351203642"/>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w:t>
      </w:r>
      <w:bookmarkEnd w:id="393"/>
      <w:bookmarkEnd w:id="394"/>
      <w:bookmarkEnd w:id="395"/>
      <w:bookmarkEnd w:id="396"/>
      <w:bookmarkEnd w:id="397"/>
      <w:bookmarkEnd w:id="398"/>
      <w:bookmarkEnd w:id="399"/>
      <w:bookmarkEnd w:id="400"/>
      <w:bookmarkEnd w:id="401"/>
      <w:bookmarkEnd w:id="402"/>
      <w:bookmarkEnd w:id="403"/>
      <w:bookmarkEnd w:id="404"/>
      <w:bookmarkStart w:id="428" w:name="_Toc296347192"/>
      <w:bookmarkStart w:id="429" w:name="_Toc300934989"/>
      <w:bookmarkStart w:id="430" w:name="_Toc296346694"/>
      <w:bookmarkStart w:id="431" w:name="_Toc296503193"/>
      <w:bookmarkStart w:id="432" w:name="_Toc296891021"/>
      <w:bookmarkStart w:id="433" w:name="_Toc297216199"/>
      <w:bookmarkStart w:id="434" w:name="_Toc304295566"/>
      <w:bookmarkStart w:id="435" w:name="_Toc297120493"/>
      <w:bookmarkStart w:id="436" w:name="_Toc292559903"/>
      <w:bookmarkStart w:id="437" w:name="_Toc303539146"/>
      <w:bookmarkStart w:id="438" w:name="_Toc292559398"/>
      <w:bookmarkStart w:id="439" w:name="_Toc296891233"/>
      <w:bookmarkStart w:id="440" w:name="_Toc296944532"/>
      <w:bookmarkStart w:id="441" w:name="_Toc297123540"/>
      <w:bookmarkStart w:id="442" w:name="_Toc297048379"/>
      <w:bookmarkStart w:id="443" w:name="_Toc312677499"/>
      <w:bookmarkStart w:id="444" w:name="_Toc312678025"/>
      <w:bookmarkStart w:id="445" w:name="_Toc267251435"/>
      <w:bookmarkStart w:id="446" w:name="_Toc267251440"/>
      <w:bookmarkStart w:id="447" w:name="_Toc267251433"/>
      <w:bookmarkStart w:id="448" w:name="_Toc267251437"/>
      <w:bookmarkStart w:id="449" w:name="_Toc267251441"/>
      <w:bookmarkStart w:id="450" w:name="_Toc267251439"/>
      <w:bookmarkStart w:id="451" w:name="_Toc267251442"/>
      <w:r>
        <w:rPr>
          <w:rFonts w:hint="eastAsia" w:ascii="宋体" w:hAnsi="宋体" w:eastAsia="宋体" w:cs="宋体"/>
          <w:b/>
          <w:bCs/>
          <w:color w:val="000000" w:themeColor="text1"/>
          <w:sz w:val="24"/>
          <w:szCs w:val="24"/>
          <w:highlight w:val="none"/>
          <w:lang w:val="en-US" w:eastAsia="zh-CN"/>
          <w14:textFill>
            <w14:solidFill>
              <w14:schemeClr w14:val="tx1"/>
            </w14:solidFill>
          </w14:textFill>
        </w:rPr>
        <w:t>0. 变更</w:t>
      </w:r>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p>
    <w:bookmarkEnd w:id="443"/>
    <w:bookmarkEnd w:id="444"/>
    <w:p w14:paraId="468E60C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bookmarkStart w:id="452" w:name="_Toc292559904"/>
      <w:bookmarkStart w:id="453" w:name="_Toc312677500"/>
      <w:bookmarkStart w:id="454" w:name="_Toc303539147"/>
      <w:bookmarkStart w:id="455" w:name="_Toc296944533"/>
      <w:bookmarkStart w:id="456" w:name="_Toc297216200"/>
      <w:bookmarkStart w:id="457" w:name="_Toc296503194"/>
      <w:bookmarkStart w:id="458" w:name="_Toc296891022"/>
      <w:bookmarkStart w:id="459" w:name="_Toc296347193"/>
      <w:bookmarkStart w:id="460" w:name="_Toc297120494"/>
      <w:bookmarkStart w:id="461" w:name="_Toc297123541"/>
      <w:bookmarkStart w:id="462" w:name="_Toc296891234"/>
      <w:bookmarkStart w:id="463" w:name="_Toc297048380"/>
      <w:bookmarkStart w:id="464" w:name="_Toc292559399"/>
      <w:bookmarkStart w:id="465" w:name="_Toc300934990"/>
      <w:bookmarkStart w:id="466" w:name="_Toc304295567"/>
      <w:bookmarkStart w:id="467" w:name="_Toc296346695"/>
      <w:bookmarkStart w:id="468" w:name="_Toc312678026"/>
      <w:r>
        <w:rPr>
          <w:rFonts w:hint="eastAsia" w:ascii="宋体" w:hAnsi="宋体" w:eastAsia="宋体" w:cs="宋体"/>
          <w:color w:val="000000" w:themeColor="text1"/>
          <w:sz w:val="24"/>
          <w:szCs w:val="24"/>
          <w:highlight w:val="none"/>
          <w:lang w:val="en-US" w:eastAsia="zh-CN"/>
          <w14:textFill>
            <w14:solidFill>
              <w14:schemeClr w14:val="tx1"/>
            </w14:solidFill>
          </w14:textFill>
        </w:rPr>
        <w:t>0.1变更的范围</w:t>
      </w:r>
    </w:p>
    <w:p w14:paraId="333922A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关于变更的范围的约定：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801C95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10.4 变更估价</w:t>
      </w:r>
    </w:p>
    <w:p w14:paraId="2A75FF2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10.4.1 变更估价原则</w:t>
      </w:r>
    </w:p>
    <w:p w14:paraId="7F5936A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关于变更估价的约定: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4BCA01A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Start w:id="469" w:name="_Toc297216203"/>
      <w:bookmarkStart w:id="470" w:name="_Toc300934993"/>
      <w:bookmarkStart w:id="471" w:name="_Toc296347196"/>
      <w:bookmarkStart w:id="472" w:name="_Toc292559402"/>
      <w:bookmarkStart w:id="473" w:name="_Toc297123544"/>
      <w:bookmarkStart w:id="474" w:name="_Toc297120497"/>
      <w:bookmarkStart w:id="475" w:name="_Toc296346698"/>
      <w:bookmarkStart w:id="476" w:name="_Toc296944536"/>
      <w:bookmarkStart w:id="477" w:name="_Toc296891237"/>
      <w:bookmarkStart w:id="478" w:name="_Toc296503197"/>
      <w:bookmarkStart w:id="479" w:name="_Toc292559907"/>
      <w:bookmarkStart w:id="480" w:name="_Toc296891025"/>
      <w:bookmarkStart w:id="481" w:name="_Toc297048383"/>
      <w:bookmarkStart w:id="482" w:name="_Toc303539150"/>
      <w:bookmarkStart w:id="483" w:name="_Toc304295570"/>
      <w:bookmarkStart w:id="484" w:name="_Toc312677503"/>
      <w:bookmarkStart w:id="485" w:name="_Toc312678029"/>
      <w:r>
        <w:rPr>
          <w:rFonts w:hint="eastAsia" w:ascii="宋体" w:hAnsi="宋体" w:eastAsia="宋体" w:cs="宋体"/>
          <w:color w:val="000000" w:themeColor="text1"/>
          <w:sz w:val="24"/>
          <w:szCs w:val="24"/>
          <w:highlight w:val="none"/>
          <w:lang w:val="en-US" w:eastAsia="zh-CN"/>
          <w14:textFill>
            <w14:solidFill>
              <w14:schemeClr w14:val="tx1"/>
            </w14:solidFill>
          </w14:textFill>
        </w:rPr>
        <w:t>0.5承</w:t>
      </w:r>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Start w:id="486" w:name="_Toc297048389"/>
      <w:bookmarkStart w:id="487" w:name="_Toc303539151"/>
      <w:bookmarkStart w:id="488" w:name="_Toc296346704"/>
      <w:bookmarkStart w:id="489" w:name="_Toc297120503"/>
      <w:bookmarkStart w:id="490" w:name="_Toc297123545"/>
      <w:bookmarkStart w:id="491" w:name="_Toc292559913"/>
      <w:bookmarkStart w:id="492" w:name="_Toc296347202"/>
      <w:bookmarkStart w:id="493" w:name="_Toc296891243"/>
      <w:bookmarkStart w:id="494" w:name="_Toc296503203"/>
      <w:bookmarkStart w:id="495" w:name="_Toc296891031"/>
      <w:bookmarkStart w:id="496" w:name="_Toc296944542"/>
      <w:bookmarkStart w:id="497" w:name="_Toc300934994"/>
      <w:bookmarkStart w:id="498" w:name="_Toc297216204"/>
      <w:bookmarkStart w:id="499" w:name="_Toc292559408"/>
      <w:r>
        <w:rPr>
          <w:rFonts w:hint="eastAsia" w:ascii="宋体" w:hAnsi="宋体" w:eastAsia="宋体" w:cs="宋体"/>
          <w:color w:val="000000" w:themeColor="text1"/>
          <w:sz w:val="24"/>
          <w:szCs w:val="24"/>
          <w:highlight w:val="none"/>
          <w:lang w:val="en-US" w:eastAsia="zh-CN"/>
          <w14:textFill>
            <w14:solidFill>
              <w14:schemeClr w14:val="tx1"/>
            </w14:solidFill>
          </w14:textFill>
        </w:rPr>
        <w:t>包人的合理化建议</w:t>
      </w:r>
    </w:p>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p w14:paraId="2F5DB11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监理人审查承包人合理化建议的期限：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886795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发包人审批承包人合理化建议的期限：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55CD57C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w:t>
      </w:r>
      <w:bookmarkStart w:id="500" w:name="_Toc312678030"/>
      <w:bookmarkStart w:id="501" w:name="_Toc296891032"/>
      <w:bookmarkStart w:id="502" w:name="_Toc303539152"/>
      <w:bookmarkStart w:id="503" w:name="_Toc297216205"/>
      <w:bookmarkStart w:id="504" w:name="_Toc297048390"/>
      <w:bookmarkStart w:id="505" w:name="_Toc300934995"/>
      <w:bookmarkStart w:id="506" w:name="_Toc292559914"/>
      <w:bookmarkStart w:id="507" w:name="_Toc297120504"/>
      <w:bookmarkStart w:id="508" w:name="_Toc296503204"/>
      <w:bookmarkStart w:id="509" w:name="_Toc296347203"/>
      <w:bookmarkStart w:id="510" w:name="_Toc312677504"/>
      <w:bookmarkStart w:id="511" w:name="_Toc296346705"/>
      <w:bookmarkStart w:id="512" w:name="_Toc292559409"/>
      <w:bookmarkStart w:id="513" w:name="_Toc296891244"/>
      <w:bookmarkStart w:id="514" w:name="_Toc318581175"/>
      <w:bookmarkStart w:id="515" w:name="_Toc296944543"/>
      <w:bookmarkStart w:id="516" w:name="_Toc304295571"/>
      <w:bookmarkStart w:id="517" w:name="_Toc297123546"/>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包人提出的合理化建议降低了合同价格或者提高了工程经济效益的奖励的方法和金额为：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无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p w14:paraId="6F75414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bookmarkStart w:id="518" w:name="_Toc292559909"/>
      <w:bookmarkStart w:id="519" w:name="_Toc300934997"/>
      <w:bookmarkStart w:id="520" w:name="_Toc297216207"/>
      <w:bookmarkStart w:id="521" w:name="_Toc312678033"/>
      <w:bookmarkStart w:id="522" w:name="_Toc303539154"/>
      <w:bookmarkStart w:id="523" w:name="_Toc292559404"/>
      <w:bookmarkStart w:id="524" w:name="_Toc304295574"/>
      <w:bookmarkStart w:id="525" w:name="_Toc296891239"/>
      <w:bookmarkStart w:id="526" w:name="_Toc296891027"/>
      <w:bookmarkStart w:id="527" w:name="_Toc312677507"/>
      <w:bookmarkStart w:id="528" w:name="_Toc296503199"/>
      <w:bookmarkStart w:id="529" w:name="_Toc297048385"/>
      <w:bookmarkStart w:id="530" w:name="_Toc296346700"/>
      <w:bookmarkStart w:id="531" w:name="_Toc297120499"/>
      <w:bookmarkStart w:id="532" w:name="_Toc297123548"/>
      <w:bookmarkStart w:id="533" w:name="_Toc296944538"/>
      <w:bookmarkStart w:id="534" w:name="_Toc296347198"/>
      <w:r>
        <w:rPr>
          <w:rFonts w:hint="eastAsia" w:ascii="宋体" w:hAnsi="宋体" w:eastAsia="宋体" w:cs="宋体"/>
          <w:color w:val="000000" w:themeColor="text1"/>
          <w:sz w:val="24"/>
          <w:szCs w:val="24"/>
          <w:highlight w:val="none"/>
          <w:lang w:val="en-US" w:eastAsia="zh-CN"/>
          <w14:textFill>
            <w14:solidFill>
              <w14:schemeClr w14:val="tx1"/>
            </w14:solidFill>
          </w14:textFill>
        </w:rPr>
        <w:t>0.7 暂估价</w:t>
      </w:r>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Start w:id="535" w:name="_Toc312678034"/>
      <w:bookmarkStart w:id="536" w:name="_Toc312677508"/>
      <w:bookmarkStart w:id="537" w:name="_Toc318581176"/>
    </w:p>
    <w:bookmarkEnd w:id="535"/>
    <w:bookmarkEnd w:id="536"/>
    <w:bookmarkEnd w:id="537"/>
    <w:p w14:paraId="76482C7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bookmarkStart w:id="538" w:name="_Toc312678035"/>
      <w:bookmarkStart w:id="539" w:name="_Toc312677509"/>
      <w:bookmarkStart w:id="540" w:name="_Toc318581177"/>
      <w:r>
        <w:rPr>
          <w:rFonts w:hint="eastAsia" w:ascii="宋体" w:hAnsi="宋体" w:eastAsia="宋体" w:cs="宋体"/>
          <w:color w:val="000000" w:themeColor="text1"/>
          <w:sz w:val="24"/>
          <w:szCs w:val="24"/>
          <w:highlight w:val="none"/>
          <w:lang w:val="en-US" w:eastAsia="zh-CN"/>
          <w14:textFill>
            <w14:solidFill>
              <w14:schemeClr w14:val="tx1"/>
            </w14:solidFill>
          </w14:textFill>
        </w:rPr>
        <w:t>0.7.1 依法必须招标的暂估价项目</w:t>
      </w:r>
    </w:p>
    <w:bookmarkEnd w:id="538"/>
    <w:bookmarkEnd w:id="539"/>
    <w:bookmarkEnd w:id="540"/>
    <w:p w14:paraId="2C213F4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对于依法必须招标的暂估价项目的确认和批准采取招标方式确定。</w:t>
      </w:r>
    </w:p>
    <w:p w14:paraId="65C0A45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10.7.2 不属于依法必须招标的暂估价项目</w:t>
      </w:r>
    </w:p>
    <w:p w14:paraId="45179A1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对于不属于依法必须招标的暂估价项目的确认和批准采取直接实施方式确定。</w:t>
      </w:r>
    </w:p>
    <w:p w14:paraId="419EAB4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第3种方式：承包人直接实施的暂估价项目</w:t>
      </w:r>
    </w:p>
    <w:p w14:paraId="21C883A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承包人直接实施的暂估价项目的约定：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6316040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10.8 暂列金额</w:t>
      </w:r>
    </w:p>
    <w:p w14:paraId="3AE490A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合同当事人关于暂列金额使用的约定：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1EA96E7E">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541" w:name="_Toc351203643"/>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11. 价格调整</w:t>
      </w:r>
      <w:bookmarkEnd w:id="541"/>
    </w:p>
    <w:p w14:paraId="29A7245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542" w:name="_Toc296347200"/>
      <w:bookmarkStart w:id="543" w:name="_Toc292559911"/>
      <w:bookmarkStart w:id="544" w:name="_Toc296503201"/>
      <w:bookmarkStart w:id="545" w:name="_Toc296891029"/>
      <w:bookmarkStart w:id="546" w:name="_Toc303539157"/>
      <w:bookmarkStart w:id="547" w:name="_Toc300935000"/>
      <w:bookmarkStart w:id="548" w:name="_Toc297123550"/>
      <w:bookmarkStart w:id="549" w:name="_Toc297216209"/>
      <w:bookmarkStart w:id="550" w:name="_Toc296891241"/>
      <w:bookmarkStart w:id="551" w:name="_Toc297048387"/>
      <w:bookmarkStart w:id="552" w:name="_Toc312678039"/>
      <w:bookmarkStart w:id="553" w:name="_Toc304295577"/>
      <w:bookmarkStart w:id="554" w:name="_Toc296346702"/>
      <w:bookmarkStart w:id="555" w:name="_Toc292559406"/>
      <w:bookmarkStart w:id="556" w:name="_Toc297120501"/>
      <w:bookmarkStart w:id="557" w:name="_Toc296944540"/>
      <w:r>
        <w:rPr>
          <w:rFonts w:hint="eastAsia" w:ascii="宋体" w:hAnsi="宋体" w:eastAsia="宋体" w:cs="宋体"/>
          <w:color w:val="000000" w:themeColor="text1"/>
          <w:sz w:val="24"/>
          <w:szCs w:val="24"/>
          <w:highlight w:val="none"/>
          <w:lang w:val="en-US" w:eastAsia="zh-CN"/>
          <w14:textFill>
            <w14:solidFill>
              <w14:schemeClr w14:val="tx1"/>
            </w14:solidFill>
          </w14:textFill>
        </w:rPr>
        <w:t>11.1 市场价格波动引起的调整</w:t>
      </w:r>
    </w:p>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p w14:paraId="7FFC954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（1）市场价格波动是否调整合同价格的约定：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538A38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因市场价格波动调整合同价格，采用以下第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种方式对合同价格进行调整：</w:t>
      </w:r>
    </w:p>
    <w:p w14:paraId="73E2B22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第1种方式：采用价格指数进行价格调整。</w:t>
      </w:r>
    </w:p>
    <w:p w14:paraId="0BBD38C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关于各可调因子、定值和变值权重，以及基本价格指数及其来源的约定：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F74232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第2种方式：采用造价信息进行价格调整。</w:t>
      </w:r>
    </w:p>
    <w:p w14:paraId="6ECB81B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（2）关于基准价格的约定：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C0C1DD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专用合同条款①承包人在已标价工程量清单或预算书中载明材料单价低于基准价格的：</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专用合同条款合同履行期间材料单价涨幅以基准价格为基础超过/%时，或材料单价跌幅以在已标价工程量清单或预算书中载明材料单价为基础超过/%   时，其超过部分据实调整</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8C63AD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②承包人在已标价工程量清单或预算书中载明材料单价高于基准价格的：</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专用合同条款合同履行期间材料单价跌幅以基准价格为基础超过/%时，材料单价涨幅以在已标价工程量清单或预算书中载明材料单价为基础超过/%时，其超过部分据实调整</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001E47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③承包人在已标价工程量清单或预算书中载明材料单价等于基准价格的：</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专用合同条款合同履行期间材料单价涨跌幅以基准价格为基础超过/%时，其超过部分据实调整</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F93A12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第3种方式：其他价格调整方式：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445"/>
    <w:bookmarkEnd w:id="446"/>
    <w:bookmarkEnd w:id="447"/>
    <w:bookmarkEnd w:id="448"/>
    <w:bookmarkEnd w:id="449"/>
    <w:bookmarkEnd w:id="450"/>
    <w:p w14:paraId="37B84F5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558" w:name="_Toc296944544"/>
      <w:bookmarkStart w:id="559" w:name="_Toc296891245"/>
      <w:bookmarkStart w:id="560" w:name="_Toc296503205"/>
      <w:bookmarkStart w:id="561" w:name="_Toc296346706"/>
      <w:bookmarkStart w:id="562" w:name="_Toc297120505"/>
      <w:bookmarkStart w:id="563" w:name="_Toc292559915"/>
      <w:bookmarkStart w:id="564" w:name="_Toc296347204"/>
      <w:bookmarkStart w:id="565" w:name="_Toc297048391"/>
      <w:bookmarkStart w:id="566" w:name="_Toc296891033"/>
      <w:bookmarkStart w:id="567" w:name="_Toc292559410"/>
      <w:bookmarkStart w:id="568" w:name="_Toc351203644"/>
      <w:bookmarkStart w:id="569" w:name="_Toc303539159"/>
      <w:bookmarkStart w:id="570" w:name="_Toc300935002"/>
      <w:bookmarkStart w:id="571" w:name="_Toc312678040"/>
      <w:bookmarkStart w:id="572" w:name="_Toc297216211"/>
      <w:bookmarkStart w:id="573" w:name="_Toc304295579"/>
      <w:bookmarkStart w:id="574" w:name="_Toc297123552"/>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xml:space="preserve">12. </w:t>
      </w:r>
      <w:bookmarkEnd w:id="558"/>
      <w:bookmarkEnd w:id="559"/>
      <w:bookmarkEnd w:id="560"/>
      <w:bookmarkEnd w:id="561"/>
      <w:bookmarkEnd w:id="562"/>
      <w:bookmarkEnd w:id="563"/>
      <w:bookmarkEnd w:id="564"/>
      <w:bookmarkEnd w:id="565"/>
      <w:bookmarkEnd w:id="566"/>
      <w:bookmarkEnd w:id="567"/>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合同价格、计量与支付</w:t>
      </w:r>
      <w:bookmarkEnd w:id="568"/>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77F7172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575" w:name="_Toc292559411"/>
      <w:bookmarkStart w:id="576" w:name="_Toc267251461"/>
      <w:bookmarkStart w:id="577" w:name="_Toc292559916"/>
      <w:bookmarkStart w:id="578" w:name="_Toc296891034"/>
      <w:bookmarkStart w:id="579" w:name="_Toc297048392"/>
      <w:bookmarkStart w:id="580" w:name="_Toc296346707"/>
      <w:bookmarkStart w:id="581" w:name="_Toc296944545"/>
      <w:bookmarkStart w:id="582" w:name="_Toc296891246"/>
      <w:bookmarkStart w:id="583" w:name="_Toc296347205"/>
      <w:bookmarkStart w:id="584" w:name="_Toc296503206"/>
      <w:bookmarkStart w:id="585" w:name="_Toc297120506"/>
      <w:bookmarkStart w:id="586" w:name="_Toc297123553"/>
      <w:bookmarkStart w:id="587" w:name="_Toc312678041"/>
      <w:bookmarkStart w:id="588" w:name="_Toc304295580"/>
      <w:bookmarkStart w:id="589" w:name="_Toc303539160"/>
      <w:bookmarkStart w:id="590" w:name="_Toc297216212"/>
      <w:bookmarkStart w:id="591" w:name="_Toc300935003"/>
      <w:r>
        <w:rPr>
          <w:rFonts w:hint="eastAsia" w:ascii="宋体" w:hAnsi="宋体" w:eastAsia="宋体" w:cs="宋体"/>
          <w:color w:val="000000" w:themeColor="text1"/>
          <w:sz w:val="24"/>
          <w:szCs w:val="24"/>
          <w:highlight w:val="none"/>
          <w:lang w:val="en-US" w:eastAsia="zh-CN"/>
          <w14:textFill>
            <w14:solidFill>
              <w14:schemeClr w14:val="tx1"/>
            </w14:solidFill>
          </w14:textFill>
        </w:rPr>
        <w:t>12.1 合</w:t>
      </w:r>
      <w:bookmarkEnd w:id="575"/>
      <w:bookmarkEnd w:id="576"/>
      <w:bookmarkEnd w:id="577"/>
      <w:r>
        <w:rPr>
          <w:rFonts w:hint="eastAsia" w:ascii="宋体" w:hAnsi="宋体" w:eastAsia="宋体" w:cs="宋体"/>
          <w:color w:val="000000" w:themeColor="text1"/>
          <w:sz w:val="24"/>
          <w:szCs w:val="24"/>
          <w:highlight w:val="none"/>
          <w:lang w:val="en-US" w:eastAsia="zh-CN"/>
          <w14:textFill>
            <w14:solidFill>
              <w14:schemeClr w14:val="tx1"/>
            </w14:solidFill>
          </w14:textFill>
        </w:rPr>
        <w:t>同价</w:t>
      </w:r>
      <w:bookmarkEnd w:id="578"/>
      <w:bookmarkEnd w:id="579"/>
      <w:bookmarkEnd w:id="580"/>
      <w:bookmarkEnd w:id="581"/>
      <w:bookmarkEnd w:id="582"/>
      <w:bookmarkEnd w:id="583"/>
      <w:bookmarkEnd w:id="584"/>
      <w:bookmarkEnd w:id="585"/>
      <w:r>
        <w:rPr>
          <w:rFonts w:hint="eastAsia" w:ascii="宋体" w:hAnsi="宋体" w:eastAsia="宋体" w:cs="宋体"/>
          <w:color w:val="000000" w:themeColor="text1"/>
          <w:sz w:val="24"/>
          <w:szCs w:val="24"/>
          <w:highlight w:val="none"/>
          <w:lang w:val="en-US" w:eastAsia="zh-CN"/>
          <w14:textFill>
            <w14:solidFill>
              <w14:schemeClr w14:val="tx1"/>
            </w14:solidFill>
          </w14:textFill>
        </w:rPr>
        <w:t>格形式：</w:t>
      </w:r>
      <w:bookmarkEnd w:id="586"/>
      <w:bookmarkEnd w:id="587"/>
      <w:bookmarkEnd w:id="588"/>
      <w:bookmarkEnd w:id="589"/>
      <w:bookmarkEnd w:id="590"/>
      <w:bookmarkEnd w:id="591"/>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5FB577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1、单价合同。</w:t>
      </w:r>
    </w:p>
    <w:p w14:paraId="63B9911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综合单价包含的风险范围：</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6D40CF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风险费用的计算方法：</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25E7832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风险范围以外合同价格的调整方法：</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28A8021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2、总价合同。</w:t>
      </w:r>
    </w:p>
    <w:p w14:paraId="3FCDCA0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总价包含的风险范围：</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2225E2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风险费用的计算方法：</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020806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风险范围以外合同价格的调整方法：</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569"/>
    <w:bookmarkEnd w:id="570"/>
    <w:bookmarkEnd w:id="571"/>
    <w:bookmarkEnd w:id="572"/>
    <w:bookmarkEnd w:id="573"/>
    <w:bookmarkEnd w:id="574"/>
    <w:p w14:paraId="56F1B1F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592" w:name="_Toc300935004"/>
      <w:bookmarkStart w:id="593" w:name="_Toc304295581"/>
      <w:bookmarkStart w:id="594" w:name="_Toc297216213"/>
      <w:bookmarkStart w:id="595" w:name="_Toc297123554"/>
      <w:bookmarkStart w:id="596" w:name="_Toc312678042"/>
      <w:bookmarkStart w:id="597" w:name="_Toc303539161"/>
      <w:bookmarkStart w:id="598" w:name="_Toc296944546"/>
      <w:bookmarkStart w:id="599" w:name="_Toc296503207"/>
      <w:bookmarkStart w:id="600" w:name="_Toc296891035"/>
      <w:bookmarkStart w:id="601" w:name="_Toc296347206"/>
      <w:bookmarkStart w:id="602" w:name="_Toc297120507"/>
      <w:bookmarkStart w:id="603" w:name="_Toc296346708"/>
      <w:bookmarkStart w:id="604" w:name="_Toc297048393"/>
      <w:bookmarkStart w:id="605" w:name="_Toc292559917"/>
      <w:bookmarkStart w:id="606" w:name="_Toc296891247"/>
      <w:bookmarkStart w:id="607" w:name="_Toc292559412"/>
      <w:r>
        <w:rPr>
          <w:rFonts w:hint="eastAsia" w:ascii="宋体" w:hAnsi="宋体" w:eastAsia="宋体" w:cs="宋体"/>
          <w:color w:val="000000" w:themeColor="text1"/>
          <w:sz w:val="24"/>
          <w:szCs w:val="24"/>
          <w:highlight w:val="none"/>
          <w:lang w:val="en-US" w:eastAsia="zh-CN"/>
          <w14:textFill>
            <w14:solidFill>
              <w14:schemeClr w14:val="tx1"/>
            </w14:solidFill>
          </w14:textFill>
        </w:rPr>
        <w:t>12.2 预付款</w:t>
      </w:r>
    </w:p>
    <w:bookmarkEnd w:id="592"/>
    <w:bookmarkEnd w:id="593"/>
    <w:bookmarkEnd w:id="594"/>
    <w:bookmarkEnd w:id="595"/>
    <w:bookmarkEnd w:id="596"/>
    <w:bookmarkEnd w:id="597"/>
    <w:p w14:paraId="07EC32F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12.2.1 预付款的支付</w:t>
      </w:r>
    </w:p>
    <w:p w14:paraId="32706F7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预付款支付比例或金额：</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42BC468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预付款支付期限：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0F81ECA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预付款扣回的方式：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192FFF0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12.2.2 预付款担保</w:t>
      </w:r>
    </w:p>
    <w:p w14:paraId="658DC3A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承包人提交预付款担保的期限：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p>
    <w:p w14:paraId="3AAA024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预付款担保的形式为：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p>
    <w:bookmarkEnd w:id="598"/>
    <w:bookmarkEnd w:id="599"/>
    <w:bookmarkEnd w:id="600"/>
    <w:bookmarkEnd w:id="601"/>
    <w:bookmarkEnd w:id="602"/>
    <w:bookmarkEnd w:id="603"/>
    <w:bookmarkEnd w:id="604"/>
    <w:bookmarkEnd w:id="605"/>
    <w:bookmarkEnd w:id="606"/>
    <w:bookmarkEnd w:id="607"/>
    <w:p w14:paraId="2D35673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12.3 计量</w:t>
      </w:r>
    </w:p>
    <w:p w14:paraId="77EA536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12.3.1 计量原则</w:t>
      </w:r>
    </w:p>
    <w:p w14:paraId="7B7D5A0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工程量计算规则：</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56243B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12.3.2 计量周期</w:t>
      </w:r>
    </w:p>
    <w:p w14:paraId="19DCE9D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关于计量周期的约定：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9B5761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12.3.3 单价合同的计量</w:t>
      </w:r>
    </w:p>
    <w:p w14:paraId="4575B94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关于单价合同计量的约定：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5D9289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12.3.4 总价合同的计量</w:t>
      </w:r>
    </w:p>
    <w:p w14:paraId="4FA347F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关于总价合同计量的约定：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1DB0BA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12.3.5总价合同采用支付分解表计量支付的，是否适用第12.3.4 项〔总价合同的计量〕约定进行计量：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3D7056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12.3.6 其他价格形式合同的计量</w:t>
      </w:r>
    </w:p>
    <w:p w14:paraId="63272CB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其他价格形式的计量方式和程序：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52338C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12.4 工程进度款支付</w:t>
      </w:r>
    </w:p>
    <w:p w14:paraId="0DD5E6A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608" w:name="_Toc296347210"/>
      <w:bookmarkStart w:id="609" w:name="_Toc300935006"/>
      <w:bookmarkStart w:id="610" w:name="_Toc296944550"/>
      <w:bookmarkStart w:id="611" w:name="_Toc297120511"/>
      <w:bookmarkStart w:id="612" w:name="_Toc297048397"/>
      <w:bookmarkStart w:id="613" w:name="_Toc292559416"/>
      <w:bookmarkStart w:id="614" w:name="_Toc296503211"/>
      <w:bookmarkStart w:id="615" w:name="_Toc296346712"/>
      <w:bookmarkStart w:id="616" w:name="_Toc297123556"/>
      <w:bookmarkStart w:id="617" w:name="_Toc297216215"/>
      <w:bookmarkStart w:id="618" w:name="_Toc303539163"/>
      <w:bookmarkStart w:id="619" w:name="_Toc292559921"/>
      <w:bookmarkStart w:id="620" w:name="_Toc296891039"/>
      <w:bookmarkStart w:id="621" w:name="_Toc296891251"/>
      <w:r>
        <w:rPr>
          <w:rFonts w:hint="eastAsia" w:ascii="宋体" w:hAnsi="宋体" w:eastAsia="宋体" w:cs="宋体"/>
          <w:color w:val="000000" w:themeColor="text1"/>
          <w:sz w:val="24"/>
          <w:szCs w:val="24"/>
          <w:highlight w:val="none"/>
          <w:lang w:val="en-US" w:eastAsia="zh-CN"/>
          <w14:textFill>
            <w14:solidFill>
              <w14:schemeClr w14:val="tx1"/>
            </w14:solidFill>
          </w14:textFill>
        </w:rPr>
        <w:t>12.4.1 付款周期</w:t>
      </w:r>
    </w:p>
    <w:p w14:paraId="4D094F26">
      <w:pPr>
        <w:pageBreakBefore w:val="0"/>
        <w:kinsoku/>
        <w:wordWrap/>
        <w:overflowPunct/>
        <w:autoSpaceDE/>
        <w:autoSpaceDN/>
        <w:bidi w:val="0"/>
        <w:adjustRightInd/>
        <w:snapToGrid/>
        <w:spacing w:line="480" w:lineRule="exact"/>
        <w:textAlignment w:val="auto"/>
        <w:rPr>
          <w:rFonts w:hint="default"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关于付款周期的约定：</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具体以建设施工合同为准。    </w:t>
      </w:r>
    </w:p>
    <w:p w14:paraId="7AACC4B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12.4.2 进度付款申请单的编制</w:t>
      </w:r>
    </w:p>
    <w:p w14:paraId="43BF725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关于进度付款申请单编制的约定：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DD0727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r>
        <w:rPr>
          <w:rFonts w:hint="eastAsia" w:ascii="宋体" w:hAnsi="宋体" w:eastAsia="宋体" w:cs="宋体"/>
          <w:color w:val="000000" w:themeColor="text1"/>
          <w:sz w:val="24"/>
          <w:szCs w:val="24"/>
          <w:highlight w:val="none"/>
          <w:lang w:val="en-US" w:eastAsia="zh-CN"/>
          <w14:textFill>
            <w14:solidFill>
              <w14:schemeClr w14:val="tx1"/>
            </w14:solidFill>
          </w14:textFill>
        </w:rPr>
        <w:t>2.4.3 进度付款申请单的提交</w:t>
      </w:r>
    </w:p>
    <w:p w14:paraId="497DBE3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（1）单价合同进度付款申请单提交的约定：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6EE2A5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（2）总价合同进度付款申请单提交的约定：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838443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（3）其他价格形式合同进度付款申请单提交的约定：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EF4768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12.4.4 进度款审核和支付</w:t>
      </w:r>
    </w:p>
    <w:p w14:paraId="1114BBA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（1）监理人审查并报送发包人的期限：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F8B8C1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发包人完成审批并签发进度款支付证书的期限：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57684E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（2）发包人支付进度款的期限：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7934BA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发包人逾期支付进度款的违约金的计算方式：</w:t>
      </w:r>
    </w:p>
    <w:p w14:paraId="1E9BAAA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12.4.6 支付分解表的编制</w:t>
      </w:r>
    </w:p>
    <w:p w14:paraId="6BF08FC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2、总价合同支付分解表的编制与审批：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无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C7B05E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3、单价合同的总价项目支付分解表的编制与审批：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无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451"/>
    <w:p w14:paraId="4F7E34E9">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622" w:name="_Toc351203645"/>
      <w:bookmarkStart w:id="623" w:name="_Toc297048405"/>
      <w:bookmarkStart w:id="624" w:name="_Toc297123564"/>
      <w:bookmarkStart w:id="625" w:name="_Toc296891259"/>
      <w:bookmarkStart w:id="626" w:name="_Toc292559929"/>
      <w:bookmarkStart w:id="627" w:name="_Toc312678053"/>
      <w:bookmarkStart w:id="628" w:name="_Toc296944558"/>
      <w:bookmarkStart w:id="629" w:name="_Toc303539172"/>
      <w:bookmarkStart w:id="630" w:name="_Toc292559424"/>
      <w:bookmarkStart w:id="631" w:name="_Toc297216223"/>
      <w:bookmarkStart w:id="632" w:name="_Toc296503219"/>
      <w:bookmarkStart w:id="633" w:name="_Toc297120519"/>
      <w:bookmarkStart w:id="634" w:name="_Toc296346720"/>
      <w:bookmarkStart w:id="635" w:name="_Toc300935015"/>
      <w:bookmarkStart w:id="636" w:name="_Toc296347218"/>
      <w:bookmarkStart w:id="637" w:name="_Toc296891047"/>
      <w:bookmarkStart w:id="638" w:name="_Toc304295593"/>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13. 验收和工程试车</w:t>
      </w:r>
      <w:bookmarkEnd w:id="622"/>
    </w:p>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p w14:paraId="3E36954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13.1 分部分项工程验收</w:t>
      </w:r>
    </w:p>
    <w:p w14:paraId="5CCE9FB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13.1.2监理人不能按时进行验收时，应提前</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小时提交书面延期要求。</w:t>
      </w:r>
    </w:p>
    <w:p w14:paraId="2ACB21B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关于延期最长不得超过：</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小时。</w:t>
      </w:r>
    </w:p>
    <w:p w14:paraId="2F8120F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639" w:name="_Toc297048409"/>
      <w:bookmarkStart w:id="640" w:name="_Toc296944562"/>
      <w:bookmarkStart w:id="641" w:name="_Toc296346724"/>
      <w:bookmarkStart w:id="642" w:name="_Toc297123565"/>
      <w:bookmarkStart w:id="643" w:name="_Toc297120523"/>
      <w:bookmarkStart w:id="644" w:name="_Toc312678056"/>
      <w:bookmarkStart w:id="645" w:name="_Toc297216224"/>
      <w:bookmarkStart w:id="646" w:name="_Toc296503223"/>
      <w:bookmarkStart w:id="647" w:name="_Toc296891051"/>
      <w:bookmarkStart w:id="648" w:name="_Toc300935016"/>
      <w:bookmarkStart w:id="649" w:name="_Toc292559428"/>
      <w:bookmarkStart w:id="650" w:name="_Toc303539173"/>
      <w:bookmarkStart w:id="651" w:name="_Toc292559933"/>
      <w:bookmarkStart w:id="652" w:name="_Toc304295596"/>
      <w:bookmarkStart w:id="653" w:name="_Toc296347222"/>
      <w:bookmarkStart w:id="654" w:name="_Toc296891263"/>
      <w:bookmarkStart w:id="655" w:name="_Toc267251475"/>
      <w:bookmarkStart w:id="656" w:name="_Toc267251476"/>
      <w:bookmarkStart w:id="657" w:name="_Toc267251472"/>
      <w:bookmarkStart w:id="658" w:name="_Toc267251470"/>
      <w:bookmarkStart w:id="659" w:name="_Toc267251471"/>
      <w:bookmarkStart w:id="660" w:name="_Toc267251474"/>
      <w:bookmarkStart w:id="661" w:name="_Toc267251473"/>
      <w:r>
        <w:rPr>
          <w:rFonts w:hint="eastAsia" w:ascii="宋体" w:hAnsi="宋体" w:eastAsia="宋体" w:cs="宋体"/>
          <w:color w:val="000000" w:themeColor="text1"/>
          <w:sz w:val="24"/>
          <w:szCs w:val="24"/>
          <w:highlight w:val="none"/>
          <w:lang w:val="en-US" w:eastAsia="zh-CN"/>
          <w14:textFill>
            <w14:solidFill>
              <w14:schemeClr w14:val="tx1"/>
            </w14:solidFill>
          </w14:textFill>
        </w:rPr>
        <w:t>13.2 竣工验收</w:t>
      </w:r>
    </w:p>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p w14:paraId="7A7B119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662" w:name="_Toc280868704"/>
      <w:bookmarkStart w:id="663" w:name="_Toc280868705"/>
      <w:bookmarkStart w:id="664" w:name="_Toc280868706"/>
      <w:bookmarkStart w:id="665" w:name="_Toc280868707"/>
      <w:bookmarkStart w:id="666" w:name="_Toc280868708"/>
      <w:bookmarkStart w:id="667" w:name="_Toc280868709"/>
      <w:r>
        <w:rPr>
          <w:rFonts w:hint="eastAsia" w:ascii="宋体" w:hAnsi="宋体" w:eastAsia="宋体" w:cs="宋体"/>
          <w:color w:val="000000" w:themeColor="text1"/>
          <w:sz w:val="24"/>
          <w:szCs w:val="24"/>
          <w:highlight w:val="none"/>
          <w:lang w:val="en-US" w:eastAsia="zh-CN"/>
          <w14:textFill>
            <w14:solidFill>
              <w14:schemeClr w14:val="tx1"/>
            </w14:solidFill>
          </w14:textFill>
        </w:rPr>
        <w:t>13.2.2竣工验收程序</w:t>
      </w:r>
    </w:p>
    <w:bookmarkEnd w:id="662"/>
    <w:p w14:paraId="6BDDFA9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关于竣工验收程序的约定：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执行通用条款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FC45E5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发包人不按照本项约定组织竣工验收、颁发工程接收证书的违约金的计算方法：</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bookmarkEnd w:id="663"/>
    <w:p w14:paraId="20647D4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13.2.5移交、接收全部与部分工程</w:t>
      </w:r>
    </w:p>
    <w:bookmarkEnd w:id="664"/>
    <w:p w14:paraId="166C6D8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承包人向发包人移交工程的期限：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32215F0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发包人未按本合同约定接收全部或部分工程的，违约金的计算方法为：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665"/>
    <w:p w14:paraId="1640DB3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承包人未按时移交工程的，违约金的计算方法为：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18076E9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13.3 工程试车</w:t>
      </w:r>
    </w:p>
    <w:bookmarkEnd w:id="666"/>
    <w:p w14:paraId="2DB50D7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13.3.1 试车程序</w:t>
      </w:r>
    </w:p>
    <w:p w14:paraId="50C5F3C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工程试车内容：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0098963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（1）单机无负荷试车费用由</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承担；</w:t>
      </w:r>
    </w:p>
    <w:p w14:paraId="3B2E619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（2）无负荷联动试车费用由</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承担。</w:t>
      </w:r>
    </w:p>
    <w:p w14:paraId="382AADE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13.3.3 投料试车</w:t>
      </w:r>
    </w:p>
    <w:p w14:paraId="69C86F2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关于投料试车相关事项的约定：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6811CA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13.6 竣工退场</w:t>
      </w:r>
    </w:p>
    <w:p w14:paraId="3B927BA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13.6.1 竣工退场</w:t>
      </w:r>
    </w:p>
    <w:p w14:paraId="6A4D973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承包人完成竣工退场的期限：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3EB148AC">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668" w:name="_Toc351203646"/>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14. 竣工结算</w:t>
      </w:r>
      <w:bookmarkEnd w:id="668"/>
    </w:p>
    <w:p w14:paraId="25D708D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14.1 竣工付款申请</w:t>
      </w:r>
    </w:p>
    <w:p w14:paraId="35C6FEC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承包人提交竣工付款申请单的期限：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3ECB23E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竣工付款申请单应包括的内容：                               。</w:t>
      </w:r>
    </w:p>
    <w:p w14:paraId="524CF13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14.2 竣工结算审核</w:t>
      </w:r>
    </w:p>
    <w:p w14:paraId="35F7D37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发包人审批竣工付款申请单的期限：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执行通用条款</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7C42FB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发包人完成竣工付款的期限：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执行通用条款</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BFBBC6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关于竣工付款证书异议部分复核的方式和程序：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执行通用条款</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6A580D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14.4 最终结清</w:t>
      </w:r>
    </w:p>
    <w:p w14:paraId="35DFF95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14.4.1 最终结清申请单</w:t>
      </w:r>
    </w:p>
    <w:p w14:paraId="394500E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承包人提交最终结清申请单的份数：</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8CCACC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承包人提交最终结算申请单的期限：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 </w:t>
      </w:r>
    </w:p>
    <w:p w14:paraId="602CA59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14.4.2 最终结清证书和支付</w:t>
      </w:r>
    </w:p>
    <w:p w14:paraId="2764A16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（1）发包人完成最终结清申请单的审批并颁发最终结清证书的期限：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CE1714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（2）发包人完成支付的期限：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bookmarkEnd w:id="655"/>
    <w:bookmarkEnd w:id="656"/>
    <w:bookmarkEnd w:id="657"/>
    <w:bookmarkEnd w:id="658"/>
    <w:bookmarkEnd w:id="659"/>
    <w:bookmarkEnd w:id="660"/>
    <w:bookmarkEnd w:id="661"/>
    <w:bookmarkEnd w:id="667"/>
    <w:p w14:paraId="369E9C26">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669" w:name="_Toc351203647"/>
      <w:bookmarkStart w:id="670" w:name="_Toc267251483"/>
      <w:bookmarkStart w:id="671" w:name="_Toc267251484"/>
      <w:bookmarkStart w:id="672" w:name="_Toc267251482"/>
      <w:bookmarkStart w:id="673" w:name="_Toc267251489"/>
      <w:bookmarkStart w:id="674" w:name="_Toc267251485"/>
      <w:bookmarkStart w:id="675" w:name="_Toc267251490"/>
      <w:bookmarkStart w:id="676" w:name="_Toc267251486"/>
      <w:bookmarkStart w:id="677" w:name="_Toc267251488"/>
      <w:bookmarkStart w:id="678" w:name="_Toc267251492"/>
      <w:bookmarkStart w:id="679" w:name="_Toc267251491"/>
      <w:bookmarkStart w:id="680" w:name="_Toc267251502"/>
      <w:bookmarkStart w:id="681" w:name="_Toc267251495"/>
      <w:bookmarkStart w:id="682" w:name="_Toc267251497"/>
      <w:bookmarkStart w:id="683" w:name="_Toc267251503"/>
      <w:bookmarkStart w:id="684" w:name="_Toc267251496"/>
      <w:bookmarkStart w:id="685" w:name="_Toc267251494"/>
      <w:bookmarkStart w:id="686" w:name="_Toc267251498"/>
      <w:bookmarkStart w:id="687" w:name="_Toc267251501"/>
      <w:bookmarkStart w:id="688" w:name="_Toc267251493"/>
      <w:bookmarkStart w:id="689" w:name="_Toc267251499"/>
      <w:bookmarkStart w:id="690" w:name="_Toc267251506"/>
      <w:bookmarkStart w:id="691" w:name="_Toc267251504"/>
      <w:bookmarkStart w:id="692" w:name="_Toc267251507"/>
      <w:bookmarkStart w:id="693" w:name="_Toc267251508"/>
      <w:bookmarkStart w:id="694" w:name="_Toc267251509"/>
      <w:bookmarkStart w:id="695" w:name="_Toc267251513"/>
      <w:bookmarkStart w:id="696" w:name="_Toc267251510"/>
      <w:bookmarkStart w:id="697" w:name="_Toc267251515"/>
      <w:bookmarkStart w:id="698" w:name="_Toc267251514"/>
      <w:bookmarkStart w:id="699" w:name="_Toc267251511"/>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15. 缺陷责任期与保修</w:t>
      </w:r>
      <w:bookmarkEnd w:id="669"/>
    </w:p>
    <w:p w14:paraId="72D711C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15.2缺陷责任期</w:t>
      </w:r>
      <w:bookmarkEnd w:id="670"/>
    </w:p>
    <w:p w14:paraId="5A08CF0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缺陷责任期的具体期限：</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12个月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26C6E44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15.3 质量保证金</w:t>
      </w:r>
    </w:p>
    <w:p w14:paraId="3D3CD43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关于是否扣留质量保证金的约定：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B93623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15.3.1 承包人提供质量保证金的方式</w:t>
      </w:r>
    </w:p>
    <w:p w14:paraId="4B46C63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质量保证金采用以下第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2  </w:t>
      </w:r>
      <w:r>
        <w:rPr>
          <w:rFonts w:hint="eastAsia" w:ascii="宋体" w:hAnsi="宋体" w:eastAsia="宋体" w:cs="宋体"/>
          <w:color w:val="000000" w:themeColor="text1"/>
          <w:sz w:val="24"/>
          <w:szCs w:val="24"/>
          <w:highlight w:val="none"/>
          <w:lang w:val="en-US" w:eastAsia="zh-CN"/>
          <w14:textFill>
            <w14:solidFill>
              <w14:schemeClr w14:val="tx1"/>
            </w14:solidFill>
          </w14:textFill>
        </w:rPr>
        <w:t>种方式：</w:t>
      </w:r>
    </w:p>
    <w:p w14:paraId="524252B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（1）质量保证金保函，保证金额为：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414BCF2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3%   </w:t>
      </w:r>
      <w:r>
        <w:rPr>
          <w:rFonts w:hint="eastAsia" w:ascii="宋体" w:hAnsi="宋体" w:eastAsia="宋体" w:cs="宋体"/>
          <w:color w:val="000000" w:themeColor="text1"/>
          <w:sz w:val="24"/>
          <w:szCs w:val="24"/>
          <w:highlight w:val="none"/>
          <w:lang w:val="en-US" w:eastAsia="zh-CN"/>
          <w14:textFill>
            <w14:solidFill>
              <w14:schemeClr w14:val="tx1"/>
            </w14:solidFill>
          </w14:textFill>
        </w:rPr>
        <w:t>的工程款；</w:t>
      </w:r>
    </w:p>
    <w:p w14:paraId="56CF892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（3）其他方式: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82FFEA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15.3.2 质量保证金的扣留 </w:t>
      </w:r>
    </w:p>
    <w:p w14:paraId="26C09C1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质量保证金的扣留采取以下第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2 </w:t>
      </w:r>
      <w:r>
        <w:rPr>
          <w:rFonts w:hint="eastAsia" w:ascii="宋体" w:hAnsi="宋体" w:eastAsia="宋体" w:cs="宋体"/>
          <w:color w:val="000000" w:themeColor="text1"/>
          <w:sz w:val="24"/>
          <w:szCs w:val="24"/>
          <w:highlight w:val="none"/>
          <w:lang w:val="en-US" w:eastAsia="zh-CN"/>
          <w14:textFill>
            <w14:solidFill>
              <w14:schemeClr w14:val="tx1"/>
            </w14:solidFill>
          </w14:textFill>
        </w:rPr>
        <w:t>种方式：</w:t>
      </w:r>
    </w:p>
    <w:p w14:paraId="19C0114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（1）在支付工程进度款时逐次扣留，在此情形下，质量保证金的计算基数不包括预付款的支付、扣回以及价格调整的金额；</w:t>
      </w:r>
    </w:p>
    <w:p w14:paraId="55603C8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（2）工程竣工结算时一次性扣留质量保证金；</w:t>
      </w:r>
    </w:p>
    <w:p w14:paraId="476A364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（3）其他扣留方式: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976518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关于质量保证金的补充约定：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bookmarkEnd w:id="671"/>
      <w:bookmarkEnd w:id="672"/>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bookmarkEnd w:id="673"/>
    <w:bookmarkEnd w:id="674"/>
    <w:bookmarkEnd w:id="675"/>
    <w:bookmarkEnd w:id="676"/>
    <w:bookmarkEnd w:id="677"/>
    <w:p w14:paraId="68C44C12">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700" w:name="_Toc351203648"/>
      <w:bookmarkStart w:id="701" w:name="_Toc280868717"/>
      <w:bookmarkStart w:id="702" w:name="_Toc280868718"/>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16. 违约</w:t>
      </w:r>
      <w:bookmarkEnd w:id="700"/>
    </w:p>
    <w:p w14:paraId="22DA060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16.1 发包人违约</w:t>
      </w:r>
    </w:p>
    <w:p w14:paraId="0C9A317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16.1.1发包人违约的情形</w:t>
      </w:r>
    </w:p>
    <w:p w14:paraId="6B926DC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发包人违约的其他情形：</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236B67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16.1.2 发包人违约的责任</w:t>
      </w:r>
    </w:p>
    <w:p w14:paraId="6C78EFD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发包人违约责任的承担方式和计算方法：</w:t>
      </w:r>
    </w:p>
    <w:p w14:paraId="4B7E28E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（1）因发包人原因未能在计划开工日期前7天内下达开工通知的违约责任：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4753FF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（2）因发包人原因未能按合同约定支付合同价款的违约责任：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7C0539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（3）发包人违反第10.1款〔变更的范围〕第（2）项约定，自行实施被取消的工作或转由他人实施的违约责任：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3CFA72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（4）发包人提供的材料、工程设备的规格、数量或质量不符合合同约定，或因发包人原因导致交货日期延误或交货地点变更等情况的违约责任：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17F5204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（5）因发包人违反合同约定造成暂停施工的违约责任：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1B59A39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（6）发包人无正当理由没有在约定期限内发出复工指示，导致承包人无法复工的违约责任：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54D014E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（7）其他</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DCB92A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16.1.3 因发包人违约解除合同</w:t>
      </w:r>
    </w:p>
    <w:p w14:paraId="3FD9CBD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承包人按16.1.1项〔发包人违约的情形〕约定暂停施工满</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天后发包人仍不纠正其违约行为并致使合同目的不能实现的，承包人有权解除合同。</w:t>
      </w:r>
    </w:p>
    <w:p w14:paraId="12DA6FF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16.2 承包人违约</w:t>
      </w:r>
    </w:p>
    <w:p w14:paraId="31D8B02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16.2.1 承包人违约的情形</w:t>
      </w:r>
    </w:p>
    <w:p w14:paraId="436F68A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承包人违约的其他情形：</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D0A879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16.2.2承包人违约的责任</w:t>
      </w:r>
    </w:p>
    <w:p w14:paraId="46FB48C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承包人违约责任的承担方式和计算方法：</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04C32A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16.2.3 因承包人违约解除合同</w:t>
      </w:r>
    </w:p>
    <w:p w14:paraId="65360C3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关于承包人违约解除合同的特别约定：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B940DF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发包人继续使用承包人在施工现场的材料、设备、临时工程、承包人文件和由承包人或以其名义编制的其他文件的费用承担方式：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453CEF1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703" w:name="_Toc351203649"/>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17. 不可抗力</w:t>
      </w:r>
      <w:bookmarkEnd w:id="703"/>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bookmarkEnd w:id="701"/>
    </w:p>
    <w:p w14:paraId="17B1F9C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17.1 不可抗力的确认</w:t>
      </w:r>
    </w:p>
    <w:p w14:paraId="16BDF19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除通用合同条款约定的不可抗力事件之外，视为不可抗力的其他情形：</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0DFAC27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17.4 因不可抗力解除合同</w:t>
      </w:r>
    </w:p>
    <w:p w14:paraId="102B64D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合同解除后，发包人应在商定或确定发包人应支付款项后</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天内完成款项的支付。</w:t>
      </w:r>
    </w:p>
    <w:p w14:paraId="27A05127">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704" w:name="_Toc351203650"/>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18. 保险</w:t>
      </w:r>
      <w:bookmarkEnd w:id="704"/>
    </w:p>
    <w:bookmarkEnd w:id="702"/>
    <w:p w14:paraId="2DBE174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18.1 工程保险</w:t>
      </w:r>
    </w:p>
    <w:p w14:paraId="717A52D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关于工程保险的特别约定：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7D9D083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18.3 其他保险</w:t>
      </w:r>
    </w:p>
    <w:p w14:paraId="1371D58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关于其他保险的约定：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05DC59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承包人是否应为其施工设备等办理财产保险：</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35687D0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18.7 通知义务</w:t>
      </w:r>
    </w:p>
    <w:p w14:paraId="1D90B49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关于变更保险合同时的通知义务的约定：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bookmarkEnd w:id="678"/>
    <w:bookmarkEnd w:id="679"/>
    <w:bookmarkEnd w:id="680"/>
    <w:bookmarkEnd w:id="681"/>
    <w:bookmarkEnd w:id="682"/>
    <w:bookmarkEnd w:id="683"/>
    <w:bookmarkEnd w:id="684"/>
    <w:bookmarkEnd w:id="685"/>
    <w:bookmarkEnd w:id="686"/>
    <w:bookmarkEnd w:id="687"/>
    <w:bookmarkEnd w:id="688"/>
    <w:bookmarkEnd w:id="689"/>
    <w:p w14:paraId="641873A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705" w:name="_Toc351203651"/>
      <w:r>
        <w:rPr>
          <w:rFonts w:hint="eastAsia" w:ascii="宋体" w:hAnsi="宋体" w:eastAsia="宋体" w:cs="宋体"/>
          <w:color w:val="000000" w:themeColor="text1"/>
          <w:sz w:val="24"/>
          <w:szCs w:val="24"/>
          <w:highlight w:val="none"/>
          <w:lang w:val="en-US" w:eastAsia="zh-CN"/>
          <w14:textFill>
            <w14:solidFill>
              <w14:schemeClr w14:val="tx1"/>
            </w14:solidFill>
          </w14:textFill>
        </w:rPr>
        <w:t>19. 争议解决</w:t>
      </w:r>
      <w:bookmarkEnd w:id="705"/>
    </w:p>
    <w:bookmarkEnd w:id="690"/>
    <w:bookmarkEnd w:id="691"/>
    <w:p w14:paraId="5F9DAB5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19.3 争</w:t>
      </w:r>
      <w:bookmarkEnd w:id="692"/>
      <w:r>
        <w:rPr>
          <w:rFonts w:hint="eastAsia" w:ascii="宋体" w:hAnsi="宋体" w:eastAsia="宋体" w:cs="宋体"/>
          <w:color w:val="000000" w:themeColor="text1"/>
          <w:sz w:val="24"/>
          <w:szCs w:val="24"/>
          <w:highlight w:val="none"/>
          <w:lang w:val="en-US" w:eastAsia="zh-CN"/>
          <w14:textFill>
            <w14:solidFill>
              <w14:schemeClr w14:val="tx1"/>
            </w14:solidFill>
          </w14:textFill>
        </w:rPr>
        <w:t>议评审</w:t>
      </w:r>
    </w:p>
    <w:p w14:paraId="59EEA6C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合同当事人是否同意将工程争议提交争议评审小组决定：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5B69447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19.3.1 争议评审小组的确定</w:t>
      </w:r>
    </w:p>
    <w:p w14:paraId="7B981F9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争议评审小组成员的确定：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0CFD2E9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选定争议评审员的期限：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5EC39D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争议评审小组成员的报酬承担方式：</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0F0724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其他事项的约定：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3A3294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19.3.2 争议评审小组的决定  </w:t>
      </w:r>
    </w:p>
    <w:p w14:paraId="4105EC3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合同当事人关于本项的约定：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2145C0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19.4仲裁或诉讼</w:t>
      </w:r>
      <w:bookmarkEnd w:id="693"/>
    </w:p>
    <w:bookmarkEnd w:id="694"/>
    <w:bookmarkEnd w:id="695"/>
    <w:bookmarkEnd w:id="696"/>
    <w:bookmarkEnd w:id="697"/>
    <w:bookmarkEnd w:id="698"/>
    <w:bookmarkEnd w:id="699"/>
    <w:p w14:paraId="179E0C0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因合同及合同有关事项发生的争议，按下列第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2 </w:t>
      </w:r>
      <w:r>
        <w:rPr>
          <w:rFonts w:hint="eastAsia" w:ascii="宋体" w:hAnsi="宋体" w:eastAsia="宋体" w:cs="宋体"/>
          <w:color w:val="000000" w:themeColor="text1"/>
          <w:sz w:val="24"/>
          <w:szCs w:val="24"/>
          <w:highlight w:val="none"/>
          <w:lang w:val="en-US" w:eastAsia="zh-CN"/>
          <w14:textFill>
            <w14:solidFill>
              <w14:schemeClr w14:val="tx1"/>
            </w14:solidFill>
          </w14:textFill>
        </w:rPr>
        <w:t>种方式解决：</w:t>
      </w:r>
    </w:p>
    <w:p w14:paraId="5C7C6D4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第一种解决方式：双方达成仲裁协议，向</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仲裁委员会申请仲裁；</w:t>
      </w:r>
    </w:p>
    <w:p w14:paraId="0A44885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第二种解决方式：向工程项目建设地人民法院起诉。</w:t>
      </w:r>
    </w:p>
    <w:p w14:paraId="2EE87213">
      <w:pPr>
        <w:pageBreakBefore w:val="0"/>
        <w:kinsoku/>
        <w:wordWrap/>
        <w:overflowPunct/>
        <w:autoSpaceDE/>
        <w:autoSpaceDN/>
        <w:bidi w:val="0"/>
        <w:adjustRightInd/>
        <w:snapToGrid/>
        <w:spacing w:line="480" w:lineRule="exac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xml:space="preserve">20、补充条款 </w:t>
      </w:r>
    </w:p>
    <w:p w14:paraId="335DFE8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无   </w:t>
      </w:r>
    </w:p>
    <w:p w14:paraId="5308DE7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p>
    <w:p w14:paraId="1104428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4548F78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br w:type="page"/>
      </w:r>
    </w:p>
    <w:p w14:paraId="43AA7FE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附件1：</w:t>
      </w:r>
    </w:p>
    <w:p w14:paraId="7DAB11F7">
      <w:pPr>
        <w:pageBreakBefore w:val="0"/>
        <w:kinsoku/>
        <w:wordWrap/>
        <w:overflowPunct/>
        <w:autoSpaceDE/>
        <w:autoSpaceDN/>
        <w:bidi w:val="0"/>
        <w:adjustRightInd/>
        <w:snapToGrid/>
        <w:spacing w:line="480" w:lineRule="exact"/>
        <w:jc w:val="center"/>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工 程 质 量 保 修 书</w:t>
      </w:r>
    </w:p>
    <w:p w14:paraId="3112DAA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发包人（全称）：</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0EF70BC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承包人（全称）：</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564781A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为保证</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（工程名称）在合理使用期限内正常使用，发包人承包人协商一致签订工程质量保修书。承包人在质量保修期内按照有关管理规定及双方约定承担工程质量保修责任。</w:t>
      </w:r>
    </w:p>
    <w:p w14:paraId="6F29504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一、工程质量保修范围和内容</w:t>
      </w:r>
    </w:p>
    <w:p w14:paraId="1220DEC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质量保修范围包括装修工程施工等项目。具体质量保修内容双方约定如下：</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5269BCE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二、质量保修期</w:t>
      </w:r>
    </w:p>
    <w:p w14:paraId="7E68C6F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质量保修期从工程实际竣工之日算起。分单项竣工验收的工程，按单项工程分别计算质量保修期。</w:t>
      </w:r>
    </w:p>
    <w:p w14:paraId="57EE935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双方根据国家有关规定，结合具体工程约定质量保修期如下：</w:t>
      </w:r>
    </w:p>
    <w:p w14:paraId="72B7F50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1、地基基础工程和主体结构工程为设计文件规定的该工程合理使用年限；</w:t>
      </w:r>
    </w:p>
    <w:p w14:paraId="5A0F0B2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2、质保期为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年；</w:t>
      </w:r>
    </w:p>
    <w:p w14:paraId="24957E8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3、整体工程质保期为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年；</w:t>
      </w:r>
    </w:p>
    <w:p w14:paraId="4F3178A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4、其他项目保修期限约定如下：</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年；</w:t>
      </w:r>
    </w:p>
    <w:p w14:paraId="38352A6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5、质量保修期自工程竣工验收合格签字之日起计算。</w:t>
      </w:r>
    </w:p>
    <w:p w14:paraId="0F80A56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三、质量保修责任</w:t>
      </w:r>
    </w:p>
    <w:p w14:paraId="48C71CF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1、属于保修范围和内容的项目， 承包人应在接到修理通知之后7天内派人修理。承包人不在约定期限内派人修理，发包人可委托其他人员修理，保修费用从质量保修金内扣除。</w:t>
      </w:r>
    </w:p>
    <w:p w14:paraId="758B8B7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2、发生须紧急抢修事故，承包人接到事故通知后，应立即到达事故现场抢修。非承包人施工质量引起的事故，抢修费用由发包人承担。</w:t>
      </w:r>
    </w:p>
    <w:p w14:paraId="29FC31B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3、在国家规定的工程合理使用期限内，承包人确保地基基础工程和主体结构的质量。因承包人原因致使工程在合理使用期限内造成人身和财产损害的，承包人应承担损害赔偿责任。</w:t>
      </w:r>
    </w:p>
    <w:p w14:paraId="566F8C7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四、质量保修金的支付：本工程约定的工程质量保金为施工结算价款的 3 %</w:t>
      </w:r>
    </w:p>
    <w:p w14:paraId="2C876DE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五、质量保修金的返还：发包人在质量保修期满无质量问题后14天内，将剩余保修金无息返还剩余质量保修金。</w:t>
      </w:r>
    </w:p>
    <w:p w14:paraId="6A35863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六、其他</w:t>
      </w:r>
    </w:p>
    <w:p w14:paraId="32B9CB0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双方约定的其他工程质量保修事项：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承包人负责保修期间收集整理完整工程资料</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51F54D4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本工程质量保修书作为施工合同附件，由施工合同发包人承包人双方共同签署。</w:t>
      </w:r>
    </w:p>
    <w:p w14:paraId="5BE8894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55DDFB1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551E86C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2430EA9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044956C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发包人（公章）：                            承包人（公章）：</w:t>
      </w:r>
    </w:p>
    <w:p w14:paraId="32045BA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法定代表人（签字）：                        法定代表人（签字）：</w:t>
      </w:r>
    </w:p>
    <w:p w14:paraId="3CCB246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年     月     日                            年     月     日</w:t>
      </w:r>
    </w:p>
    <w:p w14:paraId="26EE2DE5">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32"/>
          <w:szCs w:val="32"/>
          <w:highlight w:val="none"/>
          <w14:textFill>
            <w14:solidFill>
              <w14:schemeClr w14:val="tx1"/>
            </w14:solidFill>
          </w14:textFill>
        </w:rPr>
      </w:pPr>
      <w:bookmarkStart w:id="706" w:name="_Toc527642969"/>
      <w:bookmarkStart w:id="707" w:name="_Toc507690272"/>
      <w:bookmarkStart w:id="708" w:name="_Toc349637943"/>
      <w:bookmarkStart w:id="709" w:name="_Toc349573144"/>
      <w:bookmarkStart w:id="710" w:name="_Toc298240429"/>
    </w:p>
    <w:p w14:paraId="44C7A5A2">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4336F250">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3F38977E">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660AAC73">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58C8D6E0">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314FBC64">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0404BDA1">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7C8172C6">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2CD11ABD">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6833B8E3">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0E1065FF">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799DE39A">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43D11F40">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5AD2D404">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6F8247E8">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3E30443E">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7BA276B6">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2A7F553D">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14260CCC">
      <w:pPr>
        <w:pageBreakBefore w:val="0"/>
        <w:kinsoku/>
        <w:overflowPunct/>
        <w:autoSpaceDE w:val="0"/>
        <w:autoSpaceDN w:val="0"/>
        <w:bidi w:val="0"/>
        <w:adjustRightInd w:val="0"/>
        <w:spacing w:line="480" w:lineRule="exact"/>
        <w:jc w:val="center"/>
        <w:textAlignment w:val="auto"/>
        <w:rPr>
          <w:rFonts w:hint="eastAsia" w:ascii="宋体" w:hAnsi="宋体" w:eastAsia="宋体" w:cs="宋体"/>
          <w:b/>
          <w:color w:val="000000" w:themeColor="text1"/>
          <w:sz w:val="32"/>
          <w:szCs w:val="32"/>
          <w:highlight w:val="none"/>
          <w14:textFill>
            <w14:solidFill>
              <w14:schemeClr w14:val="tx1"/>
            </w14:solidFill>
          </w14:textFill>
        </w:rPr>
      </w:pPr>
    </w:p>
    <w:p w14:paraId="21D14684">
      <w:pPr>
        <w:pageBreakBefore w:val="0"/>
        <w:kinsoku/>
        <w:overflowPunct/>
        <w:autoSpaceDE w:val="0"/>
        <w:autoSpaceDN w:val="0"/>
        <w:bidi w:val="0"/>
        <w:adjustRightInd w:val="0"/>
        <w:spacing w:line="480" w:lineRule="exact"/>
        <w:jc w:val="center"/>
        <w:textAlignment w:val="auto"/>
        <w:rPr>
          <w:rFonts w:ascii="宋体" w:hAnsi="宋体" w:eastAsia="宋体" w:cs="宋体"/>
          <w:b/>
          <w:bCs/>
          <w:color w:val="000000" w:themeColor="text1"/>
          <w:sz w:val="36"/>
          <w:szCs w:val="36"/>
          <w:highlight w:val="none"/>
          <w:lang w:val="zh-CN"/>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第五部分　</w:t>
      </w:r>
      <w:bookmarkEnd w:id="706"/>
      <w:bookmarkEnd w:id="707"/>
      <w:bookmarkEnd w:id="708"/>
      <w:bookmarkEnd w:id="709"/>
      <w:bookmarkEnd w:id="710"/>
      <w:r>
        <w:rPr>
          <w:rFonts w:hint="eastAsia" w:ascii="宋体" w:hAnsi="宋体" w:eastAsia="宋体" w:cs="宋体"/>
          <w:b/>
          <w:color w:val="000000" w:themeColor="text1"/>
          <w:sz w:val="32"/>
          <w:szCs w:val="32"/>
          <w:highlight w:val="none"/>
          <w:lang w:val="zh-CN"/>
          <w14:textFill>
            <w14:solidFill>
              <w14:schemeClr w14:val="tx1"/>
            </w14:solidFill>
          </w14:textFill>
        </w:rPr>
        <w:t>响应文件格式</w:t>
      </w:r>
    </w:p>
    <w:p w14:paraId="70CC63A0">
      <w:pPr>
        <w:pageBreakBefore w:val="0"/>
        <w:kinsoku/>
        <w:overflowPunct/>
        <w:bidi w:val="0"/>
        <w:spacing w:line="480" w:lineRule="exact"/>
        <w:jc w:val="center"/>
        <w:textAlignment w:val="auto"/>
        <w:rPr>
          <w:rFonts w:ascii="宋体" w:hAnsi="宋体" w:eastAsia="宋体" w:cs="宋体"/>
          <w:color w:val="000000" w:themeColor="text1"/>
          <w:sz w:val="32"/>
          <w:szCs w:val="32"/>
          <w:highlight w:val="none"/>
          <w14:textFill>
            <w14:solidFill>
              <w14:schemeClr w14:val="tx1"/>
            </w14:solidFill>
          </w14:textFill>
        </w:rPr>
      </w:pPr>
    </w:p>
    <w:p w14:paraId="3180B5FF">
      <w:pPr>
        <w:pageBreakBefore w:val="0"/>
        <w:kinsoku/>
        <w:overflowPunct/>
        <w:autoSpaceDE w:val="0"/>
        <w:autoSpaceDN w:val="0"/>
        <w:bidi w:val="0"/>
        <w:adjustRightInd w:val="0"/>
        <w:spacing w:line="480" w:lineRule="exact"/>
        <w:jc w:val="center"/>
        <w:textAlignment w:val="auto"/>
        <w:rPr>
          <w:rFonts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注：为了便于查找，标注目录及页码</w:t>
      </w:r>
    </w:p>
    <w:p w14:paraId="17212E0A">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（以下内容需按要求提供相应证明材料）</w:t>
      </w:r>
    </w:p>
    <w:p w14:paraId="78E8EFD0">
      <w:pPr>
        <w:pageBreakBefore w:val="0"/>
        <w:kinsoku/>
        <w:overflowPunct/>
        <w:autoSpaceDE w:val="0"/>
        <w:autoSpaceDN w:val="0"/>
        <w:bidi w:val="0"/>
        <w:adjustRightInd w:val="0"/>
        <w:spacing w:line="480" w:lineRule="exact"/>
        <w:jc w:val="center"/>
        <w:textAlignment w:val="auto"/>
        <w:rPr>
          <w:rFonts w:ascii="宋体" w:hAnsi="宋体" w:eastAsia="宋体" w:cs="宋体"/>
          <w:b/>
          <w:bCs/>
          <w:color w:val="000000" w:themeColor="text1"/>
          <w:sz w:val="32"/>
          <w:szCs w:val="32"/>
          <w:highlight w:val="none"/>
          <w:lang w:val="zh-CN"/>
          <w14:textFill>
            <w14:solidFill>
              <w14:schemeClr w14:val="tx1"/>
            </w14:solidFill>
          </w14:textFill>
        </w:rPr>
      </w:pPr>
    </w:p>
    <w:p w14:paraId="46882807">
      <w:pPr>
        <w:pageBreakBefore w:val="0"/>
        <w:kinsoku/>
        <w:overflowPunct/>
        <w:autoSpaceDE w:val="0"/>
        <w:autoSpaceDN w:val="0"/>
        <w:bidi w:val="0"/>
        <w:adjustRightInd w:val="0"/>
        <w:spacing w:line="480" w:lineRule="exact"/>
        <w:textAlignment w:val="auto"/>
        <w:rPr>
          <w:rFonts w:ascii="宋体" w:hAnsi="宋体" w:eastAsia="宋体" w:cs="宋体"/>
          <w:b/>
          <w:bCs/>
          <w:color w:val="000000" w:themeColor="text1"/>
          <w:sz w:val="32"/>
          <w:szCs w:val="32"/>
          <w:highlight w:val="none"/>
          <w:lang w:val="zh-CN"/>
          <w14:textFill>
            <w14:solidFill>
              <w14:schemeClr w14:val="tx1"/>
            </w14:solidFill>
          </w14:textFill>
        </w:rPr>
      </w:pPr>
    </w:p>
    <w:p w14:paraId="3B3E741B">
      <w:pPr>
        <w:pStyle w:val="4"/>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b w:val="0"/>
          <w:bCs/>
          <w:color w:val="000000" w:themeColor="text1"/>
          <w:sz w:val="24"/>
          <w:szCs w:val="24"/>
          <w:highlight w:val="none"/>
          <w:lang w:val="zh-CN"/>
          <w14:textFill>
            <w14:solidFill>
              <w14:schemeClr w14:val="tx1"/>
            </w14:solidFill>
          </w14:textFill>
        </w:rPr>
        <w:br w:type="page"/>
      </w:r>
      <w:bookmarkStart w:id="711" w:name="_Toc414108641"/>
      <w:bookmarkStart w:id="712" w:name="_Toc383102810"/>
      <w:r>
        <w:rPr>
          <w:rFonts w:hint="eastAsia" w:ascii="宋体" w:hAnsi="宋体" w:eastAsia="宋体" w:cs="宋体"/>
          <w:color w:val="000000" w:themeColor="text1"/>
          <w:highlight w:val="none"/>
          <w:lang w:val="zh-CN"/>
          <w14:textFill>
            <w14:solidFill>
              <w14:schemeClr w14:val="tx1"/>
            </w14:solidFill>
          </w14:textFill>
        </w:rPr>
        <w:t>商</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务</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标</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格</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式</w:t>
      </w:r>
      <w:bookmarkEnd w:id="711"/>
      <w:bookmarkEnd w:id="712"/>
    </w:p>
    <w:p w14:paraId="55361DF2">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商务标封面示例</w:t>
      </w:r>
    </w:p>
    <w:p w14:paraId="48F6BDAB">
      <w:pPr>
        <w:pageBreakBefore w:val="0"/>
        <w:kinsoku/>
        <w:overflowPunct/>
        <w:autoSpaceDE w:val="0"/>
        <w:autoSpaceDN w:val="0"/>
        <w:bidi w:val="0"/>
        <w:adjustRightInd w:val="0"/>
        <w:spacing w:line="480" w:lineRule="exact"/>
        <w:ind w:firstLine="5760" w:firstLineChars="2400"/>
        <w:jc w:val="right"/>
        <w:textAlignment w:val="auto"/>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正本/副本</w:t>
      </w:r>
    </w:p>
    <w:p w14:paraId="37817944">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673B7B78">
      <w:pPr>
        <w:pageBreakBefore w:val="0"/>
        <w:kinsoku/>
        <w:overflowPunct/>
        <w:bidi w:val="0"/>
        <w:spacing w:line="480" w:lineRule="exact"/>
        <w:jc w:val="center"/>
        <w:textAlignment w:val="auto"/>
        <w:rPr>
          <w:rFonts w:ascii="宋体" w:hAnsi="宋体" w:eastAsia="宋体" w:cs="宋体"/>
          <w:b/>
          <w:bCs/>
          <w:color w:val="000000" w:themeColor="text1"/>
          <w:highlight w:val="none"/>
          <w:lang w:val="zh-CN"/>
          <w14:textFill>
            <w14:solidFill>
              <w14:schemeClr w14:val="tx1"/>
            </w14:solidFill>
          </w14:textFill>
        </w:rPr>
      </w:pPr>
    </w:p>
    <w:p w14:paraId="62A8BD9C">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4F989593">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22EA9B2D">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090A1646">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08892BAC">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2CA9E9F3">
      <w:pPr>
        <w:pageBreakBefore w:val="0"/>
        <w:kinsoku/>
        <w:overflowPunct/>
        <w:bidi w:val="0"/>
        <w:spacing w:line="480" w:lineRule="exact"/>
        <w:jc w:val="center"/>
        <w:textAlignment w:val="auto"/>
        <w:rPr>
          <w:rFonts w:ascii="宋体" w:hAnsi="宋体" w:eastAsia="宋体" w:cs="宋体"/>
          <w:b/>
          <w:bCs/>
          <w:color w:val="000000" w:themeColor="text1"/>
          <w:sz w:val="48"/>
          <w:szCs w:val="48"/>
          <w:highlight w:val="none"/>
          <w14:textFill>
            <w14:solidFill>
              <w14:schemeClr w14:val="tx1"/>
            </w14:solidFill>
          </w14:textFill>
        </w:rPr>
      </w:pPr>
      <w:r>
        <w:rPr>
          <w:rFonts w:hint="eastAsia" w:ascii="宋体" w:hAnsi="宋体" w:eastAsia="宋体" w:cs="宋体"/>
          <w:b/>
          <w:bCs/>
          <w:color w:val="000000" w:themeColor="text1"/>
          <w:sz w:val="48"/>
          <w:szCs w:val="48"/>
          <w:highlight w:val="none"/>
          <w:lang w:val="zh-CN"/>
          <w14:textFill>
            <w14:solidFill>
              <w14:schemeClr w14:val="tx1"/>
            </w14:solidFill>
          </w14:textFill>
        </w:rPr>
        <w:t>响应文件商务标</w:t>
      </w:r>
    </w:p>
    <w:p w14:paraId="2E2FB9ED">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1D2FEF6D">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51D37E37">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102DD85E">
      <w:pPr>
        <w:pStyle w:val="16"/>
        <w:rPr>
          <w:rFonts w:ascii="宋体" w:hAnsi="宋体" w:eastAsia="宋体" w:cs="宋体"/>
          <w:color w:val="000000" w:themeColor="text1"/>
          <w:szCs w:val="21"/>
          <w:highlight w:val="none"/>
          <w14:textFill>
            <w14:solidFill>
              <w14:schemeClr w14:val="tx1"/>
            </w14:solidFill>
          </w14:textFill>
        </w:rPr>
      </w:pPr>
    </w:p>
    <w:p w14:paraId="19F6B4FB">
      <w:pPr>
        <w:pStyle w:val="16"/>
        <w:rPr>
          <w:rFonts w:ascii="宋体" w:hAnsi="宋体" w:eastAsia="宋体" w:cs="宋体"/>
          <w:color w:val="000000" w:themeColor="text1"/>
          <w:szCs w:val="21"/>
          <w:highlight w:val="none"/>
          <w14:textFill>
            <w14:solidFill>
              <w14:schemeClr w14:val="tx1"/>
            </w14:solidFill>
          </w14:textFill>
        </w:rPr>
      </w:pPr>
    </w:p>
    <w:p w14:paraId="4E1EBCDD">
      <w:pPr>
        <w:pStyle w:val="16"/>
        <w:rPr>
          <w:rFonts w:ascii="宋体" w:hAnsi="宋体" w:eastAsia="宋体" w:cs="宋体"/>
          <w:color w:val="000000" w:themeColor="text1"/>
          <w:szCs w:val="21"/>
          <w:highlight w:val="none"/>
          <w14:textFill>
            <w14:solidFill>
              <w14:schemeClr w14:val="tx1"/>
            </w14:solidFill>
          </w14:textFill>
        </w:rPr>
      </w:pPr>
    </w:p>
    <w:p w14:paraId="756A8AFF">
      <w:pPr>
        <w:pStyle w:val="21"/>
        <w:pageBreakBefore w:val="0"/>
        <w:kinsoku/>
        <w:overflowPunct/>
        <w:bidi w:val="0"/>
        <w:spacing w:line="480" w:lineRule="exact"/>
        <w:ind w:firstLine="480"/>
        <w:textAlignment w:val="auto"/>
        <w:rPr>
          <w:rFonts w:ascii="宋体" w:hAnsi="宋体" w:eastAsia="宋体" w:cs="宋体"/>
          <w:color w:val="000000" w:themeColor="text1"/>
          <w:szCs w:val="21"/>
          <w:highlight w:val="none"/>
          <w14:textFill>
            <w14:solidFill>
              <w14:schemeClr w14:val="tx1"/>
            </w14:solidFill>
          </w14:textFill>
        </w:rPr>
      </w:pPr>
    </w:p>
    <w:p w14:paraId="52DD432E">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p>
    <w:p w14:paraId="54597869">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项目编号：</w:t>
      </w:r>
    </w:p>
    <w:p w14:paraId="1599A342">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w:t>
      </w:r>
    </w:p>
    <w:p w14:paraId="6B353D4F">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名称：（盖章）</w:t>
      </w:r>
    </w:p>
    <w:p w14:paraId="658DD7C9">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法定代表人或被授权代理人：（盖章）</w:t>
      </w:r>
    </w:p>
    <w:p w14:paraId="41B9A263">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单位地址：</w:t>
      </w:r>
    </w:p>
    <w:p w14:paraId="218C3986">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p>
    <w:p w14:paraId="402DCF11">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联系电话：</w:t>
      </w:r>
    </w:p>
    <w:p w14:paraId="492B544A">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p>
    <w:p w14:paraId="0C116A17">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年      月       日</w:t>
      </w:r>
    </w:p>
    <w:p w14:paraId="40945144">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商务标目录</w:t>
      </w:r>
    </w:p>
    <w:p w14:paraId="1CD7F8A3">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36E954DC">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1、投标承诺书（一）</w:t>
      </w:r>
    </w:p>
    <w:p w14:paraId="6EF026DF">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2、投标承诺书（二）</w:t>
      </w:r>
    </w:p>
    <w:p w14:paraId="7B49466D">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3、投标承诺书（三）</w:t>
      </w:r>
    </w:p>
    <w:p w14:paraId="6496C735">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4、法定代表人身份证明书</w:t>
      </w:r>
    </w:p>
    <w:p w14:paraId="44A1FFD6">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5、法定代表人授权委托书</w:t>
      </w:r>
    </w:p>
    <w:p w14:paraId="5B377736">
      <w:pPr>
        <w:pageBreakBefore w:val="0"/>
        <w:kinsoku/>
        <w:overflowPunct/>
        <w:autoSpaceDE w:val="0"/>
        <w:autoSpaceDN w:val="0"/>
        <w:bidi w:val="0"/>
        <w:adjustRightInd w:val="0"/>
        <w:spacing w:line="480" w:lineRule="exact"/>
        <w:ind w:left="450" w:leftChars="100" w:hanging="240" w:hanging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概况（企业营业执照副本复印件、资质证书副本复印件、安全生产许可证复印件、注册建造师证书复印件</w:t>
      </w:r>
      <w:r>
        <w:rPr>
          <w:rFonts w:hint="eastAsia" w:ascii="宋体" w:hAnsi="宋体" w:eastAsia="宋体" w:cs="宋体"/>
          <w:color w:val="000000" w:themeColor="text1"/>
          <w:sz w:val="24"/>
          <w:szCs w:val="24"/>
          <w:highlight w:val="none"/>
          <w:lang w:eastAsia="zh-CN"/>
          <w14:textFill>
            <w14:solidFill>
              <w14:schemeClr w14:val="tx1"/>
            </w14:solidFill>
          </w14:textFill>
        </w:rPr>
        <w:t>等</w:t>
      </w:r>
      <w:r>
        <w:rPr>
          <w:rFonts w:hint="eastAsia" w:ascii="宋体" w:hAnsi="宋体" w:eastAsia="宋体" w:cs="宋体"/>
          <w:color w:val="000000" w:themeColor="text1"/>
          <w:sz w:val="24"/>
          <w:szCs w:val="24"/>
          <w:highlight w:val="none"/>
          <w14:textFill>
            <w14:solidFill>
              <w14:schemeClr w14:val="tx1"/>
            </w14:solidFill>
          </w14:textFill>
        </w:rPr>
        <w:t>）；</w:t>
      </w:r>
    </w:p>
    <w:p w14:paraId="53C43D87">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7、项目管理人员</w:t>
      </w:r>
    </w:p>
    <w:p w14:paraId="5EC9865C">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8、投标保证金收据复印件</w:t>
      </w:r>
    </w:p>
    <w:p w14:paraId="0D33C603">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9、磋商文件要求的其他证明材料</w:t>
      </w:r>
    </w:p>
    <w:p w14:paraId="3820D075">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06FA407B">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注：为了便于查找，请按上述顺序编排商务标内容，并在目录中标明每项内容的起始页码。</w:t>
      </w:r>
    </w:p>
    <w:p w14:paraId="13B204C1">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1AFC9707">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3DEE6AC3">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12C9CE56">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3C331EAF">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br w:type="page"/>
      </w:r>
    </w:p>
    <w:p w14:paraId="08837BB8">
      <w:pPr>
        <w:pStyle w:val="2"/>
        <w:pageBreakBefore w:val="0"/>
        <w:kinsoku/>
        <w:overflowPunct/>
        <w:bidi w:val="0"/>
        <w:spacing w:line="480" w:lineRule="exact"/>
        <w:jc w:val="center"/>
        <w:textAlignment w:val="auto"/>
        <w:rPr>
          <w:rFonts w:ascii="宋体" w:hAnsi="宋体" w:eastAsia="宋体" w:cs="宋体"/>
          <w:color w:val="000000" w:themeColor="text1"/>
          <w:highlight w:val="none"/>
          <w14:textFill>
            <w14:solidFill>
              <w14:schemeClr w14:val="tx1"/>
            </w14:solidFill>
          </w14:textFill>
        </w:rPr>
      </w:pPr>
      <w:bookmarkStart w:id="713" w:name="_Toc414108642"/>
      <w:r>
        <w:rPr>
          <w:rFonts w:hint="eastAsia" w:ascii="宋体" w:hAnsi="宋体" w:eastAsia="宋体" w:cs="宋体"/>
          <w:color w:val="000000" w:themeColor="text1"/>
          <w:highlight w:val="none"/>
          <w:lang w:val="zh-CN"/>
          <w14:textFill>
            <w14:solidFill>
              <w14:schemeClr w14:val="tx1"/>
            </w14:solidFill>
          </w14:textFill>
        </w:rPr>
        <w:t>投标承诺书（一）</w:t>
      </w:r>
      <w:bookmarkEnd w:id="713"/>
    </w:p>
    <w:p w14:paraId="1A4D1FFF">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招标人：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655D10E4">
      <w:pPr>
        <w:pageBreakBefore w:val="0"/>
        <w:kinsoku/>
        <w:overflowPunct/>
        <w:autoSpaceDE w:val="0"/>
        <w:autoSpaceDN w:val="0"/>
        <w:bidi w:val="0"/>
        <w:adjustRightInd w:val="0"/>
        <w:spacing w:line="480" w:lineRule="exact"/>
        <w:ind w:firstLine="42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zh-CN"/>
          <w14:textFill>
            <w14:solidFill>
              <w14:schemeClr w14:val="tx1"/>
            </w14:solidFill>
          </w14:textFill>
        </w:rPr>
        <w:t>、根据已收到的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工程的磋商文件，我单位经考察现场和研究贵方的磋商文件后，将接受该工程磋商文件中各条款内容并且以</w:t>
      </w:r>
      <w:r>
        <w:rPr>
          <w:rFonts w:hint="eastAsia" w:ascii="宋体" w:hAnsi="宋体" w:cs="宋体"/>
          <w:color w:val="000000" w:themeColor="text1"/>
          <w:sz w:val="24"/>
          <w:szCs w:val="24"/>
          <w:highlight w:val="none"/>
          <w:u w:val="none"/>
          <w:lang w:val="en-US" w:eastAsia="zh-CN"/>
          <w14:textFill>
            <w14:solidFill>
              <w14:schemeClr w14:val="tx1"/>
            </w14:solidFill>
          </w14:textFill>
        </w:rPr>
        <w:t>：￥</w:t>
      </w:r>
      <w:r>
        <w:rPr>
          <w:rFonts w:hint="default" w:ascii="宋体" w:hAnsi="宋体" w:eastAsia="宋体" w:cs="宋体"/>
          <w:color w:val="000000" w:themeColor="text1"/>
          <w:sz w:val="24"/>
          <w:szCs w:val="24"/>
          <w:highlight w:val="none"/>
          <w:u w:val="single"/>
          <w:lang w:val="en-US"/>
          <w14:textFill>
            <w14:solidFill>
              <w14:schemeClr w14:val="tx1"/>
            </w14:solidFill>
          </w14:textFill>
        </w:rPr>
        <w:t xml:space="preserve">         元</w:t>
      </w:r>
      <w:r>
        <w:rPr>
          <w:rFonts w:hint="eastAsia" w:ascii="宋体" w:hAnsi="宋体" w:cs="宋体"/>
          <w:color w:val="000000" w:themeColor="text1"/>
          <w:sz w:val="24"/>
          <w:szCs w:val="24"/>
          <w:highlight w:val="none"/>
          <w:u w:val="single"/>
          <w:lang w:val="en-US" w:eastAsia="zh-CN"/>
          <w14:textFill>
            <w14:solidFill>
              <w14:schemeClr w14:val="tx1"/>
            </w14:solidFill>
          </w14:textFill>
        </w:rPr>
        <w:t>（</w:t>
      </w:r>
      <w:r>
        <w:rPr>
          <w:rFonts w:hint="default" w:ascii="宋体" w:hAnsi="宋体" w:cs="宋体"/>
          <w:color w:val="000000" w:themeColor="text1"/>
          <w:sz w:val="24"/>
          <w:szCs w:val="24"/>
          <w:highlight w:val="none"/>
          <w:u w:val="single"/>
          <w:lang w:val="en-US" w:eastAsia="zh-CN"/>
          <w14:textFill>
            <w14:solidFill>
              <w14:schemeClr w14:val="tx1"/>
            </w14:solidFill>
          </w14:textFill>
        </w:rPr>
        <w:t>大写</w:t>
      </w:r>
      <w:r>
        <w:rPr>
          <w:rFonts w:hint="eastAsia" w:ascii="宋体" w:hAnsi="宋体" w:cs="宋体"/>
          <w:color w:val="000000" w:themeColor="text1"/>
          <w:sz w:val="24"/>
          <w:szCs w:val="24"/>
          <w:highlight w:val="none"/>
          <w:u w:val="single"/>
          <w:lang w:val="en-US" w:eastAsia="zh-CN"/>
          <w14:textFill>
            <w14:solidFill>
              <w14:schemeClr w14:val="tx1"/>
            </w14:solidFill>
          </w14:textFill>
        </w:rPr>
        <w:t>：       ）</w:t>
      </w:r>
      <w:r>
        <w:rPr>
          <w:rFonts w:hint="eastAsia" w:ascii="宋体" w:hAnsi="宋体" w:eastAsia="宋体" w:cs="宋体"/>
          <w:color w:val="000000" w:themeColor="text1"/>
          <w:sz w:val="24"/>
          <w:szCs w:val="24"/>
          <w:highlight w:val="none"/>
          <w:lang w:val="zh-CN"/>
          <w14:textFill>
            <w14:solidFill>
              <w14:schemeClr w14:val="tx1"/>
            </w14:solidFill>
          </w14:textFill>
        </w:rPr>
        <w:t>的投标价格承包本招标范围内的工程。</w:t>
      </w:r>
    </w:p>
    <w:p w14:paraId="7AB3993F">
      <w:pPr>
        <w:pageBreakBefore w:val="0"/>
        <w:kinsoku/>
        <w:overflowPunct/>
        <w:autoSpaceDE w:val="0"/>
        <w:autoSpaceDN w:val="0"/>
        <w:bidi w:val="0"/>
        <w:adjustRightInd w:val="0"/>
        <w:spacing w:line="480" w:lineRule="exact"/>
        <w:ind w:firstLine="42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、如果我方中标，非业主原因，我方保证将在下列日期内组织施工。</w:t>
      </w:r>
    </w:p>
    <w:p w14:paraId="06F7AC2A">
      <w:pPr>
        <w:pageBreakBefore w:val="0"/>
        <w:kinsoku/>
        <w:overflowPunct/>
        <w:bidi w:val="0"/>
        <w:adjustRightInd w:val="0"/>
        <w:snapToGri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34E034E9">
      <w:pPr>
        <w:pageBreakBefore w:val="0"/>
        <w:kinsoku/>
        <w:overflowPunct/>
        <w:autoSpaceDE w:val="0"/>
        <w:autoSpaceDN w:val="0"/>
        <w:bidi w:val="0"/>
        <w:adjustRightInd w:val="0"/>
        <w:spacing w:line="480" w:lineRule="exact"/>
        <w:ind w:firstLine="42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、如果我方中标，非业主原因，我方保证将按下列质量标准完成本工程。</w:t>
      </w:r>
    </w:p>
    <w:p w14:paraId="78E9D1CA">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质量标准：</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A3D26D3">
      <w:pPr>
        <w:pageBreakBefore w:val="0"/>
        <w:kinsoku/>
        <w:overflowPunct/>
        <w:autoSpaceDE w:val="0"/>
        <w:autoSpaceDN w:val="0"/>
        <w:bidi w:val="0"/>
        <w:adjustRightInd w:val="0"/>
        <w:spacing w:line="480" w:lineRule="exact"/>
        <w:ind w:firstLine="42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r>
        <w:rPr>
          <w:rFonts w:hint="eastAsia" w:ascii="宋体" w:hAnsi="宋体" w:eastAsia="宋体" w:cs="宋体"/>
          <w:color w:val="000000" w:themeColor="text1"/>
          <w:sz w:val="24"/>
          <w:szCs w:val="24"/>
          <w:highlight w:val="none"/>
          <w:lang w:val="zh-CN"/>
          <w14:textFill>
            <w14:solidFill>
              <w14:schemeClr w14:val="tx1"/>
            </w14:solidFill>
          </w14:textFill>
        </w:rPr>
        <w:t>、如果我方中标，我方将按磋商文件规定的时间内签订承包合同。如果我方违约，除履约保证金外，我方还将以中标价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zh-CN"/>
          <w14:textFill>
            <w14:solidFill>
              <w14:schemeClr w14:val="tx1"/>
            </w14:solidFill>
          </w14:textFill>
        </w:rPr>
        <w:t>作为赔偿金，同时贵方有权终止我方中标并选择其它中标人。</w:t>
      </w:r>
    </w:p>
    <w:p w14:paraId="390A5901">
      <w:pPr>
        <w:pageBreakBefore w:val="0"/>
        <w:kinsoku/>
        <w:overflowPunct/>
        <w:autoSpaceDE w:val="0"/>
        <w:autoSpaceDN w:val="0"/>
        <w:bidi w:val="0"/>
        <w:adjustRightInd w:val="0"/>
        <w:spacing w:line="480" w:lineRule="exact"/>
        <w:ind w:firstLine="42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r>
        <w:rPr>
          <w:rFonts w:hint="eastAsia" w:ascii="宋体" w:hAnsi="宋体" w:eastAsia="宋体" w:cs="宋体"/>
          <w:color w:val="000000" w:themeColor="text1"/>
          <w:sz w:val="24"/>
          <w:szCs w:val="24"/>
          <w:highlight w:val="none"/>
          <w:lang w:val="zh-CN"/>
          <w14:textFill>
            <w14:solidFill>
              <w14:schemeClr w14:val="tx1"/>
            </w14:solidFill>
          </w14:textFill>
        </w:rPr>
        <w:t>、贵方的磋商文件、中标通知书、我方的响应文件将构成约束双方的合同一部分。</w:t>
      </w:r>
    </w:p>
    <w:p w14:paraId="5888D718">
      <w:pPr>
        <w:pageBreakBefore w:val="0"/>
        <w:kinsoku/>
        <w:overflowPunct/>
        <w:autoSpaceDE w:val="0"/>
        <w:autoSpaceDN w:val="0"/>
        <w:bidi w:val="0"/>
        <w:adjustRightInd w:val="0"/>
        <w:spacing w:line="480" w:lineRule="exact"/>
        <w:ind w:firstLine="42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r>
        <w:rPr>
          <w:rFonts w:hint="eastAsia" w:ascii="宋体" w:hAnsi="宋体" w:eastAsia="宋体" w:cs="宋体"/>
          <w:color w:val="000000" w:themeColor="text1"/>
          <w:sz w:val="24"/>
          <w:szCs w:val="24"/>
          <w:highlight w:val="none"/>
          <w:lang w:val="zh-CN"/>
          <w14:textFill>
            <w14:solidFill>
              <w14:schemeClr w14:val="tx1"/>
            </w14:solidFill>
          </w14:textFill>
        </w:rPr>
        <w:t>、如果我方未中标，贵方没有必要对我方做出任何解释和说明，我方将充分尊重和理解贵方的选择。</w:t>
      </w:r>
    </w:p>
    <w:p w14:paraId="6985F40E">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1259AB2A">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投标单位：</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（盖章）</w:t>
      </w:r>
    </w:p>
    <w:p w14:paraId="1C92DBD9">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lang w:val="zh-CN"/>
          <w14:textFill>
            <w14:solidFill>
              <w14:schemeClr w14:val="tx1"/>
            </w14:solidFill>
          </w14:textFill>
        </w:rPr>
      </w:pPr>
    </w:p>
    <w:p w14:paraId="771AABEA">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法定代表人或委托代理人：</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（盖章）</w:t>
      </w:r>
    </w:p>
    <w:p w14:paraId="38B246FE">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7570C88A">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日期：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日</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3FAB9494">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1164B450">
      <w:pPr>
        <w:pStyle w:val="16"/>
        <w:rPr>
          <w:rFonts w:ascii="宋体" w:hAnsi="宋体" w:eastAsia="宋体" w:cs="宋体"/>
          <w:color w:val="000000" w:themeColor="text1"/>
          <w:sz w:val="24"/>
          <w:szCs w:val="24"/>
          <w:highlight w:val="none"/>
          <w14:textFill>
            <w14:solidFill>
              <w14:schemeClr w14:val="tx1"/>
            </w14:solidFill>
          </w14:textFill>
        </w:rPr>
      </w:pPr>
    </w:p>
    <w:p w14:paraId="39E9D7B6">
      <w:pPr>
        <w:pStyle w:val="16"/>
        <w:rPr>
          <w:rFonts w:ascii="宋体" w:hAnsi="宋体" w:eastAsia="宋体" w:cs="宋体"/>
          <w:color w:val="000000" w:themeColor="text1"/>
          <w:sz w:val="24"/>
          <w:szCs w:val="24"/>
          <w:highlight w:val="none"/>
          <w14:textFill>
            <w14:solidFill>
              <w14:schemeClr w14:val="tx1"/>
            </w14:solidFill>
          </w14:textFill>
        </w:rPr>
      </w:pPr>
    </w:p>
    <w:p w14:paraId="6DF9249E">
      <w:pPr>
        <w:pStyle w:val="16"/>
        <w:rPr>
          <w:rFonts w:ascii="宋体" w:hAnsi="宋体" w:eastAsia="宋体" w:cs="宋体"/>
          <w:color w:val="000000" w:themeColor="text1"/>
          <w:sz w:val="24"/>
          <w:szCs w:val="24"/>
          <w:highlight w:val="none"/>
          <w14:textFill>
            <w14:solidFill>
              <w14:schemeClr w14:val="tx1"/>
            </w14:solidFill>
          </w14:textFill>
        </w:rPr>
      </w:pPr>
    </w:p>
    <w:p w14:paraId="45EDDAE6">
      <w:pPr>
        <w:pStyle w:val="16"/>
        <w:rPr>
          <w:rFonts w:ascii="宋体" w:hAnsi="宋体" w:eastAsia="宋体" w:cs="宋体"/>
          <w:color w:val="000000" w:themeColor="text1"/>
          <w:sz w:val="24"/>
          <w:szCs w:val="24"/>
          <w:highlight w:val="none"/>
          <w14:textFill>
            <w14:solidFill>
              <w14:schemeClr w14:val="tx1"/>
            </w14:solidFill>
          </w14:textFill>
        </w:rPr>
      </w:pPr>
    </w:p>
    <w:p w14:paraId="1771B9F8">
      <w:pPr>
        <w:pStyle w:val="16"/>
        <w:rPr>
          <w:rFonts w:ascii="宋体" w:hAnsi="宋体" w:eastAsia="宋体" w:cs="宋体"/>
          <w:color w:val="000000" w:themeColor="text1"/>
          <w:sz w:val="24"/>
          <w:szCs w:val="24"/>
          <w:highlight w:val="none"/>
          <w14:textFill>
            <w14:solidFill>
              <w14:schemeClr w14:val="tx1"/>
            </w14:solidFill>
          </w14:textFill>
        </w:rPr>
      </w:pPr>
    </w:p>
    <w:p w14:paraId="5DBCF3AA">
      <w:pPr>
        <w:pStyle w:val="2"/>
        <w:pageBreakBefore w:val="0"/>
        <w:kinsoku/>
        <w:overflowPunct/>
        <w:bidi w:val="0"/>
        <w:spacing w:line="480" w:lineRule="exact"/>
        <w:jc w:val="center"/>
        <w:textAlignment w:val="auto"/>
        <w:rPr>
          <w:rFonts w:ascii="宋体" w:hAnsi="宋体" w:eastAsia="宋体" w:cs="宋体"/>
          <w:color w:val="000000" w:themeColor="text1"/>
          <w:highlight w:val="none"/>
          <w14:textFill>
            <w14:solidFill>
              <w14:schemeClr w14:val="tx1"/>
            </w14:solidFill>
          </w14:textFill>
        </w:rPr>
      </w:pPr>
      <w:bookmarkStart w:id="714" w:name="_Toc414108643"/>
      <w:r>
        <w:rPr>
          <w:rFonts w:hint="eastAsia" w:ascii="宋体" w:hAnsi="宋体" w:eastAsia="宋体" w:cs="宋体"/>
          <w:color w:val="000000" w:themeColor="text1"/>
          <w:highlight w:val="none"/>
          <w:lang w:val="zh-CN"/>
          <w14:textFill>
            <w14:solidFill>
              <w14:schemeClr w14:val="tx1"/>
            </w14:solidFill>
          </w14:textFill>
        </w:rPr>
        <w:t>投标承诺书（二）</w:t>
      </w:r>
      <w:bookmarkEnd w:id="714"/>
    </w:p>
    <w:p w14:paraId="78202DE7">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77833D46">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招标人：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6114E09E">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437F91A1">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如果我方中标，施工项目负责人为：</w:t>
      </w:r>
    </w:p>
    <w:tbl>
      <w:tblPr>
        <w:tblStyle w:val="22"/>
        <w:tblW w:w="910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 w:type="dxa"/>
          <w:bottom w:w="0" w:type="dxa"/>
          <w:right w:w="10" w:type="dxa"/>
        </w:tblCellMar>
      </w:tblPr>
      <w:tblGrid>
        <w:gridCol w:w="2278"/>
        <w:gridCol w:w="2274"/>
        <w:gridCol w:w="2279"/>
        <w:gridCol w:w="2274"/>
      </w:tblGrid>
      <w:tr w14:paraId="60C020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6" w:hRule="atLeast"/>
        </w:trPr>
        <w:tc>
          <w:tcPr>
            <w:tcW w:w="2278" w:type="dxa"/>
            <w:tcBorders>
              <w:top w:val="single" w:color="auto" w:sz="4" w:space="0"/>
              <w:bottom w:val="single" w:color="auto" w:sz="4" w:space="0"/>
              <w:right w:val="single" w:color="auto" w:sz="4" w:space="0"/>
            </w:tcBorders>
            <w:vAlign w:val="center"/>
          </w:tcPr>
          <w:p w14:paraId="1DD4BDF6">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姓名</w:t>
            </w:r>
          </w:p>
        </w:tc>
        <w:tc>
          <w:tcPr>
            <w:tcW w:w="2274" w:type="dxa"/>
            <w:tcBorders>
              <w:top w:val="single" w:color="auto" w:sz="4" w:space="0"/>
              <w:left w:val="single" w:color="auto" w:sz="4" w:space="0"/>
              <w:bottom w:val="single" w:color="auto" w:sz="4" w:space="0"/>
              <w:right w:val="single" w:color="auto" w:sz="4" w:space="0"/>
            </w:tcBorders>
            <w:vAlign w:val="center"/>
          </w:tcPr>
          <w:p w14:paraId="1DB1B92D">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u w:val="single"/>
                <w14:textFill>
                  <w14:solidFill>
                    <w14:schemeClr w14:val="tx1"/>
                  </w14:solidFill>
                </w14:textFill>
              </w:rPr>
            </w:pPr>
          </w:p>
        </w:tc>
        <w:tc>
          <w:tcPr>
            <w:tcW w:w="2279" w:type="dxa"/>
            <w:tcBorders>
              <w:top w:val="single" w:color="auto" w:sz="4" w:space="0"/>
              <w:left w:val="single" w:color="auto" w:sz="4" w:space="0"/>
              <w:bottom w:val="single" w:color="auto" w:sz="4" w:space="0"/>
              <w:right w:val="single" w:color="auto" w:sz="4" w:space="0"/>
            </w:tcBorders>
            <w:vAlign w:val="center"/>
          </w:tcPr>
          <w:p w14:paraId="4CBC751F">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职称</w:t>
            </w:r>
          </w:p>
        </w:tc>
        <w:tc>
          <w:tcPr>
            <w:tcW w:w="2274" w:type="dxa"/>
            <w:tcBorders>
              <w:top w:val="single" w:color="auto" w:sz="4" w:space="0"/>
              <w:left w:val="single" w:color="auto" w:sz="4" w:space="0"/>
              <w:bottom w:val="single" w:color="auto" w:sz="4" w:space="0"/>
            </w:tcBorders>
            <w:vAlign w:val="center"/>
          </w:tcPr>
          <w:p w14:paraId="7F6C4DB6">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u w:val="single"/>
                <w14:textFill>
                  <w14:solidFill>
                    <w14:schemeClr w14:val="tx1"/>
                  </w14:solidFill>
                </w14:textFill>
              </w:rPr>
            </w:pPr>
          </w:p>
        </w:tc>
      </w:tr>
      <w:tr w14:paraId="060388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93" w:hRule="atLeast"/>
        </w:trPr>
        <w:tc>
          <w:tcPr>
            <w:tcW w:w="2278" w:type="dxa"/>
            <w:tcBorders>
              <w:top w:val="single" w:color="auto" w:sz="4" w:space="0"/>
              <w:bottom w:val="single" w:color="auto" w:sz="4" w:space="0"/>
              <w:right w:val="single" w:color="auto" w:sz="4" w:space="0"/>
            </w:tcBorders>
            <w:vAlign w:val="center"/>
          </w:tcPr>
          <w:p w14:paraId="682F1D2B">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注册建造师等级</w:t>
            </w:r>
          </w:p>
        </w:tc>
        <w:tc>
          <w:tcPr>
            <w:tcW w:w="2274" w:type="dxa"/>
            <w:tcBorders>
              <w:top w:val="single" w:color="auto" w:sz="4" w:space="0"/>
              <w:left w:val="single" w:color="auto" w:sz="4" w:space="0"/>
              <w:bottom w:val="single" w:color="auto" w:sz="4" w:space="0"/>
              <w:right w:val="single" w:color="auto" w:sz="4" w:space="0"/>
            </w:tcBorders>
            <w:vAlign w:val="center"/>
          </w:tcPr>
          <w:p w14:paraId="4F32CF81">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u w:val="single"/>
                <w14:textFill>
                  <w14:solidFill>
                    <w14:schemeClr w14:val="tx1"/>
                  </w14:solidFill>
                </w14:textFill>
              </w:rPr>
            </w:pPr>
          </w:p>
        </w:tc>
        <w:tc>
          <w:tcPr>
            <w:tcW w:w="2279" w:type="dxa"/>
            <w:tcBorders>
              <w:top w:val="single" w:color="auto" w:sz="4" w:space="0"/>
              <w:left w:val="single" w:color="auto" w:sz="4" w:space="0"/>
              <w:bottom w:val="single" w:color="auto" w:sz="4" w:space="0"/>
              <w:right w:val="single" w:color="auto" w:sz="4" w:space="0"/>
            </w:tcBorders>
            <w:vAlign w:val="center"/>
          </w:tcPr>
          <w:p w14:paraId="0E2E9579">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注册建造师证书编号</w:t>
            </w:r>
          </w:p>
        </w:tc>
        <w:tc>
          <w:tcPr>
            <w:tcW w:w="2274" w:type="dxa"/>
            <w:tcBorders>
              <w:top w:val="single" w:color="auto" w:sz="4" w:space="0"/>
              <w:left w:val="single" w:color="auto" w:sz="4" w:space="0"/>
              <w:bottom w:val="single" w:color="auto" w:sz="4" w:space="0"/>
            </w:tcBorders>
            <w:vAlign w:val="center"/>
          </w:tcPr>
          <w:p w14:paraId="41E8A3BE">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u w:val="single"/>
                <w14:textFill>
                  <w14:solidFill>
                    <w14:schemeClr w14:val="tx1"/>
                  </w14:solidFill>
                </w14:textFill>
              </w:rPr>
            </w:pPr>
          </w:p>
        </w:tc>
      </w:tr>
      <w:tr w14:paraId="6371E8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2" w:hRule="atLeast"/>
        </w:trPr>
        <w:tc>
          <w:tcPr>
            <w:tcW w:w="2278" w:type="dxa"/>
            <w:tcBorders>
              <w:top w:val="single" w:color="auto" w:sz="4" w:space="0"/>
              <w:bottom w:val="single" w:color="auto" w:sz="4" w:space="0"/>
              <w:right w:val="single" w:color="auto" w:sz="4" w:space="0"/>
            </w:tcBorders>
            <w:vAlign w:val="center"/>
          </w:tcPr>
          <w:p w14:paraId="7E890118">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身份证号码</w:t>
            </w:r>
          </w:p>
        </w:tc>
        <w:tc>
          <w:tcPr>
            <w:tcW w:w="6827" w:type="dxa"/>
            <w:gridSpan w:val="3"/>
            <w:tcBorders>
              <w:top w:val="single" w:color="auto" w:sz="4" w:space="0"/>
              <w:left w:val="single" w:color="auto" w:sz="4" w:space="0"/>
              <w:bottom w:val="single" w:color="auto" w:sz="4" w:space="0"/>
            </w:tcBorders>
            <w:vAlign w:val="center"/>
          </w:tcPr>
          <w:p w14:paraId="07B38A33">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highlight w:val="none"/>
                <w:u w:val="single"/>
                <w14:textFill>
                  <w14:solidFill>
                    <w14:schemeClr w14:val="tx1"/>
                  </w14:solidFill>
                </w14:textFill>
              </w:rPr>
            </w:pPr>
          </w:p>
        </w:tc>
      </w:tr>
    </w:tbl>
    <w:p w14:paraId="6748D4D2">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6030420A">
      <w:pPr>
        <w:pageBreakBefore w:val="0"/>
        <w:kinsoku/>
        <w:overflowPunct/>
        <w:autoSpaceDE w:val="0"/>
        <w:autoSpaceDN w:val="0"/>
        <w:bidi w:val="0"/>
        <w:adjustRightInd w:val="0"/>
        <w:spacing w:line="480" w:lineRule="exact"/>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中标后，若由于特殊原因须更换施工项目负责人时，我方将以资质以及信誉不低于此注册建造师的人员替换，并报业主审查。经审查通过后，方可更换。若未经业主批准，我方擅自更换施工项目负责人，我方愿以合同价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zh-CN"/>
          <w14:textFill>
            <w14:solidFill>
              <w14:schemeClr w14:val="tx1"/>
            </w14:solidFill>
          </w14:textFill>
        </w:rPr>
        <w:t>作为赔偿金。</w:t>
      </w:r>
    </w:p>
    <w:p w14:paraId="102F9810">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24B0B48D">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3EA5CD12">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投标单位：</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（盖章）</w:t>
      </w:r>
    </w:p>
    <w:p w14:paraId="6081BCE3">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lang w:val="zh-CN"/>
          <w14:textFill>
            <w14:solidFill>
              <w14:schemeClr w14:val="tx1"/>
            </w14:solidFill>
          </w14:textFill>
        </w:rPr>
      </w:pPr>
    </w:p>
    <w:p w14:paraId="66B77259">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法定代表人或委托代理人：</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（盖章）</w:t>
      </w:r>
    </w:p>
    <w:p w14:paraId="23EB725C">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78E3F30F">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日期：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日</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3A8A9B25">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0A47E95E">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518243E0">
      <w:pPr>
        <w:pStyle w:val="16"/>
        <w:rPr>
          <w:rFonts w:ascii="宋体" w:hAnsi="宋体" w:eastAsia="宋体" w:cs="宋体"/>
          <w:color w:val="000000" w:themeColor="text1"/>
          <w:szCs w:val="21"/>
          <w:highlight w:val="none"/>
          <w14:textFill>
            <w14:solidFill>
              <w14:schemeClr w14:val="tx1"/>
            </w14:solidFill>
          </w14:textFill>
        </w:rPr>
      </w:pPr>
    </w:p>
    <w:p w14:paraId="69F03523">
      <w:pPr>
        <w:pStyle w:val="16"/>
        <w:rPr>
          <w:rFonts w:ascii="宋体" w:hAnsi="宋体" w:eastAsia="宋体" w:cs="宋体"/>
          <w:color w:val="000000" w:themeColor="text1"/>
          <w:szCs w:val="21"/>
          <w:highlight w:val="none"/>
          <w14:textFill>
            <w14:solidFill>
              <w14:schemeClr w14:val="tx1"/>
            </w14:solidFill>
          </w14:textFill>
        </w:rPr>
      </w:pPr>
    </w:p>
    <w:p w14:paraId="64D8CF25">
      <w:pPr>
        <w:pStyle w:val="16"/>
        <w:rPr>
          <w:rFonts w:ascii="宋体" w:hAnsi="宋体" w:eastAsia="宋体" w:cs="宋体"/>
          <w:color w:val="000000" w:themeColor="text1"/>
          <w:szCs w:val="21"/>
          <w:highlight w:val="none"/>
          <w14:textFill>
            <w14:solidFill>
              <w14:schemeClr w14:val="tx1"/>
            </w14:solidFill>
          </w14:textFill>
        </w:rPr>
      </w:pPr>
    </w:p>
    <w:p w14:paraId="292019D4">
      <w:pPr>
        <w:pStyle w:val="16"/>
        <w:rPr>
          <w:rFonts w:ascii="宋体" w:hAnsi="宋体" w:eastAsia="宋体" w:cs="宋体"/>
          <w:color w:val="000000" w:themeColor="text1"/>
          <w:szCs w:val="21"/>
          <w:highlight w:val="none"/>
          <w14:textFill>
            <w14:solidFill>
              <w14:schemeClr w14:val="tx1"/>
            </w14:solidFill>
          </w14:textFill>
        </w:rPr>
      </w:pPr>
    </w:p>
    <w:p w14:paraId="4923B390">
      <w:pPr>
        <w:pStyle w:val="16"/>
        <w:rPr>
          <w:rFonts w:ascii="宋体" w:hAnsi="宋体" w:eastAsia="宋体" w:cs="宋体"/>
          <w:color w:val="000000" w:themeColor="text1"/>
          <w:szCs w:val="21"/>
          <w:highlight w:val="none"/>
          <w14:textFill>
            <w14:solidFill>
              <w14:schemeClr w14:val="tx1"/>
            </w14:solidFill>
          </w14:textFill>
        </w:rPr>
      </w:pPr>
    </w:p>
    <w:p w14:paraId="11DFE2CF">
      <w:pPr>
        <w:pStyle w:val="16"/>
        <w:rPr>
          <w:rFonts w:ascii="宋体" w:hAnsi="宋体" w:eastAsia="宋体" w:cs="宋体"/>
          <w:color w:val="000000" w:themeColor="text1"/>
          <w:szCs w:val="21"/>
          <w:highlight w:val="none"/>
          <w14:textFill>
            <w14:solidFill>
              <w14:schemeClr w14:val="tx1"/>
            </w14:solidFill>
          </w14:textFill>
        </w:rPr>
      </w:pPr>
    </w:p>
    <w:p w14:paraId="275B7A3F">
      <w:pPr>
        <w:pStyle w:val="16"/>
        <w:rPr>
          <w:rFonts w:ascii="宋体" w:hAnsi="宋体" w:eastAsia="宋体" w:cs="宋体"/>
          <w:color w:val="000000" w:themeColor="text1"/>
          <w:szCs w:val="21"/>
          <w:highlight w:val="none"/>
          <w14:textFill>
            <w14:solidFill>
              <w14:schemeClr w14:val="tx1"/>
            </w14:solidFill>
          </w14:textFill>
        </w:rPr>
      </w:pPr>
    </w:p>
    <w:p w14:paraId="702FB712">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4EAC8EF6">
      <w:pPr>
        <w:pageBreakBefore w:val="0"/>
        <w:kinsoku/>
        <w:overflowPunct/>
        <w:bidi w:val="0"/>
        <w:spacing w:line="480" w:lineRule="exact"/>
        <w:ind w:left="424"/>
        <w:jc w:val="center"/>
        <w:textAlignment w:val="auto"/>
        <w:rPr>
          <w:rFonts w:ascii="宋体" w:hAnsi="宋体" w:eastAsia="宋体" w:cs="宋体"/>
          <w:b/>
          <w:bCs/>
          <w:color w:val="000000" w:themeColor="text1"/>
          <w:sz w:val="32"/>
          <w:szCs w:val="32"/>
          <w:highlight w:val="none"/>
          <w:lang w:val="zh-CN"/>
          <w14:textFill>
            <w14:solidFill>
              <w14:schemeClr w14:val="tx1"/>
            </w14:solidFill>
          </w14:textFill>
        </w:rPr>
      </w:pPr>
      <w:bookmarkStart w:id="715" w:name="_Toc414108644"/>
      <w:r>
        <w:rPr>
          <w:rFonts w:hint="eastAsia" w:ascii="宋体" w:hAnsi="宋体" w:eastAsia="宋体" w:cs="宋体"/>
          <w:b/>
          <w:bCs/>
          <w:color w:val="000000" w:themeColor="text1"/>
          <w:sz w:val="32"/>
          <w:szCs w:val="32"/>
          <w:highlight w:val="none"/>
          <w:lang w:val="zh-CN"/>
          <w14:textFill>
            <w14:solidFill>
              <w14:schemeClr w14:val="tx1"/>
            </w14:solidFill>
          </w14:textFill>
        </w:rPr>
        <w:t>投标承诺书（三）</w:t>
      </w:r>
    </w:p>
    <w:p w14:paraId="6EE28141">
      <w:pPr>
        <w:pageBreakBefore w:val="0"/>
        <w:kinsoku/>
        <w:overflowPunct/>
        <w:bidi w:val="0"/>
        <w:spacing w:line="480" w:lineRule="exact"/>
        <w:ind w:left="424"/>
        <w:jc w:val="center"/>
        <w:textAlignment w:val="auto"/>
        <w:rPr>
          <w:rFonts w:ascii="宋体" w:hAnsi="宋体" w:eastAsia="宋体" w:cs="宋体"/>
          <w:b/>
          <w:color w:val="000000" w:themeColor="text1"/>
          <w:kern w:val="1"/>
          <w:sz w:val="24"/>
          <w:szCs w:val="24"/>
          <w:highlight w:val="none"/>
          <w14:textFill>
            <w14:solidFill>
              <w14:schemeClr w14:val="tx1"/>
            </w14:solidFill>
          </w14:textFill>
        </w:rPr>
      </w:pPr>
    </w:p>
    <w:p w14:paraId="4E0DAC5E">
      <w:pPr>
        <w:pageBreakBefore w:val="0"/>
        <w:kinsoku/>
        <w:overflowPunct/>
        <w:bidi w:val="0"/>
        <w:spacing w:line="480" w:lineRule="exact"/>
        <w:textAlignment w:val="auto"/>
        <w:rPr>
          <w:rFonts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（招标人）     </w:t>
      </w:r>
    </w:p>
    <w:p w14:paraId="074D00BD">
      <w:pPr>
        <w:pageBreakBefore w:val="0"/>
        <w:kinsoku/>
        <w:overflowPunct/>
        <w:bidi w:val="0"/>
        <w:spacing w:line="480" w:lineRule="exact"/>
        <w:textAlignment w:val="auto"/>
        <w:rPr>
          <w:rFonts w:ascii="宋体" w:hAnsi="宋体" w:eastAsia="宋体" w:cs="宋体"/>
          <w:color w:val="000000" w:themeColor="text1"/>
          <w:sz w:val="24"/>
          <w:szCs w:val="24"/>
          <w:highlight w:val="none"/>
          <w:u w:val="single"/>
          <w14:textFill>
            <w14:solidFill>
              <w14:schemeClr w14:val="tx1"/>
            </w14:solidFill>
          </w14:textFill>
        </w:rPr>
      </w:pPr>
    </w:p>
    <w:p w14:paraId="75F795D7">
      <w:pPr>
        <w:pageBreakBefore w:val="0"/>
        <w:kinsoku/>
        <w:overflowPunct/>
        <w:bidi w:val="0"/>
        <w:spacing w:line="480" w:lineRule="exact"/>
        <w:ind w:firstLine="460" w:firstLineChars="192"/>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我公司</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u w:val="single"/>
          <w14:textFill>
            <w14:solidFill>
              <w14:schemeClr w14:val="tx1"/>
            </w14:solidFill>
          </w14:textFill>
        </w:rPr>
        <w:t xml:space="preserve">名称）       </w:t>
      </w:r>
      <w:r>
        <w:rPr>
          <w:rFonts w:hint="eastAsia" w:ascii="宋体" w:hAnsi="宋体" w:eastAsia="宋体" w:cs="宋体"/>
          <w:color w:val="000000" w:themeColor="text1"/>
          <w:sz w:val="24"/>
          <w:szCs w:val="24"/>
          <w:highlight w:val="none"/>
          <w14:textFill>
            <w14:solidFill>
              <w14:schemeClr w14:val="tx1"/>
            </w14:solidFill>
          </w14:textFill>
        </w:rPr>
        <w:t>作为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（项目名称） </w:t>
      </w:r>
      <w:r>
        <w:rPr>
          <w:rFonts w:hint="eastAsia" w:ascii="宋体" w:hAnsi="宋体" w:eastAsia="宋体" w:cs="宋体"/>
          <w:i/>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项目（以下简称</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本项目</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）的</w:t>
      </w: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在此郑重承诺。</w:t>
      </w:r>
    </w:p>
    <w:p w14:paraId="2BDA4F09">
      <w:pPr>
        <w:pageBreakBefore w:val="0"/>
        <w:kinsoku/>
        <w:overflowPunct/>
        <w:bidi w:val="0"/>
        <w:spacing w:line="480" w:lineRule="exact"/>
        <w:ind w:firstLine="460" w:firstLineChars="192"/>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公司承诺我方没有违反现行法律、法规及有关文件规定而被限制投标情形或者没有被有关行政监督部门限制或取消投标资格情形；近三年内在经营活动中没有重大违法记录、未因不良记录行为受行政监督管理机关处罚或通报等情况，否则若中标也将被取消中标资格，并且投标过程中我公司提供的所有书面材料都是真实可靠的，如发现有虚假情况，我公司愿自动退出本次招标活动并承担一切法律后果。</w:t>
      </w:r>
    </w:p>
    <w:p w14:paraId="5B4ED2EA">
      <w:pPr>
        <w:pageBreakBefore w:val="0"/>
        <w:kinsoku/>
        <w:overflowPunct/>
        <w:bidi w:val="0"/>
        <w:spacing w:line="480" w:lineRule="exact"/>
        <w:ind w:firstLine="460" w:firstLineChars="192"/>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特此承诺！</w:t>
      </w:r>
    </w:p>
    <w:p w14:paraId="4F71BDBE">
      <w:pPr>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36F169D0">
      <w:pPr>
        <w:pageBreakBefore w:val="0"/>
        <w:kinsoku/>
        <w:overflowPunct/>
        <w:bidi w:val="0"/>
        <w:spacing w:line="480" w:lineRule="exact"/>
        <w:ind w:firstLine="460" w:firstLineChars="192"/>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名称：（公章）</w:t>
      </w:r>
    </w:p>
    <w:p w14:paraId="6A8CD0BE">
      <w:pPr>
        <w:pStyle w:val="20"/>
        <w:pageBreakBefore w:val="0"/>
        <w:tabs>
          <w:tab w:val="left" w:pos="630"/>
        </w:tabs>
        <w:kinsoku/>
        <w:overflowPunct/>
        <w:bidi w:val="0"/>
        <w:spacing w:line="480" w:lineRule="exact"/>
        <w:ind w:firstLine="210"/>
        <w:textAlignment w:val="auto"/>
        <w:rPr>
          <w:rFonts w:ascii="宋体" w:hAnsi="宋体" w:eastAsia="宋体" w:cs="宋体"/>
          <w:color w:val="000000" w:themeColor="text1"/>
          <w:sz w:val="24"/>
          <w:szCs w:val="24"/>
          <w:highlight w:val="none"/>
          <w14:textFill>
            <w14:solidFill>
              <w14:schemeClr w14:val="tx1"/>
            </w14:solidFill>
          </w14:textFill>
        </w:rPr>
      </w:pPr>
    </w:p>
    <w:p w14:paraId="6A085D32">
      <w:pPr>
        <w:pageBreakBefore w:val="0"/>
        <w:kinsoku/>
        <w:overflowPunct/>
        <w:bidi w:val="0"/>
        <w:spacing w:line="480" w:lineRule="exact"/>
        <w:ind w:firstLine="460" w:firstLineChars="192"/>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法定代表人：（盖章）</w:t>
      </w:r>
    </w:p>
    <w:p w14:paraId="45F6D03D">
      <w:pPr>
        <w:pageBreakBefore w:val="0"/>
        <w:kinsoku/>
        <w:overflowPunct/>
        <w:bidi w:val="0"/>
        <w:spacing w:line="480" w:lineRule="exact"/>
        <w:ind w:firstLine="460" w:firstLineChars="192"/>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2D173A65">
      <w:pPr>
        <w:pageBreakBefore w:val="0"/>
        <w:kinsoku/>
        <w:overflowPunct/>
        <w:bidi w:val="0"/>
        <w:spacing w:line="480" w:lineRule="exact"/>
        <w:jc w:val="right"/>
        <w:textAlignment w:val="auto"/>
        <w:rPr>
          <w:rFonts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kern w:val="1"/>
          <w:sz w:val="24"/>
          <w:szCs w:val="24"/>
          <w:highlight w:val="none"/>
          <w14:textFill>
            <w14:solidFill>
              <w14:schemeClr w14:val="tx1"/>
            </w14:solidFill>
          </w14:textFill>
        </w:rPr>
        <w:t>日期：</w:t>
      </w:r>
      <w:r>
        <w:rPr>
          <w:rFonts w:hint="eastAsia" w:ascii="宋体" w:hAnsi="宋体" w:eastAsia="宋体" w:cs="宋体"/>
          <w:color w:val="000000" w:themeColor="text1"/>
          <w:kern w:val="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kern w:val="1"/>
          <w:sz w:val="24"/>
          <w:szCs w:val="24"/>
          <w:highlight w:val="none"/>
          <w14:textFill>
            <w14:solidFill>
              <w14:schemeClr w14:val="tx1"/>
            </w14:solidFill>
          </w14:textFill>
        </w:rPr>
        <w:t>年</w:t>
      </w:r>
      <w:r>
        <w:rPr>
          <w:rFonts w:hint="eastAsia" w:ascii="宋体" w:hAnsi="宋体" w:eastAsia="宋体" w:cs="宋体"/>
          <w:color w:val="000000" w:themeColor="text1"/>
          <w:kern w:val="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kern w:val="1"/>
          <w:sz w:val="24"/>
          <w:szCs w:val="24"/>
          <w:highlight w:val="none"/>
          <w14:textFill>
            <w14:solidFill>
              <w14:schemeClr w14:val="tx1"/>
            </w14:solidFill>
          </w14:textFill>
        </w:rPr>
        <w:t>月</w:t>
      </w:r>
      <w:r>
        <w:rPr>
          <w:rFonts w:hint="eastAsia" w:ascii="宋体" w:hAnsi="宋体" w:eastAsia="宋体" w:cs="宋体"/>
          <w:color w:val="000000" w:themeColor="text1"/>
          <w:kern w:val="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kern w:val="1"/>
          <w:sz w:val="24"/>
          <w:szCs w:val="24"/>
          <w:highlight w:val="none"/>
          <w14:textFill>
            <w14:solidFill>
              <w14:schemeClr w14:val="tx1"/>
            </w14:solidFill>
          </w14:textFill>
        </w:rPr>
        <w:t>日</w:t>
      </w:r>
    </w:p>
    <w:p w14:paraId="78D94A53">
      <w:pPr>
        <w:pStyle w:val="2"/>
        <w:pageBreakBefore w:val="0"/>
        <w:kinsoku/>
        <w:overflowPunct/>
        <w:bidi w:val="0"/>
        <w:spacing w:line="480" w:lineRule="exact"/>
        <w:textAlignment w:val="auto"/>
        <w:rPr>
          <w:rFonts w:ascii="宋体" w:hAnsi="宋体" w:eastAsia="宋体" w:cs="宋体"/>
          <w:color w:val="000000" w:themeColor="text1"/>
          <w:sz w:val="24"/>
          <w:szCs w:val="24"/>
          <w:highlight w:val="none"/>
          <w:lang w:val="zh-CN"/>
          <w14:textFill>
            <w14:solidFill>
              <w14:schemeClr w14:val="tx1"/>
            </w14:solidFill>
          </w14:textFill>
        </w:rPr>
      </w:pPr>
    </w:p>
    <w:p w14:paraId="6CA2FB90">
      <w:pPr>
        <w:pageBreakBefore w:val="0"/>
        <w:kinsoku/>
        <w:overflowPunct/>
        <w:bidi w:val="0"/>
        <w:spacing w:line="480" w:lineRule="exact"/>
        <w:textAlignment w:val="auto"/>
        <w:rPr>
          <w:rFonts w:ascii="宋体" w:hAnsi="宋体" w:eastAsia="宋体" w:cs="宋体"/>
          <w:color w:val="000000" w:themeColor="text1"/>
          <w:highlight w:val="none"/>
          <w:lang w:val="zh-CN"/>
          <w14:textFill>
            <w14:solidFill>
              <w14:schemeClr w14:val="tx1"/>
            </w14:solidFill>
          </w14:textFill>
        </w:rPr>
      </w:pPr>
    </w:p>
    <w:p w14:paraId="6F0FC87A">
      <w:pPr>
        <w:pStyle w:val="37"/>
        <w:pageBreakBefore w:val="0"/>
        <w:kinsoku/>
        <w:overflowPunct/>
        <w:bidi w:val="0"/>
        <w:spacing w:line="480" w:lineRule="exact"/>
        <w:ind w:firstLine="420"/>
        <w:textAlignment w:val="auto"/>
        <w:rPr>
          <w:rFonts w:ascii="宋体" w:hAnsi="宋体" w:eastAsia="宋体" w:cs="宋体"/>
          <w:color w:val="000000" w:themeColor="text1"/>
          <w:highlight w:val="none"/>
          <w14:textFill>
            <w14:solidFill>
              <w14:schemeClr w14:val="tx1"/>
            </w14:solidFill>
          </w14:textFill>
        </w:rPr>
      </w:pPr>
    </w:p>
    <w:p w14:paraId="17124076">
      <w:pPr>
        <w:pStyle w:val="37"/>
        <w:pageBreakBefore w:val="0"/>
        <w:kinsoku/>
        <w:overflowPunct/>
        <w:bidi w:val="0"/>
        <w:spacing w:line="480" w:lineRule="exact"/>
        <w:ind w:firstLine="420"/>
        <w:textAlignment w:val="auto"/>
        <w:rPr>
          <w:rFonts w:ascii="宋体" w:hAnsi="宋体" w:eastAsia="宋体" w:cs="宋体"/>
          <w:color w:val="000000" w:themeColor="text1"/>
          <w:highlight w:val="none"/>
          <w14:textFill>
            <w14:solidFill>
              <w14:schemeClr w14:val="tx1"/>
            </w14:solidFill>
          </w14:textFill>
        </w:rPr>
      </w:pPr>
    </w:p>
    <w:p w14:paraId="6FB835B6">
      <w:pPr>
        <w:pStyle w:val="37"/>
        <w:pageBreakBefore w:val="0"/>
        <w:kinsoku/>
        <w:overflowPunct/>
        <w:bidi w:val="0"/>
        <w:spacing w:line="480" w:lineRule="exact"/>
        <w:ind w:firstLine="420"/>
        <w:textAlignment w:val="auto"/>
        <w:rPr>
          <w:rFonts w:ascii="宋体" w:hAnsi="宋体" w:eastAsia="宋体" w:cs="宋体"/>
          <w:color w:val="000000" w:themeColor="text1"/>
          <w:highlight w:val="none"/>
          <w14:textFill>
            <w14:solidFill>
              <w14:schemeClr w14:val="tx1"/>
            </w14:solidFill>
          </w14:textFill>
        </w:rPr>
      </w:pPr>
    </w:p>
    <w:p w14:paraId="55538DC4">
      <w:pPr>
        <w:pStyle w:val="37"/>
        <w:pageBreakBefore w:val="0"/>
        <w:kinsoku/>
        <w:overflowPunct/>
        <w:bidi w:val="0"/>
        <w:spacing w:line="480" w:lineRule="exact"/>
        <w:ind w:firstLine="420"/>
        <w:textAlignment w:val="auto"/>
        <w:rPr>
          <w:rFonts w:ascii="宋体" w:hAnsi="宋体" w:eastAsia="宋体" w:cs="宋体"/>
          <w:color w:val="000000" w:themeColor="text1"/>
          <w:highlight w:val="none"/>
          <w14:textFill>
            <w14:solidFill>
              <w14:schemeClr w14:val="tx1"/>
            </w14:solidFill>
          </w14:textFill>
        </w:rPr>
      </w:pPr>
    </w:p>
    <w:p w14:paraId="4C2B0D39">
      <w:pPr>
        <w:pStyle w:val="37"/>
        <w:pageBreakBefore w:val="0"/>
        <w:kinsoku/>
        <w:overflowPunct/>
        <w:bidi w:val="0"/>
        <w:spacing w:line="480" w:lineRule="exact"/>
        <w:ind w:firstLine="420"/>
        <w:textAlignment w:val="auto"/>
        <w:rPr>
          <w:rFonts w:ascii="宋体" w:hAnsi="宋体" w:eastAsia="宋体" w:cs="宋体"/>
          <w:color w:val="000000" w:themeColor="text1"/>
          <w:highlight w:val="none"/>
          <w14:textFill>
            <w14:solidFill>
              <w14:schemeClr w14:val="tx1"/>
            </w14:solidFill>
          </w14:textFill>
        </w:rPr>
      </w:pPr>
    </w:p>
    <w:p w14:paraId="70DDD9E3">
      <w:pPr>
        <w:pStyle w:val="2"/>
        <w:pageBreakBefore w:val="0"/>
        <w:kinsoku/>
        <w:overflowPunct/>
        <w:bidi w:val="0"/>
        <w:spacing w:line="480" w:lineRule="exact"/>
        <w:jc w:val="center"/>
        <w:textAlignment w:val="auto"/>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t>法定代表人身份证明书</w:t>
      </w:r>
      <w:bookmarkEnd w:id="715"/>
    </w:p>
    <w:p w14:paraId="544A0206">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企业名称：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4BD5083">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1ADFF461">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企业类型：</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131BF1E1">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5F7EE376">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地</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62FACCED">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231EEC68">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营业期限：</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F4426AD">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071B43BF">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成立时间：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1FA0B28B">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5D884432">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6EC8E617">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姓名：</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性别：</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职务：</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76E2FF2A">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系</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（投标单位名称）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的法定代表人。</w:t>
      </w:r>
    </w:p>
    <w:p w14:paraId="65FB9AB2">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3E408AD7">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3ED5C50B">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特此证明。</w:t>
      </w:r>
    </w:p>
    <w:p w14:paraId="511FF250">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3530B160">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投标单位：</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（盖章）</w:t>
      </w:r>
    </w:p>
    <w:p w14:paraId="4DADD585">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lang w:val="zh-CN"/>
          <w14:textFill>
            <w14:solidFill>
              <w14:schemeClr w14:val="tx1"/>
            </w14:solidFill>
          </w14:textFill>
        </w:rPr>
      </w:pPr>
    </w:p>
    <w:p w14:paraId="58C08D37">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日</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日</w:t>
      </w:r>
    </w:p>
    <w:p w14:paraId="3154C029">
      <w:pPr>
        <w:pageBreakBefore w:val="0"/>
        <w:kinsoku/>
        <w:overflowPunct/>
        <w:autoSpaceDE w:val="0"/>
        <w:autoSpaceDN w:val="0"/>
        <w:bidi w:val="0"/>
        <w:adjustRightInd w:val="0"/>
        <w:spacing w:line="480" w:lineRule="exac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p>
    <w:p w14:paraId="15655CFA">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（附法定代表人身份证复印件）</w:t>
      </w:r>
      <w:r>
        <w:rPr>
          <w:rFonts w:hint="eastAsia" w:ascii="宋体" w:hAnsi="宋体" w:eastAsia="宋体" w:cs="宋体"/>
          <w:color w:val="000000" w:themeColor="text1"/>
          <w:sz w:val="24"/>
          <w:szCs w:val="24"/>
          <w:highlight w:val="none"/>
          <w:lang w:val="zh-CN"/>
          <w14:textFill>
            <w14:solidFill>
              <w14:schemeClr w14:val="tx1"/>
            </w14:solidFill>
          </w14:textFill>
        </w:rPr>
        <w:br w:type="page"/>
      </w:r>
    </w:p>
    <w:p w14:paraId="15593020">
      <w:pPr>
        <w:pStyle w:val="2"/>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bookmarkStart w:id="716" w:name="_Toc414108645"/>
      <w:r>
        <w:rPr>
          <w:rFonts w:hint="eastAsia" w:ascii="宋体" w:hAnsi="宋体" w:eastAsia="宋体" w:cs="宋体"/>
          <w:color w:val="000000" w:themeColor="text1"/>
          <w:highlight w:val="none"/>
          <w:lang w:val="zh-CN"/>
          <w14:textFill>
            <w14:solidFill>
              <w14:schemeClr w14:val="tx1"/>
            </w14:solidFill>
          </w14:textFill>
        </w:rPr>
        <w:t>法定代表人授权委托书</w:t>
      </w:r>
      <w:bookmarkEnd w:id="716"/>
    </w:p>
    <w:p w14:paraId="6B4024D1">
      <w:pPr>
        <w:pageBreakBefore w:val="0"/>
        <w:kinsoku/>
        <w:overflowPunct/>
        <w:autoSpaceDE w:val="0"/>
        <w:autoSpaceDN w:val="0"/>
        <w:bidi w:val="0"/>
        <w:adjustRightInd w:val="0"/>
        <w:spacing w:line="480" w:lineRule="exact"/>
        <w:ind w:firstLine="42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本授权委托书声明：我</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（姓名）系</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（投标单位名称）的法定代表人，现授权委托</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（投标单位名称）的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（姓名）为我公司代理人，以本公司的名义参加</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（招标人）的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招标工程的投标活动。代理人签署的响应文件和参加整个工程招标投标活动中所签署的一切文件和处理与之有关的一切事物，我均予以承认。</w:t>
      </w:r>
    </w:p>
    <w:p w14:paraId="1BB1DF51">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3ED59F85">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性别：</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A8115C3">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63344EDB">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单</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位：</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部门：</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职务：</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359CE7FF">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5EFBF210">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代理人无转委权。特此委托。</w:t>
      </w:r>
    </w:p>
    <w:p w14:paraId="3EF0E4CA">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0F1A43F8">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lang w:val="zh-CN"/>
          <w14:textFill>
            <w14:solidFill>
              <w14:schemeClr w14:val="tx1"/>
            </w14:solidFill>
          </w14:textFill>
        </w:rPr>
      </w:pPr>
    </w:p>
    <w:p w14:paraId="2D089C26">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lang w:val="zh-CN"/>
          <w14:textFill>
            <w14:solidFill>
              <w14:schemeClr w14:val="tx1"/>
            </w14:solidFill>
          </w14:textFill>
        </w:rPr>
      </w:pPr>
    </w:p>
    <w:p w14:paraId="336DDF5F">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投标单位：</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（盖章）</w:t>
      </w:r>
    </w:p>
    <w:p w14:paraId="6A3ED647">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法定代表人：</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（盖章）</w:t>
      </w:r>
    </w:p>
    <w:p w14:paraId="1823C954">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日期：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日</w:t>
      </w:r>
    </w:p>
    <w:p w14:paraId="754E3E7B">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（附被授权人身份证复印件）</w:t>
      </w:r>
    </w:p>
    <w:p w14:paraId="6BCFEF7E">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2C9D8813">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5C22F1B9">
      <w:pPr>
        <w:pStyle w:val="16"/>
        <w:rPr>
          <w:rFonts w:ascii="宋体" w:hAnsi="宋体" w:eastAsia="宋体" w:cs="宋体"/>
          <w:color w:val="000000" w:themeColor="text1"/>
          <w:szCs w:val="21"/>
          <w:highlight w:val="none"/>
          <w14:textFill>
            <w14:solidFill>
              <w14:schemeClr w14:val="tx1"/>
            </w14:solidFill>
          </w14:textFill>
        </w:rPr>
      </w:pPr>
    </w:p>
    <w:p w14:paraId="78097AB9">
      <w:pPr>
        <w:pStyle w:val="16"/>
        <w:rPr>
          <w:rFonts w:ascii="宋体" w:hAnsi="宋体" w:eastAsia="宋体" w:cs="宋体"/>
          <w:color w:val="000000" w:themeColor="text1"/>
          <w:szCs w:val="21"/>
          <w:highlight w:val="none"/>
          <w14:textFill>
            <w14:solidFill>
              <w14:schemeClr w14:val="tx1"/>
            </w14:solidFill>
          </w14:textFill>
        </w:rPr>
      </w:pPr>
    </w:p>
    <w:p w14:paraId="5F35176F">
      <w:pPr>
        <w:pStyle w:val="16"/>
        <w:rPr>
          <w:rFonts w:ascii="宋体" w:hAnsi="宋体" w:eastAsia="宋体" w:cs="宋体"/>
          <w:color w:val="000000" w:themeColor="text1"/>
          <w:szCs w:val="21"/>
          <w:highlight w:val="none"/>
          <w14:textFill>
            <w14:solidFill>
              <w14:schemeClr w14:val="tx1"/>
            </w14:solidFill>
          </w14:textFill>
        </w:rPr>
      </w:pPr>
    </w:p>
    <w:p w14:paraId="38A1561B">
      <w:pPr>
        <w:pStyle w:val="16"/>
        <w:rPr>
          <w:rFonts w:ascii="宋体" w:hAnsi="宋体" w:eastAsia="宋体" w:cs="宋体"/>
          <w:color w:val="000000" w:themeColor="text1"/>
          <w:szCs w:val="21"/>
          <w:highlight w:val="none"/>
          <w14:textFill>
            <w14:solidFill>
              <w14:schemeClr w14:val="tx1"/>
            </w14:solidFill>
          </w14:textFill>
        </w:rPr>
      </w:pPr>
    </w:p>
    <w:p w14:paraId="4B54D89E">
      <w:pPr>
        <w:pStyle w:val="16"/>
        <w:rPr>
          <w:rFonts w:ascii="宋体" w:hAnsi="宋体" w:eastAsia="宋体" w:cs="宋体"/>
          <w:color w:val="000000" w:themeColor="text1"/>
          <w:szCs w:val="21"/>
          <w:highlight w:val="none"/>
          <w14:textFill>
            <w14:solidFill>
              <w14:schemeClr w14:val="tx1"/>
            </w14:solidFill>
          </w14:textFill>
        </w:rPr>
      </w:pPr>
    </w:p>
    <w:p w14:paraId="3598E744">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5000D836">
      <w:pPr>
        <w:pStyle w:val="2"/>
        <w:pageBreakBefore w:val="0"/>
        <w:kinsoku/>
        <w:overflowPunct/>
        <w:bidi w:val="0"/>
        <w:spacing w:line="480" w:lineRule="exact"/>
        <w:jc w:val="center"/>
        <w:textAlignment w:val="auto"/>
        <w:rPr>
          <w:rFonts w:ascii="宋体" w:hAnsi="宋体" w:eastAsia="宋体" w:cs="宋体"/>
          <w:color w:val="000000" w:themeColor="text1"/>
          <w:highlight w:val="none"/>
          <w14:textFill>
            <w14:solidFill>
              <w14:schemeClr w14:val="tx1"/>
            </w14:solidFill>
          </w14:textFill>
        </w:rPr>
      </w:pPr>
      <w:bookmarkStart w:id="717" w:name="_Toc414108646"/>
      <w:r>
        <w:rPr>
          <w:rFonts w:hint="eastAsia" w:ascii="宋体" w:hAnsi="宋体" w:eastAsia="宋体" w:cs="宋体"/>
          <w:color w:val="000000" w:themeColor="text1"/>
          <w:highlight w:val="none"/>
          <w:lang w:val="zh-CN"/>
          <w14:textFill>
            <w14:solidFill>
              <w14:schemeClr w14:val="tx1"/>
            </w14:solidFill>
          </w14:textFill>
        </w:rPr>
        <w:t>投标单位概况</w:t>
      </w:r>
      <w:bookmarkEnd w:id="717"/>
    </w:p>
    <w:p w14:paraId="23BA395F">
      <w:pPr>
        <w:pageBreakBefore w:val="0"/>
        <w:kinsoku/>
        <w:overflowPunct/>
        <w:bidi w:val="0"/>
        <w:spacing w:line="480" w:lineRule="exact"/>
        <w:jc w:val="center"/>
        <w:textAlignment w:val="auto"/>
        <w:rPr>
          <w:rFonts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b/>
          <w:color w:val="000000" w:themeColor="text1"/>
          <w:sz w:val="24"/>
          <w:szCs w:val="24"/>
          <w:highlight w:val="none"/>
          <w14:textFill>
            <w14:solidFill>
              <w14:schemeClr w14:val="tx1"/>
            </w14:solidFill>
          </w14:textFill>
        </w:rPr>
        <w:t>概况表</w:t>
      </w:r>
    </w:p>
    <w:tbl>
      <w:tblPr>
        <w:tblStyle w:val="22"/>
        <w:tblW w:w="91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3"/>
        <w:gridCol w:w="1192"/>
        <w:gridCol w:w="1019"/>
        <w:gridCol w:w="992"/>
        <w:gridCol w:w="283"/>
        <w:gridCol w:w="194"/>
        <w:gridCol w:w="1244"/>
        <w:gridCol w:w="261"/>
        <w:gridCol w:w="707"/>
        <w:gridCol w:w="1300"/>
      </w:tblGrid>
      <w:tr w14:paraId="3AB6D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45AFA14B">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投标单位</w:t>
            </w:r>
            <w:r>
              <w:rPr>
                <w:rFonts w:hint="eastAsia" w:ascii="宋体" w:hAnsi="宋体" w:eastAsia="宋体" w:cs="宋体"/>
                <w:color w:val="000000" w:themeColor="text1"/>
                <w:szCs w:val="21"/>
                <w:highlight w:val="none"/>
                <w14:textFill>
                  <w14:solidFill>
                    <w14:schemeClr w14:val="tx1"/>
                  </w14:solidFill>
                </w14:textFill>
              </w:rPr>
              <w:t>名称</w:t>
            </w:r>
          </w:p>
        </w:tc>
        <w:tc>
          <w:tcPr>
            <w:tcW w:w="7192" w:type="dxa"/>
            <w:gridSpan w:val="9"/>
            <w:vAlign w:val="center"/>
          </w:tcPr>
          <w:p w14:paraId="2C9AF574">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7FCB0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5CD5BAFE">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注册地址</w:t>
            </w:r>
          </w:p>
        </w:tc>
        <w:tc>
          <w:tcPr>
            <w:tcW w:w="3680" w:type="dxa"/>
            <w:gridSpan w:val="5"/>
            <w:vAlign w:val="center"/>
          </w:tcPr>
          <w:p w14:paraId="2CD48AB6">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244" w:type="dxa"/>
            <w:vAlign w:val="center"/>
          </w:tcPr>
          <w:p w14:paraId="337A43D5">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邮政编码</w:t>
            </w:r>
          </w:p>
        </w:tc>
        <w:tc>
          <w:tcPr>
            <w:tcW w:w="2268" w:type="dxa"/>
            <w:gridSpan w:val="3"/>
            <w:vAlign w:val="center"/>
          </w:tcPr>
          <w:p w14:paraId="5E2D2D90">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786A0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Merge w:val="restart"/>
            <w:vAlign w:val="center"/>
          </w:tcPr>
          <w:p w14:paraId="75E06EE9">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联系方式</w:t>
            </w:r>
          </w:p>
        </w:tc>
        <w:tc>
          <w:tcPr>
            <w:tcW w:w="1192" w:type="dxa"/>
            <w:vAlign w:val="center"/>
          </w:tcPr>
          <w:p w14:paraId="40666C72">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联系人</w:t>
            </w:r>
          </w:p>
        </w:tc>
        <w:tc>
          <w:tcPr>
            <w:tcW w:w="2488" w:type="dxa"/>
            <w:gridSpan w:val="4"/>
            <w:vAlign w:val="center"/>
          </w:tcPr>
          <w:p w14:paraId="588554F8">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244" w:type="dxa"/>
            <w:vAlign w:val="center"/>
          </w:tcPr>
          <w:p w14:paraId="41696B5A">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电  话</w:t>
            </w:r>
          </w:p>
        </w:tc>
        <w:tc>
          <w:tcPr>
            <w:tcW w:w="2268" w:type="dxa"/>
            <w:gridSpan w:val="3"/>
            <w:vAlign w:val="center"/>
          </w:tcPr>
          <w:p w14:paraId="31AA71C0">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0E85D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Merge w:val="continue"/>
            <w:vAlign w:val="center"/>
          </w:tcPr>
          <w:p w14:paraId="0DE7A177">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192" w:type="dxa"/>
            <w:vAlign w:val="center"/>
          </w:tcPr>
          <w:p w14:paraId="4F95AEF4">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传  真</w:t>
            </w:r>
          </w:p>
        </w:tc>
        <w:tc>
          <w:tcPr>
            <w:tcW w:w="2488" w:type="dxa"/>
            <w:gridSpan w:val="4"/>
            <w:vAlign w:val="center"/>
          </w:tcPr>
          <w:p w14:paraId="4CD6E04D">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244" w:type="dxa"/>
            <w:vAlign w:val="center"/>
          </w:tcPr>
          <w:p w14:paraId="20955F11">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网  址</w:t>
            </w:r>
          </w:p>
        </w:tc>
        <w:tc>
          <w:tcPr>
            <w:tcW w:w="2268" w:type="dxa"/>
            <w:gridSpan w:val="3"/>
            <w:vAlign w:val="center"/>
          </w:tcPr>
          <w:p w14:paraId="75760AF6">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5A28E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3338BDFA">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组织结构</w:t>
            </w:r>
          </w:p>
        </w:tc>
        <w:tc>
          <w:tcPr>
            <w:tcW w:w="7192" w:type="dxa"/>
            <w:gridSpan w:val="9"/>
            <w:vAlign w:val="center"/>
          </w:tcPr>
          <w:p w14:paraId="1D27A069">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0390C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6410F4D2">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法定代表人</w:t>
            </w:r>
          </w:p>
        </w:tc>
        <w:tc>
          <w:tcPr>
            <w:tcW w:w="1192" w:type="dxa"/>
            <w:vAlign w:val="center"/>
          </w:tcPr>
          <w:p w14:paraId="11DF3997">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姓名</w:t>
            </w:r>
          </w:p>
        </w:tc>
        <w:tc>
          <w:tcPr>
            <w:tcW w:w="1019" w:type="dxa"/>
            <w:vAlign w:val="center"/>
          </w:tcPr>
          <w:p w14:paraId="05EA9F7E">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275" w:type="dxa"/>
            <w:gridSpan w:val="2"/>
            <w:vAlign w:val="center"/>
          </w:tcPr>
          <w:p w14:paraId="310D32FF">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技术职称</w:t>
            </w:r>
          </w:p>
        </w:tc>
        <w:tc>
          <w:tcPr>
            <w:tcW w:w="1699" w:type="dxa"/>
            <w:gridSpan w:val="3"/>
            <w:vAlign w:val="center"/>
          </w:tcPr>
          <w:p w14:paraId="65FF6FA0">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707" w:type="dxa"/>
            <w:vAlign w:val="center"/>
          </w:tcPr>
          <w:p w14:paraId="696153B0">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电话</w:t>
            </w:r>
          </w:p>
        </w:tc>
        <w:tc>
          <w:tcPr>
            <w:tcW w:w="1300" w:type="dxa"/>
            <w:vAlign w:val="center"/>
          </w:tcPr>
          <w:p w14:paraId="154EFCEB">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43A38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61AF1E4D">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技术负责人</w:t>
            </w:r>
          </w:p>
        </w:tc>
        <w:tc>
          <w:tcPr>
            <w:tcW w:w="1192" w:type="dxa"/>
            <w:vAlign w:val="center"/>
          </w:tcPr>
          <w:p w14:paraId="75273AEB">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姓名</w:t>
            </w:r>
          </w:p>
        </w:tc>
        <w:tc>
          <w:tcPr>
            <w:tcW w:w="1019" w:type="dxa"/>
            <w:vAlign w:val="center"/>
          </w:tcPr>
          <w:p w14:paraId="57A245BA">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275" w:type="dxa"/>
            <w:gridSpan w:val="2"/>
            <w:vAlign w:val="center"/>
          </w:tcPr>
          <w:p w14:paraId="2E024443">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技术职称</w:t>
            </w:r>
          </w:p>
        </w:tc>
        <w:tc>
          <w:tcPr>
            <w:tcW w:w="1699" w:type="dxa"/>
            <w:gridSpan w:val="3"/>
            <w:vAlign w:val="center"/>
          </w:tcPr>
          <w:p w14:paraId="4EB47B04">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707" w:type="dxa"/>
            <w:vAlign w:val="center"/>
          </w:tcPr>
          <w:p w14:paraId="1450EAEA">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电话</w:t>
            </w:r>
          </w:p>
        </w:tc>
        <w:tc>
          <w:tcPr>
            <w:tcW w:w="1300" w:type="dxa"/>
            <w:vAlign w:val="center"/>
          </w:tcPr>
          <w:p w14:paraId="64B7F684">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70194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275F5BC5">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成立时间</w:t>
            </w:r>
          </w:p>
        </w:tc>
        <w:tc>
          <w:tcPr>
            <w:tcW w:w="2211" w:type="dxa"/>
            <w:gridSpan w:val="2"/>
            <w:vAlign w:val="center"/>
          </w:tcPr>
          <w:p w14:paraId="61F1C78E">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4981" w:type="dxa"/>
            <w:gridSpan w:val="7"/>
            <w:vAlign w:val="center"/>
          </w:tcPr>
          <w:p w14:paraId="420AF206">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员工总人数：</w:t>
            </w:r>
          </w:p>
        </w:tc>
      </w:tr>
      <w:tr w14:paraId="3CF44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2ACB5647">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企业资质等级</w:t>
            </w:r>
          </w:p>
        </w:tc>
        <w:tc>
          <w:tcPr>
            <w:tcW w:w="2211" w:type="dxa"/>
            <w:gridSpan w:val="2"/>
            <w:vAlign w:val="center"/>
          </w:tcPr>
          <w:p w14:paraId="6B5FAF1C">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992" w:type="dxa"/>
            <w:vMerge w:val="restart"/>
            <w:vAlign w:val="center"/>
          </w:tcPr>
          <w:p w14:paraId="31C1C696">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其中</w:t>
            </w:r>
          </w:p>
        </w:tc>
        <w:tc>
          <w:tcPr>
            <w:tcW w:w="1982" w:type="dxa"/>
            <w:gridSpan w:val="4"/>
            <w:vAlign w:val="center"/>
          </w:tcPr>
          <w:p w14:paraId="6AEB0B3D">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项目负责人</w:t>
            </w:r>
          </w:p>
        </w:tc>
        <w:tc>
          <w:tcPr>
            <w:tcW w:w="2007" w:type="dxa"/>
            <w:gridSpan w:val="2"/>
            <w:vAlign w:val="center"/>
          </w:tcPr>
          <w:p w14:paraId="2044A534">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36F10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7432A687">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营业执照号</w:t>
            </w:r>
          </w:p>
        </w:tc>
        <w:tc>
          <w:tcPr>
            <w:tcW w:w="2211" w:type="dxa"/>
            <w:gridSpan w:val="2"/>
            <w:vAlign w:val="center"/>
          </w:tcPr>
          <w:p w14:paraId="7B4B0140">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992" w:type="dxa"/>
            <w:vMerge w:val="continue"/>
            <w:vAlign w:val="center"/>
          </w:tcPr>
          <w:p w14:paraId="02C1FCFF">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982" w:type="dxa"/>
            <w:gridSpan w:val="4"/>
            <w:vAlign w:val="center"/>
          </w:tcPr>
          <w:p w14:paraId="1B38FFED">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高级职称人员</w:t>
            </w:r>
          </w:p>
        </w:tc>
        <w:tc>
          <w:tcPr>
            <w:tcW w:w="2007" w:type="dxa"/>
            <w:gridSpan w:val="2"/>
            <w:vAlign w:val="center"/>
          </w:tcPr>
          <w:p w14:paraId="30A209C8">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48AE1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6B4C8895">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注册资金</w:t>
            </w:r>
          </w:p>
        </w:tc>
        <w:tc>
          <w:tcPr>
            <w:tcW w:w="2211" w:type="dxa"/>
            <w:gridSpan w:val="2"/>
            <w:vAlign w:val="center"/>
          </w:tcPr>
          <w:p w14:paraId="681342B3">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992" w:type="dxa"/>
            <w:vMerge w:val="continue"/>
            <w:vAlign w:val="center"/>
          </w:tcPr>
          <w:p w14:paraId="1A09181E">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982" w:type="dxa"/>
            <w:gridSpan w:val="4"/>
            <w:vAlign w:val="center"/>
          </w:tcPr>
          <w:p w14:paraId="0E08F0FB">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中级职称人员</w:t>
            </w:r>
          </w:p>
        </w:tc>
        <w:tc>
          <w:tcPr>
            <w:tcW w:w="2007" w:type="dxa"/>
            <w:gridSpan w:val="2"/>
            <w:vAlign w:val="center"/>
          </w:tcPr>
          <w:p w14:paraId="35A82A3F">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76784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5232BAD1">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开户银行</w:t>
            </w:r>
          </w:p>
        </w:tc>
        <w:tc>
          <w:tcPr>
            <w:tcW w:w="2211" w:type="dxa"/>
            <w:gridSpan w:val="2"/>
            <w:vAlign w:val="center"/>
          </w:tcPr>
          <w:p w14:paraId="06DC8029">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992" w:type="dxa"/>
            <w:vMerge w:val="continue"/>
            <w:vAlign w:val="center"/>
          </w:tcPr>
          <w:p w14:paraId="1BE0F80C">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982" w:type="dxa"/>
            <w:gridSpan w:val="4"/>
            <w:vAlign w:val="center"/>
          </w:tcPr>
          <w:p w14:paraId="7D528F59">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初级职称人员</w:t>
            </w:r>
          </w:p>
        </w:tc>
        <w:tc>
          <w:tcPr>
            <w:tcW w:w="2007" w:type="dxa"/>
            <w:gridSpan w:val="2"/>
            <w:vAlign w:val="center"/>
          </w:tcPr>
          <w:p w14:paraId="1774D66A">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52883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35D1BB70">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账号</w:t>
            </w:r>
          </w:p>
        </w:tc>
        <w:tc>
          <w:tcPr>
            <w:tcW w:w="2211" w:type="dxa"/>
            <w:gridSpan w:val="2"/>
            <w:vAlign w:val="center"/>
          </w:tcPr>
          <w:p w14:paraId="2F9305D4">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992" w:type="dxa"/>
            <w:vMerge w:val="continue"/>
            <w:vAlign w:val="center"/>
          </w:tcPr>
          <w:p w14:paraId="6008C711">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c>
          <w:tcPr>
            <w:tcW w:w="1982" w:type="dxa"/>
            <w:gridSpan w:val="4"/>
            <w:vAlign w:val="center"/>
          </w:tcPr>
          <w:p w14:paraId="3AC9E1B8">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技  工</w:t>
            </w:r>
          </w:p>
        </w:tc>
        <w:tc>
          <w:tcPr>
            <w:tcW w:w="2007" w:type="dxa"/>
            <w:gridSpan w:val="2"/>
            <w:vAlign w:val="center"/>
          </w:tcPr>
          <w:p w14:paraId="2E6BB42A">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02E9D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7" w:hRule="atLeast"/>
          <w:jc w:val="center"/>
        </w:trPr>
        <w:tc>
          <w:tcPr>
            <w:tcW w:w="1933" w:type="dxa"/>
            <w:vAlign w:val="center"/>
          </w:tcPr>
          <w:p w14:paraId="0FF81F5B">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经营范围</w:t>
            </w:r>
          </w:p>
        </w:tc>
        <w:tc>
          <w:tcPr>
            <w:tcW w:w="7192" w:type="dxa"/>
            <w:gridSpan w:val="9"/>
            <w:vAlign w:val="center"/>
          </w:tcPr>
          <w:p w14:paraId="3FEBD2D1">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r w14:paraId="162EE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33" w:type="dxa"/>
            <w:vAlign w:val="center"/>
          </w:tcPr>
          <w:p w14:paraId="63E297F0">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备注</w:t>
            </w:r>
          </w:p>
        </w:tc>
        <w:tc>
          <w:tcPr>
            <w:tcW w:w="7192" w:type="dxa"/>
            <w:gridSpan w:val="9"/>
            <w:vAlign w:val="center"/>
          </w:tcPr>
          <w:p w14:paraId="1F069840">
            <w:pPr>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p>
        </w:tc>
      </w:tr>
    </w:tbl>
    <w:p w14:paraId="47FDB6FA">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备注：本表后应附企业法人营业执照的证明材料、企业资质证书副本、安全生产许可证、等材料的复印件。</w:t>
      </w:r>
    </w:p>
    <w:p w14:paraId="6D64E335">
      <w:pPr>
        <w:pageBreakBefore w:val="0"/>
        <w:kinsoku/>
        <w:overflowPunct/>
        <w:autoSpaceDE w:val="0"/>
        <w:autoSpaceDN w:val="0"/>
        <w:bidi w:val="0"/>
        <w:adjustRightInd w:val="0"/>
        <w:spacing w:line="480" w:lineRule="exact"/>
        <w:ind w:left="210" w:leftChars="100"/>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br w:type="page"/>
      </w:r>
    </w:p>
    <w:p w14:paraId="770E4D55">
      <w:pPr>
        <w:pStyle w:val="2"/>
        <w:pageBreakBefore w:val="0"/>
        <w:kinsoku/>
        <w:overflowPunct/>
        <w:bidi w:val="0"/>
        <w:spacing w:line="480" w:lineRule="exact"/>
        <w:jc w:val="center"/>
        <w:textAlignment w:val="auto"/>
        <w:rPr>
          <w:rFonts w:ascii="宋体" w:hAnsi="宋体" w:eastAsia="宋体" w:cs="宋体"/>
          <w:color w:val="000000" w:themeColor="text1"/>
          <w:highlight w:val="none"/>
          <w14:textFill>
            <w14:solidFill>
              <w14:schemeClr w14:val="tx1"/>
            </w14:solidFill>
          </w14:textFill>
        </w:rPr>
      </w:pPr>
      <w:bookmarkStart w:id="718" w:name="_Toc414108648"/>
      <w:r>
        <w:rPr>
          <w:rFonts w:hint="eastAsia" w:ascii="宋体" w:hAnsi="宋体" w:eastAsia="宋体" w:cs="宋体"/>
          <w:color w:val="000000" w:themeColor="text1"/>
          <w:highlight w:val="none"/>
          <w:lang w:val="zh-CN"/>
          <w14:textFill>
            <w14:solidFill>
              <w14:schemeClr w14:val="tx1"/>
            </w14:solidFill>
          </w14:textFill>
        </w:rPr>
        <w:t>项目负责人简历</w:t>
      </w:r>
      <w:bookmarkEnd w:id="718"/>
    </w:p>
    <w:p w14:paraId="09673912">
      <w:pPr>
        <w:pageBreakBefore w:val="0"/>
        <w:kinsoku/>
        <w:overflowPunct/>
        <w:bidi w:val="0"/>
        <w:spacing w:line="480" w:lineRule="exact"/>
        <w:ind w:left="210" w:hanging="240" w:hanging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项目负责人介绍应包括：姓名、性别、年龄、职称、学历、参加工作时间、从事项目管理年限、注册建造师（项目负责人）证书编号以及其他内容。</w:t>
      </w:r>
    </w:p>
    <w:p w14:paraId="08A23E78">
      <w:pPr>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2、项目负责人简历相关证明材料（注册建造师（项目负责人）证书、</w:t>
      </w:r>
      <w:r>
        <w:rPr>
          <w:rFonts w:hint="eastAsia" w:ascii="宋体" w:hAnsi="宋体" w:cs="宋体"/>
          <w:color w:val="000000" w:themeColor="text1"/>
          <w:sz w:val="24"/>
          <w:szCs w:val="24"/>
          <w:highlight w:val="none"/>
          <w:lang w:eastAsia="zh-CN"/>
          <w14:textFill>
            <w14:solidFill>
              <w14:schemeClr w14:val="tx1"/>
            </w14:solidFill>
          </w14:textFill>
        </w:rPr>
        <w:t>安全考核证</w:t>
      </w:r>
      <w:r>
        <w:rPr>
          <w:rFonts w:hint="eastAsia" w:ascii="宋体" w:hAnsi="宋体" w:eastAsia="宋体" w:cs="宋体"/>
          <w:color w:val="000000" w:themeColor="text1"/>
          <w:sz w:val="24"/>
          <w:szCs w:val="24"/>
          <w:highlight w:val="none"/>
          <w14:textFill>
            <w14:solidFill>
              <w14:schemeClr w14:val="tx1"/>
            </w14:solidFill>
          </w14:textFill>
        </w:rPr>
        <w:t>复印件）。</w:t>
      </w:r>
    </w:p>
    <w:p w14:paraId="58476BA0">
      <w:pPr>
        <w:pageBreakBefore w:val="0"/>
        <w:kinsoku/>
        <w:overflowPunct/>
        <w:bidi w:val="0"/>
        <w:spacing w:line="480" w:lineRule="exact"/>
        <w:jc w:val="center"/>
        <w:textAlignment w:val="auto"/>
        <w:rPr>
          <w:rFonts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拟派项目负责人资格一览表</w:t>
      </w:r>
    </w:p>
    <w:tbl>
      <w:tblPr>
        <w:tblStyle w:val="22"/>
        <w:tblW w:w="93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4"/>
        <w:gridCol w:w="1030"/>
        <w:gridCol w:w="2123"/>
        <w:gridCol w:w="2141"/>
        <w:gridCol w:w="2951"/>
      </w:tblGrid>
      <w:tr w14:paraId="33925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2144" w:type="dxa"/>
            <w:gridSpan w:val="2"/>
            <w:vAlign w:val="center"/>
          </w:tcPr>
          <w:p w14:paraId="7F991D75">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  名</w:t>
            </w:r>
          </w:p>
        </w:tc>
        <w:tc>
          <w:tcPr>
            <w:tcW w:w="2123" w:type="dxa"/>
            <w:vAlign w:val="center"/>
          </w:tcPr>
          <w:p w14:paraId="00184543">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2141" w:type="dxa"/>
            <w:vAlign w:val="center"/>
          </w:tcPr>
          <w:p w14:paraId="38DFBB61">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龄</w:t>
            </w:r>
          </w:p>
        </w:tc>
        <w:tc>
          <w:tcPr>
            <w:tcW w:w="2951" w:type="dxa"/>
            <w:vAlign w:val="center"/>
          </w:tcPr>
          <w:p w14:paraId="436E9203">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428BC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2144" w:type="dxa"/>
            <w:gridSpan w:val="2"/>
            <w:vAlign w:val="center"/>
          </w:tcPr>
          <w:p w14:paraId="369AEF7C">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学  历</w:t>
            </w:r>
          </w:p>
        </w:tc>
        <w:tc>
          <w:tcPr>
            <w:tcW w:w="2123" w:type="dxa"/>
            <w:vAlign w:val="center"/>
          </w:tcPr>
          <w:p w14:paraId="1691F442">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2141" w:type="dxa"/>
            <w:vAlign w:val="center"/>
          </w:tcPr>
          <w:p w14:paraId="3EC8C01D">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职  务</w:t>
            </w:r>
          </w:p>
        </w:tc>
        <w:tc>
          <w:tcPr>
            <w:tcW w:w="2951" w:type="dxa"/>
            <w:vAlign w:val="center"/>
          </w:tcPr>
          <w:p w14:paraId="7DC1F73D">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2B096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4267" w:type="dxa"/>
            <w:gridSpan w:val="3"/>
            <w:vAlign w:val="center"/>
          </w:tcPr>
          <w:p w14:paraId="0F5FF481">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从事相关工作年限</w:t>
            </w:r>
          </w:p>
        </w:tc>
        <w:tc>
          <w:tcPr>
            <w:tcW w:w="5092" w:type="dxa"/>
            <w:gridSpan w:val="2"/>
            <w:vAlign w:val="center"/>
          </w:tcPr>
          <w:p w14:paraId="33930106">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47801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trPr>
        <w:tc>
          <w:tcPr>
            <w:tcW w:w="4267" w:type="dxa"/>
            <w:gridSpan w:val="3"/>
            <w:vAlign w:val="center"/>
          </w:tcPr>
          <w:p w14:paraId="606823A2">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在本项目中拟担任的职务</w:t>
            </w:r>
          </w:p>
        </w:tc>
        <w:tc>
          <w:tcPr>
            <w:tcW w:w="5092" w:type="dxa"/>
            <w:gridSpan w:val="2"/>
            <w:vAlign w:val="center"/>
          </w:tcPr>
          <w:p w14:paraId="6F9B49E7">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7AADD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trPr>
        <w:tc>
          <w:tcPr>
            <w:tcW w:w="2144" w:type="dxa"/>
            <w:gridSpan w:val="2"/>
            <w:vAlign w:val="center"/>
          </w:tcPr>
          <w:p w14:paraId="3932EDC7">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联系方式</w:t>
            </w:r>
          </w:p>
        </w:tc>
        <w:tc>
          <w:tcPr>
            <w:tcW w:w="7215" w:type="dxa"/>
            <w:gridSpan w:val="3"/>
            <w:vAlign w:val="center"/>
          </w:tcPr>
          <w:p w14:paraId="563A9314">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595DF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2" w:hRule="atLeast"/>
        </w:trPr>
        <w:tc>
          <w:tcPr>
            <w:tcW w:w="1114" w:type="dxa"/>
            <w:vAlign w:val="center"/>
          </w:tcPr>
          <w:p w14:paraId="1FD6BB3D">
            <w:pPr>
              <w:pStyle w:val="10"/>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tc>
        <w:tc>
          <w:tcPr>
            <w:tcW w:w="8245" w:type="dxa"/>
            <w:gridSpan w:val="4"/>
            <w:vAlign w:val="center"/>
          </w:tcPr>
          <w:p w14:paraId="692CC81D">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类似工作经历</w:t>
            </w:r>
          </w:p>
        </w:tc>
      </w:tr>
      <w:tr w14:paraId="6C84D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76" w:hRule="atLeast"/>
        </w:trPr>
        <w:tc>
          <w:tcPr>
            <w:tcW w:w="1114" w:type="dxa"/>
            <w:vAlign w:val="center"/>
          </w:tcPr>
          <w:p w14:paraId="736903B9">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工作</w:t>
            </w:r>
          </w:p>
          <w:p w14:paraId="4B82323E">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经历</w:t>
            </w:r>
          </w:p>
        </w:tc>
        <w:tc>
          <w:tcPr>
            <w:tcW w:w="8245" w:type="dxa"/>
            <w:gridSpan w:val="4"/>
          </w:tcPr>
          <w:p w14:paraId="75481F32">
            <w:pPr>
              <w:pStyle w:val="10"/>
              <w:pageBreakBefore w:val="0"/>
              <w:kinsoku/>
              <w:overflowPunct/>
              <w:bidi w:val="0"/>
              <w:spacing w:line="480" w:lineRule="exact"/>
              <w:ind w:firstLine="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（单位、担任职务、工作时间）</w:t>
            </w:r>
          </w:p>
        </w:tc>
      </w:tr>
    </w:tbl>
    <w:p w14:paraId="2BAD0936">
      <w:pPr>
        <w:pStyle w:val="10"/>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投标单位：（盖章）</w:t>
      </w:r>
    </w:p>
    <w:p w14:paraId="7102F92D">
      <w:pPr>
        <w:pStyle w:val="10"/>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法定代表人或委托代理人：（签字）</w:t>
      </w:r>
    </w:p>
    <w:p w14:paraId="3A9DEDD8">
      <w:pPr>
        <w:pageBreakBefore w:val="0"/>
        <w:kinsoku/>
        <w:overflowPunct/>
        <w:bidi w:val="0"/>
        <w:spacing w:line="480" w:lineRule="exact"/>
        <w:jc w:val="right"/>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2EB49F82">
      <w:pPr>
        <w:pageBreakBefore w:val="0"/>
        <w:kinsoku/>
        <w:overflowPunct/>
        <w:bidi w:val="0"/>
        <w:spacing w:line="480" w:lineRule="exact"/>
        <w:jc w:val="right"/>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724E2A49">
      <w:pPr>
        <w:pageBreakBefore w:val="0"/>
        <w:kinsoku/>
        <w:overflowPunct/>
        <w:bidi w:val="0"/>
        <w:spacing w:line="480" w:lineRule="exact"/>
        <w:jc w:val="right"/>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3D2BA260">
      <w:pPr>
        <w:pageBreakBefore w:val="0"/>
        <w:kinsoku/>
        <w:overflowPunct/>
        <w:bidi w:val="0"/>
        <w:spacing w:line="480" w:lineRule="exact"/>
        <w:jc w:val="righ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日期：     年  月  日</w:t>
      </w:r>
    </w:p>
    <w:p w14:paraId="6E2C2D78">
      <w:pPr>
        <w:pageBreakBefore w:val="0"/>
        <w:kinsoku/>
        <w:overflowPunct/>
        <w:bidi w:val="0"/>
        <w:spacing w:line="480" w:lineRule="exact"/>
        <w:jc w:val="right"/>
        <w:textAlignment w:val="auto"/>
        <w:rPr>
          <w:rFonts w:ascii="宋体" w:hAnsi="宋体" w:eastAsia="宋体" w:cs="宋体"/>
          <w:color w:val="000000" w:themeColor="text1"/>
          <w:sz w:val="24"/>
          <w:szCs w:val="30"/>
          <w:highlight w:val="none"/>
          <w14:textFill>
            <w14:solidFill>
              <w14:schemeClr w14:val="tx1"/>
            </w14:solidFill>
          </w14:textFill>
        </w:rPr>
      </w:pPr>
    </w:p>
    <w:p w14:paraId="34CEFB63">
      <w:pPr>
        <w:pStyle w:val="16"/>
        <w:rPr>
          <w:rFonts w:ascii="宋体" w:hAnsi="宋体" w:eastAsia="宋体" w:cs="宋体"/>
          <w:color w:val="000000" w:themeColor="text1"/>
          <w:sz w:val="24"/>
          <w:szCs w:val="30"/>
          <w:highlight w:val="none"/>
          <w14:textFill>
            <w14:solidFill>
              <w14:schemeClr w14:val="tx1"/>
            </w14:solidFill>
          </w14:textFill>
        </w:rPr>
      </w:pPr>
    </w:p>
    <w:p w14:paraId="45F06E1B">
      <w:pPr>
        <w:pStyle w:val="16"/>
        <w:rPr>
          <w:rFonts w:ascii="宋体" w:hAnsi="宋体" w:eastAsia="宋体" w:cs="宋体"/>
          <w:color w:val="000000" w:themeColor="text1"/>
          <w:sz w:val="24"/>
          <w:szCs w:val="30"/>
          <w:highlight w:val="none"/>
          <w14:textFill>
            <w14:solidFill>
              <w14:schemeClr w14:val="tx1"/>
            </w14:solidFill>
          </w14:textFill>
        </w:rPr>
      </w:pPr>
    </w:p>
    <w:p w14:paraId="07D142D4">
      <w:pPr>
        <w:pStyle w:val="16"/>
        <w:rPr>
          <w:rFonts w:ascii="宋体" w:hAnsi="宋体" w:eastAsia="宋体" w:cs="宋体"/>
          <w:color w:val="000000" w:themeColor="text1"/>
          <w:sz w:val="24"/>
          <w:szCs w:val="30"/>
          <w:highlight w:val="none"/>
          <w14:textFill>
            <w14:solidFill>
              <w14:schemeClr w14:val="tx1"/>
            </w14:solidFill>
          </w14:textFill>
        </w:rPr>
      </w:pPr>
    </w:p>
    <w:p w14:paraId="2FA80CA2">
      <w:pPr>
        <w:pStyle w:val="16"/>
        <w:rPr>
          <w:rFonts w:ascii="宋体" w:hAnsi="宋体" w:eastAsia="宋体" w:cs="宋体"/>
          <w:color w:val="000000" w:themeColor="text1"/>
          <w:sz w:val="24"/>
          <w:szCs w:val="30"/>
          <w:highlight w:val="none"/>
          <w14:textFill>
            <w14:solidFill>
              <w14:schemeClr w14:val="tx1"/>
            </w14:solidFill>
          </w14:textFill>
        </w:rPr>
      </w:pPr>
    </w:p>
    <w:p w14:paraId="320DB3F1">
      <w:pPr>
        <w:pStyle w:val="16"/>
        <w:rPr>
          <w:rFonts w:ascii="宋体" w:hAnsi="宋体" w:eastAsia="宋体" w:cs="宋体"/>
          <w:color w:val="000000" w:themeColor="text1"/>
          <w:sz w:val="24"/>
          <w:szCs w:val="30"/>
          <w:highlight w:val="none"/>
          <w14:textFill>
            <w14:solidFill>
              <w14:schemeClr w14:val="tx1"/>
            </w14:solidFill>
          </w14:textFill>
        </w:rPr>
      </w:pPr>
    </w:p>
    <w:p w14:paraId="1D962AAD">
      <w:pPr>
        <w:pStyle w:val="2"/>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bookmarkStart w:id="719" w:name="_Toc414108649"/>
      <w:r>
        <w:rPr>
          <w:rFonts w:hint="eastAsia" w:ascii="宋体" w:hAnsi="宋体" w:eastAsia="宋体" w:cs="宋体"/>
          <w:color w:val="000000" w:themeColor="text1"/>
          <w:highlight w:val="none"/>
          <w:lang w:val="zh-CN"/>
          <w14:textFill>
            <w14:solidFill>
              <w14:schemeClr w14:val="tx1"/>
            </w14:solidFill>
          </w14:textFill>
        </w:rPr>
        <w:t>项目管理人员</w:t>
      </w:r>
      <w:bookmarkEnd w:id="719"/>
    </w:p>
    <w:p w14:paraId="53DA9B1B">
      <w:pPr>
        <w:pageBreakBefore w:val="0"/>
        <w:kinsoku/>
        <w:overflowPunct/>
        <w:autoSpaceDE w:val="0"/>
        <w:autoSpaceDN w:val="0"/>
        <w:bidi w:val="0"/>
        <w:adjustRightInd w:val="0"/>
        <w:spacing w:line="480" w:lineRule="exact"/>
        <w:ind w:left="660" w:leftChars="200" w:hanging="240" w:hangingChars="1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zh-CN"/>
          <w14:textFill>
            <w14:solidFill>
              <w14:schemeClr w14:val="tx1"/>
            </w14:solidFill>
          </w14:textFill>
        </w:rPr>
        <w:t>、项目管理人员应包括：技术</w:t>
      </w:r>
      <w:r>
        <w:rPr>
          <w:rFonts w:hint="default" w:ascii="宋体" w:hAnsi="宋体" w:eastAsia="宋体" w:cs="宋体"/>
          <w:color w:val="000000" w:themeColor="text1"/>
          <w:sz w:val="24"/>
          <w:szCs w:val="24"/>
          <w:highlight w:val="none"/>
          <w:lang w:val="en-US"/>
          <w14:textFill>
            <w14:solidFill>
              <w14:schemeClr w14:val="tx1"/>
            </w14:solidFill>
          </w14:textFill>
        </w:rPr>
        <w:t>负责人</w:t>
      </w:r>
      <w:r>
        <w:rPr>
          <w:rFonts w:hint="eastAsia" w:ascii="宋体" w:hAnsi="宋体" w:eastAsia="宋体" w:cs="宋体"/>
          <w:color w:val="000000" w:themeColor="text1"/>
          <w:sz w:val="24"/>
          <w:szCs w:val="24"/>
          <w:highlight w:val="none"/>
          <w:lang w:val="zh-CN"/>
          <w14:textFill>
            <w14:solidFill>
              <w14:schemeClr w14:val="tx1"/>
            </w14:solidFill>
          </w14:textFill>
        </w:rPr>
        <w:t>、质量管理员、施工管理员、材料管理员、安全管理员、资料员等和项目项目负责人需要配备的其他关键人员</w:t>
      </w:r>
    </w:p>
    <w:p w14:paraId="20C37683">
      <w:pPr>
        <w:pageBreakBefore w:val="0"/>
        <w:kinsoku/>
        <w:overflowPunct/>
        <w:autoSpaceDE w:val="0"/>
        <w:autoSpaceDN w:val="0"/>
        <w:bidi w:val="0"/>
        <w:adjustRightInd w:val="0"/>
        <w:spacing w:line="480" w:lineRule="exact"/>
        <w:ind w:firstLine="42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、上述人员简历介绍应包括姓名、职称等基本信息</w:t>
      </w:r>
    </w:p>
    <w:p w14:paraId="099104A7">
      <w:pPr>
        <w:pageBreakBefore w:val="0"/>
        <w:kinsoku/>
        <w:overflowPunct/>
        <w:autoSpaceDE w:val="0"/>
        <w:autoSpaceDN w:val="0"/>
        <w:bidi w:val="0"/>
        <w:adjustRightInd w:val="0"/>
        <w:spacing w:line="480" w:lineRule="exact"/>
        <w:ind w:firstLine="420"/>
        <w:textAlignment w:val="auto"/>
        <w:rPr>
          <w:rFonts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、项目管理人员简历中应付职称证书或上岗证书复印件</w:t>
      </w:r>
    </w:p>
    <w:p w14:paraId="130854FA">
      <w:pPr>
        <w:pageBreakBefore w:val="0"/>
        <w:widowControl/>
        <w:kinsoku/>
        <w:overflowPunct/>
        <w:bidi w:val="0"/>
        <w:spacing w:line="480" w:lineRule="exact"/>
        <w:ind w:firstLine="600"/>
        <w:jc w:val="center"/>
        <w:textAlignment w:val="auto"/>
        <w:rPr>
          <w:rFonts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拟派项目作业人员一览表</w:t>
      </w:r>
    </w:p>
    <w:tbl>
      <w:tblPr>
        <w:tblStyle w:val="22"/>
        <w:tblpPr w:leftFromText="180" w:rightFromText="180" w:vertAnchor="text" w:horzAnchor="page" w:tblpX="1153" w:tblpY="723"/>
        <w:tblOverlap w:val="never"/>
        <w:tblW w:w="102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4"/>
        <w:gridCol w:w="1709"/>
        <w:gridCol w:w="1875"/>
        <w:gridCol w:w="2475"/>
        <w:gridCol w:w="3075"/>
      </w:tblGrid>
      <w:tr w14:paraId="2E518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1104" w:type="dxa"/>
            <w:vAlign w:val="center"/>
          </w:tcPr>
          <w:p w14:paraId="6AFE93F9">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 名</w:t>
            </w:r>
          </w:p>
        </w:tc>
        <w:tc>
          <w:tcPr>
            <w:tcW w:w="1709" w:type="dxa"/>
            <w:vAlign w:val="center"/>
          </w:tcPr>
          <w:p w14:paraId="22CDDAEA">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职 称</w:t>
            </w:r>
          </w:p>
        </w:tc>
        <w:tc>
          <w:tcPr>
            <w:tcW w:w="1875" w:type="dxa"/>
            <w:vAlign w:val="center"/>
          </w:tcPr>
          <w:p w14:paraId="16FA25AF">
            <w:pPr>
              <w:pStyle w:val="10"/>
              <w:pageBreakBefore w:val="0"/>
              <w:kinsoku/>
              <w:overflowPunct/>
              <w:bidi w:val="0"/>
              <w:spacing w:line="480" w:lineRule="exact"/>
              <w:ind w:firstLine="0"/>
              <w:jc w:val="center"/>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建议职务</w:t>
            </w:r>
          </w:p>
        </w:tc>
        <w:tc>
          <w:tcPr>
            <w:tcW w:w="2475" w:type="dxa"/>
            <w:vAlign w:val="center"/>
          </w:tcPr>
          <w:p w14:paraId="1A80DE6A">
            <w:pPr>
              <w:pStyle w:val="10"/>
              <w:pageBreakBefore w:val="0"/>
              <w:kinsoku/>
              <w:overflowPunct/>
              <w:bidi w:val="0"/>
              <w:spacing w:line="480" w:lineRule="exact"/>
              <w:ind w:left="-128" w:leftChars="-61" w:firstLine="26" w:firstLineChars="11"/>
              <w:jc w:val="center"/>
              <w:textAlignment w:val="auto"/>
              <w:rPr>
                <w:rFonts w:ascii="宋体" w:hAnsi="宋体" w:eastAsia="宋体" w:cs="宋体"/>
                <w:color w:val="000000" w:themeColor="text1"/>
                <w:spacing w:val="-20"/>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从事相关工作年限</w:t>
            </w:r>
          </w:p>
        </w:tc>
        <w:tc>
          <w:tcPr>
            <w:tcW w:w="3075" w:type="dxa"/>
            <w:vAlign w:val="center"/>
          </w:tcPr>
          <w:p w14:paraId="5B88DD96">
            <w:pPr>
              <w:pStyle w:val="10"/>
              <w:pageBreakBefore w:val="0"/>
              <w:kinsoku/>
              <w:overflowPunct/>
              <w:bidi w:val="0"/>
              <w:spacing w:line="480" w:lineRule="exact"/>
              <w:ind w:left="-128" w:leftChars="-61" w:firstLine="26" w:firstLineChars="11"/>
              <w:jc w:val="center"/>
              <w:textAlignment w:val="auto"/>
              <w:rPr>
                <w:rFonts w:ascii="宋体" w:hAnsi="宋体" w:eastAsia="宋体" w:cs="宋体"/>
                <w:color w:val="000000" w:themeColor="text1"/>
                <w:spacing w:val="-20"/>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在本项目中负责的内容</w:t>
            </w:r>
          </w:p>
        </w:tc>
      </w:tr>
      <w:tr w14:paraId="5B630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trPr>
        <w:tc>
          <w:tcPr>
            <w:tcW w:w="1104" w:type="dxa"/>
            <w:vMerge w:val="continue"/>
            <w:vAlign w:val="center"/>
          </w:tcPr>
          <w:p w14:paraId="081354D4">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709" w:type="dxa"/>
            <w:vAlign w:val="center"/>
          </w:tcPr>
          <w:p w14:paraId="5DEF5871">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875" w:type="dxa"/>
            <w:vAlign w:val="center"/>
          </w:tcPr>
          <w:p w14:paraId="56232FD4">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2475" w:type="dxa"/>
            <w:vAlign w:val="center"/>
          </w:tcPr>
          <w:p w14:paraId="1D959EBC">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3075" w:type="dxa"/>
            <w:vAlign w:val="center"/>
          </w:tcPr>
          <w:p w14:paraId="51F09DB9">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10FDF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4" w:type="dxa"/>
            <w:vAlign w:val="center"/>
          </w:tcPr>
          <w:p w14:paraId="6A1B2324">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709" w:type="dxa"/>
            <w:vAlign w:val="center"/>
          </w:tcPr>
          <w:p w14:paraId="23325898">
            <w:pPr>
              <w:pStyle w:val="13"/>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875" w:type="dxa"/>
            <w:vAlign w:val="center"/>
          </w:tcPr>
          <w:p w14:paraId="5A71DA09">
            <w:pPr>
              <w:pStyle w:val="13"/>
              <w:pageBreakBefore w:val="0"/>
              <w:kinsoku/>
              <w:overflowPunct/>
              <w:bidi w:val="0"/>
              <w:spacing w:line="480" w:lineRule="exact"/>
              <w:ind w:left="-14" w:leftChars="-22" w:hanging="32" w:hangingChars="15"/>
              <w:jc w:val="center"/>
              <w:textAlignment w:val="auto"/>
              <w:rPr>
                <w:rFonts w:ascii="宋体" w:hAnsi="宋体" w:eastAsia="宋体" w:cs="宋体"/>
                <w:color w:val="000000" w:themeColor="text1"/>
                <w:spacing w:val="-12"/>
                <w:sz w:val="24"/>
                <w:szCs w:val="24"/>
                <w:highlight w:val="none"/>
                <w14:textFill>
                  <w14:solidFill>
                    <w14:schemeClr w14:val="tx1"/>
                  </w14:solidFill>
                </w14:textFill>
              </w:rPr>
            </w:pPr>
          </w:p>
        </w:tc>
        <w:tc>
          <w:tcPr>
            <w:tcW w:w="2475" w:type="dxa"/>
            <w:vAlign w:val="center"/>
          </w:tcPr>
          <w:p w14:paraId="330011C1">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3075" w:type="dxa"/>
            <w:vAlign w:val="center"/>
          </w:tcPr>
          <w:p w14:paraId="05996772">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77100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4" w:type="dxa"/>
            <w:vAlign w:val="center"/>
          </w:tcPr>
          <w:p w14:paraId="55A68BFF">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709" w:type="dxa"/>
            <w:vAlign w:val="center"/>
          </w:tcPr>
          <w:p w14:paraId="58C6E6B1">
            <w:pPr>
              <w:pStyle w:val="13"/>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875" w:type="dxa"/>
            <w:vAlign w:val="center"/>
          </w:tcPr>
          <w:p w14:paraId="0EDBB74E">
            <w:pPr>
              <w:pStyle w:val="13"/>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2475" w:type="dxa"/>
            <w:vAlign w:val="center"/>
          </w:tcPr>
          <w:p w14:paraId="79A67E0F">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3075" w:type="dxa"/>
            <w:vAlign w:val="center"/>
          </w:tcPr>
          <w:p w14:paraId="74A88926">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08C1E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4" w:type="dxa"/>
            <w:vAlign w:val="center"/>
          </w:tcPr>
          <w:p w14:paraId="0BBE678E">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709" w:type="dxa"/>
            <w:vAlign w:val="center"/>
          </w:tcPr>
          <w:p w14:paraId="60AFC305">
            <w:pPr>
              <w:pStyle w:val="13"/>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875" w:type="dxa"/>
            <w:vAlign w:val="center"/>
          </w:tcPr>
          <w:p w14:paraId="2FCD1BB5">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2475" w:type="dxa"/>
            <w:vAlign w:val="center"/>
          </w:tcPr>
          <w:p w14:paraId="41A0702D">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3075" w:type="dxa"/>
            <w:vAlign w:val="center"/>
          </w:tcPr>
          <w:p w14:paraId="424B41A2">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2FAB6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4" w:type="dxa"/>
            <w:vAlign w:val="center"/>
          </w:tcPr>
          <w:p w14:paraId="36636E0E">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709" w:type="dxa"/>
            <w:vAlign w:val="center"/>
          </w:tcPr>
          <w:p w14:paraId="763A3941">
            <w:pPr>
              <w:pStyle w:val="13"/>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875" w:type="dxa"/>
            <w:vAlign w:val="center"/>
          </w:tcPr>
          <w:p w14:paraId="1DB1156A">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2475" w:type="dxa"/>
            <w:vAlign w:val="center"/>
          </w:tcPr>
          <w:p w14:paraId="371D62FC">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3075" w:type="dxa"/>
            <w:vAlign w:val="center"/>
          </w:tcPr>
          <w:p w14:paraId="76B52B57">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6729F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4" w:type="dxa"/>
            <w:vAlign w:val="center"/>
          </w:tcPr>
          <w:p w14:paraId="2957EC77">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709" w:type="dxa"/>
            <w:vAlign w:val="center"/>
          </w:tcPr>
          <w:p w14:paraId="77BC42EA">
            <w:pPr>
              <w:pStyle w:val="13"/>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875" w:type="dxa"/>
            <w:vAlign w:val="center"/>
          </w:tcPr>
          <w:p w14:paraId="5BC6FF51">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2475" w:type="dxa"/>
            <w:vAlign w:val="center"/>
          </w:tcPr>
          <w:p w14:paraId="67251A1A">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3075" w:type="dxa"/>
            <w:vAlign w:val="center"/>
          </w:tcPr>
          <w:p w14:paraId="5A6CEE99">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4BD6E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4" w:type="dxa"/>
            <w:vAlign w:val="center"/>
          </w:tcPr>
          <w:p w14:paraId="5E44058A">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709" w:type="dxa"/>
            <w:vAlign w:val="center"/>
          </w:tcPr>
          <w:p w14:paraId="41CD140B">
            <w:pPr>
              <w:pStyle w:val="13"/>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875" w:type="dxa"/>
            <w:vAlign w:val="center"/>
          </w:tcPr>
          <w:p w14:paraId="160FD405">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2475" w:type="dxa"/>
            <w:vAlign w:val="center"/>
          </w:tcPr>
          <w:p w14:paraId="6A96F85A">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3075" w:type="dxa"/>
            <w:vAlign w:val="center"/>
          </w:tcPr>
          <w:p w14:paraId="56A35C7E">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r w14:paraId="36AD0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4" w:type="dxa"/>
            <w:vAlign w:val="center"/>
          </w:tcPr>
          <w:p w14:paraId="7DCC3448">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709" w:type="dxa"/>
            <w:vAlign w:val="center"/>
          </w:tcPr>
          <w:p w14:paraId="19BE9B06">
            <w:pPr>
              <w:pStyle w:val="13"/>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1875" w:type="dxa"/>
            <w:vAlign w:val="center"/>
          </w:tcPr>
          <w:p w14:paraId="49E72AB1">
            <w:pPr>
              <w:pStyle w:val="10"/>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2475" w:type="dxa"/>
            <w:vAlign w:val="center"/>
          </w:tcPr>
          <w:p w14:paraId="130CA8B4">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c>
          <w:tcPr>
            <w:tcW w:w="3075" w:type="dxa"/>
            <w:vAlign w:val="center"/>
          </w:tcPr>
          <w:p w14:paraId="2DE79C51">
            <w:pPr>
              <w:pageBreakBefore w:val="0"/>
              <w:kinsoku/>
              <w:overflowPunct/>
              <w:bidi w:val="0"/>
              <w:spacing w:line="480" w:lineRule="exact"/>
              <w:jc w:val="center"/>
              <w:textAlignment w:val="auto"/>
              <w:rPr>
                <w:rFonts w:ascii="宋体" w:hAnsi="宋体" w:eastAsia="宋体" w:cs="宋体"/>
                <w:color w:val="000000" w:themeColor="text1"/>
                <w:sz w:val="24"/>
                <w:szCs w:val="24"/>
                <w:highlight w:val="none"/>
                <w14:textFill>
                  <w14:solidFill>
                    <w14:schemeClr w14:val="tx1"/>
                  </w14:solidFill>
                </w14:textFill>
              </w:rPr>
            </w:pPr>
          </w:p>
        </w:tc>
      </w:tr>
    </w:tbl>
    <w:p w14:paraId="02DD8F3E">
      <w:pPr>
        <w:pStyle w:val="10"/>
        <w:pageBreakBefore w:val="0"/>
        <w:kinsoku/>
        <w:overflowPunct/>
        <w:bidi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：（盖章）</w:t>
      </w:r>
    </w:p>
    <w:p w14:paraId="77E23EF0">
      <w:pPr>
        <w:pStyle w:val="10"/>
        <w:pageBreakBefore w:val="0"/>
        <w:kinsoku/>
        <w:wordWrap w:val="0"/>
        <w:overflowPunct/>
        <w:bidi w:val="0"/>
        <w:spacing w:line="480" w:lineRule="exact"/>
        <w:ind w:firstLine="0"/>
        <w:textAlignment w:val="auto"/>
        <w:rPr>
          <w:rFonts w:ascii="宋体" w:hAnsi="宋体" w:eastAsia="宋体" w:cs="宋体"/>
          <w:color w:val="000000" w:themeColor="text1"/>
          <w:sz w:val="24"/>
          <w:szCs w:val="24"/>
          <w:highlight w:val="none"/>
          <w14:textFill>
            <w14:solidFill>
              <w14:schemeClr w14:val="tx1"/>
            </w14:solidFill>
          </w14:textFill>
        </w:rPr>
      </w:pPr>
    </w:p>
    <w:p w14:paraId="6477A8D9">
      <w:pPr>
        <w:pStyle w:val="10"/>
        <w:pageBreakBefore w:val="0"/>
        <w:kinsoku/>
        <w:wordWrap w:val="0"/>
        <w:overflowPunct/>
        <w:bidi w:val="0"/>
        <w:spacing w:line="480" w:lineRule="exact"/>
        <w:ind w:firstLine="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法定代表人或委托代理人：（签字或盖章）                               </w:t>
      </w:r>
    </w:p>
    <w:p w14:paraId="70A1AD8B">
      <w:pPr>
        <w:pStyle w:val="10"/>
        <w:pageBreakBefore w:val="0"/>
        <w:kinsoku/>
        <w:wordWrap w:val="0"/>
        <w:overflowPunct/>
        <w:bidi w:val="0"/>
        <w:spacing w:line="480" w:lineRule="exact"/>
        <w:ind w:firstLine="511" w:firstLineChars="213"/>
        <w:jc w:val="right"/>
        <w:textAlignment w:val="auto"/>
        <w:rPr>
          <w:rFonts w:ascii="宋体" w:hAnsi="宋体" w:eastAsia="宋体" w:cs="宋体"/>
          <w:color w:val="000000" w:themeColor="text1"/>
          <w:sz w:val="24"/>
          <w:szCs w:val="24"/>
          <w:highlight w:val="none"/>
          <w14:textFill>
            <w14:solidFill>
              <w14:schemeClr w14:val="tx1"/>
            </w14:solidFill>
          </w14:textFill>
        </w:rPr>
      </w:pPr>
    </w:p>
    <w:p w14:paraId="1E6D7526">
      <w:pPr>
        <w:pStyle w:val="10"/>
        <w:pageBreakBefore w:val="0"/>
        <w:kinsoku/>
        <w:wordWrap w:val="0"/>
        <w:overflowPunct/>
        <w:bidi w:val="0"/>
        <w:spacing w:line="480" w:lineRule="exact"/>
        <w:ind w:firstLine="511" w:firstLineChars="213"/>
        <w:jc w:val="right"/>
        <w:textAlignment w:val="auto"/>
        <w:rPr>
          <w:rFonts w:ascii="宋体" w:hAnsi="宋体" w:eastAsia="宋体" w:cs="宋体"/>
          <w:color w:val="000000" w:themeColor="text1"/>
          <w:sz w:val="24"/>
          <w:szCs w:val="24"/>
          <w:highlight w:val="none"/>
          <w14:textFill>
            <w14:solidFill>
              <w14:schemeClr w14:val="tx1"/>
            </w14:solidFill>
          </w14:textFill>
        </w:rPr>
      </w:pPr>
    </w:p>
    <w:p w14:paraId="703C5496">
      <w:pPr>
        <w:pStyle w:val="10"/>
        <w:pageBreakBefore w:val="0"/>
        <w:kinsoku/>
        <w:wordWrap w:val="0"/>
        <w:overflowPunct/>
        <w:bidi w:val="0"/>
        <w:spacing w:line="480" w:lineRule="exact"/>
        <w:ind w:firstLine="511" w:firstLineChars="213"/>
        <w:jc w:val="right"/>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62C5009D">
      <w:pPr>
        <w:pStyle w:val="10"/>
        <w:pageBreakBefore w:val="0"/>
        <w:kinsoku/>
        <w:wordWrap w:val="0"/>
        <w:overflowPunct/>
        <w:bidi w:val="0"/>
        <w:spacing w:line="480" w:lineRule="exact"/>
        <w:ind w:firstLine="511" w:firstLineChars="213"/>
        <w:jc w:val="righ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日期：    年  月   日</w:t>
      </w:r>
    </w:p>
    <w:p w14:paraId="7088E051">
      <w:pPr>
        <w:pStyle w:val="12"/>
        <w:pageBreakBefore w:val="0"/>
        <w:numPr>
          <w:ilvl w:val="0"/>
          <w:numId w:val="0"/>
        </w:numPr>
        <w:kinsoku/>
        <w:overflowPunct/>
        <w:bidi w:val="0"/>
        <w:spacing w:line="480" w:lineRule="exact"/>
        <w:jc w:val="center"/>
        <w:textAlignment w:val="auto"/>
        <w:rPr>
          <w:rFonts w:hint="eastAsia" w:ascii="宋体" w:hAnsi="宋体" w:eastAsia="宋体" w:cs="宋体"/>
          <w:b/>
          <w:bCs/>
          <w:color w:val="000000" w:themeColor="text1"/>
          <w:sz w:val="30"/>
          <w:szCs w:val="30"/>
          <w:highlight w:val="none"/>
          <w14:textFill>
            <w14:solidFill>
              <w14:schemeClr w14:val="tx1"/>
            </w14:solidFill>
          </w14:textFill>
        </w:rPr>
      </w:pPr>
      <w:bookmarkStart w:id="720" w:name="_Toc414108650"/>
    </w:p>
    <w:p w14:paraId="4C995F15">
      <w:pPr>
        <w:pStyle w:val="12"/>
        <w:pageBreakBefore w:val="0"/>
        <w:numPr>
          <w:ilvl w:val="0"/>
          <w:numId w:val="0"/>
        </w:numPr>
        <w:kinsoku/>
        <w:overflowPunct/>
        <w:bidi w:val="0"/>
        <w:spacing w:line="480" w:lineRule="exact"/>
        <w:jc w:val="center"/>
        <w:textAlignment w:val="auto"/>
        <w:rPr>
          <w:rFonts w:hint="eastAsia" w:ascii="宋体" w:hAnsi="宋体" w:eastAsia="宋体" w:cs="宋体"/>
          <w:b/>
          <w:bCs/>
          <w:color w:val="000000" w:themeColor="text1"/>
          <w:sz w:val="30"/>
          <w:szCs w:val="30"/>
          <w:highlight w:val="none"/>
          <w14:textFill>
            <w14:solidFill>
              <w14:schemeClr w14:val="tx1"/>
            </w14:solidFill>
          </w14:textFill>
        </w:rPr>
      </w:pPr>
    </w:p>
    <w:p w14:paraId="72DDA6C9">
      <w:pPr>
        <w:pStyle w:val="12"/>
        <w:pageBreakBefore w:val="0"/>
        <w:numPr>
          <w:ilvl w:val="0"/>
          <w:numId w:val="0"/>
        </w:numPr>
        <w:kinsoku/>
        <w:overflowPunct/>
        <w:bidi w:val="0"/>
        <w:spacing w:line="480" w:lineRule="exact"/>
        <w:jc w:val="center"/>
        <w:textAlignment w:val="auto"/>
        <w:rPr>
          <w:rFonts w:hint="eastAsia" w:ascii="宋体" w:hAnsi="宋体" w:eastAsia="宋体" w:cs="宋体"/>
          <w:b/>
          <w:bCs/>
          <w:color w:val="000000" w:themeColor="text1"/>
          <w:sz w:val="30"/>
          <w:szCs w:val="30"/>
          <w:highlight w:val="none"/>
          <w14:textFill>
            <w14:solidFill>
              <w14:schemeClr w14:val="tx1"/>
            </w14:solidFill>
          </w14:textFill>
        </w:rPr>
      </w:pPr>
    </w:p>
    <w:p w14:paraId="5A28A850">
      <w:pPr>
        <w:pStyle w:val="12"/>
        <w:pageBreakBefore w:val="0"/>
        <w:numPr>
          <w:ilvl w:val="0"/>
          <w:numId w:val="0"/>
        </w:numPr>
        <w:kinsoku/>
        <w:overflowPunct/>
        <w:bidi w:val="0"/>
        <w:spacing w:line="480" w:lineRule="exact"/>
        <w:jc w:val="center"/>
        <w:textAlignment w:val="auto"/>
        <w:rPr>
          <w:rFonts w:hint="eastAsia" w:ascii="宋体" w:hAnsi="宋体" w:eastAsia="宋体" w:cs="宋体"/>
          <w:b/>
          <w:bCs/>
          <w:color w:val="000000" w:themeColor="text1"/>
          <w:sz w:val="30"/>
          <w:szCs w:val="30"/>
          <w:highlight w:val="none"/>
          <w14:textFill>
            <w14:solidFill>
              <w14:schemeClr w14:val="tx1"/>
            </w14:solidFill>
          </w14:textFill>
        </w:rPr>
      </w:pPr>
    </w:p>
    <w:p w14:paraId="68E5FDD0">
      <w:pPr>
        <w:pStyle w:val="7"/>
        <w:pageBreakBefore w:val="0"/>
        <w:kinsoku/>
        <w:overflowPunct/>
        <w:bidi w:val="0"/>
        <w:spacing w:line="480" w:lineRule="exact"/>
        <w:ind w:left="0" w:leftChars="0" w:firstLine="0" w:firstLineChars="0"/>
        <w:textAlignment w:val="auto"/>
        <w:rPr>
          <w:rFonts w:ascii="宋体" w:hAnsi="宋体"/>
          <w:color w:val="000000" w:themeColor="text1"/>
          <w:sz w:val="24"/>
          <w:highlight w:val="none"/>
          <w14:textFill>
            <w14:solidFill>
              <w14:schemeClr w14:val="tx1"/>
            </w14:solidFill>
          </w14:textFill>
        </w:rPr>
      </w:pPr>
    </w:p>
    <w:p w14:paraId="7652D3EC">
      <w:pPr>
        <w:pStyle w:val="12"/>
        <w:pageBreakBefore w:val="0"/>
        <w:numPr>
          <w:ilvl w:val="0"/>
          <w:numId w:val="0"/>
        </w:numPr>
        <w:kinsoku/>
        <w:overflowPunct/>
        <w:bidi w:val="0"/>
        <w:spacing w:line="480" w:lineRule="exact"/>
        <w:jc w:val="center"/>
        <w:textAlignment w:val="auto"/>
        <w:rPr>
          <w:rFonts w:hint="eastAsia" w:ascii="宋体" w:hAnsi="宋体" w:eastAsia="宋体" w:cs="宋体"/>
          <w:b/>
          <w:bCs/>
          <w:color w:val="000000" w:themeColor="text1"/>
          <w:sz w:val="30"/>
          <w:szCs w:val="30"/>
          <w:highlight w:val="none"/>
          <w14:textFill>
            <w14:solidFill>
              <w14:schemeClr w14:val="tx1"/>
            </w14:solidFill>
          </w14:textFill>
        </w:rPr>
      </w:pPr>
      <w:r>
        <w:rPr>
          <w:rFonts w:hint="eastAsia" w:ascii="宋体" w:hAnsi="宋体" w:eastAsia="宋体" w:cs="宋体"/>
          <w:b/>
          <w:bCs/>
          <w:color w:val="000000" w:themeColor="text1"/>
          <w:sz w:val="30"/>
          <w:szCs w:val="30"/>
          <w:highlight w:val="none"/>
          <w14:textFill>
            <w14:solidFill>
              <w14:schemeClr w14:val="tx1"/>
            </w14:solidFill>
          </w14:textFill>
        </w:rPr>
        <w:t>投标保证金（投标保证金收据复印件或保险保函复印件）</w:t>
      </w:r>
    </w:p>
    <w:p w14:paraId="37921FC6">
      <w:pPr>
        <w:pageBreakBefore w:val="0"/>
        <w:kinsoku/>
        <w:overflowPunct/>
        <w:bidi w:val="0"/>
        <w:spacing w:line="480" w:lineRule="exact"/>
        <w:ind w:firstLine="5880" w:firstLineChars="2450"/>
        <w:jc w:val="right"/>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保函编号：</w:t>
      </w:r>
      <w:r>
        <w:rPr>
          <w:rFonts w:hint="eastAsia" w:ascii="宋体" w:hAnsi="宋体"/>
          <w:color w:val="000000" w:themeColor="text1"/>
          <w:sz w:val="24"/>
          <w:szCs w:val="21"/>
          <w:highlight w:val="none"/>
          <w:u w:val="single"/>
          <w14:textFill>
            <w14:solidFill>
              <w14:schemeClr w14:val="tx1"/>
            </w14:solidFill>
          </w14:textFill>
        </w:rPr>
        <w:t xml:space="preserve">       </w:t>
      </w:r>
    </w:p>
    <w:p w14:paraId="233FFB70">
      <w:pPr>
        <w:pageBreakBefore w:val="0"/>
        <w:kinsoku/>
        <w:overflowPunct/>
        <w:bidi w:val="0"/>
        <w:spacing w:line="480" w:lineRule="exact"/>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（招标人名称）：</w:t>
      </w:r>
    </w:p>
    <w:p w14:paraId="78C6D0FF">
      <w:pPr>
        <w:pageBreakBefore w:val="0"/>
        <w:kinsoku/>
        <w:overflowPunct/>
        <w:bidi w:val="0"/>
        <w:spacing w:line="480" w:lineRule="exact"/>
        <w:ind w:firstLine="480" w:firstLineChars="200"/>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鉴于</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（投标人名称）（以下简称</w:t>
      </w:r>
      <w:r>
        <w:rPr>
          <w:rFonts w:hint="eastAsia" w:ascii="宋体" w:hAnsi="宋体"/>
          <w:color w:val="000000" w:themeColor="text1"/>
          <w:sz w:val="24"/>
          <w:szCs w:val="21"/>
          <w:highlight w:val="none"/>
          <w:lang w:eastAsia="zh-CN"/>
          <w14:textFill>
            <w14:solidFill>
              <w14:schemeClr w14:val="tx1"/>
            </w14:solidFill>
          </w14:textFill>
        </w:rPr>
        <w:t>“</w:t>
      </w:r>
      <w:r>
        <w:rPr>
          <w:rFonts w:hint="eastAsia" w:ascii="宋体" w:hAnsi="宋体"/>
          <w:color w:val="000000" w:themeColor="text1"/>
          <w:sz w:val="24"/>
          <w:szCs w:val="21"/>
          <w:highlight w:val="none"/>
          <w14:textFill>
            <w14:solidFill>
              <w14:schemeClr w14:val="tx1"/>
            </w14:solidFill>
          </w14:textFill>
        </w:rPr>
        <w:t>投标人</w:t>
      </w:r>
      <w:r>
        <w:rPr>
          <w:rFonts w:hint="eastAsia" w:ascii="宋体" w:hAnsi="宋体"/>
          <w:color w:val="000000" w:themeColor="text1"/>
          <w:sz w:val="24"/>
          <w:szCs w:val="21"/>
          <w:highlight w:val="none"/>
          <w:lang w:eastAsia="zh-CN"/>
          <w14:textFill>
            <w14:solidFill>
              <w14:schemeClr w14:val="tx1"/>
            </w14:solidFill>
          </w14:textFill>
        </w:rPr>
        <w:t>”</w:t>
      </w:r>
      <w:r>
        <w:rPr>
          <w:rFonts w:hint="eastAsia" w:ascii="宋体" w:hAnsi="宋体"/>
          <w:color w:val="000000" w:themeColor="text1"/>
          <w:sz w:val="24"/>
          <w:szCs w:val="21"/>
          <w:highlight w:val="none"/>
          <w14:textFill>
            <w14:solidFill>
              <w14:schemeClr w14:val="tx1"/>
            </w14:solidFill>
          </w14:textFill>
        </w:rPr>
        <w:t>）参加你方</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（项目名称）</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标段的施工投标，</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（担保人名称）（以下简称</w:t>
      </w:r>
      <w:r>
        <w:rPr>
          <w:rFonts w:hint="eastAsia" w:ascii="宋体" w:hAnsi="宋体"/>
          <w:color w:val="000000" w:themeColor="text1"/>
          <w:sz w:val="24"/>
          <w:szCs w:val="21"/>
          <w:highlight w:val="none"/>
          <w:lang w:eastAsia="zh-CN"/>
          <w14:textFill>
            <w14:solidFill>
              <w14:schemeClr w14:val="tx1"/>
            </w14:solidFill>
          </w14:textFill>
        </w:rPr>
        <w:t>“</w:t>
      </w:r>
      <w:r>
        <w:rPr>
          <w:rFonts w:hint="eastAsia" w:ascii="宋体" w:hAnsi="宋体"/>
          <w:color w:val="000000" w:themeColor="text1"/>
          <w:sz w:val="24"/>
          <w:szCs w:val="21"/>
          <w:highlight w:val="none"/>
          <w14:textFill>
            <w14:solidFill>
              <w14:schemeClr w14:val="tx1"/>
            </w14:solidFill>
          </w14:textFill>
        </w:rPr>
        <w:t>我方</w:t>
      </w:r>
      <w:r>
        <w:rPr>
          <w:rFonts w:hint="eastAsia" w:ascii="宋体" w:hAnsi="宋体"/>
          <w:color w:val="000000" w:themeColor="text1"/>
          <w:sz w:val="24"/>
          <w:szCs w:val="21"/>
          <w:highlight w:val="none"/>
          <w:lang w:eastAsia="zh-CN"/>
          <w14:textFill>
            <w14:solidFill>
              <w14:schemeClr w14:val="tx1"/>
            </w14:solidFill>
          </w14:textFill>
        </w:rPr>
        <w:t>”</w:t>
      </w:r>
      <w:r>
        <w:rPr>
          <w:rFonts w:hint="eastAsia" w:ascii="宋体" w:hAnsi="宋体"/>
          <w:color w:val="000000" w:themeColor="text1"/>
          <w:sz w:val="24"/>
          <w:szCs w:val="21"/>
          <w:highlight w:val="none"/>
          <w14:textFill>
            <w14:solidFill>
              <w14:schemeClr w14:val="tx1"/>
            </w14:solidFill>
          </w14:textFill>
        </w:rPr>
        <w:t>）受该投标人委托，在此无条件地、不可撤销地保证：一旦收到你方提出的下述任何一种事实的书面通知，在7日内无条件地向你方支付总额不超过</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（投标保函额度）的任何你方要求的金额：</w:t>
      </w:r>
    </w:p>
    <w:p w14:paraId="01B42381">
      <w:pPr>
        <w:pageBreakBefore w:val="0"/>
        <w:kinsoku/>
        <w:overflowPunct/>
        <w:bidi w:val="0"/>
        <w:spacing w:line="480" w:lineRule="exact"/>
        <w:ind w:firstLine="480" w:firstLineChars="200"/>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1．投标人在规定的投标有效期内撤销或者修改其投标文件。</w:t>
      </w:r>
    </w:p>
    <w:p w14:paraId="636E4CE0">
      <w:pPr>
        <w:pageBreakBefore w:val="0"/>
        <w:kinsoku/>
        <w:overflowPunct/>
        <w:bidi w:val="0"/>
        <w:spacing w:line="480" w:lineRule="exact"/>
        <w:ind w:firstLine="480" w:firstLineChars="200"/>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2．投标人在收到中标通知书后无正当理由而未在规定期限内与贵方签署合同。</w:t>
      </w:r>
    </w:p>
    <w:p w14:paraId="354031EB">
      <w:pPr>
        <w:pageBreakBefore w:val="0"/>
        <w:kinsoku/>
        <w:overflowPunct/>
        <w:bidi w:val="0"/>
        <w:spacing w:line="480" w:lineRule="exact"/>
        <w:ind w:firstLine="480" w:firstLineChars="200"/>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3．投标人在收到中标通知书后未能在招标文件规定期限内向贵方提交招标文件所要求的履约担保。</w:t>
      </w:r>
    </w:p>
    <w:p w14:paraId="6B8A650E">
      <w:pPr>
        <w:pageBreakBefore w:val="0"/>
        <w:kinsoku/>
        <w:overflowPunct/>
        <w:bidi w:val="0"/>
        <w:spacing w:line="480" w:lineRule="exact"/>
        <w:ind w:firstLine="480" w:firstLineChars="200"/>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本保函在投标有效期内保持有效，除非你方提前终止或解除本保函。要求我方承担保证责任的通知应在投标有效期内送达我方。保函失效后请将本保函交投标人退回我方注销。</w:t>
      </w:r>
    </w:p>
    <w:p w14:paraId="693FBA54">
      <w:pPr>
        <w:pageBreakBefore w:val="0"/>
        <w:kinsoku/>
        <w:overflowPunct/>
        <w:bidi w:val="0"/>
        <w:spacing w:line="480" w:lineRule="exact"/>
        <w:ind w:firstLine="480" w:firstLineChars="200"/>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本保函项下所有权利和义务均受中华人民共和国法律管辖和制约。</w:t>
      </w:r>
    </w:p>
    <w:p w14:paraId="51601731">
      <w:pPr>
        <w:pageBreakBefore w:val="0"/>
        <w:kinsoku/>
        <w:overflowPunct/>
        <w:bidi w:val="0"/>
        <w:spacing w:line="480" w:lineRule="exact"/>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 xml:space="preserve"> 担保人名称：</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（盖单位章）</w:t>
      </w:r>
    </w:p>
    <w:p w14:paraId="708D8085">
      <w:pPr>
        <w:pageBreakBefore w:val="0"/>
        <w:kinsoku/>
        <w:overflowPunct/>
        <w:bidi w:val="0"/>
        <w:spacing w:line="480" w:lineRule="exact"/>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 xml:space="preserve">              法定代表人或其委托代理人：</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（签字）</w:t>
      </w:r>
    </w:p>
    <w:p w14:paraId="1E9C4F7C">
      <w:pPr>
        <w:pageBreakBefore w:val="0"/>
        <w:kinsoku/>
        <w:overflowPunct/>
        <w:bidi w:val="0"/>
        <w:spacing w:line="480" w:lineRule="exact"/>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 xml:space="preserve">              地    址：</w:t>
      </w:r>
      <w:r>
        <w:rPr>
          <w:rFonts w:hint="eastAsia" w:ascii="宋体" w:hAnsi="宋体"/>
          <w:color w:val="000000" w:themeColor="text1"/>
          <w:sz w:val="24"/>
          <w:szCs w:val="21"/>
          <w:highlight w:val="none"/>
          <w:u w:val="single"/>
          <w14:textFill>
            <w14:solidFill>
              <w14:schemeClr w14:val="tx1"/>
            </w14:solidFill>
          </w14:textFill>
        </w:rPr>
        <w:t xml:space="preserve">                                            </w:t>
      </w:r>
    </w:p>
    <w:p w14:paraId="0DCE2E5A">
      <w:pPr>
        <w:pageBreakBefore w:val="0"/>
        <w:kinsoku/>
        <w:overflowPunct/>
        <w:bidi w:val="0"/>
        <w:spacing w:line="480" w:lineRule="exact"/>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 xml:space="preserve">              邮政编码：</w:t>
      </w:r>
      <w:r>
        <w:rPr>
          <w:rFonts w:hint="eastAsia" w:ascii="宋体" w:hAnsi="宋体"/>
          <w:color w:val="000000" w:themeColor="text1"/>
          <w:sz w:val="24"/>
          <w:szCs w:val="21"/>
          <w:highlight w:val="none"/>
          <w:u w:val="single"/>
          <w14:textFill>
            <w14:solidFill>
              <w14:schemeClr w14:val="tx1"/>
            </w14:solidFill>
          </w14:textFill>
        </w:rPr>
        <w:t xml:space="preserve">                                            </w:t>
      </w:r>
    </w:p>
    <w:p w14:paraId="21B69632">
      <w:pPr>
        <w:pageBreakBefore w:val="0"/>
        <w:kinsoku/>
        <w:overflowPunct/>
        <w:bidi w:val="0"/>
        <w:spacing w:line="480" w:lineRule="exact"/>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 xml:space="preserve">              电    话：</w:t>
      </w:r>
      <w:r>
        <w:rPr>
          <w:rFonts w:hint="eastAsia" w:ascii="宋体" w:hAnsi="宋体"/>
          <w:color w:val="000000" w:themeColor="text1"/>
          <w:sz w:val="24"/>
          <w:szCs w:val="21"/>
          <w:highlight w:val="none"/>
          <w:u w:val="single"/>
          <w14:textFill>
            <w14:solidFill>
              <w14:schemeClr w14:val="tx1"/>
            </w14:solidFill>
          </w14:textFill>
        </w:rPr>
        <w:t xml:space="preserve">                                            </w:t>
      </w:r>
    </w:p>
    <w:p w14:paraId="5F0BAAA3">
      <w:pPr>
        <w:pageBreakBefore w:val="0"/>
        <w:kinsoku/>
        <w:overflowPunct/>
        <w:bidi w:val="0"/>
        <w:spacing w:line="480" w:lineRule="exact"/>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 xml:space="preserve">              传    真：</w:t>
      </w:r>
      <w:r>
        <w:rPr>
          <w:rFonts w:hint="eastAsia" w:ascii="宋体" w:hAnsi="宋体"/>
          <w:color w:val="000000" w:themeColor="text1"/>
          <w:sz w:val="24"/>
          <w:szCs w:val="21"/>
          <w:highlight w:val="none"/>
          <w:u w:val="single"/>
          <w14:textFill>
            <w14:solidFill>
              <w14:schemeClr w14:val="tx1"/>
            </w14:solidFill>
          </w14:textFill>
        </w:rPr>
        <w:t xml:space="preserve">                                            </w:t>
      </w:r>
    </w:p>
    <w:p w14:paraId="71DC3880">
      <w:pPr>
        <w:pageBreakBefore w:val="0"/>
        <w:kinsoku/>
        <w:overflowPunct/>
        <w:bidi w:val="0"/>
        <w:spacing w:line="480" w:lineRule="exact"/>
        <w:jc w:val="right"/>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年</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月</w:t>
      </w:r>
      <w:r>
        <w:rPr>
          <w:rFonts w:hint="eastAsia" w:ascii="宋体" w:hAnsi="宋体"/>
          <w:color w:val="000000" w:themeColor="text1"/>
          <w:sz w:val="24"/>
          <w:szCs w:val="21"/>
          <w:highlight w:val="none"/>
          <w:u w:val="single"/>
          <w14:textFill>
            <w14:solidFill>
              <w14:schemeClr w14:val="tx1"/>
            </w14:solidFill>
          </w14:textFill>
        </w:rPr>
        <w:t xml:space="preserve">       </w:t>
      </w:r>
      <w:r>
        <w:rPr>
          <w:rFonts w:hint="eastAsia" w:ascii="宋体" w:hAnsi="宋体"/>
          <w:color w:val="000000" w:themeColor="text1"/>
          <w:sz w:val="24"/>
          <w:szCs w:val="21"/>
          <w:highlight w:val="none"/>
          <w14:textFill>
            <w14:solidFill>
              <w14:schemeClr w14:val="tx1"/>
            </w14:solidFill>
          </w14:textFill>
        </w:rPr>
        <w:t xml:space="preserve">日      </w:t>
      </w:r>
    </w:p>
    <w:p w14:paraId="0668245D">
      <w:pPr>
        <w:pStyle w:val="4"/>
        <w:pageBreakBefore w:val="0"/>
        <w:kinsoku/>
        <w:overflowPunct/>
        <w:bidi w:val="0"/>
        <w:spacing w:line="480" w:lineRule="exact"/>
        <w:jc w:val="center"/>
        <w:textAlignment w:val="auto"/>
        <w:rPr>
          <w:rFonts w:ascii="宋体" w:hAnsi="宋体"/>
          <w:color w:val="000000" w:themeColor="text1"/>
          <w:sz w:val="24"/>
          <w:szCs w:val="21"/>
          <w:highlight w:val="none"/>
          <w14:textFill>
            <w14:solidFill>
              <w14:schemeClr w14:val="tx1"/>
            </w14:solidFill>
          </w14:textFill>
        </w:rPr>
      </w:pPr>
      <w:r>
        <w:rPr>
          <w:rFonts w:hint="eastAsia" w:ascii="宋体" w:hAnsi="宋体"/>
          <w:color w:val="000000" w:themeColor="text1"/>
          <w:sz w:val="24"/>
          <w:szCs w:val="21"/>
          <w:highlight w:val="none"/>
          <w14:textFill>
            <w14:solidFill>
              <w14:schemeClr w14:val="tx1"/>
            </w14:solidFill>
          </w14:textFill>
        </w:rPr>
        <w:t>备注：经过招标人事先的书面同意，投标人可采用招标人认可的投标保函格式，但相关内容不得背离招标文件约定的实质性内容。</w:t>
      </w:r>
    </w:p>
    <w:p w14:paraId="5D913B6B">
      <w:pPr>
        <w:pageBreakBefore w:val="0"/>
        <w:kinsoku/>
        <w:overflowPunct/>
        <w:bidi w:val="0"/>
        <w:spacing w:line="480" w:lineRule="exact"/>
        <w:textAlignment w:val="auto"/>
        <w:rPr>
          <w:color w:val="000000" w:themeColor="text1"/>
          <w:highlight w:val="none"/>
          <w14:textFill>
            <w14:solidFill>
              <w14:schemeClr w14:val="tx1"/>
            </w14:solidFill>
          </w14:textFill>
        </w:rPr>
      </w:pPr>
    </w:p>
    <w:p w14:paraId="739E462A">
      <w:pPr>
        <w:pStyle w:val="37"/>
        <w:pageBreakBefore w:val="0"/>
        <w:kinsoku/>
        <w:overflowPunct/>
        <w:bidi w:val="0"/>
        <w:spacing w:line="480" w:lineRule="exact"/>
        <w:ind w:firstLine="420"/>
        <w:textAlignment w:val="auto"/>
        <w:rPr>
          <w:color w:val="000000" w:themeColor="text1"/>
          <w:highlight w:val="none"/>
          <w14:textFill>
            <w14:solidFill>
              <w14:schemeClr w14:val="tx1"/>
            </w14:solidFill>
          </w14:textFill>
        </w:rPr>
      </w:pPr>
    </w:p>
    <w:p w14:paraId="564CB673">
      <w:pPr>
        <w:pStyle w:val="37"/>
        <w:pageBreakBefore w:val="0"/>
        <w:kinsoku/>
        <w:overflowPunct/>
        <w:bidi w:val="0"/>
        <w:spacing w:line="480" w:lineRule="exact"/>
        <w:ind w:firstLine="420"/>
        <w:textAlignment w:val="auto"/>
        <w:rPr>
          <w:color w:val="000000" w:themeColor="text1"/>
          <w:highlight w:val="none"/>
          <w14:textFill>
            <w14:solidFill>
              <w14:schemeClr w14:val="tx1"/>
            </w14:solidFill>
          </w14:textFill>
        </w:rPr>
      </w:pPr>
    </w:p>
    <w:p w14:paraId="39E86B36">
      <w:pPr>
        <w:rPr>
          <w:rFonts w:hint="eastAsia" w:ascii="宋体" w:hAnsi="宋体" w:eastAsia="宋体" w:cs="宋体"/>
          <w:color w:val="000000" w:themeColor="text1"/>
          <w:highlight w:val="none"/>
          <w:lang w:val="zh-CN"/>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br w:type="page"/>
      </w:r>
    </w:p>
    <w:p w14:paraId="25C91FBB">
      <w:pPr>
        <w:keepNext w:val="0"/>
        <w:keepLines w:val="0"/>
        <w:widowControl/>
        <w:suppressLineNumbers w:val="0"/>
        <w:spacing w:line="360" w:lineRule="auto"/>
        <w:jc w:val="center"/>
        <w:rPr>
          <w:rFonts w:hint="eastAsia" w:ascii="Times New Roman" w:hAnsi="Times New Roman" w:eastAsia="宋体" w:cs="Times New Roman"/>
          <w:b/>
          <w:bCs/>
          <w:color w:val="000000" w:themeColor="text1"/>
          <w:sz w:val="24"/>
          <w:szCs w:val="24"/>
          <w:highlight w:val="none"/>
          <w:lang w:val="en-US" w:eastAsia="zh-CN" w:bidi="ar-SA"/>
          <w14:textFill>
            <w14:solidFill>
              <w14:schemeClr w14:val="tx1"/>
            </w14:solidFill>
          </w14:textFill>
        </w:rPr>
      </w:pPr>
      <w:r>
        <w:rPr>
          <w:rFonts w:hint="eastAsia" w:ascii="Times New Roman" w:hAnsi="Times New Roman" w:eastAsia="宋体" w:cs="Times New Roman"/>
          <w:b/>
          <w:bCs/>
          <w:color w:val="000000" w:themeColor="text1"/>
          <w:sz w:val="24"/>
          <w:szCs w:val="24"/>
          <w:highlight w:val="none"/>
          <w:lang w:val="en-US" w:eastAsia="zh-CN" w:bidi="ar-SA"/>
          <w14:textFill>
            <w14:solidFill>
              <w14:schemeClr w14:val="tx1"/>
            </w14:solidFill>
          </w14:textFill>
        </w:rPr>
        <w:t>中小企业声明函（工程、服务）</w:t>
      </w:r>
    </w:p>
    <w:p w14:paraId="251454F7">
      <w:pPr>
        <w:keepNext w:val="0"/>
        <w:keepLines w:val="0"/>
        <w:widowControl/>
        <w:suppressLineNumbers w:val="0"/>
        <w:spacing w:line="360" w:lineRule="auto"/>
        <w:ind w:firstLine="480" w:firstLineChars="200"/>
        <w:jc w:val="left"/>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本公司（联合体）郑重声明，根据《政府采购促进中小 企业发展管理办法》（财库﹝2020﹞</w:t>
      </w:r>
      <w:r>
        <w:rPr>
          <w:rFonts w:hint="eastAsia" w:ascii="微软雅黑" w:hAnsi="微软雅黑" w:eastAsia="微软雅黑" w:cs="微软雅黑"/>
          <w:b w:val="0"/>
          <w:bCs w:val="0"/>
          <w:color w:val="000000" w:themeColor="text1"/>
          <w:kern w:val="0"/>
          <w:sz w:val="24"/>
          <w:szCs w:val="24"/>
          <w:highlight w:val="none"/>
          <w:lang w:val="en-US" w:eastAsia="zh-CN" w:bidi="ar"/>
          <w14:textFill>
            <w14:solidFill>
              <w14:schemeClr w14:val="tx1"/>
            </w14:solidFill>
          </w14:textFill>
        </w:rPr>
        <w:t>［</w:t>
      </w:r>
      <w:r>
        <w:rPr>
          <w:rFonts w:hint="eastAsia" w:ascii="宋体" w:hAnsi="宋体" w:cs="宋体"/>
          <w:color w:val="000000" w:themeColor="text1"/>
          <w:kern w:val="0"/>
          <w:sz w:val="24"/>
          <w:szCs w:val="24"/>
          <w:highlight w:val="none"/>
          <w:lang w:val="en-US" w:eastAsia="zh-CN" w:bidi="ar"/>
          <w14:textFill>
            <w14:solidFill>
              <w14:schemeClr w14:val="tx1"/>
            </w14:solidFill>
          </w14:textFill>
        </w:rPr>
        <w:t>2020</w:t>
      </w:r>
      <w:r>
        <w:rPr>
          <w:rFonts w:hint="eastAsia" w:ascii="微软雅黑" w:hAnsi="微软雅黑" w:eastAsia="微软雅黑" w:cs="微软雅黑"/>
          <w:color w:val="000000" w:themeColor="text1"/>
          <w:kern w:val="0"/>
          <w:sz w:val="24"/>
          <w:szCs w:val="24"/>
          <w:highlight w:val="none"/>
          <w:lang w:val="en-US" w:eastAsia="zh-CN" w:bidi="ar"/>
          <w14:textFill>
            <w14:solidFill>
              <w14:schemeClr w14:val="tx1"/>
            </w14:solidFill>
          </w14:textFill>
        </w:rPr>
        <w:t>］</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46 号）的规定，本公司（联合体）参加（</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单位名称</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）的（</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项目名称</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14:paraId="0A10309F">
      <w:pPr>
        <w:keepNext w:val="0"/>
        <w:keepLines w:val="0"/>
        <w:widowControl/>
        <w:suppressLineNumbers w:val="0"/>
        <w:spacing w:line="360" w:lineRule="auto"/>
        <w:ind w:firstLine="480" w:firstLineChars="200"/>
        <w:jc w:val="left"/>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1. （</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标的名称</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 ，属于（</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采购文件中明确的所属行业</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）；承建（承接）企业为（</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企业名称</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 xml:space="preserve">），从业人员 </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人，营业收入为</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万元，资产总额为</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万元1，属于（</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中型企业、小型企业、微型企业</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 xml:space="preserve">）； </w:t>
      </w:r>
    </w:p>
    <w:p w14:paraId="060CDAEE">
      <w:pPr>
        <w:keepNext w:val="0"/>
        <w:keepLines w:val="0"/>
        <w:widowControl/>
        <w:suppressLineNumbers w:val="0"/>
        <w:spacing w:line="360" w:lineRule="auto"/>
        <w:ind w:firstLine="480" w:firstLineChars="200"/>
        <w:jc w:val="left"/>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2. （</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标的名称</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 ，属于（</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采购文件中明确的所属行业</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）；承建（承接）企业为（</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企业名称</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），从业人员</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 xml:space="preserve">人，营业收入为 </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万元，资产总额为</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万元，属于（</w:t>
      </w:r>
      <w:r>
        <w:rPr>
          <w:rFonts w:hint="eastAsia" w:ascii="宋体" w:hAnsi="宋体" w:eastAsia="宋体" w:cs="宋体"/>
          <w:color w:val="000000" w:themeColor="text1"/>
          <w:kern w:val="0"/>
          <w:sz w:val="24"/>
          <w:szCs w:val="24"/>
          <w:highlight w:val="none"/>
          <w:u w:val="single"/>
          <w:lang w:val="en-US" w:eastAsia="zh-CN" w:bidi="ar"/>
          <w14:textFill>
            <w14:solidFill>
              <w14:schemeClr w14:val="tx1"/>
            </w14:solidFill>
          </w14:textFill>
        </w:rPr>
        <w:t>中型企业、小型企业、微型企业</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 xml:space="preserve">）； </w:t>
      </w:r>
    </w:p>
    <w:p w14:paraId="4D3BC17B">
      <w:pPr>
        <w:keepNext w:val="0"/>
        <w:keepLines w:val="0"/>
        <w:widowControl/>
        <w:suppressLineNumbers w:val="0"/>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w:t>
      </w:r>
    </w:p>
    <w:p w14:paraId="1E165634">
      <w:pPr>
        <w:keepNext w:val="0"/>
        <w:keepLines w:val="0"/>
        <w:widowControl/>
        <w:suppressLineNumbers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以上企业，不属于大企业的分支机构，不存在控股股东为大企业的情形，也不存在与大企业的负责人为同一人的情形。</w:t>
      </w:r>
    </w:p>
    <w:p w14:paraId="7D232FB7">
      <w:pPr>
        <w:keepNext w:val="0"/>
        <w:keepLines w:val="0"/>
        <w:widowControl/>
        <w:suppressLineNumbers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 xml:space="preserve">本企业对上述声明内容的真实性负责。如有虚假，将依法承担相应责任。 </w:t>
      </w:r>
    </w:p>
    <w:p w14:paraId="79DA9A99">
      <w:pPr>
        <w:keepNext w:val="0"/>
        <w:keepLines w:val="0"/>
        <w:widowControl/>
        <w:suppressLineNumbers w:val="0"/>
        <w:spacing w:line="360" w:lineRule="auto"/>
        <w:jc w:val="left"/>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pPr>
    </w:p>
    <w:p w14:paraId="72E4C680">
      <w:pPr>
        <w:keepNext w:val="0"/>
        <w:keepLines w:val="0"/>
        <w:widowControl/>
        <w:suppressLineNumbers w:val="0"/>
        <w:spacing w:line="360" w:lineRule="auto"/>
        <w:ind w:firstLine="3600" w:firstLineChars="15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 xml:space="preserve">企业名称（盖章）： </w:t>
      </w:r>
    </w:p>
    <w:p w14:paraId="17DB1D87">
      <w:pPr>
        <w:keepNext w:val="0"/>
        <w:keepLines w:val="0"/>
        <w:widowControl/>
        <w:suppressLineNumbers w:val="0"/>
        <w:spacing w:line="360" w:lineRule="auto"/>
        <w:ind w:firstLine="3600" w:firstLineChars="1500"/>
        <w:jc w:val="left"/>
        <w:rPr>
          <w:color w:val="000000" w:themeColor="text1"/>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 xml:space="preserve">日 期： </w:t>
      </w:r>
    </w:p>
    <w:p w14:paraId="38E78464">
      <w:pPr>
        <w:spacing w:line="360" w:lineRule="auto"/>
        <w:rPr>
          <w:rFonts w:hint="eastAsia"/>
          <w:color w:val="000000" w:themeColor="text1"/>
          <w:sz w:val="24"/>
          <w:szCs w:val="24"/>
          <w:highlight w:val="none"/>
          <w14:textFill>
            <w14:solidFill>
              <w14:schemeClr w14:val="tx1"/>
            </w14:solidFill>
          </w14:textFill>
        </w:rPr>
      </w:pPr>
    </w:p>
    <w:p w14:paraId="3C2776F2">
      <w:pPr>
        <w:spacing w:line="360" w:lineRule="auto"/>
        <w:ind w:firstLine="480" w:firstLineChars="200"/>
        <w:rPr>
          <w:rFonts w:hint="eastAsia"/>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注1：从业人员、营业收入、资产总额填报上一年度数据，无上一年度数据的新成立企业可不填报。</w:t>
      </w:r>
    </w:p>
    <w:p w14:paraId="7D2C165D">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注2：请在本表中填写前附表中写明的中小企业行业类别。</w:t>
      </w:r>
    </w:p>
    <w:p w14:paraId="2D10A7F2">
      <w:pPr>
        <w:pStyle w:val="4"/>
        <w:numPr>
          <w:ilvl w:val="1"/>
          <w:numId w:val="0"/>
        </w:numPr>
        <w:spacing w:before="0" w:line="360" w:lineRule="auto"/>
        <w:jc w:val="center"/>
        <w:rPr>
          <w:rFonts w:ascii="仿宋_GB2312" w:eastAsia="仿宋_GB2312"/>
          <w:color w:val="000000" w:themeColor="text1"/>
          <w:sz w:val="28"/>
          <w:szCs w:val="28"/>
          <w:highlight w:val="none"/>
          <w14:textFill>
            <w14:solidFill>
              <w14:schemeClr w14:val="tx1"/>
            </w14:solidFill>
          </w14:textFill>
        </w:rPr>
      </w:pPr>
      <w:r>
        <w:rPr>
          <w:rFonts w:hint="eastAsia" w:ascii="Times New Roman" w:hAnsi="Times New Roman" w:eastAsia="宋体" w:cs="Times New Roman"/>
          <w:b/>
          <w:bCs/>
          <w:color w:val="000000" w:themeColor="text1"/>
          <w:sz w:val="24"/>
          <w:szCs w:val="24"/>
          <w:highlight w:val="none"/>
          <w:lang w:val="en-US" w:eastAsia="zh-CN" w:bidi="ar-SA"/>
          <w14:textFill>
            <w14:solidFill>
              <w14:schemeClr w14:val="tx1"/>
            </w14:solidFill>
          </w14:textFill>
        </w:rPr>
        <w:t>监狱企业</w:t>
      </w:r>
      <w:r>
        <w:rPr>
          <w:rFonts w:ascii="Times New Roman" w:hAnsi="Times New Roman" w:eastAsia="宋体" w:cs="Times New Roman"/>
          <w:b/>
          <w:bCs/>
          <w:color w:val="000000" w:themeColor="text1"/>
          <w:sz w:val="24"/>
          <w:szCs w:val="24"/>
          <w:highlight w:val="none"/>
          <w:lang w:val="en-US" w:eastAsia="zh-CN" w:bidi="ar-SA"/>
          <w14:textFill>
            <w14:solidFill>
              <w14:schemeClr w14:val="tx1"/>
            </w14:solidFill>
          </w14:textFill>
        </w:rPr>
        <w:t>声明函</w:t>
      </w:r>
      <w:r>
        <w:rPr>
          <w:b/>
          <w:bCs/>
          <w:color w:val="000000" w:themeColor="text1"/>
          <w:sz w:val="24"/>
          <w:szCs w:val="24"/>
          <w:highlight w:val="none"/>
          <w14:textFill>
            <w14:solidFill>
              <w14:schemeClr w14:val="tx1"/>
            </w14:solidFill>
          </w14:textFill>
        </w:rPr>
        <w:t>（如有）</w:t>
      </w:r>
    </w:p>
    <w:p w14:paraId="060D025E">
      <w:pPr>
        <w:widowControl/>
        <w:spacing w:before="100" w:beforeAutospacing="1" w:after="100" w:afterAutospacing="1" w:line="360" w:lineRule="auto"/>
        <w:ind w:firstLine="480" w:firstLineChars="200"/>
        <w:jc w:val="lef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本单位郑重声明，本单位在参加</w:t>
      </w:r>
      <w:r>
        <w:rPr>
          <w:rFonts w:hint="eastAsia" w:ascii="宋体" w:hAnsi="宋体" w:eastAsia="宋体" w:cs="宋体"/>
          <w:color w:val="000000" w:themeColor="text1"/>
          <w:kern w:val="0"/>
          <w:sz w:val="24"/>
          <w:szCs w:val="24"/>
          <w:highlight w:val="none"/>
          <w:u w:val="single"/>
          <w14:textFill>
            <w14:solidFill>
              <w14:schemeClr w14:val="tx1"/>
            </w14:solidFill>
          </w14:textFill>
        </w:rPr>
        <w:t>（采购人名称）</w:t>
      </w:r>
      <w:r>
        <w:rPr>
          <w:rFonts w:hint="eastAsia" w:ascii="宋体" w:hAnsi="宋体" w:eastAsia="宋体" w:cs="宋体"/>
          <w:color w:val="000000" w:themeColor="text1"/>
          <w:kern w:val="0"/>
          <w:sz w:val="24"/>
          <w:szCs w:val="24"/>
          <w:highlight w:val="none"/>
          <w14:textFill>
            <w14:solidFill>
              <w14:schemeClr w14:val="tx1"/>
            </w14:solidFill>
          </w14:textFill>
        </w:rPr>
        <w:t>的</w:t>
      </w:r>
      <w:r>
        <w:rPr>
          <w:rFonts w:hint="eastAsia" w:ascii="宋体" w:hAnsi="宋体" w:eastAsia="宋体" w:cs="宋体"/>
          <w:color w:val="000000" w:themeColor="text1"/>
          <w:kern w:val="0"/>
          <w:sz w:val="24"/>
          <w:szCs w:val="24"/>
          <w:highlight w:val="none"/>
          <w:u w:val="single"/>
          <w14:textFill>
            <w14:solidFill>
              <w14:schemeClr w14:val="tx1"/>
            </w14:solidFill>
          </w14:textFill>
        </w:rPr>
        <w:t>（招标项目名称）</w:t>
      </w:r>
      <w:r>
        <w:rPr>
          <w:rFonts w:hint="eastAsia" w:ascii="宋体" w:hAnsi="宋体" w:eastAsia="宋体" w:cs="宋体"/>
          <w:color w:val="000000" w:themeColor="text1"/>
          <w:kern w:val="0"/>
          <w:sz w:val="24"/>
          <w:szCs w:val="24"/>
          <w:highlight w:val="none"/>
          <w14:textFill>
            <w14:solidFill>
              <w14:schemeClr w14:val="tx1"/>
            </w14:solidFill>
          </w14:textFill>
        </w:rPr>
        <w:t>项目采购活动提供以下监狱企业制造的货物（或监狱企业承担的工程、或监狱企业承接的服务），具体情况如下：（按照实际情况勾选或填空）</w:t>
      </w:r>
    </w:p>
    <w:p w14:paraId="1BC805A5">
      <w:pPr>
        <w:widowControl/>
        <w:spacing w:before="100" w:beforeAutospacing="1" w:after="100" w:afterAutospacing="1" w:line="360" w:lineRule="auto"/>
        <w:ind w:firstLine="360" w:firstLineChars="150"/>
        <w:jc w:val="lef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（1）</w:t>
      </w:r>
      <w:r>
        <w:rPr>
          <w:rFonts w:hint="eastAsia" w:ascii="宋体" w:hAnsi="宋体" w:cs="宋体"/>
          <w:color w:val="000000" w:themeColor="text1"/>
          <w:kern w:val="0"/>
          <w:sz w:val="24"/>
          <w:szCs w:val="24"/>
          <w:highlight w:val="none"/>
          <w:lang w:eastAsia="zh-CN"/>
          <w14:textFill>
            <w14:solidFill>
              <w14:schemeClr w14:val="tx1"/>
            </w14:solidFill>
          </w14:textFill>
        </w:rPr>
        <w:t>□</w:t>
      </w:r>
      <w:r>
        <w:rPr>
          <w:rFonts w:hint="eastAsia" w:ascii="宋体" w:hAnsi="宋体" w:eastAsia="宋体" w:cs="宋体"/>
          <w:color w:val="000000" w:themeColor="text1"/>
          <w:kern w:val="0"/>
          <w:sz w:val="24"/>
          <w:szCs w:val="24"/>
          <w:highlight w:val="none"/>
          <w:u w:val="single"/>
          <w14:textFill>
            <w14:solidFill>
              <w14:schemeClr w14:val="tx1"/>
            </w14:solidFill>
          </w14:textFill>
        </w:rPr>
        <w:t>（制造商名称）</w:t>
      </w:r>
      <w:r>
        <w:rPr>
          <w:rFonts w:hint="eastAsia" w:ascii="宋体" w:hAnsi="宋体" w:eastAsia="宋体" w:cs="宋体"/>
          <w:color w:val="000000" w:themeColor="text1"/>
          <w:kern w:val="0"/>
          <w:sz w:val="24"/>
          <w:szCs w:val="24"/>
          <w:highlight w:val="none"/>
          <w14:textFill>
            <w14:solidFill>
              <w14:schemeClr w14:val="tx1"/>
            </w14:solidFill>
          </w14:textFill>
        </w:rPr>
        <w:t>属于监狱企业，后附省级以上监狱管理局、戒毒管理局（含新疆生产建设兵团）出具的属于监狱企业的证明文件。</w:t>
      </w:r>
    </w:p>
    <w:p w14:paraId="10465AFD">
      <w:pPr>
        <w:widowControl/>
        <w:spacing w:before="100" w:beforeAutospacing="1" w:after="100" w:afterAutospacing="1" w:line="360" w:lineRule="auto"/>
        <w:ind w:firstLine="420"/>
        <w:jc w:val="lef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（2）□</w:t>
      </w:r>
      <w:r>
        <w:rPr>
          <w:rFonts w:hint="eastAsia" w:ascii="宋体" w:hAnsi="宋体" w:eastAsia="宋体" w:cs="宋体"/>
          <w:color w:val="000000" w:themeColor="text1"/>
          <w:kern w:val="0"/>
          <w:sz w:val="24"/>
          <w:szCs w:val="24"/>
          <w:highlight w:val="none"/>
          <w:u w:val="single"/>
          <w14:textFill>
            <w14:solidFill>
              <w14:schemeClr w14:val="tx1"/>
            </w14:solidFill>
          </w14:textFill>
        </w:rPr>
        <w:t>（制造商名称）</w:t>
      </w:r>
      <w:r>
        <w:rPr>
          <w:rFonts w:hint="eastAsia" w:ascii="宋体" w:hAnsi="宋体" w:eastAsia="宋体" w:cs="宋体"/>
          <w:color w:val="000000" w:themeColor="text1"/>
          <w:kern w:val="0"/>
          <w:sz w:val="24"/>
          <w:szCs w:val="24"/>
          <w:highlight w:val="none"/>
          <w14:textFill>
            <w14:solidFill>
              <w14:schemeClr w14:val="tx1"/>
            </w14:solidFill>
          </w14:textFill>
        </w:rPr>
        <w:t>属于监狱企业并作为联合体一方，其提供协议合同金额占到共同投标协议合同总金额的比例为</w:t>
      </w:r>
      <w:r>
        <w:rPr>
          <w:rFonts w:hint="eastAsia" w:ascii="宋体" w:hAnsi="宋体" w:eastAsia="宋体" w:cs="宋体"/>
          <w:color w:val="000000" w:themeColor="text1"/>
          <w:kern w:val="0"/>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kern w:val="0"/>
          <w:sz w:val="24"/>
          <w:szCs w:val="24"/>
          <w:highlight w:val="none"/>
          <w14:textFill>
            <w14:solidFill>
              <w14:schemeClr w14:val="tx1"/>
            </w14:solidFill>
          </w14:textFill>
        </w:rPr>
        <w:t>。后附省级以上监狱管理局、戒毒管理局（含新疆生产建设兵团）出具的属于监狱企业的证明文件。</w:t>
      </w:r>
    </w:p>
    <w:p w14:paraId="766A1087">
      <w:pPr>
        <w:widowControl/>
        <w:spacing w:before="100" w:beforeAutospacing="1" w:after="100" w:afterAutospacing="1" w:line="360" w:lineRule="auto"/>
        <w:ind w:firstLine="420"/>
        <w:jc w:val="lef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（3）□</w:t>
      </w:r>
      <w:r>
        <w:rPr>
          <w:rFonts w:hint="eastAsia" w:ascii="宋体" w:hAnsi="宋体" w:eastAsia="宋体" w:cs="宋体"/>
          <w:color w:val="000000" w:themeColor="text1"/>
          <w:kern w:val="0"/>
          <w:sz w:val="24"/>
          <w:szCs w:val="24"/>
          <w:highlight w:val="none"/>
          <w:u w:val="single"/>
          <w14:textFill>
            <w14:solidFill>
              <w14:schemeClr w14:val="tx1"/>
            </w14:solidFill>
          </w14:textFill>
        </w:rPr>
        <w:t>（制造商名称）</w:t>
      </w:r>
      <w:r>
        <w:rPr>
          <w:rFonts w:hint="eastAsia" w:ascii="宋体" w:hAnsi="宋体" w:eastAsia="宋体" w:cs="宋体"/>
          <w:color w:val="000000" w:themeColor="text1"/>
          <w:kern w:val="0"/>
          <w:sz w:val="24"/>
          <w:szCs w:val="24"/>
          <w:highlight w:val="none"/>
          <w14:textFill>
            <w14:solidFill>
              <w14:schemeClr w14:val="tx1"/>
            </w14:solidFill>
          </w14:textFill>
        </w:rPr>
        <w:t>属于监狱企业并作为分包方，其提供协议合同金额占到分包意向协议合同总金额的比例为</w:t>
      </w:r>
      <w:r>
        <w:rPr>
          <w:rFonts w:hint="eastAsia" w:ascii="宋体" w:hAnsi="宋体" w:eastAsia="宋体" w:cs="宋体"/>
          <w:color w:val="000000" w:themeColor="text1"/>
          <w:kern w:val="0"/>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kern w:val="0"/>
          <w:sz w:val="24"/>
          <w:szCs w:val="24"/>
          <w:highlight w:val="none"/>
          <w14:textFill>
            <w14:solidFill>
              <w14:schemeClr w14:val="tx1"/>
            </w14:solidFill>
          </w14:textFill>
        </w:rPr>
        <w:t>。后附省级以上监狱管理局、戒毒管理局（含新疆生产建设兵团）出具的属于监狱企业的证明文件。</w:t>
      </w:r>
    </w:p>
    <w:p w14:paraId="04123BE6">
      <w:pPr>
        <w:widowControl/>
        <w:spacing w:before="100" w:beforeAutospacing="1" w:after="100" w:afterAutospacing="1" w:line="360" w:lineRule="auto"/>
        <w:jc w:val="lef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　　本单位对上述声明的真实性负责。如有虚假，将依法承担相应责任。</w:t>
      </w:r>
    </w:p>
    <w:p w14:paraId="3C1BF84F">
      <w:pPr>
        <w:widowControl/>
        <w:spacing w:before="100" w:beforeAutospacing="1" w:after="100" w:afterAutospacing="1" w:line="360" w:lineRule="auto"/>
        <w:jc w:val="lef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　　</w:t>
      </w:r>
    </w:p>
    <w:p w14:paraId="59A70AE4">
      <w:pPr>
        <w:spacing w:line="360" w:lineRule="auto"/>
        <w:ind w:left="1080" w:leftChars="257" w:hanging="540"/>
        <w:jc w:val="center"/>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　</w:t>
      </w:r>
    </w:p>
    <w:p w14:paraId="39C6DF9D">
      <w:pPr>
        <w:spacing w:line="588" w:lineRule="exact"/>
        <w:ind w:firstLine="5280" w:firstLineChars="2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单位名称（盖章）：</w:t>
      </w:r>
    </w:p>
    <w:p w14:paraId="18A0E184">
      <w:pPr>
        <w:widowControl/>
        <w:spacing w:before="100" w:beforeAutospacing="1" w:after="100" w:afterAutospacing="1" w:line="330" w:lineRule="atLeast"/>
        <w:ind w:firstLine="5280" w:firstLineChars="2200"/>
        <w:jc w:val="lef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日  期：</w:t>
      </w:r>
    </w:p>
    <w:p w14:paraId="40039098">
      <w:pPr>
        <w:spacing w:beforeLines="100" w:afterLines="100" w:line="360" w:lineRule="auto"/>
        <w:jc w:val="center"/>
        <w:rPr>
          <w:rFonts w:hint="eastAsia"/>
          <w:b/>
          <w:bCs/>
          <w:color w:val="000000" w:themeColor="text1"/>
          <w:sz w:val="28"/>
          <w:szCs w:val="28"/>
          <w:highlight w:val="none"/>
          <w:lang w:val="en-US" w:eastAsia="zh-CN"/>
          <w14:textFill>
            <w14:solidFill>
              <w14:schemeClr w14:val="tx1"/>
            </w14:solidFill>
          </w14:textFill>
        </w:rPr>
      </w:pPr>
    </w:p>
    <w:p w14:paraId="67E53011">
      <w:pPr>
        <w:pStyle w:val="4"/>
        <w:numPr>
          <w:ilvl w:val="1"/>
          <w:numId w:val="0"/>
        </w:numPr>
        <w:spacing w:before="0" w:line="360" w:lineRule="auto"/>
        <w:jc w:val="center"/>
        <w:rPr>
          <w:rFonts w:ascii="仿宋_GB2312" w:hAnsi="Arial" w:eastAsia="仿宋_GB2312"/>
          <w:color w:val="000000" w:themeColor="text1"/>
          <w:kern w:val="0"/>
          <w:sz w:val="24"/>
          <w:szCs w:val="20"/>
          <w:highlight w:val="none"/>
          <w14:textFill>
            <w14:solidFill>
              <w14:schemeClr w14:val="tx1"/>
            </w14:solidFill>
          </w14:textFill>
        </w:rPr>
      </w:pPr>
      <w:r>
        <w:rPr>
          <w:rFonts w:hint="eastAsia" w:ascii="Times New Roman" w:hAnsi="Times New Roman" w:eastAsia="宋体" w:cs="Times New Roman"/>
          <w:b/>
          <w:bCs/>
          <w:color w:val="000000" w:themeColor="text1"/>
          <w:sz w:val="24"/>
          <w:szCs w:val="24"/>
          <w:highlight w:val="none"/>
          <w:lang w:val="en-US" w:eastAsia="zh-CN" w:bidi="ar-SA"/>
          <w14:textFill>
            <w14:solidFill>
              <w14:schemeClr w14:val="tx1"/>
            </w14:solidFill>
          </w14:textFill>
        </w:rPr>
        <w:t>残疾人福利性单位声明函</w:t>
      </w:r>
      <w:r>
        <w:rPr>
          <w:rFonts w:hint="eastAsia" w:ascii="Times New Roman" w:hAnsi="Times New Roman" w:cs="Times New Roman"/>
          <w:b/>
          <w:bCs/>
          <w:color w:val="000000" w:themeColor="text1"/>
          <w:sz w:val="24"/>
          <w:szCs w:val="24"/>
          <w:highlight w:val="none"/>
          <w:lang w:val="en-US" w:eastAsia="zh-CN" w:bidi="ar-SA"/>
          <w14:textFill>
            <w14:solidFill>
              <w14:schemeClr w14:val="tx1"/>
            </w14:solidFill>
          </w14:textFill>
        </w:rPr>
        <w:t>（如有）</w:t>
      </w:r>
    </w:p>
    <w:p w14:paraId="779B6086">
      <w:pPr>
        <w:spacing w:line="588" w:lineRule="exact"/>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FC9FB40">
      <w:pPr>
        <w:spacing w:line="588" w:lineRule="exact"/>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本单位对上述声明的真实性负责。如有虚假，将依法承担相应责任。</w:t>
      </w:r>
    </w:p>
    <w:p w14:paraId="3790BBDE">
      <w:pPr>
        <w:spacing w:line="588" w:lineRule="exact"/>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p>
    <w:p w14:paraId="5E2A8D46">
      <w:pPr>
        <w:spacing w:line="588" w:lineRule="exact"/>
        <w:ind w:firstLine="624" w:firstLineChars="200"/>
        <w:rPr>
          <w:rFonts w:hint="eastAsia" w:ascii="仿宋_GB2312" w:eastAsia="仿宋_GB2312"/>
          <w:color w:val="000000" w:themeColor="text1"/>
          <w:spacing w:val="6"/>
          <w:sz w:val="30"/>
          <w:szCs w:val="30"/>
          <w:highlight w:val="none"/>
          <w14:textFill>
            <w14:solidFill>
              <w14:schemeClr w14:val="tx1"/>
            </w14:solidFill>
          </w14:textFill>
        </w:rPr>
      </w:pPr>
    </w:p>
    <w:p w14:paraId="211FA4D9">
      <w:pPr>
        <w:spacing w:line="588" w:lineRule="exact"/>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仿宋_GB2312" w:hAnsi="仿宋" w:eastAsia="仿宋_GB2312" w:cs="宋体"/>
          <w:color w:val="000000" w:themeColor="text1"/>
          <w:kern w:val="0"/>
          <w:sz w:val="24"/>
          <w:highlight w:val="none"/>
          <w14:textFill>
            <w14:solidFill>
              <w14:schemeClr w14:val="tx1"/>
            </w14:solidFill>
          </w14:textFill>
        </w:rPr>
        <w:t xml:space="preserve">                               </w:t>
      </w:r>
      <w:r>
        <w:rPr>
          <w:rFonts w:hint="eastAsia" w:ascii="宋体" w:hAnsi="宋体" w:eastAsia="宋体" w:cs="宋体"/>
          <w:color w:val="000000" w:themeColor="text1"/>
          <w:kern w:val="0"/>
          <w:sz w:val="24"/>
          <w:highlight w:val="none"/>
          <w14:textFill>
            <w14:solidFill>
              <w14:schemeClr w14:val="tx1"/>
            </w14:solidFill>
          </w14:textFill>
        </w:rPr>
        <w:t xml:space="preserve">      单位名称（盖章）：</w:t>
      </w:r>
    </w:p>
    <w:p w14:paraId="4F46E81F">
      <w:pPr>
        <w:spacing w:line="588" w:lineRule="exact"/>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 xml:space="preserve">                                     日  期：</w:t>
      </w:r>
    </w:p>
    <w:p w14:paraId="7EE83602">
      <w:pPr>
        <w:rPr>
          <w:rFonts w:hint="eastAsia" w:ascii="宋体" w:hAnsi="宋体" w:eastAsia="宋体" w:cs="宋体"/>
          <w:color w:val="000000" w:themeColor="text1"/>
          <w:highlight w:val="none"/>
          <w:lang w:val="zh-CN"/>
          <w14:textFill>
            <w14:solidFill>
              <w14:schemeClr w14:val="tx1"/>
            </w14:solidFill>
          </w14:textFill>
        </w:rPr>
      </w:pPr>
    </w:p>
    <w:p w14:paraId="73B4F8A0">
      <w:pPr>
        <w:rPr>
          <w:rFonts w:hint="eastAsia" w:ascii="宋体" w:hAnsi="宋体" w:eastAsia="宋体" w:cs="宋体"/>
          <w:color w:val="000000" w:themeColor="text1"/>
          <w:highlight w:val="none"/>
          <w:lang w:val="zh-CN"/>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br w:type="page"/>
      </w:r>
    </w:p>
    <w:p w14:paraId="67DB8DEF">
      <w:pPr>
        <w:pStyle w:val="4"/>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t>磋商文件要求的其他证明材料</w:t>
      </w:r>
      <w:bookmarkEnd w:id="720"/>
      <w:r>
        <w:rPr>
          <w:rFonts w:hint="eastAsia" w:ascii="宋体" w:hAnsi="宋体" w:eastAsia="宋体" w:cs="宋体"/>
          <w:color w:val="000000" w:themeColor="text1"/>
          <w:highlight w:val="none"/>
          <w:lang w:val="zh-CN"/>
          <w14:textFill>
            <w14:solidFill>
              <w14:schemeClr w14:val="tx1"/>
            </w14:solidFill>
          </w14:textFill>
        </w:rPr>
        <w:br w:type="page"/>
      </w:r>
      <w:r>
        <w:rPr>
          <w:rFonts w:hint="eastAsia" w:ascii="宋体" w:hAnsi="宋体" w:eastAsia="宋体" w:cs="宋体"/>
          <w:color w:val="000000" w:themeColor="text1"/>
          <w:highlight w:val="none"/>
          <w:lang w:val="zh-CN"/>
          <w14:textFill>
            <w14:solidFill>
              <w14:schemeClr w14:val="tx1"/>
            </w14:solidFill>
          </w14:textFill>
        </w:rPr>
        <w:t>技</w:t>
      </w: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术</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标</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格</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式</w:t>
      </w:r>
    </w:p>
    <w:p w14:paraId="21942417">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技术标封面示例</w:t>
      </w:r>
    </w:p>
    <w:p w14:paraId="1999F7BB">
      <w:pPr>
        <w:pageBreakBefore w:val="0"/>
        <w:kinsoku/>
        <w:overflowPunct/>
        <w:autoSpaceDE w:val="0"/>
        <w:autoSpaceDN w:val="0"/>
        <w:bidi w:val="0"/>
        <w:adjustRightInd w:val="0"/>
        <w:spacing w:line="480" w:lineRule="exact"/>
        <w:ind w:firstLine="5760" w:firstLineChars="2400"/>
        <w:jc w:val="righ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正本/副本</w:t>
      </w:r>
    </w:p>
    <w:p w14:paraId="2C1F56C8">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46103126">
      <w:pPr>
        <w:pageBreakBefore w:val="0"/>
        <w:kinsoku/>
        <w:overflowPunct/>
        <w:bidi w:val="0"/>
        <w:spacing w:line="480" w:lineRule="exact"/>
        <w:jc w:val="center"/>
        <w:textAlignment w:val="auto"/>
        <w:rPr>
          <w:rFonts w:ascii="宋体" w:hAnsi="宋体" w:eastAsia="宋体" w:cs="宋体"/>
          <w:b/>
          <w:bCs/>
          <w:color w:val="000000" w:themeColor="text1"/>
          <w:highlight w:val="none"/>
          <w:lang w:val="zh-CN"/>
          <w14:textFill>
            <w14:solidFill>
              <w14:schemeClr w14:val="tx1"/>
            </w14:solidFill>
          </w14:textFill>
        </w:rPr>
      </w:pPr>
    </w:p>
    <w:p w14:paraId="23AD0C67">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550F852E">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3143B811">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010F5CE8">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120DF9E6">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highlight w:val="none"/>
          <w:lang w:val="zh-CN"/>
          <w14:textFill>
            <w14:solidFill>
              <w14:schemeClr w14:val="tx1"/>
            </w14:solidFill>
          </w14:textFill>
        </w:rPr>
      </w:pPr>
    </w:p>
    <w:p w14:paraId="6B90F6D5">
      <w:pPr>
        <w:pageBreakBefore w:val="0"/>
        <w:kinsoku/>
        <w:overflowPunct/>
        <w:bidi w:val="0"/>
        <w:spacing w:line="480" w:lineRule="exact"/>
        <w:jc w:val="center"/>
        <w:textAlignment w:val="auto"/>
        <w:rPr>
          <w:rFonts w:ascii="宋体" w:hAnsi="宋体" w:eastAsia="宋体" w:cs="宋体"/>
          <w:b/>
          <w:bCs/>
          <w:color w:val="000000" w:themeColor="text1"/>
          <w:sz w:val="48"/>
          <w:szCs w:val="48"/>
          <w:highlight w:val="none"/>
          <w14:textFill>
            <w14:solidFill>
              <w14:schemeClr w14:val="tx1"/>
            </w14:solidFill>
          </w14:textFill>
        </w:rPr>
      </w:pPr>
      <w:r>
        <w:rPr>
          <w:rFonts w:hint="eastAsia" w:ascii="宋体" w:hAnsi="宋体" w:eastAsia="宋体" w:cs="宋体"/>
          <w:b/>
          <w:bCs/>
          <w:color w:val="000000" w:themeColor="text1"/>
          <w:sz w:val="48"/>
          <w:szCs w:val="48"/>
          <w:highlight w:val="none"/>
          <w:lang w:val="zh-CN"/>
          <w14:textFill>
            <w14:solidFill>
              <w14:schemeClr w14:val="tx1"/>
            </w14:solidFill>
          </w14:textFill>
        </w:rPr>
        <w:t>响应文件技术标</w:t>
      </w:r>
    </w:p>
    <w:p w14:paraId="0024893B">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4F906B25">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00F545A5">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highlight w:val="none"/>
          <w14:textFill>
            <w14:solidFill>
              <w14:schemeClr w14:val="tx1"/>
            </w14:solidFill>
          </w14:textFill>
        </w:rPr>
      </w:pPr>
    </w:p>
    <w:p w14:paraId="16E4D1ED">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1A58CC3B">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p>
    <w:p w14:paraId="7DF22C19">
      <w:pPr>
        <w:pStyle w:val="21"/>
        <w:pageBreakBefore w:val="0"/>
        <w:kinsoku/>
        <w:overflowPunct/>
        <w:bidi w:val="0"/>
        <w:spacing w:line="480" w:lineRule="exact"/>
        <w:ind w:firstLine="480"/>
        <w:textAlignment w:val="auto"/>
        <w:rPr>
          <w:rFonts w:ascii="宋体" w:hAnsi="宋体" w:eastAsia="宋体" w:cs="宋体"/>
          <w:color w:val="000000" w:themeColor="text1"/>
          <w:sz w:val="24"/>
          <w:szCs w:val="24"/>
          <w:highlight w:val="none"/>
          <w14:textFill>
            <w14:solidFill>
              <w14:schemeClr w14:val="tx1"/>
            </w14:solidFill>
          </w14:textFill>
        </w:rPr>
      </w:pPr>
    </w:p>
    <w:p w14:paraId="6A0A027C">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p>
    <w:p w14:paraId="639B4467">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项目编号：</w:t>
      </w:r>
    </w:p>
    <w:p w14:paraId="3F0959BB">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招标人：</w:t>
      </w:r>
    </w:p>
    <w:p w14:paraId="4977958F">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名称：（盖章）</w:t>
      </w:r>
    </w:p>
    <w:p w14:paraId="3F473B12">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法定代表人或被授权代理人：（盖章）</w:t>
      </w:r>
    </w:p>
    <w:p w14:paraId="6BDE165A">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单位地址：</w:t>
      </w:r>
    </w:p>
    <w:p w14:paraId="30AA2358">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p>
    <w:p w14:paraId="028B5B77">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联系电话：</w:t>
      </w:r>
    </w:p>
    <w:p w14:paraId="1FB7865A">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p>
    <w:p w14:paraId="59484260">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年      月       日</w:t>
      </w:r>
    </w:p>
    <w:p w14:paraId="2F1727ED">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highlight w:val="none"/>
          <w:lang w:val="zh-CN"/>
          <w14:textFill>
            <w14:solidFill>
              <w14:schemeClr w14:val="tx1"/>
            </w14:solidFill>
          </w14:textFill>
        </w:rPr>
      </w:pPr>
    </w:p>
    <w:p w14:paraId="60A61EA7">
      <w:pPr>
        <w:pageBreakBefore w:val="0"/>
        <w:kinsoku/>
        <w:overflowPunct/>
        <w:bidi w:val="0"/>
        <w:spacing w:line="480" w:lineRule="exact"/>
        <w:jc w:val="center"/>
        <w:textAlignment w:val="auto"/>
        <w:rPr>
          <w:rFonts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目 录</w:t>
      </w:r>
    </w:p>
    <w:p w14:paraId="335E9226">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bookmarkStart w:id="721" w:name="_Toc414108653"/>
      <w:r>
        <w:rPr>
          <w:rFonts w:hint="eastAsia" w:ascii="宋体" w:hAnsi="宋体" w:eastAsia="宋体" w:cs="宋体"/>
          <w:color w:val="000000" w:themeColor="text1"/>
          <w:sz w:val="24"/>
          <w:highlight w:val="none"/>
          <w14:textFill>
            <w14:solidFill>
              <w14:schemeClr w14:val="tx1"/>
            </w14:solidFill>
          </w14:textFill>
        </w:rPr>
        <w:t>1、工程概况及特点</w:t>
      </w:r>
    </w:p>
    <w:p w14:paraId="11D66F55">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2、施工准备计划</w:t>
      </w:r>
    </w:p>
    <w:p w14:paraId="560A60FB">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3、施工方案</w:t>
      </w:r>
    </w:p>
    <w:p w14:paraId="3F97BE13">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4、施工进度计划</w:t>
      </w:r>
    </w:p>
    <w:p w14:paraId="4B18A839">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5、施工平面图</w:t>
      </w:r>
    </w:p>
    <w:p w14:paraId="1D1BD0C1">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6、劳动力用量计划</w:t>
      </w:r>
    </w:p>
    <w:p w14:paraId="272C0BD6">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7、材料用量计划</w:t>
      </w:r>
    </w:p>
    <w:p w14:paraId="61516E43">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8、机械设备用量计划</w:t>
      </w:r>
    </w:p>
    <w:p w14:paraId="1247048F">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9、质量保证措施和体系</w:t>
      </w:r>
    </w:p>
    <w:p w14:paraId="0F1B4CAD">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10、工期保证措施和体系</w:t>
      </w:r>
    </w:p>
    <w:p w14:paraId="28428593">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szCs w:val="22"/>
          <w:highlight w:val="none"/>
          <w14:textFill>
            <w14:solidFill>
              <w14:schemeClr w14:val="tx1"/>
            </w14:solidFill>
          </w14:textFill>
        </w:rPr>
      </w:pPr>
      <w:r>
        <w:rPr>
          <w:rFonts w:hint="eastAsia" w:ascii="宋体" w:hAnsi="宋体" w:eastAsia="宋体" w:cs="宋体"/>
          <w:color w:val="000000" w:themeColor="text1"/>
          <w:sz w:val="24"/>
          <w:szCs w:val="22"/>
          <w:highlight w:val="none"/>
          <w14:textFill>
            <w14:solidFill>
              <w14:schemeClr w14:val="tx1"/>
            </w14:solidFill>
          </w14:textFill>
        </w:rPr>
        <w:t>11、安全保证措施和体系</w:t>
      </w:r>
    </w:p>
    <w:p w14:paraId="3FC3BE69">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szCs w:val="22"/>
          <w:highlight w:val="none"/>
          <w14:textFill>
            <w14:solidFill>
              <w14:schemeClr w14:val="tx1"/>
            </w14:solidFill>
          </w14:textFill>
        </w:rPr>
      </w:pPr>
      <w:r>
        <w:rPr>
          <w:rFonts w:hint="eastAsia" w:ascii="宋体" w:hAnsi="宋体" w:eastAsia="宋体" w:cs="宋体"/>
          <w:color w:val="000000" w:themeColor="text1"/>
          <w:sz w:val="24"/>
          <w:szCs w:val="22"/>
          <w:highlight w:val="none"/>
          <w14:textFill>
            <w14:solidFill>
              <w14:schemeClr w14:val="tx1"/>
            </w14:solidFill>
          </w14:textFill>
        </w:rPr>
        <w:t>12、现场文明施工措施</w:t>
      </w:r>
    </w:p>
    <w:p w14:paraId="30E361A4">
      <w:pPr>
        <w:pageBreakBefore w:val="0"/>
        <w:kinsoku/>
        <w:overflowPunct/>
        <w:topLinePunct/>
        <w:bidi w:val="0"/>
        <w:spacing w:line="480" w:lineRule="exact"/>
        <w:ind w:firstLine="240" w:firstLineChars="100"/>
        <w:textAlignment w:val="auto"/>
        <w:rPr>
          <w:rFonts w:ascii="宋体" w:hAnsi="宋体" w:eastAsia="宋体" w:cs="宋体"/>
          <w:color w:val="000000" w:themeColor="text1"/>
          <w:sz w:val="24"/>
          <w:szCs w:val="22"/>
          <w:highlight w:val="none"/>
          <w14:textFill>
            <w14:solidFill>
              <w14:schemeClr w14:val="tx1"/>
            </w14:solidFill>
          </w14:textFill>
        </w:rPr>
      </w:pPr>
      <w:r>
        <w:rPr>
          <w:rFonts w:hint="eastAsia" w:ascii="宋体" w:hAnsi="宋体" w:eastAsia="宋体" w:cs="宋体"/>
          <w:color w:val="000000" w:themeColor="text1"/>
          <w:sz w:val="24"/>
          <w:szCs w:val="22"/>
          <w:highlight w:val="none"/>
          <w14:textFill>
            <w14:solidFill>
              <w14:schemeClr w14:val="tx1"/>
            </w14:solidFill>
          </w14:textFill>
        </w:rPr>
        <w:t>13、承诺</w:t>
      </w:r>
    </w:p>
    <w:p w14:paraId="5FAC2119">
      <w:pPr>
        <w:pageBreakBefore w:val="0"/>
        <w:kinsoku/>
        <w:overflowPunct/>
        <w:topLinePunct/>
        <w:bidi w:val="0"/>
        <w:spacing w:line="480" w:lineRule="exact"/>
        <w:textAlignment w:val="auto"/>
        <w:rPr>
          <w:rFonts w:ascii="宋体" w:hAnsi="宋体" w:eastAsia="宋体" w:cs="宋体"/>
          <w:color w:val="000000" w:themeColor="text1"/>
          <w:kern w:val="0"/>
          <w:sz w:val="24"/>
          <w:szCs w:val="28"/>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注：</w:t>
      </w:r>
      <w:r>
        <w:rPr>
          <w:rFonts w:hint="eastAsia" w:ascii="宋体" w:hAnsi="宋体" w:eastAsia="宋体" w:cs="宋体"/>
          <w:color w:val="000000" w:themeColor="text1"/>
          <w:kern w:val="0"/>
          <w:sz w:val="24"/>
          <w:highlight w:val="none"/>
          <w14:textFill>
            <w14:solidFill>
              <w14:schemeClr w14:val="tx1"/>
            </w14:solidFill>
          </w14:textFill>
        </w:rPr>
        <w:t>投标文件须按技术标格式目录顺序编写</w:t>
      </w:r>
    </w:p>
    <w:p w14:paraId="656D66E4">
      <w:pPr>
        <w:pageBreakBefore w:val="0"/>
        <w:kinsoku/>
        <w:overflowPunct/>
        <w:topLinePunct/>
        <w:bidi w:val="0"/>
        <w:spacing w:line="480" w:lineRule="exact"/>
        <w:textAlignment w:val="auto"/>
        <w:rPr>
          <w:rFonts w:ascii="宋体" w:hAnsi="宋体" w:eastAsia="宋体" w:cs="宋体"/>
          <w:b/>
          <w:color w:val="000000" w:themeColor="text1"/>
          <w:highlight w:val="none"/>
          <w:lang w:val="zh-CN"/>
          <w14:textFill>
            <w14:solidFill>
              <w14:schemeClr w14:val="tx1"/>
            </w14:solidFill>
          </w14:textFill>
        </w:rPr>
      </w:pPr>
    </w:p>
    <w:p w14:paraId="4CA84DF0">
      <w:pPr>
        <w:pStyle w:val="2"/>
        <w:pageBreakBefore w:val="0"/>
        <w:kinsoku/>
        <w:overflowPunct/>
        <w:bidi w:val="0"/>
        <w:spacing w:line="480" w:lineRule="exact"/>
        <w:textAlignment w:val="auto"/>
        <w:rPr>
          <w:rFonts w:ascii="宋体" w:hAnsi="宋体" w:eastAsia="宋体" w:cs="宋体"/>
          <w:color w:val="000000" w:themeColor="text1"/>
          <w:sz w:val="21"/>
          <w:highlight w:val="none"/>
          <w:lang w:val="zh-CN"/>
          <w14:textFill>
            <w14:solidFill>
              <w14:schemeClr w14:val="tx1"/>
            </w14:solidFill>
          </w14:textFill>
        </w:rPr>
      </w:pPr>
    </w:p>
    <w:p w14:paraId="25FFC43F">
      <w:pPr>
        <w:pageBreakBefore w:val="0"/>
        <w:kinsoku/>
        <w:overflowPunct/>
        <w:bidi w:val="0"/>
        <w:spacing w:line="480" w:lineRule="exact"/>
        <w:textAlignment w:val="auto"/>
        <w:rPr>
          <w:rFonts w:ascii="宋体" w:hAnsi="宋体" w:eastAsia="宋体" w:cs="宋体"/>
          <w:b/>
          <w:color w:val="000000" w:themeColor="text1"/>
          <w:highlight w:val="none"/>
          <w:lang w:val="zh-CN"/>
          <w14:textFill>
            <w14:solidFill>
              <w14:schemeClr w14:val="tx1"/>
            </w14:solidFill>
          </w14:textFill>
        </w:rPr>
      </w:pPr>
    </w:p>
    <w:p w14:paraId="0621DA6E">
      <w:pPr>
        <w:pStyle w:val="2"/>
        <w:pageBreakBefore w:val="0"/>
        <w:kinsoku/>
        <w:overflowPunct/>
        <w:bidi w:val="0"/>
        <w:spacing w:line="480" w:lineRule="exact"/>
        <w:textAlignment w:val="auto"/>
        <w:rPr>
          <w:rFonts w:ascii="宋体" w:hAnsi="宋体" w:eastAsia="宋体" w:cs="宋体"/>
          <w:color w:val="000000" w:themeColor="text1"/>
          <w:sz w:val="21"/>
          <w:highlight w:val="none"/>
          <w:lang w:val="zh-CN"/>
          <w14:textFill>
            <w14:solidFill>
              <w14:schemeClr w14:val="tx1"/>
            </w14:solidFill>
          </w14:textFill>
        </w:rPr>
      </w:pPr>
    </w:p>
    <w:p w14:paraId="6CADCB28">
      <w:pPr>
        <w:pageBreakBefore w:val="0"/>
        <w:kinsoku/>
        <w:overflowPunct/>
        <w:bidi w:val="0"/>
        <w:spacing w:line="480" w:lineRule="exact"/>
        <w:textAlignment w:val="auto"/>
        <w:rPr>
          <w:rFonts w:ascii="宋体" w:hAnsi="宋体" w:eastAsia="宋体" w:cs="宋体"/>
          <w:b/>
          <w:color w:val="000000" w:themeColor="text1"/>
          <w:highlight w:val="none"/>
          <w:lang w:val="zh-CN"/>
          <w14:textFill>
            <w14:solidFill>
              <w14:schemeClr w14:val="tx1"/>
            </w14:solidFill>
          </w14:textFill>
        </w:rPr>
      </w:pPr>
    </w:p>
    <w:p w14:paraId="19517762">
      <w:pPr>
        <w:pStyle w:val="16"/>
        <w:rPr>
          <w:rFonts w:ascii="宋体" w:hAnsi="宋体" w:eastAsia="宋体" w:cs="宋体"/>
          <w:b/>
          <w:color w:val="000000" w:themeColor="text1"/>
          <w:highlight w:val="none"/>
          <w:lang w:val="zh-CN"/>
          <w14:textFill>
            <w14:solidFill>
              <w14:schemeClr w14:val="tx1"/>
            </w14:solidFill>
          </w14:textFill>
        </w:rPr>
      </w:pPr>
    </w:p>
    <w:p w14:paraId="00370C19">
      <w:pPr>
        <w:pStyle w:val="16"/>
        <w:rPr>
          <w:rFonts w:ascii="宋体" w:hAnsi="宋体" w:eastAsia="宋体" w:cs="宋体"/>
          <w:b/>
          <w:color w:val="000000" w:themeColor="text1"/>
          <w:highlight w:val="none"/>
          <w:lang w:val="zh-CN"/>
          <w14:textFill>
            <w14:solidFill>
              <w14:schemeClr w14:val="tx1"/>
            </w14:solidFill>
          </w14:textFill>
        </w:rPr>
      </w:pPr>
    </w:p>
    <w:p w14:paraId="3A9EF18B">
      <w:pPr>
        <w:pStyle w:val="16"/>
        <w:rPr>
          <w:rFonts w:ascii="宋体" w:hAnsi="宋体" w:eastAsia="宋体" w:cs="宋体"/>
          <w:b/>
          <w:color w:val="000000" w:themeColor="text1"/>
          <w:highlight w:val="none"/>
          <w:lang w:val="zh-CN"/>
          <w14:textFill>
            <w14:solidFill>
              <w14:schemeClr w14:val="tx1"/>
            </w14:solidFill>
          </w14:textFill>
        </w:rPr>
      </w:pPr>
    </w:p>
    <w:p w14:paraId="3A07A189">
      <w:pPr>
        <w:pStyle w:val="16"/>
        <w:rPr>
          <w:rFonts w:ascii="宋体" w:hAnsi="宋体" w:eastAsia="宋体" w:cs="宋体"/>
          <w:b/>
          <w:color w:val="000000" w:themeColor="text1"/>
          <w:highlight w:val="none"/>
          <w:lang w:val="zh-CN"/>
          <w14:textFill>
            <w14:solidFill>
              <w14:schemeClr w14:val="tx1"/>
            </w14:solidFill>
          </w14:textFill>
        </w:rPr>
      </w:pPr>
    </w:p>
    <w:p w14:paraId="106461B6">
      <w:pPr>
        <w:pageBreakBefore w:val="0"/>
        <w:kinsoku/>
        <w:overflowPunct/>
        <w:bidi w:val="0"/>
        <w:spacing w:line="480" w:lineRule="exact"/>
        <w:textAlignment w:val="auto"/>
        <w:rPr>
          <w:rFonts w:ascii="宋体" w:hAnsi="宋体" w:eastAsia="宋体" w:cs="宋体"/>
          <w:b/>
          <w:color w:val="000000" w:themeColor="text1"/>
          <w:highlight w:val="none"/>
          <w:lang w:val="zh-CN"/>
          <w14:textFill>
            <w14:solidFill>
              <w14:schemeClr w14:val="tx1"/>
            </w14:solidFill>
          </w14:textFill>
        </w:rPr>
      </w:pPr>
    </w:p>
    <w:p w14:paraId="17F9949F">
      <w:pPr>
        <w:pStyle w:val="4"/>
        <w:pageBreakBefore w:val="0"/>
        <w:kinsoku/>
        <w:overflowPunct/>
        <w:bidi w:val="0"/>
        <w:spacing w:line="480" w:lineRule="exact"/>
        <w:jc w:val="center"/>
        <w:textAlignment w:val="auto"/>
        <w:rPr>
          <w:rFonts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t>经</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济</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标</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格</w:t>
      </w:r>
      <w:r>
        <w:rPr>
          <w:rFonts w:hint="eastAsia" w:ascii="宋体" w:hAnsi="宋体" w:eastAsia="宋体" w:cs="宋体"/>
          <w:color w:val="000000" w:themeColor="text1"/>
          <w:szCs w:val="21"/>
          <w:highlight w:val="none"/>
          <w14:textFill>
            <w14:solidFill>
              <w14:schemeClr w14:val="tx1"/>
            </w14:solidFill>
          </w14:textFill>
        </w:rPr>
        <w:t xml:space="preserve"> </w:t>
      </w:r>
      <w:r>
        <w:rPr>
          <w:rFonts w:hint="eastAsia" w:ascii="宋体" w:hAnsi="宋体" w:eastAsia="宋体" w:cs="宋体"/>
          <w:color w:val="000000" w:themeColor="text1"/>
          <w:highlight w:val="none"/>
          <w:lang w:val="zh-CN"/>
          <w14:textFill>
            <w14:solidFill>
              <w14:schemeClr w14:val="tx1"/>
            </w14:solidFill>
          </w14:textFill>
        </w:rPr>
        <w:t>式</w:t>
      </w:r>
      <w:bookmarkEnd w:id="721"/>
    </w:p>
    <w:p w14:paraId="748CFFF0">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经济标封面示例                                  </w:t>
      </w:r>
    </w:p>
    <w:p w14:paraId="4F01532A">
      <w:pPr>
        <w:pageBreakBefore w:val="0"/>
        <w:kinsoku/>
        <w:overflowPunct/>
        <w:autoSpaceDE w:val="0"/>
        <w:autoSpaceDN w:val="0"/>
        <w:bidi w:val="0"/>
        <w:adjustRightInd w:val="0"/>
        <w:spacing w:line="480" w:lineRule="exact"/>
        <w:ind w:firstLine="6480" w:firstLineChars="2700"/>
        <w:jc w:val="righ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正本/副本</w:t>
      </w:r>
    </w:p>
    <w:p w14:paraId="574DB87D">
      <w:pPr>
        <w:pageBreakBefore w:val="0"/>
        <w:kinsoku/>
        <w:overflowPunct/>
        <w:bidi w:val="0"/>
        <w:spacing w:line="480" w:lineRule="exact"/>
        <w:textAlignment w:val="auto"/>
        <w:rPr>
          <w:rFonts w:ascii="宋体" w:hAnsi="宋体" w:eastAsia="宋体" w:cs="宋体"/>
          <w:color w:val="000000" w:themeColor="text1"/>
          <w:highlight w:val="none"/>
          <w14:textFill>
            <w14:solidFill>
              <w14:schemeClr w14:val="tx1"/>
            </w14:solidFill>
          </w14:textFill>
        </w:rPr>
      </w:pPr>
    </w:p>
    <w:p w14:paraId="57EDBB9E">
      <w:pPr>
        <w:pageBreakBefore w:val="0"/>
        <w:kinsoku/>
        <w:overflowPunct/>
        <w:bidi w:val="0"/>
        <w:spacing w:line="480" w:lineRule="exact"/>
        <w:textAlignment w:val="auto"/>
        <w:rPr>
          <w:rFonts w:ascii="宋体" w:hAnsi="宋体" w:eastAsia="宋体" w:cs="宋体"/>
          <w:color w:val="000000" w:themeColor="text1"/>
          <w:highlight w:val="none"/>
          <w14:textFill>
            <w14:solidFill>
              <w14:schemeClr w14:val="tx1"/>
            </w14:solidFill>
          </w14:textFill>
        </w:rPr>
      </w:pPr>
    </w:p>
    <w:p w14:paraId="43DC8168">
      <w:pPr>
        <w:pageBreakBefore w:val="0"/>
        <w:kinsoku/>
        <w:overflowPunct/>
        <w:bidi w:val="0"/>
        <w:spacing w:line="480" w:lineRule="exact"/>
        <w:textAlignment w:val="auto"/>
        <w:rPr>
          <w:rFonts w:ascii="宋体" w:hAnsi="宋体" w:eastAsia="宋体" w:cs="宋体"/>
          <w:color w:val="000000" w:themeColor="text1"/>
          <w:highlight w:val="none"/>
          <w14:textFill>
            <w14:solidFill>
              <w14:schemeClr w14:val="tx1"/>
            </w14:solidFill>
          </w14:textFill>
        </w:rPr>
      </w:pPr>
    </w:p>
    <w:p w14:paraId="280E749F">
      <w:pPr>
        <w:pStyle w:val="16"/>
        <w:rPr>
          <w:rFonts w:ascii="宋体" w:hAnsi="宋体" w:eastAsia="宋体" w:cs="宋体"/>
          <w:color w:val="000000" w:themeColor="text1"/>
          <w:highlight w:val="none"/>
          <w14:textFill>
            <w14:solidFill>
              <w14:schemeClr w14:val="tx1"/>
            </w14:solidFill>
          </w14:textFill>
        </w:rPr>
      </w:pPr>
    </w:p>
    <w:p w14:paraId="4F5039ED">
      <w:pPr>
        <w:pStyle w:val="16"/>
        <w:rPr>
          <w:rFonts w:ascii="宋体" w:hAnsi="宋体" w:eastAsia="宋体" w:cs="宋体"/>
          <w:color w:val="000000" w:themeColor="text1"/>
          <w:highlight w:val="none"/>
          <w14:textFill>
            <w14:solidFill>
              <w14:schemeClr w14:val="tx1"/>
            </w14:solidFill>
          </w14:textFill>
        </w:rPr>
      </w:pPr>
    </w:p>
    <w:p w14:paraId="49FA9B42">
      <w:pPr>
        <w:pStyle w:val="16"/>
        <w:rPr>
          <w:rFonts w:ascii="宋体" w:hAnsi="宋体" w:eastAsia="宋体" w:cs="宋体"/>
          <w:color w:val="000000" w:themeColor="text1"/>
          <w:highlight w:val="none"/>
          <w14:textFill>
            <w14:solidFill>
              <w14:schemeClr w14:val="tx1"/>
            </w14:solidFill>
          </w14:textFill>
        </w:rPr>
      </w:pPr>
    </w:p>
    <w:p w14:paraId="0D829133">
      <w:pPr>
        <w:pStyle w:val="16"/>
        <w:rPr>
          <w:rFonts w:ascii="宋体" w:hAnsi="宋体" w:eastAsia="宋体" w:cs="宋体"/>
          <w:color w:val="000000" w:themeColor="text1"/>
          <w:highlight w:val="none"/>
          <w14:textFill>
            <w14:solidFill>
              <w14:schemeClr w14:val="tx1"/>
            </w14:solidFill>
          </w14:textFill>
        </w:rPr>
      </w:pPr>
    </w:p>
    <w:p w14:paraId="3973BB8B">
      <w:pPr>
        <w:pageBreakBefore w:val="0"/>
        <w:kinsoku/>
        <w:overflowPunct/>
        <w:bidi w:val="0"/>
        <w:spacing w:line="480" w:lineRule="exact"/>
        <w:textAlignment w:val="auto"/>
        <w:rPr>
          <w:rFonts w:ascii="宋体" w:hAnsi="宋体" w:eastAsia="宋体" w:cs="宋体"/>
          <w:color w:val="000000" w:themeColor="text1"/>
          <w:highlight w:val="none"/>
          <w14:textFill>
            <w14:solidFill>
              <w14:schemeClr w14:val="tx1"/>
            </w14:solidFill>
          </w14:textFill>
        </w:rPr>
      </w:pPr>
    </w:p>
    <w:p w14:paraId="36732269">
      <w:pPr>
        <w:pageBreakBefore w:val="0"/>
        <w:kinsoku/>
        <w:overflowPunct/>
        <w:bidi w:val="0"/>
        <w:spacing w:line="480" w:lineRule="exact"/>
        <w:jc w:val="center"/>
        <w:textAlignment w:val="auto"/>
        <w:rPr>
          <w:rFonts w:ascii="宋体" w:hAnsi="宋体" w:eastAsia="宋体" w:cs="宋体"/>
          <w:b/>
          <w:color w:val="000000" w:themeColor="text1"/>
          <w:sz w:val="44"/>
          <w:szCs w:val="44"/>
          <w:highlight w:val="none"/>
          <w14:textFill>
            <w14:solidFill>
              <w14:schemeClr w14:val="tx1"/>
            </w14:solidFill>
          </w14:textFill>
        </w:rPr>
      </w:pPr>
      <w:r>
        <w:rPr>
          <w:rFonts w:hint="eastAsia" w:ascii="宋体" w:hAnsi="宋体" w:eastAsia="宋体" w:cs="宋体"/>
          <w:b/>
          <w:color w:val="000000" w:themeColor="text1"/>
          <w:sz w:val="44"/>
          <w:szCs w:val="44"/>
          <w:highlight w:val="none"/>
          <w14:textFill>
            <w14:solidFill>
              <w14:schemeClr w14:val="tx1"/>
            </w14:solidFill>
          </w14:textFill>
        </w:rPr>
        <w:t>响应文件经济标</w:t>
      </w:r>
    </w:p>
    <w:p w14:paraId="2C21F9D5">
      <w:pPr>
        <w:pageBreakBefore w:val="0"/>
        <w:kinsoku/>
        <w:overflowPunct/>
        <w:bidi w:val="0"/>
        <w:spacing w:line="480" w:lineRule="exact"/>
        <w:textAlignment w:val="auto"/>
        <w:rPr>
          <w:rFonts w:ascii="宋体" w:hAnsi="宋体" w:eastAsia="宋体" w:cs="宋体"/>
          <w:color w:val="000000" w:themeColor="text1"/>
          <w:sz w:val="28"/>
          <w:szCs w:val="28"/>
          <w:highlight w:val="none"/>
          <w14:textFill>
            <w14:solidFill>
              <w14:schemeClr w14:val="tx1"/>
            </w14:solidFill>
          </w14:textFill>
        </w:rPr>
      </w:pPr>
    </w:p>
    <w:p w14:paraId="79B8E7BA">
      <w:pPr>
        <w:pStyle w:val="43"/>
        <w:pageBreakBefore w:val="0"/>
        <w:kinsoku/>
        <w:overflowPunct/>
        <w:bidi w:val="0"/>
        <w:spacing w:line="480" w:lineRule="exact"/>
        <w:ind w:firstLine="0" w:firstLineChars="0"/>
        <w:textAlignment w:val="auto"/>
        <w:rPr>
          <w:rFonts w:ascii="宋体" w:hAnsi="宋体" w:eastAsia="宋体" w:cs="宋体"/>
          <w:color w:val="000000" w:themeColor="text1"/>
          <w:sz w:val="28"/>
          <w:szCs w:val="28"/>
          <w:highlight w:val="none"/>
          <w14:textFill>
            <w14:solidFill>
              <w14:schemeClr w14:val="tx1"/>
            </w14:solidFill>
          </w14:textFill>
        </w:rPr>
      </w:pPr>
    </w:p>
    <w:p w14:paraId="3D31EFAF">
      <w:pPr>
        <w:pStyle w:val="43"/>
        <w:pageBreakBefore w:val="0"/>
        <w:kinsoku/>
        <w:overflowPunct/>
        <w:bidi w:val="0"/>
        <w:spacing w:line="480" w:lineRule="exact"/>
        <w:ind w:firstLine="0" w:firstLineChars="0"/>
        <w:textAlignment w:val="auto"/>
        <w:rPr>
          <w:rFonts w:ascii="宋体" w:hAnsi="宋体" w:eastAsia="宋体" w:cs="宋体"/>
          <w:color w:val="000000" w:themeColor="text1"/>
          <w:sz w:val="28"/>
          <w:szCs w:val="28"/>
          <w:highlight w:val="none"/>
          <w14:textFill>
            <w14:solidFill>
              <w14:schemeClr w14:val="tx1"/>
            </w14:solidFill>
          </w14:textFill>
        </w:rPr>
      </w:pPr>
    </w:p>
    <w:p w14:paraId="1122AA4D">
      <w:pPr>
        <w:pStyle w:val="43"/>
        <w:pageBreakBefore w:val="0"/>
        <w:kinsoku/>
        <w:overflowPunct/>
        <w:bidi w:val="0"/>
        <w:spacing w:line="480" w:lineRule="exact"/>
        <w:ind w:firstLine="0" w:firstLineChars="0"/>
        <w:textAlignment w:val="auto"/>
        <w:rPr>
          <w:rFonts w:ascii="宋体" w:hAnsi="宋体" w:eastAsia="宋体" w:cs="宋体"/>
          <w:color w:val="000000" w:themeColor="text1"/>
          <w:sz w:val="28"/>
          <w:szCs w:val="28"/>
          <w:highlight w:val="none"/>
          <w14:textFill>
            <w14:solidFill>
              <w14:schemeClr w14:val="tx1"/>
            </w14:solidFill>
          </w14:textFill>
        </w:rPr>
      </w:pPr>
    </w:p>
    <w:p w14:paraId="14FD4273">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p>
    <w:p w14:paraId="140393D7">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项目编号：</w:t>
      </w:r>
    </w:p>
    <w:p w14:paraId="726081C7">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招标人：</w:t>
      </w:r>
    </w:p>
    <w:p w14:paraId="33D9AF75">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投标单位</w:t>
      </w:r>
      <w:r>
        <w:rPr>
          <w:rFonts w:hint="eastAsia" w:ascii="宋体" w:hAnsi="宋体" w:eastAsia="宋体" w:cs="宋体"/>
          <w:color w:val="000000" w:themeColor="text1"/>
          <w:sz w:val="24"/>
          <w:szCs w:val="24"/>
          <w:highlight w:val="none"/>
          <w14:textFill>
            <w14:solidFill>
              <w14:schemeClr w14:val="tx1"/>
            </w14:solidFill>
          </w14:textFill>
        </w:rPr>
        <w:t>名称：（盖章）</w:t>
      </w:r>
    </w:p>
    <w:p w14:paraId="36F3B970">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法定代表人或被授权代理人：（盖章）</w:t>
      </w:r>
    </w:p>
    <w:p w14:paraId="2D317B4A">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单位地址：</w:t>
      </w:r>
    </w:p>
    <w:p w14:paraId="306FFCEA">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p>
    <w:p w14:paraId="52CA637B">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联系电话：</w:t>
      </w:r>
    </w:p>
    <w:p w14:paraId="1C03ECFC">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p>
    <w:p w14:paraId="51201233">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年      月       日</w:t>
      </w:r>
    </w:p>
    <w:p w14:paraId="4A052030">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highlight w:val="none"/>
          <w:lang w:val="zh-CN"/>
          <w14:textFill>
            <w14:solidFill>
              <w14:schemeClr w14:val="tx1"/>
            </w14:solidFill>
          </w14:textFill>
        </w:rPr>
      </w:pPr>
    </w:p>
    <w:p w14:paraId="772E7EF8">
      <w:pPr>
        <w:pStyle w:val="43"/>
        <w:pageBreakBefore w:val="0"/>
        <w:kinsoku/>
        <w:overflowPunct/>
        <w:bidi w:val="0"/>
        <w:spacing w:line="480" w:lineRule="exact"/>
        <w:ind w:firstLine="0" w:firstLineChars="0"/>
        <w:jc w:val="center"/>
        <w:textAlignment w:val="auto"/>
        <w:rPr>
          <w:rFonts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经济标目录</w:t>
      </w:r>
    </w:p>
    <w:p w14:paraId="1F266FF3">
      <w:pPr>
        <w:pStyle w:val="43"/>
        <w:pageBreakBefore w:val="0"/>
        <w:kinsoku/>
        <w:overflowPunct/>
        <w:bidi w:val="0"/>
        <w:spacing w:line="480" w:lineRule="exact"/>
        <w:ind w:firstLine="0" w:firstLineChars="0"/>
        <w:jc w:val="center"/>
        <w:textAlignment w:val="auto"/>
        <w:rPr>
          <w:rFonts w:ascii="宋体" w:hAnsi="宋体" w:eastAsia="宋体" w:cs="宋体"/>
          <w:b/>
          <w:color w:val="000000" w:themeColor="text1"/>
          <w:sz w:val="24"/>
          <w:szCs w:val="24"/>
          <w:highlight w:val="none"/>
          <w14:textFill>
            <w14:solidFill>
              <w14:schemeClr w14:val="tx1"/>
            </w14:solidFill>
          </w14:textFill>
        </w:rPr>
      </w:pPr>
    </w:p>
    <w:p w14:paraId="56F52C8A">
      <w:pPr>
        <w:pStyle w:val="43"/>
        <w:pageBreakBefore w:val="0"/>
        <w:kinsoku/>
        <w:overflowPunct/>
        <w:bidi w:val="0"/>
        <w:spacing w:line="480" w:lineRule="exact"/>
        <w:ind w:firstLine="0" w:firstLineChars="0"/>
        <w:jc w:val="center"/>
        <w:textAlignment w:val="auto"/>
        <w:rPr>
          <w:rFonts w:ascii="宋体" w:hAnsi="宋体" w:eastAsia="宋体" w:cs="宋体"/>
          <w:b/>
          <w:color w:val="000000" w:themeColor="text1"/>
          <w:sz w:val="24"/>
          <w:szCs w:val="24"/>
          <w:highlight w:val="none"/>
          <w14:textFill>
            <w14:solidFill>
              <w14:schemeClr w14:val="tx1"/>
            </w14:solidFill>
          </w14:textFill>
        </w:rPr>
      </w:pPr>
    </w:p>
    <w:p w14:paraId="7CFC398C">
      <w:pPr>
        <w:pageBreakBefore w:val="0"/>
        <w:kinsoku/>
        <w:overflowPunct/>
        <w:bidi w:val="0"/>
        <w:spacing w:line="480" w:lineRule="exact"/>
        <w:ind w:firstLine="480" w:firstLineChars="20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注：以工程量清单为依据编制</w:t>
      </w:r>
    </w:p>
    <w:p w14:paraId="51131E13">
      <w:pPr>
        <w:pStyle w:val="43"/>
        <w:pageBreakBefore w:val="0"/>
        <w:kinsoku/>
        <w:overflowPunct/>
        <w:bidi w:val="0"/>
        <w:spacing w:line="480" w:lineRule="exact"/>
        <w:ind w:firstLine="0" w:firstLineChars="0"/>
        <w:jc w:val="center"/>
        <w:textAlignment w:val="auto"/>
        <w:rPr>
          <w:rFonts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br w:type="page"/>
      </w:r>
      <w:r>
        <w:rPr>
          <w:rFonts w:hint="eastAsia" w:ascii="宋体" w:hAnsi="宋体" w:eastAsia="宋体" w:cs="宋体"/>
          <w:b/>
          <w:color w:val="000000" w:themeColor="text1"/>
          <w:sz w:val="24"/>
          <w:szCs w:val="24"/>
          <w:highlight w:val="none"/>
          <w14:textFill>
            <w14:solidFill>
              <w14:schemeClr w14:val="tx1"/>
            </w14:solidFill>
          </w14:textFill>
        </w:rPr>
        <w:t>投 标 总 价</w:t>
      </w:r>
    </w:p>
    <w:p w14:paraId="74C1CB41">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797BF2F6">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招     标    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BFB7754">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   程  名  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6D871DA5">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投标总价（小写）：</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38956319">
      <w:pPr>
        <w:pStyle w:val="43"/>
        <w:pageBreakBefore w:val="0"/>
        <w:kinsoku/>
        <w:overflowPunct/>
        <w:bidi w:val="0"/>
        <w:spacing w:line="480" w:lineRule="exact"/>
        <w:ind w:left="84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（大写）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62855F1B">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72BDC920">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    标    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DCBE5C9">
      <w:pPr>
        <w:pageBreakBefore w:val="0"/>
        <w:kinsoku/>
        <w:overflowPunct/>
        <w:bidi w:val="0"/>
        <w:spacing w:line="480" w:lineRule="exact"/>
        <w:ind w:firstLine="600" w:firstLineChars="250"/>
        <w:jc w:val="lef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（单位盖章）</w:t>
      </w:r>
    </w:p>
    <w:p w14:paraId="13460710">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727C6D63">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法定代表人或其授权人：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819DF39">
      <w:pPr>
        <w:pStyle w:val="43"/>
        <w:pageBreakBefore w:val="0"/>
        <w:kinsoku/>
        <w:overflowPunct/>
        <w:bidi w:val="0"/>
        <w:spacing w:line="480" w:lineRule="exact"/>
        <w:ind w:firstLine="600" w:firstLineChars="25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（签字或盖章）</w:t>
      </w:r>
    </w:p>
    <w:p w14:paraId="03964D32">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5A31A804">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编    制    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90D5969">
      <w:pPr>
        <w:pStyle w:val="43"/>
        <w:pageBreakBefore w:val="0"/>
        <w:kinsoku/>
        <w:overflowPunct/>
        <w:bidi w:val="0"/>
        <w:spacing w:line="480" w:lineRule="exact"/>
        <w:ind w:firstLine="600" w:firstLineChars="250"/>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（造价人员签字并盖专用章）</w:t>
      </w:r>
    </w:p>
    <w:p w14:paraId="261AEE54">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2C5C1B72">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7E09149E">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p>
    <w:p w14:paraId="1A22B37D">
      <w:pPr>
        <w:pStyle w:val="43"/>
        <w:pageBreakBefore w:val="0"/>
        <w:kinsoku/>
        <w:overflowPunct/>
        <w:bidi w:val="0"/>
        <w:spacing w:line="480" w:lineRule="exact"/>
        <w:textAlignment w:val="auto"/>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编 制 时 间: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w:t>
      </w:r>
    </w:p>
    <w:p w14:paraId="4B698AFC">
      <w:pPr>
        <w:pageBreakBefore w:val="0"/>
        <w:kinsoku/>
        <w:overflowPunct/>
        <w:autoSpaceDE w:val="0"/>
        <w:autoSpaceDN w:val="0"/>
        <w:bidi w:val="0"/>
        <w:adjustRightInd w:val="0"/>
        <w:spacing w:line="480" w:lineRule="exact"/>
        <w:ind w:firstLine="3213" w:firstLineChars="1000"/>
        <w:jc w:val="both"/>
        <w:textAlignment w:val="auto"/>
        <w:rPr>
          <w:rFonts w:hint="eastAsia" w:ascii="宋体" w:hAnsi="宋体" w:eastAsia="宋体" w:cs="宋体"/>
          <w:b/>
          <w:bCs/>
          <w:color w:val="000000" w:themeColor="text1"/>
          <w:sz w:val="32"/>
          <w:szCs w:val="32"/>
          <w:highlight w:val="none"/>
          <w14:textFill>
            <w14:solidFill>
              <w14:schemeClr w14:val="tx1"/>
            </w14:solidFill>
          </w14:textFill>
        </w:rPr>
      </w:pPr>
    </w:p>
    <w:p w14:paraId="15ADDD8E">
      <w:pPr>
        <w:pageBreakBefore w:val="0"/>
        <w:kinsoku/>
        <w:overflowPunct/>
        <w:autoSpaceDE w:val="0"/>
        <w:autoSpaceDN w:val="0"/>
        <w:bidi w:val="0"/>
        <w:adjustRightInd w:val="0"/>
        <w:spacing w:line="480" w:lineRule="exact"/>
        <w:ind w:firstLine="964" w:firstLineChars="300"/>
        <w:jc w:val="center"/>
        <w:textAlignment w:val="auto"/>
        <w:rPr>
          <w:rFonts w:hint="eastAsia" w:ascii="宋体" w:hAnsi="宋体" w:eastAsia="宋体" w:cs="宋体"/>
          <w:b/>
          <w:bCs/>
          <w:color w:val="000000" w:themeColor="text1"/>
          <w:sz w:val="32"/>
          <w:szCs w:val="32"/>
          <w:highlight w:val="none"/>
          <w14:textFill>
            <w14:solidFill>
              <w14:schemeClr w14:val="tx1"/>
            </w14:solidFill>
          </w14:textFill>
        </w:rPr>
      </w:pPr>
    </w:p>
    <w:p w14:paraId="6D841AA0">
      <w:pPr>
        <w:pageBreakBefore w:val="0"/>
        <w:kinsoku/>
        <w:overflowPunct/>
        <w:autoSpaceDE w:val="0"/>
        <w:autoSpaceDN w:val="0"/>
        <w:bidi w:val="0"/>
        <w:adjustRightInd w:val="0"/>
        <w:spacing w:line="480" w:lineRule="exact"/>
        <w:jc w:val="center"/>
        <w:textAlignment w:val="auto"/>
        <w:rPr>
          <w:rFonts w:ascii="宋体" w:hAnsi="宋体" w:eastAsia="宋体" w:cs="宋体"/>
          <w:b/>
          <w:bCs/>
          <w:color w:val="000000" w:themeColor="text1"/>
          <w:sz w:val="44"/>
          <w:szCs w:val="44"/>
          <w:highlight w:val="none"/>
          <w:lang w:val="zh-CN"/>
          <w14:textFill>
            <w14:solidFill>
              <w14:schemeClr w14:val="tx1"/>
            </w14:solidFill>
          </w14:textFill>
        </w:rPr>
      </w:pPr>
      <w:r>
        <w:rPr>
          <w:rFonts w:hint="eastAsia" w:ascii="宋体" w:hAnsi="宋体" w:eastAsia="宋体" w:cs="宋体"/>
          <w:b/>
          <w:bCs/>
          <w:color w:val="000000" w:themeColor="text1"/>
          <w:sz w:val="32"/>
          <w:szCs w:val="32"/>
          <w:highlight w:val="none"/>
          <w14:textFill>
            <w14:solidFill>
              <w14:schemeClr w14:val="tx1"/>
            </w14:solidFill>
          </w14:textFill>
        </w:rPr>
        <w:t>第六</w:t>
      </w:r>
      <w:r>
        <w:rPr>
          <w:rFonts w:hint="eastAsia" w:ascii="宋体" w:hAnsi="宋体" w:cs="宋体"/>
          <w:b/>
          <w:bCs/>
          <w:color w:val="000000" w:themeColor="text1"/>
          <w:sz w:val="32"/>
          <w:szCs w:val="32"/>
          <w:highlight w:val="none"/>
          <w:lang w:eastAsia="zh-CN"/>
          <w14:textFill>
            <w14:solidFill>
              <w14:schemeClr w14:val="tx1"/>
            </w14:solidFill>
          </w14:textFill>
        </w:rPr>
        <w:t>部分</w:t>
      </w:r>
      <w:r>
        <w:rPr>
          <w:rFonts w:hint="eastAsia" w:ascii="宋体" w:hAnsi="宋体" w:eastAsia="宋体" w:cs="宋体"/>
          <w:b/>
          <w:bCs/>
          <w:color w:val="000000" w:themeColor="text1"/>
          <w:sz w:val="32"/>
          <w:szCs w:val="32"/>
          <w:highlight w:val="none"/>
          <w14:textFill>
            <w14:solidFill>
              <w14:schemeClr w14:val="tx1"/>
            </w14:solidFill>
          </w14:textFill>
        </w:rPr>
        <w:t xml:space="preserve">  补充条款</w:t>
      </w:r>
    </w:p>
    <w:p w14:paraId="5EE52F61">
      <w:pPr>
        <w:pStyle w:val="2"/>
        <w:pageBreakBefore w:val="0"/>
        <w:kinsoku/>
        <w:overflowPunct/>
        <w:bidi w:val="0"/>
        <w:spacing w:line="480" w:lineRule="exact"/>
        <w:textAlignment w:val="auto"/>
        <w:rPr>
          <w:color w:val="000000" w:themeColor="text1"/>
          <w:sz w:val="24"/>
          <w:szCs w:val="24"/>
          <w:highlight w:val="none"/>
          <w14:textFill>
            <w14:solidFill>
              <w14:schemeClr w14:val="tx1"/>
            </w14:solidFill>
          </w14:textFill>
        </w:rPr>
      </w:pPr>
      <w:bookmarkStart w:id="722" w:name="_Toc9314_WPSOffice_Level1"/>
      <w:bookmarkStart w:id="723" w:name="_Toc13390"/>
      <w:bookmarkStart w:id="724" w:name="_Toc28554"/>
      <w:bookmarkStart w:id="725" w:name="_Toc2229"/>
      <w:bookmarkStart w:id="726" w:name="_Toc12061"/>
      <w:r>
        <w:rPr>
          <w:rFonts w:hint="eastAsia"/>
          <w:color w:val="000000" w:themeColor="text1"/>
          <w:sz w:val="24"/>
          <w:szCs w:val="24"/>
          <w:highlight w:val="none"/>
          <w14:textFill>
            <w14:solidFill>
              <w14:schemeClr w14:val="tx1"/>
            </w14:solidFill>
          </w14:textFill>
        </w:rPr>
        <w:t>附表1：</w:t>
      </w:r>
      <w:bookmarkStart w:id="727" w:name="_Toc10406"/>
      <w:r>
        <w:rPr>
          <w:rFonts w:hint="eastAsia"/>
          <w:color w:val="000000" w:themeColor="text1"/>
          <w:sz w:val="24"/>
          <w:szCs w:val="24"/>
          <w:highlight w:val="none"/>
          <w14:textFill>
            <w14:solidFill>
              <w14:schemeClr w14:val="tx1"/>
            </w14:solidFill>
          </w14:textFill>
        </w:rPr>
        <w:t>磋商响应二次报价表</w:t>
      </w:r>
      <w:bookmarkEnd w:id="722"/>
      <w:bookmarkEnd w:id="723"/>
      <w:bookmarkEnd w:id="724"/>
      <w:bookmarkEnd w:id="725"/>
      <w:bookmarkEnd w:id="726"/>
      <w:bookmarkEnd w:id="727"/>
    </w:p>
    <w:p w14:paraId="2B8924C1">
      <w:pPr>
        <w:pageBreakBefore w:val="0"/>
        <w:kinsoku/>
        <w:overflowPunct/>
        <w:autoSpaceDE w:val="0"/>
        <w:autoSpaceDN w:val="0"/>
        <w:bidi w:val="0"/>
        <w:spacing w:line="480" w:lineRule="exact"/>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 xml:space="preserve">项目名称：                 </w:t>
      </w:r>
      <w:r>
        <w:rPr>
          <w:rFonts w:hint="eastAsia" w:ascii="宋体" w:hAnsi="宋体" w:cs="宋体"/>
          <w:color w:val="000000" w:themeColor="text1"/>
          <w:sz w:val="24"/>
          <w:szCs w:val="24"/>
          <w:highlight w:val="none"/>
          <w:lang w:val="zh-CN"/>
          <w14:textFill>
            <w14:solidFill>
              <w14:schemeClr w14:val="tx1"/>
            </w14:solidFill>
          </w14:textFill>
        </w:rPr>
        <w:t>招标编号：</w:t>
      </w:r>
      <w:r>
        <w:rPr>
          <w:rFonts w:hint="eastAsia" w:ascii="宋体" w:hAnsi="宋体" w:cs="宋体"/>
          <w:color w:val="000000" w:themeColor="text1"/>
          <w:sz w:val="24"/>
          <w:szCs w:val="24"/>
          <w:highlight w:val="none"/>
          <w14:textFill>
            <w14:solidFill>
              <w14:schemeClr w14:val="tx1"/>
            </w14:solidFill>
          </w14:textFill>
        </w:rPr>
        <w:t xml:space="preserve">         </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1"/>
        <w:gridCol w:w="2106"/>
        <w:gridCol w:w="5752"/>
      </w:tblGrid>
      <w:tr w14:paraId="3E753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301" w:type="dxa"/>
            <w:tcBorders>
              <w:top w:val="single" w:color="auto" w:sz="4" w:space="0"/>
              <w:left w:val="single" w:color="auto" w:sz="4" w:space="0"/>
              <w:bottom w:val="single" w:color="auto" w:sz="4" w:space="0"/>
              <w:right w:val="single" w:color="auto" w:sz="4" w:space="0"/>
            </w:tcBorders>
            <w:vAlign w:val="center"/>
          </w:tcPr>
          <w:p w14:paraId="12B71EC1">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序号</w:t>
            </w:r>
          </w:p>
        </w:tc>
        <w:tc>
          <w:tcPr>
            <w:tcW w:w="2106" w:type="dxa"/>
            <w:tcBorders>
              <w:top w:val="single" w:color="auto" w:sz="4" w:space="0"/>
              <w:left w:val="single" w:color="auto" w:sz="4" w:space="0"/>
              <w:bottom w:val="single" w:color="auto" w:sz="4" w:space="0"/>
              <w:right w:val="single" w:color="auto" w:sz="4" w:space="0"/>
            </w:tcBorders>
            <w:vAlign w:val="center"/>
          </w:tcPr>
          <w:p w14:paraId="13BE032A">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条款名称</w:t>
            </w:r>
          </w:p>
        </w:tc>
        <w:tc>
          <w:tcPr>
            <w:tcW w:w="5752" w:type="dxa"/>
            <w:tcBorders>
              <w:top w:val="single" w:color="auto" w:sz="4" w:space="0"/>
              <w:left w:val="single" w:color="auto" w:sz="4" w:space="0"/>
              <w:bottom w:val="single" w:color="auto" w:sz="4" w:space="0"/>
              <w:right w:val="single" w:color="auto" w:sz="4" w:space="0"/>
            </w:tcBorders>
            <w:vAlign w:val="center"/>
          </w:tcPr>
          <w:p w14:paraId="640F7BAE">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内</w:t>
            </w:r>
            <w:r>
              <w:rPr>
                <w:rFonts w:hint="eastAsia" w:ascii="宋体" w:hAnsi="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容</w:t>
            </w:r>
          </w:p>
        </w:tc>
      </w:tr>
      <w:tr w14:paraId="44F70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1301" w:type="dxa"/>
            <w:tcBorders>
              <w:top w:val="single" w:color="auto" w:sz="4" w:space="0"/>
              <w:left w:val="single" w:color="auto" w:sz="4" w:space="0"/>
              <w:bottom w:val="single" w:color="auto" w:sz="4" w:space="0"/>
              <w:right w:val="single" w:color="auto" w:sz="4" w:space="0"/>
            </w:tcBorders>
            <w:vAlign w:val="center"/>
          </w:tcPr>
          <w:p w14:paraId="15BFE76C">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w:t>
            </w:r>
          </w:p>
        </w:tc>
        <w:tc>
          <w:tcPr>
            <w:tcW w:w="2106" w:type="dxa"/>
            <w:tcBorders>
              <w:top w:val="single" w:color="auto" w:sz="4" w:space="0"/>
              <w:left w:val="single" w:color="auto" w:sz="4" w:space="0"/>
              <w:bottom w:val="single" w:color="auto" w:sz="4" w:space="0"/>
              <w:right w:val="single" w:color="auto" w:sz="4" w:space="0"/>
            </w:tcBorders>
            <w:vAlign w:val="center"/>
          </w:tcPr>
          <w:p w14:paraId="3B70AD86">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质量目标</w:t>
            </w:r>
          </w:p>
        </w:tc>
        <w:tc>
          <w:tcPr>
            <w:tcW w:w="5752" w:type="dxa"/>
            <w:tcBorders>
              <w:top w:val="single" w:color="auto" w:sz="4" w:space="0"/>
              <w:left w:val="single" w:color="auto" w:sz="4" w:space="0"/>
              <w:bottom w:val="single" w:color="auto" w:sz="4" w:space="0"/>
              <w:right w:val="single" w:color="auto" w:sz="4" w:space="0"/>
            </w:tcBorders>
            <w:vAlign w:val="center"/>
          </w:tcPr>
          <w:p w14:paraId="38B660C8">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p>
        </w:tc>
      </w:tr>
      <w:tr w14:paraId="52248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1301" w:type="dxa"/>
            <w:tcBorders>
              <w:top w:val="single" w:color="auto" w:sz="4" w:space="0"/>
              <w:left w:val="single" w:color="auto" w:sz="4" w:space="0"/>
              <w:bottom w:val="single" w:color="auto" w:sz="4" w:space="0"/>
              <w:right w:val="single" w:color="auto" w:sz="4" w:space="0"/>
            </w:tcBorders>
            <w:vAlign w:val="center"/>
          </w:tcPr>
          <w:p w14:paraId="5B77DA8F">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2</w:t>
            </w:r>
          </w:p>
        </w:tc>
        <w:tc>
          <w:tcPr>
            <w:tcW w:w="2106" w:type="dxa"/>
            <w:tcBorders>
              <w:top w:val="single" w:color="auto" w:sz="4" w:space="0"/>
              <w:left w:val="single" w:color="auto" w:sz="4" w:space="0"/>
              <w:bottom w:val="single" w:color="auto" w:sz="4" w:space="0"/>
              <w:right w:val="single" w:color="auto" w:sz="4" w:space="0"/>
            </w:tcBorders>
            <w:vAlign w:val="center"/>
          </w:tcPr>
          <w:p w14:paraId="231EC854">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项目负责人</w:t>
            </w:r>
          </w:p>
        </w:tc>
        <w:tc>
          <w:tcPr>
            <w:tcW w:w="5752" w:type="dxa"/>
            <w:tcBorders>
              <w:top w:val="single" w:color="auto" w:sz="4" w:space="0"/>
              <w:left w:val="single" w:color="auto" w:sz="4" w:space="0"/>
              <w:bottom w:val="single" w:color="auto" w:sz="4" w:space="0"/>
              <w:right w:val="single" w:color="auto" w:sz="4" w:space="0"/>
            </w:tcBorders>
            <w:vAlign w:val="center"/>
          </w:tcPr>
          <w:p w14:paraId="532EA4F6">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p>
        </w:tc>
      </w:tr>
      <w:tr w14:paraId="58593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1301" w:type="dxa"/>
            <w:tcBorders>
              <w:top w:val="single" w:color="auto" w:sz="4" w:space="0"/>
              <w:left w:val="single" w:color="auto" w:sz="4" w:space="0"/>
              <w:bottom w:val="single" w:color="auto" w:sz="4" w:space="0"/>
              <w:right w:val="single" w:color="auto" w:sz="4" w:space="0"/>
            </w:tcBorders>
            <w:vAlign w:val="center"/>
          </w:tcPr>
          <w:p w14:paraId="1EEE5398">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3</w:t>
            </w:r>
          </w:p>
        </w:tc>
        <w:tc>
          <w:tcPr>
            <w:tcW w:w="2106" w:type="dxa"/>
            <w:tcBorders>
              <w:top w:val="single" w:color="auto" w:sz="4" w:space="0"/>
              <w:left w:val="single" w:color="auto" w:sz="4" w:space="0"/>
              <w:bottom w:val="single" w:color="auto" w:sz="4" w:space="0"/>
              <w:right w:val="single" w:color="auto" w:sz="4" w:space="0"/>
            </w:tcBorders>
            <w:vAlign w:val="center"/>
          </w:tcPr>
          <w:p w14:paraId="105FC83F">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计划工期</w:t>
            </w:r>
          </w:p>
        </w:tc>
        <w:tc>
          <w:tcPr>
            <w:tcW w:w="5752" w:type="dxa"/>
            <w:tcBorders>
              <w:top w:val="single" w:color="auto" w:sz="4" w:space="0"/>
              <w:left w:val="single" w:color="auto" w:sz="4" w:space="0"/>
              <w:bottom w:val="single" w:color="auto" w:sz="4" w:space="0"/>
              <w:right w:val="single" w:color="auto" w:sz="4" w:space="0"/>
            </w:tcBorders>
            <w:vAlign w:val="center"/>
          </w:tcPr>
          <w:p w14:paraId="09C8C0A5">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lang w:val="zh-CN"/>
                <w14:textFill>
                  <w14:solidFill>
                    <w14:schemeClr w14:val="tx1"/>
                  </w14:solidFill>
                </w14:textFill>
              </w:rPr>
            </w:pPr>
          </w:p>
        </w:tc>
      </w:tr>
      <w:tr w14:paraId="10278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jc w:val="center"/>
        </w:trPr>
        <w:tc>
          <w:tcPr>
            <w:tcW w:w="1301" w:type="dxa"/>
            <w:tcBorders>
              <w:top w:val="single" w:color="auto" w:sz="4" w:space="0"/>
              <w:left w:val="single" w:color="auto" w:sz="4" w:space="0"/>
              <w:bottom w:val="single" w:color="auto" w:sz="4" w:space="0"/>
              <w:right w:val="single" w:color="auto" w:sz="4" w:space="0"/>
            </w:tcBorders>
            <w:vAlign w:val="center"/>
          </w:tcPr>
          <w:p w14:paraId="52BA748A">
            <w:pPr>
              <w:pageBreakBefore w:val="0"/>
              <w:kinsoku/>
              <w:overflowPunct/>
              <w:autoSpaceDE w:val="0"/>
              <w:autoSpaceDN w:val="0"/>
              <w:bidi w:val="0"/>
              <w:spacing w:line="480" w:lineRule="exact"/>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4</w:t>
            </w:r>
          </w:p>
        </w:tc>
        <w:tc>
          <w:tcPr>
            <w:tcW w:w="2106" w:type="dxa"/>
            <w:tcBorders>
              <w:top w:val="single" w:color="auto" w:sz="4" w:space="0"/>
              <w:left w:val="single" w:color="auto" w:sz="4" w:space="0"/>
              <w:bottom w:val="single" w:color="auto" w:sz="4" w:space="0"/>
              <w:right w:val="single" w:color="auto" w:sz="4" w:space="0"/>
            </w:tcBorders>
            <w:vAlign w:val="center"/>
          </w:tcPr>
          <w:p w14:paraId="41721FBA">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投标总价</w:t>
            </w:r>
          </w:p>
        </w:tc>
        <w:tc>
          <w:tcPr>
            <w:tcW w:w="5752" w:type="dxa"/>
            <w:tcBorders>
              <w:top w:val="single" w:color="auto" w:sz="4" w:space="0"/>
              <w:left w:val="single" w:color="auto" w:sz="4" w:space="0"/>
              <w:bottom w:val="single" w:color="auto" w:sz="4" w:space="0"/>
              <w:right w:val="single" w:color="auto" w:sz="4" w:space="0"/>
            </w:tcBorders>
            <w:vAlign w:val="center"/>
          </w:tcPr>
          <w:p w14:paraId="1AEBC8B4">
            <w:pPr>
              <w:pageBreakBefore w:val="0"/>
              <w:kinsoku/>
              <w:overflowPunct/>
              <w:autoSpaceDE w:val="0"/>
              <w:autoSpaceDN w:val="0"/>
              <w:bidi w:val="0"/>
              <w:spacing w:line="480" w:lineRule="exact"/>
              <w:jc w:val="left"/>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大写：</w:t>
            </w:r>
            <w:r>
              <w:rPr>
                <w:rFonts w:hint="eastAsia" w:hAnsi="宋体" w:cs="宋体"/>
                <w:color w:val="000000" w:themeColor="text1"/>
                <w:sz w:val="24"/>
                <w:szCs w:val="24"/>
                <w:highlight w:val="none"/>
                <w:u w:val="single"/>
                <w14:textFill>
                  <w14:solidFill>
                    <w14:schemeClr w14:val="tx1"/>
                  </w14:solidFill>
                </w14:textFill>
              </w:rPr>
              <w:t xml:space="preserve">                               </w:t>
            </w:r>
          </w:p>
          <w:p w14:paraId="7327CF5E">
            <w:pPr>
              <w:pageBreakBefore w:val="0"/>
              <w:kinsoku/>
              <w:overflowPunct/>
              <w:autoSpaceDE w:val="0"/>
              <w:autoSpaceDN w:val="0"/>
              <w:bidi w:val="0"/>
              <w:spacing w:line="480" w:lineRule="exact"/>
              <w:jc w:val="left"/>
              <w:textAlignment w:val="auto"/>
              <w:rPr>
                <w:rFonts w:ascii="宋体" w:hAnsi="宋体" w:cs="宋体"/>
                <w:color w:val="000000" w:themeColor="text1"/>
                <w:sz w:val="24"/>
                <w:szCs w:val="24"/>
                <w:highlight w:val="none"/>
                <w:lang w:val="zh-CN"/>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小写：</w:t>
            </w:r>
            <w:r>
              <w:rPr>
                <w:rFonts w:hint="eastAsia" w:hAnsi="宋体" w:cs="宋体"/>
                <w:color w:val="000000" w:themeColor="text1"/>
                <w:sz w:val="24"/>
                <w:szCs w:val="24"/>
                <w:highlight w:val="none"/>
                <w:u w:val="single"/>
                <w14:textFill>
                  <w14:solidFill>
                    <w14:schemeClr w14:val="tx1"/>
                  </w14:solidFill>
                </w14:textFill>
              </w:rPr>
              <w:t xml:space="preserve">                              </w:t>
            </w:r>
            <w:r>
              <w:rPr>
                <w:rFonts w:hint="eastAsia" w:hAnsi="宋体" w:cs="宋体"/>
                <w:color w:val="000000" w:themeColor="text1"/>
                <w:sz w:val="24"/>
                <w:szCs w:val="24"/>
                <w:highlight w:val="none"/>
                <w14:textFill>
                  <w14:solidFill>
                    <w14:schemeClr w14:val="tx1"/>
                  </w14:solidFill>
                </w14:textFill>
              </w:rPr>
              <w:t>元</w:t>
            </w:r>
          </w:p>
        </w:tc>
      </w:tr>
      <w:tr w14:paraId="76C89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2" w:hRule="atLeast"/>
          <w:jc w:val="center"/>
        </w:trPr>
        <w:tc>
          <w:tcPr>
            <w:tcW w:w="1301" w:type="dxa"/>
            <w:tcBorders>
              <w:top w:val="single" w:color="auto" w:sz="4" w:space="0"/>
              <w:left w:val="single" w:color="auto" w:sz="4" w:space="0"/>
              <w:bottom w:val="single" w:color="auto" w:sz="4" w:space="0"/>
              <w:right w:val="single" w:color="auto" w:sz="4" w:space="0"/>
            </w:tcBorders>
            <w:vAlign w:val="center"/>
          </w:tcPr>
          <w:p w14:paraId="7F670A54">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其他承诺（及答疑）事项：</w:t>
            </w:r>
            <w:r>
              <w:rPr>
                <w:rFonts w:hint="eastAsia" w:ascii="宋体" w:hAnsi="宋体" w:cs="宋体"/>
                <w:color w:val="000000" w:themeColor="text1"/>
                <w:sz w:val="24"/>
                <w:szCs w:val="24"/>
                <w:highlight w:val="none"/>
                <w14:textFill>
                  <w14:solidFill>
                    <w14:schemeClr w14:val="tx1"/>
                  </w14:solidFill>
                </w14:textFill>
              </w:rPr>
              <w:t xml:space="preserve"> </w:t>
            </w:r>
          </w:p>
        </w:tc>
        <w:tc>
          <w:tcPr>
            <w:tcW w:w="7858" w:type="dxa"/>
            <w:gridSpan w:val="2"/>
            <w:tcBorders>
              <w:top w:val="single" w:color="auto" w:sz="4" w:space="0"/>
              <w:left w:val="single" w:color="auto" w:sz="4" w:space="0"/>
              <w:bottom w:val="single" w:color="auto" w:sz="4" w:space="0"/>
              <w:right w:val="single" w:color="auto" w:sz="4" w:space="0"/>
            </w:tcBorders>
            <w:vAlign w:val="center"/>
          </w:tcPr>
          <w:p w14:paraId="4D972193">
            <w:pPr>
              <w:pageBreakBefore w:val="0"/>
              <w:kinsoku/>
              <w:overflowPunct/>
              <w:autoSpaceDE w:val="0"/>
              <w:autoSpaceDN w:val="0"/>
              <w:bidi w:val="0"/>
              <w:spacing w:line="480" w:lineRule="exact"/>
              <w:jc w:val="center"/>
              <w:textAlignment w:val="auto"/>
              <w:rPr>
                <w:rFonts w:hAnsi="宋体" w:cs="宋体"/>
                <w:color w:val="000000" w:themeColor="text1"/>
                <w:sz w:val="24"/>
                <w:szCs w:val="24"/>
                <w:highlight w:val="none"/>
                <w14:textFill>
                  <w14:solidFill>
                    <w14:schemeClr w14:val="tx1"/>
                  </w14:solidFill>
                </w14:textFill>
              </w:rPr>
            </w:pPr>
          </w:p>
        </w:tc>
      </w:tr>
    </w:tbl>
    <w:p w14:paraId="57F11FD7">
      <w:pPr>
        <w:pageBreakBefore w:val="0"/>
        <w:kinsoku/>
        <w:overflowPunct/>
        <w:bidi w:val="0"/>
        <w:spacing w:line="480" w:lineRule="exact"/>
        <w:ind w:firstLine="480" w:firstLineChars="200"/>
        <w:jc w:val="left"/>
        <w:textAlignment w:val="auto"/>
        <w:rPr>
          <w:rFonts w:ascii="宋体" w:hAnsi="宋体" w:cs="宋体"/>
          <w:color w:val="000000" w:themeColor="text1"/>
          <w:sz w:val="24"/>
          <w:szCs w:val="24"/>
          <w:highlight w:val="none"/>
          <w14:textFill>
            <w14:solidFill>
              <w14:schemeClr w14:val="tx1"/>
            </w14:solidFill>
          </w14:textFill>
        </w:rPr>
      </w:pPr>
    </w:p>
    <w:p w14:paraId="42949277">
      <w:pPr>
        <w:pageBreakBefore w:val="0"/>
        <w:kinsoku/>
        <w:overflowPunct/>
        <w:bidi w:val="0"/>
        <w:spacing w:line="480" w:lineRule="exact"/>
        <w:ind w:firstLine="480" w:firstLineChars="200"/>
        <w:jc w:val="left"/>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投标单位（公章）：</w:t>
      </w:r>
    </w:p>
    <w:p w14:paraId="61EFD2D9">
      <w:pPr>
        <w:pStyle w:val="17"/>
        <w:pageBreakBefore w:val="0"/>
        <w:kinsoku/>
        <w:overflowPunct/>
        <w:bidi w:val="0"/>
        <w:spacing w:line="480" w:lineRule="exact"/>
        <w:textAlignment w:val="auto"/>
        <w:rPr>
          <w:color w:val="000000" w:themeColor="text1"/>
          <w:highlight w:val="none"/>
          <w14:textFill>
            <w14:solidFill>
              <w14:schemeClr w14:val="tx1"/>
            </w14:solidFill>
          </w14:textFill>
        </w:rPr>
      </w:pPr>
    </w:p>
    <w:p w14:paraId="1D1274D1">
      <w:pPr>
        <w:pageBreakBefore w:val="0"/>
        <w:kinsoku/>
        <w:overflowPunct/>
        <w:bidi w:val="0"/>
        <w:spacing w:line="480" w:lineRule="exact"/>
        <w:ind w:firstLine="480" w:firstLineChars="200"/>
        <w:jc w:val="left"/>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法定代表人（或授权委托人）签字：</w:t>
      </w:r>
    </w:p>
    <w:p w14:paraId="445943A5">
      <w:pPr>
        <w:pageBreakBefore w:val="0"/>
        <w:kinsoku/>
        <w:overflowPunct/>
        <w:bidi w:val="0"/>
        <w:spacing w:line="480" w:lineRule="exact"/>
        <w:ind w:firstLine="480" w:firstLineChars="200"/>
        <w:jc w:val="right"/>
        <w:textAlignment w:val="auto"/>
        <w:rPr>
          <w:rFonts w:ascii="宋体" w:hAnsi="宋体" w:cs="宋体"/>
          <w:bCs/>
          <w:color w:val="000000" w:themeColor="text1"/>
          <w:kern w:val="44"/>
          <w:sz w:val="24"/>
          <w:szCs w:val="24"/>
          <w:highlight w:val="none"/>
          <w14:textFill>
            <w14:solidFill>
              <w14:schemeClr w14:val="tx1"/>
            </w14:solidFill>
          </w14:textFill>
        </w:rPr>
      </w:pPr>
      <w:r>
        <w:rPr>
          <w:rFonts w:hint="eastAsia" w:ascii="宋体" w:hAnsi="宋体" w:cs="宋体"/>
          <w:bCs/>
          <w:color w:val="000000" w:themeColor="text1"/>
          <w:kern w:val="44"/>
          <w:sz w:val="24"/>
          <w:szCs w:val="24"/>
          <w:highlight w:val="none"/>
          <w14:textFill>
            <w14:solidFill>
              <w14:schemeClr w14:val="tx1"/>
            </w14:solidFill>
          </w14:textFill>
        </w:rPr>
        <w:t>年  月  日</w:t>
      </w:r>
    </w:p>
    <w:p w14:paraId="6B884426">
      <w:pPr>
        <w:pageBreakBefore w:val="0"/>
        <w:kinsoku/>
        <w:overflowPunct/>
        <w:bidi w:val="0"/>
        <w:spacing w:line="480" w:lineRule="exact"/>
        <w:textAlignment w:val="auto"/>
        <w:rPr>
          <w:rFonts w:ascii="宋体" w:hAnsi="宋体"/>
          <w:b/>
          <w:bCs/>
          <w:color w:val="000000" w:themeColor="text1"/>
          <w:sz w:val="24"/>
          <w:szCs w:val="22"/>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1、上述报价为提供本次</w:t>
      </w:r>
      <w:r>
        <w:rPr>
          <w:rFonts w:hint="eastAsia" w:ascii="宋体" w:hAnsi="宋体"/>
          <w:b/>
          <w:bCs/>
          <w:color w:val="000000" w:themeColor="text1"/>
          <w:sz w:val="24"/>
          <w:highlight w:val="none"/>
          <w:lang w:val="en-US" w:eastAsia="zh-CN"/>
          <w14:textFill>
            <w14:solidFill>
              <w14:schemeClr w14:val="tx1"/>
            </w14:solidFill>
          </w14:textFill>
        </w:rPr>
        <w:t>招标</w:t>
      </w:r>
      <w:r>
        <w:rPr>
          <w:rFonts w:hint="eastAsia" w:ascii="宋体" w:hAnsi="宋体"/>
          <w:b/>
          <w:bCs/>
          <w:color w:val="000000" w:themeColor="text1"/>
          <w:sz w:val="24"/>
          <w:szCs w:val="22"/>
          <w:highlight w:val="none"/>
          <w14:textFill>
            <w14:solidFill>
              <w14:schemeClr w14:val="tx1"/>
            </w14:solidFill>
          </w14:textFill>
        </w:rPr>
        <w:t>项目所有内容的总价格</w:t>
      </w:r>
      <w:r>
        <w:rPr>
          <w:rFonts w:hint="eastAsia" w:ascii="宋体" w:hAnsi="宋体" w:cs="宋体"/>
          <w:b/>
          <w:bCs/>
          <w:color w:val="000000" w:themeColor="text1"/>
          <w:kern w:val="44"/>
          <w:sz w:val="24"/>
          <w:szCs w:val="24"/>
          <w:highlight w:val="none"/>
          <w14:textFill>
            <w14:solidFill>
              <w14:schemeClr w14:val="tx1"/>
            </w14:solidFill>
          </w14:textFill>
        </w:rPr>
        <w:t>（含税金、运费、配合验收和后续服务费等的全部费用）</w:t>
      </w:r>
      <w:r>
        <w:rPr>
          <w:rFonts w:hint="eastAsia" w:ascii="宋体" w:hAnsi="宋体"/>
          <w:b/>
          <w:bCs/>
          <w:color w:val="000000" w:themeColor="text1"/>
          <w:sz w:val="24"/>
          <w:szCs w:val="22"/>
          <w:highlight w:val="none"/>
          <w14:textFill>
            <w14:solidFill>
              <w14:schemeClr w14:val="tx1"/>
            </w14:solidFill>
          </w14:textFill>
        </w:rPr>
        <w:t>；</w:t>
      </w:r>
    </w:p>
    <w:p w14:paraId="66FD55A2">
      <w:pPr>
        <w:pageBreakBefore w:val="0"/>
        <w:kinsoku/>
        <w:overflowPunct/>
        <w:bidi w:val="0"/>
        <w:spacing w:line="480" w:lineRule="exact"/>
        <w:textAlignment w:val="auto"/>
        <w:rPr>
          <w:rFonts w:hint="eastAsia" w:ascii="宋体" w:hAnsi="宋体" w:eastAsia="宋体" w:cs="Times New Roman"/>
          <w:b/>
          <w:bCs/>
          <w:color w:val="000000" w:themeColor="text1"/>
          <w:sz w:val="24"/>
          <w:szCs w:val="22"/>
          <w:highlight w:val="none"/>
          <w:lang w:eastAsia="zh-CN"/>
          <w14:textFill>
            <w14:solidFill>
              <w14:schemeClr w14:val="tx1"/>
            </w14:solidFill>
          </w14:textFill>
        </w:rPr>
      </w:pPr>
      <w:r>
        <w:rPr>
          <w:rFonts w:hint="eastAsia" w:ascii="宋体" w:hAnsi="宋体"/>
          <w:b/>
          <w:bCs/>
          <w:color w:val="000000" w:themeColor="text1"/>
          <w:sz w:val="24"/>
          <w:szCs w:val="22"/>
          <w:highlight w:val="none"/>
          <w14:textFill>
            <w14:solidFill>
              <w14:schemeClr w14:val="tx1"/>
            </w14:solidFill>
          </w14:textFill>
        </w:rPr>
        <w:t>2、</w:t>
      </w:r>
      <w:r>
        <w:rPr>
          <w:rFonts w:hint="eastAsia" w:ascii="宋体" w:hAnsi="宋体"/>
          <w:b/>
          <w:bCs/>
          <w:color w:val="000000" w:themeColor="text1"/>
          <w:sz w:val="24"/>
          <w:szCs w:val="22"/>
          <w:highlight w:val="none"/>
          <w:lang w:eastAsia="zh-CN"/>
          <w14:textFill>
            <w14:solidFill>
              <w14:schemeClr w14:val="tx1"/>
            </w14:solidFill>
          </w14:textFill>
        </w:rPr>
        <w:t>现场在线开启二次报价，各潜在投标单位在线进行二轮报价，并上传加盖</w:t>
      </w:r>
      <w:r>
        <w:rPr>
          <w:rFonts w:hint="eastAsia" w:ascii="宋体" w:hAnsi="宋体" w:eastAsia="宋体" w:cs="Times New Roman"/>
          <w:b/>
          <w:bCs/>
          <w:color w:val="000000" w:themeColor="text1"/>
          <w:sz w:val="24"/>
          <w:szCs w:val="22"/>
          <w:highlight w:val="none"/>
          <w:lang w:eastAsia="zh-CN"/>
          <w14:textFill>
            <w14:solidFill>
              <w14:schemeClr w14:val="tx1"/>
            </w14:solidFill>
          </w14:textFill>
        </w:rPr>
        <w:t>公章的磋商响应二次报价表。</w:t>
      </w:r>
    </w:p>
    <w:p w14:paraId="0686ABE3">
      <w:pPr>
        <w:pageBreakBefore w:val="0"/>
        <w:kinsoku/>
        <w:overflowPunct/>
        <w:bidi w:val="0"/>
        <w:spacing w:line="480" w:lineRule="exact"/>
        <w:ind w:firstLine="480" w:firstLineChars="200"/>
        <w:jc w:val="left"/>
        <w:textAlignment w:val="auto"/>
        <w:rPr>
          <w:rFonts w:hint="eastAsia" w:ascii="宋体" w:hAnsi="宋体" w:cs="宋体"/>
          <w:color w:val="000000" w:themeColor="text1"/>
          <w:sz w:val="24"/>
          <w:szCs w:val="24"/>
          <w:highlight w:val="none"/>
          <w14:textFill>
            <w14:solidFill>
              <w14:schemeClr w14:val="tx1"/>
            </w14:solidFill>
          </w14:textFill>
        </w:rPr>
      </w:pPr>
    </w:p>
    <w:sectPr>
      <w:footerReference r:id="rId6" w:type="first"/>
      <w:footerReference r:id="rId5" w:type="default"/>
      <w:pgSz w:w="11907" w:h="16840"/>
      <w:pgMar w:top="1440" w:right="1080" w:bottom="1440" w:left="1080" w:header="851" w:footer="0" w:gutter="0"/>
      <w:pgBorders>
        <w:top w:val="none" w:sz="0" w:space="0"/>
        <w:left w:val="none" w:sz="0" w:space="0"/>
        <w:bottom w:val="none" w:sz="0" w:space="0"/>
        <w:right w:val="none" w:sz="0" w:space="0"/>
      </w:pgBorders>
      <w:pgNumType w:fmt="decimal" w:start="1"/>
      <w:cols w:space="720" w:num="1"/>
      <w:docGrid w:type="lines" w:linePitch="40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roman"/>
    <w:pitch w:val="default"/>
    <w:sig w:usb0="00000000" w:usb1="00000000" w:usb2="0000003F" w:usb3="00000000" w:csb0="603F01FF" w:csb1="FFFF0000"/>
  </w:font>
  <w:font w:name="楷体_GB2312">
    <w:altName w:val="楷体"/>
    <w:panose1 w:val="02010609030000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opperplate Gothic Bold">
    <w:altName w:val="Segoe Print"/>
    <w:panose1 w:val="020E0705020206020404"/>
    <w:charset w:val="00"/>
    <w:family w:val="swiss"/>
    <w:pitch w:val="default"/>
    <w:sig w:usb0="00000000" w:usb1="00000000" w:usb2="00000000" w:usb3="00000000" w:csb0="20000001" w:csb1="00000000"/>
  </w:font>
  <w:font w:name="Segoe Print">
    <w:panose1 w:val="02000600000000000000"/>
    <w:charset w:val="00"/>
    <w:family w:val="auto"/>
    <w:pitch w:val="default"/>
    <w:sig w:usb0="0000028F" w:usb1="00000000" w:usb2="00000000" w:usb3="00000000" w:csb0="2000009F" w:csb1="47010000"/>
  </w:font>
  <w:font w:name="monospace">
    <w:altName w:val="Segoe Print"/>
    <w:panose1 w:val="00000000000000000000"/>
    <w:charset w:val="00"/>
    <w:family w:val="auto"/>
    <w:pitch w:val="default"/>
    <w:sig w:usb0="00000000" w:usb1="00000000" w:usb2="00000000" w:usb3="00000000" w:csb0="00000000" w:csb1="00000000"/>
  </w:font>
  <w:font w:name="新宋体">
    <w:panose1 w:val="02010609030101010101"/>
    <w:charset w:val="86"/>
    <w:family w:val="modern"/>
    <w:pitch w:val="default"/>
    <w:sig w:usb0="00000203" w:usb1="288F0000" w:usb2="00000006" w:usb3="00000000" w:csb0="00040001"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000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8A9048">
    <w:pPr>
      <w:pStyle w:val="13"/>
      <w:ind w:right="360"/>
      <w:jc w:val="both"/>
    </w:pPr>
    <w:r>
      <w:rPr>
        <w:lang w:val="zh-CN"/>
      </w:rPr>
      <w:t xml:space="preserve">  </w:t>
    </w:r>
  </w:p>
  <w:p w14:paraId="271F5515">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CB8810">
    <w:pPr>
      <w:pStyle w:val="13"/>
      <w:ind w:right="360"/>
      <w:jc w:val="both"/>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4E5594">
                          <w:pPr>
                            <w:pStyle w:val="1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94E5594">
                    <w:pPr>
                      <w:pStyle w:val="13"/>
                    </w:pPr>
                    <w:r>
                      <w:fldChar w:fldCharType="begin"/>
                    </w:r>
                    <w:r>
                      <w:instrText xml:space="preserve"> PAGE  \* MERGEFORMAT </w:instrText>
                    </w:r>
                    <w:r>
                      <w:fldChar w:fldCharType="separate"/>
                    </w:r>
                    <w:r>
                      <w:t>1</w:t>
                    </w:r>
                    <w:r>
                      <w:fldChar w:fldCharType="end"/>
                    </w:r>
                  </w:p>
                </w:txbxContent>
              </v:textbox>
            </v:shape>
          </w:pict>
        </mc:Fallback>
      </mc:AlternateContent>
    </w:r>
    <w:r>
      <w:rPr>
        <w:lang w:val="zh-CN"/>
      </w:rPr>
      <w:t xml:space="preserve">  </w:t>
    </w:r>
  </w:p>
  <w:p w14:paraId="639B52D6">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0102F4">
    <w:pPr>
      <w:pStyle w:val="1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4B1738">
                          <w:pPr>
                            <w:pStyle w:val="1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D4B1738">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A932F7">
    <w:pPr>
      <w:pStyle w:val="14"/>
      <w:pBdr>
        <w:bottom w:val="none" w:color="auto" w:sz="0" w:space="1"/>
      </w:pBdr>
      <w:rPr>
        <w:sz w:val="21"/>
      </w:rPr>
    </w:pPr>
    <w:r>
      <w:rPr>
        <w:rFonts w:hint="eastAsia"/>
        <w:sz w:val="21"/>
        <w:szCs w:val="22"/>
      </w:rPr>
      <w:t xml:space="preserve">    </w:t>
    </w:r>
    <w:r>
      <w:rPr>
        <w:rFonts w:hint="eastAsia"/>
        <w:sz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D413F3"/>
    <w:multiLevelType w:val="singleLevel"/>
    <w:tmpl w:val="87D413F3"/>
    <w:lvl w:ilvl="0" w:tentative="0">
      <w:start w:val="1"/>
      <w:numFmt w:val="decimal"/>
      <w:suff w:val="nothing"/>
      <w:lvlText w:val="%1、"/>
      <w:lvlJc w:val="left"/>
    </w:lvl>
  </w:abstractNum>
  <w:abstractNum w:abstractNumId="1">
    <w:nsid w:val="9DE10300"/>
    <w:multiLevelType w:val="singleLevel"/>
    <w:tmpl w:val="9DE10300"/>
    <w:lvl w:ilvl="0" w:tentative="0">
      <w:start w:val="1"/>
      <w:numFmt w:val="chineseCounting"/>
      <w:suff w:val="space"/>
      <w:lvlText w:val="第%1部分"/>
      <w:lvlJc w:val="left"/>
      <w:rPr>
        <w:rFonts w:hint="eastAsia"/>
      </w:rPr>
    </w:lvl>
  </w:abstractNum>
  <w:abstractNum w:abstractNumId="2">
    <w:nsid w:val="CE7B96AE"/>
    <w:multiLevelType w:val="singleLevel"/>
    <w:tmpl w:val="CE7B96AE"/>
    <w:lvl w:ilvl="0" w:tentative="0">
      <w:start w:val="1"/>
      <w:numFmt w:val="decimal"/>
      <w:suff w:val="nothing"/>
      <w:lvlText w:val="%1、"/>
      <w:lvlJc w:val="left"/>
    </w:lvl>
  </w:abstractNum>
  <w:abstractNum w:abstractNumId="3">
    <w:nsid w:val="F486CED9"/>
    <w:multiLevelType w:val="singleLevel"/>
    <w:tmpl w:val="F486CED9"/>
    <w:lvl w:ilvl="0" w:tentative="0">
      <w:start w:val="1"/>
      <w:numFmt w:val="decimal"/>
      <w:suff w:val="nothing"/>
      <w:lvlText w:val="%1、"/>
      <w:lvlJc w:val="left"/>
    </w:lvl>
  </w:abstractNum>
  <w:abstractNum w:abstractNumId="4">
    <w:nsid w:val="00000000"/>
    <w:multiLevelType w:val="singleLevel"/>
    <w:tmpl w:val="00000000"/>
    <w:lvl w:ilvl="0" w:tentative="0">
      <w:start w:val="1"/>
      <w:numFmt w:val="decimal"/>
      <w:suff w:val="space"/>
      <w:lvlText w:val="%1."/>
      <w:lvlJc w:val="left"/>
    </w:lvl>
  </w:abstractNum>
  <w:abstractNum w:abstractNumId="5">
    <w:nsid w:val="00000001"/>
    <w:multiLevelType w:val="multilevel"/>
    <w:tmpl w:val="00000001"/>
    <w:lvl w:ilvl="0" w:tentative="0">
      <w:start w:val="1"/>
      <w:numFmt w:val="upperLetter"/>
      <w:pStyle w:val="3"/>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0000002"/>
    <w:multiLevelType w:val="singleLevel"/>
    <w:tmpl w:val="00000002"/>
    <w:lvl w:ilvl="0" w:tentative="0">
      <w:start w:val="9"/>
      <w:numFmt w:val="decimal"/>
      <w:suff w:val="space"/>
      <w:lvlText w:val="%1."/>
      <w:lvlJc w:val="left"/>
    </w:lvl>
  </w:abstractNum>
  <w:abstractNum w:abstractNumId="7">
    <w:nsid w:val="00000003"/>
    <w:multiLevelType w:val="multilevel"/>
    <w:tmpl w:val="00000003"/>
    <w:lvl w:ilvl="0" w:tentative="0">
      <w:start w:val="1"/>
      <w:numFmt w:val="decimal"/>
      <w:lvlText w:val="%1"/>
      <w:lvlJc w:val="left"/>
      <w:pPr>
        <w:tabs>
          <w:tab w:val="left" w:pos="360"/>
        </w:tabs>
        <w:ind w:left="360" w:hanging="360"/>
      </w:pPr>
      <w:rPr>
        <w:rFonts w:hint="default"/>
      </w:rPr>
    </w:lvl>
    <w:lvl w:ilvl="1" w:tentative="0">
      <w:start w:val="1"/>
      <w:numFmt w:val="decimal"/>
      <w:lvlText w:val="%1.%2"/>
      <w:lvlJc w:val="left"/>
      <w:pPr>
        <w:tabs>
          <w:tab w:val="left" w:pos="360"/>
        </w:tabs>
        <w:ind w:left="360" w:hanging="36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8">
    <w:nsid w:val="00000004"/>
    <w:multiLevelType w:val="singleLevel"/>
    <w:tmpl w:val="00000004"/>
    <w:lvl w:ilvl="0" w:tentative="0">
      <w:start w:val="20"/>
      <w:numFmt w:val="decimal"/>
      <w:suff w:val="space"/>
      <w:lvlText w:val="%1."/>
      <w:lvlJc w:val="left"/>
    </w:lvl>
  </w:abstractNum>
  <w:abstractNum w:abstractNumId="9">
    <w:nsid w:val="215C7741"/>
    <w:multiLevelType w:val="singleLevel"/>
    <w:tmpl w:val="215C7741"/>
    <w:lvl w:ilvl="0" w:tentative="0">
      <w:start w:val="1"/>
      <w:numFmt w:val="decimal"/>
      <w:suff w:val="nothing"/>
      <w:lvlText w:val="%1、"/>
      <w:lvlJc w:val="left"/>
    </w:lvl>
  </w:abstractNum>
  <w:abstractNum w:abstractNumId="10">
    <w:nsid w:val="33CBA460"/>
    <w:multiLevelType w:val="singleLevel"/>
    <w:tmpl w:val="33CBA460"/>
    <w:lvl w:ilvl="0" w:tentative="0">
      <w:start w:val="1"/>
      <w:numFmt w:val="decimal"/>
      <w:suff w:val="nothing"/>
      <w:lvlText w:val="%1、"/>
      <w:lvlJc w:val="left"/>
    </w:lvl>
  </w:abstractNum>
  <w:abstractNum w:abstractNumId="11">
    <w:nsid w:val="3AF5ADC7"/>
    <w:multiLevelType w:val="singleLevel"/>
    <w:tmpl w:val="3AF5ADC7"/>
    <w:lvl w:ilvl="0" w:tentative="0">
      <w:start w:val="1"/>
      <w:numFmt w:val="decimal"/>
      <w:suff w:val="nothing"/>
      <w:lvlText w:val="%1、"/>
      <w:lvlJc w:val="left"/>
    </w:lvl>
  </w:abstractNum>
  <w:abstractNum w:abstractNumId="12">
    <w:nsid w:val="3B96F8FF"/>
    <w:multiLevelType w:val="singleLevel"/>
    <w:tmpl w:val="3B96F8FF"/>
    <w:lvl w:ilvl="0" w:tentative="0">
      <w:start w:val="1"/>
      <w:numFmt w:val="decimal"/>
      <w:suff w:val="nothing"/>
      <w:lvlText w:val="%1、"/>
      <w:lvlJc w:val="left"/>
    </w:lvl>
  </w:abstractNum>
  <w:abstractNum w:abstractNumId="13">
    <w:nsid w:val="4220CED6"/>
    <w:multiLevelType w:val="singleLevel"/>
    <w:tmpl w:val="4220CED6"/>
    <w:lvl w:ilvl="0" w:tentative="0">
      <w:start w:val="1"/>
      <w:numFmt w:val="decimal"/>
      <w:suff w:val="nothing"/>
      <w:lvlText w:val="%1、"/>
      <w:lvlJc w:val="left"/>
    </w:lvl>
  </w:abstractNum>
  <w:num w:numId="1">
    <w:abstractNumId w:val="5"/>
  </w:num>
  <w:num w:numId="2">
    <w:abstractNumId w:val="1"/>
  </w:num>
  <w:num w:numId="3">
    <w:abstractNumId w:val="13"/>
  </w:num>
  <w:num w:numId="4">
    <w:abstractNumId w:val="4"/>
  </w:num>
  <w:num w:numId="5">
    <w:abstractNumId w:val="7"/>
  </w:num>
  <w:num w:numId="6">
    <w:abstractNumId w:val="6"/>
  </w:num>
  <w:num w:numId="7">
    <w:abstractNumId w:val="8"/>
  </w:num>
  <w:num w:numId="8">
    <w:abstractNumId w:val="2"/>
  </w:num>
  <w:num w:numId="9">
    <w:abstractNumId w:val="11"/>
  </w:num>
  <w:num w:numId="10">
    <w:abstractNumId w:val="12"/>
  </w:num>
  <w:num w:numId="11">
    <w:abstractNumId w:val="9"/>
  </w:num>
  <w:num w:numId="12">
    <w:abstractNumId w:val="10"/>
  </w:num>
  <w:num w:numId="13">
    <w:abstractNumId w:val="0"/>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I3ODVmZWIyY2Y5YTlkYjRhYThhNjk2MGUyMjk5NGIifQ=="/>
    <w:docVar w:name="KSO_WPS_MARK_KEY" w:val="91c4f659-b723-4107-84c4-8f8dcd32d148"/>
  </w:docVars>
  <w:rsids>
    <w:rsidRoot w:val="00000000"/>
    <w:rsid w:val="00164C26"/>
    <w:rsid w:val="00366766"/>
    <w:rsid w:val="004E0863"/>
    <w:rsid w:val="0066795B"/>
    <w:rsid w:val="007958E0"/>
    <w:rsid w:val="009E5347"/>
    <w:rsid w:val="00AD737B"/>
    <w:rsid w:val="00B5082F"/>
    <w:rsid w:val="00F46D15"/>
    <w:rsid w:val="00F96DAA"/>
    <w:rsid w:val="01017684"/>
    <w:rsid w:val="01057174"/>
    <w:rsid w:val="01253372"/>
    <w:rsid w:val="015C48BA"/>
    <w:rsid w:val="01707F74"/>
    <w:rsid w:val="01730582"/>
    <w:rsid w:val="017460A8"/>
    <w:rsid w:val="01771980"/>
    <w:rsid w:val="01817010"/>
    <w:rsid w:val="0183453D"/>
    <w:rsid w:val="01875268"/>
    <w:rsid w:val="018A58CB"/>
    <w:rsid w:val="018A7679"/>
    <w:rsid w:val="018D0F17"/>
    <w:rsid w:val="018F6A3E"/>
    <w:rsid w:val="01A4698D"/>
    <w:rsid w:val="01A56261"/>
    <w:rsid w:val="01A70CBC"/>
    <w:rsid w:val="01C100F8"/>
    <w:rsid w:val="01E46D89"/>
    <w:rsid w:val="01FF1E15"/>
    <w:rsid w:val="021245BA"/>
    <w:rsid w:val="021A6C4F"/>
    <w:rsid w:val="02297737"/>
    <w:rsid w:val="027D0F8C"/>
    <w:rsid w:val="029415CA"/>
    <w:rsid w:val="02963DFC"/>
    <w:rsid w:val="02C646E1"/>
    <w:rsid w:val="02CB1CF7"/>
    <w:rsid w:val="02E8741C"/>
    <w:rsid w:val="02F4323F"/>
    <w:rsid w:val="02F503E5"/>
    <w:rsid w:val="0301396B"/>
    <w:rsid w:val="030F6088"/>
    <w:rsid w:val="031511C4"/>
    <w:rsid w:val="03200295"/>
    <w:rsid w:val="03217B69"/>
    <w:rsid w:val="033755DF"/>
    <w:rsid w:val="035B12CD"/>
    <w:rsid w:val="035E0DBD"/>
    <w:rsid w:val="03667C72"/>
    <w:rsid w:val="037428DE"/>
    <w:rsid w:val="03884483"/>
    <w:rsid w:val="038B1487"/>
    <w:rsid w:val="038D3451"/>
    <w:rsid w:val="03B10EED"/>
    <w:rsid w:val="03BE185C"/>
    <w:rsid w:val="03C76963"/>
    <w:rsid w:val="03E5503B"/>
    <w:rsid w:val="041156E7"/>
    <w:rsid w:val="04163446"/>
    <w:rsid w:val="042E0790"/>
    <w:rsid w:val="04335DA6"/>
    <w:rsid w:val="045C354F"/>
    <w:rsid w:val="04AC7907"/>
    <w:rsid w:val="04EF43C3"/>
    <w:rsid w:val="04F33EFA"/>
    <w:rsid w:val="050B6D23"/>
    <w:rsid w:val="050D4849"/>
    <w:rsid w:val="053E4A03"/>
    <w:rsid w:val="05502DA5"/>
    <w:rsid w:val="05526700"/>
    <w:rsid w:val="05663F59"/>
    <w:rsid w:val="05760640"/>
    <w:rsid w:val="05A14F91"/>
    <w:rsid w:val="05B9677F"/>
    <w:rsid w:val="05D37841"/>
    <w:rsid w:val="05D709B3"/>
    <w:rsid w:val="05E05ABA"/>
    <w:rsid w:val="05E7509A"/>
    <w:rsid w:val="067C75A5"/>
    <w:rsid w:val="06B61737"/>
    <w:rsid w:val="06E04895"/>
    <w:rsid w:val="070954E4"/>
    <w:rsid w:val="07106873"/>
    <w:rsid w:val="073267E9"/>
    <w:rsid w:val="073E518E"/>
    <w:rsid w:val="07414C7E"/>
    <w:rsid w:val="076D693E"/>
    <w:rsid w:val="076F2A8A"/>
    <w:rsid w:val="07B73C74"/>
    <w:rsid w:val="07C82CA9"/>
    <w:rsid w:val="07FE491D"/>
    <w:rsid w:val="08204893"/>
    <w:rsid w:val="08240CF2"/>
    <w:rsid w:val="082E5202"/>
    <w:rsid w:val="084C38DA"/>
    <w:rsid w:val="084C7436"/>
    <w:rsid w:val="085766D0"/>
    <w:rsid w:val="08580653"/>
    <w:rsid w:val="08591B53"/>
    <w:rsid w:val="085B3D83"/>
    <w:rsid w:val="08BB45BC"/>
    <w:rsid w:val="08D00067"/>
    <w:rsid w:val="092263E9"/>
    <w:rsid w:val="093E3544"/>
    <w:rsid w:val="09507BBF"/>
    <w:rsid w:val="096D58B6"/>
    <w:rsid w:val="097F55EA"/>
    <w:rsid w:val="09BE4364"/>
    <w:rsid w:val="09C54E02"/>
    <w:rsid w:val="09E95BCC"/>
    <w:rsid w:val="09ED544C"/>
    <w:rsid w:val="09FB1114"/>
    <w:rsid w:val="09FC4E8C"/>
    <w:rsid w:val="0A2C37A9"/>
    <w:rsid w:val="0A2F0DBE"/>
    <w:rsid w:val="0A470509"/>
    <w:rsid w:val="0A4725AB"/>
    <w:rsid w:val="0A4F76B2"/>
    <w:rsid w:val="0A5D661E"/>
    <w:rsid w:val="0AB15C77"/>
    <w:rsid w:val="0AB37C41"/>
    <w:rsid w:val="0AB85257"/>
    <w:rsid w:val="0ABC321E"/>
    <w:rsid w:val="0AE55920"/>
    <w:rsid w:val="0AEA2F37"/>
    <w:rsid w:val="0AF142C5"/>
    <w:rsid w:val="0AFA7E6B"/>
    <w:rsid w:val="0AFD2C6A"/>
    <w:rsid w:val="0B2352E2"/>
    <w:rsid w:val="0B4C599F"/>
    <w:rsid w:val="0B4F3D8E"/>
    <w:rsid w:val="0B7B3E64"/>
    <w:rsid w:val="0BC419DA"/>
    <w:rsid w:val="0BD22349"/>
    <w:rsid w:val="0BDE2A9B"/>
    <w:rsid w:val="0BF26547"/>
    <w:rsid w:val="0BFC1173"/>
    <w:rsid w:val="0C030754"/>
    <w:rsid w:val="0C0B7609"/>
    <w:rsid w:val="0C3B7EEE"/>
    <w:rsid w:val="0C907281"/>
    <w:rsid w:val="0CD24F16"/>
    <w:rsid w:val="0CFB767D"/>
    <w:rsid w:val="0D240717"/>
    <w:rsid w:val="0D4252AC"/>
    <w:rsid w:val="0D6945E7"/>
    <w:rsid w:val="0D701E19"/>
    <w:rsid w:val="0D887163"/>
    <w:rsid w:val="0D906017"/>
    <w:rsid w:val="0D975D53"/>
    <w:rsid w:val="0DD979BE"/>
    <w:rsid w:val="0DDF0D4D"/>
    <w:rsid w:val="0DE46363"/>
    <w:rsid w:val="0DEF1F9A"/>
    <w:rsid w:val="0E0425AE"/>
    <w:rsid w:val="0E0F33E0"/>
    <w:rsid w:val="0E2F75DE"/>
    <w:rsid w:val="0E391D0F"/>
    <w:rsid w:val="0E417312"/>
    <w:rsid w:val="0E440BB0"/>
    <w:rsid w:val="0E8D2557"/>
    <w:rsid w:val="0E917E82"/>
    <w:rsid w:val="0E927B6D"/>
    <w:rsid w:val="0E99714E"/>
    <w:rsid w:val="0EAA7A7D"/>
    <w:rsid w:val="0EB16245"/>
    <w:rsid w:val="0EE06B2A"/>
    <w:rsid w:val="0EF35E5E"/>
    <w:rsid w:val="0F022F45"/>
    <w:rsid w:val="0F135152"/>
    <w:rsid w:val="0F1B7B63"/>
    <w:rsid w:val="0F1F3AF7"/>
    <w:rsid w:val="0F291812"/>
    <w:rsid w:val="0F2A5FF8"/>
    <w:rsid w:val="0F386966"/>
    <w:rsid w:val="0F39623B"/>
    <w:rsid w:val="0F422CCF"/>
    <w:rsid w:val="0F587009"/>
    <w:rsid w:val="0F7200CA"/>
    <w:rsid w:val="0F7D25CB"/>
    <w:rsid w:val="0F916077"/>
    <w:rsid w:val="0F987A27"/>
    <w:rsid w:val="0FAE6C29"/>
    <w:rsid w:val="0FB32491"/>
    <w:rsid w:val="10141182"/>
    <w:rsid w:val="104F7F92"/>
    <w:rsid w:val="10525806"/>
    <w:rsid w:val="10797237"/>
    <w:rsid w:val="109549F2"/>
    <w:rsid w:val="10B71B0D"/>
    <w:rsid w:val="10C61728"/>
    <w:rsid w:val="10D80401"/>
    <w:rsid w:val="10F13271"/>
    <w:rsid w:val="10F60887"/>
    <w:rsid w:val="11286567"/>
    <w:rsid w:val="11292A0B"/>
    <w:rsid w:val="114C66F9"/>
    <w:rsid w:val="11612347"/>
    <w:rsid w:val="116D7DF6"/>
    <w:rsid w:val="116F4196"/>
    <w:rsid w:val="11867E5D"/>
    <w:rsid w:val="118C4CA8"/>
    <w:rsid w:val="11960DCC"/>
    <w:rsid w:val="11BA3663"/>
    <w:rsid w:val="11C73FD2"/>
    <w:rsid w:val="11D748AD"/>
    <w:rsid w:val="11E04312"/>
    <w:rsid w:val="11E64458"/>
    <w:rsid w:val="12072620"/>
    <w:rsid w:val="121E0096"/>
    <w:rsid w:val="12307DC9"/>
    <w:rsid w:val="12333415"/>
    <w:rsid w:val="124D2729"/>
    <w:rsid w:val="125B6712"/>
    <w:rsid w:val="12771554"/>
    <w:rsid w:val="128123D2"/>
    <w:rsid w:val="128D0D77"/>
    <w:rsid w:val="129465AA"/>
    <w:rsid w:val="12D93FBD"/>
    <w:rsid w:val="12DA41BD"/>
    <w:rsid w:val="12FE1C75"/>
    <w:rsid w:val="130D3C66"/>
    <w:rsid w:val="13441D7E"/>
    <w:rsid w:val="13490D78"/>
    <w:rsid w:val="134D2D02"/>
    <w:rsid w:val="136E3D0D"/>
    <w:rsid w:val="13785584"/>
    <w:rsid w:val="13B660AC"/>
    <w:rsid w:val="13C24A51"/>
    <w:rsid w:val="13ED41C3"/>
    <w:rsid w:val="13F53078"/>
    <w:rsid w:val="14011A1D"/>
    <w:rsid w:val="14025795"/>
    <w:rsid w:val="140C5C8F"/>
    <w:rsid w:val="14134516"/>
    <w:rsid w:val="141352AC"/>
    <w:rsid w:val="141F00F5"/>
    <w:rsid w:val="14231504"/>
    <w:rsid w:val="143040B0"/>
    <w:rsid w:val="14353475"/>
    <w:rsid w:val="14376F98"/>
    <w:rsid w:val="144933C4"/>
    <w:rsid w:val="148D1503"/>
    <w:rsid w:val="14904B4F"/>
    <w:rsid w:val="14944FD5"/>
    <w:rsid w:val="14997EA7"/>
    <w:rsid w:val="149A59CD"/>
    <w:rsid w:val="14AA3E63"/>
    <w:rsid w:val="14B14B56"/>
    <w:rsid w:val="14BB6070"/>
    <w:rsid w:val="14C111AC"/>
    <w:rsid w:val="14C60571"/>
    <w:rsid w:val="14D7452C"/>
    <w:rsid w:val="14F74BCE"/>
    <w:rsid w:val="14FC4BCD"/>
    <w:rsid w:val="14FD0846"/>
    <w:rsid w:val="15632263"/>
    <w:rsid w:val="1594066F"/>
    <w:rsid w:val="15AA4C49"/>
    <w:rsid w:val="15BD1974"/>
    <w:rsid w:val="15C90318"/>
    <w:rsid w:val="15E458B3"/>
    <w:rsid w:val="160F7CF5"/>
    <w:rsid w:val="161378D0"/>
    <w:rsid w:val="163634D4"/>
    <w:rsid w:val="16557DFE"/>
    <w:rsid w:val="165731CD"/>
    <w:rsid w:val="1666025D"/>
    <w:rsid w:val="166B13D0"/>
    <w:rsid w:val="168B7CC4"/>
    <w:rsid w:val="16985F3D"/>
    <w:rsid w:val="16A62408"/>
    <w:rsid w:val="16B014D8"/>
    <w:rsid w:val="16BE34F8"/>
    <w:rsid w:val="16DB47A7"/>
    <w:rsid w:val="16E86EC4"/>
    <w:rsid w:val="16F07B27"/>
    <w:rsid w:val="16F2389F"/>
    <w:rsid w:val="17084E70"/>
    <w:rsid w:val="170C6032"/>
    <w:rsid w:val="171E28E6"/>
    <w:rsid w:val="17410382"/>
    <w:rsid w:val="17613699"/>
    <w:rsid w:val="17807A33"/>
    <w:rsid w:val="17872239"/>
    <w:rsid w:val="179C3ED6"/>
    <w:rsid w:val="17AA23CB"/>
    <w:rsid w:val="17C074F9"/>
    <w:rsid w:val="17C70888"/>
    <w:rsid w:val="17DF606D"/>
    <w:rsid w:val="17E20CD1"/>
    <w:rsid w:val="17E94D8E"/>
    <w:rsid w:val="17EE4066"/>
    <w:rsid w:val="17F13B56"/>
    <w:rsid w:val="180853EA"/>
    <w:rsid w:val="185A5BA0"/>
    <w:rsid w:val="18787DD4"/>
    <w:rsid w:val="187F1162"/>
    <w:rsid w:val="188E5849"/>
    <w:rsid w:val="18C13529"/>
    <w:rsid w:val="18DB5A16"/>
    <w:rsid w:val="18E67433"/>
    <w:rsid w:val="18ED431E"/>
    <w:rsid w:val="18F41B50"/>
    <w:rsid w:val="19151AC7"/>
    <w:rsid w:val="19322678"/>
    <w:rsid w:val="19436634"/>
    <w:rsid w:val="19550115"/>
    <w:rsid w:val="19662248"/>
    <w:rsid w:val="197762DD"/>
    <w:rsid w:val="198A7DBF"/>
    <w:rsid w:val="199450E1"/>
    <w:rsid w:val="19A1335A"/>
    <w:rsid w:val="19B2356A"/>
    <w:rsid w:val="19D674A8"/>
    <w:rsid w:val="19E716B5"/>
    <w:rsid w:val="19F938BF"/>
    <w:rsid w:val="19FB727A"/>
    <w:rsid w:val="19FF69FF"/>
    <w:rsid w:val="1A1F2BFD"/>
    <w:rsid w:val="1A393593"/>
    <w:rsid w:val="1A417126"/>
    <w:rsid w:val="1A5605E9"/>
    <w:rsid w:val="1A644AB4"/>
    <w:rsid w:val="1A6C5716"/>
    <w:rsid w:val="1A7D4AEA"/>
    <w:rsid w:val="1A7D519E"/>
    <w:rsid w:val="1A9F5AEC"/>
    <w:rsid w:val="1ABF141C"/>
    <w:rsid w:val="1AED2CFB"/>
    <w:rsid w:val="1B040045"/>
    <w:rsid w:val="1B0B4F2F"/>
    <w:rsid w:val="1B1D4C62"/>
    <w:rsid w:val="1B300E6D"/>
    <w:rsid w:val="1B356450"/>
    <w:rsid w:val="1B481CDF"/>
    <w:rsid w:val="1B4A1EFB"/>
    <w:rsid w:val="1B5A1A13"/>
    <w:rsid w:val="1B6D5BEA"/>
    <w:rsid w:val="1B851185"/>
    <w:rsid w:val="1BA756DE"/>
    <w:rsid w:val="1BCA6B98"/>
    <w:rsid w:val="1BCE6006"/>
    <w:rsid w:val="1BEC6B0F"/>
    <w:rsid w:val="1BFB1448"/>
    <w:rsid w:val="1C185B56"/>
    <w:rsid w:val="1C197B20"/>
    <w:rsid w:val="1C2E35CB"/>
    <w:rsid w:val="1C3109C5"/>
    <w:rsid w:val="1C372FE2"/>
    <w:rsid w:val="1C4D6056"/>
    <w:rsid w:val="1C5172BA"/>
    <w:rsid w:val="1C8F393E"/>
    <w:rsid w:val="1C9722C0"/>
    <w:rsid w:val="1CA53161"/>
    <w:rsid w:val="1CB17D58"/>
    <w:rsid w:val="1CBC1C20"/>
    <w:rsid w:val="1D1B6096"/>
    <w:rsid w:val="1D256F1E"/>
    <w:rsid w:val="1D444728"/>
    <w:rsid w:val="1D4D5CD3"/>
    <w:rsid w:val="1D5A219E"/>
    <w:rsid w:val="1D8A4831"/>
    <w:rsid w:val="1D9C2A76"/>
    <w:rsid w:val="1DE45A9B"/>
    <w:rsid w:val="1E0B5246"/>
    <w:rsid w:val="1E240E05"/>
    <w:rsid w:val="1E3A68C3"/>
    <w:rsid w:val="1E407A47"/>
    <w:rsid w:val="1E4603DD"/>
    <w:rsid w:val="1E4E3AB1"/>
    <w:rsid w:val="1E62130A"/>
    <w:rsid w:val="1E6257AE"/>
    <w:rsid w:val="1E796654"/>
    <w:rsid w:val="1E827BFE"/>
    <w:rsid w:val="1E836C5C"/>
    <w:rsid w:val="1E870D71"/>
    <w:rsid w:val="1E9D67E6"/>
    <w:rsid w:val="1EA336D1"/>
    <w:rsid w:val="1ED63AA6"/>
    <w:rsid w:val="1EDF41B4"/>
    <w:rsid w:val="1EF33ABA"/>
    <w:rsid w:val="1EF5217E"/>
    <w:rsid w:val="1F02489B"/>
    <w:rsid w:val="1F0A44E8"/>
    <w:rsid w:val="1F205410"/>
    <w:rsid w:val="1F3A4035"/>
    <w:rsid w:val="1F7237CF"/>
    <w:rsid w:val="1F7311D1"/>
    <w:rsid w:val="1F890B18"/>
    <w:rsid w:val="1FB262C1"/>
    <w:rsid w:val="1FCC29C7"/>
    <w:rsid w:val="1FD2426D"/>
    <w:rsid w:val="1FD44489"/>
    <w:rsid w:val="200F1FE5"/>
    <w:rsid w:val="20185CF2"/>
    <w:rsid w:val="20191E9C"/>
    <w:rsid w:val="2021771C"/>
    <w:rsid w:val="202D5948"/>
    <w:rsid w:val="205D622D"/>
    <w:rsid w:val="20686980"/>
    <w:rsid w:val="20731621"/>
    <w:rsid w:val="208328D1"/>
    <w:rsid w:val="209239FD"/>
    <w:rsid w:val="20A7394C"/>
    <w:rsid w:val="20AC4ABE"/>
    <w:rsid w:val="20B90CD6"/>
    <w:rsid w:val="20DF0776"/>
    <w:rsid w:val="20E5422A"/>
    <w:rsid w:val="20F36B91"/>
    <w:rsid w:val="20FF72E4"/>
    <w:rsid w:val="210112AE"/>
    <w:rsid w:val="213E63B9"/>
    <w:rsid w:val="2144119B"/>
    <w:rsid w:val="21537630"/>
    <w:rsid w:val="21680B92"/>
    <w:rsid w:val="21707F28"/>
    <w:rsid w:val="21815F4B"/>
    <w:rsid w:val="21871145"/>
    <w:rsid w:val="21D73DBD"/>
    <w:rsid w:val="2214125E"/>
    <w:rsid w:val="221B26FB"/>
    <w:rsid w:val="224202F2"/>
    <w:rsid w:val="22511DC1"/>
    <w:rsid w:val="22A53EBB"/>
    <w:rsid w:val="22C04851"/>
    <w:rsid w:val="22C80936"/>
    <w:rsid w:val="22E75B32"/>
    <w:rsid w:val="22EF3388"/>
    <w:rsid w:val="22F04164"/>
    <w:rsid w:val="231F3C6E"/>
    <w:rsid w:val="232F19D7"/>
    <w:rsid w:val="23386ADD"/>
    <w:rsid w:val="23751ADF"/>
    <w:rsid w:val="23871813"/>
    <w:rsid w:val="23A45F21"/>
    <w:rsid w:val="240F3CE2"/>
    <w:rsid w:val="241369E2"/>
    <w:rsid w:val="241E3F25"/>
    <w:rsid w:val="24335240"/>
    <w:rsid w:val="2438474A"/>
    <w:rsid w:val="245636BF"/>
    <w:rsid w:val="24596D0B"/>
    <w:rsid w:val="247C0C4C"/>
    <w:rsid w:val="24822393"/>
    <w:rsid w:val="248A3369"/>
    <w:rsid w:val="2492046F"/>
    <w:rsid w:val="24BE74B6"/>
    <w:rsid w:val="24FB6014"/>
    <w:rsid w:val="25010F47"/>
    <w:rsid w:val="2513335E"/>
    <w:rsid w:val="251946ED"/>
    <w:rsid w:val="25284930"/>
    <w:rsid w:val="25706A02"/>
    <w:rsid w:val="25A14E0E"/>
    <w:rsid w:val="25A93CC2"/>
    <w:rsid w:val="25C26B32"/>
    <w:rsid w:val="25DA20CE"/>
    <w:rsid w:val="25F018F1"/>
    <w:rsid w:val="26527EB6"/>
    <w:rsid w:val="265C6F87"/>
    <w:rsid w:val="26A809FC"/>
    <w:rsid w:val="26C32B62"/>
    <w:rsid w:val="26C575FB"/>
    <w:rsid w:val="26FE1361"/>
    <w:rsid w:val="27035654"/>
    <w:rsid w:val="27167136"/>
    <w:rsid w:val="27361586"/>
    <w:rsid w:val="2742617D"/>
    <w:rsid w:val="275859A0"/>
    <w:rsid w:val="27595274"/>
    <w:rsid w:val="276460F3"/>
    <w:rsid w:val="27671D48"/>
    <w:rsid w:val="27802801"/>
    <w:rsid w:val="27856069"/>
    <w:rsid w:val="278E13C2"/>
    <w:rsid w:val="27AB40C3"/>
    <w:rsid w:val="27AE736E"/>
    <w:rsid w:val="27B022FE"/>
    <w:rsid w:val="27B0413A"/>
    <w:rsid w:val="27E96DDF"/>
    <w:rsid w:val="285717B4"/>
    <w:rsid w:val="28612632"/>
    <w:rsid w:val="28681C13"/>
    <w:rsid w:val="286F7FBC"/>
    <w:rsid w:val="287265EE"/>
    <w:rsid w:val="2895052E"/>
    <w:rsid w:val="28BA1D43"/>
    <w:rsid w:val="28CF1C92"/>
    <w:rsid w:val="28D70B46"/>
    <w:rsid w:val="28E62B38"/>
    <w:rsid w:val="28E9665B"/>
    <w:rsid w:val="28F83742"/>
    <w:rsid w:val="292162AF"/>
    <w:rsid w:val="29231FDE"/>
    <w:rsid w:val="29232806"/>
    <w:rsid w:val="29481A98"/>
    <w:rsid w:val="294E10C9"/>
    <w:rsid w:val="29620A68"/>
    <w:rsid w:val="298365D8"/>
    <w:rsid w:val="29852351"/>
    <w:rsid w:val="299F1664"/>
    <w:rsid w:val="29BB2216"/>
    <w:rsid w:val="29D3130E"/>
    <w:rsid w:val="29DB69DF"/>
    <w:rsid w:val="2A1536D4"/>
    <w:rsid w:val="2A224043"/>
    <w:rsid w:val="2A2B2EF8"/>
    <w:rsid w:val="2A5621BB"/>
    <w:rsid w:val="2A614B6C"/>
    <w:rsid w:val="2A6308E4"/>
    <w:rsid w:val="2A645A37"/>
    <w:rsid w:val="2A6B1546"/>
    <w:rsid w:val="2A6B7798"/>
    <w:rsid w:val="2A816FBC"/>
    <w:rsid w:val="2A832D34"/>
    <w:rsid w:val="2A866380"/>
    <w:rsid w:val="2A925182"/>
    <w:rsid w:val="2A9E7B6E"/>
    <w:rsid w:val="2AA679C6"/>
    <w:rsid w:val="2B226E3C"/>
    <w:rsid w:val="2B4D50F0"/>
    <w:rsid w:val="2B514BE0"/>
    <w:rsid w:val="2B724B56"/>
    <w:rsid w:val="2B9B4810"/>
    <w:rsid w:val="2BA2368E"/>
    <w:rsid w:val="2BB60EE7"/>
    <w:rsid w:val="2BBE6B4F"/>
    <w:rsid w:val="2BC33129"/>
    <w:rsid w:val="2BCD7061"/>
    <w:rsid w:val="2BF026C8"/>
    <w:rsid w:val="2BF043F9"/>
    <w:rsid w:val="2BF67536"/>
    <w:rsid w:val="2C1113FB"/>
    <w:rsid w:val="2C1F5578"/>
    <w:rsid w:val="2C330877"/>
    <w:rsid w:val="2C701096"/>
    <w:rsid w:val="2C7843EE"/>
    <w:rsid w:val="2C7A1F15"/>
    <w:rsid w:val="2C8132A3"/>
    <w:rsid w:val="2C842D93"/>
    <w:rsid w:val="2C9E20A7"/>
    <w:rsid w:val="2CB847EB"/>
    <w:rsid w:val="2CC66F08"/>
    <w:rsid w:val="2CCB09C2"/>
    <w:rsid w:val="2CD258AD"/>
    <w:rsid w:val="2CDB1766"/>
    <w:rsid w:val="2CE101E6"/>
    <w:rsid w:val="2CE675AA"/>
    <w:rsid w:val="2CEA0C1D"/>
    <w:rsid w:val="2D01593E"/>
    <w:rsid w:val="2D085772"/>
    <w:rsid w:val="2D0A3299"/>
    <w:rsid w:val="2D214A86"/>
    <w:rsid w:val="2D4F3C83"/>
    <w:rsid w:val="2D5B3AF4"/>
    <w:rsid w:val="2D6C3F53"/>
    <w:rsid w:val="2D742E08"/>
    <w:rsid w:val="2D8D7A26"/>
    <w:rsid w:val="2D926261"/>
    <w:rsid w:val="2D9D78C8"/>
    <w:rsid w:val="2DAF0171"/>
    <w:rsid w:val="2DC810BF"/>
    <w:rsid w:val="2DE52C0A"/>
    <w:rsid w:val="2DE955A4"/>
    <w:rsid w:val="2DF34AFE"/>
    <w:rsid w:val="2E0F24E5"/>
    <w:rsid w:val="2E1B7727"/>
    <w:rsid w:val="2E2841FD"/>
    <w:rsid w:val="2E4F0AB3"/>
    <w:rsid w:val="2E582F68"/>
    <w:rsid w:val="2E6331BE"/>
    <w:rsid w:val="2E6764C9"/>
    <w:rsid w:val="2E6E5AA9"/>
    <w:rsid w:val="2EAC037F"/>
    <w:rsid w:val="2EB53283"/>
    <w:rsid w:val="2EB72FAC"/>
    <w:rsid w:val="2ED038FB"/>
    <w:rsid w:val="2EE81411"/>
    <w:rsid w:val="2EED4C20"/>
    <w:rsid w:val="2EFA3AD6"/>
    <w:rsid w:val="2F1E74CF"/>
    <w:rsid w:val="2F204FF5"/>
    <w:rsid w:val="2F3C5BA7"/>
    <w:rsid w:val="2F4B1946"/>
    <w:rsid w:val="2F522CD5"/>
    <w:rsid w:val="2F762E67"/>
    <w:rsid w:val="2F792957"/>
    <w:rsid w:val="2F996B56"/>
    <w:rsid w:val="2FB41BE1"/>
    <w:rsid w:val="2FB83A61"/>
    <w:rsid w:val="2FC8743B"/>
    <w:rsid w:val="2FD302BA"/>
    <w:rsid w:val="2FDD052C"/>
    <w:rsid w:val="2FF07EED"/>
    <w:rsid w:val="301B57BD"/>
    <w:rsid w:val="30471431"/>
    <w:rsid w:val="3062163D"/>
    <w:rsid w:val="306E1D90"/>
    <w:rsid w:val="307D6477"/>
    <w:rsid w:val="30AF0FF8"/>
    <w:rsid w:val="30B11C7D"/>
    <w:rsid w:val="30C45585"/>
    <w:rsid w:val="30DC13F0"/>
    <w:rsid w:val="30E315FF"/>
    <w:rsid w:val="30F57DBC"/>
    <w:rsid w:val="31097D0B"/>
    <w:rsid w:val="310D3357"/>
    <w:rsid w:val="31101099"/>
    <w:rsid w:val="3112096E"/>
    <w:rsid w:val="311346E6"/>
    <w:rsid w:val="31291D49"/>
    <w:rsid w:val="31322DBE"/>
    <w:rsid w:val="313E5C07"/>
    <w:rsid w:val="31622F17"/>
    <w:rsid w:val="31750EFD"/>
    <w:rsid w:val="317653A0"/>
    <w:rsid w:val="319977D3"/>
    <w:rsid w:val="31A0241D"/>
    <w:rsid w:val="31CE1D46"/>
    <w:rsid w:val="31E0281A"/>
    <w:rsid w:val="31E87920"/>
    <w:rsid w:val="31F44517"/>
    <w:rsid w:val="31F77B64"/>
    <w:rsid w:val="32002EBC"/>
    <w:rsid w:val="32230959"/>
    <w:rsid w:val="32244DFC"/>
    <w:rsid w:val="322F1D18"/>
    <w:rsid w:val="323A7982"/>
    <w:rsid w:val="32452FC5"/>
    <w:rsid w:val="324803BF"/>
    <w:rsid w:val="326C2300"/>
    <w:rsid w:val="32741B8D"/>
    <w:rsid w:val="32780CA4"/>
    <w:rsid w:val="327F64D7"/>
    <w:rsid w:val="32837F56"/>
    <w:rsid w:val="32BF2D77"/>
    <w:rsid w:val="32D61BB8"/>
    <w:rsid w:val="32FA790B"/>
    <w:rsid w:val="32FD35D6"/>
    <w:rsid w:val="33095DA0"/>
    <w:rsid w:val="330E2874"/>
    <w:rsid w:val="33345E3E"/>
    <w:rsid w:val="33437504"/>
    <w:rsid w:val="334D5163"/>
    <w:rsid w:val="335F7BE9"/>
    <w:rsid w:val="336C3624"/>
    <w:rsid w:val="3381627F"/>
    <w:rsid w:val="338C7CA4"/>
    <w:rsid w:val="338D4C23"/>
    <w:rsid w:val="339B7340"/>
    <w:rsid w:val="339C4E66"/>
    <w:rsid w:val="33B73A4E"/>
    <w:rsid w:val="33BC371B"/>
    <w:rsid w:val="33BF3E80"/>
    <w:rsid w:val="33C148CD"/>
    <w:rsid w:val="33C566E9"/>
    <w:rsid w:val="33D32439"/>
    <w:rsid w:val="33D625F2"/>
    <w:rsid w:val="33DE0FDB"/>
    <w:rsid w:val="340C5B48"/>
    <w:rsid w:val="34264730"/>
    <w:rsid w:val="342C7F98"/>
    <w:rsid w:val="34842C2E"/>
    <w:rsid w:val="34977C79"/>
    <w:rsid w:val="34AA710F"/>
    <w:rsid w:val="34B74CFC"/>
    <w:rsid w:val="34CC3262"/>
    <w:rsid w:val="34D13BB2"/>
    <w:rsid w:val="34D8179E"/>
    <w:rsid w:val="34E16FD5"/>
    <w:rsid w:val="34E341D7"/>
    <w:rsid w:val="34E70033"/>
    <w:rsid w:val="35065D4F"/>
    <w:rsid w:val="35132F06"/>
    <w:rsid w:val="3522139B"/>
    <w:rsid w:val="35492DCC"/>
    <w:rsid w:val="355C48AD"/>
    <w:rsid w:val="3578720D"/>
    <w:rsid w:val="357A2F85"/>
    <w:rsid w:val="35867372"/>
    <w:rsid w:val="359C114E"/>
    <w:rsid w:val="35AF70D3"/>
    <w:rsid w:val="35B911EC"/>
    <w:rsid w:val="35BA7826"/>
    <w:rsid w:val="35C16E06"/>
    <w:rsid w:val="35CB1A33"/>
    <w:rsid w:val="35F44AE6"/>
    <w:rsid w:val="360D5BA8"/>
    <w:rsid w:val="361270E7"/>
    <w:rsid w:val="36160F00"/>
    <w:rsid w:val="363650FE"/>
    <w:rsid w:val="36590DED"/>
    <w:rsid w:val="36820344"/>
    <w:rsid w:val="36853990"/>
    <w:rsid w:val="3687043C"/>
    <w:rsid w:val="36A209E6"/>
    <w:rsid w:val="36AB6CC6"/>
    <w:rsid w:val="36CD4EE7"/>
    <w:rsid w:val="36E7289C"/>
    <w:rsid w:val="36F56D67"/>
    <w:rsid w:val="370C29C3"/>
    <w:rsid w:val="371B478C"/>
    <w:rsid w:val="371E0FBB"/>
    <w:rsid w:val="37492C0F"/>
    <w:rsid w:val="37620FF1"/>
    <w:rsid w:val="3793032E"/>
    <w:rsid w:val="37A75A66"/>
    <w:rsid w:val="37B2058C"/>
    <w:rsid w:val="37BA3B0D"/>
    <w:rsid w:val="37C56D90"/>
    <w:rsid w:val="37D7646D"/>
    <w:rsid w:val="38044D88"/>
    <w:rsid w:val="38233460"/>
    <w:rsid w:val="38241FE4"/>
    <w:rsid w:val="38376F0C"/>
    <w:rsid w:val="383C4522"/>
    <w:rsid w:val="38514471"/>
    <w:rsid w:val="386D6DD1"/>
    <w:rsid w:val="38806B05"/>
    <w:rsid w:val="388C36FB"/>
    <w:rsid w:val="38AA06AD"/>
    <w:rsid w:val="38FD2AEC"/>
    <w:rsid w:val="39074B30"/>
    <w:rsid w:val="390A2872"/>
    <w:rsid w:val="390E58B1"/>
    <w:rsid w:val="391E0899"/>
    <w:rsid w:val="39276F80"/>
    <w:rsid w:val="393D0552"/>
    <w:rsid w:val="39406294"/>
    <w:rsid w:val="39643D30"/>
    <w:rsid w:val="396E2E01"/>
    <w:rsid w:val="39801E76"/>
    <w:rsid w:val="39A46823"/>
    <w:rsid w:val="39AF05D8"/>
    <w:rsid w:val="39C12F31"/>
    <w:rsid w:val="39D35A52"/>
    <w:rsid w:val="39E60BE9"/>
    <w:rsid w:val="39EE7A9E"/>
    <w:rsid w:val="3A080B60"/>
    <w:rsid w:val="3A091F94"/>
    <w:rsid w:val="3A0E1EEE"/>
    <w:rsid w:val="3A325BDD"/>
    <w:rsid w:val="3A40479E"/>
    <w:rsid w:val="3A683CF4"/>
    <w:rsid w:val="3A72247D"/>
    <w:rsid w:val="3A966448"/>
    <w:rsid w:val="3AC52EF5"/>
    <w:rsid w:val="3AD153F6"/>
    <w:rsid w:val="3AF31810"/>
    <w:rsid w:val="3AF62961"/>
    <w:rsid w:val="3AF630AE"/>
    <w:rsid w:val="3B4262F3"/>
    <w:rsid w:val="3B9B5A04"/>
    <w:rsid w:val="3BA0301A"/>
    <w:rsid w:val="3BAC6C4D"/>
    <w:rsid w:val="3BBF5B96"/>
    <w:rsid w:val="3BC35686"/>
    <w:rsid w:val="3BC84CE1"/>
    <w:rsid w:val="3BEE61FC"/>
    <w:rsid w:val="3BF27D19"/>
    <w:rsid w:val="3BFC46F4"/>
    <w:rsid w:val="3C0B2B89"/>
    <w:rsid w:val="3C140113"/>
    <w:rsid w:val="3C1557B6"/>
    <w:rsid w:val="3C1732DC"/>
    <w:rsid w:val="3C1934F8"/>
    <w:rsid w:val="3C1F329E"/>
    <w:rsid w:val="3C26747D"/>
    <w:rsid w:val="3C2679C3"/>
    <w:rsid w:val="3C357C06"/>
    <w:rsid w:val="3C371692"/>
    <w:rsid w:val="3C3C71E7"/>
    <w:rsid w:val="3C683B38"/>
    <w:rsid w:val="3CAB2AE0"/>
    <w:rsid w:val="3CB90837"/>
    <w:rsid w:val="3CC850DB"/>
    <w:rsid w:val="3CD97D33"/>
    <w:rsid w:val="3CE55188"/>
    <w:rsid w:val="3CEC4769"/>
    <w:rsid w:val="3CF03B2D"/>
    <w:rsid w:val="3CF44569"/>
    <w:rsid w:val="3D1B4AEB"/>
    <w:rsid w:val="3D4F6AA6"/>
    <w:rsid w:val="3D74650C"/>
    <w:rsid w:val="3D842BF3"/>
    <w:rsid w:val="3DA27781"/>
    <w:rsid w:val="3DA52B6A"/>
    <w:rsid w:val="3DB64D77"/>
    <w:rsid w:val="3DBD4357"/>
    <w:rsid w:val="3DC56D68"/>
    <w:rsid w:val="3DD53CF9"/>
    <w:rsid w:val="3DD645A5"/>
    <w:rsid w:val="3DD76099"/>
    <w:rsid w:val="3DDD67A7"/>
    <w:rsid w:val="3E175815"/>
    <w:rsid w:val="3E2972F7"/>
    <w:rsid w:val="3E3E4B92"/>
    <w:rsid w:val="3E416D36"/>
    <w:rsid w:val="3E491747"/>
    <w:rsid w:val="3E4E4FAF"/>
    <w:rsid w:val="3E810EE1"/>
    <w:rsid w:val="3E9606F3"/>
    <w:rsid w:val="3EAD1CD6"/>
    <w:rsid w:val="3EC00451"/>
    <w:rsid w:val="3ED25BE0"/>
    <w:rsid w:val="3EEA117C"/>
    <w:rsid w:val="3F0044FB"/>
    <w:rsid w:val="3F11495A"/>
    <w:rsid w:val="3F116709"/>
    <w:rsid w:val="3F195F84"/>
    <w:rsid w:val="3F2D1069"/>
    <w:rsid w:val="3F6031EC"/>
    <w:rsid w:val="3F6251B6"/>
    <w:rsid w:val="3F746C97"/>
    <w:rsid w:val="3F762A0F"/>
    <w:rsid w:val="3F836EDA"/>
    <w:rsid w:val="3F9133A5"/>
    <w:rsid w:val="3F950790"/>
    <w:rsid w:val="3FB24FA5"/>
    <w:rsid w:val="3FD41A87"/>
    <w:rsid w:val="3FE07D11"/>
    <w:rsid w:val="3FFF0C57"/>
    <w:rsid w:val="40004A8E"/>
    <w:rsid w:val="40297A82"/>
    <w:rsid w:val="402D7572"/>
    <w:rsid w:val="40493C80"/>
    <w:rsid w:val="406D5BC1"/>
    <w:rsid w:val="407C22A8"/>
    <w:rsid w:val="40914181"/>
    <w:rsid w:val="40AA12E3"/>
    <w:rsid w:val="40AB493B"/>
    <w:rsid w:val="40BD6BEA"/>
    <w:rsid w:val="40C31C84"/>
    <w:rsid w:val="40E37C31"/>
    <w:rsid w:val="410F0A26"/>
    <w:rsid w:val="41354204"/>
    <w:rsid w:val="414803DC"/>
    <w:rsid w:val="415D6156"/>
    <w:rsid w:val="417116E0"/>
    <w:rsid w:val="41740220"/>
    <w:rsid w:val="41760AA5"/>
    <w:rsid w:val="41BB6E00"/>
    <w:rsid w:val="41BE41FA"/>
    <w:rsid w:val="41E2438C"/>
    <w:rsid w:val="41E41548"/>
    <w:rsid w:val="41EF0857"/>
    <w:rsid w:val="41F61BE6"/>
    <w:rsid w:val="41FB36A0"/>
    <w:rsid w:val="41FF7B3F"/>
    <w:rsid w:val="42240501"/>
    <w:rsid w:val="42447B16"/>
    <w:rsid w:val="424E557E"/>
    <w:rsid w:val="425608D6"/>
    <w:rsid w:val="429367C5"/>
    <w:rsid w:val="42A653BA"/>
    <w:rsid w:val="42B933F4"/>
    <w:rsid w:val="42C35F6C"/>
    <w:rsid w:val="42D812EB"/>
    <w:rsid w:val="42E303BC"/>
    <w:rsid w:val="43212C92"/>
    <w:rsid w:val="432509D4"/>
    <w:rsid w:val="434846C3"/>
    <w:rsid w:val="434F5A51"/>
    <w:rsid w:val="43813731"/>
    <w:rsid w:val="438D0328"/>
    <w:rsid w:val="43B41D58"/>
    <w:rsid w:val="43BD17FC"/>
    <w:rsid w:val="43DD12AF"/>
    <w:rsid w:val="43E97C54"/>
    <w:rsid w:val="44061C4D"/>
    <w:rsid w:val="442E1B0B"/>
    <w:rsid w:val="443D3AFC"/>
    <w:rsid w:val="44501A81"/>
    <w:rsid w:val="445F1CC4"/>
    <w:rsid w:val="44A12FFE"/>
    <w:rsid w:val="44A771C7"/>
    <w:rsid w:val="44CE0BF8"/>
    <w:rsid w:val="44D02BC2"/>
    <w:rsid w:val="44EE3048"/>
    <w:rsid w:val="451C1963"/>
    <w:rsid w:val="451E56DB"/>
    <w:rsid w:val="45252F0E"/>
    <w:rsid w:val="452B7DF8"/>
    <w:rsid w:val="453F5652"/>
    <w:rsid w:val="455B6C5A"/>
    <w:rsid w:val="456128B0"/>
    <w:rsid w:val="45672879"/>
    <w:rsid w:val="456A6B72"/>
    <w:rsid w:val="45C2075D"/>
    <w:rsid w:val="45C344D5"/>
    <w:rsid w:val="45D1711C"/>
    <w:rsid w:val="45DE30BD"/>
    <w:rsid w:val="45F27617"/>
    <w:rsid w:val="46096AFC"/>
    <w:rsid w:val="46192347"/>
    <w:rsid w:val="462705C0"/>
    <w:rsid w:val="462D194E"/>
    <w:rsid w:val="46401681"/>
    <w:rsid w:val="465D0485"/>
    <w:rsid w:val="465D66D7"/>
    <w:rsid w:val="466C2476"/>
    <w:rsid w:val="469814BD"/>
    <w:rsid w:val="46C2478C"/>
    <w:rsid w:val="46CC5A5D"/>
    <w:rsid w:val="46D50A21"/>
    <w:rsid w:val="46DA3884"/>
    <w:rsid w:val="46E95032"/>
    <w:rsid w:val="46EB5A91"/>
    <w:rsid w:val="46EC3F49"/>
    <w:rsid w:val="47A520E4"/>
    <w:rsid w:val="47B71E17"/>
    <w:rsid w:val="47D227AD"/>
    <w:rsid w:val="480536FB"/>
    <w:rsid w:val="480A1F47"/>
    <w:rsid w:val="480D7C89"/>
    <w:rsid w:val="4813679C"/>
    <w:rsid w:val="482F19AD"/>
    <w:rsid w:val="4840005F"/>
    <w:rsid w:val="487E46E3"/>
    <w:rsid w:val="48A2469A"/>
    <w:rsid w:val="48C9076A"/>
    <w:rsid w:val="48D367DD"/>
    <w:rsid w:val="48E409EA"/>
    <w:rsid w:val="48EB47DC"/>
    <w:rsid w:val="48F74BC1"/>
    <w:rsid w:val="49060960"/>
    <w:rsid w:val="4941408E"/>
    <w:rsid w:val="4968786D"/>
    <w:rsid w:val="49781F29"/>
    <w:rsid w:val="497A134E"/>
    <w:rsid w:val="497C6E74"/>
    <w:rsid w:val="497F641E"/>
    <w:rsid w:val="498E6BA8"/>
    <w:rsid w:val="49920D85"/>
    <w:rsid w:val="49C32CF5"/>
    <w:rsid w:val="49C64593"/>
    <w:rsid w:val="49CA4084"/>
    <w:rsid w:val="49DE368B"/>
    <w:rsid w:val="49E62540"/>
    <w:rsid w:val="49E77774"/>
    <w:rsid w:val="49F17862"/>
    <w:rsid w:val="49F44C5D"/>
    <w:rsid w:val="4A0941C9"/>
    <w:rsid w:val="4A1946C3"/>
    <w:rsid w:val="4A4C2CEB"/>
    <w:rsid w:val="4A58168F"/>
    <w:rsid w:val="4A6307A0"/>
    <w:rsid w:val="4A6C513B"/>
    <w:rsid w:val="4A6E3785"/>
    <w:rsid w:val="4A7B712C"/>
    <w:rsid w:val="4A851D59"/>
    <w:rsid w:val="4AB909D1"/>
    <w:rsid w:val="4B1C76D6"/>
    <w:rsid w:val="4B394180"/>
    <w:rsid w:val="4B683B54"/>
    <w:rsid w:val="4B693428"/>
    <w:rsid w:val="4BA12D45"/>
    <w:rsid w:val="4BAB3A41"/>
    <w:rsid w:val="4BC32B39"/>
    <w:rsid w:val="4BCF5981"/>
    <w:rsid w:val="4BDF193C"/>
    <w:rsid w:val="4BE62CCB"/>
    <w:rsid w:val="4BF61160"/>
    <w:rsid w:val="4C1B0BC7"/>
    <w:rsid w:val="4C2757BD"/>
    <w:rsid w:val="4C2767A6"/>
    <w:rsid w:val="4C4579F1"/>
    <w:rsid w:val="4C72455F"/>
    <w:rsid w:val="4C8629AE"/>
    <w:rsid w:val="4C9B5863"/>
    <w:rsid w:val="4CA66A2C"/>
    <w:rsid w:val="4CB13B3B"/>
    <w:rsid w:val="4CE23492"/>
    <w:rsid w:val="4D3B2BA3"/>
    <w:rsid w:val="4D422183"/>
    <w:rsid w:val="4D6B792C"/>
    <w:rsid w:val="4D7560B4"/>
    <w:rsid w:val="4D76426D"/>
    <w:rsid w:val="4D785BA5"/>
    <w:rsid w:val="4D8602C2"/>
    <w:rsid w:val="4D9A5B1B"/>
    <w:rsid w:val="4DB12E65"/>
    <w:rsid w:val="4DCC674D"/>
    <w:rsid w:val="4DE82D2A"/>
    <w:rsid w:val="4DFE42FC"/>
    <w:rsid w:val="4E0B07C7"/>
    <w:rsid w:val="4E1F24C4"/>
    <w:rsid w:val="4E263853"/>
    <w:rsid w:val="4E3A64E4"/>
    <w:rsid w:val="4E3E294A"/>
    <w:rsid w:val="4E4D5283"/>
    <w:rsid w:val="4E616639"/>
    <w:rsid w:val="4E6F0D56"/>
    <w:rsid w:val="4E736BF3"/>
    <w:rsid w:val="4EA07161"/>
    <w:rsid w:val="4EAF55F6"/>
    <w:rsid w:val="4EC11450"/>
    <w:rsid w:val="4EDB63EB"/>
    <w:rsid w:val="4F16463F"/>
    <w:rsid w:val="4F4421E2"/>
    <w:rsid w:val="4F686E24"/>
    <w:rsid w:val="4F6B59C1"/>
    <w:rsid w:val="4F702FD7"/>
    <w:rsid w:val="4F806F93"/>
    <w:rsid w:val="4F93316A"/>
    <w:rsid w:val="4F9A79D9"/>
    <w:rsid w:val="4FB01626"/>
    <w:rsid w:val="4FB82BD0"/>
    <w:rsid w:val="4FFC0D0F"/>
    <w:rsid w:val="50175B49"/>
    <w:rsid w:val="501F0559"/>
    <w:rsid w:val="502838B2"/>
    <w:rsid w:val="50583834"/>
    <w:rsid w:val="507408A5"/>
    <w:rsid w:val="507B0DAF"/>
    <w:rsid w:val="50925430"/>
    <w:rsid w:val="50E0418D"/>
    <w:rsid w:val="50EF617E"/>
    <w:rsid w:val="511429EF"/>
    <w:rsid w:val="51257DF2"/>
    <w:rsid w:val="51340212"/>
    <w:rsid w:val="51581F75"/>
    <w:rsid w:val="51605661"/>
    <w:rsid w:val="51654692"/>
    <w:rsid w:val="516C4767"/>
    <w:rsid w:val="5187285A"/>
    <w:rsid w:val="518C1C1F"/>
    <w:rsid w:val="519B00B4"/>
    <w:rsid w:val="51CB489B"/>
    <w:rsid w:val="51DA0BDC"/>
    <w:rsid w:val="51E45EF2"/>
    <w:rsid w:val="51FA140B"/>
    <w:rsid w:val="520B3E30"/>
    <w:rsid w:val="520B6FE7"/>
    <w:rsid w:val="521515B8"/>
    <w:rsid w:val="521A1920"/>
    <w:rsid w:val="521D4F6D"/>
    <w:rsid w:val="522D090A"/>
    <w:rsid w:val="5253098E"/>
    <w:rsid w:val="525468E9"/>
    <w:rsid w:val="52796647"/>
    <w:rsid w:val="528C6346"/>
    <w:rsid w:val="52911BE2"/>
    <w:rsid w:val="52923AD9"/>
    <w:rsid w:val="52C378C2"/>
    <w:rsid w:val="52CA0C50"/>
    <w:rsid w:val="52CB49C9"/>
    <w:rsid w:val="52CF4157"/>
    <w:rsid w:val="530929F0"/>
    <w:rsid w:val="532C190B"/>
    <w:rsid w:val="534240A2"/>
    <w:rsid w:val="534529CD"/>
    <w:rsid w:val="53687272"/>
    <w:rsid w:val="53986FA1"/>
    <w:rsid w:val="53A72D40"/>
    <w:rsid w:val="53B86CFB"/>
    <w:rsid w:val="53BF452D"/>
    <w:rsid w:val="53CB2ED2"/>
    <w:rsid w:val="53EC109A"/>
    <w:rsid w:val="53FC2EA8"/>
    <w:rsid w:val="54065CB8"/>
    <w:rsid w:val="54085E94"/>
    <w:rsid w:val="54177EC5"/>
    <w:rsid w:val="54181E8F"/>
    <w:rsid w:val="54336CC9"/>
    <w:rsid w:val="545E7B01"/>
    <w:rsid w:val="54617393"/>
    <w:rsid w:val="546662FF"/>
    <w:rsid w:val="548E5CAE"/>
    <w:rsid w:val="549F78A0"/>
    <w:rsid w:val="54BC6C04"/>
    <w:rsid w:val="54C31C71"/>
    <w:rsid w:val="54D062C6"/>
    <w:rsid w:val="54D15109"/>
    <w:rsid w:val="54F77CF7"/>
    <w:rsid w:val="5510646B"/>
    <w:rsid w:val="55223C09"/>
    <w:rsid w:val="553535AF"/>
    <w:rsid w:val="556D1D67"/>
    <w:rsid w:val="55945546"/>
    <w:rsid w:val="55A21A11"/>
    <w:rsid w:val="55A41C2D"/>
    <w:rsid w:val="55C776C9"/>
    <w:rsid w:val="55DF4A13"/>
    <w:rsid w:val="55EF0F49"/>
    <w:rsid w:val="562C577E"/>
    <w:rsid w:val="56322D3C"/>
    <w:rsid w:val="56476BAD"/>
    <w:rsid w:val="56494582"/>
    <w:rsid w:val="569125E7"/>
    <w:rsid w:val="56B063AF"/>
    <w:rsid w:val="56C80AC9"/>
    <w:rsid w:val="56FB3ACE"/>
    <w:rsid w:val="57154464"/>
    <w:rsid w:val="576108E6"/>
    <w:rsid w:val="5774562F"/>
    <w:rsid w:val="57776ECD"/>
    <w:rsid w:val="57A910C2"/>
    <w:rsid w:val="57F64296"/>
    <w:rsid w:val="57F66044"/>
    <w:rsid w:val="57F95B34"/>
    <w:rsid w:val="580C3AB9"/>
    <w:rsid w:val="58247055"/>
    <w:rsid w:val="583B614D"/>
    <w:rsid w:val="583C439E"/>
    <w:rsid w:val="58590872"/>
    <w:rsid w:val="586438F5"/>
    <w:rsid w:val="58687149"/>
    <w:rsid w:val="589917F1"/>
    <w:rsid w:val="58AB6E2E"/>
    <w:rsid w:val="58AC2BA6"/>
    <w:rsid w:val="58BE1257"/>
    <w:rsid w:val="58C3061C"/>
    <w:rsid w:val="58DC16DE"/>
    <w:rsid w:val="58E3481A"/>
    <w:rsid w:val="58E42340"/>
    <w:rsid w:val="58E862D4"/>
    <w:rsid w:val="58F46A27"/>
    <w:rsid w:val="58FC1D80"/>
    <w:rsid w:val="592311FF"/>
    <w:rsid w:val="59307E11"/>
    <w:rsid w:val="59AD307A"/>
    <w:rsid w:val="59CF1242"/>
    <w:rsid w:val="59DB1995"/>
    <w:rsid w:val="59EC5950"/>
    <w:rsid w:val="59EF17BB"/>
    <w:rsid w:val="59F64A21"/>
    <w:rsid w:val="59FC1447"/>
    <w:rsid w:val="5A252C10"/>
    <w:rsid w:val="5A315A59"/>
    <w:rsid w:val="5A353D76"/>
    <w:rsid w:val="5A557EF1"/>
    <w:rsid w:val="5A622200"/>
    <w:rsid w:val="5A78078F"/>
    <w:rsid w:val="5A875679"/>
    <w:rsid w:val="5A89319F"/>
    <w:rsid w:val="5A9F6E67"/>
    <w:rsid w:val="5AB50438"/>
    <w:rsid w:val="5ABA77FD"/>
    <w:rsid w:val="5ABD553F"/>
    <w:rsid w:val="5AD20FEA"/>
    <w:rsid w:val="5AF95B09"/>
    <w:rsid w:val="5AFF16B3"/>
    <w:rsid w:val="5B135437"/>
    <w:rsid w:val="5B1E7D8B"/>
    <w:rsid w:val="5B417CDA"/>
    <w:rsid w:val="5B5E287E"/>
    <w:rsid w:val="5B661217"/>
    <w:rsid w:val="5B6F4BD6"/>
    <w:rsid w:val="5B857E0A"/>
    <w:rsid w:val="5B953DC6"/>
    <w:rsid w:val="5B991B08"/>
    <w:rsid w:val="5BA65FD3"/>
    <w:rsid w:val="5BE17107"/>
    <w:rsid w:val="5BE72873"/>
    <w:rsid w:val="5C007491"/>
    <w:rsid w:val="5C034E85"/>
    <w:rsid w:val="5C0351D3"/>
    <w:rsid w:val="5C0408CD"/>
    <w:rsid w:val="5C190553"/>
    <w:rsid w:val="5C277114"/>
    <w:rsid w:val="5C3D2493"/>
    <w:rsid w:val="5C4A4BB0"/>
    <w:rsid w:val="5C602626"/>
    <w:rsid w:val="5C9A5B38"/>
    <w:rsid w:val="5C9D73D6"/>
    <w:rsid w:val="5CBA7F88"/>
    <w:rsid w:val="5CCE758F"/>
    <w:rsid w:val="5CD050B5"/>
    <w:rsid w:val="5D027239"/>
    <w:rsid w:val="5D164916"/>
    <w:rsid w:val="5D30626B"/>
    <w:rsid w:val="5D451C84"/>
    <w:rsid w:val="5D4527CE"/>
    <w:rsid w:val="5D891708"/>
    <w:rsid w:val="5DF72B16"/>
    <w:rsid w:val="5DFF417F"/>
    <w:rsid w:val="5E0A0A9B"/>
    <w:rsid w:val="5E1E00A2"/>
    <w:rsid w:val="5E2C6599"/>
    <w:rsid w:val="5E3975B8"/>
    <w:rsid w:val="5E4C4C10"/>
    <w:rsid w:val="5E510478"/>
    <w:rsid w:val="5E5C21ED"/>
    <w:rsid w:val="5E7A5C21"/>
    <w:rsid w:val="5E9465B6"/>
    <w:rsid w:val="5EF157B7"/>
    <w:rsid w:val="5F0B4ACB"/>
    <w:rsid w:val="5F1507F9"/>
    <w:rsid w:val="5F2E2567"/>
    <w:rsid w:val="5F697A43"/>
    <w:rsid w:val="5F6B1C1D"/>
    <w:rsid w:val="5F73441E"/>
    <w:rsid w:val="5F85487D"/>
    <w:rsid w:val="5F9E593F"/>
    <w:rsid w:val="5FA171DD"/>
    <w:rsid w:val="5FB011CE"/>
    <w:rsid w:val="5FBE1B3D"/>
    <w:rsid w:val="5FCA6734"/>
    <w:rsid w:val="5FE923EC"/>
    <w:rsid w:val="5FFC2665"/>
    <w:rsid w:val="600268B3"/>
    <w:rsid w:val="603242D9"/>
    <w:rsid w:val="60395667"/>
    <w:rsid w:val="605F4B24"/>
    <w:rsid w:val="606D5311"/>
    <w:rsid w:val="606E3563"/>
    <w:rsid w:val="607D5554"/>
    <w:rsid w:val="608A5EC3"/>
    <w:rsid w:val="608C2C2E"/>
    <w:rsid w:val="608C39E9"/>
    <w:rsid w:val="608E59B3"/>
    <w:rsid w:val="60932D75"/>
    <w:rsid w:val="60A26D69"/>
    <w:rsid w:val="60A421BF"/>
    <w:rsid w:val="60F375C4"/>
    <w:rsid w:val="61120392"/>
    <w:rsid w:val="611D0AE5"/>
    <w:rsid w:val="61225FC0"/>
    <w:rsid w:val="612C6F7A"/>
    <w:rsid w:val="613A51F3"/>
    <w:rsid w:val="614E0C9F"/>
    <w:rsid w:val="61656047"/>
    <w:rsid w:val="616B35FF"/>
    <w:rsid w:val="61860438"/>
    <w:rsid w:val="61A60ADB"/>
    <w:rsid w:val="61AE759F"/>
    <w:rsid w:val="61B9586C"/>
    <w:rsid w:val="620C24D2"/>
    <w:rsid w:val="621B3277"/>
    <w:rsid w:val="62255052"/>
    <w:rsid w:val="623460E6"/>
    <w:rsid w:val="625D388F"/>
    <w:rsid w:val="626610C2"/>
    <w:rsid w:val="626F5370"/>
    <w:rsid w:val="62762766"/>
    <w:rsid w:val="628B5DCE"/>
    <w:rsid w:val="629B7F14"/>
    <w:rsid w:val="62A321CF"/>
    <w:rsid w:val="62AF1C11"/>
    <w:rsid w:val="62B760F4"/>
    <w:rsid w:val="62BD432E"/>
    <w:rsid w:val="62F554A5"/>
    <w:rsid w:val="62FA7330"/>
    <w:rsid w:val="62FB09B2"/>
    <w:rsid w:val="633F6AEC"/>
    <w:rsid w:val="63461EEC"/>
    <w:rsid w:val="63556314"/>
    <w:rsid w:val="63640C4D"/>
    <w:rsid w:val="6368023C"/>
    <w:rsid w:val="6368410C"/>
    <w:rsid w:val="637A3FCD"/>
    <w:rsid w:val="639A7632"/>
    <w:rsid w:val="63AB23D8"/>
    <w:rsid w:val="63B53257"/>
    <w:rsid w:val="63C62C1B"/>
    <w:rsid w:val="63D23E09"/>
    <w:rsid w:val="63E678B4"/>
    <w:rsid w:val="63F630D6"/>
    <w:rsid w:val="63F7561D"/>
    <w:rsid w:val="640C3047"/>
    <w:rsid w:val="641E0DFC"/>
    <w:rsid w:val="64222990"/>
    <w:rsid w:val="64526CF8"/>
    <w:rsid w:val="645E569D"/>
    <w:rsid w:val="646E3349"/>
    <w:rsid w:val="647606DB"/>
    <w:rsid w:val="64760C38"/>
    <w:rsid w:val="649410BE"/>
    <w:rsid w:val="649A0DC1"/>
    <w:rsid w:val="64B140D9"/>
    <w:rsid w:val="64B928D3"/>
    <w:rsid w:val="64CE4497"/>
    <w:rsid w:val="64CE57E9"/>
    <w:rsid w:val="64DD2A65"/>
    <w:rsid w:val="64E35BA2"/>
    <w:rsid w:val="64F97173"/>
    <w:rsid w:val="64FE29DC"/>
    <w:rsid w:val="65051FBC"/>
    <w:rsid w:val="65077AE2"/>
    <w:rsid w:val="651915C4"/>
    <w:rsid w:val="6549634D"/>
    <w:rsid w:val="6554084E"/>
    <w:rsid w:val="6559603C"/>
    <w:rsid w:val="656B62C3"/>
    <w:rsid w:val="656E53F6"/>
    <w:rsid w:val="658A1FEA"/>
    <w:rsid w:val="658C5F83"/>
    <w:rsid w:val="65A92947"/>
    <w:rsid w:val="65D11E9E"/>
    <w:rsid w:val="65D57BE0"/>
    <w:rsid w:val="65D752B4"/>
    <w:rsid w:val="65E5679C"/>
    <w:rsid w:val="66042274"/>
    <w:rsid w:val="66522FDF"/>
    <w:rsid w:val="66524D8D"/>
    <w:rsid w:val="665A3DE7"/>
    <w:rsid w:val="667016B7"/>
    <w:rsid w:val="66807B4C"/>
    <w:rsid w:val="669F466B"/>
    <w:rsid w:val="66AB6DD7"/>
    <w:rsid w:val="66C832A1"/>
    <w:rsid w:val="66E0683D"/>
    <w:rsid w:val="670C13E0"/>
    <w:rsid w:val="671E7365"/>
    <w:rsid w:val="6747066A"/>
    <w:rsid w:val="674768BC"/>
    <w:rsid w:val="67766820"/>
    <w:rsid w:val="6779459B"/>
    <w:rsid w:val="67990036"/>
    <w:rsid w:val="679D5123"/>
    <w:rsid w:val="67A76795"/>
    <w:rsid w:val="67B87403"/>
    <w:rsid w:val="67BA0661"/>
    <w:rsid w:val="67C021CA"/>
    <w:rsid w:val="68040309"/>
    <w:rsid w:val="68295FC1"/>
    <w:rsid w:val="682C16AC"/>
    <w:rsid w:val="68331DFD"/>
    <w:rsid w:val="686D4100"/>
    <w:rsid w:val="687731D1"/>
    <w:rsid w:val="688447D5"/>
    <w:rsid w:val="688D02FE"/>
    <w:rsid w:val="68A01308"/>
    <w:rsid w:val="68A044D6"/>
    <w:rsid w:val="68A613C0"/>
    <w:rsid w:val="68D777CC"/>
    <w:rsid w:val="68D91796"/>
    <w:rsid w:val="68E87037"/>
    <w:rsid w:val="68EA74FF"/>
    <w:rsid w:val="69146C72"/>
    <w:rsid w:val="694F3806"/>
    <w:rsid w:val="696F20FA"/>
    <w:rsid w:val="697B0A9F"/>
    <w:rsid w:val="699B6A4B"/>
    <w:rsid w:val="69BE3957"/>
    <w:rsid w:val="69DF149D"/>
    <w:rsid w:val="69E20B1E"/>
    <w:rsid w:val="6A036022"/>
    <w:rsid w:val="6A220F1A"/>
    <w:rsid w:val="6A260A0B"/>
    <w:rsid w:val="6A705E52"/>
    <w:rsid w:val="6A835E5D"/>
    <w:rsid w:val="6A8B5E81"/>
    <w:rsid w:val="6AB204F0"/>
    <w:rsid w:val="6ABC4ECB"/>
    <w:rsid w:val="6ADE7537"/>
    <w:rsid w:val="6ADF0BB9"/>
    <w:rsid w:val="6AE663EC"/>
    <w:rsid w:val="6AF208ED"/>
    <w:rsid w:val="6AFE1987"/>
    <w:rsid w:val="6B1B6095"/>
    <w:rsid w:val="6B1E16E2"/>
    <w:rsid w:val="6B234F4A"/>
    <w:rsid w:val="6B3158B9"/>
    <w:rsid w:val="6B3F3E52"/>
    <w:rsid w:val="6B575266"/>
    <w:rsid w:val="6B5B47E8"/>
    <w:rsid w:val="6B6C4B43"/>
    <w:rsid w:val="6B6E08BB"/>
    <w:rsid w:val="6BCA3618"/>
    <w:rsid w:val="6BCB7B12"/>
    <w:rsid w:val="6BEB1F0C"/>
    <w:rsid w:val="6C046B2A"/>
    <w:rsid w:val="6C054650"/>
    <w:rsid w:val="6C25681A"/>
    <w:rsid w:val="6C2947E2"/>
    <w:rsid w:val="6C3A254B"/>
    <w:rsid w:val="6C4B6506"/>
    <w:rsid w:val="6C663340"/>
    <w:rsid w:val="6C99007D"/>
    <w:rsid w:val="6CA83959"/>
    <w:rsid w:val="6CC462B9"/>
    <w:rsid w:val="6CD64555"/>
    <w:rsid w:val="6CEA20A3"/>
    <w:rsid w:val="6CED7215"/>
    <w:rsid w:val="6CF50B68"/>
    <w:rsid w:val="6CF7668E"/>
    <w:rsid w:val="6D17288C"/>
    <w:rsid w:val="6D262AD0"/>
    <w:rsid w:val="6D3C0545"/>
    <w:rsid w:val="6D567859"/>
    <w:rsid w:val="6D57712D"/>
    <w:rsid w:val="6D5C108B"/>
    <w:rsid w:val="6D6C0E2A"/>
    <w:rsid w:val="6D8F68C7"/>
    <w:rsid w:val="6D937D4E"/>
    <w:rsid w:val="6DC522E8"/>
    <w:rsid w:val="6DC76061"/>
    <w:rsid w:val="6DE704B1"/>
    <w:rsid w:val="6DEB098B"/>
    <w:rsid w:val="6DFB21AE"/>
    <w:rsid w:val="6E162B44"/>
    <w:rsid w:val="6E205C8E"/>
    <w:rsid w:val="6E71421E"/>
    <w:rsid w:val="6E9161ED"/>
    <w:rsid w:val="6EBD7464"/>
    <w:rsid w:val="6EC25149"/>
    <w:rsid w:val="6ED45730"/>
    <w:rsid w:val="6F131540"/>
    <w:rsid w:val="6F215CBC"/>
    <w:rsid w:val="6F343BCA"/>
    <w:rsid w:val="6F771D08"/>
    <w:rsid w:val="6F7E218C"/>
    <w:rsid w:val="6F9F3E00"/>
    <w:rsid w:val="6FA06B69"/>
    <w:rsid w:val="6FA10543"/>
    <w:rsid w:val="6FA10B33"/>
    <w:rsid w:val="6FBA447B"/>
    <w:rsid w:val="6FC647F1"/>
    <w:rsid w:val="6FCC795E"/>
    <w:rsid w:val="6FD20CED"/>
    <w:rsid w:val="6FD33C04"/>
    <w:rsid w:val="702443DE"/>
    <w:rsid w:val="704569AF"/>
    <w:rsid w:val="704716DB"/>
    <w:rsid w:val="705B6F34"/>
    <w:rsid w:val="70820965"/>
    <w:rsid w:val="70BD7BEF"/>
    <w:rsid w:val="70CB5E68"/>
    <w:rsid w:val="70D32F6E"/>
    <w:rsid w:val="70D34D1C"/>
    <w:rsid w:val="70E84C6C"/>
    <w:rsid w:val="71145A61"/>
    <w:rsid w:val="71325EE7"/>
    <w:rsid w:val="71333A0D"/>
    <w:rsid w:val="71816E6E"/>
    <w:rsid w:val="71924BD7"/>
    <w:rsid w:val="719E357C"/>
    <w:rsid w:val="71C15162"/>
    <w:rsid w:val="71CF3736"/>
    <w:rsid w:val="71E76CD1"/>
    <w:rsid w:val="71EA67C2"/>
    <w:rsid w:val="71FB37ED"/>
    <w:rsid w:val="72001B41"/>
    <w:rsid w:val="72225F5B"/>
    <w:rsid w:val="72247F25"/>
    <w:rsid w:val="722C0B88"/>
    <w:rsid w:val="722F2426"/>
    <w:rsid w:val="723143F0"/>
    <w:rsid w:val="725E4ABA"/>
    <w:rsid w:val="72690921"/>
    <w:rsid w:val="726F7ACC"/>
    <w:rsid w:val="72771394"/>
    <w:rsid w:val="72AC1CC9"/>
    <w:rsid w:val="72AE660D"/>
    <w:rsid w:val="72AF5315"/>
    <w:rsid w:val="72B50B7E"/>
    <w:rsid w:val="72BD7A32"/>
    <w:rsid w:val="72C2329A"/>
    <w:rsid w:val="72DA05E4"/>
    <w:rsid w:val="72E96A79"/>
    <w:rsid w:val="72F55D14"/>
    <w:rsid w:val="730D09BA"/>
    <w:rsid w:val="73223D39"/>
    <w:rsid w:val="733F1C73"/>
    <w:rsid w:val="7348106F"/>
    <w:rsid w:val="73497518"/>
    <w:rsid w:val="7358775B"/>
    <w:rsid w:val="73893DB8"/>
    <w:rsid w:val="73AB3D2F"/>
    <w:rsid w:val="73B47087"/>
    <w:rsid w:val="73C85203"/>
    <w:rsid w:val="73CB617F"/>
    <w:rsid w:val="73D019E7"/>
    <w:rsid w:val="73D2750D"/>
    <w:rsid w:val="73D54F95"/>
    <w:rsid w:val="73D774A2"/>
    <w:rsid w:val="73F05BE5"/>
    <w:rsid w:val="73FE47A6"/>
    <w:rsid w:val="74131D61"/>
    <w:rsid w:val="74145D78"/>
    <w:rsid w:val="74181EB8"/>
    <w:rsid w:val="741C69DA"/>
    <w:rsid w:val="74237D69"/>
    <w:rsid w:val="7440091B"/>
    <w:rsid w:val="74416441"/>
    <w:rsid w:val="744E128A"/>
    <w:rsid w:val="746255B8"/>
    <w:rsid w:val="7472484C"/>
    <w:rsid w:val="748C73EC"/>
    <w:rsid w:val="74B133B5"/>
    <w:rsid w:val="74C64922"/>
    <w:rsid w:val="74D3178F"/>
    <w:rsid w:val="74D6127F"/>
    <w:rsid w:val="74D6302D"/>
    <w:rsid w:val="74DF1EE2"/>
    <w:rsid w:val="74E53270"/>
    <w:rsid w:val="74F82610"/>
    <w:rsid w:val="750A73AF"/>
    <w:rsid w:val="750E27C7"/>
    <w:rsid w:val="75130903"/>
    <w:rsid w:val="75143E7A"/>
    <w:rsid w:val="752913AF"/>
    <w:rsid w:val="75371D1E"/>
    <w:rsid w:val="755A5A0C"/>
    <w:rsid w:val="756248C1"/>
    <w:rsid w:val="756D573F"/>
    <w:rsid w:val="75722D56"/>
    <w:rsid w:val="757C3BD5"/>
    <w:rsid w:val="75907680"/>
    <w:rsid w:val="75BF1D13"/>
    <w:rsid w:val="75BF3AC1"/>
    <w:rsid w:val="75CD16B7"/>
    <w:rsid w:val="7614205F"/>
    <w:rsid w:val="762D3121"/>
    <w:rsid w:val="7677439C"/>
    <w:rsid w:val="768F7938"/>
    <w:rsid w:val="76EE465E"/>
    <w:rsid w:val="770C71DA"/>
    <w:rsid w:val="772C162A"/>
    <w:rsid w:val="773F310C"/>
    <w:rsid w:val="77737259"/>
    <w:rsid w:val="777A05E8"/>
    <w:rsid w:val="77844FC2"/>
    <w:rsid w:val="77B07B65"/>
    <w:rsid w:val="77B21B30"/>
    <w:rsid w:val="77C46274"/>
    <w:rsid w:val="77D31AA6"/>
    <w:rsid w:val="77DB1A41"/>
    <w:rsid w:val="77F04406"/>
    <w:rsid w:val="77F959B0"/>
    <w:rsid w:val="780177FB"/>
    <w:rsid w:val="784D7AAA"/>
    <w:rsid w:val="788236CA"/>
    <w:rsid w:val="78931DC3"/>
    <w:rsid w:val="78A21BA4"/>
    <w:rsid w:val="78B10039"/>
    <w:rsid w:val="78D34B0F"/>
    <w:rsid w:val="78D41F79"/>
    <w:rsid w:val="78FB12B4"/>
    <w:rsid w:val="79065BEE"/>
    <w:rsid w:val="79073098"/>
    <w:rsid w:val="79404F19"/>
    <w:rsid w:val="794744F9"/>
    <w:rsid w:val="796B01E8"/>
    <w:rsid w:val="797572B9"/>
    <w:rsid w:val="79B17BC5"/>
    <w:rsid w:val="7A2F56B9"/>
    <w:rsid w:val="7A3A41F7"/>
    <w:rsid w:val="7A440A39"/>
    <w:rsid w:val="7A814D0B"/>
    <w:rsid w:val="7AA8546C"/>
    <w:rsid w:val="7AB91427"/>
    <w:rsid w:val="7AD10DA8"/>
    <w:rsid w:val="7AF4245F"/>
    <w:rsid w:val="7AFD647A"/>
    <w:rsid w:val="7B114DBF"/>
    <w:rsid w:val="7B136D89"/>
    <w:rsid w:val="7B177864"/>
    <w:rsid w:val="7B407452"/>
    <w:rsid w:val="7B607AF4"/>
    <w:rsid w:val="7B6C6499"/>
    <w:rsid w:val="7B7B66DC"/>
    <w:rsid w:val="7B8923CC"/>
    <w:rsid w:val="7BA619AB"/>
    <w:rsid w:val="7BAB16F2"/>
    <w:rsid w:val="7BBA4ADF"/>
    <w:rsid w:val="7BC7748A"/>
    <w:rsid w:val="7BEE6EAE"/>
    <w:rsid w:val="7BF5023D"/>
    <w:rsid w:val="7C016BE2"/>
    <w:rsid w:val="7C183F2B"/>
    <w:rsid w:val="7C1942A5"/>
    <w:rsid w:val="7C1E59E5"/>
    <w:rsid w:val="7C2823C0"/>
    <w:rsid w:val="7C2D79D7"/>
    <w:rsid w:val="7CD03B28"/>
    <w:rsid w:val="7CD91526"/>
    <w:rsid w:val="7CDA3206"/>
    <w:rsid w:val="7CEC5AE4"/>
    <w:rsid w:val="7D093F95"/>
    <w:rsid w:val="7D232341"/>
    <w:rsid w:val="7D25537B"/>
    <w:rsid w:val="7D6A07B6"/>
    <w:rsid w:val="7DA43CC8"/>
    <w:rsid w:val="7DC75C09"/>
    <w:rsid w:val="7DDB4A06"/>
    <w:rsid w:val="7DDD6DD3"/>
    <w:rsid w:val="7DDE5C7E"/>
    <w:rsid w:val="7DFD084F"/>
    <w:rsid w:val="7E123328"/>
    <w:rsid w:val="7E1B4F8B"/>
    <w:rsid w:val="7E2D1F10"/>
    <w:rsid w:val="7E410422"/>
    <w:rsid w:val="7E484F9C"/>
    <w:rsid w:val="7E6A3164"/>
    <w:rsid w:val="7E6D055E"/>
    <w:rsid w:val="7E797F83"/>
    <w:rsid w:val="7E837D82"/>
    <w:rsid w:val="7E96709B"/>
    <w:rsid w:val="7E9F26E2"/>
    <w:rsid w:val="7EB737AD"/>
    <w:rsid w:val="7EDD17BD"/>
    <w:rsid w:val="7F033208"/>
    <w:rsid w:val="7F076C05"/>
    <w:rsid w:val="7F0B7D77"/>
    <w:rsid w:val="7F0C363E"/>
    <w:rsid w:val="7F135D4A"/>
    <w:rsid w:val="7F7D6EC7"/>
    <w:rsid w:val="7F8042C1"/>
    <w:rsid w:val="7F805B82"/>
    <w:rsid w:val="7F89586C"/>
    <w:rsid w:val="7F8D69DE"/>
    <w:rsid w:val="7F8F09A8"/>
    <w:rsid w:val="7F98785D"/>
    <w:rsid w:val="7FAC50B6"/>
    <w:rsid w:val="7FAC60B9"/>
    <w:rsid w:val="7FB3371E"/>
    <w:rsid w:val="7FBE14EB"/>
    <w:rsid w:val="7FD13638"/>
    <w:rsid w:val="7FD83525"/>
    <w:rsid w:val="7FF151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keepNext/>
      <w:numPr>
        <w:ilvl w:val="0"/>
        <w:numId w:val="1"/>
      </w:numPr>
      <w:outlineLvl w:val="0"/>
    </w:pPr>
    <w:rPr>
      <w:b/>
    </w:rPr>
  </w:style>
  <w:style w:type="paragraph" w:styleId="4">
    <w:name w:val="heading 2"/>
    <w:basedOn w:val="1"/>
    <w:next w:val="1"/>
    <w:autoRedefine/>
    <w:qFormat/>
    <w:uiPriority w:val="0"/>
    <w:pPr>
      <w:keepNext/>
      <w:keepLines/>
      <w:spacing w:before="260" w:after="260" w:line="416" w:lineRule="auto"/>
      <w:outlineLvl w:val="1"/>
    </w:pPr>
    <w:rPr>
      <w:rFonts w:ascii="Arial" w:hAnsi="Arial" w:eastAsia="黑体"/>
      <w:b/>
      <w:sz w:val="32"/>
    </w:rPr>
  </w:style>
  <w:style w:type="paragraph" w:styleId="2">
    <w:name w:val="heading 3"/>
    <w:basedOn w:val="1"/>
    <w:next w:val="1"/>
    <w:autoRedefine/>
    <w:qFormat/>
    <w:uiPriority w:val="0"/>
    <w:pPr>
      <w:keepNext/>
      <w:keepLines/>
      <w:spacing w:before="260" w:after="260" w:line="416" w:lineRule="auto"/>
      <w:outlineLvl w:val="2"/>
    </w:pPr>
    <w:rPr>
      <w:bCs/>
      <w:sz w:val="32"/>
      <w:szCs w:val="32"/>
    </w:rPr>
  </w:style>
  <w:style w:type="paragraph" w:styleId="5">
    <w:name w:val="heading 4"/>
    <w:basedOn w:val="2"/>
    <w:next w:val="6"/>
    <w:autoRedefine/>
    <w:qFormat/>
    <w:uiPriority w:val="0"/>
    <w:pPr>
      <w:keepNext/>
      <w:keepLines/>
      <w:spacing w:before="280" w:after="290" w:line="376" w:lineRule="auto"/>
      <w:outlineLvl w:val="3"/>
    </w:pPr>
    <w:rPr>
      <w:rFonts w:ascii="Arial" w:hAnsi="Arial" w:eastAsia="黑体"/>
      <w:sz w:val="28"/>
      <w:szCs w:val="28"/>
    </w:rPr>
  </w:style>
  <w:style w:type="paragraph" w:styleId="6">
    <w:name w:val="heading 5"/>
    <w:basedOn w:val="1"/>
    <w:next w:val="1"/>
    <w:qFormat/>
    <w:uiPriority w:val="0"/>
    <w:pPr>
      <w:keepNext/>
      <w:ind w:firstLine="518" w:firstLineChars="200"/>
      <w:outlineLvl w:val="4"/>
    </w:pPr>
    <w:rPr>
      <w:rFonts w:ascii="宋体" w:hAnsi="宋体"/>
      <w:sz w:val="28"/>
      <w:szCs w:val="24"/>
    </w:rPr>
  </w:style>
  <w:style w:type="character" w:default="1" w:styleId="24">
    <w:name w:val="Default Paragraph Font"/>
    <w:qFormat/>
    <w:uiPriority w:val="1"/>
  </w:style>
  <w:style w:type="table" w:default="1" w:styleId="22">
    <w:name w:val="Normal Table"/>
    <w:qFormat/>
    <w:uiPriority w:val="99"/>
    <w:tblPr>
      <w:tblCellMar>
        <w:top w:w="0" w:type="dxa"/>
        <w:left w:w="108" w:type="dxa"/>
        <w:bottom w:w="0" w:type="dxa"/>
        <w:right w:w="108" w:type="dxa"/>
      </w:tblCellMar>
    </w:tblPr>
  </w:style>
  <w:style w:type="paragraph" w:styleId="7">
    <w:name w:val="Normal Indent"/>
    <w:basedOn w:val="1"/>
    <w:next w:val="1"/>
    <w:qFormat/>
    <w:uiPriority w:val="0"/>
    <w:pPr>
      <w:ind w:firstLine="420" w:firstLineChars="200"/>
    </w:pPr>
    <w:rPr>
      <w:szCs w:val="24"/>
    </w:rPr>
  </w:style>
  <w:style w:type="paragraph" w:styleId="8">
    <w:name w:val="Body Text 3"/>
    <w:basedOn w:val="1"/>
    <w:qFormat/>
    <w:uiPriority w:val="0"/>
    <w:pPr>
      <w:spacing w:line="440" w:lineRule="exact"/>
    </w:pPr>
    <w:rPr>
      <w:color w:val="000000"/>
      <w:szCs w:val="18"/>
    </w:rPr>
  </w:style>
  <w:style w:type="paragraph" w:styleId="9">
    <w:name w:val="Body Text"/>
    <w:basedOn w:val="1"/>
    <w:next w:val="1"/>
    <w:qFormat/>
    <w:uiPriority w:val="0"/>
    <w:rPr>
      <w:rFonts w:ascii="Arial" w:hAnsi="Arial"/>
      <w:sz w:val="24"/>
    </w:rPr>
  </w:style>
  <w:style w:type="paragraph" w:styleId="10">
    <w:name w:val="Body Text Indent"/>
    <w:basedOn w:val="1"/>
    <w:next w:val="11"/>
    <w:qFormat/>
    <w:uiPriority w:val="0"/>
    <w:pPr>
      <w:ind w:firstLine="480"/>
    </w:pPr>
    <w:rPr>
      <w:rFonts w:ascii="宋体" w:hAnsi="宋体"/>
      <w:sz w:val="24"/>
    </w:rPr>
  </w:style>
  <w:style w:type="paragraph" w:styleId="11">
    <w:name w:val="Normal (Web)"/>
    <w:basedOn w:val="1"/>
    <w:next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styleId="12">
    <w:name w:val="Plain Text"/>
    <w:basedOn w:val="1"/>
    <w:qFormat/>
    <w:uiPriority w:val="0"/>
    <w:rPr>
      <w:rFonts w:ascii="宋体" w:hAnsi="Courier New"/>
    </w:rPr>
  </w:style>
  <w:style w:type="paragraph" w:styleId="13">
    <w:name w:val="footer"/>
    <w:basedOn w:val="1"/>
    <w:qFormat/>
    <w:uiPriority w:val="99"/>
    <w:pPr>
      <w:tabs>
        <w:tab w:val="center" w:pos="4153"/>
        <w:tab w:val="right" w:pos="8306"/>
      </w:tabs>
      <w:snapToGrid w:val="0"/>
      <w:jc w:val="left"/>
    </w:pPr>
    <w:rPr>
      <w:sz w:val="18"/>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rPr>
  </w:style>
  <w:style w:type="paragraph" w:styleId="15">
    <w:name w:val="toc 1"/>
    <w:basedOn w:val="1"/>
    <w:next w:val="1"/>
    <w:qFormat/>
    <w:uiPriority w:val="39"/>
  </w:style>
  <w:style w:type="paragraph" w:styleId="16">
    <w:name w:val="List"/>
    <w:basedOn w:val="1"/>
    <w:qFormat/>
    <w:uiPriority w:val="0"/>
    <w:pPr>
      <w:ind w:left="200" w:hanging="200" w:hangingChars="200"/>
    </w:pPr>
  </w:style>
  <w:style w:type="paragraph" w:styleId="17">
    <w:name w:val="footnote text"/>
    <w:basedOn w:val="1"/>
    <w:link w:val="47"/>
    <w:qFormat/>
    <w:uiPriority w:val="0"/>
    <w:pPr>
      <w:snapToGrid w:val="0"/>
      <w:jc w:val="left"/>
    </w:pPr>
    <w:rPr>
      <w:sz w:val="18"/>
    </w:rPr>
  </w:style>
  <w:style w:type="paragraph" w:styleId="18">
    <w:name w:val="toc 2"/>
    <w:basedOn w:val="1"/>
    <w:next w:val="1"/>
    <w:qFormat/>
    <w:uiPriority w:val="39"/>
    <w:pPr>
      <w:ind w:left="420" w:leftChars="200"/>
    </w:pPr>
  </w:style>
  <w:style w:type="paragraph" w:styleId="19">
    <w:name w:val="Body Text 2"/>
    <w:basedOn w:val="1"/>
    <w:qFormat/>
    <w:uiPriority w:val="0"/>
    <w:rPr>
      <w:rFonts w:ascii="楷体_GB2312" w:hAnsi="Copperplate Gothic Bold" w:eastAsia="楷体_GB2312"/>
      <w:sz w:val="28"/>
    </w:rPr>
  </w:style>
  <w:style w:type="paragraph" w:styleId="20">
    <w:name w:val="Body Text First Indent"/>
    <w:basedOn w:val="9"/>
    <w:qFormat/>
    <w:uiPriority w:val="0"/>
    <w:pPr>
      <w:spacing w:after="120"/>
      <w:ind w:firstLine="420" w:firstLineChars="100"/>
    </w:pPr>
    <w:rPr>
      <w:rFonts w:ascii="Times New Roman" w:hAnsi="Times New Roman"/>
      <w:sz w:val="21"/>
    </w:rPr>
  </w:style>
  <w:style w:type="paragraph" w:styleId="21">
    <w:name w:val="Body Text First Indent 2"/>
    <w:basedOn w:val="10"/>
    <w:next w:val="1"/>
    <w:qFormat/>
    <w:uiPriority w:val="99"/>
    <w:pPr>
      <w:ind w:firstLine="420" w:firstLineChars="200"/>
    </w:pPr>
  </w:style>
  <w:style w:type="table" w:styleId="23">
    <w:name w:val="Table Grid"/>
    <w:basedOn w:val="2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Strong"/>
    <w:basedOn w:val="24"/>
    <w:autoRedefine/>
    <w:qFormat/>
    <w:uiPriority w:val="0"/>
    <w:rPr>
      <w:b/>
    </w:rPr>
  </w:style>
  <w:style w:type="character" w:styleId="26">
    <w:name w:val="page number"/>
    <w:basedOn w:val="24"/>
    <w:autoRedefine/>
    <w:qFormat/>
    <w:uiPriority w:val="0"/>
  </w:style>
  <w:style w:type="character" w:styleId="27">
    <w:name w:val="FollowedHyperlink"/>
    <w:basedOn w:val="24"/>
    <w:autoRedefine/>
    <w:qFormat/>
    <w:uiPriority w:val="0"/>
    <w:rPr>
      <w:color w:val="800080"/>
      <w:u w:val="none"/>
    </w:rPr>
  </w:style>
  <w:style w:type="character" w:styleId="28">
    <w:name w:val="HTML Definition"/>
    <w:basedOn w:val="24"/>
    <w:autoRedefine/>
    <w:qFormat/>
    <w:uiPriority w:val="0"/>
  </w:style>
  <w:style w:type="character" w:styleId="29">
    <w:name w:val="HTML Typewriter"/>
    <w:basedOn w:val="24"/>
    <w:autoRedefine/>
    <w:qFormat/>
    <w:uiPriority w:val="0"/>
    <w:rPr>
      <w:rFonts w:hint="default" w:ascii="monospace" w:hAnsi="monospace" w:eastAsia="monospace" w:cs="monospace"/>
      <w:sz w:val="20"/>
    </w:rPr>
  </w:style>
  <w:style w:type="character" w:styleId="30">
    <w:name w:val="HTML Acronym"/>
    <w:basedOn w:val="24"/>
    <w:autoRedefine/>
    <w:qFormat/>
    <w:uiPriority w:val="0"/>
  </w:style>
  <w:style w:type="character" w:styleId="31">
    <w:name w:val="HTML Variable"/>
    <w:basedOn w:val="24"/>
    <w:autoRedefine/>
    <w:qFormat/>
    <w:uiPriority w:val="0"/>
  </w:style>
  <w:style w:type="character" w:styleId="32">
    <w:name w:val="Hyperlink"/>
    <w:basedOn w:val="24"/>
    <w:autoRedefine/>
    <w:qFormat/>
    <w:uiPriority w:val="99"/>
    <w:rPr>
      <w:color w:val="0000FF"/>
      <w:u w:val="single"/>
    </w:rPr>
  </w:style>
  <w:style w:type="character" w:styleId="33">
    <w:name w:val="HTML Code"/>
    <w:basedOn w:val="24"/>
    <w:autoRedefine/>
    <w:qFormat/>
    <w:uiPriority w:val="0"/>
    <w:rPr>
      <w:rFonts w:ascii="monospace" w:hAnsi="monospace" w:eastAsia="monospace" w:cs="monospace"/>
      <w:sz w:val="20"/>
    </w:rPr>
  </w:style>
  <w:style w:type="character" w:styleId="34">
    <w:name w:val="HTML Cite"/>
    <w:basedOn w:val="24"/>
    <w:autoRedefine/>
    <w:qFormat/>
    <w:uiPriority w:val="0"/>
  </w:style>
  <w:style w:type="character" w:styleId="35">
    <w:name w:val="HTML Keyboard"/>
    <w:basedOn w:val="24"/>
    <w:autoRedefine/>
    <w:qFormat/>
    <w:uiPriority w:val="0"/>
    <w:rPr>
      <w:rFonts w:hint="default" w:ascii="monospace" w:hAnsi="monospace" w:eastAsia="monospace" w:cs="monospace"/>
      <w:sz w:val="20"/>
    </w:rPr>
  </w:style>
  <w:style w:type="character" w:styleId="36">
    <w:name w:val="HTML Sample"/>
    <w:basedOn w:val="24"/>
    <w:autoRedefine/>
    <w:qFormat/>
    <w:uiPriority w:val="0"/>
    <w:rPr>
      <w:rFonts w:hint="default" w:ascii="monospace" w:hAnsi="monospace" w:eastAsia="monospace" w:cs="monospace"/>
    </w:rPr>
  </w:style>
  <w:style w:type="paragraph" w:customStyle="1" w:styleId="37">
    <w:name w:val="首行缩进"/>
    <w:basedOn w:val="1"/>
    <w:autoRedefine/>
    <w:qFormat/>
    <w:uiPriority w:val="0"/>
    <w:pPr>
      <w:ind w:firstLine="480" w:firstLineChars="200"/>
    </w:pPr>
    <w:rPr>
      <w:lang w:val="zh-CN"/>
    </w:rPr>
  </w:style>
  <w:style w:type="paragraph" w:customStyle="1" w:styleId="38">
    <w:name w:val="Default"/>
    <w:autoRedefine/>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39">
    <w:name w:val="Blockquote"/>
    <w:basedOn w:val="1"/>
    <w:autoRedefine/>
    <w:qFormat/>
    <w:uiPriority w:val="0"/>
    <w:pPr>
      <w:autoSpaceDE w:val="0"/>
      <w:autoSpaceDN w:val="0"/>
      <w:adjustRightInd w:val="0"/>
      <w:spacing w:before="100" w:after="100"/>
      <w:ind w:left="360" w:right="360"/>
      <w:jc w:val="left"/>
    </w:pPr>
    <w:rPr>
      <w:kern w:val="0"/>
      <w:sz w:val="24"/>
    </w:rPr>
  </w:style>
  <w:style w:type="paragraph" w:customStyle="1" w:styleId="40">
    <w:name w:val="Blockquote_0"/>
    <w:basedOn w:val="41"/>
    <w:autoRedefine/>
    <w:qFormat/>
    <w:uiPriority w:val="0"/>
    <w:pPr>
      <w:autoSpaceDE w:val="0"/>
      <w:autoSpaceDN w:val="0"/>
      <w:adjustRightInd w:val="0"/>
      <w:spacing w:before="100" w:after="100"/>
      <w:ind w:left="360" w:right="360"/>
      <w:jc w:val="left"/>
    </w:pPr>
    <w:rPr>
      <w:rFonts w:ascii="Times New Roman" w:hAnsi="Times New Roman"/>
      <w:kern w:val="0"/>
      <w:sz w:val="24"/>
      <w:szCs w:val="20"/>
    </w:rPr>
  </w:style>
  <w:style w:type="paragraph" w:customStyle="1" w:styleId="41">
    <w:name w:val="正文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2">
    <w:name w:val="GZTB表格样式"/>
    <w:basedOn w:val="1"/>
    <w:autoRedefine/>
    <w:qFormat/>
    <w:uiPriority w:val="0"/>
    <w:pPr>
      <w:spacing w:after="200" w:line="440" w:lineRule="exact"/>
    </w:pPr>
    <w:rPr>
      <w:rFonts w:ascii="新宋体" w:hAnsi="新宋体" w:eastAsia="新宋体"/>
      <w:szCs w:val="22"/>
    </w:rPr>
  </w:style>
  <w:style w:type="paragraph" w:customStyle="1" w:styleId="43">
    <w:name w:val="GZTB段落样式"/>
    <w:basedOn w:val="1"/>
    <w:autoRedefine/>
    <w:qFormat/>
    <w:uiPriority w:val="0"/>
    <w:pPr>
      <w:spacing w:after="200" w:line="440" w:lineRule="exact"/>
      <w:ind w:firstLine="420" w:firstLineChars="200"/>
    </w:pPr>
    <w:rPr>
      <w:rFonts w:ascii="新宋体" w:hAnsi="新宋体" w:eastAsia="新宋体"/>
      <w:szCs w:val="22"/>
    </w:rPr>
  </w:style>
  <w:style w:type="paragraph" w:customStyle="1" w:styleId="44">
    <w:name w:val="WPS Plain"/>
    <w:autoRedefine/>
    <w:qFormat/>
    <w:uiPriority w:val="0"/>
    <w:rPr>
      <w:rFonts w:ascii="Times New Roman" w:hAnsi="Times New Roman" w:eastAsia="宋体" w:cs="Times New Roman"/>
      <w:lang w:val="en-US" w:eastAsia="zh-CN" w:bidi="ar-SA"/>
    </w:rPr>
  </w:style>
  <w:style w:type="paragraph" w:customStyle="1" w:styleId="45">
    <w:name w:val="样式 标题 2 + Times New Roman 四号 非加粗 段前: 5 磅 段后: 0 磅 行距: 固定值 20..."/>
    <w:basedOn w:val="4"/>
    <w:autoRedefine/>
    <w:qFormat/>
    <w:uiPriority w:val="0"/>
    <w:pPr>
      <w:spacing w:before="100" w:after="0" w:line="400" w:lineRule="exact"/>
    </w:pPr>
    <w:rPr>
      <w:rFonts w:ascii="Times New Roman" w:hAnsi="Times New Roman" w:cs="宋体"/>
      <w:sz w:val="28"/>
    </w:rPr>
  </w:style>
  <w:style w:type="paragraph" w:customStyle="1" w:styleId="46">
    <w:name w:val="样式 标题 3 + (中文) 黑体 小四 非加粗 段前: 7.8 磅 段后: 0 磅 行距: 固定值 20 磅"/>
    <w:basedOn w:val="2"/>
    <w:autoRedefine/>
    <w:qFormat/>
    <w:uiPriority w:val="0"/>
    <w:pPr>
      <w:spacing w:before="0" w:after="0" w:line="400" w:lineRule="exact"/>
    </w:pPr>
    <w:rPr>
      <w:rFonts w:eastAsia="黑体" w:cs="宋体"/>
      <w:sz w:val="24"/>
      <w:szCs w:val="20"/>
    </w:rPr>
  </w:style>
  <w:style w:type="character" w:customStyle="1" w:styleId="47">
    <w:name w:val="脚注文本 Char"/>
    <w:basedOn w:val="24"/>
    <w:link w:val="17"/>
    <w:autoRedefine/>
    <w:qFormat/>
    <w:uiPriority w:val="0"/>
    <w:rPr>
      <w:kern w:val="2"/>
      <w:sz w:val="18"/>
    </w:rPr>
  </w:style>
  <w:style w:type="character" w:customStyle="1" w:styleId="48">
    <w:name w:val="Default Text Char Char"/>
    <w:link w:val="49"/>
    <w:autoRedefine/>
    <w:qFormat/>
    <w:uiPriority w:val="0"/>
    <w:rPr>
      <w:color w:val="000000"/>
      <w:sz w:val="24"/>
    </w:rPr>
  </w:style>
  <w:style w:type="paragraph" w:customStyle="1" w:styleId="49">
    <w:name w:val="Default Text"/>
    <w:link w:val="48"/>
    <w:autoRedefine/>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50">
    <w:name w:val="表格文字"/>
    <w:basedOn w:val="1"/>
    <w:autoRedefine/>
    <w:qFormat/>
    <w:uiPriority w:val="0"/>
    <w:pPr>
      <w:spacing w:before="25" w:after="25"/>
      <w:jc w:val="left"/>
    </w:pPr>
    <w:rPr>
      <w:rFonts w:ascii="Calibri" w:hAnsi="Calibri"/>
      <w:spacing w:val="10"/>
      <w:kern w:val="0"/>
      <w:sz w:val="24"/>
    </w:rPr>
  </w:style>
  <w:style w:type="character" w:customStyle="1" w:styleId="51">
    <w:name w:val="bookmark-item"/>
    <w:basedOn w:val="24"/>
    <w:autoRedefine/>
    <w:qFormat/>
    <w:uiPriority w:val="0"/>
  </w:style>
  <w:style w:type="character" w:customStyle="1" w:styleId="52">
    <w:name w:val="NormalCharacter"/>
    <w:autoRedefine/>
    <w:qFormat/>
    <w:uiPriority w:val="0"/>
  </w:style>
  <w:style w:type="paragraph" w:styleId="53">
    <w:name w:val="List Paragraph"/>
    <w:basedOn w:val="1"/>
    <w:autoRedefine/>
    <w:qFormat/>
    <w:uiPriority w:val="99"/>
    <w:pPr>
      <w:ind w:firstLine="420" w:firstLineChars="200"/>
    </w:pPr>
  </w:style>
  <w:style w:type="paragraph" w:customStyle="1" w:styleId="54">
    <w:name w:val="正文_2"/>
    <w:autoRedefine/>
    <w:qFormat/>
    <w:uiPriority w:val="0"/>
    <w:pPr>
      <w:widowControl w:val="0"/>
      <w:jc w:val="both"/>
    </w:pPr>
    <w:rPr>
      <w:rFonts w:ascii="Calibri" w:hAnsi="Calibri" w:eastAsia="宋体" w:cs="Times New Roman"/>
      <w:kern w:val="2"/>
      <w:sz w:val="21"/>
      <w:szCs w:val="22"/>
      <w:lang w:val="en-US" w:eastAsia="zh-CN" w:bidi="ar-SA"/>
    </w:rPr>
  </w:style>
  <w:style w:type="table" w:customStyle="1" w:styleId="55">
    <w:name w:val="Table Normal"/>
    <w:autoRedefine/>
    <w:qFormat/>
    <w:uiPriority w:val="0"/>
    <w:tblPr>
      <w:tblCellMar>
        <w:top w:w="0" w:type="dxa"/>
        <w:left w:w="0" w:type="dxa"/>
        <w:bottom w:w="0" w:type="dxa"/>
        <w:right w:w="0" w:type="dxa"/>
      </w:tblCellMar>
    </w:tblPr>
  </w:style>
  <w:style w:type="paragraph" w:customStyle="1" w:styleId="56">
    <w:name w:val="正文缩进_0"/>
    <w:basedOn w:val="54"/>
    <w:autoRedefine/>
    <w:semiHidden/>
    <w:qFormat/>
    <w:uiPriority w:val="0"/>
    <w:pPr>
      <w:ind w:firstLine="420" w:firstLineChars="200"/>
    </w:pPr>
    <w:rPr>
      <w:rFonts w:ascii="Calibri" w:hAnsi="Calibri"/>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64</Pages>
  <Words>15225</Words>
  <Characters>16434</Characters>
  <Paragraphs>1882</Paragraphs>
  <TotalTime>103</TotalTime>
  <ScaleCrop>false</ScaleCrop>
  <LinksUpToDate>false</LinksUpToDate>
  <CharactersWithSpaces>17773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2019-07-04T02:45:00Z</dcterms:created>
  <dc:creator>暖1367819621</dc:creator>
  <cp:lastModifiedBy>蓝天白云</cp:lastModifiedBy>
  <cp:lastPrinted>2023-10-07T08:48:00Z</cp:lastPrinted>
  <dcterms:modified xsi:type="dcterms:W3CDTF">2025-03-17T03:21:27Z</dcterms:modified>
  <cp:revision>339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6A91E231D02C46E28B5FA2FE81934A07_13</vt:lpwstr>
  </property>
  <property fmtid="{D5CDD505-2E9C-101B-9397-08002B2CF9AE}" pid="4" name="commondata">
    <vt:lpwstr>eyJoZGlkIjoiYTM4ZDU3NTZhZDljNDc0ZjViNmRlNWEzMDc1MGExZjcifQ==</vt:lpwstr>
  </property>
  <property fmtid="{D5CDD505-2E9C-101B-9397-08002B2CF9AE}" pid="5" name="KSOTemplateDocerSaveRecord">
    <vt:lpwstr>eyJoZGlkIjoiMzdiY2I4YTZjMzAyNTY3NjBlNDg5MGFiMGE3ODFhN2MiLCJ1c2VySWQiOiIzMjM2Mjc5NDYifQ==</vt:lpwstr>
  </property>
</Properties>
</file>