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6D93F1">
      <w:pPr>
        <w:pStyle w:val="8"/>
        <w:spacing w:line="250" w:lineRule="auto"/>
        <w:rPr>
          <w:color w:val="auto"/>
        </w:rPr>
      </w:pPr>
    </w:p>
    <w:p w14:paraId="72BE5F56">
      <w:pPr>
        <w:pStyle w:val="8"/>
        <w:spacing w:line="250" w:lineRule="auto"/>
        <w:rPr>
          <w:color w:val="auto"/>
        </w:rPr>
      </w:pPr>
    </w:p>
    <w:p w14:paraId="7253A632">
      <w:pPr>
        <w:pStyle w:val="8"/>
        <w:spacing w:line="251" w:lineRule="auto"/>
        <w:rPr>
          <w:color w:val="auto"/>
        </w:rPr>
      </w:pPr>
    </w:p>
    <w:p w14:paraId="6ADD8F33">
      <w:pPr>
        <w:pStyle w:val="8"/>
        <w:spacing w:line="251" w:lineRule="auto"/>
        <w:rPr>
          <w:color w:val="auto"/>
        </w:rPr>
      </w:pPr>
    </w:p>
    <w:p w14:paraId="7C79B82E">
      <w:pPr>
        <w:pStyle w:val="8"/>
        <w:spacing w:line="242" w:lineRule="auto"/>
        <w:jc w:val="center"/>
        <w:outlineLvl w:val="0"/>
        <w:rPr>
          <w:color w:val="auto"/>
          <w:lang w:eastAsia="zh-CN"/>
        </w:rPr>
      </w:pPr>
      <w:bookmarkStart w:id="0" w:name="_Toc9092"/>
      <w:bookmarkStart w:id="1" w:name="_Toc31230"/>
      <w:r>
        <w:rPr>
          <w:rFonts w:hint="eastAsia" w:ascii="黑体" w:hAnsi="黑体" w:eastAsia="黑体" w:cs="黑体"/>
          <w:color w:val="auto"/>
          <w:spacing w:val="10"/>
          <w:position w:val="33"/>
          <w:sz w:val="47"/>
          <w:szCs w:val="47"/>
          <w:lang w:eastAsia="zh-CN"/>
          <w14:textOutline w14:w="8712" w14:cap="sq" w14:cmpd="sng" w14:algn="ctr">
            <w14:solidFill>
              <w14:srgbClr w14:val="000000"/>
            </w14:solidFill>
            <w14:prstDash w14:val="solid"/>
            <w14:bevel/>
          </w14:textOutline>
        </w:rPr>
        <w:t>尼勒克县人民医院医疗服务能力数字设施标准化建设项目（包1）</w:t>
      </w:r>
      <w:bookmarkEnd w:id="0"/>
      <w:bookmarkEnd w:id="1"/>
    </w:p>
    <w:p w14:paraId="762ADA39">
      <w:pPr>
        <w:pStyle w:val="8"/>
        <w:spacing w:line="242" w:lineRule="auto"/>
        <w:rPr>
          <w:color w:val="auto"/>
          <w:lang w:eastAsia="zh-CN"/>
        </w:rPr>
      </w:pPr>
    </w:p>
    <w:p w14:paraId="409B8FC2">
      <w:pPr>
        <w:pStyle w:val="8"/>
        <w:spacing w:line="242" w:lineRule="auto"/>
        <w:rPr>
          <w:color w:val="auto"/>
          <w:lang w:eastAsia="zh-CN"/>
        </w:rPr>
      </w:pPr>
    </w:p>
    <w:p w14:paraId="5F64D256">
      <w:pPr>
        <w:pStyle w:val="8"/>
        <w:spacing w:line="242" w:lineRule="auto"/>
        <w:rPr>
          <w:color w:val="auto"/>
          <w:lang w:eastAsia="zh-CN"/>
        </w:rPr>
      </w:pPr>
    </w:p>
    <w:p w14:paraId="27E56EC3">
      <w:pPr>
        <w:pStyle w:val="8"/>
        <w:spacing w:line="242" w:lineRule="auto"/>
        <w:rPr>
          <w:color w:val="auto"/>
          <w:lang w:eastAsia="zh-CN"/>
        </w:rPr>
      </w:pPr>
    </w:p>
    <w:p w14:paraId="374558C8">
      <w:pPr>
        <w:pStyle w:val="8"/>
        <w:spacing w:line="242" w:lineRule="auto"/>
        <w:rPr>
          <w:color w:val="auto"/>
          <w:lang w:eastAsia="zh-CN"/>
        </w:rPr>
      </w:pPr>
    </w:p>
    <w:p w14:paraId="28CE3F47">
      <w:pPr>
        <w:pStyle w:val="8"/>
        <w:spacing w:line="242" w:lineRule="auto"/>
        <w:rPr>
          <w:color w:val="auto"/>
          <w:lang w:eastAsia="zh-CN"/>
        </w:rPr>
      </w:pPr>
    </w:p>
    <w:p w14:paraId="360DF868">
      <w:pPr>
        <w:pStyle w:val="8"/>
        <w:spacing w:line="242" w:lineRule="auto"/>
        <w:rPr>
          <w:color w:val="auto"/>
          <w:lang w:eastAsia="zh-CN"/>
        </w:rPr>
      </w:pPr>
    </w:p>
    <w:p w14:paraId="5371FFA0">
      <w:pPr>
        <w:pStyle w:val="8"/>
        <w:spacing w:line="243" w:lineRule="auto"/>
        <w:rPr>
          <w:color w:val="auto"/>
          <w:lang w:eastAsia="zh-CN"/>
        </w:rPr>
      </w:pPr>
    </w:p>
    <w:p w14:paraId="065B75FB">
      <w:pPr>
        <w:pStyle w:val="8"/>
        <w:spacing w:line="243" w:lineRule="auto"/>
        <w:rPr>
          <w:color w:val="auto"/>
          <w:lang w:eastAsia="zh-CN"/>
        </w:rPr>
      </w:pPr>
    </w:p>
    <w:p w14:paraId="5608168D">
      <w:pPr>
        <w:pStyle w:val="8"/>
        <w:spacing w:line="243" w:lineRule="auto"/>
        <w:rPr>
          <w:color w:val="auto"/>
          <w:lang w:eastAsia="zh-CN"/>
        </w:rPr>
      </w:pPr>
    </w:p>
    <w:p w14:paraId="0E3A127D">
      <w:pPr>
        <w:spacing w:before="309" w:line="210" w:lineRule="auto"/>
        <w:ind w:left="2786"/>
        <w:outlineLvl w:val="0"/>
        <w:rPr>
          <w:rFonts w:ascii="黑体" w:hAnsi="黑体" w:eastAsia="黑体" w:cs="黑体"/>
          <w:color w:val="auto"/>
          <w:sz w:val="95"/>
          <w:szCs w:val="95"/>
          <w:lang w:eastAsia="zh-CN"/>
        </w:rPr>
      </w:pPr>
      <w:bookmarkStart w:id="2" w:name="_Toc4048"/>
      <w:bookmarkStart w:id="3" w:name="_Toc21059"/>
      <w:bookmarkStart w:id="4" w:name="_Toc353"/>
      <w:r>
        <w:rPr>
          <w:rFonts w:ascii="黑体" w:hAnsi="黑体" w:eastAsia="黑体" w:cs="黑体"/>
          <w:color w:val="auto"/>
          <w:spacing w:val="4"/>
          <w:sz w:val="95"/>
          <w:szCs w:val="95"/>
          <w:lang w:eastAsia="zh-CN"/>
          <w14:textOutline w14:w="17437" w14:cap="sq" w14:cmpd="sng" w14:algn="ctr">
            <w14:solidFill>
              <w14:srgbClr w14:val="000000"/>
            </w14:solidFill>
            <w14:prstDash w14:val="solid"/>
            <w14:bevel/>
          </w14:textOutline>
        </w:rPr>
        <w:t>招标文件</w:t>
      </w:r>
      <w:bookmarkEnd w:id="2"/>
      <w:bookmarkEnd w:id="3"/>
      <w:bookmarkEnd w:id="4"/>
    </w:p>
    <w:p w14:paraId="553EA13C">
      <w:pPr>
        <w:spacing w:line="473" w:lineRule="exact"/>
        <w:ind w:left="1574"/>
        <w:rPr>
          <w:rFonts w:ascii="黑体" w:hAnsi="黑体" w:eastAsia="黑体" w:cs="黑体"/>
          <w:color w:val="auto"/>
          <w:spacing w:val="7"/>
          <w:position w:val="4"/>
          <w:sz w:val="31"/>
          <w:szCs w:val="31"/>
          <w:lang w:eastAsia="zh-CN"/>
          <w14:textOutline w14:w="5791" w14:cap="sq" w14:cmpd="sng" w14:algn="ctr">
            <w14:solidFill>
              <w14:srgbClr w14:val="000000"/>
            </w14:solidFill>
            <w14:prstDash w14:val="solid"/>
            <w14:bevel/>
          </w14:textOutline>
        </w:rPr>
      </w:pPr>
    </w:p>
    <w:p w14:paraId="63DEECA8">
      <w:pPr>
        <w:spacing w:line="473" w:lineRule="exact"/>
        <w:ind w:left="1574" w:firstLine="972" w:firstLineChars="300"/>
        <w:rPr>
          <w:rFonts w:ascii="Tahoma" w:hAnsi="Tahoma" w:eastAsia="黑体" w:cs="Tahoma"/>
          <w:color w:val="auto"/>
          <w:sz w:val="31"/>
          <w:szCs w:val="31"/>
          <w:lang w:eastAsia="zh-CN"/>
        </w:rPr>
      </w:pPr>
      <w:r>
        <w:rPr>
          <w:rFonts w:ascii="黑体" w:hAnsi="黑体" w:eastAsia="黑体" w:cs="黑体"/>
          <w:color w:val="auto"/>
          <w:spacing w:val="7"/>
          <w:position w:val="4"/>
          <w:sz w:val="31"/>
          <w:szCs w:val="31"/>
          <w:lang w:eastAsia="zh-CN"/>
          <w14:textOutline w14:w="5791" w14:cap="sq" w14:cmpd="sng" w14:algn="ctr">
            <w14:solidFill>
              <w14:srgbClr w14:val="000000"/>
            </w14:solidFill>
            <w14:prstDash w14:val="solid"/>
            <w14:bevel/>
          </w14:textOutline>
        </w:rPr>
        <w:t>项目编号：</w:t>
      </w:r>
      <w:r>
        <w:rPr>
          <w:rFonts w:hint="eastAsia" w:ascii="Tahoma" w:hAnsi="Tahoma" w:eastAsia="宋体" w:cs="Tahoma"/>
          <w:b/>
          <w:bCs/>
          <w:color w:val="auto"/>
          <w:position w:val="4"/>
          <w:sz w:val="31"/>
          <w:szCs w:val="31"/>
          <w:lang w:eastAsia="zh-CN"/>
        </w:rPr>
        <w:t>CTZB-2025-009</w:t>
      </w:r>
    </w:p>
    <w:p w14:paraId="1B9932C3">
      <w:pPr>
        <w:pStyle w:val="8"/>
        <w:spacing w:line="251" w:lineRule="auto"/>
        <w:rPr>
          <w:color w:val="auto"/>
          <w:lang w:eastAsia="zh-CN"/>
        </w:rPr>
      </w:pPr>
    </w:p>
    <w:p w14:paraId="41CF25B8">
      <w:pPr>
        <w:pStyle w:val="8"/>
        <w:spacing w:line="251" w:lineRule="auto"/>
        <w:rPr>
          <w:color w:val="auto"/>
          <w:lang w:eastAsia="zh-CN"/>
        </w:rPr>
      </w:pPr>
    </w:p>
    <w:p w14:paraId="4BFF17A3">
      <w:pPr>
        <w:pStyle w:val="8"/>
        <w:spacing w:line="251" w:lineRule="auto"/>
        <w:rPr>
          <w:color w:val="auto"/>
          <w:lang w:eastAsia="zh-CN"/>
        </w:rPr>
      </w:pPr>
    </w:p>
    <w:p w14:paraId="271B560D">
      <w:pPr>
        <w:pStyle w:val="8"/>
        <w:spacing w:line="252" w:lineRule="auto"/>
        <w:rPr>
          <w:color w:val="auto"/>
          <w:lang w:eastAsia="zh-CN"/>
        </w:rPr>
      </w:pPr>
    </w:p>
    <w:p w14:paraId="13845EA7">
      <w:pPr>
        <w:pStyle w:val="8"/>
        <w:spacing w:line="252" w:lineRule="auto"/>
        <w:rPr>
          <w:color w:val="auto"/>
          <w:lang w:eastAsia="zh-CN"/>
        </w:rPr>
      </w:pPr>
    </w:p>
    <w:p w14:paraId="569626F3">
      <w:pPr>
        <w:pStyle w:val="8"/>
        <w:spacing w:line="252" w:lineRule="auto"/>
        <w:rPr>
          <w:color w:val="auto"/>
          <w:lang w:eastAsia="zh-CN"/>
        </w:rPr>
      </w:pPr>
    </w:p>
    <w:p w14:paraId="34E82B72">
      <w:pPr>
        <w:pStyle w:val="8"/>
        <w:spacing w:line="252" w:lineRule="auto"/>
        <w:rPr>
          <w:color w:val="auto"/>
          <w:lang w:eastAsia="zh-CN"/>
        </w:rPr>
      </w:pPr>
    </w:p>
    <w:p w14:paraId="12F18564">
      <w:pPr>
        <w:pStyle w:val="8"/>
        <w:spacing w:line="252" w:lineRule="auto"/>
        <w:rPr>
          <w:color w:val="auto"/>
          <w:lang w:eastAsia="zh-CN"/>
        </w:rPr>
      </w:pPr>
    </w:p>
    <w:p w14:paraId="59C2D803">
      <w:pPr>
        <w:spacing w:before="98" w:line="360" w:lineRule="auto"/>
        <w:ind w:firstLine="1500" w:firstLineChars="500"/>
        <w:rPr>
          <w:rFonts w:ascii="黑体" w:hAnsi="黑体" w:eastAsia="黑体" w:cs="黑体"/>
          <w:color w:val="auto"/>
          <w:sz w:val="30"/>
          <w:szCs w:val="30"/>
          <w:lang w:eastAsia="zh-CN"/>
        </w:rPr>
      </w:pPr>
      <w:r>
        <w:rPr>
          <w:rFonts w:ascii="黑体" w:hAnsi="黑体" w:eastAsia="黑体" w:cs="黑体"/>
          <w:color w:val="auto"/>
          <w:sz w:val="30"/>
          <w:szCs w:val="30"/>
          <w:lang w:eastAsia="zh-CN"/>
          <w14:textOutline w14:w="5448" w14:cap="sq" w14:cmpd="sng" w14:algn="ctr">
            <w14:solidFill>
              <w14:srgbClr w14:val="000000"/>
            </w14:solidFill>
            <w14:prstDash w14:val="solid"/>
            <w14:bevel/>
          </w14:textOutline>
        </w:rPr>
        <w:t>招标人：</w:t>
      </w:r>
      <w:r>
        <w:rPr>
          <w:rFonts w:hint="eastAsia" w:ascii="黑体" w:hAnsi="黑体" w:eastAsia="黑体" w:cs="黑体"/>
          <w:color w:val="auto"/>
          <w:sz w:val="30"/>
          <w:szCs w:val="30"/>
          <w:lang w:eastAsia="zh-CN"/>
          <w14:textOutline w14:w="5448" w14:cap="sq" w14:cmpd="sng" w14:algn="ctr">
            <w14:solidFill>
              <w14:srgbClr w14:val="000000"/>
            </w14:solidFill>
            <w14:prstDash w14:val="solid"/>
            <w14:bevel/>
          </w14:textOutline>
        </w:rPr>
        <w:t>尼勒克县人民医院</w:t>
      </w:r>
    </w:p>
    <w:p w14:paraId="38AFFC05">
      <w:pPr>
        <w:spacing w:before="82" w:line="360" w:lineRule="auto"/>
        <w:ind w:left="1378"/>
        <w:rPr>
          <w:rFonts w:ascii="黑体" w:hAnsi="黑体" w:eastAsia="黑体" w:cs="黑体"/>
          <w:color w:val="auto"/>
          <w:sz w:val="30"/>
          <w:szCs w:val="30"/>
          <w:lang w:eastAsia="zh-CN"/>
        </w:rPr>
      </w:pPr>
      <w:r>
        <w:rPr>
          <w:rFonts w:ascii="黑体" w:hAnsi="黑体" w:eastAsia="黑体" w:cs="黑体"/>
          <w:color w:val="auto"/>
          <w:sz w:val="30"/>
          <w:szCs w:val="30"/>
          <w:lang w:eastAsia="zh-CN"/>
          <w14:textOutline w14:w="5448" w14:cap="sq" w14:cmpd="sng" w14:algn="ctr">
            <w14:solidFill>
              <w14:srgbClr w14:val="000000"/>
            </w14:solidFill>
            <w14:prstDash w14:val="solid"/>
            <w14:bevel/>
          </w14:textOutline>
        </w:rPr>
        <w:t>招标代理人：</w:t>
      </w:r>
      <w:r>
        <w:rPr>
          <w:rFonts w:hint="eastAsia" w:ascii="黑体" w:hAnsi="黑体" w:eastAsia="黑体" w:cs="黑体"/>
          <w:color w:val="auto"/>
          <w:sz w:val="30"/>
          <w:szCs w:val="30"/>
          <w:lang w:eastAsia="zh-CN"/>
          <w14:textOutline w14:w="5448" w14:cap="sq" w14:cmpd="sng" w14:algn="ctr">
            <w14:solidFill>
              <w14:srgbClr w14:val="000000"/>
            </w14:solidFill>
            <w14:prstDash w14:val="solid"/>
            <w14:bevel/>
          </w14:textOutline>
        </w:rPr>
        <w:t>新疆崇途工程项目管理有限公司</w:t>
      </w:r>
    </w:p>
    <w:p w14:paraId="42B831FA">
      <w:pPr>
        <w:spacing w:before="80" w:line="360" w:lineRule="auto"/>
        <w:ind w:left="3149"/>
        <w:rPr>
          <w:rFonts w:ascii="黑体" w:hAnsi="黑体" w:eastAsia="黑体" w:cs="黑体"/>
          <w:color w:val="auto"/>
          <w:sz w:val="30"/>
          <w:szCs w:val="30"/>
          <w:lang w:eastAsia="zh-CN"/>
        </w:rPr>
      </w:pPr>
      <w:r>
        <w:rPr>
          <w:rFonts w:ascii="黑体" w:hAnsi="黑体" w:eastAsia="黑体" w:cs="黑体"/>
          <w:color w:val="auto"/>
          <w:spacing w:val="-7"/>
          <w:sz w:val="30"/>
          <w:szCs w:val="30"/>
          <w:lang w:eastAsia="zh-CN"/>
          <w14:textOutline w14:w="5448" w14:cap="sq" w14:cmpd="sng" w14:algn="ctr">
            <w14:solidFill>
              <w14:srgbClr w14:val="000000"/>
            </w14:solidFill>
            <w14:prstDash w14:val="solid"/>
            <w14:bevel/>
          </w14:textOutline>
        </w:rPr>
        <w:t>日</w:t>
      </w:r>
      <w:r>
        <w:rPr>
          <w:rFonts w:ascii="黑体" w:hAnsi="黑体" w:eastAsia="黑体" w:cs="黑体"/>
          <w:color w:val="auto"/>
          <w:spacing w:val="-7"/>
          <w:sz w:val="30"/>
          <w:szCs w:val="30"/>
          <w:lang w:eastAsia="zh-CN"/>
        </w:rPr>
        <w:t xml:space="preserve">  </w:t>
      </w:r>
      <w:r>
        <w:rPr>
          <w:rFonts w:ascii="黑体" w:hAnsi="黑体" w:eastAsia="黑体" w:cs="黑体"/>
          <w:color w:val="auto"/>
          <w:spacing w:val="-7"/>
          <w:sz w:val="30"/>
          <w:szCs w:val="30"/>
          <w:lang w:eastAsia="zh-CN"/>
          <w14:textOutline w14:w="5448" w14:cap="sq" w14:cmpd="sng" w14:algn="ctr">
            <w14:solidFill>
              <w14:srgbClr w14:val="000000"/>
            </w14:solidFill>
            <w14:prstDash w14:val="solid"/>
            <w14:bevel/>
          </w14:textOutline>
        </w:rPr>
        <w:t>期：</w:t>
      </w:r>
      <w:r>
        <w:rPr>
          <w:rFonts w:ascii="Tahoma" w:hAnsi="Tahoma" w:eastAsia="Tahoma" w:cs="Tahoma"/>
          <w:b/>
          <w:bCs/>
          <w:color w:val="auto"/>
          <w:spacing w:val="-7"/>
          <w:sz w:val="30"/>
          <w:szCs w:val="30"/>
          <w:lang w:eastAsia="zh-CN"/>
        </w:rPr>
        <w:t>202</w:t>
      </w:r>
      <w:r>
        <w:rPr>
          <w:rFonts w:hint="eastAsia" w:ascii="Tahoma" w:hAnsi="Tahoma" w:eastAsia="Tahoma" w:cs="Tahoma"/>
          <w:b/>
          <w:bCs/>
          <w:color w:val="auto"/>
          <w:spacing w:val="-7"/>
          <w:sz w:val="30"/>
          <w:szCs w:val="30"/>
          <w:lang w:val="en-US" w:eastAsia="zh-CN"/>
        </w:rPr>
        <w:t>5</w:t>
      </w:r>
      <w:r>
        <w:rPr>
          <w:rFonts w:ascii="黑体" w:hAnsi="黑体" w:eastAsia="黑体" w:cs="黑体"/>
          <w:color w:val="auto"/>
          <w:spacing w:val="-7"/>
          <w:sz w:val="30"/>
          <w:szCs w:val="30"/>
          <w:lang w:eastAsia="zh-CN"/>
          <w14:textOutline w14:w="5448" w14:cap="sq" w14:cmpd="sng" w14:algn="ctr">
            <w14:solidFill>
              <w14:srgbClr w14:val="000000"/>
            </w14:solidFill>
            <w14:prstDash w14:val="solid"/>
            <w14:bevel/>
          </w14:textOutline>
        </w:rPr>
        <w:t>年</w:t>
      </w:r>
      <w:r>
        <w:rPr>
          <w:rFonts w:hint="eastAsia" w:ascii="Tahoma" w:hAnsi="Tahoma" w:eastAsia="Tahoma" w:cs="Tahoma"/>
          <w:b/>
          <w:bCs/>
          <w:color w:val="auto"/>
          <w:spacing w:val="-7"/>
          <w:sz w:val="30"/>
          <w:szCs w:val="30"/>
          <w:lang w:val="en-US" w:eastAsia="zh-CN"/>
        </w:rPr>
        <w:t>4</w:t>
      </w:r>
      <w:r>
        <w:rPr>
          <w:rFonts w:ascii="黑体" w:hAnsi="黑体" w:eastAsia="黑体" w:cs="黑体"/>
          <w:color w:val="auto"/>
          <w:spacing w:val="-7"/>
          <w:sz w:val="30"/>
          <w:szCs w:val="30"/>
          <w:lang w:eastAsia="zh-CN"/>
          <w14:textOutline w14:w="5448" w14:cap="sq" w14:cmpd="sng" w14:algn="ctr">
            <w14:solidFill>
              <w14:srgbClr w14:val="000000"/>
            </w14:solidFill>
            <w14:prstDash w14:val="solid"/>
            <w14:bevel/>
          </w14:textOutline>
        </w:rPr>
        <w:t>月</w:t>
      </w:r>
    </w:p>
    <w:p w14:paraId="127522AF">
      <w:pPr>
        <w:spacing w:line="223" w:lineRule="auto"/>
        <w:rPr>
          <w:rFonts w:ascii="黑体" w:hAnsi="黑体" w:eastAsia="黑体" w:cs="黑体"/>
          <w:color w:val="auto"/>
          <w:sz w:val="30"/>
          <w:szCs w:val="30"/>
          <w:lang w:eastAsia="zh-CN"/>
        </w:rPr>
        <w:sectPr>
          <w:footerReference r:id="rId3" w:type="default"/>
          <w:pgSz w:w="12240" w:h="15840"/>
          <w:pgMar w:top="1440" w:right="1080" w:bottom="1440" w:left="1080" w:header="873" w:footer="722" w:gutter="0"/>
          <w:pgBorders>
            <w:top w:val="none" w:sz="0" w:space="0"/>
            <w:left w:val="none" w:sz="0" w:space="0"/>
            <w:bottom w:val="none" w:sz="0" w:space="0"/>
            <w:right w:val="none" w:sz="0" w:space="0"/>
          </w:pgBorders>
          <w:pgNumType w:fmt="decimal"/>
          <w:cols w:space="720" w:num="1"/>
        </w:sectPr>
      </w:pPr>
    </w:p>
    <w:sdt>
      <w:sdtPr>
        <w:rPr>
          <w:rFonts w:ascii="宋体" w:hAnsi="宋体" w:eastAsia="宋体" w:cs="Arial"/>
          <w:b/>
          <w:bCs/>
          <w:snapToGrid w:val="0"/>
          <w:color w:val="000000"/>
          <w:sz w:val="28"/>
          <w:szCs w:val="28"/>
          <w:lang w:val="en-US" w:eastAsia="en-US" w:bidi="ar-SA"/>
        </w:rPr>
        <w:id w:val="147480203"/>
        <w15:color w:val="DBDBDB"/>
        <w:docPartObj>
          <w:docPartGallery w:val="Table of Contents"/>
          <w:docPartUnique/>
        </w:docPartObj>
      </w:sdtPr>
      <w:sdtEndPr>
        <w:rPr>
          <w:rFonts w:ascii="Arial" w:hAnsi="Arial" w:eastAsia="Arial" w:cs="Arial"/>
          <w:b/>
          <w:bCs/>
          <w:snapToGrid w:val="0"/>
          <w:color w:val="000000"/>
          <w:sz w:val="21"/>
          <w:szCs w:val="21"/>
          <w:lang w:val="en-US" w:eastAsia="zh-CN" w:bidi="ar-SA"/>
        </w:rPr>
      </w:sdtEndPr>
      <w:sdtContent>
        <w:p w14:paraId="3831E53B">
          <w:pPr>
            <w:spacing w:before="0" w:beforeLines="0" w:after="0" w:afterLines="0" w:line="240" w:lineRule="auto"/>
            <w:ind w:left="0" w:leftChars="0" w:right="0" w:rightChars="0" w:firstLine="0" w:firstLineChars="0"/>
            <w:jc w:val="center"/>
            <w:rPr>
              <w:rFonts w:ascii="宋体" w:hAnsi="宋体" w:eastAsia="宋体"/>
              <w:b/>
              <w:bCs/>
              <w:sz w:val="28"/>
              <w:szCs w:val="28"/>
            </w:rPr>
          </w:pPr>
          <w:r>
            <w:rPr>
              <w:rFonts w:ascii="宋体" w:hAnsi="宋体" w:eastAsia="宋体"/>
              <w:b/>
              <w:bCs/>
              <w:sz w:val="28"/>
              <w:szCs w:val="28"/>
            </w:rPr>
            <w:t>目录</w:t>
          </w:r>
        </w:p>
        <w:p w14:paraId="0FCDF424">
          <w:pPr>
            <w:spacing w:before="0" w:beforeLines="0" w:after="0" w:afterLines="0" w:line="240" w:lineRule="auto"/>
            <w:ind w:left="0" w:leftChars="0" w:right="0" w:rightChars="0" w:firstLine="0" w:firstLineChars="0"/>
            <w:jc w:val="center"/>
            <w:rPr>
              <w:rFonts w:ascii="宋体" w:hAnsi="宋体" w:eastAsia="宋体"/>
              <w:b/>
              <w:bCs/>
              <w:sz w:val="28"/>
              <w:szCs w:val="28"/>
            </w:rPr>
          </w:pPr>
        </w:p>
        <w:p w14:paraId="101E05BB">
          <w:pPr>
            <w:pStyle w:val="53"/>
            <w:keepNext w:val="0"/>
            <w:keepLines w:val="0"/>
            <w:pageBreakBefore w:val="0"/>
            <w:widowControl/>
            <w:tabs>
              <w:tab w:val="right" w:leader="dot" w:pos="10080"/>
            </w:tabs>
            <w:wordWrap/>
            <w:overflowPunct/>
            <w:topLinePunct w:val="0"/>
            <w:bidi w:val="0"/>
            <w:spacing w:line="960" w:lineRule="auto"/>
            <w:rPr>
              <w:rFonts w:hint="eastAsia" w:ascii="黑体" w:hAnsi="黑体" w:eastAsia="黑体" w:cs="黑体"/>
              <w:b/>
              <w:bCs/>
              <w:sz w:val="28"/>
              <w:szCs w:val="28"/>
            </w:rPr>
          </w:pPr>
          <w:r>
            <w:rPr>
              <w:rFonts w:hint="eastAsia" w:ascii="黑体" w:hAnsi="黑体" w:eastAsia="黑体" w:cs="黑体"/>
              <w:b/>
              <w:bCs/>
              <w:sz w:val="21"/>
              <w:szCs w:val="21"/>
              <w:lang w:eastAsia="zh-CN"/>
            </w:rPr>
            <w:fldChar w:fldCharType="begin"/>
          </w:r>
          <w:r>
            <w:rPr>
              <w:rFonts w:hint="eastAsia" w:ascii="黑体" w:hAnsi="黑体" w:eastAsia="黑体" w:cs="黑体"/>
              <w:b/>
              <w:bCs/>
              <w:sz w:val="21"/>
              <w:szCs w:val="21"/>
              <w:lang w:eastAsia="zh-CN"/>
            </w:rPr>
            <w:instrText xml:space="preserve">TOC \o "1-1" \h \u </w:instrText>
          </w:r>
          <w:r>
            <w:rPr>
              <w:rFonts w:hint="eastAsia" w:ascii="黑体" w:hAnsi="黑体" w:eastAsia="黑体" w:cs="黑体"/>
              <w:b/>
              <w:bCs/>
              <w:sz w:val="21"/>
              <w:szCs w:val="21"/>
              <w:lang w:eastAsia="zh-CN"/>
            </w:rPr>
            <w:fldChar w:fldCharType="separate"/>
          </w:r>
          <w:r>
            <w:rPr>
              <w:rFonts w:hint="eastAsia" w:ascii="黑体" w:hAnsi="黑体" w:eastAsia="黑体" w:cs="黑体"/>
              <w:b/>
              <w:bCs/>
              <w:sz w:val="28"/>
              <w:szCs w:val="28"/>
              <w:lang w:eastAsia="zh-CN"/>
            </w:rPr>
            <w:fldChar w:fldCharType="begin"/>
          </w:r>
          <w:r>
            <w:rPr>
              <w:rFonts w:hint="eastAsia" w:ascii="黑体" w:hAnsi="黑体" w:eastAsia="黑体" w:cs="黑体"/>
              <w:b/>
              <w:bCs/>
              <w:sz w:val="28"/>
              <w:szCs w:val="28"/>
              <w:lang w:eastAsia="zh-CN"/>
            </w:rPr>
            <w:instrText xml:space="preserve"> HYPERLINK \l _Toc11942 </w:instrText>
          </w:r>
          <w:r>
            <w:rPr>
              <w:rFonts w:hint="eastAsia" w:ascii="黑体" w:hAnsi="黑体" w:eastAsia="黑体" w:cs="黑体"/>
              <w:b/>
              <w:bCs/>
              <w:sz w:val="28"/>
              <w:szCs w:val="28"/>
              <w:lang w:eastAsia="zh-CN"/>
            </w:rPr>
            <w:fldChar w:fldCharType="separate"/>
          </w:r>
          <w:r>
            <w:rPr>
              <w:rFonts w:hint="eastAsia" w:ascii="黑体" w:hAnsi="黑体" w:eastAsia="黑体" w:cs="黑体"/>
              <w:b/>
              <w:bCs/>
              <w:sz w:val="28"/>
              <w:szCs w:val="28"/>
              <w:lang w:eastAsia="zh-CN"/>
            </w:rPr>
            <w:t>第一章  招标公告</w:t>
          </w:r>
          <w:r>
            <w:rPr>
              <w:rFonts w:hint="eastAsia" w:ascii="黑体" w:hAnsi="黑体" w:eastAsia="黑体" w:cs="黑体"/>
              <w:b/>
              <w:bCs/>
              <w:sz w:val="28"/>
              <w:szCs w:val="28"/>
            </w:rPr>
            <w:tab/>
          </w:r>
          <w:r>
            <w:rPr>
              <w:rFonts w:hint="eastAsia" w:ascii="黑体" w:hAnsi="黑体" w:eastAsia="黑体" w:cs="黑体"/>
              <w:b/>
              <w:bCs/>
              <w:sz w:val="28"/>
              <w:szCs w:val="28"/>
            </w:rPr>
            <w:fldChar w:fldCharType="begin"/>
          </w:r>
          <w:r>
            <w:rPr>
              <w:rFonts w:hint="eastAsia" w:ascii="黑体" w:hAnsi="黑体" w:eastAsia="黑体" w:cs="黑体"/>
              <w:b/>
              <w:bCs/>
              <w:sz w:val="28"/>
              <w:szCs w:val="28"/>
            </w:rPr>
            <w:instrText xml:space="preserve"> PAGEREF _Toc11942 \h </w:instrText>
          </w:r>
          <w:r>
            <w:rPr>
              <w:rFonts w:hint="eastAsia" w:ascii="黑体" w:hAnsi="黑体" w:eastAsia="黑体" w:cs="黑体"/>
              <w:b/>
              <w:bCs/>
              <w:sz w:val="28"/>
              <w:szCs w:val="28"/>
            </w:rPr>
            <w:fldChar w:fldCharType="separate"/>
          </w:r>
          <w:r>
            <w:rPr>
              <w:rFonts w:hint="eastAsia" w:ascii="黑体" w:hAnsi="黑体" w:eastAsia="黑体" w:cs="黑体"/>
              <w:b/>
              <w:bCs/>
              <w:sz w:val="28"/>
              <w:szCs w:val="28"/>
            </w:rPr>
            <w:t>3</w:t>
          </w:r>
          <w:r>
            <w:rPr>
              <w:rFonts w:hint="eastAsia" w:ascii="黑体" w:hAnsi="黑体" w:eastAsia="黑体" w:cs="黑体"/>
              <w:b/>
              <w:bCs/>
              <w:sz w:val="28"/>
              <w:szCs w:val="28"/>
            </w:rPr>
            <w:fldChar w:fldCharType="end"/>
          </w:r>
          <w:r>
            <w:rPr>
              <w:rFonts w:hint="eastAsia" w:ascii="黑体" w:hAnsi="黑体" w:eastAsia="黑体" w:cs="黑体"/>
              <w:b/>
              <w:bCs/>
              <w:sz w:val="28"/>
              <w:szCs w:val="28"/>
              <w:lang w:eastAsia="zh-CN"/>
            </w:rPr>
            <w:fldChar w:fldCharType="end"/>
          </w:r>
        </w:p>
        <w:p w14:paraId="2B7B67E1">
          <w:pPr>
            <w:pStyle w:val="53"/>
            <w:keepNext w:val="0"/>
            <w:keepLines w:val="0"/>
            <w:pageBreakBefore w:val="0"/>
            <w:widowControl/>
            <w:tabs>
              <w:tab w:val="right" w:leader="dot" w:pos="10080"/>
            </w:tabs>
            <w:wordWrap/>
            <w:overflowPunct/>
            <w:topLinePunct w:val="0"/>
            <w:bidi w:val="0"/>
            <w:spacing w:line="960" w:lineRule="auto"/>
            <w:rPr>
              <w:rFonts w:hint="eastAsia" w:ascii="黑体" w:hAnsi="黑体" w:eastAsia="黑体" w:cs="黑体"/>
              <w:b/>
              <w:bCs/>
              <w:sz w:val="28"/>
              <w:szCs w:val="28"/>
            </w:rPr>
          </w:pPr>
          <w:r>
            <w:rPr>
              <w:rFonts w:hint="eastAsia" w:ascii="黑体" w:hAnsi="黑体" w:eastAsia="黑体" w:cs="黑体"/>
              <w:b/>
              <w:bCs/>
              <w:sz w:val="28"/>
              <w:szCs w:val="28"/>
              <w:lang w:eastAsia="zh-CN"/>
            </w:rPr>
            <w:fldChar w:fldCharType="begin"/>
          </w:r>
          <w:r>
            <w:rPr>
              <w:rFonts w:hint="eastAsia" w:ascii="黑体" w:hAnsi="黑体" w:eastAsia="黑体" w:cs="黑体"/>
              <w:b/>
              <w:bCs/>
              <w:sz w:val="28"/>
              <w:szCs w:val="28"/>
              <w:lang w:eastAsia="zh-CN"/>
            </w:rPr>
            <w:instrText xml:space="preserve"> HYPERLINK \l _Toc5770 </w:instrText>
          </w:r>
          <w:r>
            <w:rPr>
              <w:rFonts w:hint="eastAsia" w:ascii="黑体" w:hAnsi="黑体" w:eastAsia="黑体" w:cs="黑体"/>
              <w:b/>
              <w:bCs/>
              <w:sz w:val="28"/>
              <w:szCs w:val="28"/>
              <w:lang w:eastAsia="zh-CN"/>
            </w:rPr>
            <w:fldChar w:fldCharType="separate"/>
          </w:r>
          <w:r>
            <w:rPr>
              <w:rFonts w:hint="eastAsia" w:ascii="黑体" w:hAnsi="黑体" w:eastAsia="黑体" w:cs="黑体"/>
              <w:b/>
              <w:bCs/>
              <w:sz w:val="28"/>
              <w:szCs w:val="28"/>
              <w:lang w:eastAsia="zh-CN"/>
            </w:rPr>
            <w:t>第二章  投标人须知</w:t>
          </w:r>
          <w:r>
            <w:rPr>
              <w:rFonts w:hint="eastAsia" w:ascii="黑体" w:hAnsi="黑体" w:eastAsia="黑体" w:cs="黑体"/>
              <w:b/>
              <w:bCs/>
              <w:sz w:val="28"/>
              <w:szCs w:val="28"/>
            </w:rPr>
            <w:tab/>
          </w:r>
          <w:r>
            <w:rPr>
              <w:rFonts w:hint="eastAsia" w:ascii="黑体" w:hAnsi="黑体" w:eastAsia="黑体" w:cs="黑体"/>
              <w:b/>
              <w:bCs/>
              <w:sz w:val="28"/>
              <w:szCs w:val="28"/>
            </w:rPr>
            <w:fldChar w:fldCharType="begin"/>
          </w:r>
          <w:r>
            <w:rPr>
              <w:rFonts w:hint="eastAsia" w:ascii="黑体" w:hAnsi="黑体" w:eastAsia="黑体" w:cs="黑体"/>
              <w:b/>
              <w:bCs/>
              <w:sz w:val="28"/>
              <w:szCs w:val="28"/>
            </w:rPr>
            <w:instrText xml:space="preserve"> PAGEREF _Toc5770 \h </w:instrText>
          </w:r>
          <w:r>
            <w:rPr>
              <w:rFonts w:hint="eastAsia" w:ascii="黑体" w:hAnsi="黑体" w:eastAsia="黑体" w:cs="黑体"/>
              <w:b/>
              <w:bCs/>
              <w:sz w:val="28"/>
              <w:szCs w:val="28"/>
            </w:rPr>
            <w:fldChar w:fldCharType="separate"/>
          </w:r>
          <w:r>
            <w:rPr>
              <w:rFonts w:hint="eastAsia" w:ascii="黑体" w:hAnsi="黑体" w:eastAsia="黑体" w:cs="黑体"/>
              <w:b/>
              <w:bCs/>
              <w:sz w:val="28"/>
              <w:szCs w:val="28"/>
            </w:rPr>
            <w:t>8</w:t>
          </w:r>
          <w:r>
            <w:rPr>
              <w:rFonts w:hint="eastAsia" w:ascii="黑体" w:hAnsi="黑体" w:eastAsia="黑体" w:cs="黑体"/>
              <w:b/>
              <w:bCs/>
              <w:sz w:val="28"/>
              <w:szCs w:val="28"/>
            </w:rPr>
            <w:fldChar w:fldCharType="end"/>
          </w:r>
          <w:r>
            <w:rPr>
              <w:rFonts w:hint="eastAsia" w:ascii="黑体" w:hAnsi="黑体" w:eastAsia="黑体" w:cs="黑体"/>
              <w:b/>
              <w:bCs/>
              <w:sz w:val="28"/>
              <w:szCs w:val="28"/>
              <w:lang w:eastAsia="zh-CN"/>
            </w:rPr>
            <w:fldChar w:fldCharType="end"/>
          </w:r>
        </w:p>
        <w:p w14:paraId="71447F0B">
          <w:pPr>
            <w:pStyle w:val="53"/>
            <w:keepNext w:val="0"/>
            <w:keepLines w:val="0"/>
            <w:pageBreakBefore w:val="0"/>
            <w:widowControl/>
            <w:tabs>
              <w:tab w:val="right" w:leader="dot" w:pos="10080"/>
            </w:tabs>
            <w:wordWrap/>
            <w:overflowPunct/>
            <w:topLinePunct w:val="0"/>
            <w:bidi w:val="0"/>
            <w:spacing w:line="960" w:lineRule="auto"/>
            <w:rPr>
              <w:rFonts w:hint="eastAsia" w:ascii="黑体" w:hAnsi="黑体" w:eastAsia="黑体" w:cs="黑体"/>
              <w:b/>
              <w:bCs/>
              <w:sz w:val="28"/>
              <w:szCs w:val="28"/>
            </w:rPr>
          </w:pPr>
          <w:r>
            <w:rPr>
              <w:rFonts w:hint="eastAsia" w:ascii="黑体" w:hAnsi="黑体" w:eastAsia="黑体" w:cs="黑体"/>
              <w:b/>
              <w:bCs/>
              <w:sz w:val="28"/>
              <w:szCs w:val="28"/>
              <w:lang w:eastAsia="zh-CN"/>
            </w:rPr>
            <w:fldChar w:fldCharType="begin"/>
          </w:r>
          <w:r>
            <w:rPr>
              <w:rFonts w:hint="eastAsia" w:ascii="黑体" w:hAnsi="黑体" w:eastAsia="黑体" w:cs="黑体"/>
              <w:b/>
              <w:bCs/>
              <w:sz w:val="28"/>
              <w:szCs w:val="28"/>
              <w:lang w:eastAsia="zh-CN"/>
            </w:rPr>
            <w:instrText xml:space="preserve"> HYPERLINK \l _Toc742 </w:instrText>
          </w:r>
          <w:r>
            <w:rPr>
              <w:rFonts w:hint="eastAsia" w:ascii="黑体" w:hAnsi="黑体" w:eastAsia="黑体" w:cs="黑体"/>
              <w:b/>
              <w:bCs/>
              <w:sz w:val="28"/>
              <w:szCs w:val="28"/>
              <w:lang w:eastAsia="zh-CN"/>
            </w:rPr>
            <w:fldChar w:fldCharType="separate"/>
          </w:r>
          <w:r>
            <w:rPr>
              <w:rFonts w:hint="eastAsia" w:ascii="黑体" w:hAnsi="黑体" w:eastAsia="黑体" w:cs="黑体"/>
              <w:b/>
              <w:bCs/>
              <w:sz w:val="28"/>
              <w:szCs w:val="28"/>
              <w:lang w:eastAsia="zh-CN"/>
            </w:rPr>
            <w:t>第三章  评标办法</w:t>
          </w:r>
          <w:r>
            <w:rPr>
              <w:rFonts w:hint="eastAsia" w:ascii="黑体" w:hAnsi="黑体" w:eastAsia="黑体" w:cs="黑体"/>
              <w:b/>
              <w:bCs/>
              <w:sz w:val="28"/>
              <w:szCs w:val="28"/>
            </w:rPr>
            <w:tab/>
          </w:r>
          <w:r>
            <w:rPr>
              <w:rFonts w:hint="eastAsia" w:ascii="黑体" w:hAnsi="黑体" w:eastAsia="黑体" w:cs="黑体"/>
              <w:b/>
              <w:bCs/>
              <w:sz w:val="28"/>
              <w:szCs w:val="28"/>
            </w:rPr>
            <w:fldChar w:fldCharType="begin"/>
          </w:r>
          <w:r>
            <w:rPr>
              <w:rFonts w:hint="eastAsia" w:ascii="黑体" w:hAnsi="黑体" w:eastAsia="黑体" w:cs="黑体"/>
              <w:b/>
              <w:bCs/>
              <w:sz w:val="28"/>
              <w:szCs w:val="28"/>
            </w:rPr>
            <w:instrText xml:space="preserve"> PAGEREF _Toc742 \h </w:instrText>
          </w:r>
          <w:r>
            <w:rPr>
              <w:rFonts w:hint="eastAsia" w:ascii="黑体" w:hAnsi="黑体" w:eastAsia="黑体" w:cs="黑体"/>
              <w:b/>
              <w:bCs/>
              <w:sz w:val="28"/>
              <w:szCs w:val="28"/>
            </w:rPr>
            <w:fldChar w:fldCharType="separate"/>
          </w:r>
          <w:r>
            <w:rPr>
              <w:rFonts w:hint="eastAsia" w:ascii="黑体" w:hAnsi="黑体" w:eastAsia="黑体" w:cs="黑体"/>
              <w:b/>
              <w:bCs/>
              <w:sz w:val="28"/>
              <w:szCs w:val="28"/>
            </w:rPr>
            <w:t>30</w:t>
          </w:r>
          <w:r>
            <w:rPr>
              <w:rFonts w:hint="eastAsia" w:ascii="黑体" w:hAnsi="黑体" w:eastAsia="黑体" w:cs="黑体"/>
              <w:b/>
              <w:bCs/>
              <w:sz w:val="28"/>
              <w:szCs w:val="28"/>
            </w:rPr>
            <w:fldChar w:fldCharType="end"/>
          </w:r>
          <w:r>
            <w:rPr>
              <w:rFonts w:hint="eastAsia" w:ascii="黑体" w:hAnsi="黑体" w:eastAsia="黑体" w:cs="黑体"/>
              <w:b/>
              <w:bCs/>
              <w:sz w:val="28"/>
              <w:szCs w:val="28"/>
              <w:lang w:eastAsia="zh-CN"/>
            </w:rPr>
            <w:fldChar w:fldCharType="end"/>
          </w:r>
        </w:p>
        <w:p w14:paraId="1A2E9BFC">
          <w:pPr>
            <w:pStyle w:val="53"/>
            <w:keepNext w:val="0"/>
            <w:keepLines w:val="0"/>
            <w:pageBreakBefore w:val="0"/>
            <w:widowControl/>
            <w:tabs>
              <w:tab w:val="right" w:leader="dot" w:pos="10080"/>
            </w:tabs>
            <w:wordWrap/>
            <w:overflowPunct/>
            <w:topLinePunct w:val="0"/>
            <w:bidi w:val="0"/>
            <w:spacing w:line="960" w:lineRule="auto"/>
            <w:rPr>
              <w:rFonts w:hint="eastAsia" w:ascii="黑体" w:hAnsi="黑体" w:eastAsia="黑体" w:cs="黑体"/>
              <w:b/>
              <w:bCs/>
              <w:sz w:val="28"/>
              <w:szCs w:val="28"/>
            </w:rPr>
          </w:pPr>
          <w:r>
            <w:rPr>
              <w:rFonts w:hint="eastAsia" w:ascii="黑体" w:hAnsi="黑体" w:eastAsia="黑体" w:cs="黑体"/>
              <w:b/>
              <w:bCs/>
              <w:sz w:val="28"/>
              <w:szCs w:val="28"/>
              <w:lang w:eastAsia="zh-CN"/>
            </w:rPr>
            <w:fldChar w:fldCharType="begin"/>
          </w:r>
          <w:r>
            <w:rPr>
              <w:rFonts w:hint="eastAsia" w:ascii="黑体" w:hAnsi="黑体" w:eastAsia="黑体" w:cs="黑体"/>
              <w:b/>
              <w:bCs/>
              <w:sz w:val="28"/>
              <w:szCs w:val="28"/>
              <w:lang w:eastAsia="zh-CN"/>
            </w:rPr>
            <w:instrText xml:space="preserve"> HYPERLINK \l _Toc22364 </w:instrText>
          </w:r>
          <w:r>
            <w:rPr>
              <w:rFonts w:hint="eastAsia" w:ascii="黑体" w:hAnsi="黑体" w:eastAsia="黑体" w:cs="黑体"/>
              <w:b/>
              <w:bCs/>
              <w:sz w:val="28"/>
              <w:szCs w:val="28"/>
              <w:lang w:eastAsia="zh-CN"/>
            </w:rPr>
            <w:fldChar w:fldCharType="separate"/>
          </w:r>
          <w:r>
            <w:rPr>
              <w:rFonts w:hint="eastAsia" w:ascii="黑体" w:hAnsi="黑体" w:eastAsia="黑体" w:cs="黑体"/>
              <w:b/>
              <w:bCs/>
              <w:sz w:val="28"/>
              <w:szCs w:val="28"/>
              <w:lang w:eastAsia="zh-CN"/>
            </w:rPr>
            <w:t>第四章 合同附件格式及条款</w:t>
          </w:r>
          <w:r>
            <w:rPr>
              <w:rFonts w:hint="eastAsia" w:ascii="黑体" w:hAnsi="黑体" w:eastAsia="黑体" w:cs="黑体"/>
              <w:b/>
              <w:bCs/>
              <w:sz w:val="28"/>
              <w:szCs w:val="28"/>
            </w:rPr>
            <w:tab/>
          </w:r>
          <w:r>
            <w:rPr>
              <w:rFonts w:hint="eastAsia" w:ascii="黑体" w:hAnsi="黑体" w:eastAsia="黑体" w:cs="黑体"/>
              <w:b/>
              <w:bCs/>
              <w:sz w:val="28"/>
              <w:szCs w:val="28"/>
            </w:rPr>
            <w:fldChar w:fldCharType="begin"/>
          </w:r>
          <w:r>
            <w:rPr>
              <w:rFonts w:hint="eastAsia" w:ascii="黑体" w:hAnsi="黑体" w:eastAsia="黑体" w:cs="黑体"/>
              <w:b/>
              <w:bCs/>
              <w:sz w:val="28"/>
              <w:szCs w:val="28"/>
            </w:rPr>
            <w:instrText xml:space="preserve"> PAGEREF _Toc22364 \h </w:instrText>
          </w:r>
          <w:r>
            <w:rPr>
              <w:rFonts w:hint="eastAsia" w:ascii="黑体" w:hAnsi="黑体" w:eastAsia="黑体" w:cs="黑体"/>
              <w:b/>
              <w:bCs/>
              <w:sz w:val="28"/>
              <w:szCs w:val="28"/>
            </w:rPr>
            <w:fldChar w:fldCharType="separate"/>
          </w:r>
          <w:r>
            <w:rPr>
              <w:rFonts w:hint="eastAsia" w:ascii="黑体" w:hAnsi="黑体" w:eastAsia="黑体" w:cs="黑体"/>
              <w:b/>
              <w:bCs/>
              <w:sz w:val="28"/>
              <w:szCs w:val="28"/>
            </w:rPr>
            <w:t>42</w:t>
          </w:r>
          <w:r>
            <w:rPr>
              <w:rFonts w:hint="eastAsia" w:ascii="黑体" w:hAnsi="黑体" w:eastAsia="黑体" w:cs="黑体"/>
              <w:b/>
              <w:bCs/>
              <w:sz w:val="28"/>
              <w:szCs w:val="28"/>
            </w:rPr>
            <w:fldChar w:fldCharType="end"/>
          </w:r>
          <w:r>
            <w:rPr>
              <w:rFonts w:hint="eastAsia" w:ascii="黑体" w:hAnsi="黑体" w:eastAsia="黑体" w:cs="黑体"/>
              <w:b/>
              <w:bCs/>
              <w:sz w:val="28"/>
              <w:szCs w:val="28"/>
              <w:lang w:eastAsia="zh-CN"/>
            </w:rPr>
            <w:fldChar w:fldCharType="end"/>
          </w:r>
        </w:p>
        <w:p w14:paraId="1E3B0318">
          <w:pPr>
            <w:pStyle w:val="53"/>
            <w:keepNext w:val="0"/>
            <w:keepLines w:val="0"/>
            <w:pageBreakBefore w:val="0"/>
            <w:widowControl/>
            <w:tabs>
              <w:tab w:val="right" w:leader="dot" w:pos="10080"/>
            </w:tabs>
            <w:wordWrap/>
            <w:overflowPunct/>
            <w:topLinePunct w:val="0"/>
            <w:bidi w:val="0"/>
            <w:spacing w:line="960" w:lineRule="auto"/>
            <w:rPr>
              <w:rFonts w:hint="eastAsia" w:ascii="黑体" w:hAnsi="黑体" w:eastAsia="黑体" w:cs="黑体"/>
              <w:b/>
              <w:bCs/>
              <w:sz w:val="28"/>
              <w:szCs w:val="28"/>
            </w:rPr>
          </w:pPr>
          <w:r>
            <w:rPr>
              <w:rFonts w:hint="eastAsia" w:ascii="黑体" w:hAnsi="黑体" w:eastAsia="黑体" w:cs="黑体"/>
              <w:b/>
              <w:bCs/>
              <w:sz w:val="28"/>
              <w:szCs w:val="28"/>
              <w:lang w:eastAsia="zh-CN"/>
            </w:rPr>
            <w:fldChar w:fldCharType="begin"/>
          </w:r>
          <w:r>
            <w:rPr>
              <w:rFonts w:hint="eastAsia" w:ascii="黑体" w:hAnsi="黑体" w:eastAsia="黑体" w:cs="黑体"/>
              <w:b/>
              <w:bCs/>
              <w:sz w:val="28"/>
              <w:szCs w:val="28"/>
              <w:lang w:eastAsia="zh-CN"/>
            </w:rPr>
            <w:instrText xml:space="preserve"> HYPERLINK \l _Toc8981 </w:instrText>
          </w:r>
          <w:r>
            <w:rPr>
              <w:rFonts w:hint="eastAsia" w:ascii="黑体" w:hAnsi="黑体" w:eastAsia="黑体" w:cs="黑体"/>
              <w:b/>
              <w:bCs/>
              <w:sz w:val="28"/>
              <w:szCs w:val="28"/>
              <w:lang w:eastAsia="zh-CN"/>
            </w:rPr>
            <w:fldChar w:fldCharType="separate"/>
          </w:r>
          <w:r>
            <w:rPr>
              <w:rFonts w:hint="eastAsia" w:ascii="黑体" w:hAnsi="黑体" w:eastAsia="黑体" w:cs="黑体"/>
              <w:b/>
              <w:bCs/>
              <w:sz w:val="28"/>
              <w:szCs w:val="28"/>
              <w:lang w:eastAsia="zh-CN"/>
            </w:rPr>
            <w:t>第</w:t>
          </w:r>
          <w:r>
            <w:rPr>
              <w:rFonts w:hint="eastAsia" w:ascii="黑体" w:hAnsi="黑体" w:eastAsia="黑体" w:cs="黑体"/>
              <w:b/>
              <w:bCs/>
              <w:sz w:val="28"/>
              <w:szCs w:val="28"/>
              <w:lang w:val="en-US" w:eastAsia="zh-CN"/>
            </w:rPr>
            <w:t>五</w:t>
          </w:r>
          <w:r>
            <w:rPr>
              <w:rFonts w:hint="eastAsia" w:ascii="黑体" w:hAnsi="黑体" w:eastAsia="黑体" w:cs="黑体"/>
              <w:b/>
              <w:bCs/>
              <w:sz w:val="28"/>
              <w:szCs w:val="28"/>
              <w:lang w:eastAsia="zh-CN"/>
            </w:rPr>
            <w:t>章 采购需求及技术要求</w:t>
          </w:r>
          <w:r>
            <w:rPr>
              <w:rFonts w:hint="eastAsia" w:ascii="黑体" w:hAnsi="黑体" w:eastAsia="黑体" w:cs="黑体"/>
              <w:b/>
              <w:bCs/>
              <w:sz w:val="28"/>
              <w:szCs w:val="28"/>
            </w:rPr>
            <w:tab/>
          </w:r>
          <w:r>
            <w:rPr>
              <w:rFonts w:hint="eastAsia" w:ascii="黑体" w:hAnsi="黑体" w:eastAsia="黑体" w:cs="黑体"/>
              <w:b/>
              <w:bCs/>
              <w:sz w:val="28"/>
              <w:szCs w:val="28"/>
            </w:rPr>
            <w:fldChar w:fldCharType="begin"/>
          </w:r>
          <w:r>
            <w:rPr>
              <w:rFonts w:hint="eastAsia" w:ascii="黑体" w:hAnsi="黑体" w:eastAsia="黑体" w:cs="黑体"/>
              <w:b/>
              <w:bCs/>
              <w:sz w:val="28"/>
              <w:szCs w:val="28"/>
            </w:rPr>
            <w:instrText xml:space="preserve"> PAGEREF _Toc8981 \h </w:instrText>
          </w:r>
          <w:r>
            <w:rPr>
              <w:rFonts w:hint="eastAsia" w:ascii="黑体" w:hAnsi="黑体" w:eastAsia="黑体" w:cs="黑体"/>
              <w:b/>
              <w:bCs/>
              <w:sz w:val="28"/>
              <w:szCs w:val="28"/>
            </w:rPr>
            <w:fldChar w:fldCharType="separate"/>
          </w:r>
          <w:r>
            <w:rPr>
              <w:rFonts w:hint="eastAsia" w:ascii="黑体" w:hAnsi="黑体" w:eastAsia="黑体" w:cs="黑体"/>
              <w:b/>
              <w:bCs/>
              <w:sz w:val="28"/>
              <w:szCs w:val="28"/>
            </w:rPr>
            <w:t>53</w:t>
          </w:r>
          <w:r>
            <w:rPr>
              <w:rFonts w:hint="eastAsia" w:ascii="黑体" w:hAnsi="黑体" w:eastAsia="黑体" w:cs="黑体"/>
              <w:b/>
              <w:bCs/>
              <w:sz w:val="28"/>
              <w:szCs w:val="28"/>
            </w:rPr>
            <w:fldChar w:fldCharType="end"/>
          </w:r>
          <w:r>
            <w:rPr>
              <w:rFonts w:hint="eastAsia" w:ascii="黑体" w:hAnsi="黑体" w:eastAsia="黑体" w:cs="黑体"/>
              <w:b/>
              <w:bCs/>
              <w:sz w:val="28"/>
              <w:szCs w:val="28"/>
              <w:lang w:eastAsia="zh-CN"/>
            </w:rPr>
            <w:fldChar w:fldCharType="end"/>
          </w:r>
        </w:p>
        <w:p w14:paraId="5E08A096">
          <w:pPr>
            <w:pStyle w:val="53"/>
            <w:keepNext w:val="0"/>
            <w:keepLines w:val="0"/>
            <w:pageBreakBefore w:val="0"/>
            <w:widowControl/>
            <w:tabs>
              <w:tab w:val="right" w:leader="dot" w:pos="10080"/>
            </w:tabs>
            <w:wordWrap/>
            <w:overflowPunct/>
            <w:topLinePunct w:val="0"/>
            <w:bidi w:val="0"/>
            <w:spacing w:line="960" w:lineRule="auto"/>
            <w:rPr>
              <w:rFonts w:hint="eastAsia" w:ascii="黑体" w:hAnsi="黑体" w:eastAsia="黑体" w:cs="黑体"/>
              <w:b/>
              <w:bCs/>
              <w:sz w:val="28"/>
              <w:szCs w:val="28"/>
            </w:rPr>
          </w:pPr>
          <w:r>
            <w:rPr>
              <w:rFonts w:hint="eastAsia" w:ascii="黑体" w:hAnsi="黑体" w:eastAsia="黑体" w:cs="黑体"/>
              <w:b/>
              <w:bCs/>
              <w:sz w:val="28"/>
              <w:szCs w:val="28"/>
              <w:lang w:eastAsia="zh-CN"/>
            </w:rPr>
            <w:fldChar w:fldCharType="begin"/>
          </w:r>
          <w:r>
            <w:rPr>
              <w:rFonts w:hint="eastAsia" w:ascii="黑体" w:hAnsi="黑体" w:eastAsia="黑体" w:cs="黑体"/>
              <w:b/>
              <w:bCs/>
              <w:sz w:val="28"/>
              <w:szCs w:val="28"/>
              <w:lang w:eastAsia="zh-CN"/>
            </w:rPr>
            <w:instrText xml:space="preserve"> HYPERLINK \l _Toc15824 </w:instrText>
          </w:r>
          <w:r>
            <w:rPr>
              <w:rFonts w:hint="eastAsia" w:ascii="黑体" w:hAnsi="黑体" w:eastAsia="黑体" w:cs="黑体"/>
              <w:b/>
              <w:bCs/>
              <w:sz w:val="28"/>
              <w:szCs w:val="28"/>
              <w:lang w:eastAsia="zh-CN"/>
            </w:rPr>
            <w:fldChar w:fldCharType="separate"/>
          </w:r>
          <w:r>
            <w:rPr>
              <w:rFonts w:hint="eastAsia" w:ascii="黑体" w:hAnsi="黑体" w:eastAsia="黑体" w:cs="黑体"/>
              <w:b/>
              <w:bCs/>
              <w:sz w:val="28"/>
              <w:szCs w:val="28"/>
              <w:lang w:eastAsia="zh-CN"/>
            </w:rPr>
            <w:t>第六章  技术标准及要求</w:t>
          </w:r>
          <w:r>
            <w:rPr>
              <w:rFonts w:hint="eastAsia" w:ascii="黑体" w:hAnsi="黑体" w:eastAsia="黑体" w:cs="黑体"/>
              <w:b/>
              <w:bCs/>
              <w:sz w:val="28"/>
              <w:szCs w:val="28"/>
            </w:rPr>
            <w:tab/>
          </w:r>
          <w:r>
            <w:rPr>
              <w:rFonts w:hint="eastAsia" w:ascii="黑体" w:hAnsi="黑体" w:eastAsia="黑体" w:cs="黑体"/>
              <w:b/>
              <w:bCs/>
              <w:sz w:val="28"/>
              <w:szCs w:val="28"/>
            </w:rPr>
            <w:fldChar w:fldCharType="begin"/>
          </w:r>
          <w:r>
            <w:rPr>
              <w:rFonts w:hint="eastAsia" w:ascii="黑体" w:hAnsi="黑体" w:eastAsia="黑体" w:cs="黑体"/>
              <w:b/>
              <w:bCs/>
              <w:sz w:val="28"/>
              <w:szCs w:val="28"/>
            </w:rPr>
            <w:instrText xml:space="preserve"> PAGEREF _Toc15824 \h </w:instrText>
          </w:r>
          <w:r>
            <w:rPr>
              <w:rFonts w:hint="eastAsia" w:ascii="黑体" w:hAnsi="黑体" w:eastAsia="黑体" w:cs="黑体"/>
              <w:b/>
              <w:bCs/>
              <w:sz w:val="28"/>
              <w:szCs w:val="28"/>
            </w:rPr>
            <w:fldChar w:fldCharType="separate"/>
          </w:r>
          <w:r>
            <w:rPr>
              <w:rFonts w:hint="eastAsia" w:ascii="黑体" w:hAnsi="黑体" w:eastAsia="黑体" w:cs="黑体"/>
              <w:b/>
              <w:bCs/>
              <w:sz w:val="28"/>
              <w:szCs w:val="28"/>
            </w:rPr>
            <w:t>69</w:t>
          </w:r>
          <w:r>
            <w:rPr>
              <w:rFonts w:hint="eastAsia" w:ascii="黑体" w:hAnsi="黑体" w:eastAsia="黑体" w:cs="黑体"/>
              <w:b/>
              <w:bCs/>
              <w:sz w:val="28"/>
              <w:szCs w:val="28"/>
            </w:rPr>
            <w:fldChar w:fldCharType="end"/>
          </w:r>
          <w:r>
            <w:rPr>
              <w:rFonts w:hint="eastAsia" w:ascii="黑体" w:hAnsi="黑体" w:eastAsia="黑体" w:cs="黑体"/>
              <w:b/>
              <w:bCs/>
              <w:sz w:val="28"/>
              <w:szCs w:val="28"/>
              <w:lang w:eastAsia="zh-CN"/>
            </w:rPr>
            <w:fldChar w:fldCharType="end"/>
          </w:r>
        </w:p>
        <w:p w14:paraId="0A482EF0">
          <w:pPr>
            <w:pStyle w:val="53"/>
            <w:keepNext w:val="0"/>
            <w:keepLines w:val="0"/>
            <w:pageBreakBefore w:val="0"/>
            <w:widowControl/>
            <w:tabs>
              <w:tab w:val="right" w:leader="dot" w:pos="10080"/>
            </w:tabs>
            <w:wordWrap/>
            <w:overflowPunct/>
            <w:topLinePunct w:val="0"/>
            <w:bidi w:val="0"/>
            <w:spacing w:line="960" w:lineRule="auto"/>
            <w:rPr>
              <w:rFonts w:hint="eastAsia" w:ascii="黑体" w:hAnsi="黑体" w:eastAsia="黑体" w:cs="黑体"/>
              <w:b/>
              <w:bCs/>
              <w:sz w:val="21"/>
              <w:szCs w:val="21"/>
            </w:rPr>
          </w:pPr>
          <w:r>
            <w:rPr>
              <w:rFonts w:hint="eastAsia" w:ascii="黑体" w:hAnsi="黑体" w:eastAsia="黑体" w:cs="黑体"/>
              <w:b/>
              <w:bCs/>
              <w:sz w:val="28"/>
              <w:szCs w:val="28"/>
              <w:lang w:eastAsia="zh-CN"/>
            </w:rPr>
            <w:fldChar w:fldCharType="begin"/>
          </w:r>
          <w:r>
            <w:rPr>
              <w:rFonts w:hint="eastAsia" w:ascii="黑体" w:hAnsi="黑体" w:eastAsia="黑体" w:cs="黑体"/>
              <w:b/>
              <w:bCs/>
              <w:sz w:val="28"/>
              <w:szCs w:val="28"/>
              <w:lang w:eastAsia="zh-CN"/>
            </w:rPr>
            <w:instrText xml:space="preserve"> HYPERLINK \l _Toc26974 </w:instrText>
          </w:r>
          <w:r>
            <w:rPr>
              <w:rFonts w:hint="eastAsia" w:ascii="黑体" w:hAnsi="黑体" w:eastAsia="黑体" w:cs="黑体"/>
              <w:b/>
              <w:bCs/>
              <w:sz w:val="28"/>
              <w:szCs w:val="28"/>
              <w:lang w:eastAsia="zh-CN"/>
            </w:rPr>
            <w:fldChar w:fldCharType="separate"/>
          </w:r>
          <w:r>
            <w:rPr>
              <w:rFonts w:hint="eastAsia" w:ascii="黑体" w:hAnsi="黑体" w:eastAsia="黑体" w:cs="黑体"/>
              <w:b/>
              <w:bCs/>
              <w:sz w:val="28"/>
              <w:szCs w:val="28"/>
              <w:lang w:eastAsia="zh-CN"/>
            </w:rPr>
            <w:t>第七章  投标文件格式</w:t>
          </w:r>
          <w:r>
            <w:rPr>
              <w:rFonts w:hint="eastAsia" w:ascii="黑体" w:hAnsi="黑体" w:eastAsia="黑体" w:cs="黑体"/>
              <w:b/>
              <w:bCs/>
              <w:sz w:val="28"/>
              <w:szCs w:val="28"/>
            </w:rPr>
            <w:tab/>
          </w:r>
          <w:r>
            <w:rPr>
              <w:rFonts w:hint="eastAsia" w:ascii="黑体" w:hAnsi="黑体" w:eastAsia="黑体" w:cs="黑体"/>
              <w:b/>
              <w:bCs/>
              <w:sz w:val="28"/>
              <w:szCs w:val="28"/>
            </w:rPr>
            <w:fldChar w:fldCharType="begin"/>
          </w:r>
          <w:r>
            <w:rPr>
              <w:rFonts w:hint="eastAsia" w:ascii="黑体" w:hAnsi="黑体" w:eastAsia="黑体" w:cs="黑体"/>
              <w:b/>
              <w:bCs/>
              <w:sz w:val="28"/>
              <w:szCs w:val="28"/>
            </w:rPr>
            <w:instrText xml:space="preserve"> PAGEREF _Toc26974 \h </w:instrText>
          </w:r>
          <w:r>
            <w:rPr>
              <w:rFonts w:hint="eastAsia" w:ascii="黑体" w:hAnsi="黑体" w:eastAsia="黑体" w:cs="黑体"/>
              <w:b/>
              <w:bCs/>
              <w:sz w:val="28"/>
              <w:szCs w:val="28"/>
            </w:rPr>
            <w:fldChar w:fldCharType="separate"/>
          </w:r>
          <w:r>
            <w:rPr>
              <w:rFonts w:hint="eastAsia" w:ascii="黑体" w:hAnsi="黑体" w:eastAsia="黑体" w:cs="黑体"/>
              <w:b/>
              <w:bCs/>
              <w:sz w:val="28"/>
              <w:szCs w:val="28"/>
            </w:rPr>
            <w:t>73</w:t>
          </w:r>
          <w:r>
            <w:rPr>
              <w:rFonts w:hint="eastAsia" w:ascii="黑体" w:hAnsi="黑体" w:eastAsia="黑体" w:cs="黑体"/>
              <w:b/>
              <w:bCs/>
              <w:sz w:val="28"/>
              <w:szCs w:val="28"/>
            </w:rPr>
            <w:fldChar w:fldCharType="end"/>
          </w:r>
          <w:r>
            <w:rPr>
              <w:rFonts w:hint="eastAsia" w:ascii="黑体" w:hAnsi="黑体" w:eastAsia="黑体" w:cs="黑体"/>
              <w:b/>
              <w:bCs/>
              <w:sz w:val="28"/>
              <w:szCs w:val="28"/>
              <w:lang w:eastAsia="zh-CN"/>
            </w:rPr>
            <w:fldChar w:fldCharType="end"/>
          </w:r>
        </w:p>
        <w:p w14:paraId="781D254D">
          <w:pPr>
            <w:keepNext w:val="0"/>
            <w:keepLines w:val="0"/>
            <w:pageBreakBefore w:val="0"/>
            <w:widowControl/>
            <w:wordWrap/>
            <w:overflowPunct/>
            <w:topLinePunct w:val="0"/>
            <w:bidi w:val="0"/>
            <w:spacing w:line="960" w:lineRule="auto"/>
            <w:rPr>
              <w:rFonts w:ascii="Arial" w:hAnsi="Arial" w:eastAsia="Arial" w:cs="Arial"/>
              <w:snapToGrid w:val="0"/>
              <w:color w:val="000000"/>
              <w:sz w:val="21"/>
              <w:szCs w:val="21"/>
              <w:lang w:val="en-US" w:eastAsia="zh-CN" w:bidi="ar-SA"/>
            </w:rPr>
          </w:pPr>
          <w:r>
            <w:rPr>
              <w:rFonts w:hint="eastAsia" w:ascii="黑体" w:hAnsi="黑体" w:eastAsia="黑体" w:cs="黑体"/>
              <w:b/>
              <w:bCs/>
              <w:sz w:val="22"/>
              <w:szCs w:val="22"/>
              <w:lang w:eastAsia="zh-CN"/>
            </w:rPr>
            <w:fldChar w:fldCharType="end"/>
          </w:r>
        </w:p>
      </w:sdtContent>
    </w:sdt>
    <w:p w14:paraId="76EE57CA">
      <w:pPr>
        <w:rPr>
          <w:rFonts w:ascii="Arial" w:hAnsi="Arial" w:eastAsia="Arial" w:cs="Arial"/>
          <w:snapToGrid w:val="0"/>
          <w:color w:val="000000"/>
          <w:sz w:val="21"/>
          <w:szCs w:val="21"/>
          <w:lang w:val="en-US" w:eastAsia="zh-CN" w:bidi="ar-SA"/>
        </w:rPr>
      </w:pPr>
    </w:p>
    <w:p w14:paraId="3E36A61A">
      <w:pPr>
        <w:pStyle w:val="8"/>
        <w:spacing w:line="249" w:lineRule="auto"/>
        <w:rPr>
          <w:color w:val="auto"/>
          <w:lang w:eastAsia="zh-CN"/>
        </w:rPr>
      </w:pPr>
    </w:p>
    <w:p w14:paraId="75031F4A">
      <w:pPr>
        <w:pStyle w:val="8"/>
        <w:spacing w:line="250" w:lineRule="auto"/>
        <w:rPr>
          <w:color w:val="auto"/>
          <w:lang w:eastAsia="zh-CN"/>
        </w:rPr>
      </w:pPr>
    </w:p>
    <w:p w14:paraId="263CBC05">
      <w:pPr>
        <w:pStyle w:val="8"/>
        <w:spacing w:line="250" w:lineRule="auto"/>
        <w:rPr>
          <w:color w:val="auto"/>
          <w:lang w:eastAsia="zh-CN"/>
        </w:rPr>
      </w:pPr>
    </w:p>
    <w:p w14:paraId="68B14C53">
      <w:pPr>
        <w:pStyle w:val="8"/>
        <w:spacing w:line="250" w:lineRule="auto"/>
        <w:rPr>
          <w:color w:val="auto"/>
          <w:lang w:eastAsia="zh-CN"/>
        </w:rPr>
      </w:pPr>
    </w:p>
    <w:p w14:paraId="198BFD49">
      <w:pPr>
        <w:pStyle w:val="8"/>
        <w:spacing w:line="250" w:lineRule="auto"/>
        <w:rPr>
          <w:color w:val="auto"/>
          <w:lang w:eastAsia="zh-CN"/>
        </w:rPr>
      </w:pPr>
    </w:p>
    <w:p w14:paraId="4665E67D">
      <w:pPr>
        <w:pStyle w:val="8"/>
        <w:spacing w:line="250" w:lineRule="auto"/>
        <w:rPr>
          <w:color w:val="auto"/>
          <w:lang w:eastAsia="zh-CN"/>
        </w:rPr>
      </w:pPr>
    </w:p>
    <w:p w14:paraId="2372C7B1">
      <w:pPr>
        <w:pStyle w:val="8"/>
        <w:spacing w:line="250" w:lineRule="auto"/>
        <w:rPr>
          <w:color w:val="auto"/>
          <w:lang w:eastAsia="zh-CN"/>
        </w:rPr>
      </w:pPr>
    </w:p>
    <w:p w14:paraId="677313D7">
      <w:pPr>
        <w:pStyle w:val="8"/>
        <w:spacing w:line="250" w:lineRule="auto"/>
        <w:rPr>
          <w:color w:val="auto"/>
          <w:lang w:eastAsia="zh-CN"/>
        </w:rPr>
      </w:pPr>
    </w:p>
    <w:p w14:paraId="434BBC37">
      <w:pPr>
        <w:pStyle w:val="8"/>
        <w:spacing w:line="250" w:lineRule="auto"/>
        <w:rPr>
          <w:color w:val="auto"/>
          <w:lang w:eastAsia="zh-CN"/>
        </w:rPr>
      </w:pPr>
    </w:p>
    <w:p w14:paraId="68060EA9">
      <w:pPr>
        <w:pStyle w:val="8"/>
        <w:spacing w:line="250" w:lineRule="auto"/>
        <w:rPr>
          <w:color w:val="auto"/>
          <w:lang w:eastAsia="zh-CN"/>
        </w:rPr>
      </w:pPr>
    </w:p>
    <w:p w14:paraId="2838520E">
      <w:pPr>
        <w:pStyle w:val="8"/>
        <w:spacing w:line="250" w:lineRule="auto"/>
        <w:rPr>
          <w:color w:val="auto"/>
          <w:lang w:eastAsia="zh-CN"/>
        </w:rPr>
      </w:pPr>
    </w:p>
    <w:p w14:paraId="0F12E13B">
      <w:pPr>
        <w:pStyle w:val="8"/>
        <w:spacing w:line="250" w:lineRule="auto"/>
        <w:rPr>
          <w:color w:val="auto"/>
          <w:lang w:eastAsia="zh-CN"/>
        </w:rPr>
      </w:pPr>
    </w:p>
    <w:p w14:paraId="0611DFFC">
      <w:pPr>
        <w:rPr>
          <w:color w:val="auto"/>
          <w:lang w:eastAsia="zh-CN"/>
        </w:rPr>
      </w:pPr>
    </w:p>
    <w:p w14:paraId="75CC10E0">
      <w:pPr>
        <w:rPr>
          <w:color w:val="auto"/>
          <w:lang w:eastAsia="zh-CN"/>
        </w:rPr>
      </w:pPr>
    </w:p>
    <w:p w14:paraId="32485ED0">
      <w:pPr>
        <w:rPr>
          <w:color w:val="auto"/>
          <w:lang w:eastAsia="zh-CN"/>
        </w:rPr>
      </w:pPr>
    </w:p>
    <w:p w14:paraId="280AF09F">
      <w:pPr>
        <w:rPr>
          <w:color w:val="auto"/>
          <w:lang w:eastAsia="zh-CN"/>
        </w:rPr>
      </w:pPr>
    </w:p>
    <w:p w14:paraId="16ED55AE">
      <w:pPr>
        <w:rPr>
          <w:color w:val="auto"/>
          <w:lang w:eastAsia="zh-CN"/>
        </w:rPr>
      </w:pPr>
    </w:p>
    <w:p w14:paraId="1E0FBCB5">
      <w:pPr>
        <w:rPr>
          <w:color w:val="auto"/>
          <w:lang w:eastAsia="zh-CN"/>
        </w:rPr>
      </w:pPr>
    </w:p>
    <w:p w14:paraId="1D086096">
      <w:pPr>
        <w:rPr>
          <w:color w:val="auto"/>
          <w:lang w:eastAsia="zh-CN"/>
        </w:rPr>
      </w:pPr>
    </w:p>
    <w:p w14:paraId="06BC737A">
      <w:pPr>
        <w:rPr>
          <w:color w:val="auto"/>
          <w:lang w:eastAsia="zh-CN"/>
        </w:rPr>
      </w:pPr>
    </w:p>
    <w:p w14:paraId="73E30A15">
      <w:pPr>
        <w:rPr>
          <w:color w:val="auto"/>
          <w:lang w:eastAsia="zh-CN"/>
        </w:rPr>
      </w:pPr>
    </w:p>
    <w:p w14:paraId="73CF86D1">
      <w:pPr>
        <w:rPr>
          <w:color w:val="auto"/>
          <w:lang w:eastAsia="zh-CN"/>
        </w:rPr>
      </w:pPr>
    </w:p>
    <w:p w14:paraId="104EDDFE">
      <w:pPr>
        <w:rPr>
          <w:color w:val="auto"/>
          <w:lang w:eastAsia="zh-CN"/>
        </w:rPr>
      </w:pPr>
    </w:p>
    <w:p w14:paraId="0EB32AF7">
      <w:pPr>
        <w:pStyle w:val="8"/>
        <w:spacing w:line="250" w:lineRule="auto"/>
        <w:rPr>
          <w:color w:val="auto"/>
          <w:lang w:eastAsia="zh-CN"/>
        </w:rPr>
      </w:pPr>
    </w:p>
    <w:p w14:paraId="18C0EC6E">
      <w:pPr>
        <w:pStyle w:val="8"/>
        <w:spacing w:line="250" w:lineRule="auto"/>
        <w:rPr>
          <w:color w:val="auto"/>
          <w:lang w:eastAsia="zh-CN"/>
        </w:rPr>
      </w:pPr>
    </w:p>
    <w:p w14:paraId="181E1797">
      <w:pPr>
        <w:pStyle w:val="8"/>
        <w:spacing w:line="250" w:lineRule="auto"/>
        <w:rPr>
          <w:color w:val="auto"/>
          <w:lang w:eastAsia="zh-CN"/>
        </w:rPr>
      </w:pPr>
    </w:p>
    <w:p w14:paraId="5DB3C39F">
      <w:pPr>
        <w:pStyle w:val="2"/>
        <w:bidi w:val="0"/>
        <w:rPr>
          <w:rFonts w:ascii="黑体" w:hAnsi="黑体" w:eastAsia="黑体" w:cs="黑体"/>
          <w:color w:val="auto"/>
          <w:szCs w:val="43"/>
          <w:lang w:eastAsia="zh-CN"/>
        </w:rPr>
      </w:pPr>
      <w:bookmarkStart w:id="5" w:name="_Toc11670"/>
      <w:bookmarkStart w:id="6" w:name="_Toc11942"/>
      <w:r>
        <w:rPr>
          <w:lang w:eastAsia="zh-CN"/>
        </w:rPr>
        <w:t>第一章  招标公告</w:t>
      </w:r>
      <w:bookmarkEnd w:id="5"/>
      <w:bookmarkEnd w:id="6"/>
    </w:p>
    <w:p w14:paraId="5C9D8E42">
      <w:pPr>
        <w:spacing w:line="225" w:lineRule="auto"/>
        <w:rPr>
          <w:rFonts w:ascii="黑体" w:hAnsi="黑体" w:eastAsia="黑体" w:cs="黑体"/>
          <w:color w:val="auto"/>
          <w:sz w:val="43"/>
          <w:szCs w:val="43"/>
          <w:lang w:eastAsia="zh-CN"/>
        </w:rPr>
        <w:sectPr>
          <w:headerReference r:id="rId4" w:type="default"/>
          <w:footerReference r:id="rId5" w:type="default"/>
          <w:pgSz w:w="12240" w:h="15840"/>
          <w:pgMar w:top="1440" w:right="1080" w:bottom="1440" w:left="1080" w:header="873" w:footer="722" w:gutter="0"/>
          <w:pgBorders>
            <w:top w:val="none" w:sz="0" w:space="0"/>
            <w:left w:val="none" w:sz="0" w:space="0"/>
            <w:bottom w:val="none" w:sz="0" w:space="0"/>
            <w:right w:val="none" w:sz="0" w:space="0"/>
          </w:pgBorders>
          <w:pgNumType w:fmt="decimal"/>
          <w:cols w:space="720" w:num="1"/>
        </w:sectPr>
      </w:pPr>
    </w:p>
    <w:p w14:paraId="03A9F6E5">
      <w:pPr>
        <w:pStyle w:val="8"/>
        <w:spacing w:line="318" w:lineRule="auto"/>
        <w:rPr>
          <w:color w:val="auto"/>
          <w:lang w:eastAsia="zh-CN"/>
        </w:rPr>
      </w:pPr>
    </w:p>
    <w:p w14:paraId="77C5660F">
      <w:pPr>
        <w:spacing w:before="103" w:line="225" w:lineRule="auto"/>
        <w:ind w:left="723"/>
        <w:jc w:val="center"/>
        <w:rPr>
          <w:rFonts w:ascii="微软雅黑" w:hAnsi="微软雅黑" w:eastAsia="微软雅黑" w:cs="微软雅黑"/>
          <w:color w:val="auto"/>
          <w:sz w:val="24"/>
          <w:szCs w:val="24"/>
          <w:lang w:eastAsia="zh-CN"/>
        </w:rPr>
      </w:pPr>
      <w:r>
        <w:rPr>
          <w:rFonts w:hint="eastAsia" w:ascii="微软雅黑" w:hAnsi="微软雅黑" w:eastAsia="微软雅黑" w:cs="微软雅黑"/>
          <w:b/>
          <w:bCs/>
          <w:color w:val="auto"/>
          <w:sz w:val="24"/>
          <w:szCs w:val="24"/>
          <w:lang w:eastAsia="zh-CN"/>
        </w:rPr>
        <w:t>尼勒克县人民医院医疗服务能力数字设施标准化建设项目（包1）</w:t>
      </w:r>
      <w:r>
        <w:rPr>
          <w:rFonts w:ascii="微软雅黑" w:hAnsi="微软雅黑" w:eastAsia="微软雅黑" w:cs="微软雅黑"/>
          <w:b/>
          <w:bCs/>
          <w:color w:val="auto"/>
          <w:sz w:val="24"/>
          <w:szCs w:val="24"/>
          <w:lang w:eastAsia="zh-CN"/>
        </w:rPr>
        <w:t>公</w:t>
      </w:r>
      <w:r>
        <w:rPr>
          <w:rFonts w:ascii="微软雅黑" w:hAnsi="微软雅黑" w:eastAsia="微软雅黑" w:cs="微软雅黑"/>
          <w:b/>
          <w:bCs/>
          <w:color w:val="auto"/>
          <w:spacing w:val="-1"/>
          <w:sz w:val="24"/>
          <w:szCs w:val="24"/>
          <w:lang w:eastAsia="zh-CN"/>
        </w:rPr>
        <w:t>开招标公告</w:t>
      </w:r>
    </w:p>
    <w:p w14:paraId="72AB89D6">
      <w:pPr>
        <w:spacing w:before="129" w:line="231" w:lineRule="auto"/>
        <w:ind w:left="14"/>
        <w:rPr>
          <w:rFonts w:ascii="仿宋" w:hAnsi="仿宋" w:eastAsia="仿宋" w:cs="仿宋"/>
          <w:color w:val="auto"/>
          <w:sz w:val="20"/>
          <w:szCs w:val="20"/>
          <w:lang w:eastAsia="zh-CN"/>
        </w:rPr>
      </w:pPr>
      <w:r>
        <w:rPr>
          <w:rFonts w:ascii="仿宋" w:hAnsi="仿宋" w:eastAsia="仿宋" w:cs="仿宋"/>
          <w:color w:val="auto"/>
          <w:spacing w:val="5"/>
          <w:sz w:val="20"/>
          <w:szCs w:val="20"/>
          <w:lang w:eastAsia="zh-CN"/>
        </w:rPr>
        <w:t>项目概况</w:t>
      </w:r>
    </w:p>
    <w:p w14:paraId="419F12C1">
      <w:pPr>
        <w:spacing w:before="190"/>
        <w:ind w:left="14" w:firstLine="419" w:firstLineChars="194"/>
        <w:rPr>
          <w:rFonts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尼勒克县人民医院医疗服务能力数字设施标准化建设项目（包1）的潜在投标人应在政采云平台（</w:t>
      </w:r>
      <w:r>
        <w:rPr>
          <w:color w:val="auto"/>
        </w:rPr>
        <w:fldChar w:fldCharType="begin"/>
      </w:r>
      <w:r>
        <w:rPr>
          <w:color w:val="auto"/>
        </w:rPr>
        <w:instrText xml:space="preserve"> HYPERLINK "http://www.ccgp-xinjiang.gov.cn/" </w:instrText>
      </w:r>
      <w:r>
        <w:rPr>
          <w:color w:val="auto"/>
        </w:rPr>
        <w:fldChar w:fldCharType="separate"/>
      </w:r>
      <w:r>
        <w:rPr>
          <w:rFonts w:hint="eastAsia" w:ascii="仿宋" w:hAnsi="仿宋" w:eastAsia="仿宋" w:cs="仿宋"/>
          <w:color w:val="auto"/>
          <w:spacing w:val="8"/>
          <w:position w:val="17"/>
          <w:sz w:val="20"/>
          <w:szCs w:val="20"/>
          <w:lang w:eastAsia="zh-CN"/>
        </w:rPr>
        <w:t>http://www.ccgp-xinjiang.gov.cn/</w:t>
      </w:r>
      <w:r>
        <w:rPr>
          <w:rFonts w:hint="eastAsia" w:ascii="仿宋" w:hAnsi="仿宋" w:eastAsia="仿宋" w:cs="仿宋"/>
          <w:color w:val="auto"/>
          <w:spacing w:val="8"/>
          <w:position w:val="17"/>
          <w:sz w:val="20"/>
          <w:szCs w:val="20"/>
          <w:lang w:eastAsia="zh-CN"/>
        </w:rPr>
        <w:fldChar w:fldCharType="end"/>
      </w:r>
      <w:r>
        <w:rPr>
          <w:rFonts w:hint="eastAsia" w:ascii="仿宋" w:hAnsi="仿宋" w:eastAsia="仿宋" w:cs="仿宋"/>
          <w:color w:val="auto"/>
          <w:spacing w:val="8"/>
          <w:position w:val="17"/>
          <w:sz w:val="20"/>
          <w:szCs w:val="20"/>
          <w:lang w:eastAsia="zh-CN"/>
        </w:rPr>
        <w:t>）获取招标文件，并于202</w:t>
      </w:r>
      <w:r>
        <w:rPr>
          <w:rFonts w:hint="eastAsia" w:ascii="仿宋" w:hAnsi="仿宋" w:eastAsia="仿宋" w:cs="仿宋"/>
          <w:color w:val="auto"/>
          <w:spacing w:val="8"/>
          <w:position w:val="17"/>
          <w:sz w:val="20"/>
          <w:szCs w:val="20"/>
          <w:lang w:val="en-US" w:eastAsia="zh-CN"/>
        </w:rPr>
        <w:t>5</w:t>
      </w:r>
      <w:r>
        <w:rPr>
          <w:rFonts w:hint="eastAsia" w:ascii="仿宋" w:hAnsi="仿宋" w:eastAsia="仿宋" w:cs="仿宋"/>
          <w:color w:val="auto"/>
          <w:spacing w:val="8"/>
          <w:position w:val="17"/>
          <w:sz w:val="20"/>
          <w:szCs w:val="20"/>
          <w:lang w:eastAsia="zh-CN"/>
        </w:rPr>
        <w:t>年</w:t>
      </w:r>
      <w:r>
        <w:rPr>
          <w:rFonts w:hint="eastAsia" w:ascii="仿宋" w:hAnsi="仿宋" w:eastAsia="仿宋" w:cs="仿宋"/>
          <w:color w:val="auto"/>
          <w:spacing w:val="8"/>
          <w:position w:val="17"/>
          <w:sz w:val="20"/>
          <w:szCs w:val="20"/>
          <w:lang w:val="en-US" w:eastAsia="zh-CN"/>
        </w:rPr>
        <w:t>04</w:t>
      </w:r>
      <w:r>
        <w:rPr>
          <w:rFonts w:hint="eastAsia" w:ascii="仿宋" w:hAnsi="仿宋" w:eastAsia="仿宋" w:cs="仿宋"/>
          <w:color w:val="auto"/>
          <w:spacing w:val="8"/>
          <w:position w:val="17"/>
          <w:sz w:val="20"/>
          <w:szCs w:val="20"/>
          <w:lang w:eastAsia="zh-CN"/>
        </w:rPr>
        <w:t>月</w:t>
      </w:r>
      <w:r>
        <w:rPr>
          <w:rFonts w:hint="eastAsia" w:ascii="仿宋" w:hAnsi="仿宋" w:eastAsia="仿宋" w:cs="仿宋"/>
          <w:color w:val="auto"/>
          <w:spacing w:val="8"/>
          <w:position w:val="17"/>
          <w:sz w:val="20"/>
          <w:szCs w:val="20"/>
          <w:lang w:val="en-US" w:eastAsia="zh-CN"/>
        </w:rPr>
        <w:t>29</w:t>
      </w:r>
      <w:r>
        <w:rPr>
          <w:rFonts w:hint="eastAsia" w:ascii="仿宋" w:hAnsi="仿宋" w:eastAsia="仿宋" w:cs="仿宋"/>
          <w:color w:val="auto"/>
          <w:spacing w:val="8"/>
          <w:position w:val="17"/>
          <w:sz w:val="20"/>
          <w:szCs w:val="20"/>
          <w:lang w:eastAsia="zh-CN"/>
        </w:rPr>
        <w:t>日1</w:t>
      </w:r>
      <w:r>
        <w:rPr>
          <w:rFonts w:hint="eastAsia" w:ascii="仿宋" w:hAnsi="仿宋" w:eastAsia="仿宋" w:cs="仿宋"/>
          <w:color w:val="auto"/>
          <w:spacing w:val="8"/>
          <w:position w:val="17"/>
          <w:sz w:val="20"/>
          <w:szCs w:val="20"/>
          <w:lang w:val="en-US" w:eastAsia="zh-CN"/>
        </w:rPr>
        <w:t>6</w:t>
      </w:r>
      <w:r>
        <w:rPr>
          <w:rFonts w:hint="eastAsia" w:ascii="仿宋" w:hAnsi="仿宋" w:eastAsia="仿宋" w:cs="仿宋"/>
          <w:color w:val="auto"/>
          <w:spacing w:val="8"/>
          <w:position w:val="17"/>
          <w:sz w:val="20"/>
          <w:szCs w:val="20"/>
          <w:lang w:eastAsia="zh-CN"/>
        </w:rPr>
        <w:t>:00（北京时间）前递交投标文件。</w:t>
      </w:r>
    </w:p>
    <w:p w14:paraId="132269F5">
      <w:pPr>
        <w:spacing w:before="189" w:line="360" w:lineRule="auto"/>
        <w:ind w:left="11"/>
        <w:rPr>
          <w:rFonts w:ascii="黑体" w:hAnsi="黑体" w:eastAsia="黑体" w:cs="黑体"/>
          <w:color w:val="auto"/>
          <w:sz w:val="20"/>
          <w:szCs w:val="20"/>
          <w:lang w:eastAsia="zh-CN"/>
        </w:rPr>
      </w:pPr>
      <w:r>
        <w:rPr>
          <w:rFonts w:ascii="黑体" w:hAnsi="黑体" w:eastAsia="黑体" w:cs="黑体"/>
          <w:color w:val="auto"/>
          <w:spacing w:val="9"/>
          <w:sz w:val="20"/>
          <w:szCs w:val="20"/>
          <w:lang w:eastAsia="zh-CN"/>
          <w14:textOutline w14:w="3797" w14:cap="sq" w14:cmpd="sng" w14:algn="ctr">
            <w14:solidFill>
              <w14:srgbClr w14:val="000000"/>
            </w14:solidFill>
            <w14:prstDash w14:val="solid"/>
            <w14:bevel/>
          </w14:textOutline>
        </w:rPr>
        <w:t>一、项目基本情况</w:t>
      </w:r>
    </w:p>
    <w:p w14:paraId="45D2C680">
      <w:pPr>
        <w:spacing w:before="190"/>
        <w:ind w:left="434"/>
        <w:rPr>
          <w:rFonts w:ascii="仿宋" w:hAnsi="仿宋" w:eastAsia="仿宋" w:cs="仿宋"/>
          <w:color w:val="auto"/>
          <w:sz w:val="20"/>
          <w:szCs w:val="20"/>
          <w:lang w:eastAsia="zh-CN"/>
        </w:rPr>
      </w:pPr>
      <w:r>
        <w:rPr>
          <w:rFonts w:ascii="仿宋" w:hAnsi="仿宋" w:eastAsia="仿宋" w:cs="仿宋"/>
          <w:color w:val="auto"/>
          <w:spacing w:val="4"/>
          <w:sz w:val="20"/>
          <w:szCs w:val="20"/>
          <w:lang w:eastAsia="zh-CN"/>
        </w:rPr>
        <w:t>项目编号：</w:t>
      </w:r>
      <w:r>
        <w:rPr>
          <w:rFonts w:hint="eastAsia" w:ascii="仿宋" w:hAnsi="仿宋" w:eastAsia="仿宋" w:cs="仿宋"/>
          <w:color w:val="auto"/>
          <w:sz w:val="20"/>
          <w:szCs w:val="20"/>
          <w:lang w:eastAsia="zh-CN"/>
        </w:rPr>
        <w:t>CTZB-2025-009</w:t>
      </w:r>
    </w:p>
    <w:p w14:paraId="413059D3">
      <w:pPr>
        <w:spacing w:before="190"/>
        <w:ind w:left="434"/>
        <w:rPr>
          <w:rFonts w:ascii="仿宋" w:hAnsi="仿宋" w:eastAsia="仿宋" w:cs="仿宋"/>
          <w:color w:val="auto"/>
          <w:spacing w:val="8"/>
          <w:position w:val="17"/>
          <w:sz w:val="20"/>
          <w:szCs w:val="20"/>
          <w:lang w:eastAsia="zh-CN"/>
        </w:rPr>
      </w:pPr>
      <w:r>
        <w:rPr>
          <w:rFonts w:ascii="仿宋" w:hAnsi="仿宋" w:eastAsia="仿宋" w:cs="仿宋"/>
          <w:color w:val="auto"/>
          <w:spacing w:val="8"/>
          <w:position w:val="17"/>
          <w:sz w:val="20"/>
          <w:szCs w:val="20"/>
          <w:lang w:eastAsia="zh-CN"/>
        </w:rPr>
        <w:t>项目名称：</w:t>
      </w:r>
      <w:r>
        <w:rPr>
          <w:rFonts w:hint="eastAsia" w:ascii="仿宋" w:hAnsi="仿宋" w:eastAsia="仿宋" w:cs="仿宋"/>
          <w:color w:val="auto"/>
          <w:spacing w:val="8"/>
          <w:position w:val="17"/>
          <w:sz w:val="20"/>
          <w:szCs w:val="20"/>
          <w:lang w:eastAsia="zh-CN"/>
        </w:rPr>
        <w:t>尼勒克县人民医院医疗服务能力数字设施标准化建设项目（包1）</w:t>
      </w:r>
    </w:p>
    <w:p w14:paraId="5276FBE0">
      <w:pPr>
        <w:spacing w:before="190"/>
        <w:ind w:left="434"/>
        <w:rPr>
          <w:rFonts w:ascii="仿宋" w:hAnsi="仿宋" w:eastAsia="仿宋" w:cs="仿宋"/>
          <w:color w:val="auto"/>
          <w:spacing w:val="8"/>
          <w:position w:val="17"/>
          <w:sz w:val="20"/>
          <w:szCs w:val="20"/>
          <w:lang w:eastAsia="zh-CN"/>
        </w:rPr>
      </w:pPr>
      <w:r>
        <w:rPr>
          <w:rFonts w:ascii="仿宋" w:hAnsi="仿宋" w:eastAsia="仿宋" w:cs="仿宋"/>
          <w:color w:val="auto"/>
          <w:spacing w:val="8"/>
          <w:position w:val="17"/>
          <w:sz w:val="20"/>
          <w:szCs w:val="20"/>
          <w:lang w:eastAsia="zh-CN"/>
        </w:rPr>
        <w:t>采购方式：公开招标</w:t>
      </w:r>
    </w:p>
    <w:p w14:paraId="6B5DA7BF">
      <w:pPr>
        <w:spacing w:before="190"/>
        <w:ind w:left="434"/>
        <w:rPr>
          <w:rFonts w:ascii="仿宋" w:hAnsi="仿宋" w:eastAsia="仿宋" w:cs="仿宋"/>
          <w:color w:val="auto"/>
          <w:spacing w:val="8"/>
          <w:position w:val="17"/>
          <w:sz w:val="20"/>
          <w:szCs w:val="20"/>
          <w:lang w:eastAsia="zh-CN"/>
        </w:rPr>
      </w:pPr>
      <w:r>
        <w:rPr>
          <w:rFonts w:ascii="仿宋" w:hAnsi="仿宋" w:eastAsia="仿宋" w:cs="仿宋"/>
          <w:color w:val="auto"/>
          <w:spacing w:val="8"/>
          <w:position w:val="17"/>
          <w:sz w:val="20"/>
          <w:szCs w:val="20"/>
          <w:lang w:eastAsia="zh-CN"/>
        </w:rPr>
        <w:t>预算金额（元） ：</w:t>
      </w:r>
      <w:r>
        <w:rPr>
          <w:rFonts w:hint="eastAsia" w:ascii="仿宋" w:hAnsi="仿宋" w:eastAsia="仿宋" w:cs="仿宋"/>
          <w:color w:val="auto"/>
          <w:spacing w:val="8"/>
          <w:position w:val="17"/>
          <w:sz w:val="20"/>
          <w:szCs w:val="20"/>
          <w:lang w:eastAsia="zh-CN"/>
        </w:rPr>
        <w:t>4000000.00</w:t>
      </w:r>
    </w:p>
    <w:p w14:paraId="4A80DBE7">
      <w:pPr>
        <w:spacing w:before="190"/>
        <w:ind w:left="434"/>
        <w:rPr>
          <w:rFonts w:ascii="仿宋" w:hAnsi="仿宋" w:eastAsia="仿宋" w:cs="仿宋"/>
          <w:color w:val="auto"/>
          <w:spacing w:val="8"/>
          <w:position w:val="17"/>
          <w:sz w:val="20"/>
          <w:szCs w:val="20"/>
          <w:lang w:eastAsia="zh-CN"/>
        </w:rPr>
      </w:pPr>
      <w:r>
        <w:rPr>
          <w:rFonts w:ascii="仿宋" w:hAnsi="仿宋" w:eastAsia="仿宋" w:cs="仿宋"/>
          <w:color w:val="auto"/>
          <w:spacing w:val="8"/>
          <w:position w:val="17"/>
          <w:sz w:val="20"/>
          <w:szCs w:val="20"/>
          <w:lang w:eastAsia="zh-CN"/>
        </w:rPr>
        <w:t>最高限价（元） ：</w:t>
      </w:r>
      <w:r>
        <w:rPr>
          <w:rFonts w:hint="eastAsia" w:ascii="仿宋" w:hAnsi="仿宋" w:eastAsia="仿宋" w:cs="仿宋"/>
          <w:color w:val="auto"/>
          <w:spacing w:val="8"/>
          <w:position w:val="17"/>
          <w:sz w:val="20"/>
          <w:szCs w:val="20"/>
          <w:lang w:eastAsia="zh-CN"/>
        </w:rPr>
        <w:t>4000000.00</w:t>
      </w:r>
    </w:p>
    <w:p w14:paraId="4756DB1B">
      <w:pPr>
        <w:spacing w:before="190"/>
        <w:ind w:left="434"/>
        <w:rPr>
          <w:rFonts w:ascii="仿宋" w:hAnsi="仿宋" w:eastAsia="仿宋" w:cs="仿宋"/>
          <w:color w:val="auto"/>
          <w:spacing w:val="8"/>
          <w:position w:val="17"/>
          <w:sz w:val="20"/>
          <w:szCs w:val="20"/>
          <w:lang w:eastAsia="zh-CN"/>
        </w:rPr>
      </w:pPr>
      <w:r>
        <w:rPr>
          <w:rFonts w:ascii="仿宋" w:hAnsi="仿宋" w:eastAsia="仿宋" w:cs="仿宋"/>
          <w:color w:val="auto"/>
          <w:spacing w:val="8"/>
          <w:position w:val="17"/>
          <w:sz w:val="20"/>
          <w:szCs w:val="20"/>
          <w:lang w:eastAsia="zh-CN"/>
        </w:rPr>
        <w:t>采购需求：</w:t>
      </w:r>
    </w:p>
    <w:p w14:paraId="3C826B48">
      <w:pPr>
        <w:spacing w:before="190"/>
        <w:ind w:left="434"/>
        <w:rPr>
          <w:rFonts w:ascii="仿宋" w:hAnsi="仿宋" w:eastAsia="仿宋" w:cs="仿宋"/>
          <w:color w:val="auto"/>
          <w:spacing w:val="8"/>
          <w:position w:val="17"/>
          <w:sz w:val="20"/>
          <w:szCs w:val="20"/>
          <w:lang w:eastAsia="zh-CN"/>
        </w:rPr>
      </w:pPr>
      <w:r>
        <w:rPr>
          <w:rFonts w:ascii="仿宋" w:hAnsi="仿宋" w:eastAsia="仿宋" w:cs="仿宋"/>
          <w:color w:val="auto"/>
          <w:spacing w:val="8"/>
          <w:position w:val="17"/>
          <w:sz w:val="20"/>
          <w:szCs w:val="20"/>
          <w:lang w:eastAsia="zh-CN"/>
        </w:rPr>
        <w:t>标项名称:</w:t>
      </w:r>
      <w:r>
        <w:rPr>
          <w:rFonts w:hint="eastAsia" w:ascii="仿宋" w:hAnsi="仿宋" w:eastAsia="仿宋" w:cs="仿宋"/>
          <w:color w:val="auto"/>
          <w:spacing w:val="8"/>
          <w:position w:val="17"/>
          <w:sz w:val="20"/>
          <w:szCs w:val="20"/>
          <w:lang w:eastAsia="zh-CN"/>
        </w:rPr>
        <w:t>尼勒克县人民医院医疗服务能力数字设施标准化建设项目（包1）</w:t>
      </w:r>
    </w:p>
    <w:p w14:paraId="1CC8CFF1">
      <w:pPr>
        <w:spacing w:before="190"/>
        <w:ind w:left="434"/>
        <w:rPr>
          <w:rFonts w:ascii="仿宋" w:hAnsi="仿宋" w:eastAsia="仿宋" w:cs="仿宋"/>
          <w:color w:val="auto"/>
          <w:spacing w:val="8"/>
          <w:position w:val="17"/>
          <w:sz w:val="20"/>
          <w:szCs w:val="20"/>
          <w:lang w:eastAsia="zh-CN"/>
        </w:rPr>
      </w:pPr>
      <w:r>
        <w:rPr>
          <w:rFonts w:ascii="仿宋" w:hAnsi="仿宋" w:eastAsia="仿宋" w:cs="仿宋"/>
          <w:color w:val="auto"/>
          <w:spacing w:val="8"/>
          <w:position w:val="17"/>
          <w:sz w:val="20"/>
          <w:szCs w:val="20"/>
          <w:lang w:eastAsia="zh-CN"/>
        </w:rPr>
        <w:t>数量:1</w:t>
      </w:r>
    </w:p>
    <w:p w14:paraId="1008F000">
      <w:pPr>
        <w:spacing w:before="190"/>
        <w:ind w:left="434"/>
        <w:rPr>
          <w:rFonts w:ascii="仿宋" w:hAnsi="仿宋" w:eastAsia="仿宋" w:cs="仿宋"/>
          <w:color w:val="auto"/>
          <w:spacing w:val="8"/>
          <w:position w:val="17"/>
          <w:sz w:val="20"/>
          <w:szCs w:val="20"/>
          <w:lang w:eastAsia="zh-CN"/>
        </w:rPr>
      </w:pPr>
      <w:r>
        <w:rPr>
          <w:rFonts w:ascii="仿宋" w:hAnsi="仿宋" w:eastAsia="仿宋" w:cs="仿宋"/>
          <w:color w:val="auto"/>
          <w:spacing w:val="8"/>
          <w:position w:val="17"/>
          <w:sz w:val="20"/>
          <w:szCs w:val="20"/>
          <w:lang w:eastAsia="zh-CN"/>
        </w:rPr>
        <w:t>预算金额（元） :</w:t>
      </w:r>
      <w:r>
        <w:rPr>
          <w:rFonts w:hint="eastAsia" w:ascii="仿宋" w:hAnsi="仿宋" w:eastAsia="仿宋" w:cs="仿宋"/>
          <w:color w:val="auto"/>
          <w:spacing w:val="8"/>
          <w:position w:val="17"/>
          <w:sz w:val="20"/>
          <w:szCs w:val="20"/>
          <w:lang w:eastAsia="zh-CN"/>
        </w:rPr>
        <w:t>4000000.00</w:t>
      </w:r>
    </w:p>
    <w:p w14:paraId="006F55CD">
      <w:pPr>
        <w:spacing w:before="190"/>
        <w:ind w:left="434"/>
        <w:rPr>
          <w:rFonts w:ascii="仿宋" w:hAnsi="仿宋" w:eastAsia="仿宋" w:cs="仿宋"/>
          <w:color w:val="auto"/>
          <w:spacing w:val="8"/>
          <w:position w:val="17"/>
          <w:sz w:val="20"/>
          <w:szCs w:val="20"/>
          <w:lang w:eastAsia="zh-CN"/>
        </w:rPr>
      </w:pPr>
      <w:r>
        <w:rPr>
          <w:rFonts w:ascii="仿宋" w:hAnsi="仿宋" w:eastAsia="仿宋" w:cs="仿宋"/>
          <w:color w:val="auto"/>
          <w:spacing w:val="8"/>
          <w:position w:val="17"/>
          <w:sz w:val="20"/>
          <w:szCs w:val="20"/>
          <w:lang w:eastAsia="zh-CN"/>
        </w:rPr>
        <w:t>单位：批</w:t>
      </w:r>
    </w:p>
    <w:p w14:paraId="022C6D9B">
      <w:pPr>
        <w:spacing w:before="190"/>
        <w:ind w:left="434"/>
        <w:rPr>
          <w:rFonts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简要规格描述：采购医院医疗服务与保障能力提升配套基础设施和服务支撑体系以及新院区基础设施迁移服务等（具体内容及参数详见招标文件采购清单）。</w:t>
      </w:r>
    </w:p>
    <w:p w14:paraId="09E7D97A">
      <w:pPr>
        <w:spacing w:before="190"/>
        <w:ind w:left="434"/>
        <w:rPr>
          <w:rFonts w:ascii="仿宋" w:hAnsi="仿宋" w:eastAsia="仿宋" w:cs="仿宋"/>
          <w:color w:val="auto"/>
          <w:spacing w:val="8"/>
          <w:position w:val="17"/>
          <w:sz w:val="20"/>
          <w:szCs w:val="20"/>
          <w:lang w:eastAsia="zh-CN"/>
        </w:rPr>
      </w:pPr>
      <w:r>
        <w:rPr>
          <w:rFonts w:ascii="仿宋" w:hAnsi="仿宋" w:eastAsia="仿宋" w:cs="仿宋"/>
          <w:color w:val="auto"/>
          <w:spacing w:val="8"/>
          <w:position w:val="17"/>
          <w:sz w:val="20"/>
          <w:szCs w:val="20"/>
          <w:lang w:eastAsia="zh-CN"/>
        </w:rPr>
        <w:t>备注：无</w:t>
      </w:r>
    </w:p>
    <w:p w14:paraId="7EECD710">
      <w:pPr>
        <w:spacing w:before="190"/>
        <w:ind w:left="434"/>
        <w:rPr>
          <w:rFonts w:ascii="仿宋" w:hAnsi="仿宋" w:eastAsia="仿宋" w:cs="仿宋"/>
          <w:color w:val="auto"/>
          <w:spacing w:val="8"/>
          <w:position w:val="17"/>
          <w:sz w:val="20"/>
          <w:szCs w:val="20"/>
          <w:lang w:eastAsia="zh-CN"/>
        </w:rPr>
      </w:pPr>
      <w:r>
        <w:rPr>
          <w:rFonts w:ascii="仿宋" w:hAnsi="仿宋" w:eastAsia="仿宋" w:cs="仿宋"/>
          <w:color w:val="auto"/>
          <w:spacing w:val="8"/>
          <w:position w:val="17"/>
          <w:sz w:val="20"/>
          <w:szCs w:val="20"/>
          <w:lang w:eastAsia="zh-CN"/>
        </w:rPr>
        <w:t>合同履约期限：标项 1，</w:t>
      </w:r>
      <w:r>
        <w:rPr>
          <w:rFonts w:hint="eastAsia" w:ascii="仿宋" w:hAnsi="仿宋" w:eastAsia="仿宋" w:cs="仿宋"/>
          <w:color w:val="auto"/>
          <w:spacing w:val="8"/>
          <w:position w:val="17"/>
          <w:sz w:val="20"/>
          <w:szCs w:val="20"/>
          <w:lang w:eastAsia="zh-CN"/>
        </w:rPr>
        <w:t>合同签订后</w:t>
      </w:r>
      <w:r>
        <w:rPr>
          <w:rFonts w:hint="eastAsia" w:ascii="仿宋" w:hAnsi="仿宋" w:eastAsia="仿宋" w:cs="仿宋"/>
          <w:color w:val="auto"/>
          <w:spacing w:val="8"/>
          <w:position w:val="17"/>
          <w:sz w:val="20"/>
          <w:szCs w:val="20"/>
          <w:lang w:val="en-US" w:eastAsia="zh-CN"/>
        </w:rPr>
        <w:t>2</w:t>
      </w:r>
      <w:r>
        <w:rPr>
          <w:rFonts w:hint="eastAsia" w:ascii="仿宋" w:hAnsi="仿宋" w:eastAsia="仿宋" w:cs="仿宋"/>
          <w:color w:val="auto"/>
          <w:spacing w:val="8"/>
          <w:position w:val="17"/>
          <w:sz w:val="20"/>
          <w:szCs w:val="20"/>
          <w:lang w:eastAsia="zh-CN"/>
        </w:rPr>
        <w:t>个月内完成项目交付使用</w:t>
      </w:r>
      <w:r>
        <w:rPr>
          <w:rFonts w:ascii="仿宋" w:hAnsi="仿宋" w:eastAsia="仿宋" w:cs="仿宋"/>
          <w:color w:val="auto"/>
          <w:spacing w:val="8"/>
          <w:position w:val="17"/>
          <w:sz w:val="20"/>
          <w:szCs w:val="20"/>
          <w:lang w:eastAsia="zh-CN"/>
        </w:rPr>
        <w:t>。</w:t>
      </w:r>
    </w:p>
    <w:p w14:paraId="004E9B86">
      <w:pPr>
        <w:spacing w:before="190"/>
        <w:ind w:left="434"/>
        <w:rPr>
          <w:rFonts w:ascii="仿宋" w:hAnsi="仿宋" w:eastAsia="仿宋" w:cs="仿宋"/>
          <w:color w:val="auto"/>
          <w:spacing w:val="8"/>
          <w:position w:val="17"/>
          <w:sz w:val="20"/>
          <w:szCs w:val="20"/>
          <w:lang w:eastAsia="zh-CN"/>
        </w:rPr>
      </w:pPr>
      <w:r>
        <w:rPr>
          <w:rFonts w:ascii="仿宋" w:hAnsi="仿宋" w:eastAsia="仿宋" w:cs="仿宋"/>
          <w:color w:val="auto"/>
          <w:spacing w:val="8"/>
          <w:position w:val="17"/>
          <w:sz w:val="20"/>
          <w:szCs w:val="20"/>
          <w:lang w:eastAsia="zh-CN"/>
        </w:rPr>
        <w:t>本项目（否）接受联合体投标。</w:t>
      </w:r>
    </w:p>
    <w:p w14:paraId="4038328C">
      <w:pPr>
        <w:spacing w:before="192"/>
        <w:ind w:left="11"/>
        <w:rPr>
          <w:rFonts w:ascii="黑体" w:hAnsi="黑体" w:eastAsia="黑体" w:cs="黑体"/>
          <w:color w:val="auto"/>
          <w:sz w:val="20"/>
          <w:szCs w:val="20"/>
          <w:lang w:eastAsia="zh-CN"/>
        </w:rPr>
      </w:pPr>
      <w:r>
        <w:rPr>
          <w:rFonts w:ascii="黑体" w:hAnsi="黑体" w:eastAsia="黑体" w:cs="黑体"/>
          <w:color w:val="auto"/>
          <w:spacing w:val="8"/>
          <w:sz w:val="20"/>
          <w:szCs w:val="20"/>
          <w:lang w:eastAsia="zh-CN"/>
          <w14:textOutline w14:w="3797" w14:cap="sq" w14:cmpd="sng" w14:algn="ctr">
            <w14:solidFill>
              <w14:srgbClr w14:val="000000"/>
            </w14:solidFill>
            <w14:prstDash w14:val="solid"/>
            <w14:bevel/>
          </w14:textOutline>
        </w:rPr>
        <w:t>二、申请人的资格要求：</w:t>
      </w:r>
    </w:p>
    <w:p w14:paraId="4AA91E1F">
      <w:pPr>
        <w:spacing w:before="190"/>
        <w:ind w:left="434"/>
        <w:rPr>
          <w:rFonts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1.满足《中华人民共和国政府采购法》第二十二条规定：</w:t>
      </w:r>
    </w:p>
    <w:p w14:paraId="79732CC8">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（一）具有独立承担民事责任的能力；</w:t>
      </w:r>
    </w:p>
    <w:p w14:paraId="4F39B568">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（二）具有良好的商业信誉和健全的财务会计制度；</w:t>
      </w:r>
    </w:p>
    <w:p w14:paraId="111ACF15">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（三）具有履行合同所必需的设备和专业技术能力；</w:t>
      </w:r>
    </w:p>
    <w:p w14:paraId="77B3708D">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（四）有依法缴纳税收和社会保障资金的良好记录；</w:t>
      </w:r>
    </w:p>
    <w:p w14:paraId="0B5DB2F0">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（五）参加政府采购活动前三年内，在经营活动中没有重大违法记录；</w:t>
      </w:r>
    </w:p>
    <w:p w14:paraId="63CA4B19">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（六）法律、行政法规规定的其他条件。</w:t>
      </w:r>
    </w:p>
    <w:p w14:paraId="22686C71">
      <w:pPr>
        <w:widowControl/>
        <w:autoSpaceDE/>
        <w:autoSpaceDN/>
        <w:adjustRightInd/>
        <w:spacing w:before="75" w:after="75" w:line="358" w:lineRule="auto"/>
        <w:ind w:firstLine="539"/>
        <w:rPr>
          <w:rFonts w:cs="宋体"/>
          <w:color w:val="auto"/>
        </w:rPr>
      </w:pPr>
      <w:r>
        <w:rPr>
          <w:rFonts w:hint="eastAsia" w:ascii="仿宋" w:hAnsi="仿宋" w:eastAsia="仿宋" w:cs="仿宋"/>
          <w:color w:val="auto"/>
          <w:spacing w:val="8"/>
          <w:position w:val="17"/>
          <w:sz w:val="20"/>
          <w:szCs w:val="20"/>
          <w:lang w:eastAsia="zh-CN"/>
        </w:rPr>
        <w:t>2.落实政府采购政策需满足的资格要求：本项目为专门面向中小企业采购的项目，供应商应为中小微企业、监狱企业、残疾人福利性单位。</w:t>
      </w:r>
    </w:p>
    <w:p w14:paraId="479146C4">
      <w:pPr>
        <w:spacing w:before="190"/>
        <w:ind w:left="434"/>
        <w:rPr>
          <w:rFonts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3.本项目的特定资格要求：无</w:t>
      </w:r>
    </w:p>
    <w:p w14:paraId="6DC03C5C">
      <w:pPr>
        <w:spacing w:before="290"/>
        <w:ind w:left="12"/>
        <w:rPr>
          <w:rFonts w:ascii="黑体" w:hAnsi="黑体" w:eastAsia="黑体" w:cs="黑体"/>
          <w:color w:val="auto"/>
          <w:sz w:val="20"/>
          <w:szCs w:val="20"/>
          <w:lang w:eastAsia="zh-CN"/>
        </w:rPr>
      </w:pPr>
      <w:r>
        <w:rPr>
          <w:rFonts w:ascii="黑体" w:hAnsi="黑体" w:eastAsia="黑体" w:cs="黑体"/>
          <w:color w:val="auto"/>
          <w:spacing w:val="9"/>
          <w:sz w:val="20"/>
          <w:szCs w:val="20"/>
          <w:lang w:eastAsia="zh-CN"/>
          <w14:textOutline w14:w="3797" w14:cap="sq" w14:cmpd="sng" w14:algn="ctr">
            <w14:solidFill>
              <w14:srgbClr w14:val="000000"/>
            </w14:solidFill>
            <w14:prstDash w14:val="solid"/>
            <w14:bevel/>
          </w14:textOutline>
        </w:rPr>
        <w:t>三、获取招标文件</w:t>
      </w:r>
    </w:p>
    <w:p w14:paraId="2F20E692">
      <w:pPr>
        <w:spacing w:before="190"/>
        <w:ind w:left="434"/>
        <w:rPr>
          <w:rFonts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时间：2025年04月08日至 2024年04月15日，每天上午 00:00 至 12:00，下午 12:00 至 23:59（北京时间，法定节假日除外）</w:t>
      </w:r>
    </w:p>
    <w:p w14:paraId="63990DF8">
      <w:pPr>
        <w:spacing w:before="190"/>
        <w:ind w:left="434"/>
        <w:rPr>
          <w:rFonts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地点：政采云平台线上获取</w:t>
      </w:r>
    </w:p>
    <w:p w14:paraId="01F16DB2">
      <w:pPr>
        <w:spacing w:before="190"/>
        <w:ind w:left="434"/>
        <w:rPr>
          <w:rFonts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方式：服务商登录政采云平台 https://www.zcygov.cn/在线申请获取采购文件（进入“项目采购 ”应用，在获取采购文件菜单中选择项目，申请获取采购文件）</w:t>
      </w:r>
    </w:p>
    <w:p w14:paraId="3897BCBD">
      <w:pPr>
        <w:spacing w:before="190"/>
        <w:ind w:left="434"/>
        <w:rPr>
          <w:rFonts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售价（元） ：0</w:t>
      </w:r>
    </w:p>
    <w:p w14:paraId="18E46359">
      <w:pPr>
        <w:spacing w:before="193"/>
        <w:ind w:left="20"/>
        <w:rPr>
          <w:rFonts w:ascii="黑体" w:hAnsi="黑体" w:eastAsia="黑体" w:cs="黑体"/>
          <w:color w:val="auto"/>
          <w:sz w:val="20"/>
          <w:szCs w:val="20"/>
          <w:lang w:eastAsia="zh-CN"/>
        </w:rPr>
      </w:pPr>
      <w:r>
        <w:rPr>
          <w:rFonts w:ascii="黑体" w:hAnsi="黑体" w:eastAsia="黑体" w:cs="黑体"/>
          <w:color w:val="auto"/>
          <w:spacing w:val="9"/>
          <w:sz w:val="20"/>
          <w:szCs w:val="20"/>
          <w:lang w:eastAsia="zh-CN"/>
          <w14:textOutline w14:w="3797" w14:cap="sq" w14:cmpd="sng" w14:algn="ctr">
            <w14:solidFill>
              <w14:srgbClr w14:val="000000"/>
            </w14:solidFill>
            <w14:prstDash w14:val="solid"/>
            <w14:bevel/>
          </w14:textOutline>
        </w:rPr>
        <w:t>四、提交投标文件截止时间、开标时间和地点</w:t>
      </w:r>
    </w:p>
    <w:p w14:paraId="43B2FF0D">
      <w:pPr>
        <w:spacing w:before="190"/>
        <w:ind w:left="434"/>
        <w:rPr>
          <w:rFonts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提交投标文件截止时间：202</w:t>
      </w:r>
      <w:r>
        <w:rPr>
          <w:rFonts w:hint="eastAsia" w:ascii="仿宋" w:hAnsi="仿宋" w:eastAsia="仿宋" w:cs="仿宋"/>
          <w:color w:val="auto"/>
          <w:spacing w:val="8"/>
          <w:position w:val="17"/>
          <w:sz w:val="20"/>
          <w:szCs w:val="20"/>
          <w:lang w:val="en-US" w:eastAsia="zh-CN"/>
        </w:rPr>
        <w:t>5</w:t>
      </w:r>
      <w:r>
        <w:rPr>
          <w:rFonts w:hint="eastAsia" w:ascii="仿宋" w:hAnsi="仿宋" w:eastAsia="仿宋" w:cs="仿宋"/>
          <w:color w:val="auto"/>
          <w:spacing w:val="8"/>
          <w:position w:val="17"/>
          <w:sz w:val="20"/>
          <w:szCs w:val="20"/>
          <w:lang w:eastAsia="zh-CN"/>
        </w:rPr>
        <w:t>年</w:t>
      </w:r>
      <w:r>
        <w:rPr>
          <w:rFonts w:hint="eastAsia" w:ascii="仿宋" w:hAnsi="仿宋" w:eastAsia="仿宋" w:cs="仿宋"/>
          <w:color w:val="auto"/>
          <w:spacing w:val="8"/>
          <w:position w:val="17"/>
          <w:sz w:val="20"/>
          <w:szCs w:val="20"/>
          <w:lang w:val="en-US" w:eastAsia="zh-CN"/>
        </w:rPr>
        <w:t>04</w:t>
      </w:r>
      <w:r>
        <w:rPr>
          <w:rFonts w:hint="eastAsia" w:ascii="仿宋" w:hAnsi="仿宋" w:eastAsia="仿宋" w:cs="仿宋"/>
          <w:color w:val="auto"/>
          <w:spacing w:val="8"/>
          <w:position w:val="17"/>
          <w:sz w:val="20"/>
          <w:szCs w:val="20"/>
          <w:lang w:eastAsia="zh-CN"/>
        </w:rPr>
        <w:t>月</w:t>
      </w:r>
      <w:r>
        <w:rPr>
          <w:rFonts w:hint="eastAsia" w:ascii="仿宋" w:hAnsi="仿宋" w:eastAsia="仿宋" w:cs="仿宋"/>
          <w:color w:val="auto"/>
          <w:spacing w:val="8"/>
          <w:position w:val="17"/>
          <w:sz w:val="20"/>
          <w:szCs w:val="20"/>
          <w:lang w:val="en-US" w:eastAsia="zh-CN"/>
        </w:rPr>
        <w:t>29</w:t>
      </w:r>
      <w:r>
        <w:rPr>
          <w:rFonts w:hint="eastAsia" w:ascii="仿宋" w:hAnsi="仿宋" w:eastAsia="仿宋" w:cs="仿宋"/>
          <w:color w:val="auto"/>
          <w:spacing w:val="8"/>
          <w:position w:val="17"/>
          <w:sz w:val="20"/>
          <w:szCs w:val="20"/>
          <w:lang w:eastAsia="zh-CN"/>
        </w:rPr>
        <w:t>日 1</w:t>
      </w:r>
      <w:r>
        <w:rPr>
          <w:rFonts w:hint="eastAsia" w:ascii="仿宋" w:hAnsi="仿宋" w:eastAsia="仿宋" w:cs="仿宋"/>
          <w:color w:val="auto"/>
          <w:spacing w:val="8"/>
          <w:position w:val="17"/>
          <w:sz w:val="20"/>
          <w:szCs w:val="20"/>
          <w:lang w:val="en-US" w:eastAsia="zh-CN"/>
        </w:rPr>
        <w:t>6</w:t>
      </w:r>
      <w:r>
        <w:rPr>
          <w:rFonts w:hint="eastAsia" w:ascii="仿宋" w:hAnsi="仿宋" w:eastAsia="仿宋" w:cs="仿宋"/>
          <w:color w:val="auto"/>
          <w:spacing w:val="8"/>
          <w:position w:val="17"/>
          <w:sz w:val="20"/>
          <w:szCs w:val="20"/>
          <w:lang w:eastAsia="zh-CN"/>
        </w:rPr>
        <w:t>:00（北京时间）</w:t>
      </w:r>
    </w:p>
    <w:p w14:paraId="0C1AD4C3">
      <w:pPr>
        <w:spacing w:before="190"/>
        <w:ind w:left="434"/>
        <w:rPr>
          <w:rFonts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投标地点：请登录政采云投标客户端投标</w:t>
      </w:r>
    </w:p>
    <w:p w14:paraId="1BCA983E">
      <w:pPr>
        <w:spacing w:before="190"/>
        <w:ind w:left="434"/>
        <w:rPr>
          <w:rFonts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开标时间：20</w:t>
      </w:r>
      <w:r>
        <w:rPr>
          <w:rFonts w:hint="eastAsia" w:ascii="仿宋" w:hAnsi="仿宋" w:eastAsia="仿宋" w:cs="仿宋"/>
          <w:color w:val="auto"/>
          <w:spacing w:val="8"/>
          <w:position w:val="17"/>
          <w:sz w:val="20"/>
          <w:szCs w:val="20"/>
          <w:lang w:val="en-US" w:eastAsia="zh-CN"/>
        </w:rPr>
        <w:t>25</w:t>
      </w:r>
      <w:r>
        <w:rPr>
          <w:rFonts w:hint="eastAsia" w:ascii="仿宋" w:hAnsi="仿宋" w:eastAsia="仿宋" w:cs="仿宋"/>
          <w:color w:val="auto"/>
          <w:spacing w:val="8"/>
          <w:position w:val="17"/>
          <w:sz w:val="20"/>
          <w:szCs w:val="20"/>
          <w:lang w:eastAsia="zh-CN"/>
        </w:rPr>
        <w:t>年</w:t>
      </w:r>
      <w:r>
        <w:rPr>
          <w:rFonts w:hint="eastAsia" w:ascii="仿宋" w:hAnsi="仿宋" w:eastAsia="仿宋" w:cs="仿宋"/>
          <w:color w:val="auto"/>
          <w:spacing w:val="8"/>
          <w:position w:val="17"/>
          <w:sz w:val="20"/>
          <w:szCs w:val="20"/>
          <w:lang w:val="en-US" w:eastAsia="zh-CN"/>
        </w:rPr>
        <w:t>04</w:t>
      </w:r>
      <w:r>
        <w:rPr>
          <w:rFonts w:hint="eastAsia" w:ascii="仿宋" w:hAnsi="仿宋" w:eastAsia="仿宋" w:cs="仿宋"/>
          <w:color w:val="auto"/>
          <w:spacing w:val="8"/>
          <w:position w:val="17"/>
          <w:sz w:val="20"/>
          <w:szCs w:val="20"/>
          <w:lang w:eastAsia="zh-CN"/>
        </w:rPr>
        <w:t>月</w:t>
      </w:r>
      <w:r>
        <w:rPr>
          <w:rFonts w:hint="eastAsia" w:ascii="仿宋" w:hAnsi="仿宋" w:eastAsia="仿宋" w:cs="仿宋"/>
          <w:color w:val="auto"/>
          <w:spacing w:val="8"/>
          <w:position w:val="17"/>
          <w:sz w:val="20"/>
          <w:szCs w:val="20"/>
          <w:lang w:val="en-US" w:eastAsia="zh-CN"/>
        </w:rPr>
        <w:t>29</w:t>
      </w:r>
      <w:r>
        <w:rPr>
          <w:rFonts w:hint="eastAsia" w:ascii="仿宋" w:hAnsi="仿宋" w:eastAsia="仿宋" w:cs="仿宋"/>
          <w:color w:val="auto"/>
          <w:spacing w:val="8"/>
          <w:position w:val="17"/>
          <w:sz w:val="20"/>
          <w:szCs w:val="20"/>
          <w:lang w:eastAsia="zh-CN"/>
        </w:rPr>
        <w:t>日 1</w:t>
      </w:r>
      <w:r>
        <w:rPr>
          <w:rFonts w:hint="eastAsia" w:ascii="仿宋" w:hAnsi="仿宋" w:eastAsia="仿宋" w:cs="仿宋"/>
          <w:color w:val="auto"/>
          <w:spacing w:val="8"/>
          <w:position w:val="17"/>
          <w:sz w:val="20"/>
          <w:szCs w:val="20"/>
          <w:lang w:val="en-US" w:eastAsia="zh-CN"/>
        </w:rPr>
        <w:t>6</w:t>
      </w:r>
      <w:r>
        <w:rPr>
          <w:rFonts w:hint="eastAsia" w:ascii="仿宋" w:hAnsi="仿宋" w:eastAsia="仿宋" w:cs="仿宋"/>
          <w:color w:val="auto"/>
          <w:spacing w:val="8"/>
          <w:position w:val="17"/>
          <w:sz w:val="20"/>
          <w:szCs w:val="20"/>
          <w:lang w:eastAsia="zh-CN"/>
        </w:rPr>
        <w:t>:00（北京时间）</w:t>
      </w:r>
    </w:p>
    <w:p w14:paraId="17F11F56">
      <w:pPr>
        <w:spacing w:before="190"/>
        <w:ind w:left="434"/>
        <w:rPr>
          <w:rFonts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开标地点：政采云平台（https://www.zcygov.cn/）不见面开标系统</w:t>
      </w:r>
    </w:p>
    <w:p w14:paraId="3BB3FF5F">
      <w:pPr>
        <w:spacing w:before="197"/>
        <w:ind w:left="13"/>
        <w:rPr>
          <w:color w:val="auto"/>
          <w:lang w:eastAsia="zh-CN"/>
        </w:rPr>
      </w:pPr>
      <w:r>
        <w:rPr>
          <w:rFonts w:ascii="黑体" w:hAnsi="黑体" w:eastAsia="黑体" w:cs="黑体"/>
          <w:color w:val="auto"/>
          <w:spacing w:val="8"/>
          <w:sz w:val="20"/>
          <w:szCs w:val="20"/>
          <w:lang w:eastAsia="zh-CN"/>
          <w14:textOutline w14:w="3797" w14:cap="sq" w14:cmpd="sng" w14:algn="ctr">
            <w14:solidFill>
              <w14:srgbClr w14:val="000000"/>
            </w14:solidFill>
            <w14:prstDash w14:val="solid"/>
            <w14:bevel/>
          </w14:textOutline>
        </w:rPr>
        <w:t>五、公告期限</w:t>
      </w:r>
    </w:p>
    <w:p w14:paraId="17ABD158">
      <w:pPr>
        <w:spacing w:before="190"/>
        <w:ind w:left="434"/>
        <w:rPr>
          <w:rFonts w:ascii="仿宋" w:hAnsi="仿宋" w:eastAsia="仿宋" w:cs="仿宋"/>
          <w:color w:val="auto"/>
          <w:spacing w:val="4"/>
          <w:sz w:val="20"/>
          <w:szCs w:val="20"/>
          <w:lang w:eastAsia="zh-CN"/>
        </w:rPr>
      </w:pPr>
      <w:r>
        <w:rPr>
          <w:rFonts w:ascii="仿宋" w:hAnsi="仿宋" w:eastAsia="仿宋" w:cs="仿宋"/>
          <w:color w:val="auto"/>
          <w:spacing w:val="4"/>
          <w:sz w:val="20"/>
          <w:szCs w:val="20"/>
          <w:lang w:eastAsia="zh-CN"/>
        </w:rPr>
        <w:t>自本公告发布之日起 5 个工作日。</w:t>
      </w:r>
    </w:p>
    <w:p w14:paraId="5217D5B6">
      <w:pPr>
        <w:spacing w:before="193"/>
        <w:ind w:left="14"/>
        <w:rPr>
          <w:rFonts w:ascii="黑体" w:hAnsi="黑体" w:eastAsia="黑体" w:cs="黑体"/>
          <w:color w:val="auto"/>
          <w:sz w:val="20"/>
          <w:szCs w:val="20"/>
          <w:lang w:eastAsia="zh-CN"/>
        </w:rPr>
      </w:pPr>
      <w:r>
        <w:rPr>
          <w:rFonts w:ascii="黑体" w:hAnsi="黑体" w:eastAsia="黑体" w:cs="黑体"/>
          <w:color w:val="auto"/>
          <w:spacing w:val="8"/>
          <w:sz w:val="20"/>
          <w:szCs w:val="20"/>
          <w:lang w:eastAsia="zh-CN"/>
          <w14:textOutline w14:w="3797" w14:cap="sq" w14:cmpd="sng" w14:algn="ctr">
            <w14:solidFill>
              <w14:srgbClr w14:val="000000"/>
            </w14:solidFill>
            <w14:prstDash w14:val="solid"/>
            <w14:bevel/>
          </w14:textOutline>
        </w:rPr>
        <w:t>六、其他补充事宜</w:t>
      </w:r>
    </w:p>
    <w:p w14:paraId="4683B919">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1、需落实的政府采购政策：①财政部、工业和信息化部制定的《政府采购促进中小企业发展管埋办法》(财库〔2020〕46号）；②新疆维吾尔自治区财政厅、新疆维吾尔自治区工业和信息化厅制定的《关于印发《新疆维吾尔自治区政府采购促进中小企业发展管理实施办法》的通知》（新财规〔2021〕6号）；③新疆维吾尔自治区财政厅、新疆生产建设兵团财政局制定的《关于落实好政府采购支持中小企业发展的通知》（新财购〔2022〕22号）；④财政部、民政部、中国残疾人联合会《关于促进残疾人就业政府采购政策的通知》（财库[2017]141号）；⑤财政部、司法部《关于政府采购支持监狱企业发展有关问题的通知》（财库[2014]68号文）。⑥财政部、国家发展改革委、生态环境部、市场监管总局《关于调整优化节能产品、环境标志产品政府采购执行机制的通知》（财库[2019]9号文）；⑦财政部、生态环境部《关于印发环境标志产品政府采购品目清单的通知》（财库[2019]18号文）；⑧财政部、发展改革委《关于印发节能产品政府采购品目清单的通知》（财库[2019]19号文）；⑨市场监管总局《市场监管总局关于发布参与实施政府采购节能产品、环境标志产品认证机构名录的公告》（2019年第16号）。</w:t>
      </w:r>
    </w:p>
    <w:p w14:paraId="062C02C4">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2、服务商未列入“信用中国”网站（www.creditchina.gov.cn）失信被执行人、重大税收违法案件当事人名单；中国政府采购网（www.ccgp.gov.cn）政府采购严重违法失信行为记录名单；国家企业信用信息公示系统（http://www.gsxt.gov.cn/）严重违法失信名单（黑名单）（财库[2016]125号）。</w:t>
      </w:r>
    </w:p>
    <w:p w14:paraId="535A19E8">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3、本项目实行网上投标，采用电子投标文件。若服务商参与投标，自行承担投标一切费用。</w:t>
      </w:r>
    </w:p>
    <w:p w14:paraId="3C488430">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3、各服务商应在开标前应确保成为政采云平台服务商，并完成 CA 数字证书（符合国密标准）申领。因未注册入库、未办理 CA 数字证书等原因造成无法投标或投标失败等后果由服务商自行承担。有意向参与电子开评标的服务商，可访问新疆数字证书认证中心官方网站（</w:t>
      </w:r>
      <w:r>
        <w:rPr>
          <w:rFonts w:hint="eastAsia" w:ascii="仿宋" w:hAnsi="仿宋" w:eastAsia="仿宋" w:cs="仿宋"/>
          <w:color w:val="auto"/>
          <w:spacing w:val="8"/>
          <w:position w:val="17"/>
          <w:sz w:val="20"/>
          <w:szCs w:val="20"/>
          <w:lang w:eastAsia="zh-CN"/>
        </w:rPr>
        <w:fldChar w:fldCharType="begin"/>
      </w:r>
      <w:r>
        <w:rPr>
          <w:rFonts w:hint="eastAsia" w:ascii="仿宋" w:hAnsi="仿宋" w:eastAsia="仿宋" w:cs="仿宋"/>
          <w:color w:val="auto"/>
          <w:spacing w:val="8"/>
          <w:position w:val="17"/>
          <w:sz w:val="20"/>
          <w:szCs w:val="20"/>
          <w:lang w:eastAsia="zh-CN"/>
        </w:rPr>
        <w:instrText xml:space="preserve"> HYPERLINK "https://www.xjca.com.cn/" </w:instrText>
      </w:r>
      <w:r>
        <w:rPr>
          <w:rFonts w:hint="eastAsia" w:ascii="仿宋" w:hAnsi="仿宋" w:eastAsia="仿宋" w:cs="仿宋"/>
          <w:color w:val="auto"/>
          <w:spacing w:val="8"/>
          <w:position w:val="17"/>
          <w:sz w:val="20"/>
          <w:szCs w:val="20"/>
          <w:lang w:eastAsia="zh-CN"/>
        </w:rPr>
        <w:fldChar w:fldCharType="separate"/>
      </w:r>
      <w:r>
        <w:rPr>
          <w:rFonts w:hint="eastAsia" w:ascii="仿宋" w:hAnsi="仿宋" w:eastAsia="仿宋" w:cs="仿宋"/>
          <w:color w:val="auto"/>
          <w:spacing w:val="8"/>
          <w:position w:val="17"/>
          <w:sz w:val="20"/>
          <w:szCs w:val="20"/>
          <w:lang w:eastAsia="zh-CN"/>
        </w:rPr>
        <w:t>https://www.xjca.com.cn/</w:t>
      </w:r>
      <w:r>
        <w:rPr>
          <w:rFonts w:hint="eastAsia" w:ascii="仿宋" w:hAnsi="仿宋" w:eastAsia="仿宋" w:cs="仿宋"/>
          <w:color w:val="auto"/>
          <w:spacing w:val="8"/>
          <w:position w:val="17"/>
          <w:sz w:val="20"/>
          <w:szCs w:val="20"/>
          <w:lang w:eastAsia="zh-CN"/>
        </w:rPr>
        <w:fldChar w:fldCharType="end"/>
      </w:r>
      <w:r>
        <w:rPr>
          <w:rFonts w:hint="eastAsia" w:ascii="仿宋" w:hAnsi="仿宋" w:eastAsia="仿宋" w:cs="仿宋"/>
          <w:color w:val="auto"/>
          <w:spacing w:val="8"/>
          <w:position w:val="17"/>
          <w:sz w:val="20"/>
          <w:szCs w:val="20"/>
          <w:lang w:eastAsia="zh-CN"/>
        </w:rPr>
        <w:t>）或下载“新疆政务通 ”APP 自行进行申领。如需咨询，请联系新疆CA服务热线0991-2819290；</w:t>
      </w:r>
    </w:p>
    <w:p w14:paraId="5A017E50">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4、服务商将政采云电子交易客户端下载、安装完成后，可通过账号密码或CA登录客户端进行投标文件的制作。在使用政采云投标客户端时，建议使用 WIN7（64位）及以上操作系统。客户端请至新疆政府采购网（</w:t>
      </w:r>
      <w:r>
        <w:rPr>
          <w:rFonts w:hint="eastAsia" w:ascii="仿宋" w:hAnsi="仿宋" w:eastAsia="仿宋" w:cs="仿宋"/>
          <w:color w:val="auto"/>
          <w:spacing w:val="8"/>
          <w:position w:val="17"/>
          <w:sz w:val="20"/>
          <w:szCs w:val="20"/>
          <w:lang w:eastAsia="zh-CN"/>
        </w:rPr>
        <w:fldChar w:fldCharType="begin"/>
      </w:r>
      <w:r>
        <w:rPr>
          <w:rFonts w:hint="eastAsia" w:ascii="仿宋" w:hAnsi="仿宋" w:eastAsia="仿宋" w:cs="仿宋"/>
          <w:color w:val="auto"/>
          <w:spacing w:val="8"/>
          <w:position w:val="17"/>
          <w:sz w:val="20"/>
          <w:szCs w:val="20"/>
          <w:lang w:eastAsia="zh-CN"/>
        </w:rPr>
        <w:instrText xml:space="preserve"> HYPERLINK "http://ccgp-bingtuan.gov.cn/" </w:instrText>
      </w:r>
      <w:r>
        <w:rPr>
          <w:rFonts w:hint="eastAsia" w:ascii="仿宋" w:hAnsi="仿宋" w:eastAsia="仿宋" w:cs="仿宋"/>
          <w:color w:val="auto"/>
          <w:spacing w:val="8"/>
          <w:position w:val="17"/>
          <w:sz w:val="20"/>
          <w:szCs w:val="20"/>
          <w:lang w:eastAsia="zh-CN"/>
        </w:rPr>
        <w:fldChar w:fldCharType="separate"/>
      </w:r>
      <w:r>
        <w:rPr>
          <w:rFonts w:hint="eastAsia" w:ascii="仿宋" w:hAnsi="仿宋" w:eastAsia="仿宋" w:cs="仿宋"/>
          <w:color w:val="auto"/>
          <w:spacing w:val="8"/>
          <w:position w:val="17"/>
          <w:sz w:val="20"/>
          <w:szCs w:val="20"/>
          <w:lang w:eastAsia="zh-CN"/>
        </w:rPr>
        <w:t>http://ccgp-bingtuan.gov.cn/</w:t>
      </w:r>
      <w:r>
        <w:rPr>
          <w:rFonts w:hint="eastAsia" w:ascii="仿宋" w:hAnsi="仿宋" w:eastAsia="仿宋" w:cs="仿宋"/>
          <w:color w:val="auto"/>
          <w:spacing w:val="8"/>
          <w:position w:val="17"/>
          <w:sz w:val="20"/>
          <w:szCs w:val="20"/>
          <w:lang w:eastAsia="zh-CN"/>
        </w:rPr>
        <w:fldChar w:fldCharType="end"/>
      </w:r>
      <w:r>
        <w:rPr>
          <w:rFonts w:hint="eastAsia" w:ascii="仿宋" w:hAnsi="仿宋" w:eastAsia="仿宋" w:cs="仿宋"/>
          <w:color w:val="auto"/>
          <w:spacing w:val="8"/>
          <w:position w:val="17"/>
          <w:sz w:val="20"/>
          <w:szCs w:val="20"/>
          <w:lang w:eastAsia="zh-CN"/>
        </w:rPr>
        <w:t>）下载专区查看，如有问题可拨打政采云客户服务热线95763进行咨询。如因服务商自身原因导致在规定时间内无法正常解密的（如：浏览器故障、未安装相关驱动、网络故障、加密CA与解密CA不一致等），采购中心/代理机构不予异常处理，视为服务商自动弃标。</w:t>
      </w:r>
    </w:p>
    <w:p w14:paraId="3AC19100">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5、服务商在开标时须使用制作加密电子投标文件所使用的CA锁及电脑，电脑须提前配置好浏览器（使用谷歌浏览器），并确保开标期间电脑网络环境畅通，以便开标时解锁。</w:t>
      </w:r>
    </w:p>
    <w:p w14:paraId="60A50F80">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6、为了保证开评标顺利进行，政采云线上开标功能完全实现，服务商开标所使用的电脑设备须具有视频及语音功能。</w:t>
      </w:r>
    </w:p>
    <w:p w14:paraId="3B61DC52">
      <w:pPr>
        <w:pStyle w:val="8"/>
        <w:rPr>
          <w:color w:val="auto"/>
          <w:lang w:eastAsia="zh-CN"/>
        </w:rPr>
      </w:pPr>
    </w:p>
    <w:p w14:paraId="3792E12B">
      <w:pPr>
        <w:spacing w:before="65"/>
        <w:ind w:left="13"/>
        <w:rPr>
          <w:rFonts w:ascii="仿宋" w:hAnsi="仿宋" w:eastAsia="仿宋" w:cs="仿宋"/>
          <w:color w:val="auto"/>
          <w:sz w:val="20"/>
          <w:szCs w:val="20"/>
          <w:lang w:eastAsia="zh-CN"/>
        </w:rPr>
      </w:pPr>
      <w:r>
        <w:rPr>
          <w:rFonts w:ascii="仿宋" w:hAnsi="仿宋" w:eastAsia="仿宋" w:cs="仿宋"/>
          <w:color w:val="auto"/>
          <w:spacing w:val="5"/>
          <w:sz w:val="20"/>
          <w:szCs w:val="20"/>
          <w:lang w:eastAsia="zh-CN"/>
          <w14:textOutline w14:w="3797" w14:cap="sq" w14:cmpd="sng" w14:algn="ctr">
            <w14:solidFill>
              <w14:srgbClr w14:val="000000"/>
            </w14:solidFill>
            <w14:prstDash w14:val="solid"/>
            <w14:bevel/>
          </w14:textOutline>
        </w:rPr>
        <w:t>特别提示：</w:t>
      </w:r>
    </w:p>
    <w:p w14:paraId="4F892741">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1、采购限额标准以上，200 万元以下的货物和服务采购项目、400 万元以下的工程采购项目，适宜由中小企业提供的，采购人应当专门面向中小企业采购。</w:t>
      </w:r>
    </w:p>
    <w:p w14:paraId="3EAC6E23">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2、超过 200 万元的货物和服务采购项目、超过 400 万元的工程采购项目中适宜由中小企业提供的，预留该部分采购项目预算总额的 30%以上专门面向中小企业采购，其中预留给小微企业的比例不低于 60%。</w:t>
      </w:r>
    </w:p>
    <w:p w14:paraId="49EE0B24">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3、对于未预留份额专门面向中小企业的采购项目， 以及预留份额项目中的非预留部分采购包，采购人、采购 代理机构应当对符合规定的小微企业报价给予 10%~20%（工程项目为 3%~5%）的扣除，用扣除后的价格参加评 审。适用招标投标法的政府采购工程建设项目，采用综合评估法但未采用低价优先法计算价格分的，评标时应当在采用原报价进行评分的基础上增加其价格得分的 3%~5%作为其价格分。</w:t>
      </w:r>
    </w:p>
    <w:p w14:paraId="08B8854E">
      <w:pPr>
        <w:spacing w:before="190"/>
        <w:ind w:left="434"/>
        <w:rPr>
          <w:rFonts w:hint="eastAsia" w:ascii="仿宋" w:hAnsi="仿宋" w:eastAsia="仿宋" w:cs="仿宋"/>
          <w:color w:val="auto"/>
          <w:spacing w:val="8"/>
          <w:position w:val="17"/>
          <w:sz w:val="20"/>
          <w:szCs w:val="20"/>
          <w:lang w:eastAsia="zh-CN"/>
        </w:rPr>
      </w:pPr>
      <w:r>
        <w:rPr>
          <w:rFonts w:hint="eastAsia" w:ascii="仿宋" w:hAnsi="仿宋" w:eastAsia="仿宋" w:cs="仿宋"/>
          <w:color w:val="auto"/>
          <w:spacing w:val="8"/>
          <w:position w:val="17"/>
          <w:sz w:val="20"/>
          <w:szCs w:val="20"/>
          <w:lang w:eastAsia="zh-CN"/>
        </w:rPr>
        <w:t>4、接受大中型企业与小微企业组成联合体或者允许大中型企业向一家或者多家小微企业分包的采购项目，对于联合协议或者分包意向协议约定小微企业的合同份额占到合同总金额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4%~6%（工程项目为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w:t>
      </w:r>
    </w:p>
    <w:p w14:paraId="3D1BD113">
      <w:pPr>
        <w:ind w:left="7"/>
        <w:rPr>
          <w:rFonts w:ascii="黑体" w:hAnsi="黑体" w:eastAsia="黑体" w:cs="黑体"/>
          <w:color w:val="auto"/>
          <w:sz w:val="20"/>
          <w:szCs w:val="20"/>
          <w:lang w:eastAsia="zh-CN"/>
        </w:rPr>
      </w:pPr>
      <w:r>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七、对本次采购提出询问，请按以下方式联系</w:t>
      </w:r>
    </w:p>
    <w:p w14:paraId="63496170">
      <w:pPr>
        <w:spacing w:before="199"/>
        <w:ind w:left="442"/>
        <w:rPr>
          <w:rFonts w:ascii="仿宋" w:hAnsi="仿宋" w:eastAsia="仿宋" w:cs="仿宋"/>
          <w:color w:val="auto"/>
          <w:sz w:val="20"/>
          <w:szCs w:val="20"/>
          <w:lang w:eastAsia="zh-CN"/>
        </w:rPr>
      </w:pPr>
      <w:r>
        <w:rPr>
          <w:rFonts w:ascii="仿宋" w:hAnsi="仿宋" w:eastAsia="仿宋" w:cs="仿宋"/>
          <w:color w:val="auto"/>
          <w:spacing w:val="4"/>
          <w:sz w:val="20"/>
          <w:szCs w:val="20"/>
          <w:lang w:eastAsia="zh-CN"/>
        </w:rPr>
        <w:t>1.采购人信息</w:t>
      </w:r>
    </w:p>
    <w:p w14:paraId="45654C13">
      <w:pPr>
        <w:spacing w:before="193"/>
        <w:ind w:left="434"/>
        <w:rPr>
          <w:rFonts w:ascii="仿宋" w:hAnsi="仿宋" w:eastAsia="仿宋" w:cs="仿宋"/>
          <w:color w:val="auto"/>
          <w:sz w:val="20"/>
          <w:szCs w:val="20"/>
          <w:lang w:eastAsia="zh-CN"/>
        </w:rPr>
      </w:pPr>
      <w:r>
        <w:rPr>
          <w:rFonts w:ascii="仿宋" w:hAnsi="仿宋" w:eastAsia="仿宋" w:cs="仿宋"/>
          <w:color w:val="auto"/>
          <w:spacing w:val="8"/>
          <w:sz w:val="20"/>
          <w:szCs w:val="20"/>
          <w:lang w:eastAsia="zh-CN"/>
        </w:rPr>
        <w:t>名 称：</w:t>
      </w:r>
      <w:r>
        <w:rPr>
          <w:rFonts w:hint="eastAsia" w:ascii="仿宋" w:hAnsi="仿宋" w:eastAsia="仿宋" w:cs="仿宋"/>
          <w:color w:val="auto"/>
          <w:spacing w:val="8"/>
          <w:sz w:val="20"/>
          <w:szCs w:val="20"/>
          <w:lang w:eastAsia="zh-CN"/>
        </w:rPr>
        <w:t>尼勒克县人民医院</w:t>
      </w:r>
    </w:p>
    <w:p w14:paraId="50306882">
      <w:pPr>
        <w:spacing w:before="190"/>
        <w:ind w:left="434"/>
        <w:rPr>
          <w:rFonts w:ascii="仿宋" w:hAnsi="仿宋" w:eastAsia="仿宋" w:cs="仿宋"/>
          <w:color w:val="auto"/>
          <w:sz w:val="20"/>
          <w:szCs w:val="20"/>
          <w:lang w:eastAsia="zh-CN"/>
        </w:rPr>
      </w:pPr>
      <w:r>
        <w:rPr>
          <w:rFonts w:ascii="仿宋" w:hAnsi="仿宋" w:eastAsia="仿宋" w:cs="仿宋"/>
          <w:color w:val="auto"/>
          <w:spacing w:val="6"/>
          <w:position w:val="17"/>
          <w:sz w:val="20"/>
          <w:szCs w:val="20"/>
          <w:lang w:eastAsia="zh-CN"/>
        </w:rPr>
        <w:t>地 址：</w:t>
      </w:r>
      <w:r>
        <w:rPr>
          <w:rFonts w:hint="eastAsia" w:ascii="仿宋" w:hAnsi="仿宋" w:eastAsia="仿宋" w:cs="仿宋"/>
          <w:color w:val="auto"/>
          <w:spacing w:val="6"/>
          <w:position w:val="17"/>
          <w:sz w:val="20"/>
          <w:szCs w:val="20"/>
          <w:lang w:eastAsia="zh-CN"/>
        </w:rPr>
        <w:t>尼勒克县城镇健康路12号</w:t>
      </w:r>
    </w:p>
    <w:p w14:paraId="5A7F0FF3">
      <w:pPr>
        <w:ind w:left="431"/>
        <w:rPr>
          <w:rFonts w:ascii="仿宋" w:hAnsi="仿宋" w:eastAsia="仿宋" w:cs="仿宋"/>
          <w:color w:val="auto"/>
          <w:sz w:val="20"/>
          <w:szCs w:val="20"/>
          <w:lang w:eastAsia="zh-CN"/>
        </w:rPr>
      </w:pPr>
      <w:r>
        <w:rPr>
          <w:rFonts w:ascii="仿宋" w:hAnsi="仿宋" w:eastAsia="仿宋" w:cs="仿宋"/>
          <w:color w:val="auto"/>
          <w:spacing w:val="5"/>
          <w:sz w:val="20"/>
          <w:szCs w:val="20"/>
          <w:lang w:eastAsia="zh-CN"/>
        </w:rPr>
        <w:t>联系方式：</w:t>
      </w:r>
      <w:r>
        <w:rPr>
          <w:rFonts w:hint="eastAsia" w:ascii="仿宋" w:hAnsi="仿宋" w:eastAsia="仿宋" w:cs="仿宋"/>
          <w:color w:val="auto"/>
          <w:spacing w:val="5"/>
          <w:sz w:val="20"/>
          <w:szCs w:val="20"/>
          <w:lang w:eastAsia="zh-CN"/>
        </w:rPr>
        <w:t>0999-4626155 </w:t>
      </w:r>
    </w:p>
    <w:p w14:paraId="6C3026FF">
      <w:pPr>
        <w:spacing w:before="191"/>
        <w:ind w:left="429"/>
        <w:rPr>
          <w:rFonts w:ascii="仿宋" w:hAnsi="仿宋" w:eastAsia="仿宋" w:cs="仿宋"/>
          <w:color w:val="auto"/>
          <w:sz w:val="20"/>
          <w:szCs w:val="20"/>
          <w:lang w:eastAsia="zh-CN"/>
        </w:rPr>
      </w:pPr>
      <w:r>
        <w:rPr>
          <w:rFonts w:ascii="仿宋" w:hAnsi="仿宋" w:eastAsia="仿宋" w:cs="仿宋"/>
          <w:color w:val="auto"/>
          <w:spacing w:val="7"/>
          <w:sz w:val="20"/>
          <w:szCs w:val="20"/>
          <w:lang w:eastAsia="zh-CN"/>
        </w:rPr>
        <w:t>2.采购代理机构信息</w:t>
      </w:r>
    </w:p>
    <w:p w14:paraId="16F1F386">
      <w:pPr>
        <w:spacing w:before="190"/>
        <w:ind w:left="434"/>
        <w:rPr>
          <w:rFonts w:ascii="仿宋" w:hAnsi="仿宋" w:eastAsia="仿宋" w:cs="仿宋"/>
          <w:color w:val="auto"/>
          <w:sz w:val="20"/>
          <w:szCs w:val="20"/>
          <w:lang w:eastAsia="zh-CN"/>
        </w:rPr>
      </w:pPr>
      <w:r>
        <w:rPr>
          <w:rFonts w:ascii="仿宋" w:hAnsi="仿宋" w:eastAsia="仿宋" w:cs="仿宋"/>
          <w:color w:val="auto"/>
          <w:spacing w:val="8"/>
          <w:sz w:val="20"/>
          <w:szCs w:val="20"/>
          <w:lang w:eastAsia="zh-CN"/>
        </w:rPr>
        <w:t>名 称：</w:t>
      </w:r>
      <w:r>
        <w:rPr>
          <w:rFonts w:hint="eastAsia" w:ascii="仿宋" w:hAnsi="仿宋" w:eastAsia="仿宋" w:cs="仿宋"/>
          <w:color w:val="auto"/>
          <w:spacing w:val="8"/>
          <w:sz w:val="20"/>
          <w:szCs w:val="20"/>
          <w:lang w:eastAsia="zh-CN"/>
        </w:rPr>
        <w:t>新疆崇途工程项目管理有限公司</w:t>
      </w:r>
    </w:p>
    <w:p w14:paraId="51C13B00">
      <w:pPr>
        <w:spacing w:before="191"/>
        <w:ind w:left="434"/>
        <w:rPr>
          <w:rFonts w:ascii="仿宋" w:hAnsi="仿宋" w:eastAsia="仿宋" w:cs="仿宋"/>
          <w:color w:val="auto"/>
          <w:sz w:val="20"/>
          <w:szCs w:val="20"/>
          <w:lang w:eastAsia="zh-CN"/>
        </w:rPr>
      </w:pPr>
      <w:r>
        <w:rPr>
          <w:rFonts w:ascii="仿宋" w:hAnsi="仿宋" w:eastAsia="仿宋" w:cs="仿宋"/>
          <w:color w:val="auto"/>
          <w:spacing w:val="7"/>
          <w:position w:val="17"/>
          <w:sz w:val="20"/>
          <w:szCs w:val="20"/>
          <w:lang w:eastAsia="zh-CN"/>
        </w:rPr>
        <w:t>地 址：</w:t>
      </w:r>
      <w:r>
        <w:rPr>
          <w:rFonts w:hint="eastAsia" w:ascii="仿宋" w:hAnsi="仿宋" w:eastAsia="仿宋" w:cs="仿宋"/>
          <w:color w:val="auto"/>
          <w:spacing w:val="7"/>
          <w:position w:val="17"/>
          <w:sz w:val="20"/>
          <w:szCs w:val="20"/>
          <w:lang w:eastAsia="zh-CN"/>
        </w:rPr>
        <w:t>新疆伊犁哈萨克自治州伊宁市解放西路273号伊犁路政海事小区综合楼245号</w:t>
      </w:r>
    </w:p>
    <w:p w14:paraId="359B402A">
      <w:pPr>
        <w:spacing w:before="188"/>
        <w:ind w:left="431"/>
        <w:rPr>
          <w:rFonts w:ascii="仿宋" w:hAnsi="仿宋" w:eastAsia="仿宋" w:cs="仿宋"/>
          <w:color w:val="auto"/>
          <w:sz w:val="20"/>
          <w:szCs w:val="20"/>
          <w:lang w:eastAsia="zh-CN"/>
        </w:rPr>
      </w:pPr>
      <w:r>
        <w:rPr>
          <w:rFonts w:ascii="仿宋" w:hAnsi="仿宋" w:eastAsia="仿宋" w:cs="仿宋"/>
          <w:color w:val="auto"/>
          <w:spacing w:val="6"/>
          <w:sz w:val="20"/>
          <w:szCs w:val="20"/>
          <w:lang w:eastAsia="zh-CN"/>
        </w:rPr>
        <w:t>3.项目联系方式</w:t>
      </w:r>
    </w:p>
    <w:p w14:paraId="2D0EB649">
      <w:pPr>
        <w:spacing w:before="188"/>
        <w:ind w:left="434"/>
        <w:rPr>
          <w:rFonts w:ascii="仿宋" w:hAnsi="仿宋" w:eastAsia="仿宋" w:cs="仿宋"/>
          <w:color w:val="auto"/>
          <w:sz w:val="20"/>
          <w:szCs w:val="20"/>
          <w:lang w:eastAsia="zh-CN"/>
        </w:rPr>
      </w:pPr>
      <w:r>
        <w:rPr>
          <w:rFonts w:ascii="仿宋" w:hAnsi="仿宋" w:eastAsia="仿宋" w:cs="仿宋"/>
          <w:color w:val="auto"/>
          <w:spacing w:val="7"/>
          <w:sz w:val="20"/>
          <w:szCs w:val="20"/>
          <w:lang w:eastAsia="zh-CN"/>
        </w:rPr>
        <w:t>项目联系人：</w:t>
      </w:r>
      <w:r>
        <w:rPr>
          <w:rFonts w:hint="eastAsia" w:ascii="仿宋" w:hAnsi="仿宋" w:eastAsia="仿宋" w:cs="仿宋"/>
          <w:color w:val="auto"/>
          <w:spacing w:val="7"/>
          <w:sz w:val="20"/>
          <w:szCs w:val="20"/>
          <w:lang w:eastAsia="zh-CN"/>
        </w:rPr>
        <w:t>淡家乐</w:t>
      </w:r>
    </w:p>
    <w:p w14:paraId="30B7C88B">
      <w:pPr>
        <w:spacing w:before="192"/>
        <w:ind w:left="456"/>
        <w:rPr>
          <w:rFonts w:ascii="仿宋" w:hAnsi="仿宋" w:eastAsia="仿宋" w:cs="仿宋"/>
          <w:color w:val="auto"/>
          <w:sz w:val="20"/>
          <w:szCs w:val="20"/>
          <w:lang w:eastAsia="zh-CN"/>
        </w:rPr>
      </w:pPr>
      <w:r>
        <w:rPr>
          <w:rFonts w:ascii="仿宋" w:hAnsi="仿宋" w:eastAsia="仿宋" w:cs="仿宋"/>
          <w:color w:val="auto"/>
          <w:spacing w:val="3"/>
          <w:sz w:val="20"/>
          <w:szCs w:val="20"/>
          <w:lang w:eastAsia="zh-CN"/>
        </w:rPr>
        <w:t>电 话：</w:t>
      </w:r>
      <w:r>
        <w:rPr>
          <w:rFonts w:hint="eastAsia" w:ascii="仿宋" w:hAnsi="仿宋" w:eastAsia="仿宋" w:cs="仿宋"/>
          <w:color w:val="auto"/>
          <w:spacing w:val="3"/>
          <w:sz w:val="20"/>
          <w:szCs w:val="20"/>
          <w:lang w:eastAsia="zh-CN"/>
        </w:rPr>
        <w:t>19990999923</w:t>
      </w:r>
    </w:p>
    <w:p w14:paraId="7922214D">
      <w:pPr>
        <w:rPr>
          <w:rFonts w:ascii="仿宋" w:hAnsi="仿宋" w:eastAsia="仿宋" w:cs="仿宋"/>
          <w:color w:val="auto"/>
          <w:sz w:val="20"/>
          <w:szCs w:val="20"/>
          <w:lang w:eastAsia="zh-CN"/>
        </w:rPr>
        <w:sectPr>
          <w:headerReference r:id="rId6" w:type="default"/>
          <w:footerReference r:id="rId7" w:type="default"/>
          <w:pgSz w:w="12240" w:h="15840"/>
          <w:pgMar w:top="1440" w:right="1080" w:bottom="1440" w:left="1080" w:header="873" w:footer="722" w:gutter="0"/>
          <w:pgBorders>
            <w:top w:val="none" w:sz="0" w:space="0"/>
            <w:left w:val="none" w:sz="0" w:space="0"/>
            <w:bottom w:val="none" w:sz="0" w:space="0"/>
            <w:right w:val="none" w:sz="0" w:space="0"/>
          </w:pgBorders>
          <w:pgNumType w:fmt="decimal"/>
          <w:cols w:space="720" w:num="1"/>
        </w:sectPr>
      </w:pPr>
    </w:p>
    <w:p w14:paraId="253FA566">
      <w:pPr>
        <w:pStyle w:val="8"/>
        <w:spacing w:line="244" w:lineRule="auto"/>
        <w:rPr>
          <w:color w:val="auto"/>
          <w:lang w:eastAsia="zh-CN"/>
        </w:rPr>
      </w:pPr>
    </w:p>
    <w:p w14:paraId="4D5F1FBD">
      <w:pPr>
        <w:pStyle w:val="8"/>
        <w:spacing w:line="244" w:lineRule="auto"/>
        <w:rPr>
          <w:color w:val="auto"/>
          <w:lang w:eastAsia="zh-CN"/>
        </w:rPr>
      </w:pPr>
    </w:p>
    <w:p w14:paraId="2412A751">
      <w:pPr>
        <w:pStyle w:val="8"/>
        <w:spacing w:line="244" w:lineRule="auto"/>
        <w:rPr>
          <w:color w:val="auto"/>
          <w:lang w:eastAsia="zh-CN"/>
        </w:rPr>
      </w:pPr>
    </w:p>
    <w:p w14:paraId="7802A307">
      <w:pPr>
        <w:pStyle w:val="8"/>
        <w:spacing w:line="244" w:lineRule="auto"/>
        <w:rPr>
          <w:color w:val="auto"/>
          <w:lang w:eastAsia="zh-CN"/>
        </w:rPr>
      </w:pPr>
    </w:p>
    <w:p w14:paraId="74FE72F5">
      <w:pPr>
        <w:pStyle w:val="8"/>
        <w:spacing w:line="244" w:lineRule="auto"/>
        <w:rPr>
          <w:color w:val="auto"/>
          <w:lang w:eastAsia="zh-CN"/>
        </w:rPr>
      </w:pPr>
    </w:p>
    <w:p w14:paraId="022563DA">
      <w:pPr>
        <w:pStyle w:val="8"/>
        <w:spacing w:line="244" w:lineRule="auto"/>
        <w:rPr>
          <w:color w:val="auto"/>
          <w:lang w:eastAsia="zh-CN"/>
        </w:rPr>
      </w:pPr>
    </w:p>
    <w:p w14:paraId="7E246724">
      <w:pPr>
        <w:pStyle w:val="8"/>
        <w:spacing w:line="244" w:lineRule="auto"/>
        <w:rPr>
          <w:color w:val="auto"/>
          <w:lang w:eastAsia="zh-CN"/>
        </w:rPr>
      </w:pPr>
    </w:p>
    <w:p w14:paraId="4F8A99FD">
      <w:pPr>
        <w:pStyle w:val="8"/>
        <w:spacing w:line="244" w:lineRule="auto"/>
        <w:rPr>
          <w:color w:val="auto"/>
          <w:lang w:eastAsia="zh-CN"/>
        </w:rPr>
      </w:pPr>
    </w:p>
    <w:p w14:paraId="7EE93D41">
      <w:pPr>
        <w:pStyle w:val="8"/>
        <w:spacing w:line="244" w:lineRule="auto"/>
        <w:rPr>
          <w:color w:val="auto"/>
          <w:lang w:eastAsia="zh-CN"/>
        </w:rPr>
      </w:pPr>
    </w:p>
    <w:p w14:paraId="72488581">
      <w:pPr>
        <w:pStyle w:val="8"/>
        <w:spacing w:line="244" w:lineRule="auto"/>
        <w:rPr>
          <w:color w:val="auto"/>
          <w:lang w:eastAsia="zh-CN"/>
        </w:rPr>
      </w:pPr>
    </w:p>
    <w:p w14:paraId="79E1C89D">
      <w:pPr>
        <w:pStyle w:val="8"/>
        <w:spacing w:line="244" w:lineRule="auto"/>
        <w:rPr>
          <w:color w:val="auto"/>
          <w:lang w:eastAsia="zh-CN"/>
        </w:rPr>
      </w:pPr>
    </w:p>
    <w:p w14:paraId="35769864">
      <w:pPr>
        <w:pStyle w:val="8"/>
        <w:spacing w:line="244" w:lineRule="auto"/>
        <w:rPr>
          <w:color w:val="auto"/>
          <w:lang w:eastAsia="zh-CN"/>
        </w:rPr>
      </w:pPr>
    </w:p>
    <w:p w14:paraId="7ACB1371">
      <w:pPr>
        <w:pStyle w:val="8"/>
        <w:spacing w:line="244" w:lineRule="auto"/>
        <w:rPr>
          <w:color w:val="auto"/>
          <w:lang w:eastAsia="zh-CN"/>
        </w:rPr>
      </w:pPr>
    </w:p>
    <w:p w14:paraId="4800B63C">
      <w:pPr>
        <w:pStyle w:val="8"/>
        <w:spacing w:line="244" w:lineRule="auto"/>
        <w:rPr>
          <w:color w:val="auto"/>
          <w:lang w:eastAsia="zh-CN"/>
        </w:rPr>
      </w:pPr>
    </w:p>
    <w:p w14:paraId="755D03B4">
      <w:pPr>
        <w:pStyle w:val="8"/>
        <w:spacing w:line="244" w:lineRule="auto"/>
        <w:rPr>
          <w:color w:val="auto"/>
          <w:lang w:eastAsia="zh-CN"/>
        </w:rPr>
      </w:pPr>
    </w:p>
    <w:p w14:paraId="69220B8D">
      <w:pPr>
        <w:pStyle w:val="8"/>
        <w:spacing w:line="244" w:lineRule="auto"/>
        <w:rPr>
          <w:color w:val="auto"/>
          <w:lang w:eastAsia="zh-CN"/>
        </w:rPr>
      </w:pPr>
    </w:p>
    <w:p w14:paraId="3E455264">
      <w:pPr>
        <w:pStyle w:val="8"/>
        <w:spacing w:line="244" w:lineRule="auto"/>
        <w:rPr>
          <w:color w:val="auto"/>
          <w:lang w:eastAsia="zh-CN"/>
        </w:rPr>
      </w:pPr>
    </w:p>
    <w:p w14:paraId="62AF748E">
      <w:pPr>
        <w:pStyle w:val="8"/>
        <w:spacing w:line="244" w:lineRule="auto"/>
        <w:rPr>
          <w:color w:val="auto"/>
          <w:lang w:eastAsia="zh-CN"/>
        </w:rPr>
      </w:pPr>
    </w:p>
    <w:p w14:paraId="568A93CB">
      <w:pPr>
        <w:pStyle w:val="8"/>
        <w:spacing w:line="244" w:lineRule="auto"/>
        <w:rPr>
          <w:color w:val="auto"/>
          <w:lang w:eastAsia="zh-CN"/>
        </w:rPr>
      </w:pPr>
    </w:p>
    <w:p w14:paraId="1286B4A7">
      <w:pPr>
        <w:pStyle w:val="8"/>
        <w:spacing w:line="245" w:lineRule="auto"/>
        <w:rPr>
          <w:color w:val="auto"/>
          <w:lang w:eastAsia="zh-CN"/>
        </w:rPr>
      </w:pPr>
    </w:p>
    <w:p w14:paraId="4063A0B5">
      <w:pPr>
        <w:pStyle w:val="8"/>
        <w:spacing w:line="245" w:lineRule="auto"/>
        <w:rPr>
          <w:color w:val="auto"/>
          <w:lang w:eastAsia="zh-CN"/>
        </w:rPr>
      </w:pPr>
    </w:p>
    <w:p w14:paraId="1B03EF43">
      <w:pPr>
        <w:pStyle w:val="8"/>
        <w:spacing w:line="245" w:lineRule="auto"/>
        <w:rPr>
          <w:color w:val="auto"/>
          <w:lang w:eastAsia="zh-CN"/>
        </w:rPr>
      </w:pPr>
    </w:p>
    <w:p w14:paraId="4157DE7F">
      <w:pPr>
        <w:pStyle w:val="8"/>
        <w:spacing w:line="245" w:lineRule="auto"/>
        <w:rPr>
          <w:color w:val="auto"/>
          <w:lang w:eastAsia="zh-CN"/>
        </w:rPr>
      </w:pPr>
    </w:p>
    <w:p w14:paraId="55221C29">
      <w:pPr>
        <w:pStyle w:val="2"/>
        <w:bidi w:val="0"/>
        <w:rPr>
          <w:lang w:eastAsia="zh-CN"/>
        </w:rPr>
      </w:pPr>
      <w:bookmarkStart w:id="7" w:name="_Toc5770"/>
      <w:bookmarkStart w:id="8" w:name="_Toc17218"/>
      <w:r>
        <w:rPr>
          <w:lang w:eastAsia="zh-CN"/>
        </w:rPr>
        <w:t>第二章  投标人须知</w:t>
      </w:r>
      <w:bookmarkEnd w:id="7"/>
      <w:bookmarkEnd w:id="8"/>
    </w:p>
    <w:p w14:paraId="243C4371">
      <w:pPr>
        <w:spacing w:line="225" w:lineRule="auto"/>
        <w:rPr>
          <w:rFonts w:ascii="黑体" w:hAnsi="黑体" w:eastAsia="黑体" w:cs="黑体"/>
          <w:color w:val="auto"/>
          <w:sz w:val="43"/>
          <w:szCs w:val="43"/>
          <w:lang w:eastAsia="zh-CN"/>
        </w:rPr>
        <w:sectPr>
          <w:footerReference r:id="rId8" w:type="default"/>
          <w:pgSz w:w="12240" w:h="15840"/>
          <w:pgMar w:top="1440" w:right="1080" w:bottom="1440" w:left="1080" w:header="873" w:footer="722" w:gutter="0"/>
          <w:pgBorders>
            <w:top w:val="none" w:sz="0" w:space="0"/>
            <w:left w:val="none" w:sz="0" w:space="0"/>
            <w:bottom w:val="none" w:sz="0" w:space="0"/>
            <w:right w:val="none" w:sz="0" w:space="0"/>
          </w:pgBorders>
          <w:pgNumType w:fmt="decimal"/>
          <w:cols w:space="720" w:num="1"/>
        </w:sectPr>
      </w:pPr>
    </w:p>
    <w:p w14:paraId="5E87EF97">
      <w:pPr>
        <w:spacing w:before="91" w:line="212" w:lineRule="auto"/>
        <w:ind w:left="3875"/>
        <w:rPr>
          <w:rFonts w:ascii="黑体" w:hAnsi="黑体" w:eastAsia="黑体" w:cs="黑体"/>
          <w:color w:val="auto"/>
          <w:sz w:val="28"/>
          <w:szCs w:val="28"/>
          <w:lang w:eastAsia="zh-CN"/>
          <w14:textOutline w14:w="5105" w14:cap="sq" w14:cmpd="sng" w14:algn="ctr">
            <w14:solidFill>
              <w14:srgbClr w14:val="000000"/>
            </w14:solidFill>
            <w14:prstDash w14:val="solid"/>
            <w14:bevel/>
          </w14:textOutline>
        </w:rPr>
      </w:pPr>
      <w:r>
        <w:rPr>
          <w:rFonts w:ascii="黑体" w:hAnsi="黑体" w:eastAsia="黑体" w:cs="黑体"/>
          <w:color w:val="auto"/>
          <w:sz w:val="28"/>
          <w:szCs w:val="28"/>
          <w:lang w:eastAsia="zh-CN"/>
          <w14:textOutline w14:w="5105" w14:cap="sq" w14:cmpd="sng" w14:algn="ctr">
            <w14:solidFill>
              <w14:srgbClr w14:val="000000"/>
            </w14:solidFill>
            <w14:prstDash w14:val="solid"/>
            <w14:bevel/>
          </w14:textOutline>
        </w:rPr>
        <w:t>投标人须知前附表</w:t>
      </w:r>
    </w:p>
    <w:p w14:paraId="252DAA5B">
      <w:pPr>
        <w:spacing w:before="91" w:line="212" w:lineRule="auto"/>
        <w:ind w:left="3875"/>
        <w:rPr>
          <w:rFonts w:ascii="黑体" w:hAnsi="黑体" w:eastAsia="黑体" w:cs="黑体"/>
          <w:color w:val="auto"/>
          <w:sz w:val="28"/>
          <w:szCs w:val="28"/>
          <w:lang w:eastAsia="zh-CN"/>
          <w14:textOutline w14:w="5105" w14:cap="sq" w14:cmpd="sng" w14:algn="ctr">
            <w14:solidFill>
              <w14:srgbClr w14:val="000000"/>
            </w14:solidFill>
            <w14:prstDash w14:val="solid"/>
            <w14:bevel/>
          </w14:textOutline>
        </w:rPr>
      </w:pPr>
    </w:p>
    <w:tbl>
      <w:tblPr>
        <w:tblStyle w:val="26"/>
        <w:tblW w:w="0" w:type="auto"/>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4"/>
        <w:gridCol w:w="14"/>
        <w:gridCol w:w="11"/>
        <w:gridCol w:w="1644"/>
        <w:gridCol w:w="18"/>
        <w:gridCol w:w="7201"/>
      </w:tblGrid>
      <w:tr w14:paraId="60219F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4EB4C186">
            <w:pPr>
              <w:keepNext w:val="0"/>
              <w:keepLines w:val="0"/>
              <w:pageBreakBefore w:val="0"/>
              <w:widowControl/>
              <w:wordWrap/>
              <w:overflowPunct w:val="0"/>
              <w:topLinePunct w:val="0"/>
              <w:bidi w:val="0"/>
              <w:snapToGrid w:val="0"/>
              <w:spacing w:before="40" w:line="360" w:lineRule="auto"/>
              <w:ind w:left="153"/>
              <w:rPr>
                <w:rFonts w:ascii="黑体" w:hAnsi="黑体" w:eastAsia="黑体" w:cs="黑体"/>
                <w:color w:val="auto"/>
                <w:sz w:val="20"/>
                <w:szCs w:val="20"/>
              </w:rPr>
            </w:pPr>
            <w:r>
              <w:rPr>
                <w:rFonts w:ascii="黑体" w:hAnsi="黑体" w:eastAsia="黑体" w:cs="黑体"/>
                <w:color w:val="auto"/>
                <w:spacing w:val="7"/>
                <w:sz w:val="20"/>
                <w:szCs w:val="20"/>
                <w14:textOutline w14:w="3797" w14:cap="sq" w14:cmpd="sng" w14:algn="ctr">
                  <w14:solidFill>
                    <w14:srgbClr w14:val="000000"/>
                  </w14:solidFill>
                  <w14:prstDash w14:val="solid"/>
                  <w14:bevel/>
                </w14:textOutline>
              </w:rPr>
              <w:t>条款号</w:t>
            </w:r>
          </w:p>
        </w:tc>
        <w:tc>
          <w:tcPr>
            <w:tcW w:w="1669" w:type="dxa"/>
            <w:gridSpan w:val="3"/>
            <w:tcMar>
              <w:top w:w="0" w:type="dxa"/>
              <w:left w:w="0" w:type="dxa"/>
              <w:bottom w:w="0" w:type="dxa"/>
              <w:right w:w="0" w:type="dxa"/>
            </w:tcMar>
          </w:tcPr>
          <w:p w14:paraId="682BB75D">
            <w:pPr>
              <w:keepNext w:val="0"/>
              <w:keepLines w:val="0"/>
              <w:pageBreakBefore w:val="0"/>
              <w:widowControl/>
              <w:wordWrap/>
              <w:overflowPunct w:val="0"/>
              <w:topLinePunct w:val="0"/>
              <w:bidi w:val="0"/>
              <w:snapToGrid w:val="0"/>
              <w:spacing w:before="40" w:line="360" w:lineRule="auto"/>
              <w:ind w:left="412"/>
              <w:rPr>
                <w:rFonts w:ascii="黑体" w:hAnsi="黑体" w:eastAsia="黑体" w:cs="黑体"/>
                <w:color w:val="auto"/>
                <w:sz w:val="20"/>
                <w:szCs w:val="20"/>
              </w:rPr>
            </w:pPr>
            <w:r>
              <w:rPr>
                <w:rFonts w:ascii="黑体" w:hAnsi="黑体" w:eastAsia="黑体" w:cs="黑体"/>
                <w:color w:val="auto"/>
                <w:spacing w:val="8"/>
                <w:sz w:val="20"/>
                <w:szCs w:val="20"/>
                <w14:textOutline w14:w="3797" w14:cap="sq" w14:cmpd="sng" w14:algn="ctr">
                  <w14:solidFill>
                    <w14:srgbClr w14:val="000000"/>
                  </w14:solidFill>
                  <w14:prstDash w14:val="solid"/>
                  <w14:bevel/>
                </w14:textOutline>
              </w:rPr>
              <w:t>条款名称</w:t>
            </w:r>
          </w:p>
        </w:tc>
        <w:tc>
          <w:tcPr>
            <w:tcW w:w="7219" w:type="dxa"/>
            <w:gridSpan w:val="2"/>
            <w:tcMar>
              <w:top w:w="0" w:type="dxa"/>
              <w:left w:w="0" w:type="dxa"/>
              <w:bottom w:w="0" w:type="dxa"/>
              <w:right w:w="0" w:type="dxa"/>
            </w:tcMar>
          </w:tcPr>
          <w:p w14:paraId="03D5B99D">
            <w:pPr>
              <w:keepNext w:val="0"/>
              <w:keepLines w:val="0"/>
              <w:pageBreakBefore w:val="0"/>
              <w:widowControl/>
              <w:wordWrap/>
              <w:overflowPunct w:val="0"/>
              <w:topLinePunct w:val="0"/>
              <w:bidi w:val="0"/>
              <w:snapToGrid w:val="0"/>
              <w:spacing w:before="40" w:line="360" w:lineRule="auto"/>
              <w:ind w:left="3532"/>
              <w:rPr>
                <w:rFonts w:ascii="黑体" w:hAnsi="黑体" w:eastAsia="黑体" w:cs="黑体"/>
                <w:color w:val="auto"/>
                <w:sz w:val="20"/>
                <w:szCs w:val="20"/>
              </w:rPr>
            </w:pPr>
            <w:r>
              <w:rPr>
                <w:rFonts w:ascii="黑体" w:hAnsi="黑体" w:eastAsia="黑体" w:cs="黑体"/>
                <w:color w:val="auto"/>
                <w:spacing w:val="9"/>
                <w:sz w:val="20"/>
                <w:szCs w:val="20"/>
                <w14:textOutline w14:w="3797" w14:cap="sq" w14:cmpd="sng" w14:algn="ctr">
                  <w14:solidFill>
                    <w14:srgbClr w14:val="000000"/>
                  </w14:solidFill>
                  <w14:prstDash w14:val="solid"/>
                  <w14:bevel/>
                </w14:textOutline>
              </w:rPr>
              <w:t>编列内容</w:t>
            </w:r>
          </w:p>
        </w:tc>
      </w:tr>
      <w:tr w14:paraId="04FA61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vMerge w:val="restart"/>
            <w:tcBorders>
              <w:bottom w:val="nil"/>
            </w:tcBorders>
            <w:tcMar>
              <w:top w:w="0" w:type="dxa"/>
              <w:left w:w="0" w:type="dxa"/>
              <w:bottom w:w="0" w:type="dxa"/>
              <w:right w:w="0" w:type="dxa"/>
            </w:tcMar>
          </w:tcPr>
          <w:p w14:paraId="35D2C497">
            <w:pPr>
              <w:keepNext w:val="0"/>
              <w:keepLines w:val="0"/>
              <w:pageBreakBefore w:val="0"/>
              <w:widowControl/>
              <w:wordWrap/>
              <w:overflowPunct w:val="0"/>
              <w:topLinePunct w:val="0"/>
              <w:bidi w:val="0"/>
              <w:snapToGrid w:val="0"/>
              <w:spacing w:line="360" w:lineRule="auto"/>
              <w:rPr>
                <w:color w:val="auto"/>
              </w:rPr>
            </w:pPr>
          </w:p>
          <w:p w14:paraId="02753946">
            <w:pPr>
              <w:keepNext w:val="0"/>
              <w:keepLines w:val="0"/>
              <w:pageBreakBefore w:val="0"/>
              <w:widowControl/>
              <w:wordWrap/>
              <w:overflowPunct w:val="0"/>
              <w:topLinePunct w:val="0"/>
              <w:bidi w:val="0"/>
              <w:snapToGrid w:val="0"/>
              <w:spacing w:line="360" w:lineRule="auto"/>
              <w:rPr>
                <w:color w:val="auto"/>
              </w:rPr>
            </w:pPr>
          </w:p>
          <w:p w14:paraId="256108B0">
            <w:pPr>
              <w:keepNext w:val="0"/>
              <w:keepLines w:val="0"/>
              <w:pageBreakBefore w:val="0"/>
              <w:widowControl/>
              <w:wordWrap/>
              <w:overflowPunct w:val="0"/>
              <w:topLinePunct w:val="0"/>
              <w:bidi w:val="0"/>
              <w:snapToGrid w:val="0"/>
              <w:spacing w:line="360" w:lineRule="auto"/>
              <w:rPr>
                <w:color w:val="auto"/>
              </w:rPr>
            </w:pPr>
          </w:p>
          <w:p w14:paraId="1B7044C8">
            <w:pPr>
              <w:keepNext w:val="0"/>
              <w:keepLines w:val="0"/>
              <w:pageBreakBefore w:val="0"/>
              <w:widowControl/>
              <w:wordWrap/>
              <w:overflowPunct w:val="0"/>
              <w:topLinePunct w:val="0"/>
              <w:bidi w:val="0"/>
              <w:snapToGrid w:val="0"/>
              <w:spacing w:line="360" w:lineRule="auto"/>
              <w:rPr>
                <w:color w:val="auto"/>
              </w:rPr>
            </w:pPr>
          </w:p>
          <w:p w14:paraId="3385AD13">
            <w:pPr>
              <w:keepNext w:val="0"/>
              <w:keepLines w:val="0"/>
              <w:pageBreakBefore w:val="0"/>
              <w:widowControl/>
              <w:wordWrap/>
              <w:overflowPunct w:val="0"/>
              <w:topLinePunct w:val="0"/>
              <w:bidi w:val="0"/>
              <w:snapToGrid w:val="0"/>
              <w:spacing w:before="60" w:line="360" w:lineRule="auto"/>
              <w:ind w:left="335"/>
              <w:rPr>
                <w:rFonts w:ascii="Tahoma" w:hAnsi="Tahoma" w:eastAsia="Tahoma" w:cs="Tahoma"/>
                <w:color w:val="auto"/>
                <w:sz w:val="20"/>
                <w:szCs w:val="20"/>
              </w:rPr>
            </w:pPr>
            <w:r>
              <w:rPr>
                <w:rFonts w:ascii="Tahoma" w:hAnsi="Tahoma" w:eastAsia="Tahoma" w:cs="Tahoma"/>
                <w:color w:val="auto"/>
                <w:spacing w:val="-4"/>
                <w:sz w:val="20"/>
                <w:szCs w:val="20"/>
              </w:rPr>
              <w:t>1</w:t>
            </w:r>
          </w:p>
        </w:tc>
        <w:tc>
          <w:tcPr>
            <w:tcW w:w="1669" w:type="dxa"/>
            <w:gridSpan w:val="3"/>
            <w:tcMar>
              <w:top w:w="0" w:type="dxa"/>
              <w:left w:w="0" w:type="dxa"/>
              <w:bottom w:w="0" w:type="dxa"/>
              <w:right w:w="0" w:type="dxa"/>
            </w:tcMar>
          </w:tcPr>
          <w:p w14:paraId="0BF7CD61">
            <w:pPr>
              <w:pStyle w:val="27"/>
              <w:keepNext w:val="0"/>
              <w:keepLines w:val="0"/>
              <w:pageBreakBefore w:val="0"/>
              <w:widowControl/>
              <w:wordWrap/>
              <w:overflowPunct w:val="0"/>
              <w:topLinePunct w:val="0"/>
              <w:bidi w:val="0"/>
              <w:snapToGrid w:val="0"/>
              <w:spacing w:before="66" w:line="360" w:lineRule="auto"/>
              <w:ind w:left="115"/>
              <w:rPr>
                <w:color w:val="auto"/>
              </w:rPr>
            </w:pPr>
            <w:r>
              <w:rPr>
                <w:color w:val="auto"/>
                <w:spacing w:val="6"/>
              </w:rPr>
              <w:t>项目名称</w:t>
            </w:r>
          </w:p>
        </w:tc>
        <w:tc>
          <w:tcPr>
            <w:tcW w:w="7219" w:type="dxa"/>
            <w:gridSpan w:val="2"/>
            <w:tcMar>
              <w:top w:w="0" w:type="dxa"/>
              <w:left w:w="0" w:type="dxa"/>
              <w:bottom w:w="0" w:type="dxa"/>
              <w:right w:w="0" w:type="dxa"/>
            </w:tcMar>
          </w:tcPr>
          <w:p w14:paraId="44E36149">
            <w:pPr>
              <w:pStyle w:val="27"/>
              <w:keepNext w:val="0"/>
              <w:keepLines w:val="0"/>
              <w:pageBreakBefore w:val="0"/>
              <w:widowControl/>
              <w:wordWrap/>
              <w:overflowPunct w:val="0"/>
              <w:topLinePunct w:val="0"/>
              <w:bidi w:val="0"/>
              <w:snapToGrid w:val="0"/>
              <w:spacing w:before="66" w:line="360" w:lineRule="auto"/>
              <w:ind w:left="114"/>
              <w:rPr>
                <w:color w:val="auto"/>
                <w:lang w:eastAsia="zh-CN"/>
              </w:rPr>
            </w:pPr>
            <w:r>
              <w:rPr>
                <w:rFonts w:hint="eastAsia"/>
                <w:color w:val="auto"/>
                <w:spacing w:val="9"/>
                <w:lang w:eastAsia="zh-CN"/>
              </w:rPr>
              <w:t>尼勒克县人民医院医疗服务能力数字设施标准化建设项目（包1）</w:t>
            </w:r>
          </w:p>
        </w:tc>
      </w:tr>
      <w:tr w14:paraId="6AC4E4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vMerge w:val="continue"/>
            <w:tcBorders>
              <w:top w:val="nil"/>
              <w:bottom w:val="nil"/>
            </w:tcBorders>
            <w:tcMar>
              <w:top w:w="0" w:type="dxa"/>
              <w:left w:w="0" w:type="dxa"/>
              <w:bottom w:w="0" w:type="dxa"/>
              <w:right w:w="0" w:type="dxa"/>
            </w:tcMar>
          </w:tcPr>
          <w:p w14:paraId="38919DFD">
            <w:pPr>
              <w:keepNext w:val="0"/>
              <w:keepLines w:val="0"/>
              <w:pageBreakBefore w:val="0"/>
              <w:widowControl/>
              <w:wordWrap/>
              <w:overflowPunct w:val="0"/>
              <w:topLinePunct w:val="0"/>
              <w:bidi w:val="0"/>
              <w:snapToGrid w:val="0"/>
              <w:spacing w:line="360" w:lineRule="auto"/>
              <w:rPr>
                <w:color w:val="auto"/>
                <w:lang w:eastAsia="zh-CN"/>
              </w:rPr>
            </w:pPr>
          </w:p>
        </w:tc>
        <w:tc>
          <w:tcPr>
            <w:tcW w:w="1669" w:type="dxa"/>
            <w:gridSpan w:val="3"/>
            <w:tcMar>
              <w:top w:w="0" w:type="dxa"/>
              <w:left w:w="0" w:type="dxa"/>
              <w:bottom w:w="0" w:type="dxa"/>
              <w:right w:w="0" w:type="dxa"/>
            </w:tcMar>
          </w:tcPr>
          <w:p w14:paraId="2C05EE2A">
            <w:pPr>
              <w:pStyle w:val="27"/>
              <w:keepNext w:val="0"/>
              <w:keepLines w:val="0"/>
              <w:pageBreakBefore w:val="0"/>
              <w:widowControl/>
              <w:wordWrap/>
              <w:overflowPunct w:val="0"/>
              <w:topLinePunct w:val="0"/>
              <w:bidi w:val="0"/>
              <w:snapToGrid w:val="0"/>
              <w:spacing w:before="75" w:line="360" w:lineRule="auto"/>
              <w:ind w:left="112"/>
              <w:rPr>
                <w:color w:val="auto"/>
              </w:rPr>
            </w:pPr>
            <w:r>
              <w:rPr>
                <w:color w:val="auto"/>
                <w:spacing w:val="6"/>
              </w:rPr>
              <w:t>招标人</w:t>
            </w:r>
          </w:p>
        </w:tc>
        <w:tc>
          <w:tcPr>
            <w:tcW w:w="7219" w:type="dxa"/>
            <w:gridSpan w:val="2"/>
            <w:tcMar>
              <w:top w:w="0" w:type="dxa"/>
              <w:left w:w="0" w:type="dxa"/>
              <w:bottom w:w="0" w:type="dxa"/>
              <w:right w:w="0" w:type="dxa"/>
            </w:tcMar>
          </w:tcPr>
          <w:p w14:paraId="5896B7B0">
            <w:pPr>
              <w:pStyle w:val="27"/>
              <w:keepNext w:val="0"/>
              <w:keepLines w:val="0"/>
              <w:pageBreakBefore w:val="0"/>
              <w:widowControl/>
              <w:wordWrap/>
              <w:overflowPunct w:val="0"/>
              <w:topLinePunct w:val="0"/>
              <w:bidi w:val="0"/>
              <w:snapToGrid w:val="0"/>
              <w:spacing w:before="74" w:line="360" w:lineRule="auto"/>
              <w:ind w:left="114"/>
              <w:rPr>
                <w:color w:val="auto"/>
                <w:lang w:eastAsia="zh-CN"/>
              </w:rPr>
            </w:pPr>
            <w:r>
              <w:rPr>
                <w:rFonts w:hint="eastAsia"/>
                <w:color w:val="auto"/>
                <w:spacing w:val="8"/>
                <w:lang w:eastAsia="zh-CN"/>
              </w:rPr>
              <w:t>尼勒克县人民医院</w:t>
            </w:r>
          </w:p>
        </w:tc>
      </w:tr>
      <w:tr w14:paraId="1D4329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vMerge w:val="continue"/>
            <w:tcBorders>
              <w:top w:val="nil"/>
              <w:bottom w:val="nil"/>
            </w:tcBorders>
            <w:tcMar>
              <w:top w:w="0" w:type="dxa"/>
              <w:left w:w="0" w:type="dxa"/>
              <w:bottom w:w="0" w:type="dxa"/>
              <w:right w:w="0" w:type="dxa"/>
            </w:tcMar>
          </w:tcPr>
          <w:p w14:paraId="4399DAAF">
            <w:pPr>
              <w:keepNext w:val="0"/>
              <w:keepLines w:val="0"/>
              <w:pageBreakBefore w:val="0"/>
              <w:widowControl/>
              <w:wordWrap/>
              <w:overflowPunct w:val="0"/>
              <w:topLinePunct w:val="0"/>
              <w:bidi w:val="0"/>
              <w:snapToGrid w:val="0"/>
              <w:spacing w:line="360" w:lineRule="auto"/>
              <w:rPr>
                <w:color w:val="auto"/>
                <w:lang w:eastAsia="zh-CN"/>
              </w:rPr>
            </w:pPr>
          </w:p>
        </w:tc>
        <w:tc>
          <w:tcPr>
            <w:tcW w:w="1669" w:type="dxa"/>
            <w:gridSpan w:val="3"/>
            <w:tcMar>
              <w:top w:w="0" w:type="dxa"/>
              <w:left w:w="0" w:type="dxa"/>
              <w:bottom w:w="0" w:type="dxa"/>
              <w:right w:w="0" w:type="dxa"/>
            </w:tcMar>
          </w:tcPr>
          <w:p w14:paraId="4BAEFEB5">
            <w:pPr>
              <w:pStyle w:val="27"/>
              <w:keepNext w:val="0"/>
              <w:keepLines w:val="0"/>
              <w:pageBreakBefore w:val="0"/>
              <w:widowControl/>
              <w:wordWrap/>
              <w:overflowPunct w:val="0"/>
              <w:topLinePunct w:val="0"/>
              <w:bidi w:val="0"/>
              <w:snapToGrid w:val="0"/>
              <w:spacing w:before="81" w:line="360" w:lineRule="auto"/>
              <w:ind w:left="112"/>
              <w:rPr>
                <w:color w:val="auto"/>
              </w:rPr>
            </w:pPr>
            <w:r>
              <w:rPr>
                <w:color w:val="auto"/>
                <w:spacing w:val="7"/>
              </w:rPr>
              <w:t>招标代理人</w:t>
            </w:r>
          </w:p>
        </w:tc>
        <w:tc>
          <w:tcPr>
            <w:tcW w:w="7219" w:type="dxa"/>
            <w:gridSpan w:val="2"/>
            <w:tcMar>
              <w:top w:w="0" w:type="dxa"/>
              <w:left w:w="0" w:type="dxa"/>
              <w:bottom w:w="0" w:type="dxa"/>
              <w:right w:w="0" w:type="dxa"/>
            </w:tcMar>
          </w:tcPr>
          <w:p w14:paraId="1BF41FEC">
            <w:pPr>
              <w:pStyle w:val="27"/>
              <w:keepNext w:val="0"/>
              <w:keepLines w:val="0"/>
              <w:pageBreakBefore w:val="0"/>
              <w:widowControl/>
              <w:wordWrap/>
              <w:overflowPunct w:val="0"/>
              <w:topLinePunct w:val="0"/>
              <w:bidi w:val="0"/>
              <w:snapToGrid w:val="0"/>
              <w:spacing w:before="81" w:line="360" w:lineRule="auto"/>
              <w:ind w:left="114"/>
              <w:rPr>
                <w:color w:val="auto"/>
                <w:lang w:eastAsia="zh-CN"/>
              </w:rPr>
            </w:pPr>
            <w:r>
              <w:rPr>
                <w:rFonts w:hint="eastAsia"/>
                <w:color w:val="auto"/>
                <w:spacing w:val="9"/>
                <w:lang w:eastAsia="zh-CN"/>
              </w:rPr>
              <w:t>新疆崇途工程项目管理有限公司</w:t>
            </w:r>
          </w:p>
        </w:tc>
      </w:tr>
      <w:tr w14:paraId="3F417B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vMerge w:val="continue"/>
            <w:tcBorders>
              <w:top w:val="nil"/>
              <w:bottom w:val="nil"/>
            </w:tcBorders>
            <w:tcMar>
              <w:top w:w="0" w:type="dxa"/>
              <w:left w:w="0" w:type="dxa"/>
              <w:bottom w:w="0" w:type="dxa"/>
              <w:right w:w="0" w:type="dxa"/>
            </w:tcMar>
          </w:tcPr>
          <w:p w14:paraId="6DAE50BF">
            <w:pPr>
              <w:keepNext w:val="0"/>
              <w:keepLines w:val="0"/>
              <w:pageBreakBefore w:val="0"/>
              <w:widowControl/>
              <w:wordWrap/>
              <w:overflowPunct w:val="0"/>
              <w:topLinePunct w:val="0"/>
              <w:bidi w:val="0"/>
              <w:snapToGrid w:val="0"/>
              <w:spacing w:line="360" w:lineRule="auto"/>
              <w:rPr>
                <w:color w:val="auto"/>
                <w:lang w:eastAsia="zh-CN"/>
              </w:rPr>
            </w:pPr>
          </w:p>
        </w:tc>
        <w:tc>
          <w:tcPr>
            <w:tcW w:w="1669" w:type="dxa"/>
            <w:gridSpan w:val="3"/>
            <w:tcMar>
              <w:top w:w="0" w:type="dxa"/>
              <w:left w:w="0" w:type="dxa"/>
              <w:bottom w:w="0" w:type="dxa"/>
              <w:right w:w="0" w:type="dxa"/>
            </w:tcMar>
          </w:tcPr>
          <w:p w14:paraId="5E3FB048">
            <w:pPr>
              <w:pStyle w:val="27"/>
              <w:keepNext w:val="0"/>
              <w:keepLines w:val="0"/>
              <w:pageBreakBefore w:val="0"/>
              <w:widowControl/>
              <w:wordWrap/>
              <w:overflowPunct w:val="0"/>
              <w:topLinePunct w:val="0"/>
              <w:bidi w:val="0"/>
              <w:snapToGrid w:val="0"/>
              <w:spacing w:before="75" w:line="360" w:lineRule="auto"/>
              <w:ind w:left="112"/>
              <w:rPr>
                <w:color w:val="auto"/>
              </w:rPr>
            </w:pPr>
            <w:r>
              <w:rPr>
                <w:color w:val="auto"/>
                <w:spacing w:val="7"/>
              </w:rPr>
              <w:t>招标范围</w:t>
            </w:r>
          </w:p>
        </w:tc>
        <w:tc>
          <w:tcPr>
            <w:tcW w:w="7219" w:type="dxa"/>
            <w:gridSpan w:val="2"/>
            <w:tcMar>
              <w:top w:w="0" w:type="dxa"/>
              <w:left w:w="0" w:type="dxa"/>
              <w:bottom w:w="0" w:type="dxa"/>
              <w:right w:w="0" w:type="dxa"/>
            </w:tcMar>
          </w:tcPr>
          <w:p w14:paraId="56844702">
            <w:pPr>
              <w:pStyle w:val="27"/>
              <w:keepNext w:val="0"/>
              <w:keepLines w:val="0"/>
              <w:pageBreakBefore w:val="0"/>
              <w:widowControl/>
              <w:wordWrap/>
              <w:overflowPunct w:val="0"/>
              <w:topLinePunct w:val="0"/>
              <w:bidi w:val="0"/>
              <w:snapToGrid w:val="0"/>
              <w:spacing w:before="74" w:line="360" w:lineRule="auto"/>
              <w:ind w:left="116"/>
              <w:rPr>
                <w:color w:val="auto"/>
                <w:lang w:eastAsia="zh-CN"/>
              </w:rPr>
            </w:pPr>
            <w:r>
              <w:rPr>
                <w:color w:val="auto"/>
                <w:spacing w:val="9"/>
                <w:lang w:eastAsia="zh-CN"/>
              </w:rPr>
              <w:t>详见招标文件第五章</w:t>
            </w:r>
            <w:r>
              <w:rPr>
                <w:rFonts w:hint="eastAsia"/>
                <w:color w:val="auto"/>
                <w:spacing w:val="9"/>
                <w:lang w:eastAsia="zh-CN"/>
              </w:rPr>
              <w:t>采购需求及技术要求</w:t>
            </w:r>
          </w:p>
        </w:tc>
      </w:tr>
      <w:tr w14:paraId="199287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vMerge w:val="continue"/>
            <w:tcBorders>
              <w:top w:val="nil"/>
              <w:bottom w:val="nil"/>
            </w:tcBorders>
            <w:tcMar>
              <w:top w:w="0" w:type="dxa"/>
              <w:left w:w="0" w:type="dxa"/>
              <w:bottom w:w="0" w:type="dxa"/>
              <w:right w:w="0" w:type="dxa"/>
            </w:tcMar>
          </w:tcPr>
          <w:p w14:paraId="6F7E0FD5">
            <w:pPr>
              <w:keepNext w:val="0"/>
              <w:keepLines w:val="0"/>
              <w:pageBreakBefore w:val="0"/>
              <w:widowControl/>
              <w:wordWrap/>
              <w:overflowPunct w:val="0"/>
              <w:topLinePunct w:val="0"/>
              <w:bidi w:val="0"/>
              <w:snapToGrid w:val="0"/>
              <w:spacing w:line="360" w:lineRule="auto"/>
              <w:rPr>
                <w:color w:val="auto"/>
                <w:lang w:eastAsia="zh-CN"/>
              </w:rPr>
            </w:pPr>
          </w:p>
        </w:tc>
        <w:tc>
          <w:tcPr>
            <w:tcW w:w="1669" w:type="dxa"/>
            <w:gridSpan w:val="3"/>
            <w:tcMar>
              <w:top w:w="0" w:type="dxa"/>
              <w:left w:w="0" w:type="dxa"/>
              <w:bottom w:w="0" w:type="dxa"/>
              <w:right w:w="0" w:type="dxa"/>
            </w:tcMar>
          </w:tcPr>
          <w:p w14:paraId="2068125E">
            <w:pPr>
              <w:pStyle w:val="27"/>
              <w:keepNext w:val="0"/>
              <w:keepLines w:val="0"/>
              <w:pageBreakBefore w:val="0"/>
              <w:widowControl/>
              <w:wordWrap/>
              <w:overflowPunct w:val="0"/>
              <w:topLinePunct w:val="0"/>
              <w:bidi w:val="0"/>
              <w:snapToGrid w:val="0"/>
              <w:spacing w:before="74" w:line="360" w:lineRule="auto"/>
              <w:ind w:left="115"/>
              <w:rPr>
                <w:color w:val="auto"/>
              </w:rPr>
            </w:pPr>
            <w:r>
              <w:rPr>
                <w:color w:val="auto"/>
                <w:spacing w:val="6"/>
              </w:rPr>
              <w:t>项目编号</w:t>
            </w:r>
          </w:p>
        </w:tc>
        <w:tc>
          <w:tcPr>
            <w:tcW w:w="7219" w:type="dxa"/>
            <w:gridSpan w:val="2"/>
            <w:tcMar>
              <w:top w:w="0" w:type="dxa"/>
              <w:left w:w="0" w:type="dxa"/>
              <w:bottom w:w="0" w:type="dxa"/>
              <w:right w:w="0" w:type="dxa"/>
            </w:tcMar>
          </w:tcPr>
          <w:p w14:paraId="4F529C6A">
            <w:pPr>
              <w:pStyle w:val="27"/>
              <w:keepNext w:val="0"/>
              <w:keepLines w:val="0"/>
              <w:pageBreakBefore w:val="0"/>
              <w:widowControl/>
              <w:wordWrap/>
              <w:overflowPunct w:val="0"/>
              <w:topLinePunct w:val="0"/>
              <w:bidi w:val="0"/>
              <w:snapToGrid w:val="0"/>
              <w:spacing w:before="38" w:line="360" w:lineRule="auto"/>
              <w:ind w:left="106"/>
              <w:rPr>
                <w:rFonts w:ascii="Tahoma" w:hAnsi="Tahoma" w:cs="Tahoma"/>
                <w:color w:val="auto"/>
                <w:lang w:eastAsia="zh-CN"/>
              </w:rPr>
            </w:pPr>
            <w:r>
              <w:rPr>
                <w:rFonts w:hint="eastAsia" w:ascii="Tahoma" w:hAnsi="Tahoma" w:cs="Tahoma"/>
                <w:color w:val="auto"/>
                <w:position w:val="3"/>
                <w:lang w:eastAsia="zh-CN"/>
              </w:rPr>
              <w:t>CTZB-2025-009</w:t>
            </w:r>
          </w:p>
        </w:tc>
      </w:tr>
      <w:tr w14:paraId="4281E5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vMerge w:val="continue"/>
            <w:tcBorders>
              <w:top w:val="nil"/>
              <w:bottom w:val="nil"/>
            </w:tcBorders>
            <w:tcMar>
              <w:top w:w="0" w:type="dxa"/>
              <w:left w:w="0" w:type="dxa"/>
              <w:bottom w:w="0" w:type="dxa"/>
              <w:right w:w="0" w:type="dxa"/>
            </w:tcMar>
            <w:vAlign w:val="top"/>
          </w:tcPr>
          <w:p w14:paraId="3ECB6BA5">
            <w:pPr>
              <w:keepNext w:val="0"/>
              <w:keepLines w:val="0"/>
              <w:pageBreakBefore w:val="0"/>
              <w:widowControl/>
              <w:wordWrap/>
              <w:overflowPunct w:val="0"/>
              <w:topLinePunct w:val="0"/>
              <w:bidi w:val="0"/>
              <w:snapToGrid w:val="0"/>
              <w:spacing w:line="360" w:lineRule="auto"/>
              <w:rPr>
                <w:color w:val="auto"/>
              </w:rPr>
            </w:pPr>
          </w:p>
        </w:tc>
        <w:tc>
          <w:tcPr>
            <w:tcW w:w="1669" w:type="dxa"/>
            <w:gridSpan w:val="3"/>
            <w:tcMar>
              <w:top w:w="0" w:type="dxa"/>
              <w:left w:w="0" w:type="dxa"/>
              <w:bottom w:w="0" w:type="dxa"/>
              <w:right w:w="0" w:type="dxa"/>
            </w:tcMar>
            <w:vAlign w:val="top"/>
          </w:tcPr>
          <w:p w14:paraId="385BB331">
            <w:pPr>
              <w:pStyle w:val="27"/>
              <w:keepNext w:val="0"/>
              <w:keepLines w:val="0"/>
              <w:pageBreakBefore w:val="0"/>
              <w:widowControl/>
              <w:wordWrap/>
              <w:overflowPunct w:val="0"/>
              <w:topLinePunct w:val="0"/>
              <w:bidi w:val="0"/>
              <w:snapToGrid w:val="0"/>
              <w:spacing w:before="81" w:line="360" w:lineRule="auto"/>
              <w:ind w:left="120"/>
              <w:rPr>
                <w:color w:val="auto"/>
              </w:rPr>
            </w:pPr>
            <w:r>
              <w:rPr>
                <w:color w:val="auto"/>
                <w:spacing w:val="5"/>
              </w:rPr>
              <w:t>资金来源</w:t>
            </w:r>
          </w:p>
        </w:tc>
        <w:tc>
          <w:tcPr>
            <w:tcW w:w="7219" w:type="dxa"/>
            <w:gridSpan w:val="2"/>
            <w:tcMar>
              <w:top w:w="0" w:type="dxa"/>
              <w:left w:w="0" w:type="dxa"/>
              <w:bottom w:w="0" w:type="dxa"/>
              <w:right w:w="0" w:type="dxa"/>
            </w:tcMar>
            <w:vAlign w:val="top"/>
          </w:tcPr>
          <w:p w14:paraId="13A17910">
            <w:pPr>
              <w:pStyle w:val="27"/>
              <w:keepNext w:val="0"/>
              <w:keepLines w:val="0"/>
              <w:pageBreakBefore w:val="0"/>
              <w:widowControl/>
              <w:wordWrap/>
              <w:overflowPunct w:val="0"/>
              <w:topLinePunct w:val="0"/>
              <w:bidi w:val="0"/>
              <w:snapToGrid w:val="0"/>
              <w:spacing w:before="81" w:line="360" w:lineRule="auto"/>
              <w:ind w:left="148"/>
              <w:rPr>
                <w:rFonts w:hint="eastAsia" w:eastAsia="宋体"/>
                <w:color w:val="auto"/>
                <w:lang w:eastAsia="zh-CN"/>
              </w:rPr>
            </w:pPr>
            <w:r>
              <w:rPr>
                <w:rFonts w:hint="eastAsia"/>
                <w:color w:val="auto"/>
                <w:spacing w:val="-2"/>
                <w:lang w:eastAsia="zh-CN"/>
              </w:rPr>
              <w:t>预算</w:t>
            </w:r>
            <w:bookmarkStart w:id="339" w:name="_GoBack"/>
            <w:bookmarkEnd w:id="339"/>
            <w:r>
              <w:rPr>
                <w:rFonts w:hint="eastAsia"/>
                <w:color w:val="auto"/>
                <w:spacing w:val="-2"/>
                <w:lang w:eastAsia="zh-CN"/>
              </w:rPr>
              <w:t>资金</w:t>
            </w:r>
          </w:p>
        </w:tc>
      </w:tr>
      <w:tr w14:paraId="02FC90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914" w:type="dxa"/>
            <w:vMerge w:val="continue"/>
            <w:tcBorders>
              <w:top w:val="nil"/>
            </w:tcBorders>
            <w:tcMar>
              <w:top w:w="0" w:type="dxa"/>
              <w:left w:w="0" w:type="dxa"/>
              <w:bottom w:w="0" w:type="dxa"/>
              <w:right w:w="0" w:type="dxa"/>
            </w:tcMar>
          </w:tcPr>
          <w:p w14:paraId="1E85778C">
            <w:pPr>
              <w:keepNext w:val="0"/>
              <w:keepLines w:val="0"/>
              <w:pageBreakBefore w:val="0"/>
              <w:widowControl/>
              <w:wordWrap/>
              <w:overflowPunct w:val="0"/>
              <w:topLinePunct w:val="0"/>
              <w:bidi w:val="0"/>
              <w:snapToGrid w:val="0"/>
              <w:spacing w:line="360" w:lineRule="auto"/>
              <w:rPr>
                <w:color w:val="auto"/>
              </w:rPr>
            </w:pPr>
          </w:p>
        </w:tc>
        <w:tc>
          <w:tcPr>
            <w:tcW w:w="1669" w:type="dxa"/>
            <w:gridSpan w:val="3"/>
            <w:tcMar>
              <w:top w:w="0" w:type="dxa"/>
              <w:left w:w="0" w:type="dxa"/>
              <w:bottom w:w="0" w:type="dxa"/>
              <w:right w:w="0" w:type="dxa"/>
            </w:tcMar>
          </w:tcPr>
          <w:p w14:paraId="42C64A6E">
            <w:pPr>
              <w:pStyle w:val="27"/>
              <w:keepNext w:val="0"/>
              <w:keepLines w:val="0"/>
              <w:pageBreakBefore w:val="0"/>
              <w:widowControl/>
              <w:wordWrap/>
              <w:overflowPunct w:val="0"/>
              <w:topLinePunct w:val="0"/>
              <w:bidi w:val="0"/>
              <w:snapToGrid w:val="0"/>
              <w:spacing w:before="74" w:line="360" w:lineRule="auto"/>
              <w:ind w:left="120"/>
              <w:rPr>
                <w:color w:val="auto"/>
              </w:rPr>
            </w:pPr>
            <w:r>
              <w:rPr>
                <w:color w:val="auto"/>
                <w:spacing w:val="6"/>
              </w:rPr>
              <w:t>资金落实情况</w:t>
            </w:r>
          </w:p>
        </w:tc>
        <w:tc>
          <w:tcPr>
            <w:tcW w:w="7219" w:type="dxa"/>
            <w:gridSpan w:val="2"/>
            <w:tcMar>
              <w:top w:w="0" w:type="dxa"/>
              <w:left w:w="0" w:type="dxa"/>
              <w:bottom w:w="0" w:type="dxa"/>
              <w:right w:w="0" w:type="dxa"/>
            </w:tcMar>
          </w:tcPr>
          <w:p w14:paraId="7BFA1609">
            <w:pPr>
              <w:pStyle w:val="27"/>
              <w:keepNext w:val="0"/>
              <w:keepLines w:val="0"/>
              <w:pageBreakBefore w:val="0"/>
              <w:widowControl/>
              <w:wordWrap/>
              <w:overflowPunct w:val="0"/>
              <w:topLinePunct w:val="0"/>
              <w:bidi w:val="0"/>
              <w:snapToGrid w:val="0"/>
              <w:spacing w:before="74" w:line="360" w:lineRule="auto"/>
              <w:ind w:left="136"/>
              <w:rPr>
                <w:color w:val="auto"/>
              </w:rPr>
            </w:pPr>
            <w:r>
              <w:rPr>
                <w:color w:val="auto"/>
                <w:spacing w:val="-1"/>
              </w:rPr>
              <w:t>已落实</w:t>
            </w:r>
          </w:p>
        </w:tc>
      </w:tr>
      <w:tr w14:paraId="64ED63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2620323D">
            <w:pPr>
              <w:keepNext w:val="0"/>
              <w:keepLines w:val="0"/>
              <w:pageBreakBefore w:val="0"/>
              <w:widowControl/>
              <w:wordWrap/>
              <w:overflowPunct w:val="0"/>
              <w:topLinePunct w:val="0"/>
              <w:bidi w:val="0"/>
              <w:snapToGrid w:val="0"/>
              <w:spacing w:line="360" w:lineRule="auto"/>
              <w:rPr>
                <w:color w:val="auto"/>
              </w:rPr>
            </w:pPr>
          </w:p>
          <w:p w14:paraId="01F25AB1">
            <w:pPr>
              <w:keepNext w:val="0"/>
              <w:keepLines w:val="0"/>
              <w:pageBreakBefore w:val="0"/>
              <w:widowControl/>
              <w:wordWrap/>
              <w:overflowPunct w:val="0"/>
              <w:topLinePunct w:val="0"/>
              <w:bidi w:val="0"/>
              <w:snapToGrid w:val="0"/>
              <w:spacing w:line="360" w:lineRule="auto"/>
              <w:rPr>
                <w:color w:val="auto"/>
              </w:rPr>
            </w:pPr>
          </w:p>
          <w:p w14:paraId="39F75F92">
            <w:pPr>
              <w:keepNext w:val="0"/>
              <w:keepLines w:val="0"/>
              <w:pageBreakBefore w:val="0"/>
              <w:widowControl/>
              <w:wordWrap/>
              <w:overflowPunct w:val="0"/>
              <w:topLinePunct w:val="0"/>
              <w:bidi w:val="0"/>
              <w:snapToGrid w:val="0"/>
              <w:spacing w:line="360" w:lineRule="auto"/>
              <w:rPr>
                <w:color w:val="auto"/>
              </w:rPr>
            </w:pPr>
          </w:p>
          <w:p w14:paraId="122C4397">
            <w:pPr>
              <w:keepNext w:val="0"/>
              <w:keepLines w:val="0"/>
              <w:pageBreakBefore w:val="0"/>
              <w:widowControl/>
              <w:wordWrap/>
              <w:overflowPunct w:val="0"/>
              <w:topLinePunct w:val="0"/>
              <w:bidi w:val="0"/>
              <w:snapToGrid w:val="0"/>
              <w:spacing w:line="360" w:lineRule="auto"/>
              <w:rPr>
                <w:color w:val="auto"/>
              </w:rPr>
            </w:pPr>
          </w:p>
          <w:p w14:paraId="2FF37912">
            <w:pPr>
              <w:keepNext w:val="0"/>
              <w:keepLines w:val="0"/>
              <w:pageBreakBefore w:val="0"/>
              <w:widowControl/>
              <w:wordWrap/>
              <w:overflowPunct w:val="0"/>
              <w:topLinePunct w:val="0"/>
              <w:bidi w:val="0"/>
              <w:snapToGrid w:val="0"/>
              <w:spacing w:line="360" w:lineRule="auto"/>
              <w:rPr>
                <w:color w:val="auto"/>
              </w:rPr>
            </w:pPr>
          </w:p>
          <w:p w14:paraId="4C74D4E0">
            <w:pPr>
              <w:keepNext w:val="0"/>
              <w:keepLines w:val="0"/>
              <w:pageBreakBefore w:val="0"/>
              <w:widowControl/>
              <w:wordWrap/>
              <w:overflowPunct w:val="0"/>
              <w:topLinePunct w:val="0"/>
              <w:bidi w:val="0"/>
              <w:snapToGrid w:val="0"/>
              <w:spacing w:line="360" w:lineRule="auto"/>
              <w:rPr>
                <w:color w:val="auto"/>
              </w:rPr>
            </w:pPr>
          </w:p>
          <w:p w14:paraId="585E0822">
            <w:pPr>
              <w:keepNext w:val="0"/>
              <w:keepLines w:val="0"/>
              <w:pageBreakBefore w:val="0"/>
              <w:widowControl/>
              <w:wordWrap/>
              <w:overflowPunct w:val="0"/>
              <w:topLinePunct w:val="0"/>
              <w:bidi w:val="0"/>
              <w:snapToGrid w:val="0"/>
              <w:spacing w:line="360" w:lineRule="auto"/>
              <w:rPr>
                <w:color w:val="auto"/>
              </w:rPr>
            </w:pPr>
          </w:p>
          <w:p w14:paraId="5E5B7C3C">
            <w:pPr>
              <w:keepNext w:val="0"/>
              <w:keepLines w:val="0"/>
              <w:pageBreakBefore w:val="0"/>
              <w:widowControl/>
              <w:wordWrap/>
              <w:overflowPunct w:val="0"/>
              <w:topLinePunct w:val="0"/>
              <w:bidi w:val="0"/>
              <w:snapToGrid w:val="0"/>
              <w:spacing w:line="360" w:lineRule="auto"/>
              <w:rPr>
                <w:color w:val="auto"/>
              </w:rPr>
            </w:pPr>
          </w:p>
          <w:p w14:paraId="2BC54D30">
            <w:pPr>
              <w:keepNext w:val="0"/>
              <w:keepLines w:val="0"/>
              <w:pageBreakBefore w:val="0"/>
              <w:widowControl/>
              <w:wordWrap/>
              <w:overflowPunct w:val="0"/>
              <w:topLinePunct w:val="0"/>
              <w:bidi w:val="0"/>
              <w:snapToGrid w:val="0"/>
              <w:spacing w:before="60" w:line="360" w:lineRule="auto"/>
              <w:ind w:left="335"/>
              <w:rPr>
                <w:rFonts w:ascii="Tahoma" w:hAnsi="Tahoma" w:eastAsia="宋体" w:cs="Tahoma"/>
                <w:color w:val="auto"/>
                <w:sz w:val="20"/>
                <w:szCs w:val="20"/>
                <w:lang w:eastAsia="zh-CN"/>
              </w:rPr>
            </w:pPr>
            <w:r>
              <w:rPr>
                <w:rFonts w:hint="eastAsia" w:ascii="Tahoma" w:hAnsi="Tahoma" w:eastAsia="宋体" w:cs="Tahoma"/>
                <w:color w:val="auto"/>
                <w:spacing w:val="-4"/>
                <w:sz w:val="20"/>
                <w:szCs w:val="20"/>
                <w:lang w:eastAsia="zh-CN"/>
              </w:rPr>
              <w:t>2</w:t>
            </w:r>
          </w:p>
        </w:tc>
        <w:tc>
          <w:tcPr>
            <w:tcW w:w="1669" w:type="dxa"/>
            <w:gridSpan w:val="3"/>
            <w:tcMar>
              <w:top w:w="0" w:type="dxa"/>
              <w:left w:w="0" w:type="dxa"/>
              <w:bottom w:w="0" w:type="dxa"/>
              <w:right w:w="0" w:type="dxa"/>
            </w:tcMar>
          </w:tcPr>
          <w:p w14:paraId="07ECC1CA">
            <w:pPr>
              <w:keepNext w:val="0"/>
              <w:keepLines w:val="0"/>
              <w:pageBreakBefore w:val="0"/>
              <w:widowControl/>
              <w:wordWrap/>
              <w:overflowPunct w:val="0"/>
              <w:topLinePunct w:val="0"/>
              <w:bidi w:val="0"/>
              <w:snapToGrid w:val="0"/>
              <w:spacing w:line="360" w:lineRule="auto"/>
              <w:rPr>
                <w:color w:val="auto"/>
              </w:rPr>
            </w:pPr>
          </w:p>
          <w:p w14:paraId="73776150">
            <w:pPr>
              <w:keepNext w:val="0"/>
              <w:keepLines w:val="0"/>
              <w:pageBreakBefore w:val="0"/>
              <w:widowControl/>
              <w:wordWrap/>
              <w:overflowPunct w:val="0"/>
              <w:topLinePunct w:val="0"/>
              <w:bidi w:val="0"/>
              <w:snapToGrid w:val="0"/>
              <w:spacing w:line="360" w:lineRule="auto"/>
              <w:rPr>
                <w:color w:val="auto"/>
              </w:rPr>
            </w:pPr>
          </w:p>
          <w:p w14:paraId="2087BE3D">
            <w:pPr>
              <w:keepNext w:val="0"/>
              <w:keepLines w:val="0"/>
              <w:pageBreakBefore w:val="0"/>
              <w:widowControl/>
              <w:wordWrap/>
              <w:overflowPunct w:val="0"/>
              <w:topLinePunct w:val="0"/>
              <w:bidi w:val="0"/>
              <w:snapToGrid w:val="0"/>
              <w:spacing w:line="360" w:lineRule="auto"/>
              <w:rPr>
                <w:color w:val="auto"/>
              </w:rPr>
            </w:pPr>
          </w:p>
          <w:p w14:paraId="5AC35F19">
            <w:pPr>
              <w:keepNext w:val="0"/>
              <w:keepLines w:val="0"/>
              <w:pageBreakBefore w:val="0"/>
              <w:widowControl/>
              <w:wordWrap/>
              <w:overflowPunct w:val="0"/>
              <w:topLinePunct w:val="0"/>
              <w:bidi w:val="0"/>
              <w:snapToGrid w:val="0"/>
              <w:spacing w:line="360" w:lineRule="auto"/>
              <w:rPr>
                <w:color w:val="auto"/>
              </w:rPr>
            </w:pPr>
          </w:p>
          <w:p w14:paraId="5822BADD">
            <w:pPr>
              <w:keepNext w:val="0"/>
              <w:keepLines w:val="0"/>
              <w:pageBreakBefore w:val="0"/>
              <w:widowControl/>
              <w:wordWrap/>
              <w:overflowPunct w:val="0"/>
              <w:topLinePunct w:val="0"/>
              <w:bidi w:val="0"/>
              <w:snapToGrid w:val="0"/>
              <w:spacing w:line="360" w:lineRule="auto"/>
              <w:rPr>
                <w:color w:val="auto"/>
              </w:rPr>
            </w:pPr>
          </w:p>
          <w:p w14:paraId="4B7F33EF">
            <w:pPr>
              <w:keepNext w:val="0"/>
              <w:keepLines w:val="0"/>
              <w:pageBreakBefore w:val="0"/>
              <w:widowControl/>
              <w:wordWrap/>
              <w:overflowPunct w:val="0"/>
              <w:topLinePunct w:val="0"/>
              <w:bidi w:val="0"/>
              <w:snapToGrid w:val="0"/>
              <w:spacing w:line="360" w:lineRule="auto"/>
              <w:rPr>
                <w:color w:val="auto"/>
              </w:rPr>
            </w:pPr>
          </w:p>
          <w:p w14:paraId="07F4F050">
            <w:pPr>
              <w:keepNext w:val="0"/>
              <w:keepLines w:val="0"/>
              <w:pageBreakBefore w:val="0"/>
              <w:widowControl/>
              <w:wordWrap/>
              <w:overflowPunct w:val="0"/>
              <w:topLinePunct w:val="0"/>
              <w:bidi w:val="0"/>
              <w:snapToGrid w:val="0"/>
              <w:spacing w:line="360" w:lineRule="auto"/>
              <w:rPr>
                <w:color w:val="auto"/>
              </w:rPr>
            </w:pPr>
          </w:p>
          <w:p w14:paraId="6F531305">
            <w:pPr>
              <w:keepNext w:val="0"/>
              <w:keepLines w:val="0"/>
              <w:pageBreakBefore w:val="0"/>
              <w:widowControl/>
              <w:wordWrap/>
              <w:overflowPunct w:val="0"/>
              <w:topLinePunct w:val="0"/>
              <w:bidi w:val="0"/>
              <w:snapToGrid w:val="0"/>
              <w:spacing w:line="360" w:lineRule="auto"/>
              <w:rPr>
                <w:color w:val="auto"/>
              </w:rPr>
            </w:pPr>
          </w:p>
          <w:p w14:paraId="7A8C3CBF">
            <w:pPr>
              <w:pStyle w:val="27"/>
              <w:keepNext w:val="0"/>
              <w:keepLines w:val="0"/>
              <w:pageBreakBefore w:val="0"/>
              <w:widowControl/>
              <w:wordWrap/>
              <w:overflowPunct w:val="0"/>
              <w:topLinePunct w:val="0"/>
              <w:bidi w:val="0"/>
              <w:snapToGrid w:val="0"/>
              <w:spacing w:before="65" w:line="360" w:lineRule="auto"/>
              <w:ind w:left="120"/>
              <w:rPr>
                <w:color w:val="auto"/>
              </w:rPr>
            </w:pPr>
            <w:r>
              <w:rPr>
                <w:color w:val="auto"/>
                <w:spacing w:val="5"/>
              </w:rPr>
              <w:t>资格要求</w:t>
            </w:r>
          </w:p>
        </w:tc>
        <w:tc>
          <w:tcPr>
            <w:tcW w:w="7219" w:type="dxa"/>
            <w:gridSpan w:val="2"/>
            <w:tcMar>
              <w:top w:w="0" w:type="dxa"/>
              <w:left w:w="0" w:type="dxa"/>
              <w:bottom w:w="0" w:type="dxa"/>
              <w:right w:w="0" w:type="dxa"/>
            </w:tcMar>
          </w:tcPr>
          <w:p w14:paraId="6076F4B9">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auto"/>
                <w:spacing w:val="7"/>
                <w:lang w:eastAsia="zh-CN"/>
              </w:rPr>
            </w:pPr>
            <w:r>
              <w:rPr>
                <w:rFonts w:hint="eastAsia"/>
                <w:color w:val="auto"/>
                <w:spacing w:val="7"/>
                <w:lang w:eastAsia="zh-CN"/>
              </w:rPr>
              <w:t>1.满足《中华人民共和国政府采购法》第二十二条规定：</w:t>
            </w:r>
          </w:p>
          <w:p w14:paraId="368E4E61">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auto"/>
                <w:spacing w:val="7"/>
                <w:lang w:eastAsia="zh-CN"/>
              </w:rPr>
            </w:pPr>
            <w:r>
              <w:rPr>
                <w:rFonts w:hint="eastAsia"/>
                <w:color w:val="auto"/>
                <w:spacing w:val="7"/>
                <w:lang w:eastAsia="zh-CN"/>
              </w:rPr>
              <w:t>（一）具有独立承担民事责任的能力；</w:t>
            </w:r>
          </w:p>
          <w:p w14:paraId="49BB960F">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auto"/>
                <w:spacing w:val="7"/>
                <w:lang w:eastAsia="zh-CN"/>
              </w:rPr>
            </w:pPr>
            <w:r>
              <w:rPr>
                <w:rFonts w:hint="eastAsia"/>
                <w:color w:val="auto"/>
                <w:spacing w:val="7"/>
                <w:lang w:eastAsia="zh-CN"/>
              </w:rPr>
              <w:t>（二）具有良好的商业信誉和健全的财务会计制度；</w:t>
            </w:r>
          </w:p>
          <w:p w14:paraId="519124BE">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auto"/>
                <w:spacing w:val="7"/>
                <w:lang w:eastAsia="zh-CN"/>
              </w:rPr>
            </w:pPr>
            <w:r>
              <w:rPr>
                <w:rFonts w:hint="eastAsia"/>
                <w:color w:val="auto"/>
                <w:spacing w:val="7"/>
                <w:lang w:eastAsia="zh-CN"/>
              </w:rPr>
              <w:t>（三）具有履行合同所必需的设备和专业技术能力；</w:t>
            </w:r>
          </w:p>
          <w:p w14:paraId="2A0BE187">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auto"/>
                <w:spacing w:val="7"/>
                <w:lang w:eastAsia="zh-CN"/>
              </w:rPr>
            </w:pPr>
            <w:r>
              <w:rPr>
                <w:rFonts w:hint="eastAsia"/>
                <w:color w:val="auto"/>
                <w:spacing w:val="7"/>
                <w:lang w:eastAsia="zh-CN"/>
              </w:rPr>
              <w:t>（四）有依法缴纳税收和社会保障资金的良好记录；</w:t>
            </w:r>
          </w:p>
          <w:p w14:paraId="6FC0DAD8">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auto"/>
                <w:spacing w:val="7"/>
                <w:lang w:eastAsia="zh-CN"/>
              </w:rPr>
            </w:pPr>
            <w:r>
              <w:rPr>
                <w:rFonts w:hint="eastAsia"/>
                <w:color w:val="auto"/>
                <w:spacing w:val="7"/>
                <w:lang w:eastAsia="zh-CN"/>
              </w:rPr>
              <w:t>（五）参加政府采购活动前三年内，在经营活动中没有重大违法记录；</w:t>
            </w:r>
          </w:p>
          <w:p w14:paraId="350DAF8D">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auto"/>
                <w:spacing w:val="7"/>
                <w:lang w:eastAsia="zh-CN"/>
              </w:rPr>
            </w:pPr>
            <w:r>
              <w:rPr>
                <w:rFonts w:hint="eastAsia"/>
                <w:color w:val="auto"/>
                <w:spacing w:val="7"/>
                <w:lang w:eastAsia="zh-CN"/>
              </w:rPr>
              <w:t>（六）法律、行政法规规定的其他条件。</w:t>
            </w:r>
          </w:p>
          <w:p w14:paraId="437D8EBB">
            <w:pPr>
              <w:pStyle w:val="27"/>
              <w:keepNext w:val="0"/>
              <w:keepLines w:val="0"/>
              <w:pageBreakBefore w:val="0"/>
              <w:widowControl/>
              <w:wordWrap/>
              <w:overflowPunct w:val="0"/>
              <w:topLinePunct w:val="0"/>
              <w:bidi w:val="0"/>
              <w:snapToGrid w:val="0"/>
              <w:spacing w:before="143" w:line="360" w:lineRule="auto"/>
              <w:ind w:left="113" w:right="56" w:firstLine="3"/>
              <w:jc w:val="both"/>
              <w:rPr>
                <w:rFonts w:hint="eastAsia"/>
                <w:color w:val="auto"/>
                <w:spacing w:val="7"/>
                <w:lang w:eastAsia="zh-CN"/>
              </w:rPr>
            </w:pPr>
            <w:r>
              <w:rPr>
                <w:rFonts w:hint="eastAsia"/>
                <w:color w:val="auto"/>
                <w:spacing w:val="7"/>
                <w:lang w:eastAsia="zh-CN"/>
              </w:rPr>
              <w:t>2.落实政府采购政策需满足的资格要求：本项目为专门面向中小企业采购的项目，供应商应为中小微企业、监狱企业、残疾人福利性单位。</w:t>
            </w:r>
          </w:p>
          <w:p w14:paraId="434F20C1">
            <w:pPr>
              <w:pStyle w:val="27"/>
              <w:keepNext w:val="0"/>
              <w:keepLines w:val="0"/>
              <w:pageBreakBefore w:val="0"/>
              <w:widowControl/>
              <w:wordWrap/>
              <w:overflowPunct w:val="0"/>
              <w:topLinePunct w:val="0"/>
              <w:bidi w:val="0"/>
              <w:snapToGrid w:val="0"/>
              <w:spacing w:before="143" w:line="360" w:lineRule="auto"/>
              <w:ind w:left="113" w:right="56" w:firstLine="3"/>
              <w:jc w:val="both"/>
              <w:rPr>
                <w:color w:val="auto"/>
                <w:lang w:eastAsia="zh-CN"/>
              </w:rPr>
            </w:pPr>
            <w:r>
              <w:rPr>
                <w:rFonts w:hint="eastAsia"/>
                <w:color w:val="auto"/>
                <w:spacing w:val="7"/>
                <w:lang w:eastAsia="zh-CN"/>
              </w:rPr>
              <w:t>3.本项目的特定资格要求：无</w:t>
            </w:r>
          </w:p>
        </w:tc>
      </w:tr>
      <w:tr w14:paraId="51C344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39B87EFF">
            <w:pPr>
              <w:keepNext w:val="0"/>
              <w:keepLines w:val="0"/>
              <w:pageBreakBefore w:val="0"/>
              <w:widowControl/>
              <w:wordWrap/>
              <w:overflowPunct w:val="0"/>
              <w:topLinePunct w:val="0"/>
              <w:bidi w:val="0"/>
              <w:snapToGrid w:val="0"/>
              <w:spacing w:before="81" w:line="360" w:lineRule="auto"/>
              <w:ind w:left="335"/>
              <w:rPr>
                <w:rFonts w:ascii="Tahoma" w:hAnsi="Tahoma" w:eastAsia="宋体" w:cs="Tahoma"/>
                <w:color w:val="auto"/>
                <w:sz w:val="20"/>
                <w:szCs w:val="20"/>
                <w:lang w:eastAsia="zh-CN"/>
              </w:rPr>
            </w:pPr>
            <w:r>
              <w:rPr>
                <w:rFonts w:hint="eastAsia" w:ascii="Tahoma" w:hAnsi="Tahoma" w:eastAsia="宋体" w:cs="Tahoma"/>
                <w:color w:val="auto"/>
                <w:sz w:val="20"/>
                <w:szCs w:val="20"/>
                <w:lang w:eastAsia="zh-CN"/>
              </w:rPr>
              <w:t>3</w:t>
            </w:r>
          </w:p>
        </w:tc>
        <w:tc>
          <w:tcPr>
            <w:tcW w:w="1669" w:type="dxa"/>
            <w:gridSpan w:val="3"/>
            <w:tcMar>
              <w:top w:w="0" w:type="dxa"/>
              <w:left w:w="0" w:type="dxa"/>
              <w:bottom w:w="0" w:type="dxa"/>
              <w:right w:w="0" w:type="dxa"/>
            </w:tcMar>
          </w:tcPr>
          <w:p w14:paraId="7E7B4400">
            <w:pPr>
              <w:pStyle w:val="27"/>
              <w:keepNext w:val="0"/>
              <w:keepLines w:val="0"/>
              <w:pageBreakBefore w:val="0"/>
              <w:widowControl/>
              <w:wordWrap/>
              <w:overflowPunct w:val="0"/>
              <w:topLinePunct w:val="0"/>
              <w:bidi w:val="0"/>
              <w:snapToGrid w:val="0"/>
              <w:spacing w:before="56" w:line="360" w:lineRule="auto"/>
              <w:ind w:left="112"/>
              <w:rPr>
                <w:color w:val="auto"/>
              </w:rPr>
            </w:pPr>
            <w:r>
              <w:rPr>
                <w:color w:val="auto"/>
                <w:spacing w:val="6"/>
              </w:rPr>
              <w:t>联合体</w:t>
            </w:r>
          </w:p>
        </w:tc>
        <w:tc>
          <w:tcPr>
            <w:tcW w:w="7219" w:type="dxa"/>
            <w:gridSpan w:val="2"/>
            <w:tcMar>
              <w:top w:w="0" w:type="dxa"/>
              <w:left w:w="0" w:type="dxa"/>
              <w:bottom w:w="0" w:type="dxa"/>
              <w:right w:w="0" w:type="dxa"/>
            </w:tcMar>
          </w:tcPr>
          <w:p w14:paraId="320FCB48">
            <w:pPr>
              <w:pStyle w:val="27"/>
              <w:keepNext w:val="0"/>
              <w:keepLines w:val="0"/>
              <w:pageBreakBefore w:val="0"/>
              <w:widowControl/>
              <w:wordWrap/>
              <w:overflowPunct w:val="0"/>
              <w:topLinePunct w:val="0"/>
              <w:bidi w:val="0"/>
              <w:snapToGrid w:val="0"/>
              <w:spacing w:before="56" w:line="360" w:lineRule="auto"/>
              <w:ind w:left="114"/>
              <w:rPr>
                <w:color w:val="auto"/>
                <w:lang w:eastAsia="zh-CN"/>
              </w:rPr>
            </w:pPr>
            <w:r>
              <w:rPr>
                <w:color w:val="auto"/>
                <w:spacing w:val="9"/>
                <w:lang w:eastAsia="zh-CN"/>
              </w:rPr>
              <w:t>本采购项目不接受联合体</w:t>
            </w:r>
            <w:r>
              <w:rPr>
                <w:rFonts w:hint="eastAsia"/>
                <w:color w:val="auto"/>
                <w:spacing w:val="9"/>
                <w:lang w:val="en-US" w:eastAsia="zh-CN"/>
              </w:rPr>
              <w:t>供应商</w:t>
            </w:r>
          </w:p>
        </w:tc>
      </w:tr>
      <w:tr w14:paraId="48AC18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5B81D3E2">
            <w:pPr>
              <w:keepNext w:val="0"/>
              <w:keepLines w:val="0"/>
              <w:pageBreakBefore w:val="0"/>
              <w:widowControl/>
              <w:wordWrap/>
              <w:overflowPunct w:val="0"/>
              <w:topLinePunct w:val="0"/>
              <w:bidi w:val="0"/>
              <w:snapToGrid w:val="0"/>
              <w:spacing w:before="234" w:line="360" w:lineRule="auto"/>
              <w:ind w:left="322"/>
              <w:rPr>
                <w:rFonts w:ascii="Tahoma" w:hAnsi="Tahoma" w:eastAsia="宋体" w:cs="Tahoma"/>
                <w:color w:val="auto"/>
                <w:sz w:val="20"/>
                <w:szCs w:val="20"/>
                <w:lang w:eastAsia="zh-CN"/>
              </w:rPr>
            </w:pPr>
            <w:r>
              <w:rPr>
                <w:rFonts w:hint="eastAsia" w:ascii="Tahoma" w:hAnsi="Tahoma" w:eastAsia="宋体" w:cs="Tahoma"/>
                <w:color w:val="auto"/>
                <w:sz w:val="20"/>
                <w:szCs w:val="20"/>
                <w:lang w:val="en-US" w:eastAsia="zh-CN"/>
              </w:rPr>
              <w:t>4</w:t>
            </w:r>
          </w:p>
        </w:tc>
        <w:tc>
          <w:tcPr>
            <w:tcW w:w="1669" w:type="dxa"/>
            <w:gridSpan w:val="3"/>
            <w:tcMar>
              <w:top w:w="0" w:type="dxa"/>
              <w:left w:w="0" w:type="dxa"/>
              <w:bottom w:w="0" w:type="dxa"/>
              <w:right w:w="0" w:type="dxa"/>
            </w:tcMar>
          </w:tcPr>
          <w:p w14:paraId="24C49D7C">
            <w:pPr>
              <w:pStyle w:val="27"/>
              <w:keepNext w:val="0"/>
              <w:keepLines w:val="0"/>
              <w:pageBreakBefore w:val="0"/>
              <w:widowControl/>
              <w:wordWrap/>
              <w:overflowPunct w:val="0"/>
              <w:topLinePunct w:val="0"/>
              <w:bidi w:val="0"/>
              <w:snapToGrid w:val="0"/>
              <w:spacing w:before="211" w:line="360" w:lineRule="auto"/>
              <w:ind w:left="114"/>
              <w:rPr>
                <w:color w:val="auto"/>
              </w:rPr>
            </w:pPr>
            <w:r>
              <w:rPr>
                <w:color w:val="auto"/>
                <w:spacing w:val="6"/>
              </w:rPr>
              <w:t>投标文件</w:t>
            </w:r>
          </w:p>
        </w:tc>
        <w:tc>
          <w:tcPr>
            <w:tcW w:w="7219" w:type="dxa"/>
            <w:gridSpan w:val="2"/>
            <w:tcMar>
              <w:top w:w="0" w:type="dxa"/>
              <w:left w:w="0" w:type="dxa"/>
              <w:bottom w:w="0" w:type="dxa"/>
              <w:right w:w="0" w:type="dxa"/>
            </w:tcMar>
          </w:tcPr>
          <w:p w14:paraId="15F97E05">
            <w:pPr>
              <w:pStyle w:val="38"/>
              <w:keepNext w:val="0"/>
              <w:keepLines w:val="0"/>
              <w:pageBreakBefore w:val="0"/>
              <w:widowControl/>
              <w:wordWrap/>
              <w:overflowPunct w:val="0"/>
              <w:topLinePunct w:val="0"/>
              <w:bidi w:val="0"/>
              <w:snapToGrid w:val="0"/>
              <w:spacing w:before="73" w:line="360" w:lineRule="auto"/>
              <w:ind w:left="115" w:right="110" w:firstLine="1"/>
              <w:rPr>
                <w:color w:val="auto"/>
              </w:rPr>
            </w:pPr>
            <w:r>
              <w:rPr>
                <w:rFonts w:hint="eastAsia" w:ascii="宋体" w:hAnsi="宋体" w:cs="宋体"/>
                <w:color w:val="auto"/>
                <w:sz w:val="20"/>
                <w:szCs w:val="20"/>
              </w:rPr>
              <w:t>本项目采用远程不见面交易的模式，投标人需要递交电子投标文件。加密的电子投标文件，在投标截止时间前通过政采云平台上传到指定位置，无需递交纸质文件。</w:t>
            </w:r>
          </w:p>
        </w:tc>
      </w:tr>
      <w:tr w14:paraId="5A05A7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3DB28281">
            <w:pPr>
              <w:keepNext w:val="0"/>
              <w:keepLines w:val="0"/>
              <w:pageBreakBefore w:val="0"/>
              <w:widowControl/>
              <w:wordWrap/>
              <w:overflowPunct w:val="0"/>
              <w:topLinePunct w:val="0"/>
              <w:bidi w:val="0"/>
              <w:snapToGrid w:val="0"/>
              <w:spacing w:before="92" w:line="360" w:lineRule="auto"/>
              <w:ind w:left="322"/>
              <w:rPr>
                <w:rFonts w:ascii="Tahoma" w:hAnsi="Tahoma" w:eastAsia="宋体" w:cs="Tahoma"/>
                <w:color w:val="auto"/>
                <w:sz w:val="20"/>
                <w:szCs w:val="20"/>
                <w:lang w:eastAsia="zh-CN"/>
              </w:rPr>
            </w:pPr>
            <w:r>
              <w:rPr>
                <w:rFonts w:hint="eastAsia" w:ascii="Tahoma" w:hAnsi="Tahoma" w:eastAsia="宋体" w:cs="Tahoma"/>
                <w:color w:val="auto"/>
                <w:sz w:val="20"/>
                <w:szCs w:val="20"/>
                <w:lang w:val="en-US" w:eastAsia="zh-CN"/>
              </w:rPr>
              <w:t>5</w:t>
            </w:r>
          </w:p>
        </w:tc>
        <w:tc>
          <w:tcPr>
            <w:tcW w:w="1669" w:type="dxa"/>
            <w:gridSpan w:val="3"/>
            <w:tcMar>
              <w:top w:w="0" w:type="dxa"/>
              <w:left w:w="0" w:type="dxa"/>
              <w:bottom w:w="0" w:type="dxa"/>
              <w:right w:w="0" w:type="dxa"/>
            </w:tcMar>
          </w:tcPr>
          <w:p w14:paraId="3158067E">
            <w:pPr>
              <w:pStyle w:val="27"/>
              <w:keepNext w:val="0"/>
              <w:keepLines w:val="0"/>
              <w:pageBreakBefore w:val="0"/>
              <w:widowControl/>
              <w:wordWrap/>
              <w:overflowPunct w:val="0"/>
              <w:topLinePunct w:val="0"/>
              <w:bidi w:val="0"/>
              <w:snapToGrid w:val="0"/>
              <w:spacing w:before="70" w:line="360" w:lineRule="auto"/>
              <w:ind w:left="114"/>
              <w:rPr>
                <w:color w:val="auto"/>
              </w:rPr>
            </w:pPr>
            <w:r>
              <w:rPr>
                <w:color w:val="auto"/>
                <w:spacing w:val="7"/>
              </w:rPr>
              <w:t>最高投标限价</w:t>
            </w:r>
          </w:p>
        </w:tc>
        <w:tc>
          <w:tcPr>
            <w:tcW w:w="7219" w:type="dxa"/>
            <w:gridSpan w:val="2"/>
            <w:tcMar>
              <w:top w:w="0" w:type="dxa"/>
              <w:left w:w="0" w:type="dxa"/>
              <w:bottom w:w="0" w:type="dxa"/>
              <w:right w:w="0" w:type="dxa"/>
            </w:tcMar>
          </w:tcPr>
          <w:p w14:paraId="17A7933D">
            <w:pPr>
              <w:pStyle w:val="27"/>
              <w:keepNext w:val="0"/>
              <w:keepLines w:val="0"/>
              <w:pageBreakBefore w:val="0"/>
              <w:widowControl/>
              <w:wordWrap/>
              <w:overflowPunct w:val="0"/>
              <w:topLinePunct w:val="0"/>
              <w:bidi w:val="0"/>
              <w:snapToGrid w:val="0"/>
              <w:spacing w:before="70" w:line="360" w:lineRule="auto"/>
              <w:ind w:left="114"/>
              <w:rPr>
                <w:color w:val="auto"/>
                <w:lang w:eastAsia="zh-CN"/>
              </w:rPr>
            </w:pPr>
            <w:r>
              <w:rPr>
                <w:color w:val="auto"/>
                <w:spacing w:val="8"/>
                <w:lang w:eastAsia="zh-CN"/>
              </w:rPr>
              <w:t>本项目的预算价：</w:t>
            </w:r>
            <w:r>
              <w:rPr>
                <w:rFonts w:hint="eastAsia" w:ascii="Tahoma" w:hAnsi="Tahoma" w:cs="Tahoma"/>
                <w:color w:val="auto"/>
                <w:spacing w:val="8"/>
                <w:lang w:eastAsia="zh-CN"/>
              </w:rPr>
              <w:t>4000000.00</w:t>
            </w:r>
            <w:r>
              <w:rPr>
                <w:rFonts w:ascii="Tahoma" w:hAnsi="Tahoma" w:eastAsia="Tahoma" w:cs="Tahoma"/>
                <w:color w:val="auto"/>
                <w:spacing w:val="8"/>
                <w:lang w:eastAsia="zh-CN"/>
              </w:rPr>
              <w:t xml:space="preserve"> </w:t>
            </w:r>
            <w:r>
              <w:rPr>
                <w:color w:val="auto"/>
                <w:spacing w:val="8"/>
                <w:lang w:eastAsia="zh-CN"/>
              </w:rPr>
              <w:t>元，报价超过上限价（预算价）的为投</w:t>
            </w:r>
            <w:r>
              <w:rPr>
                <w:color w:val="auto"/>
                <w:spacing w:val="7"/>
                <w:lang w:eastAsia="zh-CN"/>
              </w:rPr>
              <w:t>标无效</w:t>
            </w:r>
          </w:p>
        </w:tc>
      </w:tr>
      <w:tr w14:paraId="5413B7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56F87099">
            <w:pPr>
              <w:keepNext w:val="0"/>
              <w:keepLines w:val="0"/>
              <w:pageBreakBefore w:val="0"/>
              <w:widowControl/>
              <w:wordWrap/>
              <w:overflowPunct w:val="0"/>
              <w:topLinePunct w:val="0"/>
              <w:bidi w:val="0"/>
              <w:snapToGrid w:val="0"/>
              <w:spacing w:before="122" w:line="360" w:lineRule="auto"/>
              <w:ind w:left="322"/>
              <w:rPr>
                <w:rFonts w:ascii="Tahoma" w:hAnsi="Tahoma" w:eastAsia="宋体" w:cs="Tahoma"/>
                <w:color w:val="auto"/>
                <w:sz w:val="20"/>
                <w:szCs w:val="20"/>
                <w:lang w:eastAsia="zh-CN"/>
              </w:rPr>
            </w:pPr>
            <w:r>
              <w:rPr>
                <w:rFonts w:hint="eastAsia" w:ascii="Tahoma" w:hAnsi="Tahoma" w:eastAsia="宋体" w:cs="Tahoma"/>
                <w:color w:val="auto"/>
                <w:sz w:val="20"/>
                <w:szCs w:val="20"/>
                <w:lang w:val="en-US" w:eastAsia="zh-CN"/>
              </w:rPr>
              <w:t>6</w:t>
            </w:r>
          </w:p>
        </w:tc>
        <w:tc>
          <w:tcPr>
            <w:tcW w:w="1669" w:type="dxa"/>
            <w:gridSpan w:val="3"/>
            <w:tcMar>
              <w:top w:w="0" w:type="dxa"/>
              <w:left w:w="0" w:type="dxa"/>
              <w:bottom w:w="0" w:type="dxa"/>
              <w:right w:w="0" w:type="dxa"/>
            </w:tcMar>
          </w:tcPr>
          <w:p w14:paraId="23294071">
            <w:pPr>
              <w:pStyle w:val="27"/>
              <w:keepNext w:val="0"/>
              <w:keepLines w:val="0"/>
              <w:pageBreakBefore w:val="0"/>
              <w:widowControl/>
              <w:wordWrap/>
              <w:overflowPunct w:val="0"/>
              <w:topLinePunct w:val="0"/>
              <w:bidi w:val="0"/>
              <w:snapToGrid w:val="0"/>
              <w:spacing w:before="100" w:line="360" w:lineRule="auto"/>
              <w:ind w:left="114"/>
              <w:rPr>
                <w:color w:val="auto"/>
              </w:rPr>
            </w:pPr>
            <w:r>
              <w:rPr>
                <w:color w:val="auto"/>
                <w:spacing w:val="7"/>
              </w:rPr>
              <w:t>投标有效期</w:t>
            </w:r>
          </w:p>
        </w:tc>
        <w:tc>
          <w:tcPr>
            <w:tcW w:w="7219" w:type="dxa"/>
            <w:gridSpan w:val="2"/>
            <w:tcMar>
              <w:top w:w="0" w:type="dxa"/>
              <w:left w:w="0" w:type="dxa"/>
              <w:bottom w:w="0" w:type="dxa"/>
              <w:right w:w="0" w:type="dxa"/>
            </w:tcMar>
          </w:tcPr>
          <w:p w14:paraId="0319E280">
            <w:pPr>
              <w:pStyle w:val="27"/>
              <w:keepNext w:val="0"/>
              <w:keepLines w:val="0"/>
              <w:pageBreakBefore w:val="0"/>
              <w:widowControl/>
              <w:wordWrap/>
              <w:overflowPunct w:val="0"/>
              <w:topLinePunct w:val="0"/>
              <w:bidi w:val="0"/>
              <w:snapToGrid w:val="0"/>
              <w:spacing w:before="99" w:line="360" w:lineRule="auto"/>
              <w:ind w:left="116"/>
              <w:rPr>
                <w:color w:val="auto"/>
                <w:lang w:eastAsia="zh-CN"/>
              </w:rPr>
            </w:pPr>
            <w:r>
              <w:rPr>
                <w:color w:val="auto"/>
                <w:spacing w:val="7"/>
                <w:lang w:eastAsia="zh-CN"/>
              </w:rPr>
              <w:t>投标截止期结束后</w:t>
            </w:r>
            <w:r>
              <w:rPr>
                <w:rFonts w:hint="eastAsia"/>
                <w:color w:val="auto"/>
                <w:spacing w:val="7"/>
                <w:lang w:eastAsia="zh-CN"/>
              </w:rPr>
              <w:t>90</w:t>
            </w:r>
            <w:r>
              <w:rPr>
                <w:color w:val="auto"/>
                <w:spacing w:val="7"/>
                <w:lang w:eastAsia="zh-CN"/>
              </w:rPr>
              <w:t>日历日，有效期不足将导致其投标文件被拒绝。</w:t>
            </w:r>
          </w:p>
        </w:tc>
      </w:tr>
      <w:tr w14:paraId="2442E8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145884A9">
            <w:pPr>
              <w:keepNext w:val="0"/>
              <w:keepLines w:val="0"/>
              <w:pageBreakBefore w:val="0"/>
              <w:widowControl/>
              <w:wordWrap/>
              <w:overflowPunct w:val="0"/>
              <w:topLinePunct w:val="0"/>
              <w:bidi w:val="0"/>
              <w:snapToGrid w:val="0"/>
              <w:spacing w:line="360" w:lineRule="auto"/>
              <w:rPr>
                <w:color w:val="auto"/>
                <w:lang w:eastAsia="zh-CN"/>
              </w:rPr>
            </w:pPr>
          </w:p>
          <w:p w14:paraId="6FC3AAB3">
            <w:pPr>
              <w:keepNext w:val="0"/>
              <w:keepLines w:val="0"/>
              <w:pageBreakBefore w:val="0"/>
              <w:widowControl/>
              <w:wordWrap/>
              <w:overflowPunct w:val="0"/>
              <w:topLinePunct w:val="0"/>
              <w:bidi w:val="0"/>
              <w:snapToGrid w:val="0"/>
              <w:spacing w:line="360" w:lineRule="auto"/>
              <w:rPr>
                <w:color w:val="auto"/>
                <w:lang w:eastAsia="zh-CN"/>
              </w:rPr>
            </w:pPr>
          </w:p>
          <w:p w14:paraId="47B9C755">
            <w:pPr>
              <w:keepNext w:val="0"/>
              <w:keepLines w:val="0"/>
              <w:pageBreakBefore w:val="0"/>
              <w:widowControl/>
              <w:wordWrap/>
              <w:overflowPunct w:val="0"/>
              <w:topLinePunct w:val="0"/>
              <w:bidi w:val="0"/>
              <w:snapToGrid w:val="0"/>
              <w:spacing w:before="60" w:line="360" w:lineRule="auto"/>
              <w:ind w:left="328"/>
              <w:rPr>
                <w:rFonts w:ascii="Tahoma" w:hAnsi="Tahoma" w:eastAsia="宋体" w:cs="Tahoma"/>
                <w:color w:val="auto"/>
                <w:sz w:val="20"/>
                <w:szCs w:val="20"/>
                <w:lang w:eastAsia="zh-CN"/>
              </w:rPr>
            </w:pPr>
            <w:r>
              <w:rPr>
                <w:rFonts w:hint="eastAsia" w:ascii="Tahoma" w:hAnsi="Tahoma" w:eastAsia="宋体" w:cs="Tahoma"/>
                <w:color w:val="auto"/>
                <w:sz w:val="20"/>
                <w:szCs w:val="20"/>
                <w:lang w:val="en-US" w:eastAsia="zh-CN"/>
              </w:rPr>
              <w:t>7</w:t>
            </w:r>
          </w:p>
        </w:tc>
        <w:tc>
          <w:tcPr>
            <w:tcW w:w="1669" w:type="dxa"/>
            <w:gridSpan w:val="3"/>
            <w:tcMar>
              <w:top w:w="0" w:type="dxa"/>
              <w:left w:w="0" w:type="dxa"/>
              <w:bottom w:w="0" w:type="dxa"/>
              <w:right w:w="0" w:type="dxa"/>
            </w:tcMar>
          </w:tcPr>
          <w:p w14:paraId="3A7EED08">
            <w:pPr>
              <w:keepNext w:val="0"/>
              <w:keepLines w:val="0"/>
              <w:pageBreakBefore w:val="0"/>
              <w:widowControl/>
              <w:wordWrap/>
              <w:overflowPunct w:val="0"/>
              <w:topLinePunct w:val="0"/>
              <w:bidi w:val="0"/>
              <w:snapToGrid w:val="0"/>
              <w:spacing w:line="360" w:lineRule="auto"/>
              <w:rPr>
                <w:color w:val="auto"/>
              </w:rPr>
            </w:pPr>
          </w:p>
          <w:p w14:paraId="49D08916">
            <w:pPr>
              <w:keepNext w:val="0"/>
              <w:keepLines w:val="0"/>
              <w:pageBreakBefore w:val="0"/>
              <w:widowControl/>
              <w:wordWrap/>
              <w:overflowPunct w:val="0"/>
              <w:topLinePunct w:val="0"/>
              <w:bidi w:val="0"/>
              <w:snapToGrid w:val="0"/>
              <w:spacing w:line="360" w:lineRule="auto"/>
              <w:rPr>
                <w:color w:val="auto"/>
              </w:rPr>
            </w:pPr>
          </w:p>
          <w:p w14:paraId="0D8B2D0F">
            <w:pPr>
              <w:pStyle w:val="27"/>
              <w:keepNext w:val="0"/>
              <w:keepLines w:val="0"/>
              <w:pageBreakBefore w:val="0"/>
              <w:widowControl/>
              <w:wordWrap/>
              <w:overflowPunct w:val="0"/>
              <w:topLinePunct w:val="0"/>
              <w:bidi w:val="0"/>
              <w:snapToGrid w:val="0"/>
              <w:spacing w:before="65" w:line="360" w:lineRule="auto"/>
              <w:ind w:left="115"/>
              <w:rPr>
                <w:color w:val="auto"/>
              </w:rPr>
            </w:pPr>
            <w:r>
              <w:rPr>
                <w:color w:val="auto"/>
                <w:spacing w:val="7"/>
              </w:rPr>
              <w:t>投标保证金</w:t>
            </w:r>
          </w:p>
        </w:tc>
        <w:tc>
          <w:tcPr>
            <w:tcW w:w="7219" w:type="dxa"/>
            <w:gridSpan w:val="2"/>
            <w:tcMar>
              <w:top w:w="0" w:type="dxa"/>
              <w:left w:w="0" w:type="dxa"/>
              <w:bottom w:w="0" w:type="dxa"/>
              <w:right w:w="0" w:type="dxa"/>
            </w:tcMar>
          </w:tcPr>
          <w:p w14:paraId="758D2421">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auto"/>
                <w:spacing w:val="7"/>
                <w:sz w:val="20"/>
                <w:szCs w:val="20"/>
                <w:lang w:val="en-US" w:eastAsia="zh-CN" w:bidi="ar-SA"/>
              </w:rPr>
            </w:pPr>
            <w:r>
              <w:rPr>
                <w:rFonts w:hint="eastAsia" w:ascii="宋体" w:hAnsi="宋体" w:eastAsia="宋体" w:cs="宋体"/>
                <w:snapToGrid w:val="0"/>
                <w:color w:val="auto"/>
                <w:spacing w:val="7"/>
                <w:sz w:val="20"/>
                <w:szCs w:val="20"/>
                <w:lang w:val="en-US" w:eastAsia="zh-CN" w:bidi="ar-SA"/>
              </w:rPr>
              <w:t>缴纳方式：以支票、汇票、本票或者金融机构、担保机构出具的保函等非现金形式提交</w:t>
            </w:r>
          </w:p>
          <w:p w14:paraId="0255648A">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default" w:ascii="宋体" w:hAnsi="宋体" w:eastAsia="宋体" w:cs="宋体"/>
                <w:snapToGrid w:val="0"/>
                <w:color w:val="auto"/>
                <w:spacing w:val="7"/>
                <w:sz w:val="20"/>
                <w:szCs w:val="20"/>
                <w:lang w:val="en-US" w:eastAsia="zh-CN" w:bidi="ar-SA"/>
              </w:rPr>
            </w:pPr>
            <w:r>
              <w:rPr>
                <w:rFonts w:hint="eastAsia" w:ascii="宋体" w:hAnsi="宋体" w:eastAsia="宋体" w:cs="宋体"/>
                <w:snapToGrid w:val="0"/>
                <w:color w:val="auto"/>
                <w:spacing w:val="7"/>
                <w:sz w:val="20"/>
                <w:szCs w:val="20"/>
                <w:lang w:val="en-US" w:eastAsia="zh-CN" w:bidi="ar-SA"/>
              </w:rPr>
              <w:t>金额（小写）：80000.00元</w:t>
            </w:r>
          </w:p>
          <w:p w14:paraId="6F979CE5">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default" w:ascii="宋体" w:hAnsi="宋体" w:eastAsia="宋体" w:cs="宋体"/>
                <w:snapToGrid w:val="0"/>
                <w:color w:val="auto"/>
                <w:spacing w:val="7"/>
                <w:sz w:val="20"/>
                <w:szCs w:val="20"/>
                <w:lang w:val="en-US" w:eastAsia="zh-CN" w:bidi="ar-SA"/>
              </w:rPr>
            </w:pPr>
            <w:r>
              <w:rPr>
                <w:rFonts w:hint="eastAsia" w:ascii="宋体" w:hAnsi="宋体" w:eastAsia="宋体" w:cs="宋体"/>
                <w:snapToGrid w:val="0"/>
                <w:color w:val="auto"/>
                <w:spacing w:val="7"/>
                <w:sz w:val="20"/>
                <w:szCs w:val="20"/>
                <w:lang w:val="en-US" w:eastAsia="zh-CN" w:bidi="ar-SA"/>
              </w:rPr>
              <w:t>金额（大写）：捌万元整</w:t>
            </w:r>
          </w:p>
          <w:p w14:paraId="1BE09042">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auto"/>
                <w:spacing w:val="7"/>
                <w:sz w:val="20"/>
                <w:szCs w:val="20"/>
                <w:lang w:val="en-US" w:eastAsia="zh-CN" w:bidi="ar-SA"/>
              </w:rPr>
            </w:pPr>
            <w:r>
              <w:rPr>
                <w:rFonts w:hint="eastAsia" w:ascii="宋体" w:hAnsi="宋体" w:eastAsia="宋体" w:cs="宋体"/>
                <w:snapToGrid w:val="0"/>
                <w:color w:val="auto"/>
                <w:spacing w:val="7"/>
                <w:sz w:val="20"/>
                <w:szCs w:val="20"/>
                <w:lang w:val="en-US" w:eastAsia="zh-CN" w:bidi="ar-SA"/>
              </w:rPr>
              <w:t>单位名称：新疆崇途工程项目管理有限公司</w:t>
            </w:r>
          </w:p>
          <w:p w14:paraId="314308A1">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auto"/>
                <w:spacing w:val="7"/>
                <w:sz w:val="20"/>
                <w:szCs w:val="20"/>
                <w:lang w:val="en-US" w:eastAsia="zh-CN" w:bidi="ar-SA"/>
              </w:rPr>
            </w:pPr>
            <w:r>
              <w:rPr>
                <w:rFonts w:hint="eastAsia" w:ascii="宋体" w:hAnsi="宋体" w:eastAsia="宋体" w:cs="宋体"/>
                <w:snapToGrid w:val="0"/>
                <w:color w:val="auto"/>
                <w:spacing w:val="7"/>
                <w:sz w:val="20"/>
                <w:szCs w:val="20"/>
                <w:lang w:val="en-US" w:eastAsia="zh-CN" w:bidi="ar-SA"/>
              </w:rPr>
              <w:t>开户银行：中国建设银行股份有限公司伊犁哈萨克自治州分行营业部</w:t>
            </w:r>
          </w:p>
          <w:p w14:paraId="17450AA7">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auto"/>
                <w:spacing w:val="7"/>
                <w:sz w:val="20"/>
                <w:szCs w:val="20"/>
                <w:lang w:val="en-US" w:eastAsia="zh-CN" w:bidi="ar-SA"/>
              </w:rPr>
            </w:pPr>
            <w:r>
              <w:rPr>
                <w:rFonts w:hint="eastAsia" w:ascii="宋体" w:hAnsi="宋体" w:eastAsia="宋体" w:cs="宋体"/>
                <w:snapToGrid w:val="0"/>
                <w:color w:val="auto"/>
                <w:spacing w:val="7"/>
                <w:sz w:val="20"/>
                <w:szCs w:val="20"/>
                <w:lang w:val="en-US" w:eastAsia="zh-CN" w:bidi="ar-SA"/>
              </w:rPr>
              <w:t>银行账号：65050165605700001964</w:t>
            </w:r>
          </w:p>
          <w:p w14:paraId="5EFFB10C">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auto"/>
                <w:spacing w:val="7"/>
                <w:sz w:val="20"/>
                <w:szCs w:val="20"/>
                <w:lang w:val="en-US" w:eastAsia="zh-CN" w:bidi="ar-SA"/>
              </w:rPr>
            </w:pPr>
            <w:r>
              <w:rPr>
                <w:rFonts w:hint="eastAsia" w:ascii="宋体" w:hAnsi="宋体" w:eastAsia="宋体" w:cs="宋体"/>
                <w:snapToGrid w:val="0"/>
                <w:color w:val="auto"/>
                <w:spacing w:val="7"/>
                <w:sz w:val="20"/>
                <w:szCs w:val="20"/>
                <w:lang w:val="en-US" w:eastAsia="zh-CN" w:bidi="ar-SA"/>
              </w:rPr>
              <w:t>行    号：105898000026</w:t>
            </w:r>
          </w:p>
          <w:p w14:paraId="695CD14E">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default" w:ascii="宋体" w:hAnsi="宋体" w:eastAsia="宋体" w:cs="宋体"/>
                <w:snapToGrid w:val="0"/>
                <w:color w:val="auto"/>
                <w:spacing w:val="7"/>
                <w:sz w:val="20"/>
                <w:szCs w:val="20"/>
                <w:lang w:val="en-US" w:eastAsia="zh-CN" w:bidi="ar-SA"/>
              </w:rPr>
            </w:pPr>
            <w:r>
              <w:rPr>
                <w:rFonts w:hint="eastAsia" w:ascii="宋体" w:hAnsi="宋体" w:eastAsia="宋体" w:cs="宋体"/>
                <w:snapToGrid w:val="0"/>
                <w:color w:val="auto"/>
                <w:spacing w:val="7"/>
                <w:sz w:val="20"/>
                <w:szCs w:val="20"/>
                <w:lang w:val="en-US" w:eastAsia="zh-CN" w:bidi="ar-SA"/>
              </w:rPr>
              <w:t>打款备注：项目名称、编号</w:t>
            </w:r>
          </w:p>
          <w:p w14:paraId="144879DA">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b/>
                <w:bCs/>
                <w:snapToGrid w:val="0"/>
                <w:color w:val="auto"/>
                <w:spacing w:val="7"/>
                <w:sz w:val="20"/>
                <w:szCs w:val="20"/>
                <w:lang w:val="en-US" w:eastAsia="zh-CN" w:bidi="ar-SA"/>
              </w:rPr>
            </w:pPr>
            <w:r>
              <w:rPr>
                <w:rFonts w:hint="eastAsia" w:ascii="宋体" w:hAnsi="宋体" w:eastAsia="宋体" w:cs="宋体"/>
                <w:b/>
                <w:bCs/>
                <w:snapToGrid w:val="0"/>
                <w:color w:val="auto"/>
                <w:spacing w:val="7"/>
                <w:sz w:val="20"/>
                <w:szCs w:val="20"/>
                <w:lang w:val="en-US" w:eastAsia="zh-CN" w:bidi="ar-SA"/>
              </w:rPr>
              <w:t>到账截止时间：同投标截止时间。</w:t>
            </w:r>
          </w:p>
          <w:p w14:paraId="0CC693B7">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b/>
                <w:bCs/>
                <w:snapToGrid w:val="0"/>
                <w:color w:val="auto"/>
                <w:spacing w:val="7"/>
                <w:sz w:val="20"/>
                <w:szCs w:val="20"/>
                <w:lang w:val="en-US" w:eastAsia="zh-CN" w:bidi="ar-SA"/>
              </w:rPr>
            </w:pPr>
            <w:r>
              <w:rPr>
                <w:rFonts w:hint="eastAsia" w:ascii="宋体" w:hAnsi="宋体" w:eastAsia="宋体" w:cs="宋体"/>
                <w:b/>
                <w:bCs/>
                <w:snapToGrid w:val="0"/>
                <w:color w:val="auto"/>
                <w:spacing w:val="7"/>
                <w:sz w:val="20"/>
                <w:szCs w:val="20"/>
                <w:lang w:val="en-US" w:eastAsia="zh-CN" w:bidi="ar-SA"/>
              </w:rPr>
              <w:t>供应商应自行考虑保证金到账或者保函办理时间。</w:t>
            </w:r>
          </w:p>
          <w:p w14:paraId="097063F4">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auto"/>
                <w:spacing w:val="7"/>
                <w:sz w:val="20"/>
                <w:szCs w:val="20"/>
                <w:lang w:val="en-US" w:eastAsia="zh-CN" w:bidi="ar-SA"/>
              </w:rPr>
            </w:pPr>
            <w:r>
              <w:rPr>
                <w:rFonts w:hint="eastAsia" w:ascii="宋体" w:hAnsi="宋体" w:eastAsia="宋体" w:cs="宋体"/>
                <w:snapToGrid w:val="0"/>
                <w:color w:val="auto"/>
                <w:spacing w:val="7"/>
                <w:sz w:val="20"/>
                <w:szCs w:val="20"/>
                <w:lang w:val="en-US" w:eastAsia="zh-CN" w:bidi="ar-SA"/>
              </w:rPr>
              <w:t xml:space="preserve"> 注：</w:t>
            </w:r>
          </w:p>
          <w:p w14:paraId="0DCF31BE">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auto"/>
                <w:spacing w:val="7"/>
                <w:sz w:val="20"/>
                <w:szCs w:val="20"/>
                <w:lang w:val="en-US" w:eastAsia="zh-CN" w:bidi="ar-SA"/>
              </w:rPr>
            </w:pPr>
            <w:r>
              <w:rPr>
                <w:rFonts w:hint="eastAsia" w:ascii="宋体" w:hAnsi="宋体" w:eastAsia="宋体" w:cs="宋体"/>
                <w:snapToGrid w:val="0"/>
                <w:color w:val="auto"/>
                <w:spacing w:val="7"/>
                <w:sz w:val="20"/>
                <w:szCs w:val="20"/>
                <w:lang w:val="en-US" w:eastAsia="zh-CN" w:bidi="ar-SA"/>
              </w:rPr>
              <w:t>以保函形式应按以下要求办理：</w:t>
            </w:r>
          </w:p>
          <w:p w14:paraId="6C6564C5">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auto"/>
                <w:spacing w:val="7"/>
                <w:sz w:val="20"/>
                <w:szCs w:val="20"/>
                <w:lang w:val="en-US" w:eastAsia="zh-CN" w:bidi="ar-SA"/>
              </w:rPr>
            </w:pPr>
            <w:r>
              <w:rPr>
                <w:rFonts w:hint="eastAsia" w:ascii="宋体" w:hAnsi="宋体" w:eastAsia="宋体" w:cs="宋体"/>
                <w:snapToGrid w:val="0"/>
                <w:color w:val="auto"/>
                <w:spacing w:val="7"/>
                <w:sz w:val="20"/>
                <w:szCs w:val="20"/>
                <w:lang w:val="en-US" w:eastAsia="zh-CN" w:bidi="ar-SA"/>
              </w:rPr>
              <w:t>（1）电子保函按照“一项目一保函”的原则。</w:t>
            </w:r>
          </w:p>
          <w:p w14:paraId="2514149F">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auto"/>
                <w:spacing w:val="7"/>
                <w:sz w:val="20"/>
                <w:szCs w:val="20"/>
                <w:lang w:val="en-US" w:eastAsia="zh-CN" w:bidi="ar-SA"/>
              </w:rPr>
            </w:pPr>
            <w:r>
              <w:rPr>
                <w:rFonts w:hint="eastAsia" w:ascii="宋体" w:hAnsi="宋体" w:eastAsia="宋体" w:cs="宋体"/>
                <w:snapToGrid w:val="0"/>
                <w:color w:val="auto"/>
                <w:spacing w:val="7"/>
                <w:sz w:val="20"/>
                <w:szCs w:val="20"/>
                <w:lang w:val="en-US" w:eastAsia="zh-CN" w:bidi="ar-SA"/>
              </w:rPr>
              <w:t>（2）电子保函须在招标文件规定的投标截止时间前办理完成。</w:t>
            </w:r>
          </w:p>
          <w:p w14:paraId="72EF6BA1">
            <w:pPr>
              <w:pStyle w:val="42"/>
              <w:keepNext w:val="0"/>
              <w:keepLines w:val="0"/>
              <w:pageBreakBefore w:val="0"/>
              <w:widowControl/>
              <w:kinsoku w:val="0"/>
              <w:wordWrap/>
              <w:overflowPunct w:val="0"/>
              <w:topLinePunct w:val="0"/>
              <w:autoSpaceDE w:val="0"/>
              <w:autoSpaceDN w:val="0"/>
              <w:bidi w:val="0"/>
              <w:adjustRightInd w:val="0"/>
              <w:snapToGrid w:val="0"/>
              <w:spacing w:line="360" w:lineRule="auto"/>
              <w:ind w:left="0" w:right="0"/>
              <w:textAlignment w:val="auto"/>
              <w:rPr>
                <w:rFonts w:hint="eastAsia" w:ascii="宋体" w:hAnsi="宋体" w:eastAsia="宋体" w:cs="宋体"/>
                <w:snapToGrid w:val="0"/>
                <w:color w:val="auto"/>
                <w:spacing w:val="7"/>
                <w:sz w:val="20"/>
                <w:szCs w:val="20"/>
                <w:lang w:val="en-US" w:eastAsia="zh-CN" w:bidi="ar-SA"/>
              </w:rPr>
            </w:pPr>
            <w:r>
              <w:rPr>
                <w:rFonts w:hint="eastAsia" w:ascii="宋体" w:hAnsi="宋体" w:eastAsia="宋体" w:cs="宋体"/>
                <w:snapToGrid w:val="0"/>
                <w:color w:val="auto"/>
                <w:spacing w:val="7"/>
                <w:sz w:val="20"/>
                <w:szCs w:val="20"/>
                <w:lang w:val="en-US" w:eastAsia="zh-CN" w:bidi="ar-SA"/>
              </w:rPr>
              <w:t>（3）提供合法真实有效的电子保函作为本项目缴纳保证金的证明材料；</w:t>
            </w:r>
          </w:p>
          <w:p w14:paraId="1A634DEB">
            <w:pPr>
              <w:pStyle w:val="27"/>
              <w:keepNext w:val="0"/>
              <w:keepLines w:val="0"/>
              <w:pageBreakBefore w:val="0"/>
              <w:widowControl/>
              <w:wordWrap/>
              <w:overflowPunct w:val="0"/>
              <w:topLinePunct w:val="0"/>
              <w:bidi w:val="0"/>
              <w:snapToGrid w:val="0"/>
              <w:spacing w:before="33" w:line="360" w:lineRule="auto"/>
              <w:ind w:right="109"/>
              <w:rPr>
                <w:color w:val="auto"/>
              </w:rPr>
            </w:pPr>
            <w:r>
              <w:rPr>
                <w:rFonts w:hint="eastAsia" w:ascii="宋体" w:hAnsi="宋体" w:eastAsia="宋体" w:cs="宋体"/>
                <w:snapToGrid w:val="0"/>
                <w:color w:val="auto"/>
                <w:spacing w:val="7"/>
                <w:sz w:val="20"/>
                <w:szCs w:val="20"/>
                <w:lang w:val="en-US" w:eastAsia="zh-CN" w:bidi="ar-SA"/>
              </w:rPr>
              <w:t>（4）已开具的电子保函，服务商不可单方面提出退保、注销等要求。</w:t>
            </w:r>
          </w:p>
        </w:tc>
      </w:tr>
      <w:tr w14:paraId="37F056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243235BC">
            <w:pPr>
              <w:keepNext w:val="0"/>
              <w:keepLines w:val="0"/>
              <w:pageBreakBefore w:val="0"/>
              <w:widowControl/>
              <w:wordWrap/>
              <w:overflowPunct w:val="0"/>
              <w:topLinePunct w:val="0"/>
              <w:bidi w:val="0"/>
              <w:snapToGrid w:val="0"/>
              <w:spacing w:before="208" w:line="360" w:lineRule="auto"/>
              <w:ind w:left="322"/>
              <w:rPr>
                <w:rFonts w:ascii="Tahoma" w:hAnsi="Tahoma" w:eastAsia="宋体" w:cs="Tahoma"/>
                <w:color w:val="auto"/>
                <w:sz w:val="20"/>
                <w:szCs w:val="20"/>
                <w:lang w:eastAsia="zh-CN"/>
              </w:rPr>
            </w:pPr>
            <w:r>
              <w:rPr>
                <w:rFonts w:hint="eastAsia" w:ascii="Tahoma" w:hAnsi="Tahoma" w:eastAsia="宋体" w:cs="Tahoma"/>
                <w:color w:val="auto"/>
                <w:sz w:val="20"/>
                <w:szCs w:val="20"/>
                <w:lang w:eastAsia="zh-CN"/>
              </w:rPr>
              <w:t>9</w:t>
            </w:r>
          </w:p>
        </w:tc>
        <w:tc>
          <w:tcPr>
            <w:tcW w:w="1669" w:type="dxa"/>
            <w:gridSpan w:val="3"/>
            <w:tcMar>
              <w:top w:w="0" w:type="dxa"/>
              <w:left w:w="0" w:type="dxa"/>
              <w:bottom w:w="0" w:type="dxa"/>
              <w:right w:w="0" w:type="dxa"/>
            </w:tcMar>
          </w:tcPr>
          <w:p w14:paraId="7F87FDD9">
            <w:pPr>
              <w:pStyle w:val="27"/>
              <w:keepNext w:val="0"/>
              <w:keepLines w:val="0"/>
              <w:pageBreakBefore w:val="0"/>
              <w:widowControl/>
              <w:wordWrap/>
              <w:overflowPunct w:val="0"/>
              <w:topLinePunct w:val="0"/>
              <w:bidi w:val="0"/>
              <w:snapToGrid w:val="0"/>
              <w:spacing w:before="186" w:line="360" w:lineRule="auto"/>
              <w:ind w:left="115"/>
              <w:rPr>
                <w:color w:val="auto"/>
              </w:rPr>
            </w:pPr>
            <w:r>
              <w:rPr>
                <w:color w:val="auto"/>
                <w:spacing w:val="7"/>
              </w:rPr>
              <w:t>投标文件递交</w:t>
            </w:r>
          </w:p>
        </w:tc>
        <w:tc>
          <w:tcPr>
            <w:tcW w:w="7219" w:type="dxa"/>
            <w:gridSpan w:val="2"/>
            <w:tcMar>
              <w:top w:w="0" w:type="dxa"/>
              <w:left w:w="0" w:type="dxa"/>
              <w:bottom w:w="0" w:type="dxa"/>
              <w:right w:w="0" w:type="dxa"/>
            </w:tcMar>
          </w:tcPr>
          <w:p w14:paraId="256602DE">
            <w:pPr>
              <w:pStyle w:val="27"/>
              <w:keepNext w:val="0"/>
              <w:keepLines w:val="0"/>
              <w:pageBreakBefore w:val="0"/>
              <w:widowControl/>
              <w:wordWrap/>
              <w:overflowPunct w:val="0"/>
              <w:topLinePunct w:val="0"/>
              <w:bidi w:val="0"/>
              <w:snapToGrid w:val="0"/>
              <w:spacing w:before="47" w:line="360" w:lineRule="auto"/>
              <w:ind w:left="112" w:right="107" w:firstLine="1"/>
              <w:rPr>
                <w:color w:val="auto"/>
                <w:lang w:eastAsia="zh-CN"/>
              </w:rPr>
            </w:pPr>
            <w:r>
              <w:rPr>
                <w:color w:val="auto"/>
                <w:spacing w:val="13"/>
                <w:lang w:eastAsia="zh-CN"/>
              </w:rPr>
              <w:t>新疆政府采购网政采云平台（</w:t>
            </w:r>
            <w:r>
              <w:rPr>
                <w:color w:val="auto"/>
                <w:lang w:eastAsia="zh-CN"/>
              </w:rPr>
              <w:t>www</w:t>
            </w:r>
            <w:r>
              <w:rPr>
                <w:color w:val="auto"/>
                <w:spacing w:val="13"/>
                <w:lang w:eastAsia="zh-CN"/>
              </w:rPr>
              <w:t>.</w:t>
            </w:r>
            <w:r>
              <w:rPr>
                <w:color w:val="auto"/>
                <w:lang w:eastAsia="zh-CN"/>
              </w:rPr>
              <w:t>zcygov</w:t>
            </w:r>
            <w:r>
              <w:rPr>
                <w:color w:val="auto"/>
                <w:spacing w:val="13"/>
                <w:lang w:eastAsia="zh-CN"/>
              </w:rPr>
              <w:t>.</w:t>
            </w:r>
            <w:r>
              <w:rPr>
                <w:color w:val="auto"/>
                <w:lang w:eastAsia="zh-CN"/>
              </w:rPr>
              <w:t>cn</w:t>
            </w:r>
            <w:r>
              <w:rPr>
                <w:color w:val="auto"/>
                <w:spacing w:val="8"/>
                <w:lang w:eastAsia="zh-CN"/>
              </w:rPr>
              <w:t>），</w:t>
            </w:r>
            <w:r>
              <w:rPr>
                <w:color w:val="auto"/>
                <w:spacing w:val="13"/>
                <w:lang w:eastAsia="zh-CN"/>
              </w:rPr>
              <w:t>按照本项目招标文件和政采云</w:t>
            </w:r>
            <w:r>
              <w:rPr>
                <w:color w:val="auto"/>
                <w:spacing w:val="8"/>
                <w:lang w:eastAsia="zh-CN"/>
              </w:rPr>
              <w:t>平台的要求编制、加密传输投标文件。</w:t>
            </w:r>
          </w:p>
        </w:tc>
      </w:tr>
      <w:tr w14:paraId="2BD078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57C014E2">
            <w:pPr>
              <w:keepNext w:val="0"/>
              <w:keepLines w:val="0"/>
              <w:pageBreakBefore w:val="0"/>
              <w:widowControl/>
              <w:wordWrap/>
              <w:overflowPunct w:val="0"/>
              <w:topLinePunct w:val="0"/>
              <w:bidi w:val="0"/>
              <w:snapToGrid w:val="0"/>
              <w:spacing w:before="212" w:line="360" w:lineRule="auto"/>
              <w:ind w:left="242"/>
              <w:rPr>
                <w:rFonts w:ascii="Tahoma" w:hAnsi="Tahoma" w:eastAsia="宋体" w:cs="Tahoma"/>
                <w:color w:val="auto"/>
                <w:sz w:val="20"/>
                <w:szCs w:val="20"/>
                <w:lang w:eastAsia="zh-CN"/>
              </w:rPr>
            </w:pPr>
            <w:r>
              <w:rPr>
                <w:rFonts w:hint="eastAsia" w:ascii="Tahoma" w:hAnsi="Tahoma" w:eastAsia="宋体" w:cs="Tahoma"/>
                <w:color w:val="auto"/>
                <w:spacing w:val="1"/>
                <w:sz w:val="20"/>
                <w:szCs w:val="20"/>
                <w:lang w:eastAsia="zh-CN"/>
              </w:rPr>
              <w:t>10</w:t>
            </w:r>
          </w:p>
        </w:tc>
        <w:tc>
          <w:tcPr>
            <w:tcW w:w="1669" w:type="dxa"/>
            <w:gridSpan w:val="3"/>
            <w:tcMar>
              <w:top w:w="0" w:type="dxa"/>
              <w:left w:w="0" w:type="dxa"/>
              <w:bottom w:w="0" w:type="dxa"/>
              <w:right w:w="0" w:type="dxa"/>
            </w:tcMar>
          </w:tcPr>
          <w:p w14:paraId="62F6F0A5">
            <w:pPr>
              <w:pStyle w:val="27"/>
              <w:keepNext w:val="0"/>
              <w:keepLines w:val="0"/>
              <w:pageBreakBefore w:val="0"/>
              <w:widowControl/>
              <w:wordWrap/>
              <w:overflowPunct w:val="0"/>
              <w:topLinePunct w:val="0"/>
              <w:bidi w:val="0"/>
              <w:snapToGrid w:val="0"/>
              <w:spacing w:before="188" w:line="360" w:lineRule="auto"/>
              <w:ind w:left="113"/>
              <w:rPr>
                <w:color w:val="auto"/>
              </w:rPr>
            </w:pPr>
            <w:r>
              <w:rPr>
                <w:color w:val="auto"/>
                <w:spacing w:val="7"/>
              </w:rPr>
              <w:t>开标时间、地点</w:t>
            </w:r>
          </w:p>
        </w:tc>
        <w:tc>
          <w:tcPr>
            <w:tcW w:w="7219" w:type="dxa"/>
            <w:gridSpan w:val="2"/>
            <w:tcMar>
              <w:top w:w="0" w:type="dxa"/>
              <w:left w:w="0" w:type="dxa"/>
              <w:bottom w:w="0" w:type="dxa"/>
              <w:right w:w="0" w:type="dxa"/>
            </w:tcMar>
          </w:tcPr>
          <w:p w14:paraId="145410F5">
            <w:pPr>
              <w:keepNext w:val="0"/>
              <w:keepLines w:val="0"/>
              <w:pageBreakBefore w:val="0"/>
              <w:widowControl/>
              <w:wordWrap/>
              <w:overflowPunct w:val="0"/>
              <w:topLinePunct w:val="0"/>
              <w:bidi w:val="0"/>
              <w:snapToGrid w:val="0"/>
              <w:spacing w:before="45" w:line="360" w:lineRule="auto"/>
              <w:ind w:left="123"/>
              <w:rPr>
                <w:rFonts w:ascii="宋体" w:hAnsi="宋体" w:eastAsia="宋体" w:cs="宋体"/>
                <w:color w:val="auto"/>
                <w:sz w:val="20"/>
                <w:szCs w:val="20"/>
                <w:lang w:eastAsia="zh-CN"/>
              </w:rPr>
            </w:pPr>
            <w:r>
              <w:rPr>
                <w:rFonts w:hint="eastAsia" w:ascii="宋体" w:hAnsi="宋体" w:eastAsia="宋体" w:cs="宋体"/>
                <w:color w:val="auto"/>
                <w:spacing w:val="-1"/>
                <w:sz w:val="20"/>
                <w:szCs w:val="20"/>
                <w:lang w:eastAsia="zh-CN"/>
              </w:rPr>
              <w:t>时间：</w:t>
            </w:r>
            <w:r>
              <w:rPr>
                <w:rFonts w:hint="eastAsia" w:ascii="宋体" w:hAnsi="宋体" w:eastAsia="宋体" w:cs="宋体"/>
                <w:color w:val="auto"/>
                <w:spacing w:val="6"/>
                <w:sz w:val="20"/>
                <w:szCs w:val="20"/>
                <w:lang w:eastAsia="zh-CN"/>
              </w:rPr>
              <w:t>202</w:t>
            </w:r>
            <w:r>
              <w:rPr>
                <w:rFonts w:hint="eastAsia" w:ascii="宋体" w:hAnsi="宋体" w:eastAsia="宋体" w:cs="宋体"/>
                <w:color w:val="auto"/>
                <w:spacing w:val="6"/>
                <w:sz w:val="20"/>
                <w:szCs w:val="20"/>
                <w:lang w:val="en-US" w:eastAsia="zh-CN"/>
              </w:rPr>
              <w:t>5</w:t>
            </w:r>
            <w:r>
              <w:rPr>
                <w:rFonts w:hint="eastAsia" w:ascii="宋体" w:hAnsi="宋体" w:eastAsia="宋体" w:cs="宋体"/>
                <w:color w:val="auto"/>
                <w:spacing w:val="6"/>
                <w:sz w:val="20"/>
                <w:szCs w:val="20"/>
                <w:lang w:eastAsia="zh-CN"/>
              </w:rPr>
              <w:t>年</w:t>
            </w:r>
            <w:r>
              <w:rPr>
                <w:rFonts w:hint="eastAsia" w:ascii="宋体" w:hAnsi="宋体" w:eastAsia="宋体" w:cs="宋体"/>
                <w:color w:val="auto"/>
                <w:spacing w:val="6"/>
                <w:sz w:val="20"/>
                <w:szCs w:val="20"/>
                <w:lang w:val="en-US" w:eastAsia="zh-CN"/>
              </w:rPr>
              <w:t>04</w:t>
            </w:r>
            <w:r>
              <w:rPr>
                <w:rFonts w:hint="eastAsia" w:ascii="宋体" w:hAnsi="宋体" w:eastAsia="宋体" w:cs="宋体"/>
                <w:color w:val="auto"/>
                <w:spacing w:val="6"/>
                <w:sz w:val="20"/>
                <w:szCs w:val="20"/>
                <w:lang w:eastAsia="zh-CN"/>
              </w:rPr>
              <w:t>月</w:t>
            </w:r>
            <w:r>
              <w:rPr>
                <w:rFonts w:hint="eastAsia" w:ascii="宋体" w:hAnsi="宋体" w:eastAsia="宋体" w:cs="宋体"/>
                <w:color w:val="auto"/>
                <w:spacing w:val="6"/>
                <w:sz w:val="20"/>
                <w:szCs w:val="20"/>
                <w:lang w:val="en-US" w:eastAsia="zh-CN"/>
              </w:rPr>
              <w:t>29</w:t>
            </w:r>
            <w:r>
              <w:rPr>
                <w:rFonts w:hint="eastAsia" w:ascii="宋体" w:hAnsi="宋体" w:eastAsia="宋体" w:cs="宋体"/>
                <w:color w:val="auto"/>
                <w:spacing w:val="6"/>
                <w:sz w:val="20"/>
                <w:szCs w:val="20"/>
                <w:lang w:eastAsia="zh-CN"/>
              </w:rPr>
              <w:t>日 1</w:t>
            </w:r>
            <w:r>
              <w:rPr>
                <w:rFonts w:hint="eastAsia" w:ascii="宋体" w:hAnsi="宋体" w:eastAsia="宋体" w:cs="宋体"/>
                <w:color w:val="auto"/>
                <w:spacing w:val="6"/>
                <w:sz w:val="20"/>
                <w:szCs w:val="20"/>
                <w:lang w:val="en-US" w:eastAsia="zh-CN"/>
              </w:rPr>
              <w:t>6</w:t>
            </w:r>
            <w:r>
              <w:rPr>
                <w:rFonts w:hint="eastAsia" w:ascii="宋体" w:hAnsi="宋体" w:eastAsia="宋体" w:cs="宋体"/>
                <w:color w:val="auto"/>
                <w:spacing w:val="6"/>
                <w:sz w:val="20"/>
                <w:szCs w:val="20"/>
                <w:lang w:eastAsia="zh-CN"/>
              </w:rPr>
              <w:t>:00</w:t>
            </w:r>
            <w:r>
              <w:rPr>
                <w:rFonts w:hint="eastAsia" w:ascii="宋体" w:hAnsi="宋体" w:eastAsia="宋体" w:cs="宋体"/>
                <w:color w:val="auto"/>
                <w:spacing w:val="-1"/>
                <w:sz w:val="20"/>
                <w:szCs w:val="20"/>
                <w:lang w:eastAsia="zh-CN"/>
              </w:rPr>
              <w:t>；</w:t>
            </w:r>
          </w:p>
          <w:p w14:paraId="49679CE1">
            <w:pPr>
              <w:keepNext w:val="0"/>
              <w:keepLines w:val="0"/>
              <w:pageBreakBefore w:val="0"/>
              <w:widowControl/>
              <w:wordWrap/>
              <w:overflowPunct w:val="0"/>
              <w:topLinePunct w:val="0"/>
              <w:bidi w:val="0"/>
              <w:snapToGrid w:val="0"/>
              <w:spacing w:before="34" w:line="360" w:lineRule="auto"/>
              <w:ind w:left="113"/>
              <w:rPr>
                <w:rFonts w:ascii="宋体" w:hAnsi="宋体" w:eastAsia="宋体" w:cs="宋体"/>
                <w:color w:val="auto"/>
                <w:sz w:val="20"/>
                <w:szCs w:val="20"/>
                <w:lang w:eastAsia="zh-CN"/>
              </w:rPr>
            </w:pPr>
            <w:r>
              <w:rPr>
                <w:rFonts w:hint="eastAsia" w:ascii="宋体" w:hAnsi="宋体" w:eastAsia="宋体" w:cs="宋体"/>
                <w:color w:val="auto"/>
                <w:spacing w:val="6"/>
                <w:sz w:val="20"/>
                <w:szCs w:val="20"/>
                <w:lang w:eastAsia="zh-CN"/>
              </w:rPr>
              <w:t>地点：</w:t>
            </w:r>
            <w:r>
              <w:rPr>
                <w:rFonts w:hint="eastAsia" w:ascii="宋体" w:hAnsi="宋体" w:eastAsia="宋体" w:cs="宋体"/>
                <w:color w:val="auto"/>
                <w:sz w:val="20"/>
                <w:szCs w:val="20"/>
                <w:lang w:eastAsia="zh-CN" w:bidi="ar"/>
              </w:rPr>
              <w:t>新疆政采云电子招投标平台不见面开标大厅（请按供应商操作手册进行操作）</w:t>
            </w:r>
          </w:p>
        </w:tc>
      </w:tr>
      <w:tr w14:paraId="471170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vAlign w:val="center"/>
          </w:tcPr>
          <w:p w14:paraId="3EC0B2F3">
            <w:pPr>
              <w:keepNext w:val="0"/>
              <w:keepLines w:val="0"/>
              <w:pageBreakBefore w:val="0"/>
              <w:widowControl/>
              <w:wordWrap/>
              <w:overflowPunct w:val="0"/>
              <w:topLinePunct w:val="0"/>
              <w:bidi w:val="0"/>
              <w:snapToGrid w:val="0"/>
              <w:spacing w:before="254" w:line="360" w:lineRule="auto"/>
              <w:ind w:left="242"/>
              <w:jc w:val="both"/>
              <w:rPr>
                <w:rFonts w:ascii="Tahoma" w:hAnsi="Tahoma" w:eastAsia="宋体" w:cs="Tahoma"/>
                <w:color w:val="auto"/>
                <w:sz w:val="20"/>
                <w:szCs w:val="20"/>
                <w:lang w:eastAsia="zh-CN"/>
              </w:rPr>
            </w:pPr>
            <w:r>
              <w:rPr>
                <w:rFonts w:hint="eastAsia" w:ascii="Tahoma" w:hAnsi="Tahoma" w:eastAsia="宋体" w:cs="Tahoma"/>
                <w:color w:val="auto"/>
                <w:spacing w:val="1"/>
                <w:sz w:val="20"/>
                <w:szCs w:val="20"/>
                <w:lang w:eastAsia="zh-CN"/>
              </w:rPr>
              <w:t>11</w:t>
            </w:r>
          </w:p>
        </w:tc>
        <w:tc>
          <w:tcPr>
            <w:tcW w:w="1669" w:type="dxa"/>
            <w:gridSpan w:val="3"/>
            <w:tcMar>
              <w:top w:w="0" w:type="dxa"/>
              <w:left w:w="0" w:type="dxa"/>
              <w:bottom w:w="0" w:type="dxa"/>
              <w:right w:w="0" w:type="dxa"/>
            </w:tcMar>
            <w:vAlign w:val="center"/>
          </w:tcPr>
          <w:p w14:paraId="78FEC835">
            <w:pPr>
              <w:pStyle w:val="27"/>
              <w:keepNext w:val="0"/>
              <w:keepLines w:val="0"/>
              <w:pageBreakBefore w:val="0"/>
              <w:widowControl/>
              <w:wordWrap/>
              <w:overflowPunct w:val="0"/>
              <w:topLinePunct w:val="0"/>
              <w:bidi w:val="0"/>
              <w:snapToGrid w:val="0"/>
              <w:spacing w:before="232" w:line="360" w:lineRule="auto"/>
              <w:ind w:left="113"/>
              <w:jc w:val="both"/>
              <w:rPr>
                <w:color w:val="auto"/>
                <w:lang w:eastAsia="zh-CN"/>
              </w:rPr>
            </w:pPr>
            <w:r>
              <w:rPr>
                <w:color w:val="auto"/>
                <w:spacing w:val="7"/>
              </w:rPr>
              <w:t>开标</w:t>
            </w:r>
            <w:r>
              <w:rPr>
                <w:rFonts w:hint="eastAsia"/>
                <w:color w:val="auto"/>
                <w:spacing w:val="7"/>
                <w:lang w:eastAsia="zh-CN"/>
              </w:rPr>
              <w:t>方式</w:t>
            </w:r>
          </w:p>
        </w:tc>
        <w:tc>
          <w:tcPr>
            <w:tcW w:w="7219" w:type="dxa"/>
            <w:gridSpan w:val="2"/>
            <w:tcMar>
              <w:top w:w="0" w:type="dxa"/>
              <w:left w:w="0" w:type="dxa"/>
              <w:bottom w:w="0" w:type="dxa"/>
              <w:right w:w="0" w:type="dxa"/>
            </w:tcMar>
          </w:tcPr>
          <w:p w14:paraId="38DFC12D">
            <w:pPr>
              <w:pStyle w:val="27"/>
              <w:keepNext w:val="0"/>
              <w:keepLines w:val="0"/>
              <w:pageBreakBefore w:val="0"/>
              <w:widowControl/>
              <w:wordWrap/>
              <w:overflowPunct w:val="0"/>
              <w:topLinePunct w:val="0"/>
              <w:bidi w:val="0"/>
              <w:snapToGrid w:val="0"/>
              <w:spacing w:before="127" w:line="360" w:lineRule="auto"/>
              <w:ind w:left="111"/>
              <w:rPr>
                <w:color w:val="auto"/>
                <w:lang w:eastAsia="zh-CN"/>
              </w:rPr>
            </w:pPr>
            <w:r>
              <w:rPr>
                <w:color w:val="auto"/>
                <w:spacing w:val="7"/>
                <w:lang w:eastAsia="zh-CN"/>
              </w:rPr>
              <w:t>采用不见面开标：</w:t>
            </w:r>
          </w:p>
          <w:p w14:paraId="0195E2AD">
            <w:pPr>
              <w:pStyle w:val="27"/>
              <w:keepNext w:val="0"/>
              <w:keepLines w:val="0"/>
              <w:pageBreakBefore w:val="0"/>
              <w:widowControl/>
              <w:wordWrap/>
              <w:overflowPunct w:val="0"/>
              <w:topLinePunct w:val="0"/>
              <w:bidi w:val="0"/>
              <w:snapToGrid w:val="0"/>
              <w:spacing w:before="2" w:line="360" w:lineRule="auto"/>
              <w:ind w:left="111" w:right="37" w:firstLine="1"/>
              <w:rPr>
                <w:color w:val="auto"/>
                <w:lang w:eastAsia="zh-CN"/>
              </w:rPr>
            </w:pPr>
            <w:r>
              <w:rPr>
                <w:color w:val="auto"/>
                <w:spacing w:val="2"/>
                <w:lang w:eastAsia="zh-CN"/>
              </w:rPr>
              <w:t>投标人应于</w:t>
            </w:r>
            <w:r>
              <w:rPr>
                <w:rFonts w:hint="eastAsia"/>
                <w:color w:val="auto"/>
                <w:spacing w:val="6"/>
                <w:lang w:eastAsia="zh-CN"/>
              </w:rPr>
              <w:t>202</w:t>
            </w:r>
            <w:r>
              <w:rPr>
                <w:rFonts w:hint="eastAsia"/>
                <w:color w:val="auto"/>
                <w:spacing w:val="6"/>
                <w:lang w:val="en-US" w:eastAsia="zh-CN"/>
              </w:rPr>
              <w:t>5</w:t>
            </w:r>
            <w:r>
              <w:rPr>
                <w:rFonts w:hint="eastAsia"/>
                <w:color w:val="auto"/>
                <w:spacing w:val="6"/>
                <w:lang w:eastAsia="zh-CN"/>
              </w:rPr>
              <w:t>年</w:t>
            </w:r>
            <w:r>
              <w:rPr>
                <w:rFonts w:hint="eastAsia"/>
                <w:color w:val="auto"/>
                <w:spacing w:val="6"/>
                <w:lang w:val="en-US" w:eastAsia="zh-CN"/>
              </w:rPr>
              <w:t>04</w:t>
            </w:r>
            <w:r>
              <w:rPr>
                <w:rFonts w:hint="eastAsia"/>
                <w:color w:val="auto"/>
                <w:spacing w:val="6"/>
                <w:lang w:eastAsia="zh-CN"/>
              </w:rPr>
              <w:t>月</w:t>
            </w:r>
            <w:r>
              <w:rPr>
                <w:rFonts w:hint="eastAsia"/>
                <w:color w:val="auto"/>
                <w:spacing w:val="6"/>
                <w:lang w:val="en-US" w:eastAsia="zh-CN"/>
              </w:rPr>
              <w:t>29</w:t>
            </w:r>
            <w:r>
              <w:rPr>
                <w:rFonts w:hint="eastAsia"/>
                <w:color w:val="auto"/>
                <w:spacing w:val="6"/>
                <w:lang w:eastAsia="zh-CN"/>
              </w:rPr>
              <w:t>日 1</w:t>
            </w:r>
            <w:r>
              <w:rPr>
                <w:rFonts w:hint="eastAsia"/>
                <w:color w:val="auto"/>
                <w:spacing w:val="6"/>
                <w:lang w:val="en-US" w:eastAsia="zh-CN"/>
              </w:rPr>
              <w:t>6</w:t>
            </w:r>
            <w:r>
              <w:rPr>
                <w:rFonts w:hint="eastAsia"/>
                <w:color w:val="auto"/>
                <w:spacing w:val="6"/>
                <w:lang w:eastAsia="zh-CN"/>
              </w:rPr>
              <w:t>:00</w:t>
            </w:r>
            <w:r>
              <w:rPr>
                <w:color w:val="auto"/>
                <w:spacing w:val="2"/>
                <w:lang w:eastAsia="zh-CN"/>
              </w:rPr>
              <w:t>之前将电子投标文件上</w:t>
            </w:r>
            <w:r>
              <w:rPr>
                <w:color w:val="auto"/>
                <w:spacing w:val="1"/>
                <w:lang w:eastAsia="zh-CN"/>
              </w:rPr>
              <w:t>传到“政</w:t>
            </w:r>
            <w:r>
              <w:rPr>
                <w:color w:val="auto"/>
                <w:spacing w:val="4"/>
                <w:lang w:eastAsia="zh-CN"/>
              </w:rPr>
              <w:t>采云</w:t>
            </w:r>
            <w:r>
              <w:rPr>
                <w:color w:val="auto"/>
                <w:spacing w:val="-70"/>
                <w:lang w:eastAsia="zh-CN"/>
              </w:rPr>
              <w:t xml:space="preserve"> </w:t>
            </w:r>
            <w:r>
              <w:rPr>
                <w:color w:val="auto"/>
                <w:spacing w:val="4"/>
                <w:lang w:eastAsia="zh-CN"/>
              </w:rPr>
              <w:t>”平台。应按照本项目招标文件和政采云平台的要</w:t>
            </w:r>
            <w:r>
              <w:rPr>
                <w:color w:val="auto"/>
                <w:spacing w:val="3"/>
                <w:lang w:eastAsia="zh-CN"/>
              </w:rPr>
              <w:t>求编制、加密传输投标文件。</w:t>
            </w:r>
            <w:r>
              <w:rPr>
                <w:rFonts w:hint="eastAsia"/>
                <w:color w:val="auto"/>
                <w:spacing w:val="8"/>
                <w:lang w:eastAsia="zh-CN"/>
              </w:rPr>
              <w:t>服务商</w:t>
            </w:r>
            <w:r>
              <w:rPr>
                <w:color w:val="auto"/>
                <w:spacing w:val="8"/>
                <w:lang w:eastAsia="zh-CN"/>
              </w:rPr>
              <w:t>在使用系统进行投标的过程中遇到涉及平台使用的任</w:t>
            </w:r>
            <w:r>
              <w:rPr>
                <w:color w:val="auto"/>
                <w:spacing w:val="7"/>
                <w:lang w:eastAsia="zh-CN"/>
              </w:rPr>
              <w:t>何问题，可致电政采云平台技术支持热线咨询，联系方式：</w:t>
            </w:r>
            <w:r>
              <w:rPr>
                <w:rFonts w:hint="eastAsia" w:ascii="Times New Roman" w:hAnsi="Times New Roman" w:eastAsia="Times New Roman" w:cs="Times New Roman"/>
                <w:color w:val="auto"/>
                <w:spacing w:val="7"/>
                <w:lang w:val="en-US" w:eastAsia="zh-CN"/>
              </w:rPr>
              <w:t>95763</w:t>
            </w:r>
            <w:r>
              <w:rPr>
                <w:color w:val="auto"/>
                <w:spacing w:val="7"/>
                <w:lang w:eastAsia="zh-CN"/>
              </w:rPr>
              <w:t>。</w:t>
            </w:r>
          </w:p>
        </w:tc>
      </w:tr>
      <w:tr w14:paraId="4C9BD4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69EF3B1D">
            <w:pPr>
              <w:keepNext w:val="0"/>
              <w:keepLines w:val="0"/>
              <w:pageBreakBefore w:val="0"/>
              <w:widowControl/>
              <w:wordWrap/>
              <w:overflowPunct w:val="0"/>
              <w:topLinePunct w:val="0"/>
              <w:bidi w:val="0"/>
              <w:snapToGrid w:val="0"/>
              <w:spacing w:before="253" w:line="360" w:lineRule="auto"/>
              <w:ind w:firstLine="202" w:firstLineChars="100"/>
              <w:rPr>
                <w:rFonts w:ascii="Tahoma" w:hAnsi="Tahoma" w:eastAsia="宋体" w:cs="Tahoma"/>
                <w:color w:val="auto"/>
                <w:sz w:val="20"/>
                <w:szCs w:val="20"/>
                <w:lang w:eastAsia="zh-CN"/>
              </w:rPr>
            </w:pPr>
            <w:r>
              <w:rPr>
                <w:rFonts w:hint="eastAsia" w:ascii="Tahoma" w:hAnsi="Tahoma" w:eastAsia="宋体" w:cs="Tahoma"/>
                <w:color w:val="auto"/>
                <w:spacing w:val="1"/>
                <w:sz w:val="20"/>
                <w:szCs w:val="20"/>
                <w:lang w:eastAsia="zh-CN"/>
              </w:rPr>
              <w:t>12</w:t>
            </w:r>
          </w:p>
        </w:tc>
        <w:tc>
          <w:tcPr>
            <w:tcW w:w="1669" w:type="dxa"/>
            <w:gridSpan w:val="3"/>
            <w:tcMar>
              <w:top w:w="0" w:type="dxa"/>
              <w:left w:w="0" w:type="dxa"/>
              <w:bottom w:w="0" w:type="dxa"/>
              <w:right w:w="0" w:type="dxa"/>
            </w:tcMar>
          </w:tcPr>
          <w:p w14:paraId="781CFFB7">
            <w:pPr>
              <w:pStyle w:val="27"/>
              <w:keepNext w:val="0"/>
              <w:keepLines w:val="0"/>
              <w:pageBreakBefore w:val="0"/>
              <w:widowControl/>
              <w:wordWrap/>
              <w:overflowPunct w:val="0"/>
              <w:topLinePunct w:val="0"/>
              <w:bidi w:val="0"/>
              <w:snapToGrid w:val="0"/>
              <w:spacing w:before="231" w:line="360" w:lineRule="auto"/>
              <w:ind w:left="111"/>
              <w:rPr>
                <w:color w:val="auto"/>
              </w:rPr>
            </w:pPr>
            <w:r>
              <w:rPr>
                <w:color w:val="auto"/>
                <w:spacing w:val="8"/>
              </w:rPr>
              <w:t>评标委员会</w:t>
            </w:r>
          </w:p>
        </w:tc>
        <w:tc>
          <w:tcPr>
            <w:tcW w:w="7219" w:type="dxa"/>
            <w:gridSpan w:val="2"/>
            <w:tcMar>
              <w:top w:w="0" w:type="dxa"/>
              <w:left w:w="0" w:type="dxa"/>
              <w:bottom w:w="0" w:type="dxa"/>
              <w:right w:w="0" w:type="dxa"/>
            </w:tcMar>
          </w:tcPr>
          <w:p w14:paraId="2725D1B9">
            <w:pPr>
              <w:pStyle w:val="27"/>
              <w:keepNext w:val="0"/>
              <w:keepLines w:val="0"/>
              <w:pageBreakBefore w:val="0"/>
              <w:widowControl/>
              <w:wordWrap/>
              <w:overflowPunct w:val="0"/>
              <w:topLinePunct w:val="0"/>
              <w:bidi w:val="0"/>
              <w:snapToGrid w:val="0"/>
              <w:spacing w:before="92" w:line="360" w:lineRule="auto"/>
              <w:ind w:left="123"/>
              <w:rPr>
                <w:color w:val="auto"/>
                <w:lang w:eastAsia="zh-CN"/>
              </w:rPr>
            </w:pPr>
            <w:r>
              <w:rPr>
                <w:color w:val="auto"/>
                <w:spacing w:val="5"/>
                <w:position w:val="5"/>
                <w:lang w:eastAsia="zh-CN"/>
              </w:rPr>
              <w:t>（</w:t>
            </w:r>
            <w:r>
              <w:rPr>
                <w:rFonts w:ascii="Tahoma" w:hAnsi="Tahoma" w:eastAsia="Tahoma" w:cs="Tahoma"/>
                <w:color w:val="auto"/>
                <w:spacing w:val="5"/>
                <w:position w:val="5"/>
                <w:lang w:eastAsia="zh-CN"/>
              </w:rPr>
              <w:t>1</w:t>
            </w:r>
            <w:r>
              <w:rPr>
                <w:color w:val="auto"/>
                <w:spacing w:val="5"/>
                <w:position w:val="5"/>
                <w:lang w:eastAsia="zh-CN"/>
              </w:rPr>
              <w:t>）构成：</w:t>
            </w:r>
            <w:r>
              <w:rPr>
                <w:rFonts w:ascii="Tahoma" w:hAnsi="Tahoma" w:eastAsia="Tahoma" w:cs="Tahoma"/>
                <w:color w:val="auto"/>
                <w:spacing w:val="5"/>
                <w:position w:val="5"/>
                <w:lang w:eastAsia="zh-CN"/>
              </w:rPr>
              <w:t xml:space="preserve">5 </w:t>
            </w:r>
            <w:r>
              <w:rPr>
                <w:color w:val="auto"/>
                <w:spacing w:val="5"/>
                <w:position w:val="5"/>
                <w:lang w:eastAsia="zh-CN"/>
              </w:rPr>
              <w:t>人，其中招标人代表</w:t>
            </w:r>
            <w:r>
              <w:rPr>
                <w:color w:val="auto"/>
                <w:spacing w:val="-22"/>
                <w:position w:val="5"/>
                <w:lang w:eastAsia="zh-CN"/>
              </w:rPr>
              <w:t xml:space="preserve"> </w:t>
            </w:r>
            <w:r>
              <w:rPr>
                <w:rFonts w:ascii="Tahoma" w:hAnsi="Tahoma" w:eastAsia="Tahoma" w:cs="Tahoma"/>
                <w:color w:val="auto"/>
                <w:spacing w:val="5"/>
                <w:position w:val="5"/>
                <w:lang w:eastAsia="zh-CN"/>
              </w:rPr>
              <w:t xml:space="preserve">1 </w:t>
            </w:r>
            <w:r>
              <w:rPr>
                <w:color w:val="auto"/>
                <w:spacing w:val="5"/>
                <w:position w:val="5"/>
                <w:lang w:eastAsia="zh-CN"/>
              </w:rPr>
              <w:t>人，专家</w:t>
            </w:r>
            <w:r>
              <w:rPr>
                <w:color w:val="auto"/>
                <w:spacing w:val="-41"/>
                <w:position w:val="5"/>
                <w:lang w:eastAsia="zh-CN"/>
              </w:rPr>
              <w:t xml:space="preserve"> </w:t>
            </w:r>
            <w:r>
              <w:rPr>
                <w:rFonts w:ascii="Tahoma" w:hAnsi="Tahoma" w:eastAsia="Tahoma" w:cs="Tahoma"/>
                <w:color w:val="auto"/>
                <w:spacing w:val="5"/>
                <w:position w:val="5"/>
                <w:lang w:eastAsia="zh-CN"/>
              </w:rPr>
              <w:t xml:space="preserve">4 </w:t>
            </w:r>
            <w:r>
              <w:rPr>
                <w:color w:val="auto"/>
                <w:spacing w:val="5"/>
                <w:position w:val="5"/>
                <w:lang w:eastAsia="zh-CN"/>
              </w:rPr>
              <w:t>人</w:t>
            </w:r>
          </w:p>
          <w:p w14:paraId="1C3A1618">
            <w:pPr>
              <w:pStyle w:val="27"/>
              <w:keepNext w:val="0"/>
              <w:keepLines w:val="0"/>
              <w:pageBreakBefore w:val="0"/>
              <w:widowControl/>
              <w:wordWrap/>
              <w:overflowPunct w:val="0"/>
              <w:topLinePunct w:val="0"/>
              <w:bidi w:val="0"/>
              <w:snapToGrid w:val="0"/>
              <w:spacing w:line="360" w:lineRule="auto"/>
              <w:ind w:left="123"/>
              <w:rPr>
                <w:color w:val="auto"/>
                <w:lang w:eastAsia="zh-CN"/>
              </w:rPr>
            </w:pPr>
            <w:r>
              <w:rPr>
                <w:color w:val="auto"/>
                <w:spacing w:val="8"/>
                <w:lang w:eastAsia="zh-CN"/>
              </w:rPr>
              <w:t>（</w:t>
            </w:r>
            <w:r>
              <w:rPr>
                <w:rFonts w:ascii="Tahoma" w:hAnsi="Tahoma" w:eastAsia="Tahoma" w:cs="Tahoma"/>
                <w:color w:val="auto"/>
                <w:spacing w:val="8"/>
                <w:lang w:eastAsia="zh-CN"/>
              </w:rPr>
              <w:t>2</w:t>
            </w:r>
            <w:r>
              <w:rPr>
                <w:color w:val="auto"/>
                <w:spacing w:val="8"/>
                <w:lang w:eastAsia="zh-CN"/>
              </w:rPr>
              <w:t>）方式：政采云专家库中随机抽取</w:t>
            </w:r>
          </w:p>
        </w:tc>
      </w:tr>
      <w:tr w14:paraId="1856D6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02A5BCD6">
            <w:pPr>
              <w:keepNext w:val="0"/>
              <w:keepLines w:val="0"/>
              <w:pageBreakBefore w:val="0"/>
              <w:widowControl/>
              <w:wordWrap/>
              <w:overflowPunct w:val="0"/>
              <w:topLinePunct w:val="0"/>
              <w:bidi w:val="0"/>
              <w:snapToGrid w:val="0"/>
              <w:spacing w:before="256" w:line="360" w:lineRule="auto"/>
              <w:ind w:left="238"/>
              <w:rPr>
                <w:rFonts w:ascii="Tahoma" w:hAnsi="Tahoma" w:eastAsia="宋体" w:cs="Tahoma"/>
                <w:color w:val="auto"/>
                <w:sz w:val="20"/>
                <w:szCs w:val="20"/>
                <w:lang w:eastAsia="zh-CN"/>
              </w:rPr>
            </w:pPr>
            <w:r>
              <w:rPr>
                <w:rFonts w:hint="eastAsia" w:ascii="Tahoma" w:hAnsi="Tahoma" w:eastAsia="宋体" w:cs="Tahoma"/>
                <w:color w:val="auto"/>
                <w:spacing w:val="2"/>
                <w:sz w:val="20"/>
                <w:szCs w:val="20"/>
                <w:lang w:eastAsia="zh-CN"/>
              </w:rPr>
              <w:t>13</w:t>
            </w:r>
          </w:p>
        </w:tc>
        <w:tc>
          <w:tcPr>
            <w:tcW w:w="1669" w:type="dxa"/>
            <w:gridSpan w:val="3"/>
            <w:tcMar>
              <w:top w:w="0" w:type="dxa"/>
              <w:left w:w="0" w:type="dxa"/>
              <w:bottom w:w="0" w:type="dxa"/>
              <w:right w:w="0" w:type="dxa"/>
            </w:tcMar>
          </w:tcPr>
          <w:p w14:paraId="64C931CB">
            <w:pPr>
              <w:pStyle w:val="27"/>
              <w:keepNext w:val="0"/>
              <w:keepLines w:val="0"/>
              <w:pageBreakBefore w:val="0"/>
              <w:widowControl/>
              <w:wordWrap/>
              <w:overflowPunct w:val="0"/>
              <w:topLinePunct w:val="0"/>
              <w:bidi w:val="0"/>
              <w:snapToGrid w:val="0"/>
              <w:spacing w:before="233" w:line="360" w:lineRule="auto"/>
              <w:ind w:left="111"/>
              <w:rPr>
                <w:color w:val="auto"/>
              </w:rPr>
            </w:pPr>
            <w:r>
              <w:rPr>
                <w:color w:val="auto"/>
                <w:spacing w:val="7"/>
              </w:rPr>
              <w:t>评标办法</w:t>
            </w:r>
          </w:p>
        </w:tc>
        <w:tc>
          <w:tcPr>
            <w:tcW w:w="7219" w:type="dxa"/>
            <w:gridSpan w:val="2"/>
            <w:tcMar>
              <w:top w:w="0" w:type="dxa"/>
              <w:left w:w="0" w:type="dxa"/>
              <w:bottom w:w="0" w:type="dxa"/>
              <w:right w:w="0" w:type="dxa"/>
            </w:tcMar>
          </w:tcPr>
          <w:p w14:paraId="7B5927AD">
            <w:pPr>
              <w:pStyle w:val="27"/>
              <w:keepNext w:val="0"/>
              <w:keepLines w:val="0"/>
              <w:pageBreakBefore w:val="0"/>
              <w:widowControl/>
              <w:wordWrap/>
              <w:overflowPunct w:val="0"/>
              <w:topLinePunct w:val="0"/>
              <w:bidi w:val="0"/>
              <w:snapToGrid w:val="0"/>
              <w:spacing w:before="94" w:line="360" w:lineRule="auto"/>
              <w:ind w:left="115" w:right="107" w:hanging="1"/>
              <w:rPr>
                <w:color w:val="auto"/>
                <w:lang w:eastAsia="zh-CN"/>
              </w:rPr>
            </w:pPr>
            <w:r>
              <w:rPr>
                <w:color w:val="auto"/>
                <w:spacing w:val="8"/>
                <w:lang w:eastAsia="zh-CN"/>
              </w:rPr>
              <w:t>本次评标根据《政府采购货物和服务招标投标管理办法》（中华人民共和国财政部令第</w:t>
            </w:r>
            <w:r>
              <w:rPr>
                <w:color w:val="auto"/>
                <w:spacing w:val="-40"/>
                <w:lang w:eastAsia="zh-CN"/>
              </w:rPr>
              <w:t xml:space="preserve"> </w:t>
            </w:r>
            <w:r>
              <w:rPr>
                <w:rFonts w:ascii="Tahoma" w:hAnsi="Tahoma" w:eastAsia="Tahoma" w:cs="Tahoma"/>
                <w:color w:val="auto"/>
                <w:spacing w:val="8"/>
                <w:lang w:eastAsia="zh-CN"/>
              </w:rPr>
              <w:t xml:space="preserve">87 </w:t>
            </w:r>
            <w:r>
              <w:rPr>
                <w:color w:val="auto"/>
                <w:spacing w:val="8"/>
                <w:lang w:eastAsia="zh-CN"/>
              </w:rPr>
              <w:t>号）规定的评审标准，采用综合评分法</w:t>
            </w:r>
          </w:p>
        </w:tc>
      </w:tr>
      <w:tr w14:paraId="079B2E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14" w:type="dxa"/>
            <w:tcMar>
              <w:top w:w="0" w:type="dxa"/>
              <w:left w:w="0" w:type="dxa"/>
              <w:bottom w:w="0" w:type="dxa"/>
              <w:right w:w="0" w:type="dxa"/>
            </w:tcMar>
          </w:tcPr>
          <w:p w14:paraId="252EDB2C">
            <w:pPr>
              <w:keepNext w:val="0"/>
              <w:keepLines w:val="0"/>
              <w:pageBreakBefore w:val="0"/>
              <w:widowControl/>
              <w:wordWrap/>
              <w:overflowPunct w:val="0"/>
              <w:topLinePunct w:val="0"/>
              <w:bidi w:val="0"/>
              <w:snapToGrid w:val="0"/>
              <w:spacing w:line="360" w:lineRule="auto"/>
              <w:rPr>
                <w:color w:val="auto"/>
                <w:lang w:eastAsia="zh-CN"/>
              </w:rPr>
            </w:pPr>
          </w:p>
          <w:p w14:paraId="7BC8C92D">
            <w:pPr>
              <w:keepNext w:val="0"/>
              <w:keepLines w:val="0"/>
              <w:pageBreakBefore w:val="0"/>
              <w:widowControl/>
              <w:wordWrap/>
              <w:overflowPunct w:val="0"/>
              <w:topLinePunct w:val="0"/>
              <w:bidi w:val="0"/>
              <w:snapToGrid w:val="0"/>
              <w:spacing w:line="360" w:lineRule="auto"/>
              <w:rPr>
                <w:color w:val="auto"/>
                <w:lang w:eastAsia="zh-CN"/>
              </w:rPr>
            </w:pPr>
          </w:p>
          <w:p w14:paraId="7B9DF17C">
            <w:pPr>
              <w:keepNext w:val="0"/>
              <w:keepLines w:val="0"/>
              <w:pageBreakBefore w:val="0"/>
              <w:widowControl/>
              <w:wordWrap/>
              <w:overflowPunct w:val="0"/>
              <w:topLinePunct w:val="0"/>
              <w:bidi w:val="0"/>
              <w:snapToGrid w:val="0"/>
              <w:spacing w:line="360" w:lineRule="auto"/>
              <w:rPr>
                <w:color w:val="auto"/>
                <w:lang w:eastAsia="zh-CN"/>
              </w:rPr>
            </w:pPr>
          </w:p>
          <w:p w14:paraId="28D690FE">
            <w:pPr>
              <w:keepNext w:val="0"/>
              <w:keepLines w:val="0"/>
              <w:pageBreakBefore w:val="0"/>
              <w:widowControl/>
              <w:wordWrap/>
              <w:overflowPunct w:val="0"/>
              <w:topLinePunct w:val="0"/>
              <w:bidi w:val="0"/>
              <w:snapToGrid w:val="0"/>
              <w:spacing w:line="360" w:lineRule="auto"/>
              <w:rPr>
                <w:color w:val="auto"/>
                <w:lang w:eastAsia="zh-CN"/>
              </w:rPr>
            </w:pPr>
          </w:p>
          <w:p w14:paraId="45E5899D">
            <w:pPr>
              <w:keepNext w:val="0"/>
              <w:keepLines w:val="0"/>
              <w:pageBreakBefore w:val="0"/>
              <w:widowControl/>
              <w:wordWrap/>
              <w:overflowPunct w:val="0"/>
              <w:topLinePunct w:val="0"/>
              <w:bidi w:val="0"/>
              <w:snapToGrid w:val="0"/>
              <w:spacing w:line="360" w:lineRule="auto"/>
              <w:rPr>
                <w:color w:val="auto"/>
                <w:lang w:eastAsia="zh-CN"/>
              </w:rPr>
            </w:pPr>
          </w:p>
          <w:p w14:paraId="22BE51A8">
            <w:pPr>
              <w:keepNext w:val="0"/>
              <w:keepLines w:val="0"/>
              <w:pageBreakBefore w:val="0"/>
              <w:widowControl/>
              <w:wordWrap/>
              <w:overflowPunct w:val="0"/>
              <w:topLinePunct w:val="0"/>
              <w:bidi w:val="0"/>
              <w:snapToGrid w:val="0"/>
              <w:spacing w:line="360" w:lineRule="auto"/>
              <w:rPr>
                <w:color w:val="auto"/>
                <w:lang w:eastAsia="zh-CN"/>
              </w:rPr>
            </w:pPr>
          </w:p>
          <w:p w14:paraId="4AC1F687">
            <w:pPr>
              <w:keepNext w:val="0"/>
              <w:keepLines w:val="0"/>
              <w:pageBreakBefore w:val="0"/>
              <w:widowControl/>
              <w:wordWrap/>
              <w:overflowPunct w:val="0"/>
              <w:topLinePunct w:val="0"/>
              <w:bidi w:val="0"/>
              <w:snapToGrid w:val="0"/>
              <w:spacing w:line="360" w:lineRule="auto"/>
              <w:rPr>
                <w:color w:val="auto"/>
                <w:lang w:eastAsia="zh-CN"/>
              </w:rPr>
            </w:pPr>
          </w:p>
          <w:p w14:paraId="3E87297F">
            <w:pPr>
              <w:keepNext w:val="0"/>
              <w:keepLines w:val="0"/>
              <w:pageBreakBefore w:val="0"/>
              <w:widowControl/>
              <w:wordWrap/>
              <w:overflowPunct w:val="0"/>
              <w:topLinePunct w:val="0"/>
              <w:bidi w:val="0"/>
              <w:snapToGrid w:val="0"/>
              <w:spacing w:line="360" w:lineRule="auto"/>
              <w:rPr>
                <w:color w:val="auto"/>
                <w:lang w:eastAsia="zh-CN"/>
              </w:rPr>
            </w:pPr>
          </w:p>
          <w:p w14:paraId="2D9251DC">
            <w:pPr>
              <w:keepNext w:val="0"/>
              <w:keepLines w:val="0"/>
              <w:pageBreakBefore w:val="0"/>
              <w:widowControl/>
              <w:wordWrap/>
              <w:overflowPunct w:val="0"/>
              <w:topLinePunct w:val="0"/>
              <w:bidi w:val="0"/>
              <w:snapToGrid w:val="0"/>
              <w:spacing w:line="360" w:lineRule="auto"/>
              <w:rPr>
                <w:color w:val="auto"/>
                <w:lang w:eastAsia="zh-CN"/>
              </w:rPr>
            </w:pPr>
          </w:p>
          <w:p w14:paraId="16D9417A">
            <w:pPr>
              <w:keepNext w:val="0"/>
              <w:keepLines w:val="0"/>
              <w:pageBreakBefore w:val="0"/>
              <w:widowControl/>
              <w:wordWrap/>
              <w:overflowPunct w:val="0"/>
              <w:topLinePunct w:val="0"/>
              <w:bidi w:val="0"/>
              <w:snapToGrid w:val="0"/>
              <w:spacing w:before="60" w:line="360" w:lineRule="auto"/>
              <w:ind w:left="238"/>
              <w:rPr>
                <w:rFonts w:ascii="Tahoma" w:hAnsi="Tahoma" w:eastAsia="宋体" w:cs="Tahoma"/>
                <w:color w:val="auto"/>
                <w:sz w:val="20"/>
                <w:szCs w:val="20"/>
                <w:lang w:eastAsia="zh-CN"/>
              </w:rPr>
            </w:pPr>
            <w:r>
              <w:rPr>
                <w:rFonts w:hint="eastAsia" w:ascii="Tahoma" w:hAnsi="Tahoma" w:eastAsia="宋体" w:cs="Tahoma"/>
                <w:color w:val="auto"/>
                <w:sz w:val="20"/>
                <w:szCs w:val="20"/>
                <w:lang w:eastAsia="zh-CN"/>
              </w:rPr>
              <w:t>14</w:t>
            </w:r>
          </w:p>
        </w:tc>
        <w:tc>
          <w:tcPr>
            <w:tcW w:w="1669" w:type="dxa"/>
            <w:gridSpan w:val="3"/>
            <w:tcMar>
              <w:top w:w="0" w:type="dxa"/>
              <w:left w:w="0" w:type="dxa"/>
              <w:bottom w:w="0" w:type="dxa"/>
              <w:right w:w="0" w:type="dxa"/>
            </w:tcMar>
          </w:tcPr>
          <w:p w14:paraId="31ADDAF6">
            <w:pPr>
              <w:keepNext w:val="0"/>
              <w:keepLines w:val="0"/>
              <w:pageBreakBefore w:val="0"/>
              <w:widowControl/>
              <w:wordWrap/>
              <w:overflowPunct w:val="0"/>
              <w:topLinePunct w:val="0"/>
              <w:bidi w:val="0"/>
              <w:snapToGrid w:val="0"/>
              <w:spacing w:line="360" w:lineRule="auto"/>
              <w:rPr>
                <w:color w:val="auto"/>
              </w:rPr>
            </w:pPr>
          </w:p>
          <w:p w14:paraId="247053A4">
            <w:pPr>
              <w:keepNext w:val="0"/>
              <w:keepLines w:val="0"/>
              <w:pageBreakBefore w:val="0"/>
              <w:widowControl/>
              <w:wordWrap/>
              <w:overflowPunct w:val="0"/>
              <w:topLinePunct w:val="0"/>
              <w:bidi w:val="0"/>
              <w:snapToGrid w:val="0"/>
              <w:spacing w:line="360" w:lineRule="auto"/>
              <w:rPr>
                <w:color w:val="auto"/>
              </w:rPr>
            </w:pPr>
          </w:p>
          <w:p w14:paraId="39D51032">
            <w:pPr>
              <w:keepNext w:val="0"/>
              <w:keepLines w:val="0"/>
              <w:pageBreakBefore w:val="0"/>
              <w:widowControl/>
              <w:wordWrap/>
              <w:overflowPunct w:val="0"/>
              <w:topLinePunct w:val="0"/>
              <w:bidi w:val="0"/>
              <w:snapToGrid w:val="0"/>
              <w:spacing w:line="360" w:lineRule="auto"/>
              <w:rPr>
                <w:color w:val="auto"/>
              </w:rPr>
            </w:pPr>
          </w:p>
          <w:p w14:paraId="37AAB3BC">
            <w:pPr>
              <w:keepNext w:val="0"/>
              <w:keepLines w:val="0"/>
              <w:pageBreakBefore w:val="0"/>
              <w:widowControl/>
              <w:wordWrap/>
              <w:overflowPunct w:val="0"/>
              <w:topLinePunct w:val="0"/>
              <w:bidi w:val="0"/>
              <w:snapToGrid w:val="0"/>
              <w:spacing w:line="360" w:lineRule="auto"/>
              <w:rPr>
                <w:color w:val="auto"/>
              </w:rPr>
            </w:pPr>
          </w:p>
          <w:p w14:paraId="7942C3F2">
            <w:pPr>
              <w:keepNext w:val="0"/>
              <w:keepLines w:val="0"/>
              <w:pageBreakBefore w:val="0"/>
              <w:widowControl/>
              <w:wordWrap/>
              <w:overflowPunct w:val="0"/>
              <w:topLinePunct w:val="0"/>
              <w:bidi w:val="0"/>
              <w:snapToGrid w:val="0"/>
              <w:spacing w:line="360" w:lineRule="auto"/>
              <w:rPr>
                <w:color w:val="auto"/>
              </w:rPr>
            </w:pPr>
          </w:p>
          <w:p w14:paraId="3CD4DA43">
            <w:pPr>
              <w:keepNext w:val="0"/>
              <w:keepLines w:val="0"/>
              <w:pageBreakBefore w:val="0"/>
              <w:widowControl/>
              <w:wordWrap/>
              <w:overflowPunct w:val="0"/>
              <w:topLinePunct w:val="0"/>
              <w:bidi w:val="0"/>
              <w:snapToGrid w:val="0"/>
              <w:spacing w:line="360" w:lineRule="auto"/>
              <w:rPr>
                <w:color w:val="auto"/>
              </w:rPr>
            </w:pPr>
          </w:p>
          <w:p w14:paraId="644836DA">
            <w:pPr>
              <w:keepNext w:val="0"/>
              <w:keepLines w:val="0"/>
              <w:pageBreakBefore w:val="0"/>
              <w:widowControl/>
              <w:wordWrap/>
              <w:overflowPunct w:val="0"/>
              <w:topLinePunct w:val="0"/>
              <w:bidi w:val="0"/>
              <w:snapToGrid w:val="0"/>
              <w:spacing w:line="360" w:lineRule="auto"/>
              <w:rPr>
                <w:color w:val="auto"/>
              </w:rPr>
            </w:pPr>
          </w:p>
          <w:p w14:paraId="67F65D11">
            <w:pPr>
              <w:keepNext w:val="0"/>
              <w:keepLines w:val="0"/>
              <w:pageBreakBefore w:val="0"/>
              <w:widowControl/>
              <w:wordWrap/>
              <w:overflowPunct w:val="0"/>
              <w:topLinePunct w:val="0"/>
              <w:bidi w:val="0"/>
              <w:snapToGrid w:val="0"/>
              <w:spacing w:line="360" w:lineRule="auto"/>
              <w:rPr>
                <w:color w:val="auto"/>
              </w:rPr>
            </w:pPr>
          </w:p>
          <w:p w14:paraId="27DD1FD0">
            <w:pPr>
              <w:keepNext w:val="0"/>
              <w:keepLines w:val="0"/>
              <w:pageBreakBefore w:val="0"/>
              <w:widowControl/>
              <w:wordWrap/>
              <w:overflowPunct w:val="0"/>
              <w:topLinePunct w:val="0"/>
              <w:bidi w:val="0"/>
              <w:snapToGrid w:val="0"/>
              <w:spacing w:line="360" w:lineRule="auto"/>
              <w:rPr>
                <w:color w:val="auto"/>
              </w:rPr>
            </w:pPr>
          </w:p>
          <w:p w14:paraId="79740810">
            <w:pPr>
              <w:pStyle w:val="27"/>
              <w:keepNext w:val="0"/>
              <w:keepLines w:val="0"/>
              <w:pageBreakBefore w:val="0"/>
              <w:widowControl/>
              <w:wordWrap/>
              <w:overflowPunct w:val="0"/>
              <w:topLinePunct w:val="0"/>
              <w:bidi w:val="0"/>
              <w:snapToGrid w:val="0"/>
              <w:spacing w:before="65" w:line="360" w:lineRule="auto"/>
              <w:ind w:left="111"/>
              <w:rPr>
                <w:color w:val="auto"/>
              </w:rPr>
            </w:pPr>
            <w:r>
              <w:rPr>
                <w:color w:val="auto"/>
                <w:spacing w:val="5"/>
              </w:rPr>
              <w:t>评标</w:t>
            </w:r>
          </w:p>
        </w:tc>
        <w:tc>
          <w:tcPr>
            <w:tcW w:w="7219" w:type="dxa"/>
            <w:gridSpan w:val="2"/>
            <w:tcMar>
              <w:top w:w="0" w:type="dxa"/>
              <w:left w:w="0" w:type="dxa"/>
              <w:bottom w:w="0" w:type="dxa"/>
              <w:right w:w="0" w:type="dxa"/>
            </w:tcMar>
          </w:tcPr>
          <w:p w14:paraId="47C874E9">
            <w:pPr>
              <w:pStyle w:val="27"/>
              <w:keepNext w:val="0"/>
              <w:keepLines w:val="0"/>
              <w:pageBreakBefore w:val="0"/>
              <w:widowControl/>
              <w:wordWrap/>
              <w:overflowPunct w:val="0"/>
              <w:topLinePunct w:val="0"/>
              <w:bidi w:val="0"/>
              <w:snapToGrid w:val="0"/>
              <w:spacing w:before="217" w:line="360" w:lineRule="auto"/>
              <w:ind w:left="113" w:right="107" w:firstLine="10"/>
              <w:rPr>
                <w:color w:val="auto"/>
                <w:lang w:eastAsia="zh-CN"/>
              </w:rPr>
            </w:pPr>
            <w:r>
              <w:rPr>
                <w:color w:val="auto"/>
                <w:spacing w:val="9"/>
                <w:lang w:eastAsia="zh-CN"/>
              </w:rPr>
              <w:t>（</w:t>
            </w:r>
            <w:r>
              <w:rPr>
                <w:rFonts w:ascii="Tahoma" w:hAnsi="Tahoma" w:eastAsia="Tahoma" w:cs="Tahoma"/>
                <w:color w:val="auto"/>
                <w:spacing w:val="9"/>
                <w:lang w:eastAsia="zh-CN"/>
              </w:rPr>
              <w:t>1</w:t>
            </w:r>
            <w:r>
              <w:rPr>
                <w:color w:val="auto"/>
                <w:spacing w:val="9"/>
                <w:lang w:eastAsia="zh-CN"/>
              </w:rPr>
              <w:t>）</w:t>
            </w:r>
            <w:r>
              <w:rPr>
                <w:color w:val="auto"/>
                <w:spacing w:val="-53"/>
                <w:lang w:eastAsia="zh-CN"/>
              </w:rPr>
              <w:t xml:space="preserve"> </w:t>
            </w:r>
            <w:r>
              <w:rPr>
                <w:color w:val="auto"/>
                <w:spacing w:val="9"/>
                <w:lang w:eastAsia="zh-CN"/>
              </w:rPr>
              <w:t>由评标委员会依据有关法律、法规及招标文件的要求，对符合资格的投标</w:t>
            </w:r>
            <w:r>
              <w:rPr>
                <w:color w:val="auto"/>
                <w:lang w:eastAsia="zh-CN"/>
              </w:rPr>
              <w:t xml:space="preserve"> </w:t>
            </w:r>
            <w:r>
              <w:rPr>
                <w:color w:val="auto"/>
                <w:spacing w:val="8"/>
                <w:lang w:eastAsia="zh-CN"/>
              </w:rPr>
              <w:t>人的投标文件进行符合性审查，以确定其是否满足招标文件的实质性要求。只有</w:t>
            </w:r>
            <w:r>
              <w:rPr>
                <w:color w:val="auto"/>
                <w:lang w:eastAsia="zh-CN"/>
              </w:rPr>
              <w:t xml:space="preserve"> </w:t>
            </w:r>
            <w:r>
              <w:rPr>
                <w:color w:val="auto"/>
                <w:spacing w:val="9"/>
                <w:lang w:eastAsia="zh-CN"/>
              </w:rPr>
              <w:t>通过符合性审查的投标人的投标文件才能进入下一阶段的评审！</w:t>
            </w:r>
          </w:p>
          <w:p w14:paraId="58076A84">
            <w:pPr>
              <w:pStyle w:val="27"/>
              <w:keepNext w:val="0"/>
              <w:keepLines w:val="0"/>
              <w:pageBreakBefore w:val="0"/>
              <w:widowControl/>
              <w:wordWrap/>
              <w:overflowPunct w:val="0"/>
              <w:topLinePunct w:val="0"/>
              <w:bidi w:val="0"/>
              <w:snapToGrid w:val="0"/>
              <w:spacing w:before="34" w:line="360" w:lineRule="auto"/>
              <w:ind w:left="114" w:right="107" w:firstLine="9"/>
              <w:rPr>
                <w:color w:val="auto"/>
                <w:lang w:eastAsia="zh-CN"/>
              </w:rPr>
            </w:pPr>
            <w:r>
              <w:rPr>
                <w:color w:val="auto"/>
                <w:spacing w:val="10"/>
                <w:lang w:eastAsia="zh-CN"/>
              </w:rPr>
              <w:t>（</w:t>
            </w:r>
            <w:r>
              <w:rPr>
                <w:rFonts w:ascii="Tahoma" w:hAnsi="Tahoma" w:eastAsia="Tahoma" w:cs="Tahoma"/>
                <w:color w:val="auto"/>
                <w:spacing w:val="10"/>
                <w:lang w:eastAsia="zh-CN"/>
              </w:rPr>
              <w:t>2</w:t>
            </w:r>
            <w:r>
              <w:rPr>
                <w:color w:val="auto"/>
                <w:spacing w:val="10"/>
                <w:lang w:eastAsia="zh-CN"/>
              </w:rPr>
              <w:t>）通过符合性审查的投标人的投标文件（投标文件满足招标文件全部实质性</w:t>
            </w:r>
            <w:r>
              <w:rPr>
                <w:color w:val="auto"/>
                <w:spacing w:val="12"/>
                <w:lang w:eastAsia="zh-CN"/>
              </w:rPr>
              <w:t xml:space="preserve"> </w:t>
            </w:r>
            <w:r>
              <w:rPr>
                <w:color w:val="auto"/>
                <w:spacing w:val="8"/>
                <w:lang w:eastAsia="zh-CN"/>
              </w:rPr>
              <w:t>要求）进一步进行审查，由评标委员会审查、评价投标文件是否符合招标文</w:t>
            </w:r>
            <w:r>
              <w:rPr>
                <w:color w:val="auto"/>
                <w:spacing w:val="7"/>
                <w:lang w:eastAsia="zh-CN"/>
              </w:rPr>
              <w:t>件的</w:t>
            </w:r>
            <w:r>
              <w:rPr>
                <w:color w:val="auto"/>
                <w:lang w:eastAsia="zh-CN"/>
              </w:rPr>
              <w:t xml:space="preserve"> </w:t>
            </w:r>
            <w:r>
              <w:rPr>
                <w:color w:val="auto"/>
                <w:spacing w:val="8"/>
                <w:lang w:eastAsia="zh-CN"/>
              </w:rPr>
              <w:t>商务、技术等实质性要求。</w:t>
            </w:r>
          </w:p>
          <w:p w14:paraId="68D9B613">
            <w:pPr>
              <w:pStyle w:val="27"/>
              <w:keepNext w:val="0"/>
              <w:keepLines w:val="0"/>
              <w:pageBreakBefore w:val="0"/>
              <w:widowControl/>
              <w:wordWrap/>
              <w:overflowPunct w:val="0"/>
              <w:topLinePunct w:val="0"/>
              <w:bidi w:val="0"/>
              <w:snapToGrid w:val="0"/>
              <w:spacing w:before="33" w:line="360" w:lineRule="auto"/>
              <w:ind w:left="113" w:right="107" w:firstLine="10"/>
              <w:rPr>
                <w:color w:val="auto"/>
                <w:lang w:eastAsia="zh-CN"/>
              </w:rPr>
            </w:pPr>
            <w:r>
              <w:rPr>
                <w:color w:val="auto"/>
                <w:spacing w:val="10"/>
                <w:lang w:eastAsia="zh-CN"/>
              </w:rPr>
              <w:t>（</w:t>
            </w:r>
            <w:r>
              <w:rPr>
                <w:rFonts w:ascii="Tahoma" w:hAnsi="Tahoma" w:eastAsia="Tahoma" w:cs="Tahoma"/>
                <w:color w:val="auto"/>
                <w:spacing w:val="10"/>
                <w:lang w:eastAsia="zh-CN"/>
              </w:rPr>
              <w:t>3</w:t>
            </w:r>
            <w:r>
              <w:rPr>
                <w:color w:val="auto"/>
                <w:spacing w:val="10"/>
                <w:lang w:eastAsia="zh-CN"/>
              </w:rPr>
              <w:t>）评标委员会应当按照招标文件中规定的评标方法和标准，对符合性审查合</w:t>
            </w:r>
            <w:r>
              <w:rPr>
                <w:color w:val="auto"/>
                <w:spacing w:val="9"/>
                <w:lang w:eastAsia="zh-CN"/>
              </w:rPr>
              <w:t>格的投标文件进行商务和技术评估，综合比较与评价。</w:t>
            </w:r>
          </w:p>
          <w:p w14:paraId="7F95CF61">
            <w:pPr>
              <w:pStyle w:val="27"/>
              <w:keepNext w:val="0"/>
              <w:keepLines w:val="0"/>
              <w:pageBreakBefore w:val="0"/>
              <w:widowControl/>
              <w:wordWrap/>
              <w:overflowPunct w:val="0"/>
              <w:topLinePunct w:val="0"/>
              <w:bidi w:val="0"/>
              <w:snapToGrid w:val="0"/>
              <w:spacing w:before="34" w:line="360" w:lineRule="auto"/>
              <w:ind w:left="112" w:right="107" w:firstLine="10"/>
              <w:rPr>
                <w:color w:val="auto"/>
                <w:lang w:eastAsia="zh-CN"/>
              </w:rPr>
            </w:pPr>
            <w:r>
              <w:rPr>
                <w:color w:val="auto"/>
                <w:spacing w:val="10"/>
                <w:lang w:eastAsia="zh-CN"/>
              </w:rPr>
              <w:t>（</w:t>
            </w:r>
            <w:r>
              <w:rPr>
                <w:rFonts w:ascii="Tahoma" w:hAnsi="Tahoma" w:eastAsia="Tahoma" w:cs="Tahoma"/>
                <w:color w:val="auto"/>
                <w:spacing w:val="10"/>
                <w:lang w:eastAsia="zh-CN"/>
              </w:rPr>
              <w:t>4</w:t>
            </w:r>
            <w:r>
              <w:rPr>
                <w:color w:val="auto"/>
                <w:spacing w:val="10"/>
                <w:lang w:eastAsia="zh-CN"/>
              </w:rPr>
              <w:t>）评标委员会按招标文件规定的评审因素和量化指标由评标委员会采用综合</w:t>
            </w:r>
            <w:r>
              <w:rPr>
                <w:color w:val="auto"/>
                <w:spacing w:val="8"/>
                <w:lang w:eastAsia="zh-CN"/>
              </w:rPr>
              <w:t>评分法对投标文件进行综合评分。评审时，各成员应当独立对每个全部实质性响</w:t>
            </w:r>
            <w:r>
              <w:rPr>
                <w:color w:val="auto"/>
                <w:lang w:eastAsia="zh-CN"/>
              </w:rPr>
              <w:t xml:space="preserve"> </w:t>
            </w:r>
            <w:r>
              <w:rPr>
                <w:color w:val="auto"/>
                <w:spacing w:val="9"/>
                <w:lang w:eastAsia="zh-CN"/>
              </w:rPr>
              <w:t>应的投标文件进行评价、打分，然后汇总每个</w:t>
            </w:r>
            <w:r>
              <w:rPr>
                <w:rFonts w:hint="eastAsia"/>
                <w:color w:val="auto"/>
                <w:spacing w:val="9"/>
                <w:lang w:eastAsia="zh-CN"/>
              </w:rPr>
              <w:t>服务商</w:t>
            </w:r>
            <w:r>
              <w:rPr>
                <w:color w:val="auto"/>
                <w:spacing w:val="9"/>
                <w:lang w:eastAsia="zh-CN"/>
              </w:rPr>
              <w:t>每项评分因素的得分。</w:t>
            </w:r>
          </w:p>
          <w:p w14:paraId="16C1CC45">
            <w:pPr>
              <w:pStyle w:val="27"/>
              <w:keepNext w:val="0"/>
              <w:keepLines w:val="0"/>
              <w:pageBreakBefore w:val="0"/>
              <w:widowControl/>
              <w:wordWrap/>
              <w:overflowPunct w:val="0"/>
              <w:topLinePunct w:val="0"/>
              <w:bidi w:val="0"/>
              <w:snapToGrid w:val="0"/>
              <w:spacing w:before="35" w:line="360" w:lineRule="auto"/>
              <w:ind w:left="112" w:right="107" w:firstLine="10"/>
              <w:rPr>
                <w:color w:val="auto"/>
                <w:lang w:eastAsia="zh-CN"/>
              </w:rPr>
            </w:pPr>
            <w:r>
              <w:rPr>
                <w:color w:val="auto"/>
                <w:spacing w:val="10"/>
                <w:lang w:eastAsia="zh-CN"/>
              </w:rPr>
              <w:t>（</w:t>
            </w:r>
            <w:r>
              <w:rPr>
                <w:rFonts w:ascii="Tahoma" w:hAnsi="Tahoma" w:eastAsia="Tahoma" w:cs="Tahoma"/>
                <w:color w:val="auto"/>
                <w:spacing w:val="10"/>
                <w:lang w:eastAsia="zh-CN"/>
              </w:rPr>
              <w:t>5</w:t>
            </w:r>
            <w:r>
              <w:rPr>
                <w:color w:val="auto"/>
                <w:spacing w:val="10"/>
                <w:lang w:eastAsia="zh-CN"/>
              </w:rPr>
              <w:t>）各投标人的投标文件将提交评标委员会审核。投标人应对其提交的投标文</w:t>
            </w:r>
            <w:r>
              <w:rPr>
                <w:color w:val="auto"/>
                <w:spacing w:val="8"/>
                <w:lang w:eastAsia="zh-CN"/>
              </w:rPr>
              <w:t>件中资料的真实性、合法性负责并承担相应的法律责任，即使投标人所提交的投标文件通过了审查，乃至已确定了成交</w:t>
            </w:r>
            <w:r>
              <w:rPr>
                <w:rFonts w:hint="eastAsia"/>
                <w:color w:val="auto"/>
                <w:spacing w:val="8"/>
                <w:lang w:eastAsia="zh-CN"/>
              </w:rPr>
              <w:t>服务商</w:t>
            </w:r>
            <w:r>
              <w:rPr>
                <w:color w:val="auto"/>
                <w:spacing w:val="8"/>
                <w:lang w:eastAsia="zh-CN"/>
              </w:rPr>
              <w:t>后，如发现投标人所提供的资格类文件不合法或不真实，或存在虚假资料的，仍可废除其成交资格并追究成交</w:t>
            </w:r>
            <w:r>
              <w:rPr>
                <w:rFonts w:hint="eastAsia"/>
                <w:color w:val="auto"/>
                <w:spacing w:val="8"/>
                <w:lang w:eastAsia="zh-CN"/>
              </w:rPr>
              <w:t>服务商</w:t>
            </w:r>
            <w:r>
              <w:rPr>
                <w:color w:val="auto"/>
                <w:spacing w:val="7"/>
                <w:lang w:eastAsia="zh-CN"/>
              </w:rPr>
              <w:t>的法律责任。</w:t>
            </w:r>
          </w:p>
        </w:tc>
      </w:tr>
      <w:tr w14:paraId="2B6CBD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28" w:type="dxa"/>
            <w:gridSpan w:val="2"/>
            <w:tcMar>
              <w:top w:w="0" w:type="dxa"/>
              <w:left w:w="0" w:type="dxa"/>
              <w:bottom w:w="0" w:type="dxa"/>
              <w:right w:w="0" w:type="dxa"/>
            </w:tcMar>
          </w:tcPr>
          <w:p w14:paraId="2D6A2C0E">
            <w:pPr>
              <w:keepNext w:val="0"/>
              <w:keepLines w:val="0"/>
              <w:pageBreakBefore w:val="0"/>
              <w:widowControl/>
              <w:wordWrap/>
              <w:overflowPunct w:val="0"/>
              <w:topLinePunct w:val="0"/>
              <w:bidi w:val="0"/>
              <w:snapToGrid w:val="0"/>
              <w:spacing w:before="60" w:line="360" w:lineRule="auto"/>
              <w:ind w:left="235"/>
              <w:rPr>
                <w:rFonts w:ascii="Tahoma" w:hAnsi="Tahoma" w:eastAsia="宋体" w:cs="Tahoma"/>
                <w:color w:val="auto"/>
                <w:sz w:val="20"/>
                <w:szCs w:val="20"/>
                <w:lang w:eastAsia="zh-CN"/>
              </w:rPr>
            </w:pPr>
            <w:r>
              <w:rPr>
                <w:rFonts w:hint="eastAsia" w:ascii="Tahoma" w:hAnsi="Tahoma" w:eastAsia="宋体" w:cs="Tahoma"/>
                <w:color w:val="auto"/>
                <w:spacing w:val="1"/>
                <w:sz w:val="20"/>
                <w:szCs w:val="20"/>
                <w:lang w:eastAsia="zh-CN"/>
              </w:rPr>
              <w:t>15</w:t>
            </w:r>
          </w:p>
        </w:tc>
        <w:tc>
          <w:tcPr>
            <w:tcW w:w="1673" w:type="dxa"/>
            <w:gridSpan w:val="3"/>
            <w:tcMar>
              <w:top w:w="0" w:type="dxa"/>
              <w:left w:w="0" w:type="dxa"/>
              <w:bottom w:w="0" w:type="dxa"/>
              <w:right w:w="0" w:type="dxa"/>
            </w:tcMar>
          </w:tcPr>
          <w:p w14:paraId="3FFA86FE">
            <w:pPr>
              <w:pStyle w:val="27"/>
              <w:keepNext w:val="0"/>
              <w:keepLines w:val="0"/>
              <w:pageBreakBefore w:val="0"/>
              <w:widowControl/>
              <w:wordWrap/>
              <w:overflowPunct w:val="0"/>
              <w:topLinePunct w:val="0"/>
              <w:bidi w:val="0"/>
              <w:snapToGrid w:val="0"/>
              <w:spacing w:before="65" w:line="360" w:lineRule="auto"/>
              <w:ind w:left="113"/>
              <w:rPr>
                <w:color w:val="auto"/>
              </w:rPr>
            </w:pPr>
            <w:r>
              <w:rPr>
                <w:color w:val="auto"/>
                <w:spacing w:val="7"/>
              </w:rPr>
              <w:t>符合性要求</w:t>
            </w:r>
          </w:p>
        </w:tc>
        <w:tc>
          <w:tcPr>
            <w:tcW w:w="7201" w:type="dxa"/>
            <w:tcMar>
              <w:top w:w="0" w:type="dxa"/>
              <w:left w:w="0" w:type="dxa"/>
              <w:bottom w:w="0" w:type="dxa"/>
              <w:right w:w="0" w:type="dxa"/>
            </w:tcMar>
          </w:tcPr>
          <w:p w14:paraId="3449E884">
            <w:pPr>
              <w:pStyle w:val="27"/>
              <w:keepNext w:val="0"/>
              <w:keepLines w:val="0"/>
              <w:pageBreakBefore w:val="0"/>
              <w:widowControl/>
              <w:wordWrap/>
              <w:overflowPunct w:val="0"/>
              <w:topLinePunct w:val="0"/>
              <w:bidi w:val="0"/>
              <w:snapToGrid w:val="0"/>
              <w:spacing w:before="101" w:line="360" w:lineRule="auto"/>
              <w:ind w:left="114" w:right="158" w:firstLine="1"/>
              <w:rPr>
                <w:color w:val="auto"/>
                <w:lang w:eastAsia="zh-CN"/>
              </w:rPr>
            </w:pPr>
            <w:r>
              <w:rPr>
                <w:color w:val="auto"/>
                <w:spacing w:val="12"/>
                <w:lang w:eastAsia="zh-CN"/>
                <w14:textOutline w14:w="3797" w14:cap="sq" w14:cmpd="sng" w14:algn="ctr">
                  <w14:solidFill>
                    <w14:srgbClr w14:val="000000"/>
                  </w14:solidFill>
                  <w14:prstDash w14:val="solid"/>
                  <w14:bevel/>
                </w14:textOutline>
              </w:rPr>
              <w:t>投标人存在下列情况之一的，投标文件将被视为未实质性响应招</w:t>
            </w:r>
            <w:r>
              <w:rPr>
                <w:color w:val="auto"/>
                <w:spacing w:val="11"/>
                <w:lang w:eastAsia="zh-CN"/>
                <w14:textOutline w14:w="3797" w14:cap="sq" w14:cmpd="sng" w14:algn="ctr">
                  <w14:solidFill>
                    <w14:srgbClr w14:val="000000"/>
                  </w14:solidFill>
                  <w14:prstDash w14:val="solid"/>
                  <w14:bevel/>
                </w14:textOutline>
              </w:rPr>
              <w:t>标文件要求，</w:t>
            </w:r>
            <w:r>
              <w:rPr>
                <w:color w:val="auto"/>
                <w:lang w:eastAsia="zh-CN"/>
              </w:rPr>
              <w:t xml:space="preserve"> </w:t>
            </w:r>
            <w:r>
              <w:rPr>
                <w:color w:val="auto"/>
                <w:spacing w:val="7"/>
                <w:lang w:eastAsia="zh-CN"/>
                <w14:textOutline w14:w="3797" w14:cap="sq" w14:cmpd="sng" w14:algn="ctr">
                  <w14:solidFill>
                    <w14:srgbClr w14:val="000000"/>
                  </w14:solidFill>
                  <w14:prstDash w14:val="solid"/>
                  <w14:bevel/>
                </w14:textOutline>
              </w:rPr>
              <w:t>其投标无效：</w:t>
            </w:r>
          </w:p>
          <w:p w14:paraId="665AF96D">
            <w:pPr>
              <w:pStyle w:val="27"/>
              <w:keepNext w:val="0"/>
              <w:keepLines w:val="0"/>
              <w:pageBreakBefore w:val="0"/>
              <w:widowControl/>
              <w:wordWrap/>
              <w:overflowPunct w:val="0"/>
              <w:topLinePunct w:val="0"/>
              <w:bidi w:val="0"/>
              <w:snapToGrid w:val="0"/>
              <w:spacing w:before="34" w:line="360" w:lineRule="auto"/>
              <w:ind w:left="112" w:right="110" w:firstLine="219"/>
              <w:rPr>
                <w:color w:val="auto"/>
                <w:lang w:eastAsia="zh-CN"/>
              </w:rPr>
            </w:pPr>
            <w:r>
              <w:rPr>
                <w:color w:val="auto"/>
                <w:spacing w:val="10"/>
                <w:lang w:eastAsia="zh-CN"/>
              </w:rPr>
              <w:t>（</w:t>
            </w:r>
            <w:r>
              <w:rPr>
                <w:rFonts w:ascii="Tahoma" w:hAnsi="Tahoma" w:eastAsia="Tahoma" w:cs="Tahoma"/>
                <w:color w:val="auto"/>
                <w:spacing w:val="10"/>
                <w:lang w:eastAsia="zh-CN"/>
              </w:rPr>
              <w:t>1</w:t>
            </w:r>
            <w:r>
              <w:rPr>
                <w:color w:val="auto"/>
                <w:spacing w:val="10"/>
                <w:lang w:eastAsia="zh-CN"/>
              </w:rPr>
              <w:t>）不具备招标文件中规定的资格要求的</w:t>
            </w:r>
            <w:r>
              <w:rPr>
                <w:color w:val="auto"/>
                <w:spacing w:val="9"/>
                <w:lang w:eastAsia="zh-CN"/>
              </w:rPr>
              <w:t>，或投标文件中提供的资格证明文</w:t>
            </w:r>
            <w:r>
              <w:rPr>
                <w:color w:val="auto"/>
                <w:spacing w:val="7"/>
                <w:lang w:eastAsia="zh-CN"/>
              </w:rPr>
              <w:t>件与原件不一致的；</w:t>
            </w:r>
          </w:p>
          <w:p w14:paraId="273C66AC">
            <w:pPr>
              <w:pStyle w:val="27"/>
              <w:keepNext w:val="0"/>
              <w:keepLines w:val="0"/>
              <w:pageBreakBefore w:val="0"/>
              <w:widowControl/>
              <w:wordWrap/>
              <w:overflowPunct w:val="0"/>
              <w:topLinePunct w:val="0"/>
              <w:bidi w:val="0"/>
              <w:snapToGrid w:val="0"/>
              <w:spacing w:line="360" w:lineRule="auto"/>
              <w:ind w:left="332"/>
              <w:rPr>
                <w:color w:val="auto"/>
                <w:lang w:eastAsia="zh-CN"/>
              </w:rPr>
            </w:pPr>
            <w:r>
              <w:rPr>
                <w:color w:val="auto"/>
                <w:spacing w:val="8"/>
                <w:lang w:eastAsia="zh-CN"/>
              </w:rPr>
              <w:t>（</w:t>
            </w:r>
            <w:r>
              <w:rPr>
                <w:rFonts w:hint="eastAsia" w:ascii="Tahoma" w:hAnsi="Tahoma" w:eastAsia="Tahoma" w:cs="Tahoma"/>
                <w:color w:val="auto"/>
                <w:spacing w:val="8"/>
                <w:lang w:eastAsia="zh-CN"/>
              </w:rPr>
              <w:t>2</w:t>
            </w:r>
            <w:r>
              <w:rPr>
                <w:color w:val="auto"/>
                <w:spacing w:val="8"/>
                <w:lang w:eastAsia="zh-CN"/>
              </w:rPr>
              <w:t>）投标文件未按招标文件要求签署、盖章的；</w:t>
            </w:r>
          </w:p>
          <w:p w14:paraId="2B083A41">
            <w:pPr>
              <w:pStyle w:val="27"/>
              <w:keepNext w:val="0"/>
              <w:keepLines w:val="0"/>
              <w:pageBreakBefore w:val="0"/>
              <w:widowControl/>
              <w:wordWrap/>
              <w:overflowPunct w:val="0"/>
              <w:topLinePunct w:val="0"/>
              <w:bidi w:val="0"/>
              <w:snapToGrid w:val="0"/>
              <w:spacing w:before="32" w:line="360" w:lineRule="auto"/>
              <w:ind w:left="332"/>
              <w:rPr>
                <w:color w:val="auto"/>
                <w:lang w:eastAsia="zh-CN"/>
              </w:rPr>
            </w:pPr>
            <w:r>
              <w:rPr>
                <w:color w:val="auto"/>
                <w:spacing w:val="8"/>
                <w:lang w:eastAsia="zh-CN"/>
              </w:rPr>
              <w:t>（</w:t>
            </w:r>
            <w:r>
              <w:rPr>
                <w:rFonts w:hint="eastAsia" w:ascii="Tahoma" w:hAnsi="Tahoma" w:eastAsia="Tahoma" w:cs="Tahoma"/>
                <w:color w:val="auto"/>
                <w:spacing w:val="8"/>
                <w:lang w:eastAsia="zh-CN"/>
              </w:rPr>
              <w:t>3</w:t>
            </w:r>
            <w:r>
              <w:rPr>
                <w:color w:val="auto"/>
                <w:spacing w:val="8"/>
                <w:lang w:eastAsia="zh-CN"/>
              </w:rPr>
              <w:t>）未按照招标文件的规定提交投标保证金的；</w:t>
            </w:r>
          </w:p>
          <w:p w14:paraId="0BD0E296">
            <w:pPr>
              <w:pStyle w:val="27"/>
              <w:keepNext w:val="0"/>
              <w:keepLines w:val="0"/>
              <w:pageBreakBefore w:val="0"/>
              <w:widowControl/>
              <w:wordWrap/>
              <w:overflowPunct w:val="0"/>
              <w:topLinePunct w:val="0"/>
              <w:bidi w:val="0"/>
              <w:snapToGrid w:val="0"/>
              <w:spacing w:before="34" w:line="360" w:lineRule="auto"/>
              <w:ind w:left="332"/>
              <w:rPr>
                <w:color w:val="auto"/>
                <w:lang w:eastAsia="zh-CN"/>
              </w:rPr>
            </w:pPr>
            <w:r>
              <w:rPr>
                <w:color w:val="auto"/>
                <w:spacing w:val="8"/>
                <w:position w:val="5"/>
                <w:lang w:eastAsia="zh-CN"/>
              </w:rPr>
              <w:t>（</w:t>
            </w:r>
            <w:r>
              <w:rPr>
                <w:rFonts w:hint="eastAsia" w:ascii="Tahoma" w:hAnsi="Tahoma" w:eastAsia="Tahoma" w:cs="Tahoma"/>
                <w:color w:val="auto"/>
                <w:spacing w:val="8"/>
                <w:position w:val="5"/>
                <w:lang w:eastAsia="zh-CN"/>
              </w:rPr>
              <w:t>4</w:t>
            </w:r>
            <w:r>
              <w:rPr>
                <w:color w:val="auto"/>
                <w:spacing w:val="8"/>
                <w:position w:val="5"/>
                <w:lang w:eastAsia="zh-CN"/>
              </w:rPr>
              <w:t>）投标文件含有采购人不能接受的附加条件的；</w:t>
            </w:r>
          </w:p>
          <w:p w14:paraId="7D422417">
            <w:pPr>
              <w:pStyle w:val="27"/>
              <w:keepNext w:val="0"/>
              <w:keepLines w:val="0"/>
              <w:pageBreakBefore w:val="0"/>
              <w:widowControl/>
              <w:wordWrap/>
              <w:overflowPunct w:val="0"/>
              <w:topLinePunct w:val="0"/>
              <w:bidi w:val="0"/>
              <w:snapToGrid w:val="0"/>
              <w:spacing w:before="1" w:line="360" w:lineRule="auto"/>
              <w:ind w:left="332"/>
              <w:rPr>
                <w:color w:val="auto"/>
                <w:lang w:eastAsia="zh-CN"/>
              </w:rPr>
            </w:pPr>
            <w:r>
              <w:rPr>
                <w:color w:val="auto"/>
                <w:spacing w:val="8"/>
                <w:lang w:eastAsia="zh-CN"/>
              </w:rPr>
              <w:t>（</w:t>
            </w:r>
            <w:r>
              <w:rPr>
                <w:rFonts w:hint="eastAsia" w:ascii="Tahoma" w:hAnsi="Tahoma" w:eastAsia="Tahoma" w:cs="Tahoma"/>
                <w:color w:val="auto"/>
                <w:spacing w:val="8"/>
                <w:lang w:eastAsia="zh-CN"/>
              </w:rPr>
              <w:t>5</w:t>
            </w:r>
            <w:r>
              <w:rPr>
                <w:color w:val="auto"/>
                <w:spacing w:val="8"/>
                <w:lang w:eastAsia="zh-CN"/>
              </w:rPr>
              <w:t>）投标有效期不满足招标文件要求的；</w:t>
            </w:r>
          </w:p>
          <w:p w14:paraId="2DFEE0E2">
            <w:pPr>
              <w:pStyle w:val="27"/>
              <w:keepNext w:val="0"/>
              <w:keepLines w:val="0"/>
              <w:pageBreakBefore w:val="0"/>
              <w:widowControl/>
              <w:wordWrap/>
              <w:overflowPunct w:val="0"/>
              <w:topLinePunct w:val="0"/>
              <w:bidi w:val="0"/>
              <w:snapToGrid w:val="0"/>
              <w:spacing w:before="31" w:line="360" w:lineRule="auto"/>
              <w:ind w:left="115" w:right="110" w:firstLine="217"/>
              <w:rPr>
                <w:b/>
                <w:bCs/>
                <w:color w:val="auto"/>
                <w:lang w:eastAsia="zh-CN"/>
              </w:rPr>
            </w:pPr>
            <w:r>
              <w:rPr>
                <w:color w:val="auto"/>
                <w:spacing w:val="10"/>
                <w:lang w:eastAsia="zh-CN"/>
              </w:rPr>
              <w:t>（</w:t>
            </w:r>
            <w:r>
              <w:rPr>
                <w:rFonts w:hint="eastAsia" w:ascii="Tahoma" w:hAnsi="Tahoma" w:eastAsia="Tahoma" w:cs="Tahoma"/>
                <w:color w:val="auto"/>
                <w:spacing w:val="10"/>
                <w:lang w:eastAsia="zh-CN"/>
              </w:rPr>
              <w:t>6</w:t>
            </w:r>
            <w:r>
              <w:rPr>
                <w:color w:val="auto"/>
                <w:spacing w:val="10"/>
                <w:lang w:eastAsia="zh-CN"/>
              </w:rPr>
              <w:t>）报价超过招标文件中规定的预算金额</w:t>
            </w:r>
            <w:r>
              <w:rPr>
                <w:color w:val="auto"/>
                <w:spacing w:val="9"/>
                <w:lang w:eastAsia="zh-CN"/>
              </w:rPr>
              <w:t>或者最高限价的；或提供的报价是</w:t>
            </w:r>
            <w:r>
              <w:rPr>
                <w:color w:val="auto"/>
                <w:spacing w:val="8"/>
                <w:lang w:eastAsia="zh-CN"/>
              </w:rPr>
              <w:t>可供选择的（不是唯一报价</w:t>
            </w:r>
            <w:r>
              <w:rPr>
                <w:color w:val="auto"/>
                <w:spacing w:val="5"/>
                <w:lang w:eastAsia="zh-CN"/>
              </w:rPr>
              <w:t>）；</w:t>
            </w:r>
            <w:r>
              <w:rPr>
                <w:rFonts w:hint="eastAsia"/>
                <w:b/>
                <w:bCs/>
                <w:color w:val="auto"/>
                <w:spacing w:val="5"/>
                <w:lang w:eastAsia="zh-CN"/>
              </w:rPr>
              <w:t>对于出现的政采云平台开标唱标环节经投标供应商确认的投标报价与响应文件中开标一览表的报价不一致的现象，视作选择性报价，将被作为无效投标处理。</w:t>
            </w:r>
          </w:p>
          <w:p w14:paraId="48CAB3D8">
            <w:pPr>
              <w:pStyle w:val="27"/>
              <w:keepNext w:val="0"/>
              <w:keepLines w:val="0"/>
              <w:pageBreakBefore w:val="0"/>
              <w:widowControl/>
              <w:wordWrap/>
              <w:overflowPunct w:val="0"/>
              <w:topLinePunct w:val="0"/>
              <w:bidi w:val="0"/>
              <w:snapToGrid w:val="0"/>
              <w:spacing w:before="36" w:line="360" w:lineRule="auto"/>
              <w:ind w:left="115" w:right="22" w:firstLine="217"/>
              <w:rPr>
                <w:color w:val="auto"/>
                <w:lang w:eastAsia="zh-CN"/>
              </w:rPr>
            </w:pPr>
            <w:r>
              <w:rPr>
                <w:color w:val="auto"/>
                <w:spacing w:val="10"/>
                <w:lang w:eastAsia="zh-CN"/>
              </w:rPr>
              <w:t>（</w:t>
            </w:r>
            <w:r>
              <w:rPr>
                <w:rFonts w:hint="eastAsia" w:ascii="Tahoma" w:hAnsi="Tahoma" w:eastAsia="Tahoma" w:cs="Tahoma"/>
                <w:color w:val="auto"/>
                <w:spacing w:val="10"/>
                <w:lang w:eastAsia="zh-CN"/>
              </w:rPr>
              <w:t>7</w:t>
            </w:r>
            <w:r>
              <w:rPr>
                <w:color w:val="auto"/>
                <w:spacing w:val="10"/>
                <w:lang w:eastAsia="zh-CN"/>
              </w:rPr>
              <w:t>）</w:t>
            </w:r>
            <w:r>
              <w:rPr>
                <w:rFonts w:hint="eastAsia"/>
                <w:color w:val="auto"/>
                <w:spacing w:val="10"/>
                <w:lang w:eastAsia="zh-CN"/>
              </w:rPr>
              <w:t>服务商</w:t>
            </w:r>
            <w:r>
              <w:rPr>
                <w:color w:val="auto"/>
                <w:spacing w:val="10"/>
                <w:lang w:eastAsia="zh-CN"/>
              </w:rPr>
              <w:t>未进行分项报价或分项报价的构成</w:t>
            </w:r>
            <w:r>
              <w:rPr>
                <w:color w:val="auto"/>
                <w:spacing w:val="9"/>
                <w:lang w:eastAsia="zh-CN"/>
              </w:rPr>
              <w:t>未能准确全部反映产品价格组</w:t>
            </w:r>
            <w:r>
              <w:rPr>
                <w:color w:val="auto"/>
                <w:spacing w:val="4"/>
                <w:lang w:eastAsia="zh-CN"/>
              </w:rPr>
              <w:t>成或有所隐含，有可能致使在合同履行过程中引起纠纷（非正常的追加</w:t>
            </w:r>
            <w:r>
              <w:rPr>
                <w:color w:val="auto"/>
                <w:spacing w:val="3"/>
                <w:lang w:eastAsia="zh-CN"/>
              </w:rPr>
              <w:t>或索赔等）</w:t>
            </w:r>
            <w:r>
              <w:rPr>
                <w:color w:val="auto"/>
                <w:lang w:eastAsia="zh-CN"/>
              </w:rPr>
              <w:t xml:space="preserve"> </w:t>
            </w:r>
            <w:r>
              <w:rPr>
                <w:color w:val="auto"/>
                <w:spacing w:val="7"/>
                <w:lang w:eastAsia="zh-CN"/>
              </w:rPr>
              <w:t>或不能诚信履约的；</w:t>
            </w:r>
          </w:p>
          <w:p w14:paraId="58EAD282">
            <w:pPr>
              <w:pStyle w:val="27"/>
              <w:keepNext w:val="0"/>
              <w:keepLines w:val="0"/>
              <w:pageBreakBefore w:val="0"/>
              <w:widowControl/>
              <w:wordWrap/>
              <w:overflowPunct w:val="0"/>
              <w:topLinePunct w:val="0"/>
              <w:bidi w:val="0"/>
              <w:snapToGrid w:val="0"/>
              <w:spacing w:before="36" w:line="360" w:lineRule="auto"/>
              <w:ind w:left="115" w:right="22" w:firstLine="217"/>
              <w:rPr>
                <w:color w:val="auto"/>
                <w:spacing w:val="9"/>
                <w:lang w:eastAsia="zh-CN"/>
              </w:rPr>
            </w:pPr>
            <w:r>
              <w:rPr>
                <w:color w:val="auto"/>
                <w:spacing w:val="10"/>
                <w:lang w:eastAsia="zh-CN"/>
              </w:rPr>
              <w:t>（</w:t>
            </w:r>
            <w:r>
              <w:rPr>
                <w:rFonts w:hint="eastAsia" w:ascii="Tahoma" w:hAnsi="Tahoma" w:eastAsia="Tahoma" w:cs="Tahoma"/>
                <w:color w:val="auto"/>
                <w:spacing w:val="10"/>
                <w:lang w:eastAsia="zh-CN"/>
              </w:rPr>
              <w:t>8</w:t>
            </w:r>
            <w:r>
              <w:rPr>
                <w:color w:val="auto"/>
                <w:spacing w:val="10"/>
                <w:lang w:eastAsia="zh-CN"/>
              </w:rPr>
              <w:t>）</w:t>
            </w:r>
            <w:r>
              <w:rPr>
                <w:color w:val="auto"/>
                <w:spacing w:val="9"/>
                <w:lang w:eastAsia="zh-CN"/>
              </w:rPr>
              <w:t xml:space="preserve">投标文件的内容与采购内容及要求有重大偏离或保留的； </w:t>
            </w:r>
          </w:p>
          <w:p w14:paraId="1E1CCA38">
            <w:pPr>
              <w:pStyle w:val="27"/>
              <w:keepNext w:val="0"/>
              <w:keepLines w:val="0"/>
              <w:pageBreakBefore w:val="0"/>
              <w:widowControl/>
              <w:wordWrap/>
              <w:overflowPunct w:val="0"/>
              <w:topLinePunct w:val="0"/>
              <w:bidi w:val="0"/>
              <w:snapToGrid w:val="0"/>
              <w:spacing w:before="35" w:line="360" w:lineRule="auto"/>
              <w:ind w:left="332"/>
              <w:rPr>
                <w:color w:val="auto"/>
                <w:lang w:eastAsia="zh-CN"/>
              </w:rPr>
            </w:pPr>
            <w:r>
              <w:rPr>
                <w:color w:val="auto"/>
                <w:spacing w:val="8"/>
                <w:position w:val="5"/>
                <w:lang w:eastAsia="zh-CN"/>
              </w:rPr>
              <w:t>（</w:t>
            </w:r>
            <w:r>
              <w:rPr>
                <w:rFonts w:hint="eastAsia" w:ascii="Tahoma" w:hAnsi="Tahoma" w:eastAsia="Tahoma" w:cs="Tahoma"/>
                <w:color w:val="auto"/>
                <w:spacing w:val="8"/>
                <w:position w:val="5"/>
                <w:lang w:eastAsia="zh-CN"/>
              </w:rPr>
              <w:t>9</w:t>
            </w:r>
            <w:r>
              <w:rPr>
                <w:color w:val="auto"/>
                <w:spacing w:val="8"/>
                <w:position w:val="5"/>
                <w:lang w:eastAsia="zh-CN"/>
              </w:rPr>
              <w:t>）投标文件的内容组成不符合招标文件要求的；</w:t>
            </w:r>
          </w:p>
          <w:p w14:paraId="663E631D">
            <w:pPr>
              <w:pStyle w:val="27"/>
              <w:keepNext w:val="0"/>
              <w:keepLines w:val="0"/>
              <w:pageBreakBefore w:val="0"/>
              <w:widowControl/>
              <w:wordWrap/>
              <w:overflowPunct w:val="0"/>
              <w:topLinePunct w:val="0"/>
              <w:bidi w:val="0"/>
              <w:snapToGrid w:val="0"/>
              <w:spacing w:before="1" w:line="360" w:lineRule="auto"/>
              <w:ind w:left="332"/>
              <w:rPr>
                <w:color w:val="auto"/>
                <w:lang w:eastAsia="zh-CN"/>
              </w:rPr>
            </w:pPr>
            <w:r>
              <w:rPr>
                <w:color w:val="auto"/>
                <w:spacing w:val="8"/>
                <w:lang w:eastAsia="zh-CN"/>
              </w:rPr>
              <w:t>（</w:t>
            </w:r>
            <w:r>
              <w:rPr>
                <w:rFonts w:hint="eastAsia" w:ascii="Tahoma" w:hAnsi="Tahoma" w:eastAsia="Tahoma" w:cs="Tahoma"/>
                <w:color w:val="auto"/>
                <w:spacing w:val="8"/>
                <w:lang w:eastAsia="zh-CN"/>
              </w:rPr>
              <w:t>10</w:t>
            </w:r>
            <w:r>
              <w:rPr>
                <w:color w:val="auto"/>
                <w:spacing w:val="8"/>
                <w:lang w:eastAsia="zh-CN"/>
              </w:rPr>
              <w:t>）投标文件中提供虚假或失实资料的；</w:t>
            </w:r>
          </w:p>
          <w:p w14:paraId="350983E9">
            <w:pPr>
              <w:pStyle w:val="27"/>
              <w:keepNext w:val="0"/>
              <w:keepLines w:val="0"/>
              <w:pageBreakBefore w:val="0"/>
              <w:widowControl/>
              <w:wordWrap/>
              <w:overflowPunct w:val="0"/>
              <w:topLinePunct w:val="0"/>
              <w:bidi w:val="0"/>
              <w:snapToGrid w:val="0"/>
              <w:spacing w:before="32" w:line="360" w:lineRule="auto"/>
              <w:ind w:left="111" w:right="110" w:firstLine="220"/>
              <w:rPr>
                <w:color w:val="auto"/>
                <w:lang w:eastAsia="zh-CN"/>
              </w:rPr>
            </w:pPr>
            <w:r>
              <w:rPr>
                <w:color w:val="auto"/>
                <w:spacing w:val="6"/>
                <w:lang w:eastAsia="zh-CN"/>
              </w:rPr>
              <w:t>（</w:t>
            </w:r>
            <w:r>
              <w:rPr>
                <w:rFonts w:ascii="Tahoma" w:hAnsi="Tahoma" w:eastAsia="Tahoma" w:cs="Tahoma"/>
                <w:color w:val="auto"/>
                <w:spacing w:val="6"/>
                <w:lang w:eastAsia="zh-CN"/>
              </w:rPr>
              <w:t>1</w:t>
            </w:r>
            <w:r>
              <w:rPr>
                <w:rFonts w:hint="eastAsia" w:ascii="Tahoma" w:hAnsi="Tahoma" w:eastAsia="Tahoma" w:cs="Tahoma"/>
                <w:color w:val="auto"/>
                <w:spacing w:val="6"/>
                <w:lang w:eastAsia="zh-CN"/>
              </w:rPr>
              <w:t>1</w:t>
            </w:r>
            <w:r>
              <w:rPr>
                <w:color w:val="auto"/>
                <w:spacing w:val="6"/>
                <w:lang w:eastAsia="zh-CN"/>
              </w:rPr>
              <w:t>）不同</w:t>
            </w:r>
            <w:r>
              <w:rPr>
                <w:rFonts w:hint="eastAsia"/>
                <w:color w:val="auto"/>
                <w:spacing w:val="6"/>
                <w:lang w:eastAsia="zh-CN"/>
              </w:rPr>
              <w:t>服务商</w:t>
            </w:r>
            <w:r>
              <w:rPr>
                <w:color w:val="auto"/>
                <w:spacing w:val="6"/>
                <w:lang w:eastAsia="zh-CN"/>
              </w:rPr>
              <w:t>所提交的投标文件的内容（或其单价等）存在异常一致或其</w:t>
            </w:r>
            <w:r>
              <w:rPr>
                <w:color w:val="auto"/>
                <w:spacing w:val="8"/>
                <w:lang w:eastAsia="zh-CN"/>
              </w:rPr>
              <w:t>报价呈规律性差异的；</w:t>
            </w:r>
          </w:p>
          <w:p w14:paraId="27BD8D52">
            <w:pPr>
              <w:pStyle w:val="27"/>
              <w:keepNext w:val="0"/>
              <w:keepLines w:val="0"/>
              <w:pageBreakBefore w:val="0"/>
              <w:widowControl/>
              <w:wordWrap/>
              <w:overflowPunct w:val="0"/>
              <w:topLinePunct w:val="0"/>
              <w:bidi w:val="0"/>
              <w:snapToGrid w:val="0"/>
              <w:spacing w:before="36" w:line="360" w:lineRule="auto"/>
              <w:ind w:left="332"/>
              <w:rPr>
                <w:color w:val="auto"/>
                <w:lang w:eastAsia="zh-CN"/>
              </w:rPr>
            </w:pPr>
            <w:r>
              <w:rPr>
                <w:color w:val="auto"/>
                <w:spacing w:val="8"/>
                <w:lang w:eastAsia="zh-CN"/>
              </w:rPr>
              <w:t>（</w:t>
            </w:r>
            <w:r>
              <w:rPr>
                <w:rFonts w:ascii="Tahoma" w:hAnsi="Tahoma" w:eastAsia="Tahoma" w:cs="Tahoma"/>
                <w:color w:val="auto"/>
                <w:spacing w:val="8"/>
                <w:lang w:eastAsia="zh-CN"/>
              </w:rPr>
              <w:t>1</w:t>
            </w:r>
            <w:r>
              <w:rPr>
                <w:rFonts w:hint="eastAsia" w:ascii="Tahoma" w:hAnsi="Tahoma" w:eastAsia="Tahoma" w:cs="Tahoma"/>
                <w:color w:val="auto"/>
                <w:spacing w:val="8"/>
                <w:lang w:eastAsia="zh-CN"/>
              </w:rPr>
              <w:t>2</w:t>
            </w:r>
            <w:r>
              <w:rPr>
                <w:color w:val="auto"/>
                <w:spacing w:val="8"/>
                <w:lang w:eastAsia="zh-CN"/>
              </w:rPr>
              <w:t>）法律、法规和招标文件规定的其他无效情形。</w:t>
            </w:r>
          </w:p>
        </w:tc>
      </w:tr>
      <w:tr w14:paraId="70A7CE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28" w:type="dxa"/>
            <w:gridSpan w:val="2"/>
            <w:tcMar>
              <w:top w:w="0" w:type="dxa"/>
              <w:left w:w="0" w:type="dxa"/>
              <w:bottom w:w="0" w:type="dxa"/>
              <w:right w:w="0" w:type="dxa"/>
            </w:tcMar>
          </w:tcPr>
          <w:p w14:paraId="49B2DD7E">
            <w:pPr>
              <w:keepNext w:val="0"/>
              <w:keepLines w:val="0"/>
              <w:pageBreakBefore w:val="0"/>
              <w:widowControl/>
              <w:wordWrap/>
              <w:overflowPunct w:val="0"/>
              <w:topLinePunct w:val="0"/>
              <w:bidi w:val="0"/>
              <w:snapToGrid w:val="0"/>
              <w:spacing w:before="93" w:line="360" w:lineRule="auto"/>
              <w:ind w:left="244"/>
              <w:rPr>
                <w:rFonts w:ascii="Tahoma" w:hAnsi="Tahoma" w:eastAsia="宋体" w:cs="Tahoma"/>
                <w:color w:val="auto"/>
                <w:sz w:val="20"/>
                <w:szCs w:val="20"/>
                <w:lang w:eastAsia="zh-CN"/>
              </w:rPr>
            </w:pPr>
            <w:r>
              <w:rPr>
                <w:rFonts w:hint="eastAsia" w:ascii="Tahoma" w:hAnsi="Tahoma" w:eastAsia="宋体" w:cs="Tahoma"/>
                <w:color w:val="auto"/>
                <w:sz w:val="20"/>
                <w:szCs w:val="20"/>
                <w:lang w:eastAsia="zh-CN"/>
              </w:rPr>
              <w:t>16</w:t>
            </w:r>
          </w:p>
        </w:tc>
        <w:tc>
          <w:tcPr>
            <w:tcW w:w="1673" w:type="dxa"/>
            <w:gridSpan w:val="3"/>
            <w:tcMar>
              <w:top w:w="0" w:type="dxa"/>
              <w:left w:w="0" w:type="dxa"/>
              <w:bottom w:w="0" w:type="dxa"/>
              <w:right w:w="0" w:type="dxa"/>
            </w:tcMar>
          </w:tcPr>
          <w:p w14:paraId="3A92C0EB">
            <w:pPr>
              <w:pStyle w:val="27"/>
              <w:keepNext w:val="0"/>
              <w:keepLines w:val="0"/>
              <w:pageBreakBefore w:val="0"/>
              <w:widowControl/>
              <w:wordWrap/>
              <w:overflowPunct w:val="0"/>
              <w:topLinePunct w:val="0"/>
              <w:bidi w:val="0"/>
              <w:snapToGrid w:val="0"/>
              <w:spacing w:before="71" w:line="360" w:lineRule="auto"/>
              <w:ind w:left="130"/>
              <w:rPr>
                <w:color w:val="auto"/>
              </w:rPr>
            </w:pPr>
            <w:r>
              <w:rPr>
                <w:color w:val="auto"/>
                <w:spacing w:val="4"/>
              </w:rPr>
              <w:t>中标结果公告</w:t>
            </w:r>
          </w:p>
        </w:tc>
        <w:tc>
          <w:tcPr>
            <w:tcW w:w="7201" w:type="dxa"/>
            <w:tcMar>
              <w:top w:w="0" w:type="dxa"/>
              <w:left w:w="0" w:type="dxa"/>
              <w:bottom w:w="0" w:type="dxa"/>
              <w:right w:w="0" w:type="dxa"/>
            </w:tcMar>
          </w:tcPr>
          <w:p w14:paraId="39CAE515">
            <w:pPr>
              <w:pStyle w:val="27"/>
              <w:keepNext w:val="0"/>
              <w:keepLines w:val="0"/>
              <w:pageBreakBefore w:val="0"/>
              <w:widowControl/>
              <w:wordWrap/>
              <w:overflowPunct w:val="0"/>
              <w:topLinePunct w:val="0"/>
              <w:bidi w:val="0"/>
              <w:snapToGrid w:val="0"/>
              <w:spacing w:before="71" w:line="360" w:lineRule="auto"/>
              <w:ind w:left="112"/>
              <w:rPr>
                <w:color w:val="auto"/>
                <w:lang w:eastAsia="zh-CN"/>
              </w:rPr>
            </w:pPr>
            <w:r>
              <w:rPr>
                <w:color w:val="auto"/>
                <w:spacing w:val="8"/>
                <w:lang w:eastAsia="zh-CN"/>
              </w:rPr>
              <w:t>对中标结果在规定的媒体上进行公告，</w:t>
            </w:r>
            <w:r>
              <w:rPr>
                <w:color w:val="auto"/>
                <w:spacing w:val="8"/>
                <w:lang w:eastAsia="zh-CN"/>
                <w14:textOutline w14:w="3797" w14:cap="sq" w14:cmpd="sng" w14:algn="ctr">
                  <w14:solidFill>
                    <w14:srgbClr w14:val="000000"/>
                  </w14:solidFill>
                  <w14:prstDash w14:val="solid"/>
                  <w14:bevel/>
                </w14:textOutline>
              </w:rPr>
              <w:t>中标公告期限为</w:t>
            </w:r>
            <w:r>
              <w:rPr>
                <w:rFonts w:hint="eastAsia" w:ascii="Tahoma" w:hAnsi="Tahoma" w:eastAsia="Tahoma" w:cs="Tahoma"/>
                <w:b/>
                <w:bCs/>
                <w:color w:val="auto"/>
                <w:spacing w:val="8"/>
                <w:lang w:val="en-US" w:eastAsia="zh-CN"/>
              </w:rPr>
              <w:t>1</w:t>
            </w:r>
            <w:r>
              <w:rPr>
                <w:color w:val="auto"/>
                <w:spacing w:val="8"/>
                <w:lang w:eastAsia="zh-CN"/>
                <w14:textOutline w14:w="3797" w14:cap="sq" w14:cmpd="sng" w14:algn="ctr">
                  <w14:solidFill>
                    <w14:srgbClr w14:val="000000"/>
                  </w14:solidFill>
                  <w14:prstDash w14:val="solid"/>
                  <w14:bevel/>
                </w14:textOutline>
              </w:rPr>
              <w:t>个工作日</w:t>
            </w:r>
          </w:p>
        </w:tc>
      </w:tr>
      <w:tr w14:paraId="27580A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28" w:type="dxa"/>
            <w:gridSpan w:val="2"/>
            <w:tcMar>
              <w:top w:w="0" w:type="dxa"/>
              <w:left w:w="0" w:type="dxa"/>
              <w:bottom w:w="0" w:type="dxa"/>
              <w:right w:w="0" w:type="dxa"/>
            </w:tcMar>
          </w:tcPr>
          <w:p w14:paraId="1F0187B0">
            <w:pPr>
              <w:keepNext w:val="0"/>
              <w:keepLines w:val="0"/>
              <w:pageBreakBefore w:val="0"/>
              <w:widowControl/>
              <w:wordWrap/>
              <w:overflowPunct w:val="0"/>
              <w:topLinePunct w:val="0"/>
              <w:bidi w:val="0"/>
              <w:snapToGrid w:val="0"/>
              <w:spacing w:line="360" w:lineRule="auto"/>
              <w:rPr>
                <w:color w:val="auto"/>
                <w:lang w:eastAsia="zh-CN"/>
              </w:rPr>
            </w:pPr>
          </w:p>
          <w:p w14:paraId="7E70712B">
            <w:pPr>
              <w:keepNext w:val="0"/>
              <w:keepLines w:val="0"/>
              <w:pageBreakBefore w:val="0"/>
              <w:widowControl/>
              <w:wordWrap/>
              <w:overflowPunct w:val="0"/>
              <w:topLinePunct w:val="0"/>
              <w:bidi w:val="0"/>
              <w:snapToGrid w:val="0"/>
              <w:spacing w:line="360" w:lineRule="auto"/>
              <w:rPr>
                <w:color w:val="auto"/>
                <w:lang w:eastAsia="zh-CN"/>
              </w:rPr>
            </w:pPr>
          </w:p>
          <w:p w14:paraId="2E49940D">
            <w:pPr>
              <w:keepNext w:val="0"/>
              <w:keepLines w:val="0"/>
              <w:pageBreakBefore w:val="0"/>
              <w:widowControl/>
              <w:wordWrap/>
              <w:overflowPunct w:val="0"/>
              <w:topLinePunct w:val="0"/>
              <w:bidi w:val="0"/>
              <w:snapToGrid w:val="0"/>
              <w:spacing w:line="360" w:lineRule="auto"/>
              <w:rPr>
                <w:color w:val="auto"/>
                <w:lang w:eastAsia="zh-CN"/>
              </w:rPr>
            </w:pPr>
          </w:p>
          <w:p w14:paraId="44C8080F">
            <w:pPr>
              <w:keepNext w:val="0"/>
              <w:keepLines w:val="0"/>
              <w:pageBreakBefore w:val="0"/>
              <w:widowControl/>
              <w:wordWrap/>
              <w:overflowPunct w:val="0"/>
              <w:topLinePunct w:val="0"/>
              <w:bidi w:val="0"/>
              <w:snapToGrid w:val="0"/>
              <w:spacing w:line="360" w:lineRule="auto"/>
              <w:rPr>
                <w:color w:val="auto"/>
                <w:lang w:eastAsia="zh-CN"/>
              </w:rPr>
            </w:pPr>
          </w:p>
          <w:p w14:paraId="4235D798">
            <w:pPr>
              <w:keepNext w:val="0"/>
              <w:keepLines w:val="0"/>
              <w:pageBreakBefore w:val="0"/>
              <w:widowControl/>
              <w:wordWrap/>
              <w:overflowPunct w:val="0"/>
              <w:topLinePunct w:val="0"/>
              <w:bidi w:val="0"/>
              <w:snapToGrid w:val="0"/>
              <w:spacing w:before="60" w:line="360" w:lineRule="auto"/>
              <w:ind w:left="321"/>
              <w:rPr>
                <w:rFonts w:ascii="Tahoma" w:hAnsi="Tahoma" w:eastAsia="宋体" w:cs="Tahoma"/>
                <w:color w:val="auto"/>
                <w:sz w:val="20"/>
                <w:szCs w:val="20"/>
                <w:lang w:eastAsia="zh-CN"/>
              </w:rPr>
            </w:pPr>
            <w:r>
              <w:rPr>
                <w:rFonts w:hint="eastAsia" w:ascii="Tahoma" w:hAnsi="Tahoma" w:eastAsia="宋体" w:cs="Tahoma"/>
                <w:color w:val="auto"/>
                <w:sz w:val="20"/>
                <w:szCs w:val="20"/>
                <w:lang w:eastAsia="zh-CN"/>
              </w:rPr>
              <w:t>17</w:t>
            </w:r>
          </w:p>
        </w:tc>
        <w:tc>
          <w:tcPr>
            <w:tcW w:w="1673" w:type="dxa"/>
            <w:gridSpan w:val="3"/>
            <w:tcMar>
              <w:top w:w="0" w:type="dxa"/>
              <w:left w:w="0" w:type="dxa"/>
              <w:bottom w:w="0" w:type="dxa"/>
              <w:right w:w="0" w:type="dxa"/>
            </w:tcMar>
          </w:tcPr>
          <w:p w14:paraId="709C75C3">
            <w:pPr>
              <w:keepNext w:val="0"/>
              <w:keepLines w:val="0"/>
              <w:pageBreakBefore w:val="0"/>
              <w:widowControl/>
              <w:wordWrap/>
              <w:overflowPunct w:val="0"/>
              <w:topLinePunct w:val="0"/>
              <w:bidi w:val="0"/>
              <w:snapToGrid w:val="0"/>
              <w:spacing w:line="360" w:lineRule="auto"/>
              <w:rPr>
                <w:color w:val="auto"/>
              </w:rPr>
            </w:pPr>
          </w:p>
          <w:p w14:paraId="10F67B41">
            <w:pPr>
              <w:keepNext w:val="0"/>
              <w:keepLines w:val="0"/>
              <w:pageBreakBefore w:val="0"/>
              <w:widowControl/>
              <w:wordWrap/>
              <w:overflowPunct w:val="0"/>
              <w:topLinePunct w:val="0"/>
              <w:bidi w:val="0"/>
              <w:snapToGrid w:val="0"/>
              <w:spacing w:line="360" w:lineRule="auto"/>
              <w:rPr>
                <w:color w:val="auto"/>
              </w:rPr>
            </w:pPr>
          </w:p>
          <w:p w14:paraId="05C9F5CB">
            <w:pPr>
              <w:keepNext w:val="0"/>
              <w:keepLines w:val="0"/>
              <w:pageBreakBefore w:val="0"/>
              <w:widowControl/>
              <w:wordWrap/>
              <w:overflowPunct w:val="0"/>
              <w:topLinePunct w:val="0"/>
              <w:bidi w:val="0"/>
              <w:snapToGrid w:val="0"/>
              <w:spacing w:line="360" w:lineRule="auto"/>
              <w:rPr>
                <w:color w:val="auto"/>
              </w:rPr>
            </w:pPr>
          </w:p>
          <w:p w14:paraId="4A888BEE">
            <w:pPr>
              <w:keepNext w:val="0"/>
              <w:keepLines w:val="0"/>
              <w:pageBreakBefore w:val="0"/>
              <w:widowControl/>
              <w:wordWrap/>
              <w:overflowPunct w:val="0"/>
              <w:topLinePunct w:val="0"/>
              <w:bidi w:val="0"/>
              <w:snapToGrid w:val="0"/>
              <w:spacing w:line="360" w:lineRule="auto"/>
              <w:rPr>
                <w:color w:val="auto"/>
              </w:rPr>
            </w:pPr>
          </w:p>
          <w:p w14:paraId="432B116A">
            <w:pPr>
              <w:pStyle w:val="27"/>
              <w:keepNext w:val="0"/>
              <w:keepLines w:val="0"/>
              <w:pageBreakBefore w:val="0"/>
              <w:widowControl/>
              <w:wordWrap/>
              <w:overflowPunct w:val="0"/>
              <w:topLinePunct w:val="0"/>
              <w:bidi w:val="0"/>
              <w:snapToGrid w:val="0"/>
              <w:spacing w:before="65" w:line="360" w:lineRule="auto"/>
              <w:ind w:left="112"/>
              <w:rPr>
                <w:color w:val="auto"/>
              </w:rPr>
            </w:pPr>
            <w:r>
              <w:rPr>
                <w:color w:val="auto"/>
                <w:spacing w:val="8"/>
              </w:rPr>
              <w:t>其他方式采购</w:t>
            </w:r>
          </w:p>
        </w:tc>
        <w:tc>
          <w:tcPr>
            <w:tcW w:w="7201" w:type="dxa"/>
            <w:tcMar>
              <w:top w:w="0" w:type="dxa"/>
              <w:left w:w="0" w:type="dxa"/>
              <w:bottom w:w="0" w:type="dxa"/>
              <w:right w:w="0" w:type="dxa"/>
            </w:tcMar>
          </w:tcPr>
          <w:p w14:paraId="53BC644A">
            <w:pPr>
              <w:pStyle w:val="27"/>
              <w:keepNext w:val="0"/>
              <w:keepLines w:val="0"/>
              <w:pageBreakBefore w:val="0"/>
              <w:widowControl/>
              <w:wordWrap/>
              <w:overflowPunct w:val="0"/>
              <w:topLinePunct w:val="0"/>
              <w:bidi w:val="0"/>
              <w:snapToGrid w:val="0"/>
              <w:spacing w:before="105" w:line="360" w:lineRule="auto"/>
              <w:ind w:left="115" w:right="107" w:firstLine="4"/>
              <w:rPr>
                <w:color w:val="auto"/>
                <w:lang w:eastAsia="zh-CN"/>
              </w:rPr>
            </w:pPr>
            <w:r>
              <w:rPr>
                <w:color w:val="auto"/>
                <w:spacing w:val="6"/>
                <w:lang w:eastAsia="zh-CN"/>
              </w:rPr>
              <w:t>公开招标数额标准以上的采购项目，投标截止后投标人不足</w:t>
            </w:r>
            <w:r>
              <w:rPr>
                <w:color w:val="auto"/>
                <w:spacing w:val="-37"/>
                <w:lang w:eastAsia="zh-CN"/>
              </w:rPr>
              <w:t xml:space="preserve"> </w:t>
            </w:r>
            <w:r>
              <w:rPr>
                <w:rFonts w:ascii="Tahoma" w:hAnsi="Tahoma" w:eastAsia="Tahoma" w:cs="Tahoma"/>
                <w:color w:val="auto"/>
                <w:spacing w:val="6"/>
                <w:lang w:eastAsia="zh-CN"/>
              </w:rPr>
              <w:t xml:space="preserve">3 </w:t>
            </w:r>
            <w:r>
              <w:rPr>
                <w:color w:val="auto"/>
                <w:spacing w:val="6"/>
                <w:lang w:eastAsia="zh-CN"/>
              </w:rPr>
              <w:t>家或者通</w:t>
            </w:r>
            <w:r>
              <w:rPr>
                <w:color w:val="auto"/>
                <w:spacing w:val="5"/>
                <w:lang w:eastAsia="zh-CN"/>
              </w:rPr>
              <w:t>过资格审</w:t>
            </w:r>
            <w:r>
              <w:rPr>
                <w:color w:val="auto"/>
                <w:spacing w:val="6"/>
                <w:lang w:eastAsia="zh-CN"/>
              </w:rPr>
              <w:t>查或符合性审查的投标人不足</w:t>
            </w:r>
            <w:r>
              <w:rPr>
                <w:color w:val="auto"/>
                <w:spacing w:val="-36"/>
                <w:lang w:eastAsia="zh-CN"/>
              </w:rPr>
              <w:t xml:space="preserve"> </w:t>
            </w:r>
            <w:r>
              <w:rPr>
                <w:rFonts w:ascii="Tahoma" w:hAnsi="Tahoma" w:eastAsia="Tahoma" w:cs="Tahoma"/>
                <w:color w:val="auto"/>
                <w:spacing w:val="6"/>
                <w:lang w:eastAsia="zh-CN"/>
              </w:rPr>
              <w:t xml:space="preserve">3 </w:t>
            </w:r>
            <w:r>
              <w:rPr>
                <w:color w:val="auto"/>
                <w:spacing w:val="6"/>
                <w:lang w:eastAsia="zh-CN"/>
              </w:rPr>
              <w:t>家的，除采购任务取消情形外，根据《政府采购</w:t>
            </w:r>
            <w:r>
              <w:rPr>
                <w:color w:val="auto"/>
                <w:spacing w:val="9"/>
                <w:lang w:eastAsia="zh-CN"/>
              </w:rPr>
              <w:t>货物和服务招标投标管理办法》（中华人民共和国财政</w:t>
            </w:r>
            <w:r>
              <w:rPr>
                <w:color w:val="auto"/>
                <w:spacing w:val="8"/>
                <w:lang w:eastAsia="zh-CN"/>
              </w:rPr>
              <w:t>部令第</w:t>
            </w:r>
            <w:r>
              <w:rPr>
                <w:color w:val="auto"/>
                <w:spacing w:val="-39"/>
                <w:lang w:eastAsia="zh-CN"/>
              </w:rPr>
              <w:t xml:space="preserve"> </w:t>
            </w:r>
            <w:r>
              <w:rPr>
                <w:rFonts w:ascii="Tahoma" w:hAnsi="Tahoma" w:eastAsia="Tahoma" w:cs="Tahoma"/>
                <w:color w:val="auto"/>
                <w:spacing w:val="8"/>
                <w:lang w:eastAsia="zh-CN"/>
              </w:rPr>
              <w:t>87</w:t>
            </w:r>
            <w:r>
              <w:rPr>
                <w:color w:val="auto"/>
                <w:spacing w:val="8"/>
                <w:lang w:eastAsia="zh-CN"/>
              </w:rPr>
              <w:t>号）第四十三</w:t>
            </w:r>
            <w:r>
              <w:rPr>
                <w:color w:val="auto"/>
                <w:lang w:eastAsia="zh-CN"/>
              </w:rPr>
              <w:t xml:space="preserve"> </w:t>
            </w:r>
            <w:r>
              <w:rPr>
                <w:color w:val="auto"/>
                <w:spacing w:val="8"/>
                <w:lang w:eastAsia="zh-CN"/>
              </w:rPr>
              <w:t>条规定，按照以下方式处理：</w:t>
            </w:r>
          </w:p>
          <w:p w14:paraId="63BF73B7">
            <w:pPr>
              <w:pStyle w:val="27"/>
              <w:keepNext w:val="0"/>
              <w:keepLines w:val="0"/>
              <w:pageBreakBefore w:val="0"/>
              <w:widowControl/>
              <w:wordWrap/>
              <w:overflowPunct w:val="0"/>
              <w:topLinePunct w:val="0"/>
              <w:bidi w:val="0"/>
              <w:snapToGrid w:val="0"/>
              <w:spacing w:before="34" w:line="360" w:lineRule="auto"/>
              <w:ind w:left="112" w:right="110" w:firstLine="10"/>
              <w:rPr>
                <w:color w:val="auto"/>
                <w:lang w:eastAsia="zh-CN"/>
              </w:rPr>
            </w:pPr>
            <w:r>
              <w:rPr>
                <w:color w:val="auto"/>
                <w:spacing w:val="9"/>
                <w:lang w:eastAsia="zh-CN"/>
              </w:rPr>
              <w:t>（</w:t>
            </w:r>
            <w:r>
              <w:rPr>
                <w:rFonts w:ascii="Tahoma" w:hAnsi="Tahoma" w:eastAsia="Tahoma" w:cs="Tahoma"/>
                <w:color w:val="auto"/>
                <w:spacing w:val="9"/>
                <w:lang w:eastAsia="zh-CN"/>
              </w:rPr>
              <w:t>1</w:t>
            </w:r>
            <w:r>
              <w:rPr>
                <w:color w:val="auto"/>
                <w:spacing w:val="9"/>
                <w:lang w:eastAsia="zh-CN"/>
              </w:rPr>
              <w:t>）招标文件存在不合理条款或者招标程序不符合规定的，采购人、采购代理</w:t>
            </w:r>
            <w:r>
              <w:rPr>
                <w:color w:val="auto"/>
                <w:spacing w:val="18"/>
                <w:lang w:eastAsia="zh-CN"/>
              </w:rPr>
              <w:t xml:space="preserve"> </w:t>
            </w:r>
            <w:r>
              <w:rPr>
                <w:color w:val="auto"/>
                <w:spacing w:val="8"/>
                <w:lang w:eastAsia="zh-CN"/>
              </w:rPr>
              <w:t>机构改正后依法</w:t>
            </w:r>
            <w:r>
              <w:rPr>
                <w:rFonts w:hint="eastAsia" w:ascii="宋体" w:hAnsi="宋体" w:eastAsia="宋体" w:cs="宋体"/>
                <w:snapToGrid w:val="0"/>
                <w:color w:val="auto"/>
                <w:sz w:val="20"/>
                <w:szCs w:val="20"/>
                <w:lang w:val="en-US" w:eastAsia="zh-CN" w:bidi="ar-SA"/>
              </w:rPr>
              <w:t>重新</w:t>
            </w:r>
            <w:r>
              <w:rPr>
                <w:color w:val="auto"/>
                <w:spacing w:val="8"/>
                <w:lang w:eastAsia="zh-CN"/>
              </w:rPr>
              <w:t>招标；</w:t>
            </w:r>
          </w:p>
          <w:p w14:paraId="785559B3">
            <w:pPr>
              <w:pStyle w:val="27"/>
              <w:keepNext w:val="0"/>
              <w:keepLines w:val="0"/>
              <w:pageBreakBefore w:val="0"/>
              <w:widowControl/>
              <w:wordWrap/>
              <w:overflowPunct w:val="0"/>
              <w:topLinePunct w:val="0"/>
              <w:bidi w:val="0"/>
              <w:snapToGrid w:val="0"/>
              <w:spacing w:before="32" w:line="360" w:lineRule="auto"/>
              <w:ind w:left="111" w:right="110" w:firstLine="11"/>
              <w:rPr>
                <w:color w:val="auto"/>
                <w:lang w:eastAsia="zh-CN"/>
              </w:rPr>
            </w:pPr>
            <w:r>
              <w:rPr>
                <w:color w:val="auto"/>
                <w:spacing w:val="9"/>
                <w:lang w:eastAsia="zh-CN"/>
              </w:rPr>
              <w:t>（</w:t>
            </w:r>
            <w:r>
              <w:rPr>
                <w:rFonts w:ascii="Tahoma" w:hAnsi="Tahoma" w:eastAsia="Tahoma" w:cs="Tahoma"/>
                <w:color w:val="auto"/>
                <w:spacing w:val="9"/>
                <w:lang w:eastAsia="zh-CN"/>
              </w:rPr>
              <w:t>2</w:t>
            </w:r>
            <w:r>
              <w:rPr>
                <w:color w:val="auto"/>
                <w:spacing w:val="9"/>
                <w:lang w:eastAsia="zh-CN"/>
              </w:rPr>
              <w:t>）招标文件没有不合理条款、招标程序符合规定，需要采用其他采购方式采</w:t>
            </w:r>
            <w:r>
              <w:rPr>
                <w:color w:val="auto"/>
                <w:spacing w:val="18"/>
                <w:lang w:eastAsia="zh-CN"/>
              </w:rPr>
              <w:t xml:space="preserve"> </w:t>
            </w:r>
            <w:r>
              <w:rPr>
                <w:color w:val="auto"/>
                <w:spacing w:val="9"/>
                <w:lang w:eastAsia="zh-CN"/>
              </w:rPr>
              <w:t>购的，采购人应当依法报财政部门批准。</w:t>
            </w:r>
          </w:p>
        </w:tc>
      </w:tr>
      <w:tr w14:paraId="452463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39" w:type="dxa"/>
            <w:gridSpan w:val="3"/>
            <w:tcMar>
              <w:top w:w="0" w:type="dxa"/>
              <w:left w:w="0" w:type="dxa"/>
              <w:bottom w:w="0" w:type="dxa"/>
              <w:right w:w="0" w:type="dxa"/>
            </w:tcMar>
          </w:tcPr>
          <w:p w14:paraId="069A4324">
            <w:pPr>
              <w:keepNext w:val="0"/>
              <w:keepLines w:val="0"/>
              <w:pageBreakBefore w:val="0"/>
              <w:widowControl/>
              <w:wordWrap/>
              <w:overflowPunct w:val="0"/>
              <w:topLinePunct w:val="0"/>
              <w:bidi w:val="0"/>
              <w:snapToGrid w:val="0"/>
              <w:spacing w:line="360" w:lineRule="auto"/>
              <w:rPr>
                <w:color w:val="auto"/>
                <w:lang w:eastAsia="zh-CN"/>
              </w:rPr>
            </w:pPr>
          </w:p>
          <w:p w14:paraId="5BAA30E7">
            <w:pPr>
              <w:keepNext w:val="0"/>
              <w:keepLines w:val="0"/>
              <w:pageBreakBefore w:val="0"/>
              <w:widowControl/>
              <w:wordWrap/>
              <w:overflowPunct w:val="0"/>
              <w:topLinePunct w:val="0"/>
              <w:bidi w:val="0"/>
              <w:snapToGrid w:val="0"/>
              <w:spacing w:line="360" w:lineRule="auto"/>
              <w:rPr>
                <w:color w:val="auto"/>
                <w:lang w:eastAsia="zh-CN"/>
              </w:rPr>
            </w:pPr>
          </w:p>
          <w:p w14:paraId="1D348F77">
            <w:pPr>
              <w:keepNext w:val="0"/>
              <w:keepLines w:val="0"/>
              <w:pageBreakBefore w:val="0"/>
              <w:widowControl/>
              <w:wordWrap/>
              <w:overflowPunct w:val="0"/>
              <w:topLinePunct w:val="0"/>
              <w:bidi w:val="0"/>
              <w:snapToGrid w:val="0"/>
              <w:spacing w:line="360" w:lineRule="auto"/>
              <w:rPr>
                <w:color w:val="auto"/>
                <w:lang w:eastAsia="zh-CN"/>
              </w:rPr>
            </w:pPr>
          </w:p>
          <w:p w14:paraId="4DCDEAA8">
            <w:pPr>
              <w:keepNext w:val="0"/>
              <w:keepLines w:val="0"/>
              <w:pageBreakBefore w:val="0"/>
              <w:widowControl/>
              <w:wordWrap/>
              <w:overflowPunct w:val="0"/>
              <w:topLinePunct w:val="0"/>
              <w:bidi w:val="0"/>
              <w:snapToGrid w:val="0"/>
              <w:spacing w:line="360" w:lineRule="auto"/>
              <w:rPr>
                <w:color w:val="auto"/>
                <w:lang w:eastAsia="zh-CN"/>
              </w:rPr>
            </w:pPr>
          </w:p>
          <w:p w14:paraId="49A111AA">
            <w:pPr>
              <w:keepNext w:val="0"/>
              <w:keepLines w:val="0"/>
              <w:pageBreakBefore w:val="0"/>
              <w:widowControl/>
              <w:wordWrap/>
              <w:overflowPunct w:val="0"/>
              <w:topLinePunct w:val="0"/>
              <w:bidi w:val="0"/>
              <w:snapToGrid w:val="0"/>
              <w:spacing w:before="60" w:line="360" w:lineRule="auto"/>
              <w:ind w:left="188"/>
              <w:rPr>
                <w:rFonts w:hint="default" w:ascii="Tahoma" w:hAnsi="Tahoma" w:eastAsia="宋体" w:cs="Tahoma"/>
                <w:color w:val="auto"/>
                <w:sz w:val="20"/>
                <w:szCs w:val="20"/>
                <w:lang w:val="en-US" w:eastAsia="zh-CN"/>
              </w:rPr>
            </w:pPr>
            <w:r>
              <w:rPr>
                <w:rFonts w:hint="eastAsia" w:ascii="Tahoma" w:hAnsi="Tahoma" w:eastAsia="宋体" w:cs="Tahoma"/>
                <w:color w:val="auto"/>
                <w:sz w:val="20"/>
                <w:szCs w:val="20"/>
                <w:lang w:val="en-US" w:eastAsia="zh-CN"/>
              </w:rPr>
              <w:t>18</w:t>
            </w:r>
          </w:p>
        </w:tc>
        <w:tc>
          <w:tcPr>
            <w:tcW w:w="1662" w:type="dxa"/>
            <w:gridSpan w:val="2"/>
            <w:tcMar>
              <w:top w:w="0" w:type="dxa"/>
              <w:left w:w="0" w:type="dxa"/>
              <w:bottom w:w="0" w:type="dxa"/>
              <w:right w:w="0" w:type="dxa"/>
            </w:tcMar>
            <w:vAlign w:val="center"/>
          </w:tcPr>
          <w:p w14:paraId="17502D6E">
            <w:pPr>
              <w:pStyle w:val="27"/>
              <w:keepNext w:val="0"/>
              <w:keepLines w:val="0"/>
              <w:pageBreakBefore w:val="0"/>
              <w:widowControl/>
              <w:wordWrap/>
              <w:overflowPunct w:val="0"/>
              <w:topLinePunct w:val="0"/>
              <w:bidi w:val="0"/>
              <w:snapToGrid w:val="0"/>
              <w:spacing w:before="65" w:line="360" w:lineRule="auto"/>
              <w:ind w:left="115" w:right="107" w:firstLine="4"/>
              <w:jc w:val="both"/>
              <w:rPr>
                <w:color w:val="auto"/>
                <w:lang w:eastAsia="zh-CN"/>
              </w:rPr>
            </w:pPr>
            <w:r>
              <w:rPr>
                <w:rFonts w:hint="eastAsia"/>
                <w:color w:val="auto"/>
                <w:lang w:eastAsia="zh-CN"/>
              </w:rPr>
              <w:t>开标程序</w:t>
            </w:r>
          </w:p>
        </w:tc>
        <w:tc>
          <w:tcPr>
            <w:tcW w:w="7201" w:type="dxa"/>
            <w:tcMar>
              <w:top w:w="0" w:type="dxa"/>
              <w:left w:w="0" w:type="dxa"/>
              <w:bottom w:w="0" w:type="dxa"/>
              <w:right w:w="0" w:type="dxa"/>
            </w:tcMar>
          </w:tcPr>
          <w:p w14:paraId="368E4A0C">
            <w:pPr>
              <w:pStyle w:val="27"/>
              <w:keepNext w:val="0"/>
              <w:keepLines w:val="0"/>
              <w:pageBreakBefore w:val="0"/>
              <w:widowControl/>
              <w:wordWrap/>
              <w:overflowPunct w:val="0"/>
              <w:topLinePunct w:val="0"/>
              <w:bidi w:val="0"/>
              <w:snapToGrid w:val="0"/>
              <w:spacing w:before="34" w:line="360" w:lineRule="auto"/>
              <w:ind w:left="114" w:right="58" w:firstLine="9"/>
              <w:jc w:val="both"/>
              <w:rPr>
                <w:color w:val="auto"/>
                <w:spacing w:val="9"/>
                <w:lang w:eastAsia="zh-CN"/>
              </w:rPr>
            </w:pPr>
            <w:r>
              <w:rPr>
                <w:rFonts w:hint="eastAsia"/>
                <w:color w:val="auto"/>
                <w:spacing w:val="9"/>
                <w:lang w:eastAsia="zh-CN"/>
              </w:rPr>
              <w:t>招标人在规定的投标截止时间（开标时间）、地点开标，服务商的法定代表人或其委托代理人无需到达开标现场，仅需在任意地点通过新疆政府采购网(含新疆兵团政府采购网)政采云平台完成远程解密、提疑澄清、开标唱标、结果公布等交互环节。</w:t>
            </w:r>
          </w:p>
          <w:p w14:paraId="3CD5B29E">
            <w:pPr>
              <w:pStyle w:val="27"/>
              <w:keepNext w:val="0"/>
              <w:keepLines w:val="0"/>
              <w:pageBreakBefore w:val="0"/>
              <w:widowControl/>
              <w:wordWrap/>
              <w:overflowPunct w:val="0"/>
              <w:topLinePunct w:val="0"/>
              <w:bidi w:val="0"/>
              <w:snapToGrid w:val="0"/>
              <w:spacing w:before="34" w:line="360" w:lineRule="auto"/>
              <w:ind w:left="114" w:right="58" w:firstLine="9"/>
              <w:jc w:val="both"/>
              <w:rPr>
                <w:color w:val="auto"/>
                <w:lang w:eastAsia="zh-CN"/>
              </w:rPr>
            </w:pPr>
            <w:r>
              <w:rPr>
                <w:rFonts w:hint="eastAsia"/>
                <w:color w:val="auto"/>
                <w:spacing w:val="9"/>
                <w:lang w:eastAsia="zh-CN"/>
              </w:rPr>
              <w:t>负责人或负责人授权委托人参与远程交互，中途不得更换，在废标、澄清、提疑、传送文件等特殊情况下需要交互时，服务商一端参与交互的人员将均被视为是服务商的授权委托人或负责人代表，服务商不得以不承认交互人员的资格或身份等为借口推脱，服务商自行承担随意更换人员所导致的一切后果。</w:t>
            </w:r>
          </w:p>
        </w:tc>
      </w:tr>
      <w:tr w14:paraId="086275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39" w:type="dxa"/>
            <w:gridSpan w:val="3"/>
            <w:tcMar>
              <w:top w:w="0" w:type="dxa"/>
              <w:left w:w="0" w:type="dxa"/>
              <w:bottom w:w="0" w:type="dxa"/>
              <w:right w:w="0" w:type="dxa"/>
            </w:tcMar>
          </w:tcPr>
          <w:p w14:paraId="14BE2E55">
            <w:pPr>
              <w:keepNext w:val="0"/>
              <w:keepLines w:val="0"/>
              <w:pageBreakBefore w:val="0"/>
              <w:widowControl/>
              <w:wordWrap/>
              <w:overflowPunct w:val="0"/>
              <w:topLinePunct w:val="0"/>
              <w:bidi w:val="0"/>
              <w:snapToGrid w:val="0"/>
              <w:spacing w:line="360" w:lineRule="auto"/>
              <w:rPr>
                <w:color w:val="auto"/>
                <w:lang w:eastAsia="zh-CN"/>
              </w:rPr>
            </w:pPr>
          </w:p>
          <w:p w14:paraId="2108FB21">
            <w:pPr>
              <w:keepNext w:val="0"/>
              <w:keepLines w:val="0"/>
              <w:pageBreakBefore w:val="0"/>
              <w:widowControl/>
              <w:wordWrap/>
              <w:overflowPunct w:val="0"/>
              <w:topLinePunct w:val="0"/>
              <w:bidi w:val="0"/>
              <w:snapToGrid w:val="0"/>
              <w:spacing w:before="60" w:line="360" w:lineRule="auto"/>
              <w:ind w:left="188"/>
              <w:rPr>
                <w:rFonts w:hint="default" w:ascii="Tahoma" w:hAnsi="Tahoma" w:eastAsia="宋体" w:cs="Tahoma"/>
                <w:color w:val="auto"/>
                <w:sz w:val="20"/>
                <w:szCs w:val="20"/>
                <w:lang w:val="en-US" w:eastAsia="zh-CN"/>
              </w:rPr>
            </w:pPr>
            <w:r>
              <w:rPr>
                <w:rFonts w:hint="eastAsia" w:ascii="Tahoma" w:hAnsi="Tahoma" w:eastAsia="宋体" w:cs="Tahoma"/>
                <w:color w:val="auto"/>
                <w:sz w:val="20"/>
                <w:szCs w:val="20"/>
                <w:lang w:val="en-US" w:eastAsia="zh-CN"/>
              </w:rPr>
              <w:t>19</w:t>
            </w:r>
          </w:p>
        </w:tc>
        <w:tc>
          <w:tcPr>
            <w:tcW w:w="1662" w:type="dxa"/>
            <w:gridSpan w:val="2"/>
            <w:tcMar>
              <w:top w:w="0" w:type="dxa"/>
              <w:left w:w="0" w:type="dxa"/>
              <w:bottom w:w="0" w:type="dxa"/>
              <w:right w:w="0" w:type="dxa"/>
            </w:tcMar>
          </w:tcPr>
          <w:p w14:paraId="0DF96A6D">
            <w:pPr>
              <w:keepNext w:val="0"/>
              <w:keepLines w:val="0"/>
              <w:pageBreakBefore w:val="0"/>
              <w:widowControl/>
              <w:wordWrap/>
              <w:overflowPunct w:val="0"/>
              <w:topLinePunct w:val="0"/>
              <w:bidi w:val="0"/>
              <w:snapToGrid w:val="0"/>
              <w:spacing w:line="360" w:lineRule="auto"/>
              <w:rPr>
                <w:color w:val="auto"/>
              </w:rPr>
            </w:pPr>
          </w:p>
          <w:p w14:paraId="6FA9074F">
            <w:pPr>
              <w:pStyle w:val="27"/>
              <w:keepNext w:val="0"/>
              <w:keepLines w:val="0"/>
              <w:pageBreakBefore w:val="0"/>
              <w:widowControl/>
              <w:wordWrap/>
              <w:overflowPunct w:val="0"/>
              <w:topLinePunct w:val="0"/>
              <w:bidi w:val="0"/>
              <w:snapToGrid w:val="0"/>
              <w:spacing w:before="65" w:line="360" w:lineRule="auto"/>
              <w:ind w:left="111"/>
              <w:rPr>
                <w:color w:val="auto"/>
              </w:rPr>
            </w:pPr>
            <w:r>
              <w:rPr>
                <w:color w:val="auto"/>
                <w:spacing w:val="7"/>
              </w:rPr>
              <w:t>通讯联系</w:t>
            </w:r>
          </w:p>
        </w:tc>
        <w:tc>
          <w:tcPr>
            <w:tcW w:w="7201" w:type="dxa"/>
            <w:tcMar>
              <w:top w:w="0" w:type="dxa"/>
              <w:left w:w="0" w:type="dxa"/>
              <w:bottom w:w="0" w:type="dxa"/>
              <w:right w:w="0" w:type="dxa"/>
            </w:tcMar>
          </w:tcPr>
          <w:p w14:paraId="398BF217">
            <w:pPr>
              <w:pStyle w:val="27"/>
              <w:keepNext w:val="0"/>
              <w:keepLines w:val="0"/>
              <w:pageBreakBefore w:val="0"/>
              <w:widowControl/>
              <w:wordWrap/>
              <w:overflowPunct w:val="0"/>
              <w:topLinePunct w:val="0"/>
              <w:bidi w:val="0"/>
              <w:snapToGrid w:val="0"/>
              <w:spacing w:before="52" w:line="360" w:lineRule="auto"/>
              <w:ind w:left="111" w:right="85" w:firstLine="34"/>
              <w:jc w:val="both"/>
              <w:rPr>
                <w:color w:val="auto"/>
                <w:lang w:eastAsia="zh-CN"/>
              </w:rPr>
            </w:pPr>
            <w:r>
              <w:rPr>
                <w:color w:val="auto"/>
                <w:spacing w:val="8"/>
                <w:lang w:eastAsia="zh-CN"/>
              </w:rPr>
              <w:t>自获取（购买）招标文件之日起，投标人应确保其提供的联系方式</w:t>
            </w:r>
            <w:r>
              <w:rPr>
                <w:color w:val="auto"/>
                <w:spacing w:val="7"/>
                <w:lang w:eastAsia="zh-CN"/>
              </w:rPr>
              <w:t>（电话、传真、</w:t>
            </w:r>
            <w:r>
              <w:rPr>
                <w:color w:val="auto"/>
                <w:spacing w:val="8"/>
                <w:lang w:eastAsia="zh-CN"/>
              </w:rPr>
              <w:t>电子邮件）一直有效和畅通，以保证往来函件（招标文件的澄清、修改等）能及时通知投标人，并能及时反馈信息，否则招标人（或招标代理机构）不承担由此（因</w:t>
            </w:r>
            <w:r>
              <w:rPr>
                <w:color w:val="auto"/>
                <w:spacing w:val="9"/>
                <w:lang w:eastAsia="zh-CN"/>
              </w:rPr>
              <w:t>投标人提供的联系方式无效或通讯不畅、无法联系等因素）引起的一切后果！</w:t>
            </w:r>
          </w:p>
        </w:tc>
      </w:tr>
      <w:tr w14:paraId="428AEF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39" w:type="dxa"/>
            <w:gridSpan w:val="3"/>
            <w:tcMar>
              <w:top w:w="0" w:type="dxa"/>
              <w:left w:w="0" w:type="dxa"/>
              <w:bottom w:w="0" w:type="dxa"/>
              <w:right w:w="0" w:type="dxa"/>
            </w:tcMar>
            <w:vAlign w:val="center"/>
          </w:tcPr>
          <w:p w14:paraId="7262EF08">
            <w:pPr>
              <w:keepNext w:val="0"/>
              <w:keepLines w:val="0"/>
              <w:pageBreakBefore w:val="0"/>
              <w:widowControl/>
              <w:wordWrap/>
              <w:overflowPunct w:val="0"/>
              <w:topLinePunct w:val="0"/>
              <w:bidi w:val="0"/>
              <w:snapToGrid w:val="0"/>
              <w:spacing w:before="60" w:line="360" w:lineRule="auto"/>
              <w:ind w:left="188"/>
              <w:jc w:val="both"/>
              <w:rPr>
                <w:rFonts w:hint="default" w:ascii="Tahoma" w:hAnsi="Tahoma" w:eastAsia="宋体" w:cs="Tahoma"/>
                <w:color w:val="auto"/>
                <w:sz w:val="20"/>
                <w:szCs w:val="20"/>
                <w:lang w:val="en-US" w:eastAsia="zh-CN"/>
              </w:rPr>
            </w:pPr>
            <w:r>
              <w:rPr>
                <w:rFonts w:hint="eastAsia" w:ascii="Tahoma" w:hAnsi="Tahoma" w:eastAsia="宋体" w:cs="Tahoma"/>
                <w:color w:val="auto"/>
                <w:sz w:val="20"/>
                <w:szCs w:val="20"/>
                <w:lang w:eastAsia="zh-CN"/>
              </w:rPr>
              <w:t>2</w:t>
            </w:r>
            <w:r>
              <w:rPr>
                <w:rFonts w:hint="eastAsia" w:ascii="Tahoma" w:hAnsi="Tahoma" w:eastAsia="宋体" w:cs="Tahoma"/>
                <w:color w:val="auto"/>
                <w:sz w:val="20"/>
                <w:szCs w:val="20"/>
                <w:lang w:val="en-US" w:eastAsia="zh-CN"/>
              </w:rPr>
              <w:t>0</w:t>
            </w:r>
          </w:p>
        </w:tc>
        <w:tc>
          <w:tcPr>
            <w:tcW w:w="1662" w:type="dxa"/>
            <w:gridSpan w:val="2"/>
            <w:tcMar>
              <w:top w:w="0" w:type="dxa"/>
              <w:left w:w="0" w:type="dxa"/>
              <w:bottom w:w="0" w:type="dxa"/>
              <w:right w:w="0" w:type="dxa"/>
            </w:tcMar>
            <w:vAlign w:val="center"/>
          </w:tcPr>
          <w:p w14:paraId="28ACA6D0">
            <w:pPr>
              <w:pStyle w:val="27"/>
              <w:keepNext w:val="0"/>
              <w:keepLines w:val="0"/>
              <w:pageBreakBefore w:val="0"/>
              <w:widowControl/>
              <w:wordWrap/>
              <w:overflowPunct w:val="0"/>
              <w:topLinePunct w:val="0"/>
              <w:bidi w:val="0"/>
              <w:snapToGrid w:val="0"/>
              <w:spacing w:before="105" w:line="360" w:lineRule="auto"/>
              <w:ind w:left="115" w:right="107" w:firstLine="4"/>
              <w:jc w:val="both"/>
              <w:rPr>
                <w:rFonts w:ascii="宋体" w:hAnsi="宋体" w:eastAsia="宋体" w:cs="宋体"/>
                <w:color w:val="auto"/>
                <w:spacing w:val="9"/>
                <w:lang w:eastAsia="zh-CN"/>
              </w:rPr>
            </w:pPr>
            <w:r>
              <w:rPr>
                <w:rFonts w:ascii="宋体" w:hAnsi="宋体" w:eastAsia="宋体" w:cs="宋体"/>
                <w:color w:val="auto"/>
                <w:spacing w:val="9"/>
                <w:lang w:eastAsia="zh-CN"/>
              </w:rPr>
              <w:t>小、微型企业 产品价格扣除</w:t>
            </w:r>
          </w:p>
        </w:tc>
        <w:tc>
          <w:tcPr>
            <w:tcW w:w="7201" w:type="dxa"/>
            <w:tcMar>
              <w:top w:w="0" w:type="dxa"/>
              <w:left w:w="0" w:type="dxa"/>
              <w:bottom w:w="0" w:type="dxa"/>
              <w:right w:w="0" w:type="dxa"/>
            </w:tcMar>
          </w:tcPr>
          <w:p w14:paraId="187481D1">
            <w:pPr>
              <w:pStyle w:val="27"/>
              <w:keepNext w:val="0"/>
              <w:keepLines w:val="0"/>
              <w:pageBreakBefore w:val="0"/>
              <w:widowControl/>
              <w:wordWrap/>
              <w:overflowPunct w:val="0"/>
              <w:topLinePunct w:val="0"/>
              <w:bidi w:val="0"/>
              <w:snapToGrid w:val="0"/>
              <w:spacing w:before="105" w:line="360" w:lineRule="auto"/>
              <w:ind w:left="115" w:right="107" w:firstLine="4"/>
              <w:rPr>
                <w:rFonts w:hint="eastAsia" w:ascii="宋体" w:hAnsi="宋体" w:eastAsia="宋体" w:cs="宋体"/>
                <w:color w:val="auto"/>
                <w:spacing w:val="9"/>
                <w:lang w:val="en-US" w:eastAsia="zh-CN"/>
              </w:rPr>
            </w:pPr>
            <w:r>
              <w:rPr>
                <w:rFonts w:hint="eastAsia" w:ascii="宋体" w:hAnsi="宋体" w:eastAsia="宋体" w:cs="宋体"/>
                <w:color w:val="auto"/>
                <w:spacing w:val="9"/>
                <w:lang w:val="en-US" w:eastAsia="zh-CN"/>
              </w:rPr>
              <w:t>(1)根据财政部、工业和信息化部制定的《政府采购促进中小企业发展管埋办法》(财库〔2020〕46号）、新疆维吾尔自治区财政厅、新疆维吾尔自治区工业和信息化厅制定的《关于印发《新疆维吾尔自治区政府采购促进中小企业发展管理实施办法》的通知》（新财规〔2021〕6号）、新疆维吾尔自治区财政厅、新疆生产建设兵团财政局制定的《关于落实好政府采购支持中小企业发展的通知》（新财购〔2022〕22号）的规定执行；</w:t>
            </w:r>
          </w:p>
          <w:p w14:paraId="24431AD0">
            <w:pPr>
              <w:pStyle w:val="27"/>
              <w:keepNext w:val="0"/>
              <w:keepLines w:val="0"/>
              <w:pageBreakBefore w:val="0"/>
              <w:widowControl/>
              <w:wordWrap/>
              <w:overflowPunct w:val="0"/>
              <w:topLinePunct w:val="0"/>
              <w:bidi w:val="0"/>
              <w:snapToGrid w:val="0"/>
              <w:spacing w:before="105" w:line="360" w:lineRule="auto"/>
              <w:ind w:left="115" w:right="107" w:firstLine="4"/>
              <w:rPr>
                <w:rFonts w:hint="eastAsia" w:ascii="宋体" w:hAnsi="宋体" w:eastAsia="宋体" w:cs="宋体"/>
                <w:color w:val="auto"/>
                <w:spacing w:val="9"/>
                <w:lang w:val="en-US" w:eastAsia="zh-CN"/>
              </w:rPr>
            </w:pPr>
            <w:r>
              <w:rPr>
                <w:rFonts w:hint="eastAsia" w:ascii="宋体" w:hAnsi="宋体" w:eastAsia="宋体" w:cs="宋体"/>
                <w:color w:val="auto"/>
                <w:spacing w:val="9"/>
                <w:lang w:val="en-US" w:eastAsia="zh-CN"/>
              </w:rPr>
              <w:t>(2)供应商须根据《中华人民共和国中小企业促进法》和《国务院关于进一步促进中小企业发展的若干意见》(国发〔2009〕36号)，制定的《中小企业划型标准规定》自行判定</w:t>
            </w:r>
            <w:r>
              <w:rPr>
                <w:rFonts w:hint="eastAsia" w:cs="宋体"/>
                <w:color w:val="auto"/>
                <w:spacing w:val="9"/>
                <w:lang w:val="en-US" w:eastAsia="zh-CN"/>
              </w:rPr>
              <w:t>企业</w:t>
            </w:r>
            <w:r>
              <w:rPr>
                <w:rFonts w:hint="eastAsia" w:ascii="宋体" w:hAnsi="宋体" w:eastAsia="宋体" w:cs="宋体"/>
                <w:color w:val="auto"/>
                <w:spacing w:val="9"/>
                <w:lang w:val="en-US" w:eastAsia="zh-CN"/>
              </w:rPr>
              <w:t>类型，并提供中小企业声明函，否则将不给予认可。</w:t>
            </w:r>
          </w:p>
          <w:p w14:paraId="552D6138">
            <w:pPr>
              <w:pStyle w:val="27"/>
              <w:keepNext w:val="0"/>
              <w:keepLines w:val="0"/>
              <w:pageBreakBefore w:val="0"/>
              <w:widowControl/>
              <w:wordWrap/>
              <w:overflowPunct w:val="0"/>
              <w:topLinePunct w:val="0"/>
              <w:bidi w:val="0"/>
              <w:snapToGrid w:val="0"/>
              <w:spacing w:before="105" w:line="360" w:lineRule="auto"/>
              <w:ind w:left="115" w:right="107" w:firstLine="4"/>
              <w:rPr>
                <w:rFonts w:hint="eastAsia" w:ascii="宋体" w:hAnsi="宋体" w:eastAsia="宋体" w:cs="宋体"/>
                <w:color w:val="auto"/>
                <w:spacing w:val="9"/>
                <w:lang w:val="en-US" w:eastAsia="zh-CN"/>
              </w:rPr>
            </w:pPr>
            <w:r>
              <w:rPr>
                <w:rFonts w:hint="eastAsia" w:ascii="宋体" w:hAnsi="宋体" w:eastAsia="宋体" w:cs="宋体"/>
                <w:color w:val="auto"/>
                <w:spacing w:val="9"/>
                <w:lang w:val="en-US" w:eastAsia="zh-CN"/>
              </w:rPr>
              <w:t>（3）根据中华人民共和国财政部、中华人民共和国民政部、中国残疾人联合会《关于促进残疾人就业政府采购政策的通知》（财库〔2017〕141 号）文件的规定：残疾人福利性单位视同小型、微型企业。供应商若为残疾人福利性单位，须在投标文件中提供《残疾人福利性单位声明函》，否则将不给予认可。</w:t>
            </w:r>
          </w:p>
          <w:p w14:paraId="05BDCC47">
            <w:pPr>
              <w:pStyle w:val="27"/>
              <w:keepNext w:val="0"/>
              <w:keepLines w:val="0"/>
              <w:pageBreakBefore w:val="0"/>
              <w:widowControl/>
              <w:wordWrap/>
              <w:overflowPunct w:val="0"/>
              <w:topLinePunct w:val="0"/>
              <w:bidi w:val="0"/>
              <w:snapToGrid w:val="0"/>
              <w:spacing w:before="105" w:line="360" w:lineRule="auto"/>
              <w:ind w:left="115" w:right="107" w:firstLine="4"/>
              <w:rPr>
                <w:rFonts w:hint="eastAsia" w:ascii="宋体" w:hAnsi="宋体" w:eastAsia="宋体" w:cs="宋体"/>
                <w:color w:val="auto"/>
                <w:spacing w:val="9"/>
                <w:lang w:val="en-US" w:eastAsia="zh-CN"/>
              </w:rPr>
            </w:pPr>
            <w:r>
              <w:rPr>
                <w:rFonts w:hint="eastAsia" w:ascii="宋体" w:hAnsi="宋体" w:eastAsia="宋体" w:cs="宋体"/>
                <w:color w:val="auto"/>
                <w:spacing w:val="9"/>
                <w:lang w:val="en-US" w:eastAsia="zh-CN"/>
              </w:rPr>
              <w:t>（4）根据财政部、司法部《关于政府采购支持监狱企业发展有关问题的通知》(财库【2014】68 号)文件的规定：在政府采购活动中，监狱企业视同小型、微型企业。供应商若为监狱企业，须在投标文件中提供由省级以上监狱管理局、戒毒管理局(含新疆生产建设兵团)出具的属于监狱企业的证明文件，否则将不给予认可。</w:t>
            </w:r>
          </w:p>
          <w:p w14:paraId="0E0EF5DF">
            <w:pPr>
              <w:pStyle w:val="27"/>
              <w:keepNext w:val="0"/>
              <w:keepLines w:val="0"/>
              <w:pageBreakBefore w:val="0"/>
              <w:widowControl/>
              <w:wordWrap/>
              <w:overflowPunct w:val="0"/>
              <w:topLinePunct w:val="0"/>
              <w:bidi w:val="0"/>
              <w:snapToGrid w:val="0"/>
              <w:spacing w:before="105" w:line="360" w:lineRule="auto"/>
              <w:ind w:left="115" w:right="107" w:firstLine="4"/>
              <w:rPr>
                <w:rFonts w:hint="eastAsia" w:ascii="宋体" w:hAnsi="宋体" w:eastAsia="宋体" w:cs="宋体"/>
                <w:color w:val="auto"/>
                <w:spacing w:val="9"/>
                <w:lang w:val="en-US" w:eastAsia="zh-CN"/>
              </w:rPr>
            </w:pPr>
            <w:r>
              <w:rPr>
                <w:rFonts w:hint="eastAsia" w:ascii="宋体" w:hAnsi="宋体" w:eastAsia="宋体" w:cs="宋体"/>
                <w:color w:val="auto"/>
                <w:spacing w:val="9"/>
                <w:lang w:val="en-US" w:eastAsia="zh-CN"/>
              </w:rPr>
              <w:t>(</w:t>
            </w:r>
            <w:r>
              <w:rPr>
                <w:rFonts w:hint="eastAsia" w:cs="宋体"/>
                <w:color w:val="auto"/>
                <w:spacing w:val="9"/>
                <w:lang w:val="en-US" w:eastAsia="zh-CN"/>
              </w:rPr>
              <w:t>5</w:t>
            </w:r>
            <w:r>
              <w:rPr>
                <w:rFonts w:hint="eastAsia" w:ascii="宋体" w:hAnsi="宋体" w:eastAsia="宋体" w:cs="宋体"/>
                <w:color w:val="auto"/>
                <w:spacing w:val="9"/>
                <w:lang w:val="en-US" w:eastAsia="zh-CN"/>
              </w:rPr>
              <w:t>)本项目所属行业：软件和信息技术服务业</w:t>
            </w:r>
          </w:p>
          <w:p w14:paraId="024B0E03">
            <w:pPr>
              <w:pStyle w:val="27"/>
              <w:keepNext w:val="0"/>
              <w:keepLines w:val="0"/>
              <w:pageBreakBefore w:val="0"/>
              <w:widowControl/>
              <w:wordWrap/>
              <w:overflowPunct w:val="0"/>
              <w:topLinePunct w:val="0"/>
              <w:bidi w:val="0"/>
              <w:snapToGrid w:val="0"/>
              <w:spacing w:before="105" w:line="360" w:lineRule="auto"/>
              <w:ind w:left="115" w:right="107" w:firstLine="4"/>
              <w:rPr>
                <w:rFonts w:hint="default" w:ascii="宋体" w:hAnsi="宋体" w:eastAsia="宋体" w:cs="宋体"/>
                <w:color w:val="auto"/>
                <w:spacing w:val="9"/>
                <w:lang w:val="en-US" w:eastAsia="zh-CN"/>
              </w:rPr>
            </w:pPr>
            <w:r>
              <w:rPr>
                <w:rFonts w:hint="eastAsia" w:ascii="宋体" w:hAnsi="宋体" w:eastAsia="宋体" w:cs="宋体"/>
                <w:color w:val="auto"/>
                <w:spacing w:val="9"/>
                <w:lang w:val="en-US" w:eastAsia="zh-CN"/>
              </w:rPr>
              <w:t>(</w:t>
            </w:r>
            <w:r>
              <w:rPr>
                <w:rFonts w:hint="eastAsia" w:cs="宋体"/>
                <w:color w:val="auto"/>
                <w:spacing w:val="9"/>
                <w:lang w:val="en-US" w:eastAsia="zh-CN"/>
              </w:rPr>
              <w:t>6</w:t>
            </w:r>
            <w:r>
              <w:rPr>
                <w:rFonts w:hint="eastAsia" w:ascii="宋体" w:hAnsi="宋体" w:eastAsia="宋体" w:cs="宋体"/>
                <w:color w:val="auto"/>
                <w:spacing w:val="9"/>
                <w:lang w:val="en-US" w:eastAsia="zh-CN"/>
              </w:rPr>
              <w:t>)价格扣除幅度：本项目为专门面向中小企业采购的项目</w:t>
            </w:r>
            <w:r>
              <w:rPr>
                <w:rFonts w:hint="eastAsia" w:cs="宋体"/>
                <w:color w:val="auto"/>
                <w:spacing w:val="9"/>
                <w:lang w:val="en-US" w:eastAsia="zh-CN"/>
              </w:rPr>
              <w:t>，对符合规定的小微企业报价不再做价格扣除。</w:t>
            </w:r>
          </w:p>
          <w:p w14:paraId="7D3DA085">
            <w:pPr>
              <w:pStyle w:val="27"/>
              <w:keepNext w:val="0"/>
              <w:keepLines w:val="0"/>
              <w:pageBreakBefore w:val="0"/>
              <w:widowControl/>
              <w:wordWrap/>
              <w:overflowPunct w:val="0"/>
              <w:topLinePunct w:val="0"/>
              <w:bidi w:val="0"/>
              <w:snapToGrid w:val="0"/>
              <w:spacing w:before="105" w:line="360" w:lineRule="auto"/>
              <w:ind w:left="115" w:right="107" w:firstLine="4"/>
              <w:rPr>
                <w:rFonts w:hint="eastAsia" w:ascii="宋体" w:hAnsi="宋体" w:eastAsia="宋体" w:cs="宋体"/>
                <w:color w:val="auto"/>
                <w:spacing w:val="9"/>
                <w:lang w:eastAsia="zh-CN"/>
              </w:rPr>
            </w:pPr>
            <w:r>
              <w:rPr>
                <w:rFonts w:hint="eastAsia" w:ascii="宋体" w:hAnsi="宋体" w:eastAsia="宋体" w:cs="宋体"/>
                <w:color w:val="auto"/>
                <w:spacing w:val="9"/>
                <w:lang w:val="en-US" w:eastAsia="zh-CN"/>
              </w:rPr>
              <w:t>(</w:t>
            </w:r>
            <w:r>
              <w:rPr>
                <w:rFonts w:hint="eastAsia" w:cs="宋体"/>
                <w:color w:val="auto"/>
                <w:spacing w:val="9"/>
                <w:lang w:val="en-US" w:eastAsia="zh-CN"/>
              </w:rPr>
              <w:t>7</w:t>
            </w:r>
            <w:r>
              <w:rPr>
                <w:rFonts w:hint="eastAsia" w:ascii="宋体" w:hAnsi="宋体" w:eastAsia="宋体" w:cs="宋体"/>
                <w:color w:val="auto"/>
                <w:spacing w:val="9"/>
                <w:lang w:val="en-US" w:eastAsia="zh-CN"/>
              </w:rPr>
              <w:t>)</w:t>
            </w:r>
            <w:r>
              <w:rPr>
                <w:rFonts w:hint="eastAsia" w:ascii="宋体" w:hAnsi="宋体" w:eastAsia="宋体" w:cs="宋体"/>
                <w:color w:val="auto"/>
                <w:spacing w:val="9"/>
                <w:lang w:eastAsia="zh-CN"/>
              </w:rPr>
              <w:t>政府采购支持中小企业融资、政府采购信用担保：中小企业在融资、保证金、履约保证等方面有需求的，可查询当地政府采购管理部门相关政策，通过专业化的担保途径解决。</w:t>
            </w:r>
          </w:p>
        </w:tc>
      </w:tr>
      <w:tr w14:paraId="44E64B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39" w:type="dxa"/>
            <w:gridSpan w:val="3"/>
            <w:tcMar>
              <w:top w:w="0" w:type="dxa"/>
              <w:left w:w="0" w:type="dxa"/>
              <w:bottom w:w="0" w:type="dxa"/>
              <w:right w:w="0" w:type="dxa"/>
            </w:tcMar>
          </w:tcPr>
          <w:p w14:paraId="2262D409">
            <w:pPr>
              <w:keepNext w:val="0"/>
              <w:keepLines w:val="0"/>
              <w:pageBreakBefore w:val="0"/>
              <w:widowControl/>
              <w:wordWrap/>
              <w:overflowPunct w:val="0"/>
              <w:topLinePunct w:val="0"/>
              <w:bidi w:val="0"/>
              <w:snapToGrid w:val="0"/>
              <w:spacing w:line="360" w:lineRule="auto"/>
              <w:rPr>
                <w:color w:val="auto"/>
                <w:lang w:eastAsia="zh-CN"/>
              </w:rPr>
            </w:pPr>
          </w:p>
          <w:p w14:paraId="29BB8325">
            <w:pPr>
              <w:keepNext w:val="0"/>
              <w:keepLines w:val="0"/>
              <w:pageBreakBefore w:val="0"/>
              <w:widowControl/>
              <w:wordWrap/>
              <w:overflowPunct w:val="0"/>
              <w:topLinePunct w:val="0"/>
              <w:bidi w:val="0"/>
              <w:snapToGrid w:val="0"/>
              <w:spacing w:line="360" w:lineRule="auto"/>
              <w:rPr>
                <w:color w:val="auto"/>
                <w:lang w:eastAsia="zh-CN"/>
              </w:rPr>
            </w:pPr>
          </w:p>
          <w:p w14:paraId="0D946881">
            <w:pPr>
              <w:keepNext w:val="0"/>
              <w:keepLines w:val="0"/>
              <w:pageBreakBefore w:val="0"/>
              <w:widowControl/>
              <w:wordWrap/>
              <w:overflowPunct w:val="0"/>
              <w:topLinePunct w:val="0"/>
              <w:bidi w:val="0"/>
              <w:snapToGrid w:val="0"/>
              <w:spacing w:line="360" w:lineRule="auto"/>
              <w:rPr>
                <w:color w:val="auto"/>
                <w:lang w:eastAsia="zh-CN"/>
              </w:rPr>
            </w:pPr>
          </w:p>
          <w:p w14:paraId="24C372D0">
            <w:pPr>
              <w:keepNext w:val="0"/>
              <w:keepLines w:val="0"/>
              <w:pageBreakBefore w:val="0"/>
              <w:widowControl/>
              <w:wordWrap/>
              <w:overflowPunct w:val="0"/>
              <w:topLinePunct w:val="0"/>
              <w:bidi w:val="0"/>
              <w:snapToGrid w:val="0"/>
              <w:spacing w:line="360" w:lineRule="auto"/>
              <w:rPr>
                <w:color w:val="auto"/>
                <w:lang w:eastAsia="zh-CN"/>
              </w:rPr>
            </w:pPr>
          </w:p>
          <w:p w14:paraId="7666649D">
            <w:pPr>
              <w:keepNext w:val="0"/>
              <w:keepLines w:val="0"/>
              <w:pageBreakBefore w:val="0"/>
              <w:widowControl/>
              <w:wordWrap/>
              <w:overflowPunct w:val="0"/>
              <w:topLinePunct w:val="0"/>
              <w:bidi w:val="0"/>
              <w:snapToGrid w:val="0"/>
              <w:spacing w:line="360" w:lineRule="auto"/>
              <w:rPr>
                <w:color w:val="auto"/>
                <w:lang w:eastAsia="zh-CN"/>
              </w:rPr>
            </w:pPr>
          </w:p>
          <w:p w14:paraId="0C05A924">
            <w:pPr>
              <w:keepNext w:val="0"/>
              <w:keepLines w:val="0"/>
              <w:pageBreakBefore w:val="0"/>
              <w:widowControl/>
              <w:wordWrap/>
              <w:overflowPunct w:val="0"/>
              <w:topLinePunct w:val="0"/>
              <w:bidi w:val="0"/>
              <w:snapToGrid w:val="0"/>
              <w:spacing w:before="60" w:line="360" w:lineRule="auto"/>
              <w:ind w:left="366"/>
              <w:rPr>
                <w:rFonts w:ascii="Tahoma" w:hAnsi="Tahoma" w:eastAsia="宋体" w:cs="Tahoma"/>
                <w:color w:val="auto"/>
                <w:sz w:val="20"/>
                <w:szCs w:val="20"/>
                <w:lang w:eastAsia="zh-CN"/>
              </w:rPr>
            </w:pPr>
            <w:r>
              <w:rPr>
                <w:rFonts w:hint="eastAsia" w:ascii="Tahoma" w:hAnsi="Tahoma" w:eastAsia="宋体" w:cs="Tahoma"/>
                <w:color w:val="auto"/>
                <w:sz w:val="20"/>
                <w:szCs w:val="20"/>
                <w:lang w:eastAsia="zh-CN"/>
              </w:rPr>
              <w:t>2</w:t>
            </w:r>
            <w:r>
              <w:rPr>
                <w:rFonts w:hint="eastAsia" w:ascii="Tahoma" w:hAnsi="Tahoma" w:eastAsia="宋体" w:cs="Tahoma"/>
                <w:color w:val="auto"/>
                <w:sz w:val="20"/>
                <w:szCs w:val="20"/>
                <w:lang w:val="en-US" w:eastAsia="zh-CN"/>
              </w:rPr>
              <w:t>1</w:t>
            </w:r>
          </w:p>
        </w:tc>
        <w:tc>
          <w:tcPr>
            <w:tcW w:w="1662" w:type="dxa"/>
            <w:gridSpan w:val="2"/>
            <w:tcMar>
              <w:top w:w="0" w:type="dxa"/>
              <w:left w:w="0" w:type="dxa"/>
              <w:bottom w:w="0" w:type="dxa"/>
              <w:right w:w="0" w:type="dxa"/>
            </w:tcMar>
          </w:tcPr>
          <w:p w14:paraId="1E19993B">
            <w:pPr>
              <w:keepNext w:val="0"/>
              <w:keepLines w:val="0"/>
              <w:pageBreakBefore w:val="0"/>
              <w:widowControl/>
              <w:wordWrap/>
              <w:overflowPunct w:val="0"/>
              <w:topLinePunct w:val="0"/>
              <w:bidi w:val="0"/>
              <w:snapToGrid w:val="0"/>
              <w:spacing w:line="360" w:lineRule="auto"/>
              <w:rPr>
                <w:color w:val="auto"/>
              </w:rPr>
            </w:pPr>
          </w:p>
          <w:p w14:paraId="1F890962">
            <w:pPr>
              <w:keepNext w:val="0"/>
              <w:keepLines w:val="0"/>
              <w:pageBreakBefore w:val="0"/>
              <w:widowControl/>
              <w:wordWrap/>
              <w:overflowPunct w:val="0"/>
              <w:topLinePunct w:val="0"/>
              <w:bidi w:val="0"/>
              <w:snapToGrid w:val="0"/>
              <w:spacing w:line="360" w:lineRule="auto"/>
              <w:rPr>
                <w:color w:val="auto"/>
              </w:rPr>
            </w:pPr>
          </w:p>
          <w:p w14:paraId="4C9B385C">
            <w:pPr>
              <w:keepNext w:val="0"/>
              <w:keepLines w:val="0"/>
              <w:pageBreakBefore w:val="0"/>
              <w:widowControl/>
              <w:wordWrap/>
              <w:overflowPunct w:val="0"/>
              <w:topLinePunct w:val="0"/>
              <w:bidi w:val="0"/>
              <w:snapToGrid w:val="0"/>
              <w:spacing w:line="360" w:lineRule="auto"/>
              <w:rPr>
                <w:color w:val="auto"/>
              </w:rPr>
            </w:pPr>
          </w:p>
          <w:p w14:paraId="7F7B5D93">
            <w:pPr>
              <w:keepNext w:val="0"/>
              <w:keepLines w:val="0"/>
              <w:pageBreakBefore w:val="0"/>
              <w:widowControl/>
              <w:wordWrap/>
              <w:overflowPunct w:val="0"/>
              <w:topLinePunct w:val="0"/>
              <w:bidi w:val="0"/>
              <w:snapToGrid w:val="0"/>
              <w:spacing w:line="360" w:lineRule="auto"/>
              <w:rPr>
                <w:color w:val="auto"/>
              </w:rPr>
            </w:pPr>
          </w:p>
          <w:p w14:paraId="35FDFAFD">
            <w:pPr>
              <w:keepNext w:val="0"/>
              <w:keepLines w:val="0"/>
              <w:pageBreakBefore w:val="0"/>
              <w:widowControl/>
              <w:wordWrap/>
              <w:overflowPunct w:val="0"/>
              <w:topLinePunct w:val="0"/>
              <w:bidi w:val="0"/>
              <w:snapToGrid w:val="0"/>
              <w:spacing w:line="360" w:lineRule="auto"/>
              <w:rPr>
                <w:color w:val="auto"/>
              </w:rPr>
            </w:pPr>
          </w:p>
          <w:p w14:paraId="2AEC77D0">
            <w:pPr>
              <w:pStyle w:val="27"/>
              <w:keepNext w:val="0"/>
              <w:keepLines w:val="0"/>
              <w:pageBreakBefore w:val="0"/>
              <w:widowControl/>
              <w:wordWrap/>
              <w:overflowPunct w:val="0"/>
              <w:topLinePunct w:val="0"/>
              <w:bidi w:val="0"/>
              <w:snapToGrid w:val="0"/>
              <w:spacing w:before="65" w:line="360" w:lineRule="auto"/>
              <w:ind w:left="111"/>
              <w:rPr>
                <w:color w:val="auto"/>
              </w:rPr>
            </w:pPr>
            <w:r>
              <w:rPr>
                <w:color w:val="auto"/>
                <w:spacing w:val="7"/>
              </w:rPr>
              <w:t>标前准备</w:t>
            </w:r>
          </w:p>
        </w:tc>
        <w:tc>
          <w:tcPr>
            <w:tcW w:w="7201" w:type="dxa"/>
            <w:tcMar>
              <w:top w:w="0" w:type="dxa"/>
              <w:left w:w="0" w:type="dxa"/>
              <w:bottom w:w="0" w:type="dxa"/>
              <w:right w:w="0" w:type="dxa"/>
            </w:tcMar>
          </w:tcPr>
          <w:p w14:paraId="0C2F1A1C">
            <w:pPr>
              <w:pStyle w:val="27"/>
              <w:keepNext w:val="0"/>
              <w:keepLines w:val="0"/>
              <w:pageBreakBefore w:val="0"/>
              <w:widowControl/>
              <w:wordWrap/>
              <w:overflowPunct w:val="0"/>
              <w:topLinePunct w:val="0"/>
              <w:bidi w:val="0"/>
              <w:snapToGrid w:val="0"/>
              <w:spacing w:before="102" w:line="360" w:lineRule="auto"/>
              <w:ind w:left="111" w:right="37" w:firstLine="16"/>
              <w:jc w:val="both"/>
              <w:rPr>
                <w:color w:val="auto"/>
                <w:lang w:eastAsia="zh-CN"/>
              </w:rPr>
            </w:pPr>
            <w:r>
              <w:rPr>
                <w:rFonts w:ascii="Times New Roman" w:hAnsi="Times New Roman" w:eastAsia="Times New Roman" w:cs="Times New Roman"/>
                <w:color w:val="auto"/>
                <w:spacing w:val="8"/>
                <w:lang w:eastAsia="zh-CN"/>
              </w:rPr>
              <w:t>1</w:t>
            </w:r>
            <w:r>
              <w:rPr>
                <w:rFonts w:ascii="Times New Roman" w:hAnsi="Times New Roman" w:eastAsia="Times New Roman" w:cs="Times New Roman"/>
                <w:color w:val="auto"/>
                <w:spacing w:val="-24"/>
                <w:lang w:eastAsia="zh-CN"/>
              </w:rPr>
              <w:t xml:space="preserve"> </w:t>
            </w:r>
            <w:r>
              <w:rPr>
                <w:color w:val="auto"/>
                <w:spacing w:val="8"/>
                <w:lang w:eastAsia="zh-CN"/>
              </w:rPr>
              <w:t>、本项目实行网上不见面投标，采用电子投标文件。若</w:t>
            </w:r>
            <w:r>
              <w:rPr>
                <w:rFonts w:hint="eastAsia"/>
                <w:color w:val="auto"/>
                <w:spacing w:val="8"/>
                <w:lang w:eastAsia="zh-CN"/>
              </w:rPr>
              <w:t>服务商</w:t>
            </w:r>
            <w:r>
              <w:rPr>
                <w:color w:val="auto"/>
                <w:spacing w:val="8"/>
                <w:lang w:eastAsia="zh-CN"/>
              </w:rPr>
              <w:t>参与投</w:t>
            </w:r>
            <w:r>
              <w:rPr>
                <w:color w:val="auto"/>
                <w:spacing w:val="7"/>
                <w:lang w:eastAsia="zh-CN"/>
              </w:rPr>
              <w:t>标，</w:t>
            </w:r>
            <w:r>
              <w:rPr>
                <w:color w:val="auto"/>
                <w:spacing w:val="-49"/>
                <w:lang w:eastAsia="zh-CN"/>
              </w:rPr>
              <w:t xml:space="preserve"> </w:t>
            </w:r>
            <w:r>
              <w:rPr>
                <w:color w:val="auto"/>
                <w:spacing w:val="7"/>
                <w:lang w:eastAsia="zh-CN"/>
              </w:rPr>
              <w:t>自行承</w:t>
            </w:r>
            <w:r>
              <w:rPr>
                <w:color w:val="auto"/>
                <w:spacing w:val="10"/>
                <w:lang w:eastAsia="zh-CN"/>
              </w:rPr>
              <w:t>担投标一切费用。</w:t>
            </w:r>
            <w:r>
              <w:rPr>
                <w:rFonts w:ascii="Times New Roman" w:hAnsi="Times New Roman" w:eastAsia="Times New Roman" w:cs="Times New Roman"/>
                <w:color w:val="auto"/>
                <w:spacing w:val="10"/>
                <w:lang w:eastAsia="zh-CN"/>
              </w:rPr>
              <w:t>2</w:t>
            </w:r>
            <w:r>
              <w:rPr>
                <w:rFonts w:ascii="Times New Roman" w:hAnsi="Times New Roman" w:eastAsia="Times New Roman" w:cs="Times New Roman"/>
                <w:color w:val="auto"/>
                <w:spacing w:val="-26"/>
                <w:lang w:eastAsia="zh-CN"/>
              </w:rPr>
              <w:t xml:space="preserve"> </w:t>
            </w:r>
            <w:r>
              <w:rPr>
                <w:color w:val="auto"/>
                <w:spacing w:val="10"/>
                <w:lang w:eastAsia="zh-CN"/>
              </w:rPr>
              <w:t>、各</w:t>
            </w:r>
            <w:r>
              <w:rPr>
                <w:rFonts w:hint="eastAsia"/>
                <w:color w:val="auto"/>
                <w:spacing w:val="10"/>
                <w:lang w:eastAsia="zh-CN"/>
              </w:rPr>
              <w:t>服务商</w:t>
            </w:r>
            <w:r>
              <w:rPr>
                <w:color w:val="auto"/>
                <w:spacing w:val="10"/>
                <w:lang w:eastAsia="zh-CN"/>
              </w:rPr>
              <w:t>应在开标前应确保成为新疆维</w:t>
            </w:r>
            <w:r>
              <w:rPr>
                <w:color w:val="auto"/>
                <w:spacing w:val="9"/>
                <w:lang w:eastAsia="zh-CN"/>
              </w:rPr>
              <w:t xml:space="preserve">吾尔自治区政府采购 </w:t>
            </w:r>
            <w:r>
              <w:rPr>
                <w:color w:val="auto"/>
                <w:spacing w:val="8"/>
                <w:lang w:eastAsia="zh-CN"/>
              </w:rPr>
              <w:t>网正式注册入库</w:t>
            </w:r>
            <w:r>
              <w:rPr>
                <w:rFonts w:hint="eastAsia"/>
                <w:color w:val="auto"/>
                <w:spacing w:val="8"/>
                <w:lang w:eastAsia="zh-CN"/>
              </w:rPr>
              <w:t>服务商</w:t>
            </w:r>
            <w:r>
              <w:rPr>
                <w:color w:val="auto"/>
                <w:spacing w:val="8"/>
                <w:lang w:eastAsia="zh-CN"/>
              </w:rPr>
              <w:t>，并完成</w:t>
            </w:r>
            <w:r>
              <w:rPr>
                <w:color w:val="auto"/>
                <w:spacing w:val="-19"/>
                <w:lang w:eastAsia="zh-CN"/>
              </w:rPr>
              <w:t xml:space="preserve"> </w:t>
            </w:r>
            <w:r>
              <w:rPr>
                <w:rFonts w:ascii="Times New Roman" w:hAnsi="Times New Roman" w:eastAsia="Times New Roman" w:cs="Times New Roman"/>
                <w:color w:val="auto"/>
                <w:lang w:eastAsia="zh-CN"/>
              </w:rPr>
              <w:t>CA</w:t>
            </w:r>
            <w:r>
              <w:rPr>
                <w:rFonts w:ascii="Times New Roman" w:hAnsi="Times New Roman" w:eastAsia="Times New Roman" w:cs="Times New Roman"/>
                <w:color w:val="auto"/>
                <w:spacing w:val="8"/>
                <w:lang w:eastAsia="zh-CN"/>
              </w:rPr>
              <w:t xml:space="preserve"> </w:t>
            </w:r>
            <w:r>
              <w:rPr>
                <w:color w:val="auto"/>
                <w:spacing w:val="8"/>
                <w:lang w:eastAsia="zh-CN"/>
              </w:rPr>
              <w:t>数字证书申领。因未注册入库、未办理</w:t>
            </w:r>
            <w:r>
              <w:rPr>
                <w:color w:val="auto"/>
                <w:spacing w:val="-40"/>
                <w:lang w:eastAsia="zh-CN"/>
              </w:rPr>
              <w:t xml:space="preserve"> </w:t>
            </w:r>
            <w:r>
              <w:rPr>
                <w:rFonts w:ascii="Times New Roman" w:hAnsi="Times New Roman" w:eastAsia="Times New Roman" w:cs="Times New Roman"/>
                <w:color w:val="auto"/>
                <w:lang w:eastAsia="zh-CN"/>
              </w:rPr>
              <w:t>CA</w:t>
            </w:r>
            <w:r>
              <w:rPr>
                <w:rFonts w:ascii="Times New Roman" w:hAnsi="Times New Roman" w:eastAsia="Times New Roman" w:cs="Times New Roman"/>
                <w:color w:val="auto"/>
                <w:spacing w:val="15"/>
                <w:w w:val="101"/>
                <w:lang w:eastAsia="zh-CN"/>
              </w:rPr>
              <w:t xml:space="preserve"> </w:t>
            </w:r>
            <w:r>
              <w:rPr>
                <w:color w:val="auto"/>
                <w:spacing w:val="8"/>
                <w:lang w:eastAsia="zh-CN"/>
              </w:rPr>
              <w:t>数</w:t>
            </w:r>
            <w:r>
              <w:rPr>
                <w:color w:val="auto"/>
                <w:spacing w:val="10"/>
                <w:lang w:eastAsia="zh-CN"/>
              </w:rPr>
              <w:t>字证书等原因造成无法投标或投标失败等后果由</w:t>
            </w:r>
            <w:r>
              <w:rPr>
                <w:rFonts w:hint="eastAsia"/>
                <w:color w:val="auto"/>
                <w:spacing w:val="10"/>
                <w:lang w:eastAsia="zh-CN"/>
              </w:rPr>
              <w:t>服务商</w:t>
            </w:r>
            <w:r>
              <w:rPr>
                <w:color w:val="auto"/>
                <w:spacing w:val="9"/>
                <w:lang w:eastAsia="zh-CN"/>
              </w:rPr>
              <w:t>自行承担。</w:t>
            </w:r>
            <w:r>
              <w:rPr>
                <w:rFonts w:ascii="Times New Roman" w:hAnsi="Times New Roman" w:eastAsia="Times New Roman" w:cs="Times New Roman"/>
                <w:color w:val="auto"/>
                <w:spacing w:val="9"/>
                <w:lang w:eastAsia="zh-CN"/>
              </w:rPr>
              <w:t>3</w:t>
            </w:r>
            <w:r>
              <w:rPr>
                <w:rFonts w:ascii="Times New Roman" w:hAnsi="Times New Roman" w:eastAsia="Times New Roman" w:cs="Times New Roman"/>
                <w:color w:val="auto"/>
                <w:spacing w:val="-23"/>
                <w:lang w:eastAsia="zh-CN"/>
              </w:rPr>
              <w:t xml:space="preserve"> </w:t>
            </w:r>
            <w:r>
              <w:rPr>
                <w:color w:val="auto"/>
                <w:spacing w:val="9"/>
                <w:lang w:eastAsia="zh-CN"/>
              </w:rPr>
              <w:t>、本项目为电</w:t>
            </w:r>
            <w:r>
              <w:rPr>
                <w:color w:val="auto"/>
                <w:spacing w:val="8"/>
                <w:lang w:eastAsia="zh-CN"/>
              </w:rPr>
              <w:t>子招投标，投标人需要使用</w:t>
            </w:r>
            <w:r>
              <w:rPr>
                <w:color w:val="auto"/>
                <w:spacing w:val="-32"/>
                <w:lang w:eastAsia="zh-CN"/>
              </w:rPr>
              <w:t xml:space="preserve"> </w:t>
            </w:r>
            <w:r>
              <w:rPr>
                <w:rFonts w:ascii="Times New Roman" w:hAnsi="Times New Roman" w:eastAsia="Times New Roman" w:cs="Times New Roman"/>
                <w:color w:val="auto"/>
                <w:lang w:eastAsia="zh-CN"/>
              </w:rPr>
              <w:t>CA</w:t>
            </w:r>
            <w:r>
              <w:rPr>
                <w:rFonts w:ascii="Times New Roman" w:hAnsi="Times New Roman" w:eastAsia="Times New Roman" w:cs="Times New Roman"/>
                <w:color w:val="auto"/>
                <w:spacing w:val="8"/>
                <w:lang w:eastAsia="zh-CN"/>
              </w:rPr>
              <w:t xml:space="preserve"> </w:t>
            </w:r>
            <w:r>
              <w:rPr>
                <w:color w:val="auto"/>
                <w:spacing w:val="8"/>
                <w:lang w:eastAsia="zh-CN"/>
              </w:rPr>
              <w:t>加密设备，有意向参与新疆区域电子开评标的供应</w:t>
            </w:r>
            <w:r>
              <w:rPr>
                <w:color w:val="auto"/>
                <w:spacing w:val="9"/>
                <w:lang w:eastAsia="zh-CN"/>
              </w:rPr>
              <w:t>商，请访问新疆数字证书认证中心官方网站（</w:t>
            </w:r>
            <w:r>
              <w:rPr>
                <w:color w:val="auto"/>
              </w:rPr>
              <w:fldChar w:fldCharType="begin"/>
            </w:r>
            <w:r>
              <w:rPr>
                <w:color w:val="auto"/>
              </w:rPr>
              <w:instrText xml:space="preserve"> HYPERLINK "https://www.xjca.com.cn/" </w:instrText>
            </w:r>
            <w:r>
              <w:rPr>
                <w:color w:val="auto"/>
              </w:rPr>
              <w:fldChar w:fldCharType="separate"/>
            </w:r>
            <w:r>
              <w:rPr>
                <w:rFonts w:ascii="Times New Roman" w:hAnsi="Times New Roman" w:eastAsia="Times New Roman" w:cs="Times New Roman"/>
                <w:color w:val="auto"/>
                <w:lang w:eastAsia="zh-CN"/>
              </w:rPr>
              <w:t>https</w:t>
            </w:r>
            <w:r>
              <w:rPr>
                <w:rFonts w:ascii="Times New Roman" w:hAnsi="Times New Roman" w:eastAsia="Times New Roman" w:cs="Times New Roman"/>
                <w:color w:val="auto"/>
                <w:spacing w:val="9"/>
                <w:lang w:eastAsia="zh-CN"/>
              </w:rPr>
              <w:t>://</w:t>
            </w:r>
            <w:r>
              <w:rPr>
                <w:rFonts w:ascii="Times New Roman" w:hAnsi="Times New Roman" w:eastAsia="Times New Roman" w:cs="Times New Roman"/>
                <w:color w:val="auto"/>
                <w:lang w:eastAsia="zh-CN"/>
              </w:rPr>
              <w:t>www</w:t>
            </w:r>
            <w:r>
              <w:rPr>
                <w:rFonts w:ascii="Times New Roman" w:hAnsi="Times New Roman" w:eastAsia="Times New Roman" w:cs="Times New Roman"/>
                <w:color w:val="auto"/>
                <w:spacing w:val="9"/>
                <w:lang w:eastAsia="zh-CN"/>
              </w:rPr>
              <w:t>.</w:t>
            </w:r>
            <w:r>
              <w:rPr>
                <w:rFonts w:ascii="Times New Roman" w:hAnsi="Times New Roman" w:eastAsia="Times New Roman" w:cs="Times New Roman"/>
                <w:color w:val="auto"/>
                <w:lang w:eastAsia="zh-CN"/>
              </w:rPr>
              <w:t>xjca</w:t>
            </w:r>
            <w:r>
              <w:rPr>
                <w:rFonts w:ascii="Times New Roman" w:hAnsi="Times New Roman" w:eastAsia="Times New Roman" w:cs="Times New Roman"/>
                <w:color w:val="auto"/>
                <w:spacing w:val="9"/>
                <w:lang w:eastAsia="zh-CN"/>
              </w:rPr>
              <w:t>.</w:t>
            </w:r>
            <w:r>
              <w:rPr>
                <w:rFonts w:ascii="Times New Roman" w:hAnsi="Times New Roman" w:eastAsia="Times New Roman" w:cs="Times New Roman"/>
                <w:color w:val="auto"/>
                <w:lang w:eastAsia="zh-CN"/>
              </w:rPr>
              <w:t>com</w:t>
            </w:r>
            <w:r>
              <w:rPr>
                <w:rFonts w:ascii="Times New Roman" w:hAnsi="Times New Roman" w:eastAsia="Times New Roman" w:cs="Times New Roman"/>
                <w:color w:val="auto"/>
                <w:spacing w:val="9"/>
                <w:lang w:eastAsia="zh-CN"/>
              </w:rPr>
              <w:t>.</w:t>
            </w:r>
            <w:r>
              <w:rPr>
                <w:rFonts w:ascii="Times New Roman" w:hAnsi="Times New Roman" w:eastAsia="Times New Roman" w:cs="Times New Roman"/>
                <w:color w:val="auto"/>
                <w:lang w:eastAsia="zh-CN"/>
              </w:rPr>
              <w:t>cn</w:t>
            </w:r>
            <w:r>
              <w:rPr>
                <w:rFonts w:ascii="Times New Roman" w:hAnsi="Times New Roman" w:eastAsia="Times New Roman" w:cs="Times New Roman"/>
                <w:color w:val="auto"/>
                <w:spacing w:val="9"/>
                <w:lang w:eastAsia="zh-CN"/>
              </w:rPr>
              <w:t>/</w:t>
            </w:r>
            <w:r>
              <w:rPr>
                <w:rFonts w:ascii="Times New Roman" w:hAnsi="Times New Roman" w:eastAsia="Times New Roman" w:cs="Times New Roman"/>
                <w:color w:val="auto"/>
                <w:spacing w:val="9"/>
                <w:lang w:eastAsia="zh-CN"/>
              </w:rPr>
              <w:fldChar w:fldCharType="end"/>
            </w:r>
            <w:r>
              <w:rPr>
                <w:color w:val="auto"/>
                <w:spacing w:val="9"/>
                <w:lang w:eastAsia="zh-CN"/>
              </w:rPr>
              <w:t>）或下载新</w:t>
            </w:r>
            <w:r>
              <w:rPr>
                <w:color w:val="auto"/>
                <w:spacing w:val="3"/>
                <w:lang w:eastAsia="zh-CN"/>
              </w:rPr>
              <w:t>疆政务通</w:t>
            </w:r>
            <w:r>
              <w:rPr>
                <w:rFonts w:ascii="Times New Roman" w:hAnsi="Times New Roman" w:eastAsia="Times New Roman" w:cs="Times New Roman"/>
                <w:color w:val="auto"/>
                <w:spacing w:val="3"/>
                <w:lang w:eastAsia="zh-CN"/>
              </w:rPr>
              <w:t>;</w:t>
            </w:r>
            <w:r>
              <w:rPr>
                <w:rFonts w:ascii="Times New Roman" w:hAnsi="Times New Roman" w:eastAsia="Times New Roman" w:cs="Times New Roman"/>
                <w:color w:val="auto"/>
                <w:lang w:eastAsia="zh-CN"/>
              </w:rPr>
              <w:t>APP</w:t>
            </w:r>
            <w:r>
              <w:rPr>
                <w:rFonts w:ascii="Times New Roman" w:hAnsi="Times New Roman" w:eastAsia="Times New Roman" w:cs="Times New Roman"/>
                <w:color w:val="auto"/>
                <w:spacing w:val="46"/>
                <w:w w:val="101"/>
                <w:lang w:eastAsia="zh-CN"/>
              </w:rPr>
              <w:t xml:space="preserve"> </w:t>
            </w:r>
            <w:r>
              <w:rPr>
                <w:color w:val="auto"/>
                <w:spacing w:val="3"/>
                <w:lang w:eastAsia="zh-CN"/>
              </w:rPr>
              <w:t>自行进行申领。如需咨询，请联系新疆</w:t>
            </w:r>
            <w:r>
              <w:rPr>
                <w:color w:val="auto"/>
                <w:spacing w:val="-40"/>
                <w:lang w:eastAsia="zh-CN"/>
              </w:rPr>
              <w:t xml:space="preserve"> </w:t>
            </w:r>
            <w:r>
              <w:rPr>
                <w:rFonts w:ascii="Times New Roman" w:hAnsi="Times New Roman" w:eastAsia="Times New Roman" w:cs="Times New Roman"/>
                <w:color w:val="auto"/>
                <w:lang w:eastAsia="zh-CN"/>
              </w:rPr>
              <w:t>CA</w:t>
            </w:r>
            <w:r>
              <w:rPr>
                <w:rFonts w:ascii="Times New Roman" w:hAnsi="Times New Roman" w:eastAsia="Times New Roman" w:cs="Times New Roman"/>
                <w:color w:val="auto"/>
                <w:spacing w:val="14"/>
                <w:lang w:eastAsia="zh-CN"/>
              </w:rPr>
              <w:t xml:space="preserve"> </w:t>
            </w:r>
            <w:r>
              <w:rPr>
                <w:color w:val="auto"/>
                <w:spacing w:val="3"/>
                <w:lang w:eastAsia="zh-CN"/>
              </w:rPr>
              <w:t>服务热线</w:t>
            </w:r>
            <w:r>
              <w:rPr>
                <w:color w:val="auto"/>
                <w:spacing w:val="-38"/>
                <w:lang w:eastAsia="zh-CN"/>
              </w:rPr>
              <w:t xml:space="preserve"> </w:t>
            </w:r>
            <w:r>
              <w:rPr>
                <w:rFonts w:ascii="Times New Roman" w:hAnsi="Times New Roman" w:eastAsia="Times New Roman" w:cs="Times New Roman"/>
                <w:color w:val="auto"/>
                <w:spacing w:val="3"/>
                <w:lang w:eastAsia="zh-CN"/>
              </w:rPr>
              <w:t>0991-281</w:t>
            </w:r>
            <w:r>
              <w:rPr>
                <w:rFonts w:ascii="Times New Roman" w:hAnsi="Times New Roman" w:eastAsia="Times New Roman" w:cs="Times New Roman"/>
                <w:color w:val="auto"/>
                <w:spacing w:val="2"/>
                <w:lang w:eastAsia="zh-CN"/>
              </w:rPr>
              <w:t>92904</w:t>
            </w:r>
            <w:r>
              <w:rPr>
                <w:color w:val="auto"/>
                <w:spacing w:val="2"/>
                <w:lang w:eastAsia="zh-CN"/>
              </w:rPr>
              <w:t>、</w:t>
            </w:r>
            <w:r>
              <w:rPr>
                <w:rFonts w:hint="eastAsia"/>
                <w:color w:val="auto"/>
                <w:spacing w:val="8"/>
                <w:lang w:eastAsia="zh-CN"/>
              </w:rPr>
              <w:t>服务商</w:t>
            </w:r>
            <w:r>
              <w:rPr>
                <w:color w:val="auto"/>
                <w:spacing w:val="8"/>
                <w:lang w:eastAsia="zh-CN"/>
              </w:rPr>
              <w:t>将政采云电子交易客户端下载、安装完成后，可通过账号密码或</w:t>
            </w:r>
            <w:r>
              <w:rPr>
                <w:color w:val="auto"/>
                <w:spacing w:val="-40"/>
                <w:lang w:eastAsia="zh-CN"/>
              </w:rPr>
              <w:t xml:space="preserve"> </w:t>
            </w:r>
            <w:r>
              <w:rPr>
                <w:rFonts w:ascii="Times New Roman" w:hAnsi="Times New Roman" w:eastAsia="Times New Roman" w:cs="Times New Roman"/>
                <w:color w:val="auto"/>
                <w:lang w:eastAsia="zh-CN"/>
              </w:rPr>
              <w:t>CA</w:t>
            </w:r>
            <w:r>
              <w:rPr>
                <w:rFonts w:ascii="Times New Roman" w:hAnsi="Times New Roman" w:eastAsia="Times New Roman" w:cs="Times New Roman"/>
                <w:color w:val="auto"/>
                <w:spacing w:val="18"/>
                <w:lang w:eastAsia="zh-CN"/>
              </w:rPr>
              <w:t xml:space="preserve"> </w:t>
            </w:r>
            <w:r>
              <w:rPr>
                <w:color w:val="auto"/>
                <w:spacing w:val="8"/>
                <w:lang w:eastAsia="zh-CN"/>
              </w:rPr>
              <w:t>登录</w:t>
            </w:r>
            <w:r>
              <w:rPr>
                <w:color w:val="auto"/>
                <w:spacing w:val="7"/>
                <w:lang w:eastAsia="zh-CN"/>
              </w:rPr>
              <w:t xml:space="preserve">客 </w:t>
            </w:r>
            <w:r>
              <w:rPr>
                <w:color w:val="auto"/>
                <w:spacing w:val="8"/>
                <w:lang w:eastAsia="zh-CN"/>
              </w:rPr>
              <w:t>户端进行投标文件制作。在使用政采云投标客户端时，建议使</w:t>
            </w:r>
            <w:r>
              <w:rPr>
                <w:color w:val="auto"/>
                <w:spacing w:val="7"/>
                <w:lang w:eastAsia="zh-CN"/>
              </w:rPr>
              <w:t>用</w:t>
            </w:r>
            <w:r>
              <w:rPr>
                <w:color w:val="auto"/>
                <w:spacing w:val="-45"/>
                <w:lang w:eastAsia="zh-CN"/>
              </w:rPr>
              <w:t xml:space="preserve"> </w:t>
            </w:r>
            <w:r>
              <w:rPr>
                <w:rFonts w:ascii="Times New Roman" w:hAnsi="Times New Roman" w:eastAsia="Times New Roman" w:cs="Times New Roman"/>
                <w:color w:val="auto"/>
                <w:lang w:eastAsia="zh-CN"/>
              </w:rPr>
              <w:t>WIN</w:t>
            </w:r>
            <w:r>
              <w:rPr>
                <w:rFonts w:ascii="Times New Roman" w:hAnsi="Times New Roman" w:eastAsia="Times New Roman" w:cs="Times New Roman"/>
                <w:color w:val="auto"/>
                <w:spacing w:val="7"/>
                <w:lang w:eastAsia="zh-CN"/>
              </w:rPr>
              <w:t>7</w:t>
            </w:r>
            <w:r>
              <w:rPr>
                <w:color w:val="auto"/>
                <w:spacing w:val="7"/>
                <w:lang w:eastAsia="zh-CN"/>
              </w:rPr>
              <w:t>及以上操作</w:t>
            </w:r>
            <w:r>
              <w:rPr>
                <w:color w:val="auto"/>
                <w:spacing w:val="11"/>
                <w:lang w:eastAsia="zh-CN"/>
              </w:rPr>
              <w:t>系统。客户端请至新疆政府采购网（</w:t>
            </w:r>
            <w:r>
              <w:rPr>
                <w:color w:val="auto"/>
              </w:rPr>
              <w:fldChar w:fldCharType="begin"/>
            </w:r>
            <w:r>
              <w:rPr>
                <w:color w:val="auto"/>
              </w:rPr>
              <w:instrText xml:space="preserve"> HYPERLINK "https://www.zcygov.cn/" </w:instrText>
            </w:r>
            <w:r>
              <w:rPr>
                <w:color w:val="auto"/>
              </w:rPr>
              <w:fldChar w:fldCharType="separate"/>
            </w:r>
            <w:r>
              <w:rPr>
                <w:rFonts w:ascii="Times New Roman" w:hAnsi="Times New Roman" w:eastAsia="Times New Roman" w:cs="Times New Roman"/>
                <w:color w:val="auto"/>
                <w:lang w:eastAsia="zh-CN"/>
              </w:rPr>
              <w:t>https</w:t>
            </w:r>
            <w:r>
              <w:rPr>
                <w:rFonts w:ascii="Times New Roman" w:hAnsi="Times New Roman" w:eastAsia="Times New Roman" w:cs="Times New Roman"/>
                <w:color w:val="auto"/>
                <w:spacing w:val="11"/>
                <w:lang w:eastAsia="zh-CN"/>
              </w:rPr>
              <w:t>://</w:t>
            </w:r>
            <w:r>
              <w:rPr>
                <w:rFonts w:ascii="Times New Roman" w:hAnsi="Times New Roman" w:eastAsia="Times New Roman" w:cs="Times New Roman"/>
                <w:color w:val="auto"/>
                <w:lang w:eastAsia="zh-CN"/>
              </w:rPr>
              <w:t>www</w:t>
            </w:r>
            <w:r>
              <w:rPr>
                <w:rFonts w:ascii="Times New Roman" w:hAnsi="Times New Roman" w:eastAsia="Times New Roman" w:cs="Times New Roman"/>
                <w:color w:val="auto"/>
                <w:spacing w:val="11"/>
                <w:lang w:eastAsia="zh-CN"/>
              </w:rPr>
              <w:t>.</w:t>
            </w:r>
            <w:r>
              <w:rPr>
                <w:rFonts w:ascii="Times New Roman" w:hAnsi="Times New Roman" w:eastAsia="Times New Roman" w:cs="Times New Roman"/>
                <w:color w:val="auto"/>
                <w:lang w:eastAsia="zh-CN"/>
              </w:rPr>
              <w:t>zcygov</w:t>
            </w:r>
            <w:r>
              <w:rPr>
                <w:rFonts w:ascii="Times New Roman" w:hAnsi="Times New Roman" w:eastAsia="Times New Roman" w:cs="Times New Roman"/>
                <w:color w:val="auto"/>
                <w:spacing w:val="11"/>
                <w:lang w:eastAsia="zh-CN"/>
              </w:rPr>
              <w:t>.</w:t>
            </w:r>
            <w:r>
              <w:rPr>
                <w:rFonts w:ascii="Times New Roman" w:hAnsi="Times New Roman" w:eastAsia="Times New Roman" w:cs="Times New Roman"/>
                <w:color w:val="auto"/>
                <w:lang w:eastAsia="zh-CN"/>
              </w:rPr>
              <w:t>cn</w:t>
            </w:r>
            <w:r>
              <w:rPr>
                <w:rFonts w:ascii="Times New Roman" w:hAnsi="Times New Roman" w:eastAsia="Times New Roman" w:cs="Times New Roman"/>
                <w:color w:val="auto"/>
                <w:spacing w:val="11"/>
                <w:lang w:eastAsia="zh-CN"/>
              </w:rPr>
              <w:t>/</w:t>
            </w:r>
            <w:r>
              <w:rPr>
                <w:rFonts w:ascii="Times New Roman" w:hAnsi="Times New Roman" w:eastAsia="Times New Roman" w:cs="Times New Roman"/>
                <w:color w:val="auto"/>
                <w:spacing w:val="11"/>
                <w:lang w:eastAsia="zh-CN"/>
              </w:rPr>
              <w:fldChar w:fldCharType="end"/>
            </w:r>
            <w:r>
              <w:rPr>
                <w:color w:val="auto"/>
                <w:spacing w:val="11"/>
                <w:lang w:eastAsia="zh-CN"/>
              </w:rPr>
              <w:t>）下载专区查看，如有</w:t>
            </w:r>
            <w:r>
              <w:rPr>
                <w:color w:val="auto"/>
                <w:spacing w:val="7"/>
                <w:lang w:eastAsia="zh-CN"/>
              </w:rPr>
              <w:t>问题可拨打政采云客户服务热线</w:t>
            </w:r>
            <w:r>
              <w:rPr>
                <w:rFonts w:hint="eastAsia" w:ascii="Times New Roman" w:hAnsi="Times New Roman" w:eastAsia="Times New Roman" w:cs="Times New Roman"/>
                <w:color w:val="auto"/>
                <w:spacing w:val="7"/>
                <w:lang w:val="en-US" w:eastAsia="zh-CN"/>
              </w:rPr>
              <w:t>95763</w:t>
            </w:r>
            <w:r>
              <w:rPr>
                <w:color w:val="auto"/>
                <w:spacing w:val="7"/>
                <w:lang w:eastAsia="zh-CN"/>
              </w:rPr>
              <w:t>进行咨</w:t>
            </w:r>
            <w:r>
              <w:rPr>
                <w:color w:val="auto"/>
                <w:spacing w:val="6"/>
                <w:lang w:eastAsia="zh-CN"/>
              </w:rPr>
              <w:t>询。</w:t>
            </w:r>
          </w:p>
        </w:tc>
      </w:tr>
      <w:tr w14:paraId="3CD050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39" w:type="dxa"/>
            <w:gridSpan w:val="3"/>
            <w:tcMar>
              <w:top w:w="0" w:type="dxa"/>
              <w:left w:w="0" w:type="dxa"/>
              <w:bottom w:w="0" w:type="dxa"/>
              <w:right w:w="0" w:type="dxa"/>
            </w:tcMar>
          </w:tcPr>
          <w:p w14:paraId="71E0E6A4">
            <w:pPr>
              <w:keepNext w:val="0"/>
              <w:keepLines w:val="0"/>
              <w:pageBreakBefore w:val="0"/>
              <w:widowControl/>
              <w:wordWrap/>
              <w:overflowPunct w:val="0"/>
              <w:topLinePunct w:val="0"/>
              <w:bidi w:val="0"/>
              <w:snapToGrid w:val="0"/>
              <w:spacing w:line="360" w:lineRule="auto"/>
              <w:rPr>
                <w:color w:val="auto"/>
                <w:lang w:eastAsia="zh-CN"/>
              </w:rPr>
            </w:pPr>
          </w:p>
          <w:p w14:paraId="253DC273">
            <w:pPr>
              <w:keepNext w:val="0"/>
              <w:keepLines w:val="0"/>
              <w:pageBreakBefore w:val="0"/>
              <w:widowControl/>
              <w:wordWrap/>
              <w:overflowPunct w:val="0"/>
              <w:topLinePunct w:val="0"/>
              <w:bidi w:val="0"/>
              <w:snapToGrid w:val="0"/>
              <w:spacing w:before="60" w:line="360" w:lineRule="auto"/>
              <w:ind w:left="366"/>
              <w:rPr>
                <w:rFonts w:ascii="Tahoma" w:hAnsi="Tahoma" w:eastAsia="宋体" w:cs="Tahoma"/>
                <w:color w:val="auto"/>
                <w:sz w:val="20"/>
                <w:szCs w:val="20"/>
                <w:lang w:eastAsia="zh-CN"/>
              </w:rPr>
            </w:pPr>
            <w:r>
              <w:rPr>
                <w:rFonts w:hint="eastAsia" w:ascii="Tahoma" w:hAnsi="Tahoma" w:eastAsia="宋体" w:cs="Tahoma"/>
                <w:color w:val="auto"/>
                <w:sz w:val="20"/>
                <w:szCs w:val="20"/>
                <w:lang w:eastAsia="zh-CN"/>
              </w:rPr>
              <w:t>2</w:t>
            </w:r>
            <w:r>
              <w:rPr>
                <w:rFonts w:hint="eastAsia" w:ascii="Tahoma" w:hAnsi="Tahoma" w:eastAsia="宋体" w:cs="Tahoma"/>
                <w:color w:val="auto"/>
                <w:sz w:val="20"/>
                <w:szCs w:val="20"/>
                <w:lang w:val="en-US" w:eastAsia="zh-CN"/>
              </w:rPr>
              <w:t>2</w:t>
            </w:r>
          </w:p>
        </w:tc>
        <w:tc>
          <w:tcPr>
            <w:tcW w:w="1662" w:type="dxa"/>
            <w:gridSpan w:val="2"/>
            <w:tcMar>
              <w:top w:w="0" w:type="dxa"/>
              <w:left w:w="0" w:type="dxa"/>
              <w:bottom w:w="0" w:type="dxa"/>
              <w:right w:w="0" w:type="dxa"/>
            </w:tcMar>
          </w:tcPr>
          <w:p w14:paraId="38E7FDCD">
            <w:pPr>
              <w:pStyle w:val="27"/>
              <w:keepNext w:val="0"/>
              <w:keepLines w:val="0"/>
              <w:pageBreakBefore w:val="0"/>
              <w:widowControl/>
              <w:wordWrap/>
              <w:overflowPunct w:val="0"/>
              <w:topLinePunct w:val="0"/>
              <w:bidi w:val="0"/>
              <w:snapToGrid w:val="0"/>
              <w:spacing w:before="271" w:line="360" w:lineRule="auto"/>
              <w:ind w:left="111" w:right="107" w:firstLine="1"/>
              <w:rPr>
                <w:color w:val="auto"/>
              </w:rPr>
            </w:pPr>
            <w:r>
              <w:rPr>
                <w:color w:val="auto"/>
                <w:spacing w:val="38"/>
              </w:rPr>
              <w:t>投标文件解</w:t>
            </w:r>
            <w:r>
              <w:rPr>
                <w:color w:val="auto"/>
                <w:spacing w:val="3"/>
              </w:rPr>
              <w:t xml:space="preserve"> </w:t>
            </w:r>
            <w:r>
              <w:rPr>
                <w:color w:val="auto"/>
              </w:rPr>
              <w:t>密</w:t>
            </w:r>
          </w:p>
        </w:tc>
        <w:tc>
          <w:tcPr>
            <w:tcW w:w="7201" w:type="dxa"/>
            <w:tcMar>
              <w:top w:w="0" w:type="dxa"/>
              <w:left w:w="0" w:type="dxa"/>
              <w:bottom w:w="0" w:type="dxa"/>
              <w:right w:w="0" w:type="dxa"/>
            </w:tcMar>
          </w:tcPr>
          <w:p w14:paraId="52D4B8A8">
            <w:pPr>
              <w:pStyle w:val="27"/>
              <w:keepNext w:val="0"/>
              <w:keepLines w:val="0"/>
              <w:pageBreakBefore w:val="0"/>
              <w:widowControl/>
              <w:wordWrap/>
              <w:overflowPunct w:val="0"/>
              <w:topLinePunct w:val="0"/>
              <w:bidi w:val="0"/>
              <w:snapToGrid w:val="0"/>
              <w:spacing w:before="30" w:line="360" w:lineRule="auto"/>
              <w:ind w:left="111" w:right="108" w:firstLine="1"/>
              <w:jc w:val="both"/>
              <w:rPr>
                <w:color w:val="auto"/>
                <w:lang w:eastAsia="zh-CN"/>
              </w:rPr>
            </w:pPr>
            <w:r>
              <w:rPr>
                <w:color w:val="auto"/>
                <w:spacing w:val="3"/>
                <w:lang w:eastAsia="zh-CN"/>
              </w:rPr>
              <w:t>开标时间后</w:t>
            </w:r>
            <w:r>
              <w:rPr>
                <w:color w:val="auto"/>
                <w:spacing w:val="-18"/>
                <w:lang w:eastAsia="zh-CN"/>
              </w:rPr>
              <w:t xml:space="preserve"> </w:t>
            </w:r>
            <w:r>
              <w:rPr>
                <w:rFonts w:ascii="Tahoma" w:hAnsi="Tahoma" w:eastAsia="Tahoma" w:cs="Tahoma"/>
                <w:color w:val="auto"/>
                <w:spacing w:val="3"/>
                <w:lang w:eastAsia="zh-CN"/>
              </w:rPr>
              <w:t xml:space="preserve">30 </w:t>
            </w:r>
            <w:r>
              <w:rPr>
                <w:rFonts w:hint="eastAsia" w:ascii="宋体" w:hAnsi="宋体" w:eastAsia="宋体" w:cs="宋体"/>
                <w:color w:val="auto"/>
                <w:spacing w:val="3"/>
                <w:lang w:eastAsia="zh-CN"/>
              </w:rPr>
              <w:t>分钟内（202</w:t>
            </w:r>
            <w:r>
              <w:rPr>
                <w:rFonts w:hint="eastAsia" w:cs="宋体"/>
                <w:color w:val="auto"/>
                <w:spacing w:val="3"/>
                <w:lang w:val="en-US" w:eastAsia="zh-CN"/>
              </w:rPr>
              <w:t>5</w:t>
            </w:r>
            <w:r>
              <w:rPr>
                <w:rFonts w:hint="eastAsia" w:ascii="宋体" w:hAnsi="宋体" w:eastAsia="宋体" w:cs="宋体"/>
                <w:color w:val="auto"/>
                <w:spacing w:val="3"/>
                <w:lang w:eastAsia="zh-CN"/>
              </w:rPr>
              <w:t>年</w:t>
            </w:r>
            <w:r>
              <w:rPr>
                <w:rFonts w:hint="eastAsia" w:cs="宋体"/>
                <w:color w:val="auto"/>
                <w:spacing w:val="3"/>
                <w:lang w:val="en-US" w:eastAsia="zh-CN"/>
              </w:rPr>
              <w:t>04</w:t>
            </w:r>
            <w:r>
              <w:rPr>
                <w:rFonts w:hint="eastAsia" w:ascii="宋体" w:hAnsi="宋体" w:eastAsia="宋体" w:cs="宋体"/>
                <w:color w:val="auto"/>
                <w:spacing w:val="3"/>
                <w:lang w:eastAsia="zh-CN"/>
              </w:rPr>
              <w:t>月</w:t>
            </w:r>
            <w:r>
              <w:rPr>
                <w:rFonts w:hint="eastAsia" w:cs="宋体"/>
                <w:color w:val="auto"/>
                <w:spacing w:val="3"/>
                <w:lang w:val="en-US" w:eastAsia="zh-CN"/>
              </w:rPr>
              <w:t>29</w:t>
            </w:r>
            <w:r>
              <w:rPr>
                <w:rFonts w:hint="eastAsia" w:ascii="宋体" w:hAnsi="宋体" w:eastAsia="宋体" w:cs="宋体"/>
                <w:color w:val="auto"/>
                <w:spacing w:val="3"/>
                <w:lang w:eastAsia="zh-CN"/>
              </w:rPr>
              <w:t>日 1</w:t>
            </w:r>
            <w:r>
              <w:rPr>
                <w:rFonts w:hint="eastAsia" w:cs="宋体"/>
                <w:color w:val="auto"/>
                <w:spacing w:val="3"/>
                <w:lang w:val="en-US" w:eastAsia="zh-CN"/>
              </w:rPr>
              <w:t>6</w:t>
            </w:r>
            <w:r>
              <w:rPr>
                <w:rFonts w:hint="eastAsia" w:ascii="宋体" w:hAnsi="宋体" w:eastAsia="宋体" w:cs="宋体"/>
                <w:color w:val="auto"/>
                <w:spacing w:val="3"/>
                <w:lang w:eastAsia="zh-CN"/>
              </w:rPr>
              <w:t>:00-1</w:t>
            </w:r>
            <w:r>
              <w:rPr>
                <w:rFonts w:hint="eastAsia" w:cs="宋体"/>
                <w:color w:val="auto"/>
                <w:spacing w:val="3"/>
                <w:lang w:val="en-US" w:eastAsia="zh-CN"/>
              </w:rPr>
              <w:t>6</w:t>
            </w:r>
            <w:r>
              <w:rPr>
                <w:rFonts w:hint="eastAsia" w:ascii="宋体" w:hAnsi="宋体" w:eastAsia="宋体" w:cs="宋体"/>
                <w:color w:val="auto"/>
                <w:spacing w:val="3"/>
                <w:lang w:eastAsia="zh-CN"/>
              </w:rPr>
              <w:t>：30前）服务</w:t>
            </w:r>
            <w:r>
              <w:rPr>
                <w:rFonts w:hint="eastAsia"/>
                <w:color w:val="auto"/>
                <w:spacing w:val="3"/>
                <w:lang w:eastAsia="zh-CN"/>
              </w:rPr>
              <w:t>商</w:t>
            </w:r>
            <w:r>
              <w:rPr>
                <w:color w:val="auto"/>
                <w:spacing w:val="3"/>
                <w:lang w:eastAsia="zh-CN"/>
              </w:rPr>
              <w:t>可以登</w:t>
            </w:r>
            <w:r>
              <w:rPr>
                <w:color w:val="auto"/>
                <w:spacing w:val="10"/>
                <w:lang w:eastAsia="zh-CN"/>
              </w:rPr>
              <w:t>录“政采云</w:t>
            </w:r>
            <w:r>
              <w:rPr>
                <w:color w:val="auto"/>
                <w:spacing w:val="-70"/>
                <w:lang w:eastAsia="zh-CN"/>
              </w:rPr>
              <w:t xml:space="preserve"> </w:t>
            </w:r>
            <w:r>
              <w:rPr>
                <w:color w:val="auto"/>
                <w:spacing w:val="10"/>
                <w:lang w:eastAsia="zh-CN"/>
              </w:rPr>
              <w:t>”平台，用“项目采购</w:t>
            </w:r>
            <w:r>
              <w:rPr>
                <w:rFonts w:ascii="Tahoma" w:hAnsi="Tahoma" w:eastAsia="Tahoma" w:cs="Tahoma"/>
                <w:color w:val="auto"/>
                <w:spacing w:val="10"/>
                <w:lang w:eastAsia="zh-CN"/>
              </w:rPr>
              <w:t>-</w:t>
            </w:r>
            <w:r>
              <w:rPr>
                <w:color w:val="auto"/>
                <w:spacing w:val="10"/>
                <w:lang w:eastAsia="zh-CN"/>
              </w:rPr>
              <w:t>开标评标</w:t>
            </w:r>
            <w:r>
              <w:rPr>
                <w:color w:val="auto"/>
                <w:spacing w:val="-68"/>
                <w:lang w:eastAsia="zh-CN"/>
              </w:rPr>
              <w:t xml:space="preserve"> </w:t>
            </w:r>
            <w:r>
              <w:rPr>
                <w:color w:val="auto"/>
                <w:spacing w:val="10"/>
                <w:lang w:eastAsia="zh-CN"/>
              </w:rPr>
              <w:t>”功能进行解密投标文件。若</w:t>
            </w:r>
            <w:r>
              <w:rPr>
                <w:rFonts w:hint="eastAsia"/>
                <w:color w:val="auto"/>
                <w:spacing w:val="10"/>
                <w:lang w:eastAsia="zh-CN"/>
              </w:rPr>
              <w:t>服务商</w:t>
            </w:r>
            <w:r>
              <w:rPr>
                <w:color w:val="auto"/>
                <w:spacing w:val="5"/>
                <w:lang w:eastAsia="zh-CN"/>
              </w:rPr>
              <w:t>在规定时间内未按时解密的，视</w:t>
            </w:r>
            <w:r>
              <w:rPr>
                <w:color w:val="auto"/>
                <w:spacing w:val="4"/>
                <w:lang w:eastAsia="zh-CN"/>
              </w:rPr>
              <w:t>为投标文件</w:t>
            </w:r>
            <w:r>
              <w:rPr>
                <w:color w:val="auto"/>
                <w:spacing w:val="3"/>
                <w:lang w:eastAsia="zh-CN"/>
              </w:rPr>
              <w:t>撤回。</w:t>
            </w:r>
          </w:p>
        </w:tc>
      </w:tr>
      <w:tr w14:paraId="0C462E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39" w:type="dxa"/>
            <w:gridSpan w:val="3"/>
            <w:tcMar>
              <w:top w:w="0" w:type="dxa"/>
              <w:left w:w="0" w:type="dxa"/>
              <w:bottom w:w="0" w:type="dxa"/>
              <w:right w:w="0" w:type="dxa"/>
            </w:tcMar>
            <w:vAlign w:val="center"/>
          </w:tcPr>
          <w:p w14:paraId="0AB09AB9">
            <w:pPr>
              <w:keepNext w:val="0"/>
              <w:keepLines w:val="0"/>
              <w:pageBreakBefore w:val="0"/>
              <w:widowControl/>
              <w:wordWrap/>
              <w:overflowPunct w:val="0"/>
              <w:topLinePunct w:val="0"/>
              <w:bidi w:val="0"/>
              <w:snapToGrid w:val="0"/>
              <w:spacing w:before="60" w:line="360" w:lineRule="auto"/>
              <w:ind w:left="366"/>
              <w:jc w:val="both"/>
              <w:rPr>
                <w:rFonts w:hint="default" w:ascii="Tahoma" w:hAnsi="Tahoma" w:eastAsia="宋体" w:cs="Tahoma"/>
                <w:color w:val="auto"/>
                <w:spacing w:val="-8"/>
                <w:sz w:val="20"/>
                <w:szCs w:val="20"/>
                <w:lang w:val="en-US" w:eastAsia="zh-CN"/>
              </w:rPr>
            </w:pPr>
            <w:r>
              <w:rPr>
                <w:rFonts w:hint="eastAsia" w:ascii="Tahoma" w:hAnsi="Tahoma" w:eastAsia="宋体" w:cs="Tahoma"/>
                <w:color w:val="auto"/>
                <w:spacing w:val="-8"/>
                <w:sz w:val="20"/>
                <w:szCs w:val="20"/>
                <w:lang w:val="en-US" w:eastAsia="zh-CN"/>
              </w:rPr>
              <w:t>23</w:t>
            </w:r>
          </w:p>
        </w:tc>
        <w:tc>
          <w:tcPr>
            <w:tcW w:w="1662" w:type="dxa"/>
            <w:gridSpan w:val="2"/>
            <w:tcMar>
              <w:top w:w="0" w:type="dxa"/>
              <w:left w:w="0" w:type="dxa"/>
              <w:bottom w:w="0" w:type="dxa"/>
              <w:right w:w="0" w:type="dxa"/>
            </w:tcMar>
            <w:vAlign w:val="center"/>
          </w:tcPr>
          <w:p w14:paraId="16DD6B57">
            <w:pPr>
              <w:pStyle w:val="27"/>
              <w:keepNext w:val="0"/>
              <w:keepLines w:val="0"/>
              <w:pageBreakBefore w:val="0"/>
              <w:widowControl/>
              <w:wordWrap/>
              <w:overflowPunct w:val="0"/>
              <w:topLinePunct w:val="0"/>
              <w:bidi w:val="0"/>
              <w:snapToGrid w:val="0"/>
              <w:spacing w:before="271" w:line="360" w:lineRule="auto"/>
              <w:ind w:left="111" w:right="107" w:firstLine="1"/>
              <w:jc w:val="both"/>
              <w:rPr>
                <w:color w:val="auto"/>
                <w:spacing w:val="38"/>
              </w:rPr>
            </w:pPr>
            <w:r>
              <w:rPr>
                <w:color w:val="auto"/>
                <w:spacing w:val="38"/>
                <w:lang w:eastAsia="zh-CN"/>
              </w:rPr>
              <w:t>履约保证金</w:t>
            </w:r>
          </w:p>
        </w:tc>
        <w:tc>
          <w:tcPr>
            <w:tcW w:w="7201" w:type="dxa"/>
            <w:tcMar>
              <w:top w:w="0" w:type="dxa"/>
              <w:left w:w="0" w:type="dxa"/>
              <w:bottom w:w="0" w:type="dxa"/>
              <w:right w:w="0" w:type="dxa"/>
            </w:tcMar>
          </w:tcPr>
          <w:p w14:paraId="1679EE23">
            <w:pPr>
              <w:pStyle w:val="27"/>
              <w:keepNext w:val="0"/>
              <w:keepLines w:val="0"/>
              <w:pageBreakBefore w:val="0"/>
              <w:widowControl/>
              <w:wordWrap/>
              <w:overflowPunct w:val="0"/>
              <w:topLinePunct w:val="0"/>
              <w:bidi w:val="0"/>
              <w:snapToGrid w:val="0"/>
              <w:spacing w:before="102" w:line="360" w:lineRule="auto"/>
              <w:ind w:left="111" w:right="37" w:firstLine="16"/>
              <w:jc w:val="both"/>
              <w:rPr>
                <w:color w:val="auto"/>
                <w:spacing w:val="8"/>
                <w:lang w:eastAsia="zh-CN"/>
              </w:rPr>
            </w:pPr>
            <w:r>
              <w:rPr>
                <w:rFonts w:hint="eastAsia"/>
                <w:color w:val="auto"/>
                <w:spacing w:val="8"/>
                <w:lang w:eastAsia="zh-CN"/>
              </w:rPr>
              <w:t>缴纳形式：支票、汇票、本票或者金融机构、担保机构出具的保函等非现金形式提交</w:t>
            </w:r>
            <w:r>
              <w:rPr>
                <w:color w:val="auto"/>
                <w:spacing w:val="8"/>
                <w:lang w:eastAsia="zh-CN"/>
              </w:rPr>
              <w:t>。</w:t>
            </w:r>
          </w:p>
          <w:p w14:paraId="124ADB0F">
            <w:pPr>
              <w:pStyle w:val="27"/>
              <w:keepNext w:val="0"/>
              <w:keepLines w:val="0"/>
              <w:pageBreakBefore w:val="0"/>
              <w:widowControl/>
              <w:wordWrap/>
              <w:overflowPunct w:val="0"/>
              <w:topLinePunct w:val="0"/>
              <w:bidi w:val="0"/>
              <w:snapToGrid w:val="0"/>
              <w:spacing w:before="102" w:line="360" w:lineRule="auto"/>
              <w:ind w:left="111" w:right="37" w:firstLine="16"/>
              <w:jc w:val="both"/>
              <w:rPr>
                <w:color w:val="auto"/>
                <w:spacing w:val="8"/>
                <w:lang w:eastAsia="zh-CN"/>
              </w:rPr>
            </w:pPr>
            <w:r>
              <w:rPr>
                <w:color w:val="auto"/>
                <w:spacing w:val="8"/>
                <w:lang w:eastAsia="zh-CN"/>
              </w:rPr>
              <w:t>交纳金额：</w:t>
            </w:r>
            <w:r>
              <w:rPr>
                <w:rFonts w:hint="eastAsia"/>
                <w:color w:val="auto"/>
                <w:spacing w:val="8"/>
                <w:lang w:val="en-US" w:eastAsia="zh-CN"/>
              </w:rPr>
              <w:t>本项目不收取。</w:t>
            </w:r>
          </w:p>
          <w:p w14:paraId="44D918BA">
            <w:pPr>
              <w:pStyle w:val="27"/>
              <w:keepNext w:val="0"/>
              <w:keepLines w:val="0"/>
              <w:pageBreakBefore w:val="0"/>
              <w:widowControl/>
              <w:wordWrap/>
              <w:overflowPunct w:val="0"/>
              <w:topLinePunct w:val="0"/>
              <w:bidi w:val="0"/>
              <w:snapToGrid w:val="0"/>
              <w:spacing w:before="102" w:line="360" w:lineRule="auto"/>
              <w:ind w:left="111" w:right="37" w:firstLine="16"/>
              <w:jc w:val="both"/>
              <w:rPr>
                <w:color w:val="auto"/>
                <w:spacing w:val="3"/>
                <w:lang w:eastAsia="zh-CN"/>
              </w:rPr>
            </w:pPr>
            <w:r>
              <w:rPr>
                <w:color w:val="auto"/>
                <w:spacing w:val="8"/>
                <w:lang w:eastAsia="zh-CN"/>
              </w:rPr>
              <w:t>履约保证金退还时间：</w:t>
            </w:r>
            <w:r>
              <w:rPr>
                <w:rFonts w:hint="eastAsia"/>
                <w:color w:val="auto"/>
                <w:spacing w:val="8"/>
                <w:lang w:val="en-US" w:eastAsia="zh-CN"/>
              </w:rPr>
              <w:t>/</w:t>
            </w:r>
          </w:p>
        </w:tc>
      </w:tr>
      <w:tr w14:paraId="44996D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39" w:type="dxa"/>
            <w:gridSpan w:val="3"/>
            <w:tcMar>
              <w:top w:w="0" w:type="dxa"/>
              <w:left w:w="0" w:type="dxa"/>
              <w:bottom w:w="0" w:type="dxa"/>
              <w:right w:w="0" w:type="dxa"/>
            </w:tcMar>
            <w:vAlign w:val="center"/>
          </w:tcPr>
          <w:p w14:paraId="1A697AB6">
            <w:pPr>
              <w:keepNext w:val="0"/>
              <w:keepLines w:val="0"/>
              <w:pageBreakBefore w:val="0"/>
              <w:widowControl/>
              <w:wordWrap/>
              <w:overflowPunct w:val="0"/>
              <w:topLinePunct w:val="0"/>
              <w:bidi w:val="0"/>
              <w:snapToGrid w:val="0"/>
              <w:spacing w:before="60" w:line="360" w:lineRule="auto"/>
              <w:ind w:left="366"/>
              <w:jc w:val="both"/>
              <w:rPr>
                <w:rFonts w:hint="default" w:ascii="Tahoma" w:hAnsi="Tahoma" w:eastAsia="宋体" w:cs="Tahoma"/>
                <w:color w:val="auto"/>
                <w:sz w:val="20"/>
                <w:szCs w:val="20"/>
                <w:lang w:val="en-US" w:eastAsia="zh-CN"/>
              </w:rPr>
            </w:pPr>
            <w:r>
              <w:rPr>
                <w:rFonts w:hint="eastAsia" w:ascii="Tahoma" w:hAnsi="Tahoma" w:eastAsia="宋体" w:cs="Tahoma"/>
                <w:color w:val="auto"/>
                <w:sz w:val="20"/>
                <w:szCs w:val="20"/>
                <w:lang w:val="en-US" w:eastAsia="zh-CN"/>
              </w:rPr>
              <w:t>24</w:t>
            </w:r>
          </w:p>
        </w:tc>
        <w:tc>
          <w:tcPr>
            <w:tcW w:w="1662" w:type="dxa"/>
            <w:gridSpan w:val="2"/>
            <w:tcMar>
              <w:top w:w="0" w:type="dxa"/>
              <w:left w:w="0" w:type="dxa"/>
              <w:bottom w:w="0" w:type="dxa"/>
              <w:right w:w="0" w:type="dxa"/>
            </w:tcMar>
            <w:vAlign w:val="center"/>
          </w:tcPr>
          <w:p w14:paraId="6723D11D">
            <w:pPr>
              <w:keepNext w:val="0"/>
              <w:keepLines w:val="0"/>
              <w:pageBreakBefore w:val="0"/>
              <w:widowControl/>
              <w:wordWrap/>
              <w:overflowPunct w:val="0"/>
              <w:topLinePunct w:val="0"/>
              <w:bidi w:val="0"/>
              <w:snapToGrid w:val="0"/>
              <w:spacing w:line="360" w:lineRule="auto"/>
              <w:jc w:val="both"/>
              <w:rPr>
                <w:rFonts w:eastAsia="宋体"/>
                <w:color w:val="auto"/>
                <w:lang w:eastAsia="zh-CN"/>
              </w:rPr>
            </w:pPr>
            <w:r>
              <w:rPr>
                <w:rFonts w:hint="eastAsia" w:eastAsia="宋体"/>
                <w:color w:val="auto"/>
                <w:lang w:eastAsia="zh-CN"/>
              </w:rPr>
              <w:t>其他</w:t>
            </w:r>
          </w:p>
        </w:tc>
        <w:tc>
          <w:tcPr>
            <w:tcW w:w="7201" w:type="dxa"/>
            <w:tcMar>
              <w:top w:w="0" w:type="dxa"/>
              <w:left w:w="0" w:type="dxa"/>
              <w:bottom w:w="0" w:type="dxa"/>
              <w:right w:w="0" w:type="dxa"/>
            </w:tcMar>
          </w:tcPr>
          <w:p w14:paraId="6F1FB172">
            <w:pPr>
              <w:pStyle w:val="27"/>
              <w:keepNext w:val="0"/>
              <w:keepLines w:val="0"/>
              <w:pageBreakBefore w:val="0"/>
              <w:widowControl/>
              <w:wordWrap/>
              <w:overflowPunct w:val="0"/>
              <w:topLinePunct w:val="0"/>
              <w:bidi w:val="0"/>
              <w:snapToGrid w:val="0"/>
              <w:spacing w:before="57" w:line="360" w:lineRule="auto"/>
              <w:ind w:left="112" w:right="108"/>
              <w:rPr>
                <w:color w:val="auto"/>
                <w:spacing w:val="14"/>
                <w:lang w:eastAsia="zh-CN"/>
              </w:rPr>
            </w:pPr>
            <w:r>
              <w:rPr>
                <w:rFonts w:hint="eastAsia"/>
                <w:color w:val="auto"/>
                <w:spacing w:val="14"/>
                <w:lang w:eastAsia="zh-CN"/>
              </w:rPr>
              <w:t>1、请在领取招标文件的有效日期内领取文件，过期将无法领取。本项目招标公告发布截止日后，请持续关注本项目后续网上发布澄清变更等内容。若再次发布招标公告，第一次成功领取招标文件的潜在服务商应重新领取招标文件。</w:t>
            </w:r>
          </w:p>
          <w:p w14:paraId="2C6C7BB7">
            <w:pPr>
              <w:pStyle w:val="27"/>
              <w:keepNext w:val="0"/>
              <w:keepLines w:val="0"/>
              <w:pageBreakBefore w:val="0"/>
              <w:widowControl/>
              <w:wordWrap/>
              <w:overflowPunct w:val="0"/>
              <w:topLinePunct w:val="0"/>
              <w:bidi w:val="0"/>
              <w:snapToGrid w:val="0"/>
              <w:spacing w:before="57" w:line="360" w:lineRule="auto"/>
              <w:ind w:left="112" w:right="108"/>
              <w:rPr>
                <w:color w:val="auto"/>
                <w:spacing w:val="14"/>
                <w:lang w:eastAsia="zh-CN"/>
              </w:rPr>
            </w:pPr>
            <w:r>
              <w:rPr>
                <w:rFonts w:hint="eastAsia"/>
                <w:color w:val="auto"/>
                <w:spacing w:val="14"/>
                <w:lang w:eastAsia="zh-CN"/>
              </w:rPr>
              <w:t>2、按评审办法提供材料，若招标文件评分项中规定须提供业绩、证件等资料原件作为评分依据的，服务商须在投标文件中附原件的直接扫描件并清晰可辨，否则视为未提供评标证明资料。</w:t>
            </w:r>
          </w:p>
          <w:p w14:paraId="79B5FA44">
            <w:pPr>
              <w:pStyle w:val="27"/>
              <w:keepNext w:val="0"/>
              <w:keepLines w:val="0"/>
              <w:pageBreakBefore w:val="0"/>
              <w:widowControl/>
              <w:wordWrap/>
              <w:overflowPunct w:val="0"/>
              <w:topLinePunct w:val="0"/>
              <w:bidi w:val="0"/>
              <w:snapToGrid w:val="0"/>
              <w:spacing w:before="57" w:line="360" w:lineRule="auto"/>
              <w:ind w:left="112" w:right="108"/>
              <w:rPr>
                <w:color w:val="auto"/>
                <w:spacing w:val="14"/>
                <w:lang w:eastAsia="zh-CN"/>
              </w:rPr>
            </w:pPr>
            <w:r>
              <w:rPr>
                <w:rFonts w:hint="eastAsia"/>
                <w:color w:val="auto"/>
                <w:spacing w:val="14"/>
                <w:lang w:eastAsia="zh-CN"/>
              </w:rPr>
              <w:t>3、服务商使用相同IP地址的，一经发现，相关部门将进一步核实，查实后按串通投标处理。</w:t>
            </w:r>
          </w:p>
          <w:p w14:paraId="23DFEC65">
            <w:pPr>
              <w:pStyle w:val="27"/>
              <w:keepNext w:val="0"/>
              <w:keepLines w:val="0"/>
              <w:pageBreakBefore w:val="0"/>
              <w:widowControl/>
              <w:wordWrap/>
              <w:overflowPunct w:val="0"/>
              <w:topLinePunct w:val="0"/>
              <w:bidi w:val="0"/>
              <w:snapToGrid w:val="0"/>
              <w:spacing w:before="57" w:line="360" w:lineRule="auto"/>
              <w:ind w:left="112" w:right="108"/>
              <w:rPr>
                <w:color w:val="auto"/>
                <w:spacing w:val="14"/>
                <w:lang w:eastAsia="zh-CN"/>
              </w:rPr>
            </w:pPr>
            <w:r>
              <w:rPr>
                <w:rFonts w:hint="eastAsia"/>
                <w:color w:val="auto"/>
                <w:spacing w:val="14"/>
                <w:lang w:eastAsia="zh-CN"/>
              </w:rPr>
              <w:t>4、为保证本项目质量，良好的售后服务，最低报价不作为中标的唯一依据。（为防止恶意竞争，保证采购人能采购优质低价产品，服务商的报价如果明显低于其他通过符合性审查服务商的所有报价平均值的，有可能影响产品质量或者不能诚信履约的，评标委员会有权要求服务商在评标现场合理的时间内提供书面说明，必要时提交相关证明材料，服务商不能证明其报价合理性的，评标委员会应当将其作为无效投标处理。）</w:t>
            </w:r>
          </w:p>
          <w:p w14:paraId="527C192D">
            <w:pPr>
              <w:pStyle w:val="27"/>
              <w:keepNext w:val="0"/>
              <w:keepLines w:val="0"/>
              <w:pageBreakBefore w:val="0"/>
              <w:widowControl/>
              <w:wordWrap/>
              <w:overflowPunct w:val="0"/>
              <w:topLinePunct w:val="0"/>
              <w:bidi w:val="0"/>
              <w:snapToGrid w:val="0"/>
              <w:spacing w:before="57" w:line="360" w:lineRule="auto"/>
              <w:ind w:left="112" w:right="108"/>
              <w:rPr>
                <w:rFonts w:hint="eastAsia"/>
                <w:color w:val="auto"/>
                <w:spacing w:val="7"/>
                <w:lang w:eastAsia="zh-CN"/>
              </w:rPr>
            </w:pPr>
            <w:r>
              <w:rPr>
                <w:rFonts w:hint="eastAsia"/>
                <w:color w:val="auto"/>
                <w:spacing w:val="7"/>
                <w:lang w:eastAsia="zh-CN"/>
              </w:rPr>
              <w:t>5、无论何种原因，在投标响应文件中的证书材料须提供与原件内容完全一致的扫描件，且内容完整、清晰可辨；提供不全、无法辨认或提供虚假证书材料的，评标委员会可以视同其未提供，并按照有关规定处理。</w:t>
            </w:r>
          </w:p>
          <w:p w14:paraId="7B4AD97A">
            <w:pPr>
              <w:pStyle w:val="27"/>
              <w:keepNext w:val="0"/>
              <w:keepLines w:val="0"/>
              <w:pageBreakBefore w:val="0"/>
              <w:widowControl/>
              <w:wordWrap/>
              <w:overflowPunct w:val="0"/>
              <w:topLinePunct w:val="0"/>
              <w:bidi w:val="0"/>
              <w:snapToGrid w:val="0"/>
              <w:spacing w:before="57" w:line="360" w:lineRule="auto"/>
              <w:ind w:left="112" w:right="108"/>
              <w:rPr>
                <w:rFonts w:hint="eastAsia"/>
                <w:color w:val="auto"/>
                <w:spacing w:val="14"/>
                <w:lang w:eastAsia="zh-CN"/>
              </w:rPr>
            </w:pPr>
            <w:r>
              <w:rPr>
                <w:rFonts w:hint="eastAsia"/>
                <w:color w:val="auto"/>
                <w:spacing w:val="14"/>
                <w:lang w:val="en-US" w:eastAsia="zh-CN"/>
              </w:rPr>
              <w:t>6、</w:t>
            </w:r>
            <w:r>
              <w:rPr>
                <w:rFonts w:hint="eastAsia"/>
                <w:color w:val="auto"/>
                <w:spacing w:val="14"/>
                <w:lang w:eastAsia="zh-CN"/>
              </w:rPr>
              <w:t>中标服务商在收到中标通知书后，须向新疆崇途工程项目管理有限公司支付代理服务费，依据国家发展改革委《关于进一步放开建设项目专业服务价格的通知》(发改价[2015]299号)收取。</w:t>
            </w:r>
          </w:p>
          <w:p w14:paraId="75AB6010">
            <w:pPr>
              <w:pStyle w:val="27"/>
              <w:keepNext w:val="0"/>
              <w:keepLines w:val="0"/>
              <w:pageBreakBefore w:val="0"/>
              <w:widowControl/>
              <w:wordWrap/>
              <w:overflowPunct w:val="0"/>
              <w:topLinePunct w:val="0"/>
              <w:bidi w:val="0"/>
              <w:snapToGrid w:val="0"/>
              <w:spacing w:before="57" w:line="360" w:lineRule="auto"/>
              <w:ind w:left="112" w:right="108"/>
              <w:rPr>
                <w:rFonts w:hint="eastAsia"/>
                <w:color w:val="auto"/>
                <w:spacing w:val="14"/>
                <w:lang w:eastAsia="zh-CN"/>
              </w:rPr>
            </w:pPr>
            <w:r>
              <w:rPr>
                <w:rFonts w:hint="eastAsia"/>
                <w:color w:val="auto"/>
                <w:spacing w:val="14"/>
                <w:lang w:eastAsia="zh-CN"/>
              </w:rPr>
              <w:t>账户信息：</w:t>
            </w:r>
          </w:p>
          <w:p w14:paraId="4FD727E5">
            <w:pPr>
              <w:pStyle w:val="27"/>
              <w:keepNext w:val="0"/>
              <w:keepLines w:val="0"/>
              <w:pageBreakBefore w:val="0"/>
              <w:widowControl/>
              <w:wordWrap/>
              <w:overflowPunct w:val="0"/>
              <w:topLinePunct w:val="0"/>
              <w:bidi w:val="0"/>
              <w:snapToGrid w:val="0"/>
              <w:spacing w:before="57" w:line="360" w:lineRule="auto"/>
              <w:ind w:left="112" w:right="108"/>
              <w:rPr>
                <w:rFonts w:hint="eastAsia" w:ascii="宋体" w:hAnsi="宋体" w:eastAsia="宋体" w:cs="宋体"/>
                <w:color w:val="auto"/>
                <w:spacing w:val="14"/>
                <w:lang w:eastAsia="zh-CN"/>
              </w:rPr>
            </w:pPr>
            <w:r>
              <w:rPr>
                <w:rFonts w:hint="eastAsia" w:ascii="宋体" w:hAnsi="宋体" w:eastAsia="宋体" w:cs="宋体"/>
                <w:color w:val="auto"/>
                <w:spacing w:val="14"/>
                <w:lang w:eastAsia="zh-CN"/>
              </w:rPr>
              <w:t>单位名称：新疆崇途工程项目管理有限公司</w:t>
            </w:r>
          </w:p>
          <w:p w14:paraId="6C7FABAC">
            <w:pPr>
              <w:pStyle w:val="27"/>
              <w:keepNext w:val="0"/>
              <w:keepLines w:val="0"/>
              <w:pageBreakBefore w:val="0"/>
              <w:widowControl/>
              <w:wordWrap/>
              <w:overflowPunct w:val="0"/>
              <w:topLinePunct w:val="0"/>
              <w:bidi w:val="0"/>
              <w:snapToGrid w:val="0"/>
              <w:spacing w:before="57" w:line="360" w:lineRule="auto"/>
              <w:ind w:left="112" w:right="108"/>
              <w:rPr>
                <w:rFonts w:hint="eastAsia" w:ascii="宋体" w:hAnsi="宋体" w:eastAsia="宋体" w:cs="宋体"/>
                <w:color w:val="auto"/>
                <w:spacing w:val="14"/>
                <w:lang w:eastAsia="zh-CN"/>
              </w:rPr>
            </w:pPr>
            <w:r>
              <w:rPr>
                <w:rFonts w:hint="eastAsia" w:ascii="宋体" w:hAnsi="宋体" w:eastAsia="宋体" w:cs="宋体"/>
                <w:color w:val="auto"/>
                <w:spacing w:val="14"/>
                <w:lang w:eastAsia="zh-CN"/>
              </w:rPr>
              <w:t>开户银行：中国建设银行股份有限公司伊犁哈萨克自治州分行营业部</w:t>
            </w:r>
          </w:p>
          <w:p w14:paraId="220E94C4">
            <w:pPr>
              <w:pStyle w:val="27"/>
              <w:keepNext w:val="0"/>
              <w:keepLines w:val="0"/>
              <w:pageBreakBefore w:val="0"/>
              <w:widowControl/>
              <w:wordWrap/>
              <w:overflowPunct w:val="0"/>
              <w:topLinePunct w:val="0"/>
              <w:bidi w:val="0"/>
              <w:snapToGrid w:val="0"/>
              <w:spacing w:before="57" w:line="360" w:lineRule="auto"/>
              <w:ind w:left="112" w:right="108"/>
              <w:rPr>
                <w:rFonts w:hint="eastAsia" w:ascii="宋体" w:hAnsi="宋体" w:eastAsia="宋体" w:cs="宋体"/>
                <w:color w:val="auto"/>
                <w:spacing w:val="14"/>
                <w:lang w:eastAsia="zh-CN"/>
              </w:rPr>
            </w:pPr>
            <w:r>
              <w:rPr>
                <w:rFonts w:hint="eastAsia" w:ascii="宋体" w:hAnsi="宋体" w:eastAsia="宋体" w:cs="宋体"/>
                <w:color w:val="auto"/>
                <w:spacing w:val="14"/>
                <w:lang w:eastAsia="zh-CN"/>
              </w:rPr>
              <w:t>银行账号：65050165605700001964</w:t>
            </w:r>
          </w:p>
          <w:p w14:paraId="055B4DC9">
            <w:pPr>
              <w:pStyle w:val="27"/>
              <w:keepNext w:val="0"/>
              <w:keepLines w:val="0"/>
              <w:pageBreakBefore w:val="0"/>
              <w:widowControl/>
              <w:wordWrap/>
              <w:overflowPunct w:val="0"/>
              <w:topLinePunct w:val="0"/>
              <w:bidi w:val="0"/>
              <w:snapToGrid w:val="0"/>
              <w:spacing w:before="57" w:line="360" w:lineRule="auto"/>
              <w:ind w:left="112" w:right="108"/>
              <w:rPr>
                <w:rFonts w:hint="default"/>
                <w:color w:val="auto"/>
                <w:spacing w:val="14"/>
                <w:lang w:val="en-US" w:eastAsia="zh-CN"/>
              </w:rPr>
            </w:pPr>
            <w:r>
              <w:rPr>
                <w:rFonts w:hint="eastAsia" w:ascii="宋体" w:hAnsi="宋体" w:eastAsia="宋体" w:cs="宋体"/>
                <w:color w:val="auto"/>
                <w:spacing w:val="14"/>
                <w:lang w:eastAsia="zh-CN"/>
              </w:rPr>
              <w:t>行    号：105898000026</w:t>
            </w:r>
          </w:p>
        </w:tc>
      </w:tr>
    </w:tbl>
    <w:p w14:paraId="4B2DF98C">
      <w:pPr>
        <w:spacing w:before="13" w:line="224" w:lineRule="auto"/>
        <w:ind w:left="6" w:right="112"/>
        <w:rPr>
          <w:rFonts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pPr>
    </w:p>
    <w:p w14:paraId="22BF98BC">
      <w:pPr>
        <w:spacing w:before="13" w:line="224" w:lineRule="auto"/>
        <w:ind w:left="6" w:right="112"/>
        <w:rPr>
          <w:rFonts w:ascii="宋体" w:hAnsi="宋体" w:eastAsia="宋体" w:cs="宋体"/>
          <w:color w:val="auto"/>
          <w:sz w:val="20"/>
          <w:szCs w:val="20"/>
          <w:lang w:eastAsia="zh-CN"/>
        </w:rPr>
      </w:pPr>
      <w:r>
        <w:rPr>
          <w:rFonts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注：</w:t>
      </w:r>
      <w:r>
        <w:rPr>
          <w:rFonts w:ascii="宋体" w:hAnsi="宋体" w:eastAsia="宋体" w:cs="宋体"/>
          <w:color w:val="auto"/>
          <w:spacing w:val="11"/>
          <w:sz w:val="20"/>
          <w:szCs w:val="20"/>
          <w:lang w:eastAsia="zh-CN"/>
        </w:rPr>
        <w:t>本须知前附表的条款号是与《投标人须知》</w:t>
      </w:r>
      <w:r>
        <w:rPr>
          <w:rFonts w:ascii="宋体" w:hAnsi="宋体" w:eastAsia="宋体" w:cs="宋体"/>
          <w:color w:val="auto"/>
          <w:spacing w:val="-55"/>
          <w:sz w:val="20"/>
          <w:szCs w:val="20"/>
          <w:lang w:eastAsia="zh-CN"/>
        </w:rPr>
        <w:t xml:space="preserve"> </w:t>
      </w:r>
      <w:r>
        <w:rPr>
          <w:rFonts w:ascii="宋体" w:hAnsi="宋体" w:eastAsia="宋体" w:cs="宋体"/>
          <w:color w:val="auto"/>
          <w:spacing w:val="11"/>
          <w:sz w:val="20"/>
          <w:szCs w:val="20"/>
          <w:lang w:eastAsia="zh-CN"/>
        </w:rPr>
        <w:t>中条款的项号相对应的。如果有矛盾的话，应以本须知前附</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表为准。投标人对本招标文件有不明之处，欢迎进行必要的咨询或书面提出澄清。</w:t>
      </w:r>
    </w:p>
    <w:p w14:paraId="1ECBE775">
      <w:pPr>
        <w:spacing w:line="224" w:lineRule="auto"/>
        <w:rPr>
          <w:rFonts w:ascii="宋体" w:hAnsi="宋体" w:eastAsia="宋体" w:cs="宋体"/>
          <w:color w:val="auto"/>
          <w:sz w:val="20"/>
          <w:szCs w:val="20"/>
          <w:lang w:eastAsia="zh-CN"/>
        </w:rPr>
        <w:sectPr>
          <w:headerReference r:id="rId9" w:type="default"/>
          <w:footerReference r:id="rId10" w:type="default"/>
          <w:pgSz w:w="12240" w:h="15840"/>
          <w:pgMar w:top="1440" w:right="1080" w:bottom="1440" w:left="1080" w:header="873" w:footer="722" w:gutter="0"/>
          <w:pgBorders>
            <w:top w:val="none" w:sz="0" w:space="0"/>
            <w:left w:val="none" w:sz="0" w:space="0"/>
            <w:bottom w:val="none" w:sz="0" w:space="0"/>
            <w:right w:val="none" w:sz="0" w:space="0"/>
          </w:pgBorders>
          <w:pgNumType w:fmt="decimal"/>
          <w:cols w:space="720" w:num="1"/>
        </w:sectPr>
      </w:pPr>
    </w:p>
    <w:p w14:paraId="785FA274">
      <w:pPr>
        <w:spacing w:before="247" w:line="222" w:lineRule="auto"/>
        <w:ind w:left="4569"/>
        <w:rPr>
          <w:rFonts w:ascii="黑体" w:hAnsi="黑体" w:eastAsia="黑体" w:cs="黑体"/>
          <w:color w:val="auto"/>
          <w:sz w:val="24"/>
          <w:szCs w:val="24"/>
          <w:lang w:eastAsia="zh-CN"/>
        </w:rPr>
      </w:pPr>
      <w:r>
        <w:rPr>
          <w:rFonts w:ascii="Tahoma" w:hAnsi="Tahoma" w:eastAsia="Tahoma" w:cs="Tahoma"/>
          <w:b/>
          <w:bCs/>
          <w:color w:val="auto"/>
          <w:spacing w:val="-14"/>
          <w:sz w:val="24"/>
          <w:szCs w:val="24"/>
          <w:lang w:eastAsia="zh-CN"/>
        </w:rPr>
        <w:t>1</w:t>
      </w:r>
      <w:r>
        <w:rPr>
          <w:rFonts w:ascii="Tahoma" w:hAnsi="Tahoma" w:eastAsia="Tahoma" w:cs="Tahoma"/>
          <w:b/>
          <w:bCs/>
          <w:color w:val="auto"/>
          <w:spacing w:val="-35"/>
          <w:sz w:val="24"/>
          <w:szCs w:val="24"/>
          <w:lang w:eastAsia="zh-CN"/>
        </w:rPr>
        <w:t xml:space="preserve"> </w:t>
      </w:r>
      <w:r>
        <w:rPr>
          <w:rFonts w:ascii="黑体" w:hAnsi="黑体" w:eastAsia="黑体" w:cs="黑体"/>
          <w:color w:val="auto"/>
          <w:spacing w:val="-14"/>
          <w:sz w:val="24"/>
          <w:szCs w:val="24"/>
          <w:lang w:eastAsia="zh-CN"/>
          <w14:textOutline w14:w="4356" w14:cap="sq" w14:cmpd="sng" w14:algn="ctr">
            <w14:solidFill>
              <w14:srgbClr w14:val="000000"/>
            </w14:solidFill>
            <w14:prstDash w14:val="solid"/>
            <w14:bevel/>
          </w14:textOutline>
        </w:rPr>
        <w:t>、总则</w:t>
      </w:r>
    </w:p>
    <w:p w14:paraId="5F6FE5C5">
      <w:pPr>
        <w:spacing w:before="88" w:line="228" w:lineRule="auto"/>
        <w:ind w:left="18"/>
        <w:rPr>
          <w:rFonts w:ascii="宋体" w:hAnsi="宋体" w:eastAsia="宋体" w:cs="宋体"/>
          <w:color w:val="auto"/>
          <w:sz w:val="20"/>
          <w:szCs w:val="20"/>
          <w:lang w:eastAsia="zh-CN"/>
        </w:rPr>
      </w:pPr>
      <w:r>
        <w:rPr>
          <w:rFonts w:ascii="Tahoma" w:hAnsi="Tahoma" w:eastAsia="Tahoma" w:cs="Tahoma"/>
          <w:b/>
          <w:bCs/>
          <w:color w:val="auto"/>
          <w:spacing w:val="3"/>
          <w:sz w:val="20"/>
          <w:szCs w:val="20"/>
          <w:lang w:eastAsia="zh-CN"/>
        </w:rPr>
        <w:t>1.1</w:t>
      </w:r>
      <w:r>
        <w:rPr>
          <w:rFonts w:ascii="Tahoma" w:hAnsi="Tahoma" w:eastAsia="Tahoma" w:cs="Tahoma"/>
          <w:b/>
          <w:bCs/>
          <w:color w:val="auto"/>
          <w:spacing w:val="2"/>
          <w:sz w:val="20"/>
          <w:szCs w:val="20"/>
          <w:lang w:eastAsia="zh-CN"/>
        </w:rPr>
        <w:t xml:space="preserve">  </w:t>
      </w:r>
      <w:r>
        <w:rPr>
          <w:rFonts w:ascii="宋体" w:hAnsi="宋体" w:eastAsia="宋体" w:cs="宋体"/>
          <w:color w:val="auto"/>
          <w:spacing w:val="3"/>
          <w:sz w:val="20"/>
          <w:szCs w:val="20"/>
          <w:lang w:eastAsia="zh-CN"/>
          <w14:textOutline w14:w="3797" w14:cap="sq" w14:cmpd="sng" w14:algn="ctr">
            <w14:solidFill>
              <w14:srgbClr w14:val="000000"/>
            </w14:solidFill>
            <w14:prstDash w14:val="solid"/>
            <w14:bevel/>
          </w14:textOutline>
        </w:rPr>
        <w:t>项目概况</w:t>
      </w:r>
    </w:p>
    <w:p w14:paraId="781D4503">
      <w:pPr>
        <w:spacing w:before="93" w:line="270" w:lineRule="auto"/>
        <w:ind w:left="14" w:right="73" w:firstLine="7"/>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1.1.1</w:t>
      </w:r>
      <w:r>
        <w:rPr>
          <w:rFonts w:ascii="Tahoma" w:hAnsi="Tahoma" w:eastAsia="Tahoma" w:cs="Tahoma"/>
          <w:color w:val="auto"/>
          <w:spacing w:val="52"/>
          <w:w w:val="101"/>
          <w:sz w:val="20"/>
          <w:szCs w:val="20"/>
          <w:lang w:eastAsia="zh-CN"/>
        </w:rPr>
        <w:t xml:space="preserve"> </w:t>
      </w:r>
      <w:r>
        <w:rPr>
          <w:rFonts w:ascii="宋体" w:hAnsi="宋体" w:eastAsia="宋体" w:cs="宋体"/>
          <w:color w:val="auto"/>
          <w:spacing w:val="8"/>
          <w:sz w:val="20"/>
          <w:szCs w:val="20"/>
          <w:lang w:eastAsia="zh-CN"/>
        </w:rPr>
        <w:t>根据《中华人民共和国政府采购法》、《中华人民共和国政府</w:t>
      </w:r>
      <w:r>
        <w:rPr>
          <w:rFonts w:ascii="宋体" w:hAnsi="宋体" w:eastAsia="宋体" w:cs="宋体"/>
          <w:color w:val="auto"/>
          <w:spacing w:val="7"/>
          <w:sz w:val="20"/>
          <w:szCs w:val="20"/>
          <w:lang w:eastAsia="zh-CN"/>
        </w:rPr>
        <w:t>采购法实施条例》等有关法律、法规和规</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章的规定，本招标项目已具备招标条件，现对本项目进行招标。</w:t>
      </w:r>
    </w:p>
    <w:p w14:paraId="5B39E31E">
      <w:pPr>
        <w:spacing w:before="94" w:line="227" w:lineRule="auto"/>
        <w:ind w:left="21"/>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1.1.2</w:t>
      </w:r>
      <w:r>
        <w:rPr>
          <w:rFonts w:ascii="Tahoma" w:hAnsi="Tahoma" w:eastAsia="Tahoma" w:cs="Tahoma"/>
          <w:color w:val="auto"/>
          <w:spacing w:val="53"/>
          <w:sz w:val="20"/>
          <w:szCs w:val="20"/>
          <w:lang w:eastAsia="zh-CN"/>
        </w:rPr>
        <w:t xml:space="preserve"> </w:t>
      </w:r>
      <w:r>
        <w:rPr>
          <w:rFonts w:ascii="宋体" w:hAnsi="宋体" w:eastAsia="宋体" w:cs="宋体"/>
          <w:color w:val="auto"/>
          <w:spacing w:val="7"/>
          <w:sz w:val="20"/>
          <w:szCs w:val="20"/>
          <w:lang w:eastAsia="zh-CN"/>
        </w:rPr>
        <w:t>本招标项目招标人：见投标人须知前</w:t>
      </w:r>
      <w:r>
        <w:rPr>
          <w:rFonts w:ascii="宋体" w:hAnsi="宋体" w:eastAsia="宋体" w:cs="宋体"/>
          <w:color w:val="auto"/>
          <w:spacing w:val="6"/>
          <w:sz w:val="20"/>
          <w:szCs w:val="20"/>
          <w:lang w:eastAsia="zh-CN"/>
        </w:rPr>
        <w:t>附表。</w:t>
      </w:r>
    </w:p>
    <w:p w14:paraId="7871FEC8">
      <w:pPr>
        <w:spacing w:before="94" w:line="227" w:lineRule="auto"/>
        <w:ind w:left="21"/>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1.1.3</w:t>
      </w:r>
      <w:r>
        <w:rPr>
          <w:rFonts w:ascii="Tahoma" w:hAnsi="Tahoma" w:eastAsia="Tahoma" w:cs="Tahoma"/>
          <w:color w:val="auto"/>
          <w:spacing w:val="54"/>
          <w:w w:val="101"/>
          <w:sz w:val="20"/>
          <w:szCs w:val="20"/>
          <w:lang w:eastAsia="zh-CN"/>
        </w:rPr>
        <w:t xml:space="preserve"> </w:t>
      </w:r>
      <w:r>
        <w:rPr>
          <w:rFonts w:ascii="宋体" w:hAnsi="宋体" w:eastAsia="宋体" w:cs="宋体"/>
          <w:color w:val="auto"/>
          <w:spacing w:val="7"/>
          <w:sz w:val="20"/>
          <w:szCs w:val="20"/>
          <w:lang w:eastAsia="zh-CN"/>
        </w:rPr>
        <w:t>本标段招标代理机构：见投标人须知前附表。</w:t>
      </w:r>
    </w:p>
    <w:p w14:paraId="389A67C0">
      <w:pPr>
        <w:spacing w:before="93" w:line="227" w:lineRule="auto"/>
        <w:ind w:left="21"/>
        <w:rPr>
          <w:rFonts w:ascii="宋体" w:hAnsi="宋体" w:eastAsia="宋体" w:cs="宋体"/>
          <w:color w:val="auto"/>
          <w:sz w:val="20"/>
          <w:szCs w:val="20"/>
          <w:lang w:eastAsia="zh-CN"/>
        </w:rPr>
      </w:pPr>
      <w:r>
        <w:rPr>
          <w:rFonts w:ascii="Tahoma" w:hAnsi="Tahoma" w:eastAsia="Tahoma" w:cs="Tahoma"/>
          <w:color w:val="auto"/>
          <w:spacing w:val="6"/>
          <w:sz w:val="20"/>
          <w:szCs w:val="20"/>
          <w:lang w:eastAsia="zh-CN"/>
        </w:rPr>
        <w:t>1.1.4</w:t>
      </w:r>
      <w:r>
        <w:rPr>
          <w:rFonts w:ascii="Tahoma" w:hAnsi="Tahoma" w:eastAsia="Tahoma" w:cs="Tahoma"/>
          <w:color w:val="auto"/>
          <w:spacing w:val="71"/>
          <w:w w:val="101"/>
          <w:sz w:val="20"/>
          <w:szCs w:val="20"/>
          <w:lang w:eastAsia="zh-CN"/>
        </w:rPr>
        <w:t xml:space="preserve"> </w:t>
      </w:r>
      <w:r>
        <w:rPr>
          <w:rFonts w:ascii="宋体" w:hAnsi="宋体" w:eastAsia="宋体" w:cs="宋体"/>
          <w:color w:val="auto"/>
          <w:spacing w:val="6"/>
          <w:sz w:val="20"/>
          <w:szCs w:val="20"/>
          <w:lang w:eastAsia="zh-CN"/>
        </w:rPr>
        <w:t>本招标项目名称：见投标人须知前附表。</w:t>
      </w:r>
    </w:p>
    <w:p w14:paraId="6781C4D5">
      <w:pPr>
        <w:spacing w:before="95" w:line="227" w:lineRule="auto"/>
        <w:ind w:left="21"/>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1.1.5</w:t>
      </w:r>
      <w:r>
        <w:rPr>
          <w:rFonts w:ascii="Tahoma" w:hAnsi="Tahoma" w:eastAsia="Tahoma" w:cs="Tahoma"/>
          <w:color w:val="auto"/>
          <w:spacing w:val="52"/>
          <w:w w:val="101"/>
          <w:sz w:val="20"/>
          <w:szCs w:val="20"/>
          <w:lang w:eastAsia="zh-CN"/>
        </w:rPr>
        <w:t xml:space="preserve"> </w:t>
      </w:r>
      <w:r>
        <w:rPr>
          <w:rFonts w:ascii="宋体" w:hAnsi="宋体" w:eastAsia="宋体" w:cs="宋体"/>
          <w:color w:val="auto"/>
          <w:spacing w:val="8"/>
          <w:sz w:val="20"/>
          <w:szCs w:val="20"/>
          <w:lang w:eastAsia="zh-CN"/>
        </w:rPr>
        <w:t>适用范围：本招标文件仅适用于招标文件中所叙</w:t>
      </w:r>
      <w:r>
        <w:rPr>
          <w:rFonts w:ascii="宋体" w:hAnsi="宋体" w:eastAsia="宋体" w:cs="宋体"/>
          <w:color w:val="auto"/>
          <w:spacing w:val="7"/>
          <w:sz w:val="20"/>
          <w:szCs w:val="20"/>
          <w:lang w:eastAsia="zh-CN"/>
        </w:rPr>
        <w:t>述项目的招标。</w:t>
      </w:r>
    </w:p>
    <w:p w14:paraId="27F18B1A">
      <w:pPr>
        <w:spacing w:before="95" w:line="227" w:lineRule="auto"/>
        <w:ind w:left="21"/>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1.1.6</w:t>
      </w:r>
      <w:r>
        <w:rPr>
          <w:rFonts w:ascii="Tahoma" w:hAnsi="Tahoma" w:eastAsia="Tahoma" w:cs="Tahoma"/>
          <w:color w:val="auto"/>
          <w:spacing w:val="56"/>
          <w:sz w:val="20"/>
          <w:szCs w:val="20"/>
          <w:lang w:eastAsia="zh-CN"/>
        </w:rPr>
        <w:t xml:space="preserve"> </w:t>
      </w:r>
      <w:r>
        <w:rPr>
          <w:rFonts w:ascii="宋体" w:hAnsi="宋体" w:eastAsia="宋体" w:cs="宋体"/>
          <w:color w:val="auto"/>
          <w:spacing w:val="7"/>
          <w:sz w:val="20"/>
          <w:szCs w:val="20"/>
          <w:lang w:eastAsia="zh-CN"/>
        </w:rPr>
        <w:t>本招标项目的资金来源：见投标人须知前附表。</w:t>
      </w:r>
    </w:p>
    <w:p w14:paraId="6C1102F7">
      <w:pPr>
        <w:spacing w:before="92" w:line="227" w:lineRule="auto"/>
        <w:ind w:left="21"/>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1.1.7</w:t>
      </w:r>
      <w:r>
        <w:rPr>
          <w:rFonts w:ascii="Tahoma" w:hAnsi="Tahoma" w:eastAsia="Tahoma" w:cs="Tahoma"/>
          <w:color w:val="auto"/>
          <w:spacing w:val="57"/>
          <w:w w:val="101"/>
          <w:sz w:val="20"/>
          <w:szCs w:val="20"/>
          <w:lang w:eastAsia="zh-CN"/>
        </w:rPr>
        <w:t xml:space="preserve"> </w:t>
      </w:r>
      <w:r>
        <w:rPr>
          <w:rFonts w:ascii="宋体" w:hAnsi="宋体" w:eastAsia="宋体" w:cs="宋体"/>
          <w:color w:val="auto"/>
          <w:spacing w:val="7"/>
          <w:sz w:val="20"/>
          <w:szCs w:val="20"/>
          <w:lang w:eastAsia="zh-CN"/>
        </w:rPr>
        <w:t>本招标项目的资金落实情况：见投标人须知前附表。</w:t>
      </w:r>
    </w:p>
    <w:p w14:paraId="10CEB661">
      <w:pPr>
        <w:spacing w:before="95" w:line="228" w:lineRule="auto"/>
        <w:ind w:left="18"/>
        <w:rPr>
          <w:rFonts w:ascii="宋体" w:hAnsi="宋体" w:eastAsia="宋体" w:cs="宋体"/>
          <w:color w:val="auto"/>
          <w:sz w:val="20"/>
          <w:szCs w:val="20"/>
          <w:lang w:eastAsia="zh-CN"/>
        </w:rPr>
      </w:pPr>
      <w:r>
        <w:rPr>
          <w:rFonts w:ascii="Tahoma" w:hAnsi="Tahoma" w:eastAsia="Tahoma" w:cs="Tahoma"/>
          <w:b/>
          <w:bCs/>
          <w:color w:val="auto"/>
          <w:sz w:val="20"/>
          <w:szCs w:val="20"/>
          <w:lang w:eastAsia="zh-CN"/>
        </w:rPr>
        <w:t xml:space="preserve">1.2.  </w:t>
      </w:r>
      <w:r>
        <w:rPr>
          <w:rFonts w:ascii="宋体" w:hAnsi="宋体" w:eastAsia="宋体" w:cs="宋体"/>
          <w:color w:val="auto"/>
          <w:sz w:val="20"/>
          <w:szCs w:val="20"/>
          <w:lang w:eastAsia="zh-CN"/>
          <w14:textOutline w14:w="3797" w14:cap="sq" w14:cmpd="sng" w14:algn="ctr">
            <w14:solidFill>
              <w14:srgbClr w14:val="000000"/>
            </w14:solidFill>
            <w14:prstDash w14:val="solid"/>
            <w14:bevel/>
          </w14:textOutline>
        </w:rPr>
        <w:t>定义</w:t>
      </w:r>
    </w:p>
    <w:p w14:paraId="7B917D57">
      <w:pPr>
        <w:spacing w:before="94" w:line="227" w:lineRule="auto"/>
        <w:ind w:left="21"/>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1.2.1 “</w:t>
      </w:r>
      <w:r>
        <w:rPr>
          <w:rFonts w:ascii="宋体" w:hAnsi="宋体" w:eastAsia="宋体" w:cs="宋体"/>
          <w:color w:val="auto"/>
          <w:spacing w:val="7"/>
          <w:sz w:val="20"/>
          <w:szCs w:val="20"/>
          <w:lang w:eastAsia="zh-CN"/>
        </w:rPr>
        <w:t>招标代理人</w:t>
      </w:r>
      <w:r>
        <w:rPr>
          <w:rFonts w:ascii="Tahoma" w:hAnsi="Tahoma" w:eastAsia="Tahoma" w:cs="Tahoma"/>
          <w:color w:val="auto"/>
          <w:spacing w:val="7"/>
          <w:sz w:val="20"/>
          <w:szCs w:val="20"/>
          <w:lang w:eastAsia="zh-CN"/>
        </w:rPr>
        <w:t>”</w:t>
      </w:r>
      <w:r>
        <w:rPr>
          <w:rFonts w:ascii="宋体" w:hAnsi="宋体" w:eastAsia="宋体" w:cs="宋体"/>
          <w:color w:val="auto"/>
          <w:spacing w:val="7"/>
          <w:sz w:val="20"/>
          <w:szCs w:val="20"/>
          <w:lang w:eastAsia="zh-CN"/>
        </w:rPr>
        <w:t>系指组织本次招标活动的招标代理机构。</w:t>
      </w:r>
    </w:p>
    <w:p w14:paraId="6ADF1B7E">
      <w:pPr>
        <w:spacing w:before="92" w:line="227" w:lineRule="auto"/>
        <w:ind w:left="21"/>
        <w:rPr>
          <w:rFonts w:ascii="宋体" w:hAnsi="宋体" w:eastAsia="宋体" w:cs="宋体"/>
          <w:color w:val="auto"/>
          <w:sz w:val="20"/>
          <w:szCs w:val="20"/>
          <w:lang w:eastAsia="zh-CN"/>
        </w:rPr>
      </w:pPr>
      <w:r>
        <w:rPr>
          <w:rFonts w:ascii="Tahoma" w:hAnsi="Tahoma" w:eastAsia="Tahoma" w:cs="Tahoma"/>
          <w:color w:val="auto"/>
          <w:spacing w:val="6"/>
          <w:sz w:val="20"/>
          <w:szCs w:val="20"/>
          <w:lang w:eastAsia="zh-CN"/>
        </w:rPr>
        <w:t>1.2.2 “</w:t>
      </w:r>
      <w:r>
        <w:rPr>
          <w:rFonts w:ascii="宋体" w:hAnsi="宋体" w:eastAsia="宋体" w:cs="宋体"/>
          <w:color w:val="auto"/>
          <w:spacing w:val="6"/>
          <w:sz w:val="20"/>
          <w:szCs w:val="20"/>
          <w:lang w:eastAsia="zh-CN"/>
        </w:rPr>
        <w:t>招标人</w:t>
      </w:r>
      <w:r>
        <w:rPr>
          <w:rFonts w:ascii="Tahoma" w:hAnsi="Tahoma" w:eastAsia="Tahoma" w:cs="Tahoma"/>
          <w:color w:val="auto"/>
          <w:spacing w:val="6"/>
          <w:sz w:val="20"/>
          <w:szCs w:val="20"/>
          <w:lang w:eastAsia="zh-CN"/>
        </w:rPr>
        <w:t>”</w:t>
      </w:r>
      <w:r>
        <w:rPr>
          <w:rFonts w:ascii="宋体" w:hAnsi="宋体" w:eastAsia="宋体" w:cs="宋体"/>
          <w:color w:val="auto"/>
          <w:spacing w:val="6"/>
          <w:sz w:val="20"/>
          <w:szCs w:val="20"/>
          <w:lang w:eastAsia="zh-CN"/>
        </w:rPr>
        <w:t>系指</w:t>
      </w:r>
      <w:r>
        <w:rPr>
          <w:rFonts w:hint="eastAsia" w:ascii="宋体" w:hAnsi="宋体" w:eastAsia="宋体" w:cs="宋体"/>
          <w:color w:val="auto"/>
          <w:spacing w:val="6"/>
          <w:sz w:val="20"/>
          <w:szCs w:val="20"/>
          <w:lang w:eastAsia="zh-CN"/>
        </w:rPr>
        <w:t>尼勒克县人民医院</w:t>
      </w:r>
      <w:r>
        <w:rPr>
          <w:rFonts w:ascii="宋体" w:hAnsi="宋体" w:eastAsia="宋体" w:cs="宋体"/>
          <w:color w:val="auto"/>
          <w:spacing w:val="6"/>
          <w:sz w:val="20"/>
          <w:szCs w:val="20"/>
          <w:lang w:eastAsia="zh-CN"/>
        </w:rPr>
        <w:t>。</w:t>
      </w:r>
    </w:p>
    <w:p w14:paraId="2F193126">
      <w:pPr>
        <w:spacing w:before="95" w:line="227" w:lineRule="auto"/>
        <w:ind w:left="21"/>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1.2.3 “</w:t>
      </w:r>
      <w:r>
        <w:rPr>
          <w:rFonts w:ascii="宋体" w:hAnsi="宋体" w:eastAsia="宋体" w:cs="宋体"/>
          <w:color w:val="auto"/>
          <w:spacing w:val="7"/>
          <w:sz w:val="20"/>
          <w:szCs w:val="20"/>
          <w:lang w:eastAsia="zh-CN"/>
        </w:rPr>
        <w:t>潜在投标人</w:t>
      </w:r>
      <w:r>
        <w:rPr>
          <w:rFonts w:ascii="Tahoma" w:hAnsi="Tahoma" w:eastAsia="Tahoma" w:cs="Tahoma"/>
          <w:color w:val="auto"/>
          <w:spacing w:val="7"/>
          <w:sz w:val="20"/>
          <w:szCs w:val="20"/>
          <w:lang w:eastAsia="zh-CN"/>
        </w:rPr>
        <w:t>”</w:t>
      </w:r>
      <w:r>
        <w:rPr>
          <w:rFonts w:ascii="宋体" w:hAnsi="宋体" w:eastAsia="宋体" w:cs="宋体"/>
          <w:color w:val="auto"/>
          <w:spacing w:val="7"/>
          <w:sz w:val="20"/>
          <w:szCs w:val="20"/>
          <w:lang w:eastAsia="zh-CN"/>
        </w:rPr>
        <w:t>系指购买了本招标文件的投标人。</w:t>
      </w:r>
    </w:p>
    <w:p w14:paraId="4E68A2EE">
      <w:pPr>
        <w:spacing w:before="95" w:line="227" w:lineRule="auto"/>
        <w:ind w:left="21"/>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1.2.4 “</w:t>
      </w:r>
      <w:r>
        <w:rPr>
          <w:rFonts w:ascii="宋体" w:hAnsi="宋体" w:eastAsia="宋体" w:cs="宋体"/>
          <w:color w:val="auto"/>
          <w:spacing w:val="8"/>
          <w:sz w:val="20"/>
          <w:szCs w:val="20"/>
          <w:lang w:eastAsia="zh-CN"/>
        </w:rPr>
        <w:t>投标人</w:t>
      </w:r>
      <w:r>
        <w:rPr>
          <w:rFonts w:ascii="Tahoma" w:hAnsi="Tahoma" w:eastAsia="Tahoma" w:cs="Tahoma"/>
          <w:color w:val="auto"/>
          <w:spacing w:val="8"/>
          <w:sz w:val="20"/>
          <w:szCs w:val="20"/>
          <w:lang w:eastAsia="zh-CN"/>
        </w:rPr>
        <w:t>”</w:t>
      </w:r>
      <w:r>
        <w:rPr>
          <w:rFonts w:ascii="宋体" w:hAnsi="宋体" w:eastAsia="宋体" w:cs="宋体"/>
          <w:color w:val="auto"/>
          <w:spacing w:val="8"/>
          <w:sz w:val="20"/>
          <w:szCs w:val="20"/>
          <w:lang w:eastAsia="zh-CN"/>
        </w:rPr>
        <w:t>系指购买了本招标文件，且已经提交本次投标文</w:t>
      </w:r>
      <w:r>
        <w:rPr>
          <w:rFonts w:ascii="宋体" w:hAnsi="宋体" w:eastAsia="宋体" w:cs="宋体"/>
          <w:color w:val="auto"/>
          <w:spacing w:val="7"/>
          <w:sz w:val="20"/>
          <w:szCs w:val="20"/>
          <w:lang w:eastAsia="zh-CN"/>
        </w:rPr>
        <w:t>件的投标人。</w:t>
      </w:r>
    </w:p>
    <w:p w14:paraId="740FEC22">
      <w:pPr>
        <w:spacing w:before="92" w:line="271" w:lineRule="auto"/>
        <w:ind w:left="7" w:right="71" w:firstLine="14"/>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1.2.5 “</w:t>
      </w:r>
      <w:r>
        <w:rPr>
          <w:rFonts w:ascii="宋体" w:hAnsi="宋体" w:eastAsia="宋体" w:cs="宋体"/>
          <w:color w:val="auto"/>
          <w:spacing w:val="9"/>
          <w:sz w:val="20"/>
          <w:szCs w:val="20"/>
          <w:lang w:eastAsia="zh-CN"/>
        </w:rPr>
        <w:t>产品</w:t>
      </w:r>
      <w:r>
        <w:rPr>
          <w:rFonts w:ascii="Tahoma" w:hAnsi="Tahoma" w:eastAsia="Tahoma" w:cs="Tahoma"/>
          <w:color w:val="auto"/>
          <w:spacing w:val="9"/>
          <w:sz w:val="20"/>
          <w:szCs w:val="20"/>
          <w:lang w:eastAsia="zh-CN"/>
        </w:rPr>
        <w:t>”</w:t>
      </w:r>
      <w:r>
        <w:rPr>
          <w:rFonts w:ascii="宋体" w:hAnsi="宋体" w:eastAsia="宋体" w:cs="宋体"/>
          <w:color w:val="auto"/>
          <w:spacing w:val="9"/>
          <w:sz w:val="20"/>
          <w:szCs w:val="20"/>
          <w:lang w:eastAsia="zh-CN"/>
        </w:rPr>
        <w:t>系指供方按招标文件规定，须向采购人提供的一切货物、保险、税金、备品备件、工具、手册及</w:t>
      </w:r>
      <w:r>
        <w:rPr>
          <w:rFonts w:ascii="宋体" w:hAnsi="宋体" w:eastAsia="宋体" w:cs="宋体"/>
          <w:color w:val="auto"/>
          <w:spacing w:val="8"/>
          <w:sz w:val="20"/>
          <w:szCs w:val="20"/>
          <w:lang w:eastAsia="zh-CN"/>
        </w:rPr>
        <w:t xml:space="preserve"> 其它有关技术资料和材料。</w:t>
      </w:r>
    </w:p>
    <w:p w14:paraId="5E7DF990">
      <w:pPr>
        <w:spacing w:before="95" w:line="270" w:lineRule="auto"/>
        <w:ind w:left="6" w:right="71" w:firstLine="14"/>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1.2.6 “</w:t>
      </w:r>
      <w:r>
        <w:rPr>
          <w:rFonts w:ascii="宋体" w:hAnsi="宋体" w:eastAsia="宋体" w:cs="宋体"/>
          <w:color w:val="auto"/>
          <w:spacing w:val="9"/>
          <w:sz w:val="20"/>
          <w:szCs w:val="20"/>
          <w:lang w:eastAsia="zh-CN"/>
        </w:rPr>
        <w:t>服务</w:t>
      </w:r>
      <w:r>
        <w:rPr>
          <w:rFonts w:ascii="Tahoma" w:hAnsi="Tahoma" w:eastAsia="Tahoma" w:cs="Tahoma"/>
          <w:color w:val="auto"/>
          <w:spacing w:val="9"/>
          <w:sz w:val="20"/>
          <w:szCs w:val="20"/>
          <w:lang w:eastAsia="zh-CN"/>
        </w:rPr>
        <w:t>”</w:t>
      </w:r>
      <w:r>
        <w:rPr>
          <w:rFonts w:ascii="宋体" w:hAnsi="宋体" w:eastAsia="宋体" w:cs="宋体"/>
          <w:color w:val="auto"/>
          <w:spacing w:val="9"/>
          <w:sz w:val="20"/>
          <w:szCs w:val="20"/>
          <w:lang w:eastAsia="zh-CN"/>
        </w:rPr>
        <w:t>系指招标文件规定投标人须承担的安装、调试、技术协助、校准、培训、保修、保养、提供售后</w:t>
      </w:r>
      <w:r>
        <w:rPr>
          <w:rFonts w:ascii="宋体" w:hAnsi="宋体" w:eastAsia="宋体" w:cs="宋体"/>
          <w:color w:val="auto"/>
          <w:spacing w:val="8"/>
          <w:sz w:val="20"/>
          <w:szCs w:val="20"/>
          <w:lang w:eastAsia="zh-CN"/>
        </w:rPr>
        <w:t xml:space="preserve"> 服务以及其他类似的义务。</w:t>
      </w:r>
    </w:p>
    <w:p w14:paraId="6897BFA8">
      <w:pPr>
        <w:spacing w:before="94" w:line="228" w:lineRule="auto"/>
        <w:ind w:left="18"/>
        <w:rPr>
          <w:rFonts w:ascii="宋体" w:hAnsi="宋体" w:eastAsia="宋体" w:cs="宋体"/>
          <w:color w:val="auto"/>
          <w:sz w:val="20"/>
          <w:szCs w:val="20"/>
          <w:lang w:eastAsia="zh-CN"/>
        </w:rPr>
      </w:pPr>
      <w:r>
        <w:rPr>
          <w:rFonts w:ascii="Tahoma" w:hAnsi="Tahoma" w:eastAsia="Tahoma" w:cs="Tahoma"/>
          <w:b/>
          <w:bCs/>
          <w:color w:val="auto"/>
          <w:spacing w:val="5"/>
          <w:sz w:val="20"/>
          <w:szCs w:val="20"/>
          <w:lang w:eastAsia="zh-CN"/>
        </w:rPr>
        <w:t>1.3.</w:t>
      </w:r>
      <w:r>
        <w:rPr>
          <w:rFonts w:ascii="Tahoma" w:hAnsi="Tahoma" w:eastAsia="Tahoma" w:cs="Tahoma"/>
          <w:b/>
          <w:bCs/>
          <w:color w:val="auto"/>
          <w:spacing w:val="57"/>
          <w:w w:val="101"/>
          <w:sz w:val="20"/>
          <w:szCs w:val="20"/>
          <w:lang w:eastAsia="zh-CN"/>
        </w:rPr>
        <w:t xml:space="preserve"> </w:t>
      </w:r>
      <w:r>
        <w:rPr>
          <w:rFonts w:ascii="宋体" w:hAnsi="宋体" w:eastAsia="宋体" w:cs="宋体"/>
          <w:color w:val="auto"/>
          <w:spacing w:val="5"/>
          <w:sz w:val="20"/>
          <w:szCs w:val="20"/>
          <w:lang w:eastAsia="zh-CN"/>
          <w14:textOutline w14:w="3797" w14:cap="sq" w14:cmpd="sng" w14:algn="ctr">
            <w14:solidFill>
              <w14:srgbClr w14:val="000000"/>
            </w14:solidFill>
            <w14:prstDash w14:val="solid"/>
            <w14:bevel/>
          </w14:textOutline>
        </w:rPr>
        <w:t>合格的投标人</w:t>
      </w:r>
    </w:p>
    <w:p w14:paraId="0918EDC3">
      <w:pPr>
        <w:spacing w:before="94" w:line="227" w:lineRule="auto"/>
        <w:ind w:left="21"/>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 xml:space="preserve">1.3.1 </w:t>
      </w:r>
      <w:r>
        <w:rPr>
          <w:rFonts w:ascii="宋体" w:hAnsi="宋体" w:eastAsia="宋体" w:cs="宋体"/>
          <w:color w:val="auto"/>
          <w:spacing w:val="7"/>
          <w:sz w:val="20"/>
          <w:szCs w:val="20"/>
          <w:lang w:eastAsia="zh-CN"/>
        </w:rPr>
        <w:t>符合第二章投标人须知前附表中资格要求中的各条要求。</w:t>
      </w:r>
    </w:p>
    <w:p w14:paraId="29554826">
      <w:pPr>
        <w:spacing w:before="92" w:line="227" w:lineRule="auto"/>
        <w:ind w:left="21"/>
        <w:rPr>
          <w:rFonts w:ascii="宋体" w:hAnsi="宋体" w:eastAsia="宋体" w:cs="宋体"/>
          <w:color w:val="auto"/>
          <w:sz w:val="20"/>
          <w:szCs w:val="20"/>
          <w:lang w:eastAsia="zh-CN"/>
        </w:rPr>
      </w:pPr>
      <w:r>
        <w:rPr>
          <w:rFonts w:ascii="Tahoma" w:hAnsi="Tahoma" w:eastAsia="Tahoma" w:cs="Tahoma"/>
          <w:color w:val="auto"/>
          <w:spacing w:val="6"/>
          <w:sz w:val="20"/>
          <w:szCs w:val="20"/>
          <w:lang w:eastAsia="zh-CN"/>
        </w:rPr>
        <w:t>1.3.2</w:t>
      </w:r>
      <w:r>
        <w:rPr>
          <w:rFonts w:ascii="Tahoma" w:hAnsi="Tahoma" w:eastAsia="Tahoma" w:cs="Tahoma"/>
          <w:color w:val="auto"/>
          <w:spacing w:val="66"/>
          <w:sz w:val="20"/>
          <w:szCs w:val="20"/>
          <w:lang w:eastAsia="zh-CN"/>
        </w:rPr>
        <w:t xml:space="preserve"> </w:t>
      </w:r>
      <w:r>
        <w:rPr>
          <w:rFonts w:ascii="宋体" w:hAnsi="宋体" w:eastAsia="宋体" w:cs="宋体"/>
          <w:color w:val="auto"/>
          <w:spacing w:val="6"/>
          <w:sz w:val="20"/>
          <w:szCs w:val="20"/>
          <w:lang w:eastAsia="zh-CN"/>
        </w:rPr>
        <w:t>投标人应依法纳税及缴纳社会保障金。</w:t>
      </w:r>
    </w:p>
    <w:p w14:paraId="691D85C9">
      <w:pPr>
        <w:spacing w:before="95" w:line="227" w:lineRule="auto"/>
        <w:ind w:left="21"/>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 xml:space="preserve">1.3.3 </w:t>
      </w:r>
      <w:r>
        <w:rPr>
          <w:rFonts w:ascii="宋体" w:hAnsi="宋体" w:eastAsia="宋体" w:cs="宋体"/>
          <w:color w:val="auto"/>
          <w:spacing w:val="7"/>
          <w:sz w:val="20"/>
          <w:szCs w:val="20"/>
          <w:lang w:eastAsia="zh-CN"/>
        </w:rPr>
        <w:t>投标人应遵守中国的有关法律、法规和规章的规定。</w:t>
      </w:r>
    </w:p>
    <w:p w14:paraId="7D4631EE">
      <w:pPr>
        <w:spacing w:before="95" w:line="270" w:lineRule="auto"/>
        <w:ind w:left="8" w:right="73" w:firstLine="13"/>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1.3.4 </w:t>
      </w:r>
      <w:r>
        <w:rPr>
          <w:rFonts w:ascii="宋体" w:hAnsi="宋体" w:eastAsia="宋体" w:cs="宋体"/>
          <w:color w:val="auto"/>
          <w:spacing w:val="9"/>
          <w:sz w:val="20"/>
          <w:szCs w:val="20"/>
          <w:lang w:eastAsia="zh-CN"/>
        </w:rPr>
        <w:t>一个投标人只能提交一个投标文件。但如果投</w:t>
      </w:r>
      <w:r>
        <w:rPr>
          <w:rFonts w:ascii="宋体" w:hAnsi="宋体" w:eastAsia="宋体" w:cs="宋体"/>
          <w:color w:val="auto"/>
          <w:spacing w:val="8"/>
          <w:sz w:val="20"/>
          <w:szCs w:val="20"/>
          <w:lang w:eastAsia="zh-CN"/>
        </w:rPr>
        <w:t>标人之间存在下列互为关联关系的情形之一的，不得同时</w:t>
      </w:r>
      <w:r>
        <w:rPr>
          <w:rFonts w:ascii="宋体" w:hAnsi="宋体" w:eastAsia="宋体" w:cs="宋体"/>
          <w:color w:val="auto"/>
          <w:sz w:val="20"/>
          <w:szCs w:val="20"/>
          <w:lang w:eastAsia="zh-CN"/>
        </w:rPr>
        <w:t xml:space="preserve"> </w:t>
      </w:r>
      <w:r>
        <w:rPr>
          <w:rFonts w:ascii="宋体" w:hAnsi="宋体" w:eastAsia="宋体" w:cs="宋体"/>
          <w:color w:val="auto"/>
          <w:spacing w:val="7"/>
          <w:sz w:val="20"/>
          <w:szCs w:val="20"/>
          <w:lang w:eastAsia="zh-CN"/>
        </w:rPr>
        <w:t>参加本项目投标：</w:t>
      </w:r>
    </w:p>
    <w:p w14:paraId="73AC0F8E">
      <w:pPr>
        <w:spacing w:before="94" w:line="228" w:lineRule="auto"/>
        <w:ind w:left="1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1</w:t>
      </w:r>
      <w:r>
        <w:rPr>
          <w:rFonts w:ascii="宋体" w:hAnsi="宋体" w:eastAsia="宋体" w:cs="宋体"/>
          <w:color w:val="auto"/>
          <w:spacing w:val="8"/>
          <w:sz w:val="20"/>
          <w:szCs w:val="20"/>
          <w:lang w:eastAsia="zh-CN"/>
        </w:rPr>
        <w:t>） 法定代表人为同一人的两个及两个以上法人；</w:t>
      </w:r>
    </w:p>
    <w:p w14:paraId="3D263998">
      <w:pPr>
        <w:spacing w:before="94" w:line="228" w:lineRule="auto"/>
        <w:ind w:left="1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2</w:t>
      </w:r>
      <w:r>
        <w:rPr>
          <w:rFonts w:ascii="宋体" w:hAnsi="宋体" w:eastAsia="宋体" w:cs="宋体"/>
          <w:color w:val="auto"/>
          <w:spacing w:val="8"/>
          <w:sz w:val="20"/>
          <w:szCs w:val="20"/>
          <w:lang w:eastAsia="zh-CN"/>
        </w:rPr>
        <w:t>） 母公司、直接或间接持股的</w:t>
      </w:r>
      <w:r>
        <w:rPr>
          <w:rFonts w:ascii="宋体" w:hAnsi="宋体" w:eastAsia="宋体" w:cs="宋体"/>
          <w:color w:val="auto"/>
          <w:spacing w:val="7"/>
          <w:sz w:val="20"/>
          <w:szCs w:val="20"/>
          <w:lang w:eastAsia="zh-CN"/>
        </w:rPr>
        <w:t>被投资公司；</w:t>
      </w:r>
    </w:p>
    <w:p w14:paraId="79737AE9">
      <w:pPr>
        <w:spacing w:before="91" w:line="228" w:lineRule="auto"/>
        <w:ind w:left="1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3</w:t>
      </w:r>
      <w:r>
        <w:rPr>
          <w:rFonts w:ascii="宋体" w:hAnsi="宋体" w:eastAsia="宋体" w:cs="宋体"/>
          <w:color w:val="auto"/>
          <w:spacing w:val="8"/>
          <w:sz w:val="20"/>
          <w:szCs w:val="20"/>
          <w:lang w:eastAsia="zh-CN"/>
        </w:rPr>
        <w:t>） 均为同一家母公司直接或间接持股的被投资公司。</w:t>
      </w:r>
    </w:p>
    <w:p w14:paraId="34672CE1">
      <w:pPr>
        <w:spacing w:before="95" w:line="271" w:lineRule="auto"/>
        <w:ind w:left="9" w:right="73" w:firstLine="12"/>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1.3.5</w:t>
      </w:r>
      <w:r>
        <w:rPr>
          <w:rFonts w:ascii="Tahoma" w:hAnsi="Tahoma" w:eastAsia="Tahoma" w:cs="Tahoma"/>
          <w:color w:val="auto"/>
          <w:spacing w:val="55"/>
          <w:sz w:val="20"/>
          <w:szCs w:val="20"/>
          <w:lang w:eastAsia="zh-CN"/>
        </w:rPr>
        <w:t xml:space="preserve"> </w:t>
      </w:r>
      <w:r>
        <w:rPr>
          <w:rFonts w:ascii="宋体" w:hAnsi="宋体" w:eastAsia="宋体" w:cs="宋体"/>
          <w:color w:val="auto"/>
          <w:spacing w:val="8"/>
          <w:sz w:val="20"/>
          <w:szCs w:val="20"/>
          <w:lang w:eastAsia="zh-CN"/>
        </w:rPr>
        <w:t>投标人不得与本次招标项下设计、编制技术规格和其它</w:t>
      </w:r>
      <w:r>
        <w:rPr>
          <w:rFonts w:ascii="宋体" w:hAnsi="宋体" w:eastAsia="宋体" w:cs="宋体"/>
          <w:color w:val="auto"/>
          <w:spacing w:val="7"/>
          <w:sz w:val="20"/>
          <w:szCs w:val="20"/>
          <w:lang w:eastAsia="zh-CN"/>
        </w:rPr>
        <w:t>文件的公司或提供咨询服务的公司包括其附属机</w:t>
      </w:r>
      <w:r>
        <w:rPr>
          <w:rFonts w:ascii="宋体" w:hAnsi="宋体" w:eastAsia="宋体" w:cs="宋体"/>
          <w:color w:val="auto"/>
          <w:sz w:val="20"/>
          <w:szCs w:val="20"/>
          <w:lang w:eastAsia="zh-CN"/>
        </w:rPr>
        <w:t xml:space="preserve"> </w:t>
      </w:r>
      <w:r>
        <w:rPr>
          <w:rFonts w:ascii="宋体" w:hAnsi="宋体" w:eastAsia="宋体" w:cs="宋体"/>
          <w:color w:val="auto"/>
          <w:spacing w:val="6"/>
          <w:sz w:val="20"/>
          <w:szCs w:val="20"/>
          <w:lang w:eastAsia="zh-CN"/>
        </w:rPr>
        <w:t>构有任何关联。</w:t>
      </w:r>
    </w:p>
    <w:p w14:paraId="7FB38A81">
      <w:pPr>
        <w:spacing w:before="91" w:line="228" w:lineRule="auto"/>
        <w:ind w:left="21"/>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1.3.6 </w:t>
      </w:r>
      <w:r>
        <w:rPr>
          <w:rFonts w:ascii="宋体" w:hAnsi="宋体" w:eastAsia="宋体" w:cs="宋体"/>
          <w:color w:val="auto"/>
          <w:spacing w:val="8"/>
          <w:sz w:val="20"/>
          <w:szCs w:val="20"/>
          <w:lang w:eastAsia="zh-CN"/>
        </w:rPr>
        <w:t>一个投标人代表在同一个项目中只能接受一个</w:t>
      </w:r>
      <w:r>
        <w:rPr>
          <w:rFonts w:ascii="宋体" w:hAnsi="宋体" w:eastAsia="宋体" w:cs="宋体"/>
          <w:color w:val="auto"/>
          <w:spacing w:val="7"/>
          <w:sz w:val="20"/>
          <w:szCs w:val="20"/>
          <w:lang w:eastAsia="zh-CN"/>
        </w:rPr>
        <w:t>投标人的委托参加投标。</w:t>
      </w:r>
    </w:p>
    <w:p w14:paraId="068BCF2D">
      <w:pPr>
        <w:spacing w:before="94" w:line="229" w:lineRule="auto"/>
        <w:ind w:left="18"/>
        <w:rPr>
          <w:rFonts w:ascii="宋体" w:hAnsi="宋体" w:eastAsia="宋体" w:cs="宋体"/>
          <w:color w:val="auto"/>
          <w:sz w:val="20"/>
          <w:szCs w:val="20"/>
          <w:lang w:eastAsia="zh-CN"/>
        </w:rPr>
      </w:pPr>
      <w:r>
        <w:rPr>
          <w:rFonts w:ascii="Tahoma" w:hAnsi="Tahoma" w:eastAsia="Tahoma" w:cs="Tahoma"/>
          <w:b/>
          <w:bCs/>
          <w:color w:val="auto"/>
          <w:spacing w:val="3"/>
          <w:sz w:val="20"/>
          <w:szCs w:val="20"/>
          <w:lang w:eastAsia="zh-CN"/>
        </w:rPr>
        <w:t xml:space="preserve">1.4 </w:t>
      </w:r>
      <w:r>
        <w:rPr>
          <w:rFonts w:ascii="宋体" w:hAnsi="宋体" w:eastAsia="宋体" w:cs="宋体"/>
          <w:color w:val="auto"/>
          <w:spacing w:val="3"/>
          <w:sz w:val="20"/>
          <w:szCs w:val="20"/>
          <w:lang w:eastAsia="zh-CN"/>
          <w14:textOutline w14:w="3797" w14:cap="sq" w14:cmpd="sng" w14:algn="ctr">
            <w14:solidFill>
              <w14:srgbClr w14:val="000000"/>
            </w14:solidFill>
            <w14:prstDash w14:val="solid"/>
            <w14:bevel/>
          </w14:textOutline>
        </w:rPr>
        <w:t>联合体</w:t>
      </w:r>
    </w:p>
    <w:p w14:paraId="27916580">
      <w:pPr>
        <w:spacing w:before="94" w:line="270" w:lineRule="auto"/>
        <w:ind w:left="13" w:right="71" w:firstLine="8"/>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1.4.1 </w:t>
      </w:r>
      <w:r>
        <w:rPr>
          <w:rFonts w:ascii="宋体" w:hAnsi="宋体" w:eastAsia="宋体" w:cs="宋体"/>
          <w:color w:val="auto"/>
          <w:spacing w:val="8"/>
          <w:sz w:val="20"/>
          <w:szCs w:val="20"/>
          <w:lang w:eastAsia="zh-CN"/>
        </w:rPr>
        <w:t>投标人须知前附表规定接受联合体的，除应符合本章第</w:t>
      </w:r>
      <w:r>
        <w:rPr>
          <w:rFonts w:ascii="宋体" w:hAnsi="宋体" w:eastAsia="宋体" w:cs="宋体"/>
          <w:color w:val="auto"/>
          <w:spacing w:val="-7"/>
          <w:sz w:val="20"/>
          <w:szCs w:val="20"/>
          <w:lang w:eastAsia="zh-CN"/>
        </w:rPr>
        <w:t xml:space="preserve"> </w:t>
      </w:r>
      <w:r>
        <w:rPr>
          <w:rFonts w:ascii="Tahoma" w:hAnsi="Tahoma" w:eastAsia="Tahoma" w:cs="Tahoma"/>
          <w:color w:val="auto"/>
          <w:spacing w:val="8"/>
          <w:sz w:val="20"/>
          <w:szCs w:val="20"/>
          <w:lang w:eastAsia="zh-CN"/>
        </w:rPr>
        <w:t xml:space="preserve">1.4.1 </w:t>
      </w:r>
      <w:r>
        <w:rPr>
          <w:rFonts w:ascii="宋体" w:hAnsi="宋体" w:eastAsia="宋体" w:cs="宋体"/>
          <w:color w:val="auto"/>
          <w:spacing w:val="8"/>
          <w:sz w:val="20"/>
          <w:szCs w:val="20"/>
          <w:lang w:eastAsia="zh-CN"/>
        </w:rPr>
        <w:t>项和投标人须知前附表的要求外，还应遵</w:t>
      </w:r>
      <w:r>
        <w:rPr>
          <w:rFonts w:ascii="宋体" w:hAnsi="宋体" w:eastAsia="宋体" w:cs="宋体"/>
          <w:color w:val="auto"/>
          <w:sz w:val="20"/>
          <w:szCs w:val="20"/>
          <w:lang w:eastAsia="zh-CN"/>
        </w:rPr>
        <w:t xml:space="preserve"> </w:t>
      </w:r>
      <w:r>
        <w:rPr>
          <w:rFonts w:ascii="宋体" w:hAnsi="宋体" w:eastAsia="宋体" w:cs="宋体"/>
          <w:color w:val="auto"/>
          <w:spacing w:val="5"/>
          <w:sz w:val="20"/>
          <w:szCs w:val="20"/>
          <w:lang w:eastAsia="zh-CN"/>
        </w:rPr>
        <w:t>守以下规定：</w:t>
      </w:r>
    </w:p>
    <w:p w14:paraId="3467D1E2">
      <w:pPr>
        <w:spacing w:before="94" w:line="292" w:lineRule="auto"/>
        <w:ind w:left="6" w:firstLine="116"/>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1</w:t>
      </w:r>
      <w:r>
        <w:rPr>
          <w:rFonts w:ascii="宋体" w:hAnsi="宋体" w:eastAsia="宋体" w:cs="宋体"/>
          <w:color w:val="auto"/>
          <w:spacing w:val="9"/>
          <w:sz w:val="20"/>
          <w:szCs w:val="20"/>
          <w:lang w:eastAsia="zh-CN"/>
        </w:rPr>
        <w:t>）两个以上的自然人、法人或者其他组织可以组成</w:t>
      </w:r>
      <w:r>
        <w:rPr>
          <w:rFonts w:ascii="宋体" w:hAnsi="宋体" w:eastAsia="宋体" w:cs="宋体"/>
          <w:color w:val="auto"/>
          <w:spacing w:val="8"/>
          <w:sz w:val="20"/>
          <w:szCs w:val="20"/>
          <w:lang w:eastAsia="zh-CN"/>
        </w:rPr>
        <w:t>一个联合体，以一个投标人的身份共同参加政府采购。</w:t>
      </w:r>
      <w:r>
        <w:rPr>
          <w:rFonts w:ascii="宋体" w:hAnsi="宋体" w:eastAsia="宋体" w:cs="宋体"/>
          <w:color w:val="auto"/>
          <w:sz w:val="20"/>
          <w:szCs w:val="20"/>
          <w:lang w:eastAsia="zh-CN"/>
        </w:rPr>
        <w:t xml:space="preserve"> </w:t>
      </w:r>
      <w:r>
        <w:rPr>
          <w:rFonts w:ascii="宋体" w:hAnsi="宋体" w:eastAsia="宋体" w:cs="宋体"/>
          <w:color w:val="auto"/>
          <w:spacing w:val="13"/>
          <w:sz w:val="20"/>
          <w:szCs w:val="20"/>
          <w:lang w:eastAsia="zh-CN"/>
        </w:rPr>
        <w:t>（</w:t>
      </w:r>
      <w:r>
        <w:rPr>
          <w:rFonts w:ascii="Tahoma" w:hAnsi="Tahoma" w:eastAsia="Tahoma" w:cs="Tahoma"/>
          <w:color w:val="auto"/>
          <w:spacing w:val="13"/>
          <w:sz w:val="20"/>
          <w:szCs w:val="20"/>
          <w:lang w:eastAsia="zh-CN"/>
        </w:rPr>
        <w:t>2</w:t>
      </w:r>
      <w:r>
        <w:rPr>
          <w:rFonts w:ascii="宋体" w:hAnsi="宋体" w:eastAsia="宋体" w:cs="宋体"/>
          <w:color w:val="auto"/>
          <w:spacing w:val="13"/>
          <w:sz w:val="20"/>
          <w:szCs w:val="20"/>
          <w:lang w:eastAsia="zh-CN"/>
        </w:rPr>
        <w:t>）</w:t>
      </w:r>
      <w:r>
        <w:rPr>
          <w:rFonts w:ascii="宋体" w:hAnsi="宋体" w:eastAsia="宋体" w:cs="宋体"/>
          <w:color w:val="auto"/>
          <w:spacing w:val="-56"/>
          <w:sz w:val="20"/>
          <w:szCs w:val="20"/>
          <w:lang w:eastAsia="zh-CN"/>
        </w:rPr>
        <w:t xml:space="preserve"> </w:t>
      </w:r>
      <w:r>
        <w:rPr>
          <w:rFonts w:ascii="宋体" w:hAnsi="宋体" w:eastAsia="宋体" w:cs="宋体"/>
          <w:color w:val="auto"/>
          <w:spacing w:val="13"/>
          <w:sz w:val="20"/>
          <w:szCs w:val="20"/>
          <w:lang w:eastAsia="zh-CN"/>
        </w:rPr>
        <w:t>以联合体形式参加政府采购的，参加联合体的投标</w:t>
      </w:r>
      <w:r>
        <w:rPr>
          <w:rFonts w:ascii="宋体" w:hAnsi="宋体" w:eastAsia="宋体" w:cs="宋体"/>
          <w:color w:val="auto"/>
          <w:spacing w:val="12"/>
          <w:sz w:val="20"/>
          <w:szCs w:val="20"/>
          <w:lang w:eastAsia="zh-CN"/>
        </w:rPr>
        <w:t>人均应当具备《政府采购法》第二十二条规定的条 件，并应当向采购人提交联合协议，载明联合体各方承担的</w:t>
      </w:r>
      <w:r>
        <w:rPr>
          <w:rFonts w:ascii="宋体" w:hAnsi="宋体" w:eastAsia="宋体" w:cs="宋体"/>
          <w:color w:val="auto"/>
          <w:spacing w:val="11"/>
          <w:sz w:val="20"/>
          <w:szCs w:val="20"/>
          <w:lang w:eastAsia="zh-CN"/>
        </w:rPr>
        <w:t xml:space="preserve">工作和义务。联合体各方应当共同与采购人签订 </w:t>
      </w:r>
      <w:r>
        <w:rPr>
          <w:rFonts w:ascii="宋体" w:hAnsi="宋体" w:eastAsia="宋体" w:cs="宋体"/>
          <w:color w:val="auto"/>
          <w:spacing w:val="9"/>
          <w:sz w:val="20"/>
          <w:szCs w:val="20"/>
          <w:lang w:eastAsia="zh-CN"/>
        </w:rPr>
        <w:t>采购合同，就采购合同约定的事项对采购人承担连带责任。</w:t>
      </w:r>
    </w:p>
    <w:p w14:paraId="6488FA26">
      <w:pPr>
        <w:spacing w:before="223" w:line="228" w:lineRule="auto"/>
        <w:ind w:left="7"/>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1.4.2 </w:t>
      </w:r>
      <w:r>
        <w:rPr>
          <w:rFonts w:ascii="宋体" w:hAnsi="宋体" w:eastAsia="宋体" w:cs="宋体"/>
          <w:color w:val="auto"/>
          <w:spacing w:val="9"/>
          <w:sz w:val="20"/>
          <w:szCs w:val="20"/>
          <w:lang w:eastAsia="zh-CN"/>
        </w:rPr>
        <w:t>联合体中有同类资质的投标人按照联合体分工承担</w:t>
      </w:r>
      <w:r>
        <w:rPr>
          <w:rFonts w:ascii="宋体" w:hAnsi="宋体" w:eastAsia="宋体" w:cs="宋体"/>
          <w:color w:val="auto"/>
          <w:spacing w:val="8"/>
          <w:sz w:val="20"/>
          <w:szCs w:val="20"/>
          <w:lang w:eastAsia="zh-CN"/>
        </w:rPr>
        <w:t>相同工作的，应当按照资质等级较低的</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确定资</w:t>
      </w:r>
      <w:r>
        <w:rPr>
          <w:rFonts w:ascii="宋体" w:hAnsi="宋体" w:eastAsia="宋体" w:cs="宋体"/>
          <w:color w:val="auto"/>
          <w:spacing w:val="4"/>
          <w:sz w:val="20"/>
          <w:szCs w:val="20"/>
          <w:lang w:eastAsia="zh-CN"/>
        </w:rPr>
        <w:t>质等级。</w:t>
      </w:r>
    </w:p>
    <w:p w14:paraId="5673276F">
      <w:pPr>
        <w:spacing w:before="93" w:line="271" w:lineRule="auto"/>
        <w:ind w:left="26" w:right="18" w:hanging="5"/>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1.4.3</w:t>
      </w:r>
      <w:r>
        <w:rPr>
          <w:rFonts w:ascii="Tahoma" w:hAnsi="Tahoma" w:eastAsia="Tahoma" w:cs="Tahoma"/>
          <w:color w:val="auto"/>
          <w:spacing w:val="36"/>
          <w:w w:val="101"/>
          <w:sz w:val="20"/>
          <w:szCs w:val="20"/>
          <w:lang w:eastAsia="zh-CN"/>
        </w:rPr>
        <w:t xml:space="preserve"> </w:t>
      </w:r>
      <w:r>
        <w:rPr>
          <w:rFonts w:ascii="宋体" w:hAnsi="宋体" w:eastAsia="宋体" w:cs="宋体"/>
          <w:color w:val="auto"/>
          <w:spacing w:val="8"/>
          <w:sz w:val="20"/>
          <w:szCs w:val="20"/>
          <w:lang w:eastAsia="zh-CN"/>
        </w:rPr>
        <w:t>以联合体形式参加政府采购活动的，联合体各方不得再单独参加或者与其他</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另外组成联合体参加</w:t>
      </w:r>
      <w:r>
        <w:rPr>
          <w:rFonts w:ascii="宋体" w:hAnsi="宋体" w:eastAsia="宋体" w:cs="宋体"/>
          <w:color w:val="auto"/>
          <w:sz w:val="20"/>
          <w:szCs w:val="20"/>
          <w:lang w:eastAsia="zh-CN"/>
        </w:rPr>
        <w:t xml:space="preserve"> </w:t>
      </w:r>
      <w:r>
        <w:rPr>
          <w:rFonts w:ascii="宋体" w:hAnsi="宋体" w:eastAsia="宋体" w:cs="宋体"/>
          <w:color w:val="auto"/>
          <w:spacing w:val="7"/>
          <w:sz w:val="20"/>
          <w:szCs w:val="20"/>
          <w:lang w:eastAsia="zh-CN"/>
        </w:rPr>
        <w:t>同一合同项下的政府采购活动。</w:t>
      </w:r>
    </w:p>
    <w:p w14:paraId="663C7F2F">
      <w:pPr>
        <w:spacing w:before="95" w:line="299" w:lineRule="auto"/>
        <w:ind w:left="6" w:right="18" w:firstLine="15"/>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1.4.4 </w:t>
      </w:r>
      <w:r>
        <w:rPr>
          <w:rFonts w:ascii="宋体" w:hAnsi="宋体" w:eastAsia="宋体" w:cs="宋体"/>
          <w:color w:val="auto"/>
          <w:spacing w:val="9"/>
          <w:sz w:val="20"/>
          <w:szCs w:val="20"/>
          <w:lang w:eastAsia="zh-CN"/>
        </w:rPr>
        <w:t>大中型企业和其他自然人、法人或者其他组织与小</w:t>
      </w:r>
      <w:r>
        <w:rPr>
          <w:rFonts w:ascii="宋体" w:hAnsi="宋体" w:eastAsia="宋体" w:cs="宋体"/>
          <w:color w:val="auto"/>
          <w:spacing w:val="8"/>
          <w:sz w:val="20"/>
          <w:szCs w:val="20"/>
          <w:lang w:eastAsia="zh-CN"/>
        </w:rPr>
        <w:t>型、微型企业组成联合体共同参加非专门面向中小企</w:t>
      </w:r>
      <w:r>
        <w:rPr>
          <w:rFonts w:ascii="宋体" w:hAnsi="宋体" w:eastAsia="宋体" w:cs="宋体"/>
          <w:color w:val="auto"/>
          <w:sz w:val="20"/>
          <w:szCs w:val="20"/>
          <w:lang w:eastAsia="zh-CN"/>
        </w:rPr>
        <w:t xml:space="preserve"> </w:t>
      </w:r>
      <w:r>
        <w:rPr>
          <w:rFonts w:ascii="宋体" w:hAnsi="宋体" w:eastAsia="宋体" w:cs="宋体"/>
          <w:color w:val="auto"/>
          <w:spacing w:val="12"/>
          <w:sz w:val="20"/>
          <w:szCs w:val="20"/>
          <w:lang w:eastAsia="zh-CN"/>
        </w:rPr>
        <w:t>业的政府采购活动。接受大中型企业与小微企业组成联合体或者允许大中型企业向一家或者多家小微</w:t>
      </w:r>
      <w:r>
        <w:rPr>
          <w:rFonts w:ascii="宋体" w:hAnsi="宋体" w:eastAsia="宋体" w:cs="宋体"/>
          <w:color w:val="auto"/>
          <w:spacing w:val="11"/>
          <w:sz w:val="20"/>
          <w:szCs w:val="20"/>
          <w:lang w:eastAsia="zh-CN"/>
        </w:rPr>
        <w:t>企业分</w:t>
      </w:r>
      <w:r>
        <w:rPr>
          <w:rFonts w:ascii="宋体" w:hAnsi="宋体" w:eastAsia="宋体" w:cs="宋体"/>
          <w:color w:val="auto"/>
          <w:sz w:val="20"/>
          <w:szCs w:val="20"/>
          <w:lang w:eastAsia="zh-CN"/>
        </w:rPr>
        <w:t xml:space="preserve"> </w:t>
      </w:r>
      <w:r>
        <w:rPr>
          <w:rFonts w:ascii="宋体" w:hAnsi="宋体" w:eastAsia="宋体" w:cs="宋体"/>
          <w:color w:val="auto"/>
          <w:spacing w:val="10"/>
          <w:sz w:val="20"/>
          <w:szCs w:val="20"/>
          <w:lang w:eastAsia="zh-CN"/>
        </w:rPr>
        <w:t>包的采购项目，对于联合协议或者分包意向协议约定小微企业的合同份额占到合同总金额</w:t>
      </w:r>
      <w:r>
        <w:rPr>
          <w:rFonts w:ascii="宋体" w:hAnsi="宋体" w:eastAsia="宋体" w:cs="宋体"/>
          <w:color w:val="auto"/>
          <w:spacing w:val="-33"/>
          <w:sz w:val="20"/>
          <w:szCs w:val="20"/>
          <w:lang w:eastAsia="zh-CN"/>
        </w:rPr>
        <w:t xml:space="preserve"> </w:t>
      </w:r>
      <w:r>
        <w:rPr>
          <w:rFonts w:ascii="Tahoma" w:hAnsi="Tahoma" w:eastAsia="Tahoma" w:cs="Tahoma"/>
          <w:color w:val="auto"/>
          <w:spacing w:val="10"/>
          <w:sz w:val="20"/>
          <w:szCs w:val="20"/>
          <w:lang w:eastAsia="zh-CN"/>
        </w:rPr>
        <w:t>30%</w:t>
      </w:r>
      <w:r>
        <w:rPr>
          <w:rFonts w:ascii="宋体" w:hAnsi="宋体" w:eastAsia="宋体" w:cs="宋体"/>
          <w:color w:val="auto"/>
          <w:spacing w:val="10"/>
          <w:sz w:val="20"/>
          <w:szCs w:val="20"/>
          <w:lang w:eastAsia="zh-CN"/>
        </w:rPr>
        <w:t>以上的，采购</w:t>
      </w:r>
      <w:r>
        <w:rPr>
          <w:rFonts w:ascii="宋体" w:hAnsi="宋体" w:eastAsia="宋体" w:cs="宋体"/>
          <w:color w:val="auto"/>
          <w:sz w:val="20"/>
          <w:szCs w:val="20"/>
          <w:lang w:eastAsia="zh-CN"/>
        </w:rPr>
        <w:t xml:space="preserve"> </w:t>
      </w:r>
      <w:r>
        <w:rPr>
          <w:rFonts w:ascii="宋体" w:hAnsi="宋体" w:eastAsia="宋体" w:cs="宋体"/>
          <w:color w:val="auto"/>
          <w:spacing w:val="10"/>
          <w:sz w:val="20"/>
          <w:szCs w:val="20"/>
          <w:lang w:eastAsia="zh-CN"/>
        </w:rPr>
        <w:t>人、采购代理机构应当对联合体或者大中型企业的报价给予</w:t>
      </w:r>
      <w:r>
        <w:rPr>
          <w:rFonts w:ascii="宋体" w:hAnsi="宋体" w:eastAsia="宋体" w:cs="宋体"/>
          <w:color w:val="auto"/>
          <w:spacing w:val="-40"/>
          <w:sz w:val="20"/>
          <w:szCs w:val="20"/>
          <w:lang w:eastAsia="zh-CN"/>
        </w:rPr>
        <w:t xml:space="preserve"> </w:t>
      </w:r>
      <w:r>
        <w:rPr>
          <w:rFonts w:ascii="Tahoma" w:hAnsi="Tahoma" w:eastAsia="Tahoma" w:cs="Tahoma"/>
          <w:color w:val="auto"/>
          <w:spacing w:val="10"/>
          <w:sz w:val="20"/>
          <w:szCs w:val="20"/>
          <w:lang w:eastAsia="zh-CN"/>
        </w:rPr>
        <w:t>4%~6%</w:t>
      </w:r>
      <w:r>
        <w:rPr>
          <w:rFonts w:ascii="宋体" w:hAnsi="宋体" w:eastAsia="宋体" w:cs="宋体"/>
          <w:color w:val="auto"/>
          <w:spacing w:val="10"/>
          <w:sz w:val="20"/>
          <w:szCs w:val="20"/>
          <w:lang w:eastAsia="zh-CN"/>
        </w:rPr>
        <w:t>（</w:t>
      </w:r>
      <w:r>
        <w:rPr>
          <w:rFonts w:ascii="宋体" w:hAnsi="宋体" w:eastAsia="宋体" w:cs="宋体"/>
          <w:color w:val="auto"/>
          <w:spacing w:val="9"/>
          <w:sz w:val="20"/>
          <w:szCs w:val="20"/>
          <w:lang w:eastAsia="zh-CN"/>
        </w:rPr>
        <w:t>工程项目为</w:t>
      </w:r>
      <w:r>
        <w:rPr>
          <w:rFonts w:ascii="宋体" w:hAnsi="宋体" w:eastAsia="宋体" w:cs="宋体"/>
          <w:color w:val="auto"/>
          <w:spacing w:val="-20"/>
          <w:sz w:val="20"/>
          <w:szCs w:val="20"/>
          <w:lang w:eastAsia="zh-CN"/>
        </w:rPr>
        <w:t xml:space="preserve"> </w:t>
      </w:r>
      <w:r>
        <w:rPr>
          <w:rFonts w:ascii="Tahoma" w:hAnsi="Tahoma" w:eastAsia="Tahoma" w:cs="Tahoma"/>
          <w:color w:val="auto"/>
          <w:spacing w:val="9"/>
          <w:sz w:val="20"/>
          <w:szCs w:val="20"/>
          <w:lang w:eastAsia="zh-CN"/>
        </w:rPr>
        <w:t>1%~2%</w:t>
      </w:r>
      <w:r>
        <w:rPr>
          <w:rFonts w:ascii="宋体" w:hAnsi="宋体" w:eastAsia="宋体" w:cs="宋体"/>
          <w:color w:val="auto"/>
          <w:spacing w:val="9"/>
          <w:sz w:val="20"/>
          <w:szCs w:val="20"/>
          <w:lang w:eastAsia="zh-CN"/>
        </w:rPr>
        <w:t>）</w:t>
      </w:r>
      <w:r>
        <w:rPr>
          <w:rFonts w:ascii="宋体" w:hAnsi="宋体" w:eastAsia="宋体" w:cs="宋体"/>
          <w:color w:val="auto"/>
          <w:spacing w:val="-59"/>
          <w:sz w:val="20"/>
          <w:szCs w:val="20"/>
          <w:lang w:eastAsia="zh-CN"/>
        </w:rPr>
        <w:t xml:space="preserve"> </w:t>
      </w:r>
      <w:r>
        <w:rPr>
          <w:rFonts w:ascii="宋体" w:hAnsi="宋体" w:eastAsia="宋体" w:cs="宋体"/>
          <w:color w:val="auto"/>
          <w:spacing w:val="9"/>
          <w:sz w:val="20"/>
          <w:szCs w:val="20"/>
          <w:lang w:eastAsia="zh-CN"/>
        </w:rPr>
        <w:t>的扣除，用扣</w:t>
      </w:r>
      <w:r>
        <w:rPr>
          <w:rFonts w:ascii="宋体" w:hAnsi="宋体" w:eastAsia="宋体" w:cs="宋体"/>
          <w:color w:val="auto"/>
          <w:sz w:val="20"/>
          <w:szCs w:val="20"/>
          <w:lang w:eastAsia="zh-CN"/>
        </w:rPr>
        <w:t xml:space="preserve"> </w:t>
      </w:r>
      <w:r>
        <w:rPr>
          <w:rFonts w:ascii="宋体" w:hAnsi="宋体" w:eastAsia="宋体" w:cs="宋体"/>
          <w:color w:val="auto"/>
          <w:spacing w:val="12"/>
          <w:sz w:val="20"/>
          <w:szCs w:val="20"/>
          <w:lang w:eastAsia="zh-CN"/>
        </w:rPr>
        <w:t>除后的价格参加评审。适用招标投标法的政府采购工程建设项目，采用综合评估法但未采用低价优先</w:t>
      </w:r>
      <w:r>
        <w:rPr>
          <w:rFonts w:ascii="宋体" w:hAnsi="宋体" w:eastAsia="宋体" w:cs="宋体"/>
          <w:color w:val="auto"/>
          <w:spacing w:val="11"/>
          <w:sz w:val="20"/>
          <w:szCs w:val="20"/>
          <w:lang w:eastAsia="zh-CN"/>
        </w:rPr>
        <w:t>法计算</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价格分的，评标时应当在采用原报价进行评分的基础上增加其价格</w:t>
      </w:r>
      <w:r>
        <w:rPr>
          <w:rFonts w:ascii="宋体" w:hAnsi="宋体" w:eastAsia="宋体" w:cs="宋体"/>
          <w:color w:val="auto"/>
          <w:spacing w:val="8"/>
          <w:sz w:val="20"/>
          <w:szCs w:val="20"/>
          <w:lang w:eastAsia="zh-CN"/>
        </w:rPr>
        <w:t>得分的</w:t>
      </w:r>
      <w:r>
        <w:rPr>
          <w:rFonts w:ascii="宋体" w:hAnsi="宋体" w:eastAsia="宋体" w:cs="宋体"/>
          <w:color w:val="auto"/>
          <w:spacing w:val="-22"/>
          <w:sz w:val="20"/>
          <w:szCs w:val="20"/>
          <w:lang w:eastAsia="zh-CN"/>
        </w:rPr>
        <w:t xml:space="preserve"> </w:t>
      </w:r>
      <w:r>
        <w:rPr>
          <w:rFonts w:ascii="Tahoma" w:hAnsi="Tahoma" w:eastAsia="Tahoma" w:cs="Tahoma"/>
          <w:color w:val="auto"/>
          <w:spacing w:val="8"/>
          <w:sz w:val="20"/>
          <w:szCs w:val="20"/>
          <w:lang w:eastAsia="zh-CN"/>
        </w:rPr>
        <w:t>1%~2%</w:t>
      </w:r>
      <w:r>
        <w:rPr>
          <w:rFonts w:ascii="宋体" w:hAnsi="宋体" w:eastAsia="宋体" w:cs="宋体"/>
          <w:color w:val="auto"/>
          <w:spacing w:val="8"/>
          <w:sz w:val="20"/>
          <w:szCs w:val="20"/>
          <w:lang w:eastAsia="zh-CN"/>
        </w:rPr>
        <w:t>作为其价格分。</w:t>
      </w:r>
    </w:p>
    <w:p w14:paraId="4FD4025A">
      <w:pPr>
        <w:spacing w:before="93" w:line="228" w:lineRule="auto"/>
        <w:ind w:left="18"/>
        <w:rPr>
          <w:rFonts w:ascii="宋体" w:hAnsi="宋体" w:eastAsia="宋体" w:cs="宋体"/>
          <w:color w:val="auto"/>
          <w:sz w:val="20"/>
          <w:szCs w:val="20"/>
          <w:lang w:eastAsia="zh-CN"/>
        </w:rPr>
      </w:pPr>
      <w:r>
        <w:rPr>
          <w:rFonts w:ascii="Tahoma" w:hAnsi="Tahoma" w:eastAsia="Tahoma" w:cs="Tahoma"/>
          <w:b/>
          <w:bCs/>
          <w:color w:val="auto"/>
          <w:spacing w:val="3"/>
          <w:sz w:val="20"/>
          <w:szCs w:val="20"/>
          <w:lang w:eastAsia="zh-CN"/>
        </w:rPr>
        <w:t>1.5.</w:t>
      </w:r>
      <w:r>
        <w:rPr>
          <w:rFonts w:ascii="Tahoma" w:hAnsi="Tahoma" w:eastAsia="Tahoma" w:cs="Tahoma"/>
          <w:b/>
          <w:bCs/>
          <w:color w:val="auto"/>
          <w:spacing w:val="2"/>
          <w:sz w:val="20"/>
          <w:szCs w:val="20"/>
          <w:lang w:eastAsia="zh-CN"/>
        </w:rPr>
        <w:t xml:space="preserve">  </w:t>
      </w:r>
      <w:r>
        <w:rPr>
          <w:rFonts w:ascii="宋体" w:hAnsi="宋体" w:eastAsia="宋体" w:cs="宋体"/>
          <w:color w:val="auto"/>
          <w:spacing w:val="3"/>
          <w:sz w:val="20"/>
          <w:szCs w:val="20"/>
          <w:lang w:eastAsia="zh-CN"/>
          <w14:textOutline w14:w="3797" w14:cap="sq" w14:cmpd="sng" w14:algn="ctr">
            <w14:solidFill>
              <w14:srgbClr w14:val="000000"/>
            </w14:solidFill>
            <w14:prstDash w14:val="solid"/>
            <w14:bevel/>
          </w14:textOutline>
        </w:rPr>
        <w:t>投标费用</w:t>
      </w:r>
    </w:p>
    <w:p w14:paraId="34CB981F">
      <w:pPr>
        <w:spacing w:before="93" w:line="228" w:lineRule="auto"/>
        <w:jc w:val="right"/>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1.5.1</w:t>
      </w:r>
      <w:r>
        <w:rPr>
          <w:rFonts w:ascii="Tahoma" w:hAnsi="Tahoma" w:eastAsia="Tahoma" w:cs="Tahoma"/>
          <w:color w:val="auto"/>
          <w:spacing w:val="55"/>
          <w:sz w:val="20"/>
          <w:szCs w:val="20"/>
          <w:lang w:eastAsia="zh-CN"/>
        </w:rPr>
        <w:t xml:space="preserve"> </w:t>
      </w:r>
      <w:r>
        <w:rPr>
          <w:rFonts w:ascii="宋体" w:hAnsi="宋体" w:eastAsia="宋体" w:cs="宋体"/>
          <w:color w:val="auto"/>
          <w:spacing w:val="8"/>
          <w:sz w:val="20"/>
          <w:szCs w:val="20"/>
          <w:lang w:eastAsia="zh-CN"/>
        </w:rPr>
        <w:t>投标人准备和参加投标活动所发生的一切费用（包括招标文件购买、代理服务费等）均由投标人自理。</w:t>
      </w:r>
    </w:p>
    <w:p w14:paraId="2777DC1A">
      <w:pPr>
        <w:spacing w:before="94" w:line="227" w:lineRule="auto"/>
        <w:ind w:left="18"/>
        <w:rPr>
          <w:rFonts w:ascii="宋体" w:hAnsi="宋体" w:eastAsia="宋体" w:cs="宋体"/>
          <w:color w:val="auto"/>
          <w:sz w:val="20"/>
          <w:szCs w:val="20"/>
          <w:lang w:eastAsia="zh-CN"/>
        </w:rPr>
      </w:pPr>
      <w:r>
        <w:rPr>
          <w:rFonts w:ascii="Tahoma" w:hAnsi="Tahoma" w:eastAsia="Tahoma" w:cs="Tahoma"/>
          <w:b/>
          <w:bCs/>
          <w:color w:val="auto"/>
          <w:spacing w:val="7"/>
          <w:sz w:val="20"/>
          <w:szCs w:val="20"/>
          <w:lang w:eastAsia="zh-CN"/>
        </w:rPr>
        <w:t>1.6</w:t>
      </w:r>
      <w:r>
        <w:rPr>
          <w:rFonts w:ascii="Tahoma" w:hAnsi="Tahoma" w:eastAsia="Tahoma" w:cs="Tahoma"/>
          <w:b/>
          <w:bCs/>
          <w:color w:val="auto"/>
          <w:spacing w:val="58"/>
          <w:w w:val="101"/>
          <w:sz w:val="20"/>
          <w:szCs w:val="20"/>
          <w:lang w:eastAsia="zh-CN"/>
        </w:rPr>
        <w:t xml:space="preserve"> </w:t>
      </w:r>
      <w:r>
        <w:rPr>
          <w:rFonts w:ascii="宋体" w:hAnsi="宋体" w:eastAsia="宋体" w:cs="宋体"/>
          <w:color w:val="auto"/>
          <w:spacing w:val="7"/>
          <w:sz w:val="20"/>
          <w:szCs w:val="20"/>
          <w:lang w:eastAsia="zh-CN"/>
          <w14:textOutline w14:w="3797" w14:cap="sq" w14:cmpd="sng" w14:algn="ctr">
            <w14:solidFill>
              <w14:srgbClr w14:val="000000"/>
            </w14:solidFill>
            <w14:prstDash w14:val="solid"/>
            <w14:bevel/>
          </w14:textOutline>
        </w:rPr>
        <w:t>踏勘现场投标前答疑会</w:t>
      </w:r>
    </w:p>
    <w:p w14:paraId="5BB3C9C5">
      <w:pPr>
        <w:spacing w:before="92" w:line="271" w:lineRule="auto"/>
        <w:ind w:left="10" w:right="17" w:firstLine="1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1.6.1 </w:t>
      </w:r>
      <w:r>
        <w:rPr>
          <w:rFonts w:ascii="宋体" w:hAnsi="宋体" w:eastAsia="宋体" w:cs="宋体"/>
          <w:color w:val="auto"/>
          <w:spacing w:val="9"/>
          <w:sz w:val="20"/>
          <w:szCs w:val="20"/>
          <w:lang w:eastAsia="zh-CN"/>
        </w:rPr>
        <w:t>采购人、采购代理机构可以视采购项目的具体情况，</w:t>
      </w:r>
      <w:r>
        <w:rPr>
          <w:rFonts w:ascii="宋体" w:hAnsi="宋体" w:eastAsia="宋体" w:cs="宋体"/>
          <w:color w:val="auto"/>
          <w:spacing w:val="8"/>
          <w:sz w:val="20"/>
          <w:szCs w:val="20"/>
          <w:lang w:eastAsia="zh-CN"/>
        </w:rPr>
        <w:t>组织</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进行现场考察或召开投标前答疑会，但</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不得单独或分别组织只有一个</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参加的现场考察和答疑会。</w:t>
      </w:r>
    </w:p>
    <w:p w14:paraId="6F4E9727">
      <w:pPr>
        <w:spacing w:before="95" w:line="270" w:lineRule="auto"/>
        <w:ind w:left="6" w:right="20" w:firstLine="15"/>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1.6.2 </w:t>
      </w:r>
      <w:r>
        <w:rPr>
          <w:rFonts w:ascii="宋体" w:hAnsi="宋体" w:eastAsia="宋体" w:cs="宋体"/>
          <w:color w:val="auto"/>
          <w:spacing w:val="9"/>
          <w:sz w:val="20"/>
          <w:szCs w:val="20"/>
          <w:lang w:eastAsia="zh-CN"/>
        </w:rPr>
        <w:t>投标人须知前附表规定组织踏勘现场的，采购</w:t>
      </w:r>
      <w:r>
        <w:rPr>
          <w:rFonts w:ascii="宋体" w:hAnsi="宋体" w:eastAsia="宋体" w:cs="宋体"/>
          <w:color w:val="auto"/>
          <w:spacing w:val="8"/>
          <w:sz w:val="20"/>
          <w:szCs w:val="20"/>
          <w:lang w:eastAsia="zh-CN"/>
        </w:rPr>
        <w:t>人应按投标人须知前附表规定的时间、地点组织</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踏</w:t>
      </w:r>
      <w:r>
        <w:rPr>
          <w:rFonts w:ascii="宋体" w:hAnsi="宋体" w:eastAsia="宋体" w:cs="宋体"/>
          <w:color w:val="auto"/>
          <w:sz w:val="20"/>
          <w:szCs w:val="20"/>
          <w:lang w:eastAsia="zh-CN"/>
        </w:rPr>
        <w:t xml:space="preserve"> </w:t>
      </w:r>
      <w:r>
        <w:rPr>
          <w:rFonts w:ascii="宋体" w:hAnsi="宋体" w:eastAsia="宋体" w:cs="宋体"/>
          <w:color w:val="auto"/>
          <w:spacing w:val="6"/>
          <w:sz w:val="20"/>
          <w:szCs w:val="20"/>
          <w:lang w:eastAsia="zh-CN"/>
        </w:rPr>
        <w:t>勘项目现场。</w:t>
      </w:r>
    </w:p>
    <w:p w14:paraId="1C923A67">
      <w:pPr>
        <w:spacing w:before="94" w:line="227" w:lineRule="auto"/>
        <w:ind w:left="21"/>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1.6.3</w:t>
      </w:r>
      <w:r>
        <w:rPr>
          <w:rFonts w:ascii="Tahoma" w:hAnsi="Tahoma" w:eastAsia="Tahoma" w:cs="Tahoma"/>
          <w:color w:val="auto"/>
          <w:spacing w:val="52"/>
          <w:w w:val="101"/>
          <w:sz w:val="20"/>
          <w:szCs w:val="20"/>
          <w:lang w:eastAsia="zh-CN"/>
        </w:rPr>
        <w:t xml:space="preserve"> </w:t>
      </w: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踏勘现场所发生的一切费</w:t>
      </w:r>
      <w:r>
        <w:rPr>
          <w:rFonts w:ascii="宋体" w:hAnsi="宋体" w:eastAsia="宋体" w:cs="宋体"/>
          <w:color w:val="auto"/>
          <w:spacing w:val="6"/>
          <w:sz w:val="20"/>
          <w:szCs w:val="20"/>
          <w:lang w:eastAsia="zh-CN"/>
        </w:rPr>
        <w:t>用自理。</w:t>
      </w:r>
    </w:p>
    <w:p w14:paraId="3E97F020">
      <w:pPr>
        <w:spacing w:before="95" w:line="227" w:lineRule="auto"/>
        <w:ind w:left="21"/>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1.6.4</w:t>
      </w:r>
      <w:r>
        <w:rPr>
          <w:rFonts w:ascii="Tahoma" w:hAnsi="Tahoma" w:eastAsia="Tahoma" w:cs="Tahoma"/>
          <w:color w:val="auto"/>
          <w:spacing w:val="1"/>
          <w:sz w:val="20"/>
          <w:szCs w:val="20"/>
          <w:lang w:eastAsia="zh-CN"/>
        </w:rPr>
        <w:t xml:space="preserve">  </w:t>
      </w:r>
      <w:r>
        <w:rPr>
          <w:rFonts w:ascii="宋体" w:hAnsi="宋体" w:eastAsia="宋体" w:cs="宋体"/>
          <w:color w:val="auto"/>
          <w:spacing w:val="8"/>
          <w:sz w:val="20"/>
          <w:szCs w:val="20"/>
          <w:lang w:eastAsia="zh-CN"/>
        </w:rPr>
        <w:t>除采购人的原因外，</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自行负责在踏勘现场中所发生的人员伤亡和财</w:t>
      </w:r>
      <w:r>
        <w:rPr>
          <w:rFonts w:ascii="宋体" w:hAnsi="宋体" w:eastAsia="宋体" w:cs="宋体"/>
          <w:color w:val="auto"/>
          <w:spacing w:val="7"/>
          <w:sz w:val="20"/>
          <w:szCs w:val="20"/>
          <w:lang w:eastAsia="zh-CN"/>
        </w:rPr>
        <w:t>产损失。</w:t>
      </w:r>
    </w:p>
    <w:p w14:paraId="4AF88B7E">
      <w:pPr>
        <w:spacing w:before="93" w:line="271" w:lineRule="auto"/>
        <w:ind w:left="23" w:right="20" w:hanging="2"/>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1.6.5 </w:t>
      </w:r>
      <w:r>
        <w:rPr>
          <w:rFonts w:ascii="宋体" w:hAnsi="宋体" w:eastAsia="宋体" w:cs="宋体"/>
          <w:color w:val="auto"/>
          <w:spacing w:val="9"/>
          <w:sz w:val="20"/>
          <w:szCs w:val="20"/>
          <w:lang w:eastAsia="zh-CN"/>
        </w:rPr>
        <w:t>采购人在踏勘现场中介绍的项目情况，仅供</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8"/>
          <w:sz w:val="20"/>
          <w:szCs w:val="20"/>
          <w:lang w:eastAsia="zh-CN"/>
        </w:rPr>
        <w:t>在编制投标文件时参考，采购人不对</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据此作出</w:t>
      </w:r>
      <w:r>
        <w:rPr>
          <w:rFonts w:ascii="宋体" w:hAnsi="宋体" w:eastAsia="宋体" w:cs="宋体"/>
          <w:color w:val="auto"/>
          <w:sz w:val="20"/>
          <w:szCs w:val="20"/>
          <w:lang w:eastAsia="zh-CN"/>
        </w:rPr>
        <w:t xml:space="preserve"> </w:t>
      </w:r>
      <w:r>
        <w:rPr>
          <w:rFonts w:ascii="宋体" w:hAnsi="宋体" w:eastAsia="宋体" w:cs="宋体"/>
          <w:color w:val="auto"/>
          <w:spacing w:val="5"/>
          <w:sz w:val="20"/>
          <w:szCs w:val="20"/>
          <w:lang w:eastAsia="zh-CN"/>
        </w:rPr>
        <w:t>的判断和决策负责。</w:t>
      </w:r>
    </w:p>
    <w:p w14:paraId="12388183">
      <w:pPr>
        <w:spacing w:before="93" w:line="270" w:lineRule="auto"/>
        <w:ind w:left="6" w:right="18" w:firstLine="14"/>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1.6.6</w:t>
      </w:r>
      <w:r>
        <w:rPr>
          <w:rFonts w:ascii="Tahoma" w:hAnsi="Tahoma" w:eastAsia="Tahoma" w:cs="Tahoma"/>
          <w:color w:val="auto"/>
          <w:spacing w:val="55"/>
          <w:w w:val="101"/>
          <w:sz w:val="20"/>
          <w:szCs w:val="20"/>
          <w:lang w:eastAsia="zh-CN"/>
        </w:rPr>
        <w:t xml:space="preserve"> </w:t>
      </w:r>
      <w:r>
        <w:rPr>
          <w:rFonts w:ascii="宋体" w:hAnsi="宋体" w:eastAsia="宋体" w:cs="宋体"/>
          <w:color w:val="auto"/>
          <w:spacing w:val="8"/>
          <w:sz w:val="20"/>
          <w:szCs w:val="20"/>
          <w:lang w:eastAsia="zh-CN"/>
        </w:rPr>
        <w:t>投标人须知前附表规定召开投标前答疑会的，采购人按投标</w:t>
      </w:r>
      <w:r>
        <w:rPr>
          <w:rFonts w:ascii="宋体" w:hAnsi="宋体" w:eastAsia="宋体" w:cs="宋体"/>
          <w:color w:val="auto"/>
          <w:spacing w:val="7"/>
          <w:sz w:val="20"/>
          <w:szCs w:val="20"/>
          <w:lang w:eastAsia="zh-CN"/>
        </w:rPr>
        <w:t>人须知前附表规定的时间和地点召开投标前</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答疑会，澄清</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提出的问题。</w:t>
      </w:r>
    </w:p>
    <w:p w14:paraId="7E2F89B9">
      <w:pPr>
        <w:spacing w:before="96" w:line="292" w:lineRule="auto"/>
        <w:ind w:left="6" w:right="20" w:firstLine="15"/>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1.6.7 </w:t>
      </w:r>
      <w:r>
        <w:rPr>
          <w:rFonts w:ascii="宋体" w:hAnsi="宋体" w:eastAsia="宋体" w:cs="宋体"/>
          <w:color w:val="auto"/>
          <w:spacing w:val="9"/>
          <w:sz w:val="20"/>
          <w:szCs w:val="20"/>
          <w:lang w:eastAsia="zh-CN"/>
        </w:rPr>
        <w:t>本采购项目采购人（采购代理机构）不组织</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8"/>
          <w:sz w:val="20"/>
          <w:szCs w:val="20"/>
          <w:lang w:eastAsia="zh-CN"/>
        </w:rPr>
        <w:t>进行现场考察或召开投标前答疑会。</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应在投标</w:t>
      </w:r>
      <w:r>
        <w:rPr>
          <w:rFonts w:ascii="宋体" w:hAnsi="宋体" w:eastAsia="宋体" w:cs="宋体"/>
          <w:color w:val="auto"/>
          <w:sz w:val="20"/>
          <w:szCs w:val="20"/>
          <w:lang w:eastAsia="zh-CN"/>
        </w:rPr>
        <w:t xml:space="preserve"> </w:t>
      </w:r>
      <w:r>
        <w:rPr>
          <w:rFonts w:ascii="宋体" w:hAnsi="宋体" w:eastAsia="宋体" w:cs="宋体"/>
          <w:color w:val="auto"/>
          <w:spacing w:val="11"/>
          <w:sz w:val="20"/>
          <w:szCs w:val="20"/>
          <w:lang w:eastAsia="zh-CN"/>
        </w:rPr>
        <w:t>须知前附表规定的时间前，</w:t>
      </w:r>
      <w:r>
        <w:rPr>
          <w:rFonts w:ascii="宋体" w:hAnsi="宋体" w:eastAsia="宋体" w:cs="宋体"/>
          <w:color w:val="auto"/>
          <w:spacing w:val="-56"/>
          <w:sz w:val="20"/>
          <w:szCs w:val="20"/>
          <w:lang w:eastAsia="zh-CN"/>
        </w:rPr>
        <w:t xml:space="preserve"> </w:t>
      </w:r>
      <w:r>
        <w:rPr>
          <w:rFonts w:ascii="宋体" w:hAnsi="宋体" w:eastAsia="宋体" w:cs="宋体"/>
          <w:color w:val="auto"/>
          <w:spacing w:val="11"/>
          <w:sz w:val="20"/>
          <w:szCs w:val="20"/>
          <w:lang w:eastAsia="zh-CN"/>
        </w:rPr>
        <w:t>以书面形式将提出的问题送达采购人，采购人或采购代理机构在投标人须知前附</w:t>
      </w:r>
      <w:r>
        <w:rPr>
          <w:rFonts w:ascii="宋体" w:hAnsi="宋体" w:eastAsia="宋体" w:cs="宋体"/>
          <w:color w:val="auto"/>
          <w:sz w:val="20"/>
          <w:szCs w:val="20"/>
          <w:lang w:eastAsia="zh-CN"/>
        </w:rPr>
        <w:t xml:space="preserve"> </w:t>
      </w:r>
      <w:r>
        <w:rPr>
          <w:rFonts w:ascii="宋体" w:hAnsi="宋体" w:eastAsia="宋体" w:cs="宋体"/>
          <w:color w:val="auto"/>
          <w:spacing w:val="11"/>
          <w:sz w:val="20"/>
          <w:szCs w:val="20"/>
          <w:lang w:eastAsia="zh-CN"/>
        </w:rPr>
        <w:t>表规定的时间内，将对</w:t>
      </w:r>
      <w:r>
        <w:rPr>
          <w:rFonts w:hint="eastAsia" w:ascii="宋体" w:hAnsi="宋体" w:eastAsia="宋体" w:cs="宋体"/>
          <w:color w:val="auto"/>
          <w:spacing w:val="11"/>
          <w:sz w:val="20"/>
          <w:szCs w:val="20"/>
          <w:lang w:eastAsia="zh-CN"/>
        </w:rPr>
        <w:t>服务商</w:t>
      </w:r>
      <w:r>
        <w:rPr>
          <w:rFonts w:ascii="宋体" w:hAnsi="宋体" w:eastAsia="宋体" w:cs="宋体"/>
          <w:color w:val="auto"/>
          <w:spacing w:val="11"/>
          <w:sz w:val="20"/>
          <w:szCs w:val="20"/>
          <w:lang w:eastAsia="zh-CN"/>
        </w:rPr>
        <w:t>所提问题的进行澄清，</w:t>
      </w:r>
      <w:r>
        <w:rPr>
          <w:rFonts w:ascii="宋体" w:hAnsi="宋体" w:eastAsia="宋体" w:cs="宋体"/>
          <w:color w:val="auto"/>
          <w:spacing w:val="-56"/>
          <w:sz w:val="20"/>
          <w:szCs w:val="20"/>
          <w:lang w:eastAsia="zh-CN"/>
        </w:rPr>
        <w:t xml:space="preserve"> </w:t>
      </w:r>
      <w:r>
        <w:rPr>
          <w:rFonts w:ascii="宋体" w:hAnsi="宋体" w:eastAsia="宋体" w:cs="宋体"/>
          <w:color w:val="auto"/>
          <w:spacing w:val="11"/>
          <w:sz w:val="20"/>
          <w:szCs w:val="20"/>
          <w:lang w:eastAsia="zh-CN"/>
        </w:rPr>
        <w:t>以书面方式在规定的发布渠道通知所有获取投标文件的</w:t>
      </w:r>
      <w:r>
        <w:rPr>
          <w:rFonts w:ascii="宋体" w:hAnsi="宋体" w:eastAsia="宋体" w:cs="宋体"/>
          <w:color w:val="auto"/>
          <w:sz w:val="20"/>
          <w:szCs w:val="20"/>
          <w:lang w:eastAsia="zh-CN"/>
        </w:rPr>
        <w:t xml:space="preserve"> </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。该澄清内容为招标文件的组成部分。</w:t>
      </w:r>
    </w:p>
    <w:p w14:paraId="754DBB4B">
      <w:pPr>
        <w:spacing w:before="68" w:line="222" w:lineRule="auto"/>
        <w:ind w:left="4324"/>
        <w:rPr>
          <w:rFonts w:ascii="Tahoma" w:hAnsi="Tahoma" w:eastAsia="Tahoma" w:cs="Tahoma"/>
          <w:b/>
          <w:bCs/>
          <w:color w:val="auto"/>
          <w:spacing w:val="-8"/>
          <w:sz w:val="24"/>
          <w:szCs w:val="24"/>
          <w:lang w:eastAsia="zh-CN"/>
        </w:rPr>
      </w:pPr>
    </w:p>
    <w:p w14:paraId="55F04564">
      <w:pPr>
        <w:spacing w:before="68" w:line="222" w:lineRule="auto"/>
        <w:ind w:left="4324"/>
        <w:rPr>
          <w:rFonts w:ascii="黑体" w:hAnsi="黑体" w:eastAsia="黑体" w:cs="黑体"/>
          <w:color w:val="auto"/>
          <w:sz w:val="24"/>
          <w:szCs w:val="24"/>
          <w:lang w:eastAsia="zh-CN"/>
        </w:rPr>
      </w:pPr>
      <w:r>
        <w:rPr>
          <w:rFonts w:ascii="Tahoma" w:hAnsi="Tahoma" w:eastAsia="Tahoma" w:cs="Tahoma"/>
          <w:b/>
          <w:bCs/>
          <w:color w:val="auto"/>
          <w:spacing w:val="-8"/>
          <w:sz w:val="24"/>
          <w:szCs w:val="24"/>
          <w:lang w:eastAsia="zh-CN"/>
        </w:rPr>
        <w:t>2</w:t>
      </w:r>
      <w:r>
        <w:rPr>
          <w:rFonts w:ascii="Tahoma" w:hAnsi="Tahoma" w:eastAsia="Tahoma" w:cs="Tahoma"/>
          <w:b/>
          <w:bCs/>
          <w:color w:val="auto"/>
          <w:spacing w:val="-37"/>
          <w:sz w:val="24"/>
          <w:szCs w:val="24"/>
          <w:lang w:eastAsia="zh-CN"/>
        </w:rPr>
        <w:t xml:space="preserve"> </w:t>
      </w:r>
      <w:r>
        <w:rPr>
          <w:rFonts w:ascii="黑体" w:hAnsi="黑体" w:eastAsia="黑体" w:cs="黑体"/>
          <w:color w:val="auto"/>
          <w:spacing w:val="-8"/>
          <w:sz w:val="24"/>
          <w:szCs w:val="24"/>
          <w:lang w:eastAsia="zh-CN"/>
          <w14:textOutline w14:w="4356" w14:cap="sq" w14:cmpd="sng" w14:algn="ctr">
            <w14:solidFill>
              <w14:srgbClr w14:val="000000"/>
            </w14:solidFill>
            <w14:prstDash w14:val="solid"/>
            <w14:bevel/>
          </w14:textOutline>
        </w:rPr>
        <w:t>、招标文件</w:t>
      </w:r>
    </w:p>
    <w:p w14:paraId="5E1A8059">
      <w:pPr>
        <w:spacing w:before="76" w:line="228" w:lineRule="auto"/>
        <w:ind w:left="14"/>
        <w:rPr>
          <w:rFonts w:ascii="宋体" w:hAnsi="宋体" w:eastAsia="宋体" w:cs="宋体"/>
          <w:color w:val="auto"/>
          <w:sz w:val="20"/>
          <w:szCs w:val="20"/>
          <w:lang w:eastAsia="zh-CN"/>
        </w:rPr>
      </w:pPr>
      <w:r>
        <w:rPr>
          <w:rFonts w:ascii="Tahoma" w:hAnsi="Tahoma" w:eastAsia="Tahoma" w:cs="Tahoma"/>
          <w:b/>
          <w:bCs/>
          <w:color w:val="auto"/>
          <w:spacing w:val="5"/>
          <w:sz w:val="20"/>
          <w:szCs w:val="20"/>
          <w:lang w:eastAsia="zh-CN"/>
        </w:rPr>
        <w:t>2.1.</w:t>
      </w:r>
      <w:r>
        <w:rPr>
          <w:rFonts w:ascii="Tahoma" w:hAnsi="Tahoma" w:eastAsia="Tahoma" w:cs="Tahoma"/>
          <w:b/>
          <w:bCs/>
          <w:color w:val="auto"/>
          <w:spacing w:val="67"/>
          <w:w w:val="101"/>
          <w:sz w:val="20"/>
          <w:szCs w:val="20"/>
          <w:lang w:eastAsia="zh-CN"/>
        </w:rPr>
        <w:t xml:space="preserve"> </w:t>
      </w:r>
      <w:r>
        <w:rPr>
          <w:rFonts w:ascii="宋体" w:hAnsi="宋体" w:eastAsia="宋体" w:cs="宋体"/>
          <w:color w:val="auto"/>
          <w:spacing w:val="5"/>
          <w:sz w:val="20"/>
          <w:szCs w:val="20"/>
          <w:lang w:eastAsia="zh-CN"/>
          <w14:textOutline w14:w="3797" w14:cap="sq" w14:cmpd="sng" w14:algn="ctr">
            <w14:solidFill>
              <w14:srgbClr w14:val="000000"/>
            </w14:solidFill>
            <w14:prstDash w14:val="solid"/>
            <w14:bevel/>
          </w14:textOutline>
        </w:rPr>
        <w:t>招标文件的组成</w:t>
      </w:r>
    </w:p>
    <w:p w14:paraId="6D2081FF">
      <w:pPr>
        <w:spacing w:before="95" w:line="270" w:lineRule="auto"/>
        <w:ind w:left="388" w:right="1330" w:hanging="379"/>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2.1.1 </w:t>
      </w:r>
      <w:r>
        <w:rPr>
          <w:rFonts w:ascii="宋体" w:hAnsi="宋体" w:eastAsia="宋体" w:cs="宋体"/>
          <w:color w:val="auto"/>
          <w:spacing w:val="8"/>
          <w:sz w:val="20"/>
          <w:szCs w:val="20"/>
          <w:lang w:eastAsia="zh-CN"/>
        </w:rPr>
        <w:t>招标文件用以阐明所需货物及服务</w:t>
      </w:r>
      <w:r>
        <w:rPr>
          <w:rFonts w:ascii="宋体" w:hAnsi="宋体" w:eastAsia="宋体" w:cs="宋体"/>
          <w:color w:val="auto"/>
          <w:spacing w:val="7"/>
          <w:sz w:val="20"/>
          <w:szCs w:val="20"/>
          <w:lang w:eastAsia="zh-CN"/>
        </w:rPr>
        <w:t>招标程序和合同主要条款。招标文件由下述部分组成：</w:t>
      </w:r>
      <w:r>
        <w:rPr>
          <w:rFonts w:ascii="宋体" w:hAnsi="宋体" w:eastAsia="宋体" w:cs="宋体"/>
          <w:color w:val="auto"/>
          <w:sz w:val="20"/>
          <w:szCs w:val="20"/>
          <w:lang w:eastAsia="zh-CN"/>
        </w:rPr>
        <w:t xml:space="preserve"> </w:t>
      </w:r>
      <w:r>
        <w:rPr>
          <w:rFonts w:ascii="宋体" w:hAnsi="宋体" w:eastAsia="宋体" w:cs="宋体"/>
          <w:color w:val="auto"/>
          <w:spacing w:val="6"/>
          <w:sz w:val="20"/>
          <w:szCs w:val="20"/>
          <w:lang w:eastAsia="zh-CN"/>
        </w:rPr>
        <w:t>（一）招标公告；</w:t>
      </w:r>
    </w:p>
    <w:p w14:paraId="5373A839">
      <w:pPr>
        <w:spacing w:before="94" w:line="340" w:lineRule="exact"/>
        <w:ind w:left="389"/>
        <w:rPr>
          <w:rFonts w:ascii="宋体" w:hAnsi="宋体" w:eastAsia="宋体" w:cs="宋体"/>
          <w:color w:val="auto"/>
          <w:sz w:val="20"/>
          <w:szCs w:val="20"/>
          <w:lang w:eastAsia="zh-CN"/>
        </w:rPr>
      </w:pPr>
      <w:r>
        <w:rPr>
          <w:rFonts w:ascii="宋体" w:hAnsi="宋体" w:eastAsia="宋体" w:cs="宋体"/>
          <w:color w:val="auto"/>
          <w:spacing w:val="9"/>
          <w:position w:val="10"/>
          <w:sz w:val="20"/>
          <w:szCs w:val="20"/>
          <w:lang w:eastAsia="zh-CN"/>
        </w:rPr>
        <w:t>（二）投标人须知（包括投标文件的密封、签署、盖章要求等</w:t>
      </w:r>
      <w:r>
        <w:rPr>
          <w:rFonts w:ascii="宋体" w:hAnsi="宋体" w:eastAsia="宋体" w:cs="宋体"/>
          <w:color w:val="auto"/>
          <w:spacing w:val="3"/>
          <w:position w:val="10"/>
          <w:sz w:val="20"/>
          <w:szCs w:val="20"/>
          <w:lang w:eastAsia="zh-CN"/>
        </w:rPr>
        <w:t>）；</w:t>
      </w:r>
    </w:p>
    <w:p w14:paraId="549FFA28">
      <w:pPr>
        <w:spacing w:before="1" w:line="227" w:lineRule="auto"/>
        <w:ind w:left="389"/>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（三）投标人应当提交的资格、资信证明文件；</w:t>
      </w:r>
    </w:p>
    <w:p w14:paraId="09A723AE">
      <w:pPr>
        <w:spacing w:before="94" w:line="227" w:lineRule="auto"/>
        <w:ind w:left="389"/>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（四）为落实政府采购政策，采购标的需满足的要求，</w:t>
      </w:r>
      <w:r>
        <w:rPr>
          <w:rFonts w:ascii="宋体" w:hAnsi="宋体" w:eastAsia="宋体" w:cs="宋体"/>
          <w:color w:val="auto"/>
          <w:spacing w:val="-55"/>
          <w:sz w:val="20"/>
          <w:szCs w:val="20"/>
          <w:lang w:eastAsia="zh-CN"/>
        </w:rPr>
        <w:t xml:space="preserve"> </w:t>
      </w:r>
      <w:r>
        <w:rPr>
          <w:rFonts w:ascii="宋体" w:hAnsi="宋体" w:eastAsia="宋体" w:cs="宋体"/>
          <w:color w:val="auto"/>
          <w:spacing w:val="8"/>
          <w:sz w:val="20"/>
          <w:szCs w:val="20"/>
          <w:lang w:eastAsia="zh-CN"/>
        </w:rPr>
        <w:t>以及投标人须提供的证明材料；</w:t>
      </w:r>
    </w:p>
    <w:p w14:paraId="0EE71AE4">
      <w:pPr>
        <w:spacing w:before="94" w:line="270" w:lineRule="auto"/>
        <w:ind w:left="389" w:right="13"/>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（五）投标文件编制要求、投标报价要求和投标保证金交纳、退还方式以及不予退还投标保证金的情形；</w:t>
      </w:r>
      <w:r>
        <w:rPr>
          <w:rFonts w:ascii="宋体" w:hAnsi="宋体" w:eastAsia="宋体" w:cs="宋体"/>
          <w:color w:val="auto"/>
          <w:spacing w:val="17"/>
          <w:sz w:val="20"/>
          <w:szCs w:val="20"/>
          <w:lang w:eastAsia="zh-CN"/>
        </w:rPr>
        <w:t xml:space="preserve"> </w:t>
      </w:r>
      <w:r>
        <w:rPr>
          <w:rFonts w:ascii="宋体" w:hAnsi="宋体" w:eastAsia="宋体" w:cs="宋体"/>
          <w:color w:val="auto"/>
          <w:spacing w:val="9"/>
          <w:sz w:val="20"/>
          <w:szCs w:val="20"/>
          <w:lang w:eastAsia="zh-CN"/>
        </w:rPr>
        <w:t>（六）采购项目预算金额，设定最高限价的，还应当公开最高限价；</w:t>
      </w:r>
    </w:p>
    <w:p w14:paraId="04A67FC2">
      <w:pPr>
        <w:spacing w:before="95" w:line="339" w:lineRule="exact"/>
        <w:ind w:left="389"/>
        <w:rPr>
          <w:rFonts w:ascii="宋体" w:hAnsi="宋体" w:eastAsia="宋体" w:cs="宋体"/>
          <w:color w:val="auto"/>
          <w:sz w:val="20"/>
          <w:szCs w:val="20"/>
          <w:lang w:eastAsia="zh-CN"/>
        </w:rPr>
      </w:pPr>
      <w:r>
        <w:rPr>
          <w:rFonts w:ascii="宋体" w:hAnsi="宋体" w:eastAsia="宋体" w:cs="宋体"/>
          <w:color w:val="auto"/>
          <w:spacing w:val="9"/>
          <w:position w:val="9"/>
          <w:sz w:val="20"/>
          <w:szCs w:val="20"/>
          <w:lang w:eastAsia="zh-CN"/>
        </w:rPr>
        <w:t>（七）采购项目的技术规格、数量、服务标准、验收等要求，包括附件、图纸等；</w:t>
      </w:r>
    </w:p>
    <w:p w14:paraId="707CCBB7">
      <w:pPr>
        <w:spacing w:before="1" w:line="226" w:lineRule="auto"/>
        <w:ind w:left="389"/>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（八）拟签订的合同文本；</w:t>
      </w:r>
    </w:p>
    <w:p w14:paraId="06D2FAC1">
      <w:pPr>
        <w:spacing w:before="95" w:line="341" w:lineRule="exact"/>
        <w:ind w:left="389"/>
        <w:rPr>
          <w:rFonts w:ascii="宋体" w:hAnsi="宋体" w:eastAsia="宋体" w:cs="宋体"/>
          <w:color w:val="auto"/>
          <w:sz w:val="20"/>
          <w:szCs w:val="20"/>
          <w:lang w:eastAsia="zh-CN"/>
        </w:rPr>
      </w:pPr>
      <w:r>
        <w:rPr>
          <w:rFonts w:ascii="宋体" w:hAnsi="宋体" w:eastAsia="宋体" w:cs="宋体"/>
          <w:color w:val="auto"/>
          <w:spacing w:val="8"/>
          <w:position w:val="10"/>
          <w:sz w:val="20"/>
          <w:szCs w:val="20"/>
          <w:lang w:eastAsia="zh-CN"/>
        </w:rPr>
        <w:t>（九）货物、服务提供的时间、地点、方式；</w:t>
      </w:r>
    </w:p>
    <w:p w14:paraId="22B62BBB">
      <w:pPr>
        <w:spacing w:before="1" w:line="226" w:lineRule="auto"/>
        <w:ind w:left="389"/>
        <w:rPr>
          <w:rFonts w:ascii="宋体" w:hAnsi="宋体" w:eastAsia="宋体" w:cs="宋体"/>
          <w:color w:val="auto"/>
          <w:spacing w:val="8"/>
          <w:sz w:val="20"/>
          <w:szCs w:val="20"/>
          <w:lang w:eastAsia="zh-CN"/>
        </w:rPr>
      </w:pPr>
      <w:r>
        <w:rPr>
          <w:rFonts w:ascii="宋体" w:hAnsi="宋体" w:eastAsia="宋体" w:cs="宋体"/>
          <w:color w:val="auto"/>
          <w:spacing w:val="8"/>
          <w:sz w:val="20"/>
          <w:szCs w:val="20"/>
          <w:lang w:eastAsia="zh-CN"/>
        </w:rPr>
        <w:t>（十）采购资金的支付方式、时间、条件；</w:t>
      </w:r>
    </w:p>
    <w:p w14:paraId="1B4D239D">
      <w:pPr>
        <w:spacing w:before="1" w:line="226" w:lineRule="auto"/>
        <w:ind w:left="389"/>
        <w:rPr>
          <w:rFonts w:ascii="宋体" w:hAnsi="宋体" w:eastAsia="宋体" w:cs="宋体"/>
          <w:color w:val="auto"/>
          <w:sz w:val="20"/>
          <w:szCs w:val="20"/>
          <w:lang w:eastAsia="zh-CN"/>
        </w:rPr>
      </w:pPr>
      <w:r>
        <w:rPr>
          <w:rFonts w:ascii="宋体" w:hAnsi="宋体" w:eastAsia="宋体" w:cs="宋体"/>
          <w:color w:val="auto"/>
          <w:spacing w:val="8"/>
          <w:position w:val="10"/>
          <w:sz w:val="20"/>
          <w:szCs w:val="20"/>
          <w:lang w:eastAsia="zh-CN"/>
        </w:rPr>
        <w:t>（十一）评标方法、评标标准和投标无效情形；</w:t>
      </w:r>
    </w:p>
    <w:p w14:paraId="67D99386">
      <w:pPr>
        <w:spacing w:line="228" w:lineRule="auto"/>
        <w:ind w:left="389"/>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（十二）投标有效期；</w:t>
      </w:r>
    </w:p>
    <w:p w14:paraId="3F024959">
      <w:pPr>
        <w:spacing w:before="93" w:line="228" w:lineRule="auto"/>
        <w:ind w:left="389"/>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（十三）投标截止时间、开标时间及地点；</w:t>
      </w:r>
    </w:p>
    <w:p w14:paraId="68E9B2F5">
      <w:pPr>
        <w:spacing w:before="90" w:line="227" w:lineRule="auto"/>
        <w:ind w:left="389"/>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（十四）采购代理机构代理费用的收取标准和方式；</w:t>
      </w:r>
    </w:p>
    <w:p w14:paraId="73F285EA">
      <w:pPr>
        <w:spacing w:before="95" w:line="271" w:lineRule="auto"/>
        <w:ind w:left="169" w:right="73" w:firstLine="205"/>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（十五）投标人信用信息查询渠道及截止时点、信用信</w:t>
      </w:r>
      <w:r>
        <w:rPr>
          <w:rFonts w:ascii="宋体" w:hAnsi="宋体" w:eastAsia="宋体" w:cs="宋体"/>
          <w:color w:val="auto"/>
          <w:spacing w:val="8"/>
          <w:sz w:val="20"/>
          <w:szCs w:val="20"/>
          <w:lang w:eastAsia="zh-CN"/>
        </w:rPr>
        <w:t>息查询记录和证据留存的具体方式、信用信息的使</w:t>
      </w:r>
      <w:r>
        <w:rPr>
          <w:rFonts w:ascii="宋体" w:hAnsi="宋体" w:eastAsia="宋体" w:cs="宋体"/>
          <w:color w:val="auto"/>
          <w:sz w:val="20"/>
          <w:szCs w:val="20"/>
          <w:lang w:eastAsia="zh-CN"/>
        </w:rPr>
        <w:t xml:space="preserve"> </w:t>
      </w:r>
      <w:r>
        <w:rPr>
          <w:rFonts w:ascii="宋体" w:hAnsi="宋体" w:eastAsia="宋体" w:cs="宋体"/>
          <w:color w:val="auto"/>
          <w:spacing w:val="5"/>
          <w:sz w:val="20"/>
          <w:szCs w:val="20"/>
          <w:lang w:eastAsia="zh-CN"/>
        </w:rPr>
        <w:t>用规则等；</w:t>
      </w:r>
    </w:p>
    <w:p w14:paraId="4EDE5102">
      <w:pPr>
        <w:spacing w:before="92" w:line="228" w:lineRule="auto"/>
        <w:ind w:left="389"/>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（十六）省级以上财政部门规定的其他事项；</w:t>
      </w:r>
    </w:p>
    <w:p w14:paraId="137ADB59">
      <w:pPr>
        <w:spacing w:before="94" w:line="271" w:lineRule="auto"/>
        <w:ind w:left="8" w:right="73" w:firstLine="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2.1.2 </w:t>
      </w:r>
      <w:r>
        <w:rPr>
          <w:rFonts w:ascii="宋体" w:hAnsi="宋体" w:eastAsia="宋体" w:cs="宋体"/>
          <w:color w:val="auto"/>
          <w:spacing w:val="9"/>
          <w:sz w:val="20"/>
          <w:szCs w:val="20"/>
          <w:lang w:eastAsia="zh-CN"/>
        </w:rPr>
        <w:t>除非有特殊要求，招标文件不单独提供招标货物使用地的自然环境、气候</w:t>
      </w:r>
      <w:r>
        <w:rPr>
          <w:rFonts w:ascii="宋体" w:hAnsi="宋体" w:eastAsia="宋体" w:cs="宋体"/>
          <w:color w:val="auto"/>
          <w:spacing w:val="8"/>
          <w:sz w:val="20"/>
          <w:szCs w:val="20"/>
          <w:lang w:eastAsia="zh-CN"/>
        </w:rPr>
        <w:t>条件、公用设施等情况，投标</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人被视为熟悉上述与履行合同有关的一切情况。</w:t>
      </w:r>
    </w:p>
    <w:p w14:paraId="0EC24870">
      <w:pPr>
        <w:spacing w:before="92" w:line="228" w:lineRule="auto"/>
        <w:ind w:left="14"/>
        <w:rPr>
          <w:rFonts w:ascii="宋体" w:hAnsi="宋体" w:eastAsia="宋体" w:cs="宋体"/>
          <w:color w:val="auto"/>
          <w:sz w:val="20"/>
          <w:szCs w:val="20"/>
          <w:lang w:eastAsia="zh-CN"/>
        </w:rPr>
      </w:pPr>
      <w:r>
        <w:rPr>
          <w:rFonts w:ascii="Tahoma" w:hAnsi="Tahoma" w:eastAsia="Tahoma" w:cs="Tahoma"/>
          <w:b/>
          <w:bCs/>
          <w:color w:val="auto"/>
          <w:spacing w:val="7"/>
          <w:sz w:val="20"/>
          <w:szCs w:val="20"/>
          <w:lang w:eastAsia="zh-CN"/>
        </w:rPr>
        <w:t>2.2</w:t>
      </w:r>
      <w:r>
        <w:rPr>
          <w:rFonts w:ascii="Tahoma" w:hAnsi="Tahoma" w:eastAsia="Tahoma" w:cs="Tahoma"/>
          <w:b/>
          <w:bCs/>
          <w:color w:val="auto"/>
          <w:spacing w:val="63"/>
          <w:sz w:val="20"/>
          <w:szCs w:val="20"/>
          <w:lang w:eastAsia="zh-CN"/>
        </w:rPr>
        <w:t xml:space="preserve"> </w:t>
      </w:r>
      <w:r>
        <w:rPr>
          <w:rFonts w:ascii="宋体" w:hAnsi="宋体" w:eastAsia="宋体" w:cs="宋体"/>
          <w:color w:val="auto"/>
          <w:spacing w:val="7"/>
          <w:sz w:val="20"/>
          <w:szCs w:val="20"/>
          <w:lang w:eastAsia="zh-CN"/>
          <w14:textOutline w14:w="3797" w14:cap="sq" w14:cmpd="sng" w14:algn="ctr">
            <w14:solidFill>
              <w14:srgbClr w14:val="000000"/>
            </w14:solidFill>
            <w14:prstDash w14:val="solid"/>
            <w14:bevel/>
          </w14:textOutline>
        </w:rPr>
        <w:t>招标文件的澄清或修改</w:t>
      </w:r>
    </w:p>
    <w:p w14:paraId="3C2402C9">
      <w:pPr>
        <w:spacing w:before="95" w:line="270" w:lineRule="auto"/>
        <w:ind w:left="5" w:right="73" w:firstLine="4"/>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2.2.1 </w:t>
      </w:r>
      <w:r>
        <w:rPr>
          <w:rFonts w:ascii="宋体" w:hAnsi="宋体" w:eastAsia="宋体" w:cs="宋体"/>
          <w:color w:val="auto"/>
          <w:spacing w:val="9"/>
          <w:sz w:val="20"/>
          <w:szCs w:val="20"/>
          <w:lang w:eastAsia="zh-CN"/>
        </w:rPr>
        <w:t>采购人或者采购代理机构可以对已发出的招标文件、招标公告进行必要的</w:t>
      </w:r>
      <w:r>
        <w:rPr>
          <w:rFonts w:ascii="宋体" w:hAnsi="宋体" w:eastAsia="宋体" w:cs="宋体"/>
          <w:color w:val="auto"/>
          <w:spacing w:val="8"/>
          <w:sz w:val="20"/>
          <w:szCs w:val="20"/>
          <w:lang w:eastAsia="zh-CN"/>
        </w:rPr>
        <w:t>澄清或者修改，但不得改变采</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购标的和资格条件。澄清或者修改应当在原公告发布媒体上发布澄清公告。</w:t>
      </w:r>
    </w:p>
    <w:p w14:paraId="244A25B2">
      <w:pPr>
        <w:spacing w:before="94" w:line="292" w:lineRule="auto"/>
        <w:ind w:left="6" w:right="70" w:firstLine="2"/>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2.2.2 </w:t>
      </w:r>
      <w:r>
        <w:rPr>
          <w:rFonts w:ascii="宋体" w:hAnsi="宋体" w:eastAsia="宋体" w:cs="宋体"/>
          <w:color w:val="auto"/>
          <w:spacing w:val="8"/>
          <w:sz w:val="20"/>
          <w:szCs w:val="20"/>
          <w:lang w:eastAsia="zh-CN"/>
        </w:rPr>
        <w:t>投标人应仔细阅读和检查招标文件的全部内容。如发现缺页或附件不全，应及时向招标人提出，</w:t>
      </w:r>
      <w:r>
        <w:rPr>
          <w:rFonts w:ascii="宋体" w:hAnsi="宋体" w:eastAsia="宋体" w:cs="宋体"/>
          <w:color w:val="auto"/>
          <w:spacing w:val="-60"/>
          <w:sz w:val="20"/>
          <w:szCs w:val="20"/>
          <w:lang w:eastAsia="zh-CN"/>
        </w:rPr>
        <w:t xml:space="preserve"> </w:t>
      </w:r>
      <w:r>
        <w:rPr>
          <w:rFonts w:ascii="宋体" w:hAnsi="宋体" w:eastAsia="宋体" w:cs="宋体"/>
          <w:color w:val="auto"/>
          <w:spacing w:val="8"/>
          <w:sz w:val="20"/>
          <w:szCs w:val="20"/>
          <w:lang w:eastAsia="zh-CN"/>
        </w:rPr>
        <w:t>以便补</w:t>
      </w:r>
      <w:r>
        <w:rPr>
          <w:rFonts w:ascii="宋体" w:hAnsi="宋体" w:eastAsia="宋体" w:cs="宋体"/>
          <w:color w:val="auto"/>
          <w:sz w:val="20"/>
          <w:szCs w:val="20"/>
          <w:lang w:eastAsia="zh-CN"/>
        </w:rPr>
        <w:t xml:space="preserve"> </w:t>
      </w:r>
      <w:r>
        <w:rPr>
          <w:rFonts w:ascii="宋体" w:hAnsi="宋体" w:eastAsia="宋体" w:cs="宋体"/>
          <w:color w:val="auto"/>
          <w:spacing w:val="11"/>
          <w:sz w:val="20"/>
          <w:szCs w:val="20"/>
          <w:lang w:eastAsia="zh-CN"/>
        </w:rPr>
        <w:t>齐。如有疑问，应在投标人须知前附表规定的时间前以书面形式（包括信函、</w:t>
      </w:r>
      <w:r>
        <w:rPr>
          <w:rFonts w:ascii="宋体" w:hAnsi="宋体" w:eastAsia="宋体" w:cs="宋体"/>
          <w:color w:val="auto"/>
          <w:spacing w:val="-57"/>
          <w:sz w:val="20"/>
          <w:szCs w:val="20"/>
          <w:lang w:eastAsia="zh-CN"/>
        </w:rPr>
        <w:t xml:space="preserve"> </w:t>
      </w:r>
      <w:r>
        <w:rPr>
          <w:rFonts w:ascii="宋体" w:hAnsi="宋体" w:eastAsia="宋体" w:cs="宋体"/>
          <w:color w:val="auto"/>
          <w:spacing w:val="11"/>
          <w:sz w:val="20"/>
          <w:szCs w:val="20"/>
          <w:lang w:eastAsia="zh-CN"/>
        </w:rPr>
        <w:t>电报、传真等可以有形地表现</w:t>
      </w:r>
      <w:r>
        <w:rPr>
          <w:rFonts w:ascii="宋体" w:hAnsi="宋体" w:eastAsia="宋体" w:cs="宋体"/>
          <w:color w:val="auto"/>
          <w:sz w:val="20"/>
          <w:szCs w:val="20"/>
          <w:lang w:eastAsia="zh-CN"/>
        </w:rPr>
        <w:t xml:space="preserve"> </w:t>
      </w:r>
      <w:r>
        <w:rPr>
          <w:rFonts w:ascii="宋体" w:hAnsi="宋体" w:eastAsia="宋体" w:cs="宋体"/>
          <w:color w:val="auto"/>
          <w:spacing w:val="12"/>
          <w:sz w:val="20"/>
          <w:szCs w:val="20"/>
          <w:lang w:eastAsia="zh-CN"/>
        </w:rPr>
        <w:t>所载内容的形式，下同</w:t>
      </w:r>
      <w:r>
        <w:rPr>
          <w:rFonts w:ascii="宋体" w:hAnsi="宋体" w:eastAsia="宋体" w:cs="宋体"/>
          <w:color w:val="auto"/>
          <w:spacing w:val="-3"/>
          <w:sz w:val="20"/>
          <w:szCs w:val="20"/>
          <w:lang w:eastAsia="zh-CN"/>
        </w:rPr>
        <w:t>）</w:t>
      </w:r>
      <w:r>
        <w:rPr>
          <w:rFonts w:ascii="宋体" w:hAnsi="宋体" w:eastAsia="宋体" w:cs="宋体"/>
          <w:color w:val="auto"/>
          <w:spacing w:val="-58"/>
          <w:sz w:val="20"/>
          <w:szCs w:val="20"/>
          <w:lang w:eastAsia="zh-CN"/>
        </w:rPr>
        <w:t xml:space="preserve"> </w:t>
      </w:r>
      <w:r>
        <w:rPr>
          <w:rFonts w:ascii="宋体" w:hAnsi="宋体" w:eastAsia="宋体" w:cs="宋体"/>
          <w:color w:val="auto"/>
          <w:spacing w:val="-3"/>
          <w:sz w:val="20"/>
          <w:szCs w:val="20"/>
          <w:lang w:eastAsia="zh-CN"/>
        </w:rPr>
        <w:t>，</w:t>
      </w:r>
      <w:r>
        <w:rPr>
          <w:rFonts w:ascii="宋体" w:hAnsi="宋体" w:eastAsia="宋体" w:cs="宋体"/>
          <w:color w:val="auto"/>
          <w:spacing w:val="12"/>
          <w:sz w:val="20"/>
          <w:szCs w:val="20"/>
          <w:lang w:eastAsia="zh-CN"/>
        </w:rPr>
        <w:t>要求招标人对招标文件予以澄清。招标人将</w:t>
      </w:r>
      <w:r>
        <w:rPr>
          <w:rFonts w:ascii="宋体" w:hAnsi="宋体" w:eastAsia="宋体" w:cs="宋体"/>
          <w:color w:val="auto"/>
          <w:spacing w:val="11"/>
          <w:sz w:val="20"/>
          <w:szCs w:val="20"/>
          <w:lang w:eastAsia="zh-CN"/>
        </w:rPr>
        <w:t>视情况将不标明澄清问题查询来源的</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书面答复发给所有投标人，该澄清内容为招标文件的组成部分。</w:t>
      </w:r>
    </w:p>
    <w:p w14:paraId="7245BE62">
      <w:pPr>
        <w:spacing w:before="98" w:line="299" w:lineRule="auto"/>
        <w:ind w:left="7" w:right="70" w:firstLine="2"/>
        <w:rPr>
          <w:rFonts w:ascii="宋体" w:hAnsi="宋体" w:eastAsia="宋体" w:cs="宋体"/>
          <w:color w:val="auto"/>
          <w:sz w:val="20"/>
          <w:szCs w:val="20"/>
          <w:lang w:eastAsia="zh-CN"/>
        </w:rPr>
      </w:pPr>
      <w:r>
        <w:rPr>
          <w:rFonts w:ascii="Tahoma" w:hAnsi="Tahoma" w:eastAsia="Tahoma" w:cs="Tahoma"/>
          <w:color w:val="auto"/>
          <w:spacing w:val="10"/>
          <w:sz w:val="20"/>
          <w:szCs w:val="20"/>
          <w:lang w:eastAsia="zh-CN"/>
        </w:rPr>
        <w:t xml:space="preserve">2.2.3 </w:t>
      </w:r>
      <w:r>
        <w:rPr>
          <w:rFonts w:ascii="宋体" w:hAnsi="宋体" w:eastAsia="宋体" w:cs="宋体"/>
          <w:color w:val="auto"/>
          <w:spacing w:val="10"/>
          <w:sz w:val="20"/>
          <w:szCs w:val="20"/>
          <w:lang w:eastAsia="zh-CN"/>
        </w:rPr>
        <w:t>招标文件的澄清将在投标人须</w:t>
      </w:r>
      <w:r>
        <w:rPr>
          <w:rFonts w:ascii="宋体" w:hAnsi="宋体" w:eastAsia="宋体" w:cs="宋体"/>
          <w:color w:val="auto"/>
          <w:spacing w:val="9"/>
          <w:sz w:val="20"/>
          <w:szCs w:val="20"/>
          <w:lang w:eastAsia="zh-CN"/>
        </w:rPr>
        <w:t>知前附表规定的投标截止时间</w:t>
      </w:r>
      <w:r>
        <w:rPr>
          <w:rFonts w:ascii="宋体" w:hAnsi="宋体" w:eastAsia="宋体" w:cs="宋体"/>
          <w:color w:val="auto"/>
          <w:spacing w:val="-20"/>
          <w:sz w:val="20"/>
          <w:szCs w:val="20"/>
          <w:lang w:eastAsia="zh-CN"/>
        </w:rPr>
        <w:t xml:space="preserve"> </w:t>
      </w:r>
      <w:r>
        <w:rPr>
          <w:rFonts w:ascii="Tahoma" w:hAnsi="Tahoma" w:eastAsia="Tahoma" w:cs="Tahoma"/>
          <w:color w:val="auto"/>
          <w:spacing w:val="9"/>
          <w:sz w:val="20"/>
          <w:szCs w:val="20"/>
          <w:lang w:eastAsia="zh-CN"/>
        </w:rPr>
        <w:t xml:space="preserve">15 </w:t>
      </w:r>
      <w:r>
        <w:rPr>
          <w:rFonts w:ascii="宋体" w:hAnsi="宋体" w:eastAsia="宋体" w:cs="宋体"/>
          <w:color w:val="auto"/>
          <w:spacing w:val="9"/>
          <w:sz w:val="20"/>
          <w:szCs w:val="20"/>
          <w:lang w:eastAsia="zh-CN"/>
        </w:rPr>
        <w:t>天前以书面形式发给所有购买招标文件</w:t>
      </w:r>
      <w:r>
        <w:rPr>
          <w:rFonts w:ascii="宋体" w:hAnsi="宋体" w:eastAsia="宋体" w:cs="宋体"/>
          <w:color w:val="auto"/>
          <w:sz w:val="20"/>
          <w:szCs w:val="20"/>
          <w:lang w:eastAsia="zh-CN"/>
        </w:rPr>
        <w:t xml:space="preserve"> </w:t>
      </w:r>
      <w:r>
        <w:rPr>
          <w:rFonts w:ascii="宋体" w:hAnsi="宋体" w:eastAsia="宋体" w:cs="宋体"/>
          <w:color w:val="auto"/>
          <w:spacing w:val="12"/>
          <w:sz w:val="20"/>
          <w:szCs w:val="20"/>
          <w:lang w:eastAsia="zh-CN"/>
        </w:rPr>
        <w:t>的投标人，招标人只对投标须知前附表中规定的截止时间以前收到的要求澄清的问题予以答复。</w:t>
      </w:r>
      <w:r>
        <w:rPr>
          <w:rFonts w:ascii="宋体" w:hAnsi="宋体" w:eastAsia="宋体" w:cs="宋体"/>
          <w:color w:val="auto"/>
          <w:spacing w:val="11"/>
          <w:sz w:val="20"/>
          <w:szCs w:val="20"/>
          <w:lang w:eastAsia="zh-CN"/>
        </w:rPr>
        <w:t>如果澄清发</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出的时间因距投标截止时间不足</w:t>
      </w:r>
      <w:r>
        <w:rPr>
          <w:rFonts w:ascii="宋体" w:hAnsi="宋体" w:eastAsia="宋体" w:cs="宋体"/>
          <w:color w:val="auto"/>
          <w:spacing w:val="-14"/>
          <w:sz w:val="20"/>
          <w:szCs w:val="20"/>
          <w:lang w:eastAsia="zh-CN"/>
        </w:rPr>
        <w:t xml:space="preserve"> </w:t>
      </w:r>
      <w:r>
        <w:rPr>
          <w:rFonts w:ascii="Tahoma" w:hAnsi="Tahoma" w:eastAsia="Tahoma" w:cs="Tahoma"/>
          <w:color w:val="auto"/>
          <w:spacing w:val="8"/>
          <w:sz w:val="20"/>
          <w:szCs w:val="20"/>
          <w:lang w:eastAsia="zh-CN"/>
        </w:rPr>
        <w:t xml:space="preserve">15 </w:t>
      </w:r>
      <w:r>
        <w:rPr>
          <w:rFonts w:ascii="宋体" w:hAnsi="宋体" w:eastAsia="宋体" w:cs="宋体"/>
          <w:color w:val="auto"/>
          <w:spacing w:val="8"/>
          <w:sz w:val="20"/>
          <w:szCs w:val="20"/>
          <w:lang w:eastAsia="zh-CN"/>
        </w:rPr>
        <w:t>天，投标人认为该澄清影响到对投标文件的修编，造成在原投标截止时间</w:t>
      </w:r>
      <w:r>
        <w:rPr>
          <w:rFonts w:ascii="宋体" w:hAnsi="宋体" w:eastAsia="宋体" w:cs="宋体"/>
          <w:color w:val="auto"/>
          <w:sz w:val="20"/>
          <w:szCs w:val="20"/>
          <w:lang w:eastAsia="zh-CN"/>
        </w:rPr>
        <w:t xml:space="preserve"> </w:t>
      </w:r>
      <w:r>
        <w:rPr>
          <w:rFonts w:ascii="宋体" w:hAnsi="宋体" w:eastAsia="宋体" w:cs="宋体"/>
          <w:color w:val="auto"/>
          <w:spacing w:val="11"/>
          <w:sz w:val="20"/>
          <w:szCs w:val="20"/>
          <w:lang w:eastAsia="zh-CN"/>
        </w:rPr>
        <w:t>前修编投标文件的时间不足，投标人应以书面形式通知招标人要求酌情延长投标截止时间，</w:t>
      </w:r>
      <w:r>
        <w:rPr>
          <w:rFonts w:ascii="宋体" w:hAnsi="宋体" w:eastAsia="宋体" w:cs="宋体"/>
          <w:color w:val="auto"/>
          <w:spacing w:val="-58"/>
          <w:sz w:val="20"/>
          <w:szCs w:val="20"/>
          <w:lang w:eastAsia="zh-CN"/>
        </w:rPr>
        <w:t xml:space="preserve"> </w:t>
      </w:r>
      <w:r>
        <w:rPr>
          <w:rFonts w:ascii="宋体" w:hAnsi="宋体" w:eastAsia="宋体" w:cs="宋体"/>
          <w:color w:val="auto"/>
          <w:spacing w:val="11"/>
          <w:sz w:val="20"/>
          <w:szCs w:val="20"/>
          <w:lang w:eastAsia="zh-CN"/>
        </w:rPr>
        <w:t>以保证投标人有</w:t>
      </w:r>
      <w:r>
        <w:rPr>
          <w:rFonts w:ascii="宋体" w:hAnsi="宋体" w:eastAsia="宋体" w:cs="宋体"/>
          <w:color w:val="auto"/>
          <w:sz w:val="20"/>
          <w:szCs w:val="20"/>
          <w:lang w:eastAsia="zh-CN"/>
        </w:rPr>
        <w:t xml:space="preserve"> </w:t>
      </w:r>
      <w:r>
        <w:rPr>
          <w:rFonts w:ascii="宋体" w:hAnsi="宋体" w:eastAsia="宋体" w:cs="宋体"/>
          <w:color w:val="auto"/>
          <w:spacing w:val="12"/>
          <w:sz w:val="20"/>
          <w:szCs w:val="20"/>
          <w:lang w:eastAsia="zh-CN"/>
        </w:rPr>
        <w:t>合理的时间修编投标文件，招标人应按规定酌情延长投标截止时间。否则，招标人仍将按原投标</w:t>
      </w:r>
      <w:r>
        <w:rPr>
          <w:rFonts w:ascii="宋体" w:hAnsi="宋体" w:eastAsia="宋体" w:cs="宋体"/>
          <w:color w:val="auto"/>
          <w:spacing w:val="11"/>
          <w:sz w:val="20"/>
          <w:szCs w:val="20"/>
          <w:lang w:eastAsia="zh-CN"/>
        </w:rPr>
        <w:t>截止时间执</w:t>
      </w:r>
      <w:r>
        <w:rPr>
          <w:rFonts w:ascii="宋体" w:hAnsi="宋体" w:eastAsia="宋体" w:cs="宋体"/>
          <w:color w:val="auto"/>
          <w:sz w:val="20"/>
          <w:szCs w:val="20"/>
          <w:lang w:eastAsia="zh-CN"/>
        </w:rPr>
        <w:t xml:space="preserve"> 行。</w:t>
      </w:r>
    </w:p>
    <w:p w14:paraId="55DC0C5D">
      <w:pPr>
        <w:spacing w:before="93" w:line="227" w:lineRule="auto"/>
        <w:jc w:val="center"/>
        <w:rPr>
          <w:rFonts w:ascii="宋体" w:hAnsi="宋体" w:eastAsia="宋体" w:cs="宋体"/>
          <w:color w:val="auto"/>
          <w:sz w:val="20"/>
          <w:szCs w:val="20"/>
          <w:lang w:eastAsia="zh-CN"/>
        </w:rPr>
      </w:pPr>
      <w:r>
        <w:rPr>
          <w:rFonts w:ascii="Tahoma" w:hAnsi="Tahoma" w:eastAsia="Tahoma" w:cs="Tahoma"/>
          <w:color w:val="auto"/>
          <w:spacing w:val="5"/>
          <w:sz w:val="20"/>
          <w:szCs w:val="20"/>
          <w:lang w:eastAsia="zh-CN"/>
        </w:rPr>
        <w:t>2.2.4</w:t>
      </w:r>
      <w:r>
        <w:rPr>
          <w:rFonts w:ascii="Tahoma" w:hAnsi="Tahoma" w:eastAsia="Tahoma" w:cs="Tahoma"/>
          <w:color w:val="auto"/>
          <w:spacing w:val="64"/>
          <w:w w:val="101"/>
          <w:sz w:val="20"/>
          <w:szCs w:val="20"/>
          <w:lang w:eastAsia="zh-CN"/>
        </w:rPr>
        <w:t xml:space="preserve"> </w:t>
      </w:r>
      <w:r>
        <w:rPr>
          <w:rFonts w:ascii="宋体" w:hAnsi="宋体" w:eastAsia="宋体" w:cs="宋体"/>
          <w:color w:val="auto"/>
          <w:spacing w:val="5"/>
          <w:sz w:val="20"/>
          <w:szCs w:val="20"/>
          <w:lang w:eastAsia="zh-CN"/>
        </w:rPr>
        <w:t>投标人在收到澄清后，应在投标人须知前附表规定的时间内以书面形式通知招标人，确认已收到该澄清。</w:t>
      </w:r>
    </w:p>
    <w:p w14:paraId="3B57C285">
      <w:pPr>
        <w:spacing w:before="91" w:line="302" w:lineRule="auto"/>
        <w:ind w:left="6" w:right="73" w:firstLine="3"/>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2.2.5</w:t>
      </w:r>
      <w:r>
        <w:rPr>
          <w:rFonts w:ascii="Tahoma" w:hAnsi="Tahoma" w:eastAsia="Tahoma" w:cs="Tahoma"/>
          <w:color w:val="auto"/>
          <w:spacing w:val="52"/>
          <w:w w:val="101"/>
          <w:sz w:val="20"/>
          <w:szCs w:val="20"/>
          <w:lang w:eastAsia="zh-CN"/>
        </w:rPr>
        <w:t xml:space="preserve"> </w:t>
      </w:r>
      <w:r>
        <w:rPr>
          <w:rFonts w:ascii="宋体" w:hAnsi="宋体" w:eastAsia="宋体" w:cs="宋体"/>
          <w:color w:val="auto"/>
          <w:spacing w:val="9"/>
          <w:sz w:val="20"/>
          <w:szCs w:val="20"/>
          <w:lang w:eastAsia="zh-CN"/>
        </w:rPr>
        <w:t>在投标截止时间</w:t>
      </w:r>
      <w:r>
        <w:rPr>
          <w:rFonts w:ascii="宋体" w:hAnsi="宋体" w:eastAsia="宋体" w:cs="宋体"/>
          <w:color w:val="auto"/>
          <w:spacing w:val="-22"/>
          <w:sz w:val="20"/>
          <w:szCs w:val="20"/>
          <w:lang w:eastAsia="zh-CN"/>
        </w:rPr>
        <w:t xml:space="preserve"> </w:t>
      </w:r>
      <w:r>
        <w:rPr>
          <w:rFonts w:ascii="Tahoma" w:hAnsi="Tahoma" w:eastAsia="Tahoma" w:cs="Tahoma"/>
          <w:color w:val="auto"/>
          <w:spacing w:val="9"/>
          <w:sz w:val="20"/>
          <w:szCs w:val="20"/>
          <w:lang w:eastAsia="zh-CN"/>
        </w:rPr>
        <w:t xml:space="preserve">15 </w:t>
      </w:r>
      <w:r>
        <w:rPr>
          <w:rFonts w:ascii="宋体" w:hAnsi="宋体" w:eastAsia="宋体" w:cs="宋体"/>
          <w:color w:val="auto"/>
          <w:spacing w:val="9"/>
          <w:sz w:val="20"/>
          <w:szCs w:val="20"/>
          <w:lang w:eastAsia="zh-CN"/>
        </w:rPr>
        <w:t>天前，招标人可以书面形式</w:t>
      </w:r>
      <w:r>
        <w:rPr>
          <w:rFonts w:ascii="宋体" w:hAnsi="宋体" w:eastAsia="宋体" w:cs="宋体"/>
          <w:color w:val="auto"/>
          <w:spacing w:val="8"/>
          <w:sz w:val="20"/>
          <w:szCs w:val="20"/>
          <w:lang w:eastAsia="zh-CN"/>
        </w:rPr>
        <w:t>修改招标文件，并通知所有已购买招标文件的投标人，</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该修改内容为招标文件的组成部分。如果修改招标文件的时间距投标截止时间不足</w:t>
      </w:r>
      <w:r>
        <w:rPr>
          <w:rFonts w:ascii="宋体" w:hAnsi="宋体" w:eastAsia="宋体" w:cs="宋体"/>
          <w:color w:val="auto"/>
          <w:spacing w:val="-12"/>
          <w:sz w:val="20"/>
          <w:szCs w:val="20"/>
          <w:lang w:eastAsia="zh-CN"/>
        </w:rPr>
        <w:t xml:space="preserve"> </w:t>
      </w:r>
      <w:r>
        <w:rPr>
          <w:rFonts w:ascii="Tahoma" w:hAnsi="Tahoma" w:eastAsia="Tahoma" w:cs="Tahoma"/>
          <w:color w:val="auto"/>
          <w:spacing w:val="8"/>
          <w:sz w:val="20"/>
          <w:szCs w:val="20"/>
          <w:lang w:eastAsia="zh-CN"/>
        </w:rPr>
        <w:t xml:space="preserve">15 </w:t>
      </w:r>
      <w:r>
        <w:rPr>
          <w:rFonts w:ascii="宋体" w:hAnsi="宋体" w:eastAsia="宋体" w:cs="宋体"/>
          <w:color w:val="auto"/>
          <w:spacing w:val="8"/>
          <w:sz w:val="20"/>
          <w:szCs w:val="20"/>
          <w:lang w:eastAsia="zh-CN"/>
        </w:rPr>
        <w:t>天，投标人认为因招标</w:t>
      </w:r>
      <w:r>
        <w:rPr>
          <w:rFonts w:ascii="宋体" w:hAnsi="宋体" w:eastAsia="宋体" w:cs="宋体"/>
          <w:color w:val="auto"/>
          <w:sz w:val="20"/>
          <w:szCs w:val="20"/>
          <w:lang w:eastAsia="zh-CN"/>
        </w:rPr>
        <w:t xml:space="preserve"> </w:t>
      </w:r>
      <w:r>
        <w:rPr>
          <w:rFonts w:ascii="宋体" w:hAnsi="宋体" w:eastAsia="宋体" w:cs="宋体"/>
          <w:color w:val="auto"/>
          <w:spacing w:val="12"/>
          <w:sz w:val="20"/>
          <w:szCs w:val="20"/>
          <w:lang w:eastAsia="zh-CN"/>
        </w:rPr>
        <w:t>文件的修改影响到对投标文件的修编，造成在原投标截止时间前修编投标文件的时间不足，投标人应</w:t>
      </w:r>
      <w:r>
        <w:rPr>
          <w:rFonts w:ascii="宋体" w:hAnsi="宋体" w:eastAsia="宋体" w:cs="宋体"/>
          <w:color w:val="auto"/>
          <w:spacing w:val="11"/>
          <w:sz w:val="20"/>
          <w:szCs w:val="20"/>
          <w:lang w:eastAsia="zh-CN"/>
        </w:rPr>
        <w:t>以书面</w:t>
      </w:r>
      <w:r>
        <w:rPr>
          <w:rFonts w:ascii="宋体" w:hAnsi="宋体" w:eastAsia="宋体" w:cs="宋体"/>
          <w:color w:val="auto"/>
          <w:sz w:val="20"/>
          <w:szCs w:val="20"/>
          <w:lang w:eastAsia="zh-CN"/>
        </w:rPr>
        <w:t xml:space="preserve"> </w:t>
      </w:r>
      <w:r>
        <w:rPr>
          <w:rFonts w:ascii="宋体" w:hAnsi="宋体" w:eastAsia="宋体" w:cs="宋体"/>
          <w:color w:val="auto"/>
          <w:spacing w:val="12"/>
          <w:sz w:val="20"/>
          <w:szCs w:val="20"/>
          <w:lang w:eastAsia="zh-CN"/>
        </w:rPr>
        <w:t>形式通知招标人要求酌情延长投标截止时间和开标时间（但应当至少在投标截止时间三个日历日前将</w:t>
      </w:r>
      <w:r>
        <w:rPr>
          <w:rFonts w:ascii="宋体" w:hAnsi="宋体" w:eastAsia="宋体" w:cs="宋体"/>
          <w:color w:val="auto"/>
          <w:spacing w:val="11"/>
          <w:sz w:val="20"/>
          <w:szCs w:val="20"/>
          <w:lang w:eastAsia="zh-CN"/>
        </w:rPr>
        <w:t>变更时</w:t>
      </w:r>
      <w:r>
        <w:rPr>
          <w:rFonts w:ascii="宋体" w:hAnsi="宋体" w:eastAsia="宋体" w:cs="宋体"/>
          <w:color w:val="auto"/>
          <w:sz w:val="20"/>
          <w:szCs w:val="20"/>
          <w:lang w:eastAsia="zh-CN"/>
        </w:rPr>
        <w:t xml:space="preserve"> </w:t>
      </w:r>
      <w:r>
        <w:rPr>
          <w:rFonts w:ascii="宋体" w:hAnsi="宋体" w:eastAsia="宋体" w:cs="宋体"/>
          <w:color w:val="auto"/>
          <w:spacing w:val="11"/>
          <w:sz w:val="20"/>
          <w:szCs w:val="20"/>
          <w:lang w:eastAsia="zh-CN"/>
        </w:rPr>
        <w:t>间以书面形式通知所有投标人</w:t>
      </w:r>
      <w:r>
        <w:rPr>
          <w:rFonts w:ascii="宋体" w:hAnsi="宋体" w:eastAsia="宋体" w:cs="宋体"/>
          <w:color w:val="auto"/>
          <w:spacing w:val="-8"/>
          <w:sz w:val="20"/>
          <w:szCs w:val="20"/>
          <w:lang w:eastAsia="zh-CN"/>
        </w:rPr>
        <w:t>）</w:t>
      </w:r>
      <w:r>
        <w:rPr>
          <w:rFonts w:ascii="宋体" w:hAnsi="宋体" w:eastAsia="宋体" w:cs="宋体"/>
          <w:color w:val="auto"/>
          <w:spacing w:val="-59"/>
          <w:sz w:val="20"/>
          <w:szCs w:val="20"/>
          <w:lang w:eastAsia="zh-CN"/>
        </w:rPr>
        <w:t xml:space="preserve"> </w:t>
      </w:r>
      <w:r>
        <w:rPr>
          <w:rFonts w:ascii="宋体" w:hAnsi="宋体" w:eastAsia="宋体" w:cs="宋体"/>
          <w:color w:val="auto"/>
          <w:spacing w:val="-8"/>
          <w:sz w:val="20"/>
          <w:szCs w:val="20"/>
          <w:lang w:eastAsia="zh-CN"/>
        </w:rPr>
        <w:t>，</w:t>
      </w:r>
      <w:r>
        <w:rPr>
          <w:rFonts w:ascii="宋体" w:hAnsi="宋体" w:eastAsia="宋体" w:cs="宋体"/>
          <w:color w:val="auto"/>
          <w:spacing w:val="-59"/>
          <w:sz w:val="20"/>
          <w:szCs w:val="20"/>
          <w:lang w:eastAsia="zh-CN"/>
        </w:rPr>
        <w:t xml:space="preserve"> </w:t>
      </w:r>
      <w:r>
        <w:rPr>
          <w:rFonts w:ascii="宋体" w:hAnsi="宋体" w:eastAsia="宋体" w:cs="宋体"/>
          <w:color w:val="auto"/>
          <w:spacing w:val="11"/>
          <w:sz w:val="20"/>
          <w:szCs w:val="20"/>
          <w:lang w:eastAsia="zh-CN"/>
        </w:rPr>
        <w:t>以保证投标人有合理的时间修编投标文件，招标人应按规定酌情延长投标</w:t>
      </w:r>
      <w:r>
        <w:rPr>
          <w:rFonts w:ascii="宋体" w:hAnsi="宋体" w:eastAsia="宋体" w:cs="宋体"/>
          <w:color w:val="auto"/>
          <w:sz w:val="20"/>
          <w:szCs w:val="20"/>
          <w:lang w:eastAsia="zh-CN"/>
        </w:rPr>
        <w:t xml:space="preserve"> </w:t>
      </w:r>
      <w:r>
        <w:rPr>
          <w:rFonts w:ascii="宋体" w:hAnsi="宋体" w:eastAsia="宋体" w:cs="宋体"/>
          <w:color w:val="auto"/>
          <w:spacing w:val="12"/>
          <w:sz w:val="20"/>
          <w:szCs w:val="20"/>
          <w:lang w:eastAsia="zh-CN"/>
        </w:rPr>
        <w:t>截止时间。否则，招标人仍将按原投标截止时间执行。在此情况下，招标人和投标人受投标截止期制</w:t>
      </w:r>
      <w:r>
        <w:rPr>
          <w:rFonts w:ascii="宋体" w:hAnsi="宋体" w:eastAsia="宋体" w:cs="宋体"/>
          <w:color w:val="auto"/>
          <w:spacing w:val="11"/>
          <w:sz w:val="20"/>
          <w:szCs w:val="20"/>
          <w:lang w:eastAsia="zh-CN"/>
        </w:rPr>
        <w:t>约的所</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有权利和义务均应延长至新的截止日期。</w:t>
      </w:r>
    </w:p>
    <w:p w14:paraId="4792F19B">
      <w:pPr>
        <w:spacing w:before="92" w:line="271" w:lineRule="auto"/>
        <w:ind w:left="13" w:right="70" w:hanging="4"/>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2.2.6</w:t>
      </w:r>
      <w:r>
        <w:rPr>
          <w:rFonts w:ascii="Tahoma" w:hAnsi="Tahoma" w:eastAsia="Tahoma" w:cs="Tahoma"/>
          <w:color w:val="auto"/>
          <w:spacing w:val="55"/>
          <w:w w:val="101"/>
          <w:sz w:val="20"/>
          <w:szCs w:val="20"/>
          <w:lang w:eastAsia="zh-CN"/>
        </w:rPr>
        <w:t xml:space="preserve"> </w:t>
      </w:r>
      <w:r>
        <w:rPr>
          <w:rFonts w:ascii="宋体" w:hAnsi="宋体" w:eastAsia="宋体" w:cs="宋体"/>
          <w:color w:val="auto"/>
          <w:spacing w:val="8"/>
          <w:sz w:val="20"/>
          <w:szCs w:val="20"/>
          <w:lang w:eastAsia="zh-CN"/>
        </w:rPr>
        <w:t>投标人收到修改内容后，应在投标人须知前附表规定的时间内以书面形式通知招标人，</w:t>
      </w:r>
      <w:r>
        <w:rPr>
          <w:rFonts w:ascii="宋体" w:hAnsi="宋体" w:eastAsia="宋体" w:cs="宋体"/>
          <w:color w:val="auto"/>
          <w:spacing w:val="7"/>
          <w:sz w:val="20"/>
          <w:szCs w:val="20"/>
          <w:lang w:eastAsia="zh-CN"/>
        </w:rPr>
        <w:t>确认已收到该修</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改。该修改内容为招标文件的组成部分。</w:t>
      </w:r>
    </w:p>
    <w:p w14:paraId="176243B3">
      <w:pPr>
        <w:spacing w:before="96" w:line="292" w:lineRule="auto"/>
        <w:ind w:left="7" w:right="73" w:firstLine="2"/>
        <w:rPr>
          <w:rFonts w:ascii="宋体" w:hAnsi="宋体" w:eastAsia="宋体" w:cs="宋体"/>
          <w:color w:val="auto"/>
          <w:spacing w:val="9"/>
          <w:sz w:val="20"/>
          <w:szCs w:val="20"/>
          <w:lang w:eastAsia="zh-CN"/>
        </w:rPr>
      </w:pPr>
      <w:r>
        <w:rPr>
          <w:rFonts w:ascii="Tahoma" w:hAnsi="Tahoma" w:eastAsia="Tahoma" w:cs="Tahoma"/>
          <w:color w:val="auto"/>
          <w:spacing w:val="9"/>
          <w:sz w:val="20"/>
          <w:szCs w:val="20"/>
          <w:lang w:eastAsia="zh-CN"/>
        </w:rPr>
        <w:t xml:space="preserve">2.2.7 </w:t>
      </w:r>
      <w:r>
        <w:rPr>
          <w:rFonts w:ascii="宋体" w:hAnsi="宋体" w:eastAsia="宋体" w:cs="宋体"/>
          <w:color w:val="auto"/>
          <w:spacing w:val="9"/>
          <w:sz w:val="20"/>
          <w:szCs w:val="20"/>
          <w:lang w:eastAsia="zh-CN"/>
        </w:rPr>
        <w:t>采购人在投标须知前附表中标明了澄清、补充或修改招标文件发布的渠道</w:t>
      </w:r>
      <w:r>
        <w:rPr>
          <w:rFonts w:ascii="宋体" w:hAnsi="宋体" w:eastAsia="宋体" w:cs="宋体"/>
          <w:color w:val="auto"/>
          <w:spacing w:val="8"/>
          <w:sz w:val="20"/>
          <w:szCs w:val="20"/>
          <w:lang w:eastAsia="zh-CN"/>
        </w:rPr>
        <w:t>，</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应自行留意采购人发</w:t>
      </w:r>
      <w:r>
        <w:rPr>
          <w:rFonts w:ascii="宋体" w:hAnsi="宋体" w:eastAsia="宋体" w:cs="宋体"/>
          <w:color w:val="auto"/>
          <w:sz w:val="20"/>
          <w:szCs w:val="20"/>
          <w:lang w:eastAsia="zh-CN"/>
        </w:rPr>
        <w:t xml:space="preserve"> </w:t>
      </w:r>
      <w:r>
        <w:rPr>
          <w:rFonts w:ascii="宋体" w:hAnsi="宋体" w:eastAsia="宋体" w:cs="宋体"/>
          <w:color w:val="auto"/>
          <w:spacing w:val="12"/>
          <w:sz w:val="20"/>
          <w:szCs w:val="20"/>
          <w:lang w:eastAsia="zh-CN"/>
        </w:rPr>
        <w:t>出的澄清、修改或补充以及与之有关的文本文件，并及时按采购人在投标须知前附表中标明澄清</w:t>
      </w:r>
      <w:r>
        <w:rPr>
          <w:rFonts w:ascii="宋体" w:hAnsi="宋体" w:eastAsia="宋体" w:cs="宋体"/>
          <w:color w:val="auto"/>
          <w:spacing w:val="11"/>
          <w:sz w:val="20"/>
          <w:szCs w:val="20"/>
          <w:lang w:eastAsia="zh-CN"/>
        </w:rPr>
        <w:t>、补充或修</w:t>
      </w:r>
      <w:r>
        <w:rPr>
          <w:rFonts w:ascii="宋体" w:hAnsi="宋体" w:eastAsia="宋体" w:cs="宋体"/>
          <w:color w:val="auto"/>
          <w:sz w:val="20"/>
          <w:szCs w:val="20"/>
          <w:lang w:eastAsia="zh-CN"/>
        </w:rPr>
        <w:t xml:space="preserve"> </w:t>
      </w:r>
      <w:r>
        <w:rPr>
          <w:rFonts w:ascii="宋体" w:hAnsi="宋体" w:eastAsia="宋体" w:cs="宋体"/>
          <w:color w:val="auto"/>
          <w:spacing w:val="12"/>
          <w:sz w:val="20"/>
          <w:szCs w:val="20"/>
          <w:lang w:eastAsia="zh-CN"/>
        </w:rPr>
        <w:t>改通知发布的渠道获取相应的文本文件，无须回签确认收到的函。</w:t>
      </w:r>
      <w:r>
        <w:rPr>
          <w:rFonts w:hint="eastAsia" w:ascii="宋体" w:hAnsi="宋体" w:eastAsia="宋体" w:cs="宋体"/>
          <w:color w:val="auto"/>
          <w:spacing w:val="12"/>
          <w:sz w:val="20"/>
          <w:szCs w:val="20"/>
          <w:lang w:eastAsia="zh-CN"/>
        </w:rPr>
        <w:t>服务商</w:t>
      </w:r>
      <w:r>
        <w:rPr>
          <w:rFonts w:ascii="宋体" w:hAnsi="宋体" w:eastAsia="宋体" w:cs="宋体"/>
          <w:color w:val="auto"/>
          <w:spacing w:val="12"/>
          <w:sz w:val="20"/>
          <w:szCs w:val="20"/>
          <w:lang w:eastAsia="zh-CN"/>
        </w:rPr>
        <w:t>未按规定时间在发布渠</w:t>
      </w:r>
      <w:r>
        <w:rPr>
          <w:rFonts w:ascii="宋体" w:hAnsi="宋体" w:eastAsia="宋体" w:cs="宋体"/>
          <w:color w:val="auto"/>
          <w:spacing w:val="11"/>
          <w:sz w:val="20"/>
          <w:szCs w:val="20"/>
          <w:lang w:eastAsia="zh-CN"/>
        </w:rPr>
        <w:t>道的网站下</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载澄清、补充或修改招标文件（包括开标时间、地点的变更等）通知的，视同已收到。</w:t>
      </w:r>
    </w:p>
    <w:p w14:paraId="1CEFD9D6">
      <w:pPr>
        <w:spacing w:before="96" w:line="292" w:lineRule="auto"/>
        <w:ind w:left="7" w:right="73" w:firstLine="2"/>
        <w:rPr>
          <w:rFonts w:ascii="宋体" w:hAnsi="宋体" w:eastAsia="宋体" w:cs="宋体"/>
          <w:color w:val="auto"/>
          <w:spacing w:val="9"/>
          <w:sz w:val="20"/>
          <w:szCs w:val="20"/>
          <w:lang w:eastAsia="zh-CN"/>
        </w:rPr>
      </w:pPr>
    </w:p>
    <w:p w14:paraId="2F948EAB">
      <w:pPr>
        <w:spacing w:before="68" w:line="222" w:lineRule="auto"/>
        <w:ind w:left="4324"/>
        <w:rPr>
          <w:rFonts w:ascii="黑体" w:hAnsi="黑体" w:eastAsia="黑体" w:cs="黑体"/>
          <w:color w:val="auto"/>
          <w:spacing w:val="-8"/>
          <w:sz w:val="24"/>
          <w:szCs w:val="24"/>
          <w:lang w:eastAsia="zh-CN"/>
          <w14:textOutline w14:w="4356" w14:cap="sq" w14:cmpd="sng" w14:algn="ctr">
            <w14:solidFill>
              <w14:srgbClr w14:val="000000"/>
            </w14:solidFill>
            <w14:prstDash w14:val="solid"/>
            <w14:bevel/>
          </w14:textOutline>
        </w:rPr>
      </w:pPr>
      <w:r>
        <w:rPr>
          <w:rFonts w:ascii="黑体" w:hAnsi="黑体" w:eastAsia="黑体" w:cs="黑体"/>
          <w:color w:val="auto"/>
          <w:spacing w:val="-8"/>
          <w:sz w:val="24"/>
          <w:szCs w:val="24"/>
          <w:lang w:eastAsia="zh-CN"/>
          <w14:textOutline w14:w="4356" w14:cap="sq" w14:cmpd="sng" w14:algn="ctr">
            <w14:solidFill>
              <w14:srgbClr w14:val="000000"/>
            </w14:solidFill>
            <w14:prstDash w14:val="solid"/>
            <w14:bevel/>
          </w14:textOutline>
        </w:rPr>
        <w:t>3 、投标文件</w:t>
      </w:r>
    </w:p>
    <w:p w14:paraId="2B153464">
      <w:pPr>
        <w:spacing w:before="93" w:line="228" w:lineRule="auto"/>
        <w:ind w:left="10"/>
        <w:rPr>
          <w:rFonts w:ascii="宋体" w:hAnsi="宋体" w:eastAsia="宋体" w:cs="宋体"/>
          <w:color w:val="auto"/>
          <w:sz w:val="20"/>
          <w:szCs w:val="20"/>
          <w:lang w:eastAsia="zh-CN"/>
        </w:rPr>
      </w:pPr>
      <w:r>
        <w:rPr>
          <w:rFonts w:ascii="Tahoma" w:hAnsi="Tahoma" w:eastAsia="Tahoma" w:cs="Tahoma"/>
          <w:b/>
          <w:bCs/>
          <w:color w:val="auto"/>
          <w:spacing w:val="6"/>
          <w:sz w:val="20"/>
          <w:szCs w:val="20"/>
          <w:lang w:eastAsia="zh-CN"/>
        </w:rPr>
        <w:t>3.1.</w:t>
      </w:r>
      <w:r>
        <w:rPr>
          <w:rFonts w:ascii="Tahoma" w:hAnsi="Tahoma" w:eastAsia="Tahoma" w:cs="Tahoma"/>
          <w:b/>
          <w:bCs/>
          <w:color w:val="auto"/>
          <w:spacing w:val="1"/>
          <w:sz w:val="20"/>
          <w:szCs w:val="20"/>
          <w:lang w:eastAsia="zh-CN"/>
        </w:rPr>
        <w:t xml:space="preserve">  </w:t>
      </w:r>
      <w:r>
        <w:rPr>
          <w:rFonts w:ascii="宋体" w:hAnsi="宋体" w:eastAsia="宋体" w:cs="宋体"/>
          <w:color w:val="auto"/>
          <w:spacing w:val="6"/>
          <w:sz w:val="20"/>
          <w:szCs w:val="20"/>
          <w:lang w:eastAsia="zh-CN"/>
          <w14:textOutline w14:w="3797" w14:cap="sq" w14:cmpd="sng" w14:algn="ctr">
            <w14:solidFill>
              <w14:srgbClr w14:val="000000"/>
            </w14:solidFill>
            <w14:prstDash w14:val="solid"/>
            <w14:bevel/>
          </w14:textOutline>
        </w:rPr>
        <w:t>投标文件的组成</w:t>
      </w:r>
    </w:p>
    <w:p w14:paraId="700ABF76">
      <w:pPr>
        <w:spacing w:before="91" w:line="271" w:lineRule="auto"/>
        <w:ind w:left="8" w:right="7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3.1.1 </w:t>
      </w:r>
      <w:r>
        <w:rPr>
          <w:rFonts w:ascii="宋体" w:hAnsi="宋体" w:eastAsia="宋体" w:cs="宋体"/>
          <w:color w:val="auto"/>
          <w:spacing w:val="9"/>
          <w:sz w:val="20"/>
          <w:szCs w:val="20"/>
          <w:lang w:eastAsia="zh-CN"/>
        </w:rPr>
        <w:t>投标人应当按照招标文件的要求编制投标文件。投标文件应对招</w:t>
      </w:r>
      <w:r>
        <w:rPr>
          <w:rFonts w:ascii="宋体" w:hAnsi="宋体" w:eastAsia="宋体" w:cs="宋体"/>
          <w:color w:val="auto"/>
          <w:spacing w:val="8"/>
          <w:sz w:val="20"/>
          <w:szCs w:val="20"/>
          <w:lang w:eastAsia="zh-CN"/>
        </w:rPr>
        <w:t>标文件提出的要求和条件做出实</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质性响应。并保证所提供的全部资料的真实性，否则其投标将被拒绝。</w:t>
      </w:r>
    </w:p>
    <w:p w14:paraId="131BDF24">
      <w:pPr>
        <w:spacing w:before="94" w:line="227" w:lineRule="auto"/>
        <w:ind w:left="9"/>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3.1.2 </w:t>
      </w:r>
      <w:r>
        <w:rPr>
          <w:rFonts w:ascii="宋体" w:hAnsi="宋体" w:eastAsia="宋体" w:cs="宋体"/>
          <w:color w:val="auto"/>
          <w:spacing w:val="9"/>
          <w:sz w:val="20"/>
          <w:szCs w:val="20"/>
          <w:lang w:eastAsia="zh-CN"/>
        </w:rPr>
        <w:t>投标人须知前附表规定接受联合体投标的，或投标人组成联合体</w:t>
      </w:r>
      <w:r>
        <w:rPr>
          <w:rFonts w:ascii="宋体" w:hAnsi="宋体" w:eastAsia="宋体" w:cs="宋体"/>
          <w:color w:val="auto"/>
          <w:spacing w:val="8"/>
          <w:sz w:val="20"/>
          <w:szCs w:val="20"/>
          <w:lang w:eastAsia="zh-CN"/>
        </w:rPr>
        <w:t>的，投标文件应包括本须知第</w:t>
      </w:r>
    </w:p>
    <w:p w14:paraId="6AD1B2D8">
      <w:pPr>
        <w:spacing w:before="93" w:line="227" w:lineRule="auto"/>
        <w:ind w:left="22"/>
        <w:rPr>
          <w:rFonts w:ascii="宋体" w:hAnsi="宋体" w:eastAsia="宋体" w:cs="宋体"/>
          <w:color w:val="auto"/>
          <w:sz w:val="20"/>
          <w:szCs w:val="20"/>
          <w:lang w:eastAsia="zh-CN"/>
        </w:rPr>
      </w:pPr>
      <w:r>
        <w:rPr>
          <w:rFonts w:ascii="Tahoma" w:hAnsi="Tahoma" w:eastAsia="Tahoma" w:cs="Tahoma"/>
          <w:color w:val="auto"/>
          <w:spacing w:val="2"/>
          <w:sz w:val="20"/>
          <w:szCs w:val="20"/>
          <w:lang w:eastAsia="zh-CN"/>
        </w:rPr>
        <w:t>1.3.6</w:t>
      </w:r>
      <w:r>
        <w:rPr>
          <w:rFonts w:ascii="Tahoma" w:hAnsi="Tahoma" w:eastAsia="Tahoma" w:cs="Tahoma"/>
          <w:color w:val="auto"/>
          <w:spacing w:val="53"/>
          <w:w w:val="101"/>
          <w:sz w:val="20"/>
          <w:szCs w:val="20"/>
          <w:lang w:eastAsia="zh-CN"/>
        </w:rPr>
        <w:t xml:space="preserve"> </w:t>
      </w:r>
      <w:r>
        <w:rPr>
          <w:rFonts w:ascii="宋体" w:hAnsi="宋体" w:eastAsia="宋体" w:cs="宋体"/>
          <w:color w:val="auto"/>
          <w:spacing w:val="2"/>
          <w:sz w:val="20"/>
          <w:szCs w:val="20"/>
          <w:lang w:eastAsia="zh-CN"/>
        </w:rPr>
        <w:t>目所指的联合体协议书。</w:t>
      </w:r>
    </w:p>
    <w:p w14:paraId="197CB03F">
      <w:pPr>
        <w:spacing w:before="95" w:line="228" w:lineRule="auto"/>
        <w:ind w:left="18"/>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14:textOutline w14:w="3797" w14:cap="sq" w14:cmpd="sng" w14:algn="ctr">
            <w14:solidFill>
              <w14:srgbClr w14:val="000000"/>
            </w14:solidFill>
            <w14:prstDash w14:val="solid"/>
            <w14:bevel/>
          </w14:textOutline>
        </w:rPr>
        <w:t>（一）、资格类文件</w:t>
      </w:r>
    </w:p>
    <w:p w14:paraId="24340893">
      <w:pPr>
        <w:spacing w:before="82" w:line="292" w:lineRule="auto"/>
        <w:ind w:left="8" w:right="14" w:firstLine="218"/>
        <w:jc w:val="both"/>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w:t>
      </w:r>
      <w:r>
        <w:rPr>
          <w:rFonts w:ascii="Tahoma" w:hAnsi="Tahoma" w:eastAsia="Tahoma" w:cs="Tahoma"/>
          <w:color w:val="auto"/>
          <w:spacing w:val="10"/>
          <w:sz w:val="20"/>
          <w:szCs w:val="20"/>
          <w:lang w:eastAsia="zh-CN"/>
        </w:rPr>
        <w:t>1</w:t>
      </w:r>
      <w:r>
        <w:rPr>
          <w:rFonts w:ascii="宋体" w:hAnsi="宋体" w:eastAsia="宋体" w:cs="宋体"/>
          <w:color w:val="auto"/>
          <w:spacing w:val="10"/>
          <w:sz w:val="20"/>
          <w:szCs w:val="20"/>
          <w:lang w:eastAsia="zh-CN"/>
        </w:rPr>
        <w:t>）制造或生产采购货物或服务的资格得到有</w:t>
      </w:r>
      <w:r>
        <w:rPr>
          <w:rFonts w:ascii="宋体" w:hAnsi="宋体" w:eastAsia="宋体" w:cs="宋体"/>
          <w:color w:val="auto"/>
          <w:spacing w:val="9"/>
          <w:sz w:val="20"/>
          <w:szCs w:val="20"/>
          <w:lang w:eastAsia="zh-CN"/>
        </w:rPr>
        <w:t>关行政主管部门许可或批准的有关证件，包括：投标</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有效的营业执照副本复印件、有效的税务登记证、组织机构代码</w:t>
      </w:r>
      <w:r>
        <w:rPr>
          <w:rFonts w:ascii="宋体" w:hAnsi="宋体" w:eastAsia="宋体" w:cs="宋体"/>
          <w:color w:val="auto"/>
          <w:spacing w:val="7"/>
          <w:sz w:val="20"/>
          <w:szCs w:val="20"/>
          <w:lang w:eastAsia="zh-CN"/>
        </w:rPr>
        <w:t>证或三证合一证复印件；资</w:t>
      </w:r>
      <w:r>
        <w:rPr>
          <w:rFonts w:ascii="宋体" w:hAnsi="宋体" w:eastAsia="宋体" w:cs="宋体"/>
          <w:color w:val="auto"/>
          <w:spacing w:val="8"/>
          <w:sz w:val="20"/>
          <w:szCs w:val="20"/>
          <w:lang w:eastAsia="zh-CN"/>
        </w:rPr>
        <w:t>质证书复印件；</w:t>
      </w:r>
      <w:r>
        <w:rPr>
          <w:rFonts w:ascii="宋体" w:hAnsi="宋体" w:eastAsia="宋体" w:cs="宋体"/>
          <w:color w:val="auto"/>
          <w:spacing w:val="7"/>
          <w:sz w:val="20"/>
          <w:szCs w:val="20"/>
          <w:lang w:eastAsia="zh-CN"/>
        </w:rPr>
        <w:t>如</w:t>
      </w: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为经</w:t>
      </w:r>
      <w:r>
        <w:rPr>
          <w:rFonts w:ascii="宋体" w:hAnsi="宋体" w:eastAsia="宋体" w:cs="宋体"/>
          <w:color w:val="auto"/>
          <w:spacing w:val="8"/>
          <w:sz w:val="20"/>
          <w:szCs w:val="20"/>
          <w:lang w:eastAsia="zh-CN"/>
        </w:rPr>
        <w:t>销商的，须提供</w:t>
      </w:r>
      <w:r>
        <w:rPr>
          <w:rFonts w:ascii="宋体" w:hAnsi="宋体" w:eastAsia="宋体" w:cs="宋体"/>
          <w:color w:val="auto"/>
          <w:spacing w:val="7"/>
          <w:sz w:val="20"/>
          <w:szCs w:val="20"/>
          <w:lang w:eastAsia="zh-CN"/>
        </w:rPr>
        <w:t>依</w:t>
      </w:r>
      <w:r>
        <w:rPr>
          <w:rFonts w:ascii="宋体" w:hAnsi="宋体" w:eastAsia="宋体" w:cs="宋体"/>
          <w:color w:val="auto"/>
          <w:spacing w:val="9"/>
          <w:sz w:val="20"/>
          <w:szCs w:val="20"/>
          <w:lang w:eastAsia="zh-CN"/>
        </w:rPr>
        <w:t>照招标文件规定应予提供的其他证件复印件</w:t>
      </w:r>
      <w:r>
        <w:rPr>
          <w:rFonts w:ascii="宋体" w:hAnsi="宋体" w:eastAsia="宋体" w:cs="宋体"/>
          <w:color w:val="auto"/>
          <w:spacing w:val="7"/>
          <w:sz w:val="20"/>
          <w:szCs w:val="20"/>
          <w:lang w:eastAsia="zh-CN"/>
        </w:rPr>
        <w:t>。</w:t>
      </w:r>
    </w:p>
    <w:p w14:paraId="35426F5D">
      <w:pPr>
        <w:spacing w:before="92" w:line="341" w:lineRule="exact"/>
        <w:ind w:left="123"/>
        <w:rPr>
          <w:rFonts w:ascii="宋体" w:hAnsi="宋体" w:eastAsia="宋体" w:cs="宋体"/>
          <w:color w:val="auto"/>
          <w:sz w:val="20"/>
          <w:szCs w:val="20"/>
          <w:lang w:eastAsia="zh-CN"/>
        </w:rPr>
      </w:pPr>
      <w:r>
        <w:rPr>
          <w:rFonts w:ascii="宋体" w:hAnsi="宋体" w:eastAsia="宋体" w:cs="宋体"/>
          <w:color w:val="auto"/>
          <w:spacing w:val="8"/>
          <w:position w:val="10"/>
          <w:sz w:val="20"/>
          <w:szCs w:val="20"/>
          <w:lang w:eastAsia="zh-CN"/>
        </w:rPr>
        <w:t>（</w:t>
      </w:r>
      <w:r>
        <w:rPr>
          <w:rFonts w:ascii="Tahoma" w:hAnsi="Tahoma" w:eastAsia="Tahoma" w:cs="Tahoma"/>
          <w:color w:val="auto"/>
          <w:spacing w:val="8"/>
          <w:position w:val="10"/>
          <w:sz w:val="20"/>
          <w:szCs w:val="20"/>
          <w:lang w:eastAsia="zh-CN"/>
        </w:rPr>
        <w:t>2</w:t>
      </w:r>
      <w:r>
        <w:rPr>
          <w:rFonts w:ascii="宋体" w:hAnsi="宋体" w:eastAsia="宋体" w:cs="宋体"/>
          <w:color w:val="auto"/>
          <w:spacing w:val="8"/>
          <w:position w:val="10"/>
          <w:sz w:val="20"/>
          <w:szCs w:val="20"/>
          <w:lang w:eastAsia="zh-CN"/>
        </w:rPr>
        <w:t>）</w:t>
      </w:r>
      <w:r>
        <w:rPr>
          <w:rFonts w:hint="eastAsia" w:ascii="宋体" w:hAnsi="宋体" w:eastAsia="宋体" w:cs="宋体"/>
          <w:color w:val="auto"/>
          <w:spacing w:val="8"/>
          <w:position w:val="10"/>
          <w:sz w:val="20"/>
          <w:szCs w:val="20"/>
          <w:lang w:eastAsia="zh-CN"/>
        </w:rPr>
        <w:t>负责</w:t>
      </w:r>
      <w:r>
        <w:rPr>
          <w:rFonts w:ascii="宋体" w:hAnsi="宋体" w:eastAsia="宋体" w:cs="宋体"/>
          <w:color w:val="auto"/>
          <w:spacing w:val="8"/>
          <w:position w:val="10"/>
          <w:sz w:val="20"/>
          <w:szCs w:val="20"/>
          <w:lang w:eastAsia="zh-CN"/>
        </w:rPr>
        <w:t>人代表授权书原件（</w:t>
      </w:r>
      <w:r>
        <w:rPr>
          <w:rFonts w:hint="eastAsia" w:ascii="宋体" w:hAnsi="宋体" w:eastAsia="宋体" w:cs="宋体"/>
          <w:color w:val="auto"/>
          <w:spacing w:val="8"/>
          <w:position w:val="10"/>
          <w:sz w:val="20"/>
          <w:szCs w:val="20"/>
          <w:lang w:eastAsia="zh-CN"/>
        </w:rPr>
        <w:t>负责</w:t>
      </w:r>
      <w:r>
        <w:rPr>
          <w:rFonts w:ascii="宋体" w:hAnsi="宋体" w:eastAsia="宋体" w:cs="宋体"/>
          <w:color w:val="auto"/>
          <w:spacing w:val="8"/>
          <w:position w:val="10"/>
          <w:sz w:val="20"/>
          <w:szCs w:val="20"/>
          <w:lang w:eastAsia="zh-CN"/>
        </w:rPr>
        <w:t>人代表无此项要求）。</w:t>
      </w:r>
    </w:p>
    <w:p w14:paraId="0BC96B1C">
      <w:pPr>
        <w:spacing w:line="227" w:lineRule="auto"/>
        <w:ind w:left="123"/>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w:t>
      </w:r>
      <w:r>
        <w:rPr>
          <w:rFonts w:ascii="Tahoma" w:hAnsi="Tahoma" w:eastAsia="Tahoma" w:cs="Tahoma"/>
          <w:color w:val="auto"/>
          <w:spacing w:val="7"/>
          <w:sz w:val="20"/>
          <w:szCs w:val="20"/>
          <w:lang w:eastAsia="zh-CN"/>
        </w:rPr>
        <w:t>3</w:t>
      </w:r>
      <w:r>
        <w:rPr>
          <w:rFonts w:ascii="宋体" w:hAnsi="宋体" w:eastAsia="宋体" w:cs="宋体"/>
          <w:color w:val="auto"/>
          <w:spacing w:val="7"/>
          <w:sz w:val="20"/>
          <w:szCs w:val="20"/>
          <w:lang w:eastAsia="zh-CN"/>
        </w:rPr>
        <w:t>）投标代表身份证复印件。</w:t>
      </w:r>
    </w:p>
    <w:p w14:paraId="47D5AF90">
      <w:pPr>
        <w:spacing w:before="95" w:line="338" w:lineRule="exact"/>
        <w:ind w:left="123"/>
        <w:rPr>
          <w:rFonts w:ascii="宋体" w:hAnsi="宋体" w:eastAsia="宋体" w:cs="宋体"/>
          <w:color w:val="auto"/>
          <w:sz w:val="20"/>
          <w:szCs w:val="20"/>
          <w:lang w:eastAsia="zh-CN"/>
        </w:rPr>
      </w:pPr>
      <w:r>
        <w:rPr>
          <w:rFonts w:ascii="宋体" w:hAnsi="宋体" w:eastAsia="宋体" w:cs="宋体"/>
          <w:color w:val="auto"/>
          <w:spacing w:val="7"/>
          <w:position w:val="9"/>
          <w:sz w:val="20"/>
          <w:szCs w:val="20"/>
          <w:lang w:eastAsia="zh-CN"/>
        </w:rPr>
        <w:t>（</w:t>
      </w:r>
      <w:r>
        <w:rPr>
          <w:rFonts w:ascii="Tahoma" w:hAnsi="Tahoma" w:eastAsia="Tahoma" w:cs="Tahoma"/>
          <w:color w:val="auto"/>
          <w:spacing w:val="7"/>
          <w:position w:val="9"/>
          <w:sz w:val="20"/>
          <w:szCs w:val="20"/>
          <w:lang w:eastAsia="zh-CN"/>
        </w:rPr>
        <w:t>4</w:t>
      </w:r>
      <w:r>
        <w:rPr>
          <w:rFonts w:ascii="宋体" w:hAnsi="宋体" w:eastAsia="宋体" w:cs="宋体"/>
          <w:color w:val="auto"/>
          <w:spacing w:val="7"/>
          <w:position w:val="9"/>
          <w:sz w:val="20"/>
          <w:szCs w:val="20"/>
          <w:lang w:eastAsia="zh-CN"/>
        </w:rPr>
        <w:t>）投标人的资格声明。</w:t>
      </w:r>
    </w:p>
    <w:p w14:paraId="29BD37DC">
      <w:pPr>
        <w:spacing w:before="1" w:line="227" w:lineRule="auto"/>
        <w:ind w:left="123"/>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w:t>
      </w:r>
      <w:r>
        <w:rPr>
          <w:rFonts w:ascii="Tahoma" w:hAnsi="Tahoma" w:eastAsia="Tahoma" w:cs="Tahoma"/>
          <w:color w:val="auto"/>
          <w:spacing w:val="7"/>
          <w:sz w:val="20"/>
          <w:szCs w:val="20"/>
          <w:lang w:eastAsia="zh-CN"/>
        </w:rPr>
        <w:t>5</w:t>
      </w:r>
      <w:r>
        <w:rPr>
          <w:rFonts w:ascii="宋体" w:hAnsi="宋体" w:eastAsia="宋体" w:cs="宋体"/>
          <w:color w:val="auto"/>
          <w:spacing w:val="7"/>
          <w:sz w:val="20"/>
          <w:szCs w:val="20"/>
          <w:lang w:eastAsia="zh-CN"/>
        </w:rPr>
        <w:t>）关于资格的声明函。</w:t>
      </w:r>
    </w:p>
    <w:p w14:paraId="2BBAEE33">
      <w:pPr>
        <w:spacing w:before="94" w:line="228" w:lineRule="auto"/>
        <w:ind w:left="123"/>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w:t>
      </w:r>
      <w:r>
        <w:rPr>
          <w:rFonts w:ascii="Tahoma" w:hAnsi="Tahoma" w:eastAsia="Tahoma" w:cs="Tahoma"/>
          <w:color w:val="auto"/>
          <w:spacing w:val="6"/>
          <w:sz w:val="20"/>
          <w:szCs w:val="20"/>
          <w:lang w:eastAsia="zh-CN"/>
        </w:rPr>
        <w:t>6</w:t>
      </w:r>
      <w:r>
        <w:rPr>
          <w:rFonts w:ascii="宋体" w:hAnsi="宋体" w:eastAsia="宋体" w:cs="宋体"/>
          <w:color w:val="auto"/>
          <w:spacing w:val="6"/>
          <w:sz w:val="20"/>
          <w:szCs w:val="20"/>
          <w:lang w:eastAsia="zh-CN"/>
        </w:rPr>
        <w:t>）投标保证金。</w:t>
      </w:r>
    </w:p>
    <w:p w14:paraId="04C8DF71">
      <w:pPr>
        <w:spacing w:before="93" w:line="228" w:lineRule="auto"/>
        <w:ind w:left="18"/>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14:textOutline w14:w="3797" w14:cap="sq" w14:cmpd="sng" w14:algn="ctr">
            <w14:solidFill>
              <w14:srgbClr w14:val="000000"/>
            </w14:solidFill>
            <w14:prstDash w14:val="solid"/>
            <w14:bevel/>
          </w14:textOutline>
        </w:rPr>
        <w:t>（二）、投标主要文件</w:t>
      </w:r>
    </w:p>
    <w:p w14:paraId="292BF772">
      <w:pPr>
        <w:spacing w:before="92" w:line="228" w:lineRule="auto"/>
        <w:ind w:left="123"/>
        <w:rPr>
          <w:rFonts w:ascii="宋体" w:hAnsi="宋体" w:eastAsia="宋体" w:cs="宋体"/>
          <w:color w:val="auto"/>
          <w:sz w:val="20"/>
          <w:szCs w:val="20"/>
          <w:lang w:eastAsia="zh-CN"/>
        </w:rPr>
      </w:pPr>
      <w:r>
        <w:rPr>
          <w:rFonts w:ascii="宋体" w:hAnsi="宋体" w:eastAsia="宋体" w:cs="宋体"/>
          <w:color w:val="auto"/>
          <w:spacing w:val="4"/>
          <w:sz w:val="20"/>
          <w:szCs w:val="20"/>
          <w:lang w:eastAsia="zh-CN"/>
        </w:rPr>
        <w:t>（</w:t>
      </w:r>
      <w:r>
        <w:rPr>
          <w:rFonts w:ascii="Tahoma" w:hAnsi="Tahoma" w:eastAsia="Tahoma" w:cs="Tahoma"/>
          <w:color w:val="auto"/>
          <w:spacing w:val="4"/>
          <w:sz w:val="20"/>
          <w:szCs w:val="20"/>
          <w:lang w:eastAsia="zh-CN"/>
        </w:rPr>
        <w:t>1</w:t>
      </w:r>
      <w:r>
        <w:rPr>
          <w:rFonts w:ascii="宋体" w:hAnsi="宋体" w:eastAsia="宋体" w:cs="宋体"/>
          <w:color w:val="auto"/>
          <w:spacing w:val="4"/>
          <w:sz w:val="20"/>
          <w:szCs w:val="20"/>
          <w:lang w:eastAsia="zh-CN"/>
        </w:rPr>
        <w:t>）投标函；</w:t>
      </w:r>
    </w:p>
    <w:p w14:paraId="1C06F509">
      <w:pPr>
        <w:spacing w:before="94" w:line="228" w:lineRule="auto"/>
        <w:ind w:left="123"/>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w:t>
      </w:r>
      <w:r>
        <w:rPr>
          <w:rFonts w:ascii="Tahoma" w:hAnsi="Tahoma" w:eastAsia="Tahoma" w:cs="Tahoma"/>
          <w:color w:val="auto"/>
          <w:spacing w:val="6"/>
          <w:sz w:val="20"/>
          <w:szCs w:val="20"/>
          <w:lang w:eastAsia="zh-CN"/>
        </w:rPr>
        <w:t>2</w:t>
      </w:r>
      <w:r>
        <w:rPr>
          <w:rFonts w:ascii="宋体" w:hAnsi="宋体" w:eastAsia="宋体" w:cs="宋体"/>
          <w:color w:val="auto"/>
          <w:spacing w:val="6"/>
          <w:sz w:val="20"/>
          <w:szCs w:val="20"/>
          <w:lang w:eastAsia="zh-CN"/>
        </w:rPr>
        <w:t>）开标一览表；</w:t>
      </w:r>
    </w:p>
    <w:p w14:paraId="19EA3C41">
      <w:pPr>
        <w:spacing w:before="93" w:line="228" w:lineRule="auto"/>
        <w:ind w:left="123"/>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w:t>
      </w:r>
      <w:r>
        <w:rPr>
          <w:rFonts w:ascii="Tahoma" w:hAnsi="Tahoma" w:eastAsia="Tahoma" w:cs="Tahoma"/>
          <w:color w:val="auto"/>
          <w:spacing w:val="7"/>
          <w:sz w:val="20"/>
          <w:szCs w:val="20"/>
          <w:lang w:eastAsia="zh-CN"/>
        </w:rPr>
        <w:t>3</w:t>
      </w:r>
      <w:r>
        <w:rPr>
          <w:rFonts w:ascii="宋体" w:hAnsi="宋体" w:eastAsia="宋体" w:cs="宋体"/>
          <w:color w:val="auto"/>
          <w:spacing w:val="7"/>
          <w:sz w:val="20"/>
          <w:szCs w:val="20"/>
          <w:lang w:eastAsia="zh-CN"/>
        </w:rPr>
        <w:t>）技术规格和商务偏离表；</w:t>
      </w:r>
    </w:p>
    <w:p w14:paraId="106D5DD1">
      <w:pPr>
        <w:spacing w:before="92" w:line="228" w:lineRule="auto"/>
        <w:ind w:left="123"/>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4</w:t>
      </w:r>
      <w:r>
        <w:rPr>
          <w:rFonts w:ascii="宋体" w:hAnsi="宋体" w:eastAsia="宋体" w:cs="宋体"/>
          <w:color w:val="auto"/>
          <w:spacing w:val="8"/>
          <w:sz w:val="20"/>
          <w:szCs w:val="20"/>
          <w:lang w:eastAsia="zh-CN"/>
        </w:rPr>
        <w:t>）安装、调试及技术、质量保证组织措施；</w:t>
      </w:r>
    </w:p>
    <w:p w14:paraId="76ECA7D9">
      <w:pPr>
        <w:spacing w:before="94" w:line="227" w:lineRule="auto"/>
        <w:ind w:left="123"/>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5</w:t>
      </w:r>
      <w:r>
        <w:rPr>
          <w:rFonts w:ascii="宋体" w:hAnsi="宋体" w:eastAsia="宋体" w:cs="宋体"/>
          <w:color w:val="auto"/>
          <w:spacing w:val="8"/>
          <w:sz w:val="20"/>
          <w:szCs w:val="20"/>
          <w:lang w:eastAsia="zh-CN"/>
        </w:rPr>
        <w:t>）质量保证、技术及售后服务承诺书；</w:t>
      </w:r>
    </w:p>
    <w:p w14:paraId="6C87245B">
      <w:pPr>
        <w:spacing w:before="95" w:line="270" w:lineRule="auto"/>
        <w:ind w:left="8" w:firstLine="114"/>
        <w:rPr>
          <w:rFonts w:ascii="宋体" w:hAnsi="宋体" w:eastAsia="宋体" w:cs="宋体"/>
          <w:color w:val="auto"/>
          <w:sz w:val="20"/>
          <w:szCs w:val="20"/>
          <w:lang w:eastAsia="zh-CN"/>
        </w:rPr>
      </w:pPr>
      <w:r>
        <w:rPr>
          <w:rFonts w:ascii="宋体" w:hAnsi="宋体" w:eastAsia="宋体" w:cs="宋体"/>
          <w:color w:val="auto"/>
          <w:spacing w:val="4"/>
          <w:sz w:val="20"/>
          <w:szCs w:val="20"/>
          <w:lang w:eastAsia="zh-CN"/>
        </w:rPr>
        <w:t>（</w:t>
      </w:r>
      <w:r>
        <w:rPr>
          <w:rFonts w:ascii="Tahoma" w:hAnsi="Tahoma" w:eastAsia="Tahoma" w:cs="Tahoma"/>
          <w:color w:val="auto"/>
          <w:spacing w:val="4"/>
          <w:sz w:val="20"/>
          <w:szCs w:val="20"/>
          <w:lang w:eastAsia="zh-CN"/>
        </w:rPr>
        <w:t>6</w:t>
      </w:r>
      <w:r>
        <w:rPr>
          <w:rFonts w:ascii="宋体" w:hAnsi="宋体" w:eastAsia="宋体" w:cs="宋体"/>
          <w:color w:val="auto"/>
          <w:spacing w:val="4"/>
          <w:sz w:val="20"/>
          <w:szCs w:val="20"/>
          <w:lang w:eastAsia="zh-CN"/>
        </w:rPr>
        <w:t>）</w:t>
      </w:r>
      <w:r>
        <w:rPr>
          <w:rFonts w:hint="eastAsia" w:ascii="宋体" w:hAnsi="宋体" w:eastAsia="宋体" w:cs="宋体"/>
          <w:color w:val="auto"/>
          <w:spacing w:val="4"/>
          <w:sz w:val="20"/>
          <w:szCs w:val="20"/>
          <w:lang w:eastAsia="zh-CN"/>
        </w:rPr>
        <w:t>服务商</w:t>
      </w:r>
      <w:r>
        <w:rPr>
          <w:rFonts w:ascii="宋体" w:hAnsi="宋体" w:eastAsia="宋体" w:cs="宋体"/>
          <w:color w:val="auto"/>
          <w:spacing w:val="4"/>
          <w:sz w:val="20"/>
          <w:szCs w:val="20"/>
          <w:lang w:eastAsia="zh-CN"/>
        </w:rPr>
        <w:t>需要说明的其他内容及相关文件资料（产品出厂标准，质量检验、检测报告，</w:t>
      </w:r>
      <w:r>
        <w:rPr>
          <w:rFonts w:ascii="宋体" w:hAnsi="宋体" w:eastAsia="宋体" w:cs="宋体"/>
          <w:color w:val="auto"/>
          <w:spacing w:val="3"/>
          <w:sz w:val="20"/>
          <w:szCs w:val="20"/>
          <w:lang w:eastAsia="zh-CN"/>
        </w:rPr>
        <w:t>产品合格证，</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质量管理体系认证，环境管理体系认证等）。</w:t>
      </w:r>
    </w:p>
    <w:p w14:paraId="7FF23EFB">
      <w:pPr>
        <w:spacing w:before="94" w:line="226" w:lineRule="auto"/>
        <w:ind w:left="10"/>
        <w:rPr>
          <w:rFonts w:ascii="宋体" w:hAnsi="宋体" w:eastAsia="宋体" w:cs="宋体"/>
          <w:color w:val="auto"/>
          <w:sz w:val="20"/>
          <w:szCs w:val="20"/>
          <w:lang w:eastAsia="zh-CN"/>
        </w:rPr>
      </w:pPr>
      <w:r>
        <w:rPr>
          <w:rFonts w:ascii="Tahoma" w:hAnsi="Tahoma" w:eastAsia="Tahoma" w:cs="Tahoma"/>
          <w:b/>
          <w:bCs/>
          <w:color w:val="auto"/>
          <w:spacing w:val="4"/>
          <w:sz w:val="20"/>
          <w:szCs w:val="20"/>
          <w:lang w:eastAsia="zh-CN"/>
        </w:rPr>
        <w:t>3.2.</w:t>
      </w:r>
      <w:r>
        <w:rPr>
          <w:rFonts w:ascii="Tahoma" w:hAnsi="Tahoma" w:eastAsia="Tahoma" w:cs="Tahoma"/>
          <w:b/>
          <w:bCs/>
          <w:color w:val="auto"/>
          <w:spacing w:val="3"/>
          <w:sz w:val="20"/>
          <w:szCs w:val="20"/>
          <w:lang w:eastAsia="zh-CN"/>
        </w:rPr>
        <w:t xml:space="preserve">  </w:t>
      </w:r>
      <w:r>
        <w:rPr>
          <w:rFonts w:ascii="宋体" w:hAnsi="宋体" w:eastAsia="宋体" w:cs="宋体"/>
          <w:color w:val="auto"/>
          <w:spacing w:val="4"/>
          <w:sz w:val="20"/>
          <w:szCs w:val="20"/>
          <w:lang w:eastAsia="zh-CN"/>
          <w14:textOutline w14:w="3797" w14:cap="sq" w14:cmpd="sng" w14:algn="ctr">
            <w14:solidFill>
              <w14:srgbClr w14:val="000000"/>
            </w14:solidFill>
            <w14:prstDash w14:val="solid"/>
            <w14:bevel/>
          </w14:textOutline>
        </w:rPr>
        <w:t>投标报价</w:t>
      </w:r>
    </w:p>
    <w:p w14:paraId="3D9A10EC">
      <w:pPr>
        <w:spacing w:before="96" w:line="226" w:lineRule="auto"/>
        <w:ind w:left="9"/>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3.2.1</w:t>
      </w:r>
      <w:r>
        <w:rPr>
          <w:rFonts w:ascii="Tahoma" w:hAnsi="Tahoma" w:eastAsia="Tahoma" w:cs="Tahoma"/>
          <w:color w:val="auto"/>
          <w:spacing w:val="55"/>
          <w:w w:val="101"/>
          <w:sz w:val="20"/>
          <w:szCs w:val="20"/>
          <w:lang w:eastAsia="zh-CN"/>
        </w:rPr>
        <w:t xml:space="preserve"> </w:t>
      </w:r>
      <w:r>
        <w:rPr>
          <w:rFonts w:ascii="宋体" w:hAnsi="宋体" w:eastAsia="宋体" w:cs="宋体"/>
          <w:color w:val="auto"/>
          <w:spacing w:val="8"/>
          <w:sz w:val="20"/>
          <w:szCs w:val="20"/>
          <w:lang w:eastAsia="zh-CN"/>
        </w:rPr>
        <w:t>投标人应按招标文件的要求填写相</w:t>
      </w:r>
      <w:r>
        <w:rPr>
          <w:rFonts w:ascii="宋体" w:hAnsi="宋体" w:eastAsia="宋体" w:cs="宋体"/>
          <w:color w:val="auto"/>
          <w:spacing w:val="7"/>
          <w:sz w:val="20"/>
          <w:szCs w:val="20"/>
          <w:lang w:eastAsia="zh-CN"/>
        </w:rPr>
        <w:t>应投标报价表格。</w:t>
      </w:r>
    </w:p>
    <w:p w14:paraId="40EACFF5">
      <w:pPr>
        <w:spacing w:before="94" w:line="285" w:lineRule="auto"/>
        <w:ind w:left="7" w:right="54" w:firstLine="2"/>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3.2.2</w:t>
      </w:r>
      <w:r>
        <w:rPr>
          <w:rFonts w:ascii="Tahoma" w:hAnsi="Tahoma" w:eastAsia="Tahoma" w:cs="Tahoma"/>
          <w:color w:val="auto"/>
          <w:spacing w:val="1"/>
          <w:sz w:val="20"/>
          <w:szCs w:val="20"/>
          <w:lang w:eastAsia="zh-CN"/>
        </w:rPr>
        <w:t xml:space="preserve">  </w:t>
      </w:r>
      <w:r>
        <w:rPr>
          <w:rFonts w:ascii="宋体" w:hAnsi="宋体" w:eastAsia="宋体" w:cs="宋体"/>
          <w:color w:val="auto"/>
          <w:spacing w:val="8"/>
          <w:sz w:val="20"/>
          <w:szCs w:val="20"/>
          <w:lang w:eastAsia="zh-CN"/>
        </w:rPr>
        <w:t>除非有另外的规定，投标人可对招标项目一览表所列的全部合同包或部分合同包进</w:t>
      </w:r>
      <w:r>
        <w:rPr>
          <w:rFonts w:ascii="宋体" w:hAnsi="宋体" w:eastAsia="宋体" w:cs="宋体"/>
          <w:color w:val="auto"/>
          <w:spacing w:val="7"/>
          <w:sz w:val="20"/>
          <w:szCs w:val="20"/>
          <w:lang w:eastAsia="zh-CN"/>
        </w:rPr>
        <w:t>行投标。招标</w:t>
      </w:r>
      <w:r>
        <w:rPr>
          <w:rFonts w:ascii="宋体" w:hAnsi="宋体" w:eastAsia="宋体" w:cs="宋体"/>
          <w:color w:val="auto"/>
          <w:spacing w:val="1"/>
          <w:sz w:val="20"/>
          <w:szCs w:val="20"/>
          <w:lang w:eastAsia="zh-CN"/>
        </w:rPr>
        <w:t xml:space="preserve"> </w:t>
      </w:r>
      <w:r>
        <w:rPr>
          <w:rFonts w:ascii="宋体" w:hAnsi="宋体" w:eastAsia="宋体" w:cs="宋体"/>
          <w:color w:val="auto"/>
          <w:spacing w:val="8"/>
          <w:sz w:val="20"/>
          <w:szCs w:val="20"/>
          <w:lang w:eastAsia="zh-CN"/>
        </w:rPr>
        <w:t>代理机构不接受有任何可选择性的报价，每一种货物只能有一个报价。且每一</w:t>
      </w:r>
      <w:r>
        <w:rPr>
          <w:rFonts w:ascii="宋体" w:hAnsi="宋体" w:eastAsia="宋体" w:cs="宋体"/>
          <w:color w:val="auto"/>
          <w:spacing w:val="7"/>
          <w:sz w:val="20"/>
          <w:szCs w:val="20"/>
          <w:lang w:eastAsia="zh-CN"/>
        </w:rPr>
        <w:t>合同包的投标总报价不得</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超过规定的最高投标限价。</w:t>
      </w:r>
    </w:p>
    <w:p w14:paraId="2942C809">
      <w:pPr>
        <w:spacing w:before="93" w:line="228" w:lineRule="auto"/>
        <w:ind w:left="10"/>
        <w:rPr>
          <w:rFonts w:ascii="宋体" w:hAnsi="宋体" w:eastAsia="宋体" w:cs="宋体"/>
          <w:color w:val="auto"/>
          <w:sz w:val="20"/>
          <w:szCs w:val="20"/>
          <w:lang w:eastAsia="zh-CN"/>
        </w:rPr>
      </w:pPr>
      <w:r>
        <w:rPr>
          <w:rFonts w:ascii="Tahoma" w:hAnsi="Tahoma" w:eastAsia="Tahoma" w:cs="Tahoma"/>
          <w:b/>
          <w:bCs/>
          <w:color w:val="auto"/>
          <w:spacing w:val="5"/>
          <w:sz w:val="20"/>
          <w:szCs w:val="20"/>
          <w:lang w:eastAsia="zh-CN"/>
        </w:rPr>
        <w:t>3.3.</w:t>
      </w:r>
      <w:r>
        <w:rPr>
          <w:rFonts w:ascii="Tahoma" w:hAnsi="Tahoma" w:eastAsia="Tahoma" w:cs="Tahoma"/>
          <w:b/>
          <w:bCs/>
          <w:color w:val="auto"/>
          <w:spacing w:val="4"/>
          <w:sz w:val="20"/>
          <w:szCs w:val="20"/>
          <w:lang w:eastAsia="zh-CN"/>
        </w:rPr>
        <w:t xml:space="preserve">  </w:t>
      </w:r>
      <w:r>
        <w:rPr>
          <w:rFonts w:ascii="宋体" w:hAnsi="宋体" w:eastAsia="宋体" w:cs="宋体"/>
          <w:color w:val="auto"/>
          <w:spacing w:val="5"/>
          <w:sz w:val="20"/>
          <w:szCs w:val="20"/>
          <w:lang w:eastAsia="zh-CN"/>
          <w14:textOutline w14:w="3797" w14:cap="sq" w14:cmpd="sng" w14:algn="ctr">
            <w14:solidFill>
              <w14:srgbClr w14:val="000000"/>
            </w14:solidFill>
            <w14:prstDash w14:val="solid"/>
            <w14:bevel/>
          </w14:textOutline>
        </w:rPr>
        <w:t>投标文件语言</w:t>
      </w:r>
    </w:p>
    <w:p w14:paraId="4806AE41">
      <w:pPr>
        <w:spacing w:before="93" w:line="271" w:lineRule="auto"/>
        <w:ind w:left="9" w:right="54"/>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3.2.1 </w:t>
      </w:r>
      <w:r>
        <w:rPr>
          <w:rFonts w:ascii="宋体" w:hAnsi="宋体" w:eastAsia="宋体" w:cs="宋体"/>
          <w:color w:val="auto"/>
          <w:spacing w:val="9"/>
          <w:sz w:val="20"/>
          <w:szCs w:val="20"/>
          <w:lang w:eastAsia="zh-CN"/>
        </w:rPr>
        <w:t>投标文件应用中文书写。投标文件中所附或所引用的原件不是中文时，应附中文译本。各种计量</w:t>
      </w:r>
      <w:r>
        <w:rPr>
          <w:rFonts w:ascii="宋体" w:hAnsi="宋体" w:eastAsia="宋体" w:cs="宋体"/>
          <w:color w:val="auto"/>
          <w:spacing w:val="3"/>
          <w:sz w:val="20"/>
          <w:szCs w:val="20"/>
          <w:lang w:eastAsia="zh-CN"/>
        </w:rPr>
        <w:t xml:space="preserve"> </w:t>
      </w:r>
      <w:r>
        <w:rPr>
          <w:rFonts w:ascii="宋体" w:hAnsi="宋体" w:eastAsia="宋体" w:cs="宋体"/>
          <w:color w:val="auto"/>
          <w:spacing w:val="9"/>
          <w:sz w:val="20"/>
          <w:szCs w:val="20"/>
          <w:lang w:eastAsia="zh-CN"/>
        </w:rPr>
        <w:t>单位及符号应采用国际上统一使用的公制计量单位和符号。</w:t>
      </w:r>
    </w:p>
    <w:p w14:paraId="714478F4">
      <w:pPr>
        <w:spacing w:before="93" w:line="228" w:lineRule="auto"/>
        <w:ind w:left="10"/>
        <w:rPr>
          <w:rFonts w:ascii="宋体" w:hAnsi="宋体" w:eastAsia="宋体" w:cs="宋体"/>
          <w:color w:val="auto"/>
          <w:sz w:val="20"/>
          <w:szCs w:val="20"/>
          <w:lang w:eastAsia="zh-CN"/>
        </w:rPr>
      </w:pPr>
      <w:r>
        <w:rPr>
          <w:rFonts w:ascii="Tahoma" w:hAnsi="Tahoma" w:eastAsia="Tahoma" w:cs="Tahoma"/>
          <w:b/>
          <w:bCs/>
          <w:color w:val="auto"/>
          <w:spacing w:val="6"/>
          <w:sz w:val="20"/>
          <w:szCs w:val="20"/>
          <w:lang w:eastAsia="zh-CN"/>
        </w:rPr>
        <w:t>3.4.</w:t>
      </w:r>
      <w:r>
        <w:rPr>
          <w:rFonts w:ascii="Tahoma" w:hAnsi="Tahoma" w:eastAsia="Tahoma" w:cs="Tahoma"/>
          <w:b/>
          <w:bCs/>
          <w:color w:val="auto"/>
          <w:spacing w:val="1"/>
          <w:sz w:val="20"/>
          <w:szCs w:val="20"/>
          <w:lang w:eastAsia="zh-CN"/>
        </w:rPr>
        <w:t xml:space="preserve">  </w:t>
      </w:r>
      <w:r>
        <w:rPr>
          <w:rFonts w:ascii="宋体" w:hAnsi="宋体" w:eastAsia="宋体" w:cs="宋体"/>
          <w:color w:val="auto"/>
          <w:spacing w:val="6"/>
          <w:sz w:val="20"/>
          <w:szCs w:val="20"/>
          <w:lang w:eastAsia="zh-CN"/>
          <w14:textOutline w14:w="3797" w14:cap="sq" w14:cmpd="sng" w14:algn="ctr">
            <w14:solidFill>
              <w14:srgbClr w14:val="000000"/>
            </w14:solidFill>
            <w14:prstDash w14:val="solid"/>
            <w14:bevel/>
          </w14:textOutline>
        </w:rPr>
        <w:t>投标文件的编制</w:t>
      </w:r>
    </w:p>
    <w:p w14:paraId="38493139">
      <w:pPr>
        <w:pStyle w:val="8"/>
        <w:spacing w:line="350" w:lineRule="auto"/>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3.4.1  </w:t>
      </w:r>
      <w:r>
        <w:rPr>
          <w:rFonts w:ascii="宋体" w:hAnsi="宋体" w:eastAsia="宋体" w:cs="宋体"/>
          <w:color w:val="auto"/>
          <w:spacing w:val="8"/>
          <w:sz w:val="20"/>
          <w:szCs w:val="20"/>
          <w:lang w:eastAsia="zh-CN"/>
        </w:rPr>
        <w:t>电子投标文件使用政采云客户端提供的投标文件制作</w:t>
      </w:r>
      <w:r>
        <w:rPr>
          <w:rFonts w:ascii="宋体" w:hAnsi="宋体" w:eastAsia="宋体" w:cs="宋体"/>
          <w:color w:val="auto"/>
          <w:spacing w:val="7"/>
          <w:sz w:val="20"/>
          <w:szCs w:val="20"/>
          <w:lang w:eastAsia="zh-CN"/>
        </w:rPr>
        <w:t>工具以及招标文件要求进行制作编制。投标</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文件制作时，不同内容按标签提示制作导入，按照招标文件中明确的投</w:t>
      </w:r>
      <w:r>
        <w:rPr>
          <w:rFonts w:ascii="宋体" w:hAnsi="宋体" w:eastAsia="宋体" w:cs="宋体"/>
          <w:color w:val="auto"/>
          <w:spacing w:val="7"/>
          <w:sz w:val="20"/>
          <w:szCs w:val="20"/>
          <w:lang w:eastAsia="zh-CN"/>
        </w:rPr>
        <w:t>标文件目录和格式进行编制，保</w:t>
      </w:r>
      <w:r>
        <w:rPr>
          <w:rFonts w:ascii="宋体" w:hAnsi="宋体" w:eastAsia="宋体" w:cs="宋体"/>
          <w:color w:val="auto"/>
          <w:spacing w:val="4"/>
          <w:sz w:val="20"/>
          <w:szCs w:val="20"/>
          <w:lang w:eastAsia="zh-CN"/>
        </w:rPr>
        <w:t>证目录清晰、</w:t>
      </w:r>
      <w:r>
        <w:rPr>
          <w:rFonts w:ascii="宋体" w:hAnsi="宋体" w:eastAsia="宋体" w:cs="宋体"/>
          <w:color w:val="auto"/>
          <w:spacing w:val="-56"/>
          <w:sz w:val="20"/>
          <w:szCs w:val="20"/>
          <w:lang w:eastAsia="zh-CN"/>
        </w:rPr>
        <w:t xml:space="preserve"> </w:t>
      </w:r>
      <w:r>
        <w:rPr>
          <w:rFonts w:ascii="宋体" w:hAnsi="宋体" w:eastAsia="宋体" w:cs="宋体"/>
          <w:color w:val="auto"/>
          <w:spacing w:val="4"/>
          <w:sz w:val="20"/>
          <w:szCs w:val="20"/>
          <w:lang w:eastAsia="zh-CN"/>
        </w:rPr>
        <w:t>内容完整。</w:t>
      </w:r>
    </w:p>
    <w:p w14:paraId="4BB59731">
      <w:pPr>
        <w:spacing w:before="95" w:line="270" w:lineRule="auto"/>
        <w:ind w:left="9" w:right="70"/>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3.4.2  </w:t>
      </w:r>
      <w:r>
        <w:rPr>
          <w:rFonts w:ascii="宋体" w:hAnsi="宋体" w:eastAsia="宋体" w:cs="宋体"/>
          <w:color w:val="auto"/>
          <w:spacing w:val="8"/>
          <w:sz w:val="20"/>
          <w:szCs w:val="20"/>
          <w:lang w:eastAsia="zh-CN"/>
        </w:rPr>
        <w:t>电子投标文件须使用投标人公章的电子签章以及</w:t>
      </w:r>
      <w:r>
        <w:rPr>
          <w:rFonts w:hint="eastAsia" w:ascii="宋体" w:hAnsi="宋体" w:eastAsia="宋体" w:cs="宋体"/>
          <w:color w:val="auto"/>
          <w:spacing w:val="8"/>
          <w:sz w:val="20"/>
          <w:szCs w:val="20"/>
          <w:lang w:eastAsia="zh-CN"/>
        </w:rPr>
        <w:t>负责</w:t>
      </w:r>
      <w:r>
        <w:rPr>
          <w:rFonts w:ascii="宋体" w:hAnsi="宋体" w:eastAsia="宋体" w:cs="宋体"/>
          <w:color w:val="auto"/>
          <w:spacing w:val="7"/>
          <w:sz w:val="20"/>
          <w:szCs w:val="20"/>
          <w:lang w:eastAsia="zh-CN"/>
        </w:rPr>
        <w:t>人的电子签章。若无电子签章，则视为</w:t>
      </w:r>
      <w:r>
        <w:rPr>
          <w:rFonts w:ascii="宋体" w:hAnsi="宋体" w:eastAsia="宋体" w:cs="宋体"/>
          <w:color w:val="auto"/>
          <w:sz w:val="20"/>
          <w:szCs w:val="20"/>
          <w:lang w:eastAsia="zh-CN"/>
        </w:rPr>
        <w:t xml:space="preserve"> </w:t>
      </w:r>
      <w:r>
        <w:rPr>
          <w:rFonts w:ascii="宋体" w:hAnsi="宋体" w:eastAsia="宋体" w:cs="宋体"/>
          <w:color w:val="auto"/>
          <w:spacing w:val="5"/>
          <w:sz w:val="20"/>
          <w:szCs w:val="20"/>
          <w:lang w:eastAsia="zh-CN"/>
        </w:rPr>
        <w:t>无效投标。</w:t>
      </w:r>
    </w:p>
    <w:p w14:paraId="44EFD628">
      <w:pPr>
        <w:spacing w:before="92" w:line="285" w:lineRule="auto"/>
        <w:ind w:left="8"/>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 xml:space="preserve">3.4.3  </w:t>
      </w:r>
      <w:r>
        <w:rPr>
          <w:rFonts w:ascii="宋体" w:hAnsi="宋体" w:eastAsia="宋体" w:cs="宋体"/>
          <w:color w:val="auto"/>
          <w:spacing w:val="7"/>
          <w:sz w:val="20"/>
          <w:szCs w:val="20"/>
          <w:lang w:eastAsia="zh-CN"/>
        </w:rPr>
        <w:t xml:space="preserve">电子招投标文件具有法律效力，与其他形式的招投标文件在内容和格式上等同，若投标文件与招 标文件要求不一致，其内容影响中标结果时，责任由投标人自行承担。投标人递交的电子投标文件因投 </w:t>
      </w:r>
      <w:r>
        <w:rPr>
          <w:rFonts w:ascii="宋体" w:hAnsi="宋体" w:eastAsia="宋体" w:cs="宋体"/>
          <w:color w:val="auto"/>
          <w:spacing w:val="5"/>
          <w:sz w:val="20"/>
          <w:szCs w:val="20"/>
          <w:lang w:eastAsia="zh-CN"/>
        </w:rPr>
        <w:t>标人自身原因而导致无法导入电子辅助评标系统，该投标文件视为无效投标文</w:t>
      </w:r>
      <w:r>
        <w:rPr>
          <w:rFonts w:ascii="宋体" w:hAnsi="宋体" w:eastAsia="宋体" w:cs="宋体"/>
          <w:color w:val="auto"/>
          <w:spacing w:val="4"/>
          <w:sz w:val="20"/>
          <w:szCs w:val="20"/>
          <w:lang w:eastAsia="zh-CN"/>
        </w:rPr>
        <w:t>件，将导致其投标被拒绝。</w:t>
      </w:r>
    </w:p>
    <w:p w14:paraId="339F2ED0">
      <w:pPr>
        <w:spacing w:before="94" w:line="227" w:lineRule="auto"/>
        <w:ind w:left="8"/>
        <w:rPr>
          <w:rFonts w:ascii="宋体" w:hAnsi="宋体" w:eastAsia="宋体" w:cs="宋体"/>
          <w:color w:val="auto"/>
          <w:sz w:val="20"/>
          <w:szCs w:val="20"/>
          <w:lang w:eastAsia="zh-CN"/>
        </w:rPr>
      </w:pPr>
      <w:r>
        <w:rPr>
          <w:rFonts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注：</w:t>
      </w:r>
      <w:r>
        <w:rPr>
          <w:rFonts w:ascii="宋体" w:hAnsi="宋体" w:eastAsia="宋体" w:cs="宋体"/>
          <w:color w:val="auto"/>
          <w:spacing w:val="-36"/>
          <w:sz w:val="20"/>
          <w:szCs w:val="20"/>
          <w:lang w:eastAsia="zh-CN"/>
        </w:rPr>
        <w:t xml:space="preserve"> </w:t>
      </w:r>
      <w:r>
        <w:rPr>
          <w:rFonts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电子投标文件按政采云平台</w:t>
      </w:r>
      <w:r>
        <w:rPr>
          <w:rFonts w:hint="eastAsia"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服务商</w:t>
      </w:r>
      <w:r>
        <w:rPr>
          <w:rFonts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电子招投标操作指南。建议根据招标文件合格</w:t>
      </w:r>
      <w:r>
        <w:rPr>
          <w:rFonts w:hint="eastAsia"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服务商</w:t>
      </w:r>
      <w:r>
        <w:rPr>
          <w:rFonts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的资格要</w:t>
      </w:r>
    </w:p>
    <w:p w14:paraId="57640887">
      <w:pPr>
        <w:spacing w:before="95" w:line="269" w:lineRule="auto"/>
        <w:ind w:left="9" w:right="610"/>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14:textOutline w14:w="3797" w14:cap="sq" w14:cmpd="sng" w14:algn="ctr">
            <w14:solidFill>
              <w14:srgbClr w14:val="000000"/>
            </w14:solidFill>
            <w14:prstDash w14:val="solid"/>
            <w14:bevel/>
          </w14:textOutline>
        </w:rPr>
        <w:t>求、投标文件的编制及资格评审、响应性评审等内容一一关联投标</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文件按统一格式、顺序编写。</w:t>
      </w:r>
      <w:r>
        <w:rPr>
          <w:rFonts w:ascii="宋体" w:hAnsi="宋体" w:eastAsia="宋体" w:cs="宋体"/>
          <w:color w:val="auto"/>
          <w:sz w:val="20"/>
          <w:szCs w:val="20"/>
          <w:lang w:eastAsia="zh-CN"/>
        </w:rPr>
        <w:t xml:space="preserve"> </w:t>
      </w:r>
      <w:r>
        <w:rPr>
          <w:rFonts w:ascii="Tahoma" w:hAnsi="Tahoma" w:eastAsia="Tahoma" w:cs="Tahoma"/>
          <w:b/>
          <w:bCs/>
          <w:color w:val="auto"/>
          <w:spacing w:val="6"/>
          <w:sz w:val="20"/>
          <w:szCs w:val="20"/>
          <w:lang w:eastAsia="zh-CN"/>
        </w:rPr>
        <w:t>3.5.</w:t>
      </w:r>
      <w:r>
        <w:rPr>
          <w:rFonts w:ascii="宋体" w:hAnsi="宋体" w:eastAsia="宋体" w:cs="宋体"/>
          <w:color w:val="auto"/>
          <w:spacing w:val="6"/>
          <w:sz w:val="20"/>
          <w:szCs w:val="20"/>
          <w:lang w:eastAsia="zh-CN"/>
          <w14:textOutline w14:w="3797" w14:cap="sq" w14:cmpd="sng" w14:algn="ctr">
            <w14:solidFill>
              <w14:srgbClr w14:val="000000"/>
            </w14:solidFill>
            <w14:prstDash w14:val="solid"/>
            <w14:bevel/>
          </w14:textOutline>
        </w:rPr>
        <w:t>投标报价</w:t>
      </w:r>
    </w:p>
    <w:p w14:paraId="734A79F7">
      <w:pPr>
        <w:spacing w:before="97" w:line="292" w:lineRule="auto"/>
        <w:ind w:left="9" w:right="14"/>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3.5.1 </w:t>
      </w:r>
      <w:r>
        <w:rPr>
          <w:rFonts w:ascii="宋体" w:hAnsi="宋体" w:eastAsia="宋体" w:cs="宋体"/>
          <w:color w:val="auto"/>
          <w:spacing w:val="9"/>
          <w:sz w:val="20"/>
          <w:szCs w:val="20"/>
          <w:lang w:eastAsia="zh-CN"/>
        </w:rPr>
        <w:t>所有投标报价均以人民币元为计算单位。只要投报了一个确定数额的总价，无论分项价格是否全</w:t>
      </w:r>
      <w:r>
        <w:rPr>
          <w:rFonts w:ascii="宋体" w:hAnsi="宋体" w:eastAsia="宋体" w:cs="宋体"/>
          <w:color w:val="auto"/>
          <w:spacing w:val="3"/>
          <w:sz w:val="20"/>
          <w:szCs w:val="20"/>
          <w:lang w:eastAsia="zh-CN"/>
        </w:rPr>
        <w:t xml:space="preserve"> </w:t>
      </w:r>
      <w:r>
        <w:rPr>
          <w:rFonts w:ascii="宋体" w:hAnsi="宋体" w:eastAsia="宋体" w:cs="宋体"/>
          <w:color w:val="auto"/>
          <w:spacing w:val="9"/>
          <w:sz w:val="20"/>
          <w:szCs w:val="20"/>
          <w:lang w:eastAsia="zh-CN"/>
        </w:rPr>
        <w:t>部填报了相应的金额或免费字样，报价应被视为已经包含了但并不限于各项购买货物及其运送、安</w:t>
      </w:r>
      <w:r>
        <w:rPr>
          <w:rFonts w:ascii="宋体" w:hAnsi="宋体" w:eastAsia="宋体" w:cs="宋体"/>
          <w:color w:val="auto"/>
          <w:spacing w:val="8"/>
          <w:sz w:val="20"/>
          <w:szCs w:val="20"/>
          <w:lang w:eastAsia="zh-CN"/>
        </w:rPr>
        <w:t>装、</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调试、验收、保险和相关服务等的费用和所需缴纳的所有价格、税、费</w:t>
      </w:r>
      <w:r>
        <w:rPr>
          <w:rFonts w:ascii="宋体" w:hAnsi="宋体" w:eastAsia="宋体" w:cs="宋体"/>
          <w:color w:val="auto"/>
          <w:spacing w:val="7"/>
          <w:sz w:val="20"/>
          <w:szCs w:val="20"/>
          <w:lang w:eastAsia="zh-CN"/>
        </w:rPr>
        <w:t>。在其他情况下，由于分项报价</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填报不完整、不清楚或存在其他任何失误，所导致的任何不利后果均应当由投标人自行承担。</w:t>
      </w:r>
    </w:p>
    <w:p w14:paraId="245DEDE7">
      <w:pPr>
        <w:spacing w:before="94" w:line="226" w:lineRule="auto"/>
        <w:ind w:left="9"/>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3.5.2</w:t>
      </w:r>
      <w:r>
        <w:rPr>
          <w:rFonts w:ascii="Tahoma" w:hAnsi="Tahoma" w:eastAsia="Tahoma" w:cs="Tahoma"/>
          <w:color w:val="auto"/>
          <w:spacing w:val="55"/>
          <w:w w:val="101"/>
          <w:sz w:val="20"/>
          <w:szCs w:val="20"/>
          <w:lang w:eastAsia="zh-CN"/>
        </w:rPr>
        <w:t xml:space="preserve"> </w:t>
      </w:r>
      <w:r>
        <w:rPr>
          <w:rFonts w:ascii="宋体" w:hAnsi="宋体" w:eastAsia="宋体" w:cs="宋体"/>
          <w:color w:val="auto"/>
          <w:spacing w:val="8"/>
          <w:sz w:val="20"/>
          <w:szCs w:val="20"/>
          <w:lang w:eastAsia="zh-CN"/>
        </w:rPr>
        <w:t>投标人投报多包的，须对每包分别制作投标文件</w:t>
      </w:r>
      <w:r>
        <w:rPr>
          <w:rFonts w:ascii="宋体" w:hAnsi="宋体" w:eastAsia="宋体" w:cs="宋体"/>
          <w:color w:val="auto"/>
          <w:spacing w:val="7"/>
          <w:sz w:val="20"/>
          <w:szCs w:val="20"/>
          <w:lang w:eastAsia="zh-CN"/>
        </w:rPr>
        <w:t>并报价。</w:t>
      </w:r>
    </w:p>
    <w:p w14:paraId="2D87C53C">
      <w:pPr>
        <w:spacing w:before="94" w:line="270" w:lineRule="auto"/>
        <w:ind w:left="8" w:right="70"/>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3.5.3</w:t>
      </w:r>
      <w:r>
        <w:rPr>
          <w:rFonts w:ascii="Tahoma" w:hAnsi="Tahoma" w:eastAsia="Tahoma" w:cs="Tahoma"/>
          <w:color w:val="auto"/>
          <w:spacing w:val="1"/>
          <w:sz w:val="20"/>
          <w:szCs w:val="20"/>
          <w:lang w:eastAsia="zh-CN"/>
        </w:rPr>
        <w:t xml:space="preserve">  </w:t>
      </w:r>
      <w:r>
        <w:rPr>
          <w:rFonts w:ascii="宋体" w:hAnsi="宋体" w:eastAsia="宋体" w:cs="宋体"/>
          <w:color w:val="auto"/>
          <w:spacing w:val="8"/>
          <w:sz w:val="20"/>
          <w:szCs w:val="20"/>
          <w:lang w:eastAsia="zh-CN"/>
        </w:rPr>
        <w:t>除非招标文件另有规定，不接受可选择或可调整的投标方案和报价，任何有选择的</w:t>
      </w:r>
      <w:r>
        <w:rPr>
          <w:rFonts w:ascii="宋体" w:hAnsi="宋体" w:eastAsia="宋体" w:cs="宋体"/>
          <w:color w:val="auto"/>
          <w:spacing w:val="7"/>
          <w:sz w:val="20"/>
          <w:szCs w:val="20"/>
          <w:lang w:eastAsia="zh-CN"/>
        </w:rPr>
        <w:t>或可调整的投</w:t>
      </w:r>
      <w:r>
        <w:rPr>
          <w:rFonts w:ascii="宋体" w:hAnsi="宋体" w:eastAsia="宋体" w:cs="宋体"/>
          <w:color w:val="auto"/>
          <w:spacing w:val="1"/>
          <w:sz w:val="20"/>
          <w:szCs w:val="20"/>
          <w:lang w:eastAsia="zh-CN"/>
        </w:rPr>
        <w:t xml:space="preserve"> </w:t>
      </w:r>
      <w:r>
        <w:rPr>
          <w:rFonts w:ascii="宋体" w:hAnsi="宋体" w:eastAsia="宋体" w:cs="宋体"/>
          <w:color w:val="auto"/>
          <w:spacing w:val="9"/>
          <w:sz w:val="20"/>
          <w:szCs w:val="20"/>
          <w:lang w:eastAsia="zh-CN"/>
        </w:rPr>
        <w:t>标方案和报价将被视为非响应性投标而被拒</w:t>
      </w:r>
      <w:r>
        <w:rPr>
          <w:rFonts w:ascii="宋体" w:hAnsi="宋体" w:eastAsia="宋体" w:cs="宋体"/>
          <w:color w:val="auto"/>
          <w:spacing w:val="8"/>
          <w:sz w:val="20"/>
          <w:szCs w:val="20"/>
          <w:lang w:eastAsia="zh-CN"/>
        </w:rPr>
        <w:t>绝。</w:t>
      </w:r>
    </w:p>
    <w:p w14:paraId="71B29457">
      <w:pPr>
        <w:spacing w:before="96" w:line="227" w:lineRule="auto"/>
        <w:ind w:left="9"/>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3.5.4</w:t>
      </w:r>
      <w:r>
        <w:rPr>
          <w:rFonts w:ascii="Tahoma" w:hAnsi="Tahoma" w:eastAsia="Tahoma" w:cs="Tahoma"/>
          <w:color w:val="auto"/>
          <w:spacing w:val="62"/>
          <w:w w:val="101"/>
          <w:sz w:val="20"/>
          <w:szCs w:val="20"/>
          <w:lang w:eastAsia="zh-CN"/>
        </w:rPr>
        <w:t xml:space="preserve"> </w:t>
      </w:r>
      <w:r>
        <w:rPr>
          <w:rFonts w:ascii="宋体" w:hAnsi="宋体" w:eastAsia="宋体" w:cs="宋体"/>
          <w:color w:val="auto"/>
          <w:spacing w:val="8"/>
          <w:sz w:val="20"/>
          <w:szCs w:val="20"/>
          <w:lang w:eastAsia="zh-CN"/>
        </w:rPr>
        <w:t>本项目不允许投标人将项目的非主体、非关键性工作交由他人完成。</w:t>
      </w:r>
    </w:p>
    <w:p w14:paraId="4449C5B9">
      <w:pPr>
        <w:spacing w:before="93" w:line="226" w:lineRule="auto"/>
        <w:ind w:left="9"/>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3.5.5</w:t>
      </w:r>
      <w:r>
        <w:rPr>
          <w:rFonts w:ascii="Tahoma" w:hAnsi="Tahoma" w:eastAsia="Tahoma" w:cs="Tahoma"/>
          <w:color w:val="auto"/>
          <w:spacing w:val="63"/>
          <w:w w:val="101"/>
          <w:sz w:val="20"/>
          <w:szCs w:val="20"/>
          <w:lang w:eastAsia="zh-CN"/>
        </w:rPr>
        <w:t xml:space="preserve"> </w:t>
      </w:r>
      <w:r>
        <w:rPr>
          <w:rFonts w:ascii="宋体" w:hAnsi="宋体" w:eastAsia="宋体" w:cs="宋体"/>
          <w:color w:val="auto"/>
          <w:spacing w:val="8"/>
          <w:sz w:val="20"/>
          <w:szCs w:val="20"/>
          <w:lang w:eastAsia="zh-CN"/>
        </w:rPr>
        <w:t>投标人须严格按照报价明细表规定的内容填写货物单价以及其他事项。</w:t>
      </w:r>
    </w:p>
    <w:p w14:paraId="5A678C1D">
      <w:pPr>
        <w:spacing w:before="96" w:line="226" w:lineRule="auto"/>
        <w:ind w:left="9"/>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3.5.6</w:t>
      </w:r>
      <w:r>
        <w:rPr>
          <w:rFonts w:ascii="Tahoma" w:hAnsi="Tahoma" w:eastAsia="Tahoma" w:cs="Tahoma"/>
          <w:color w:val="auto"/>
          <w:spacing w:val="55"/>
          <w:w w:val="101"/>
          <w:sz w:val="20"/>
          <w:szCs w:val="20"/>
          <w:lang w:eastAsia="zh-CN"/>
        </w:rPr>
        <w:t xml:space="preserve"> </w:t>
      </w:r>
      <w:r>
        <w:rPr>
          <w:rFonts w:ascii="宋体" w:hAnsi="宋体" w:eastAsia="宋体" w:cs="宋体"/>
          <w:color w:val="auto"/>
          <w:spacing w:val="8"/>
          <w:sz w:val="20"/>
          <w:szCs w:val="20"/>
          <w:lang w:eastAsia="zh-CN"/>
        </w:rPr>
        <w:t>投标人对投标报价若有说明应在投标文件中显著</w:t>
      </w:r>
      <w:r>
        <w:rPr>
          <w:rFonts w:ascii="宋体" w:hAnsi="宋体" w:eastAsia="宋体" w:cs="宋体"/>
          <w:color w:val="auto"/>
          <w:spacing w:val="7"/>
          <w:sz w:val="20"/>
          <w:szCs w:val="20"/>
          <w:lang w:eastAsia="zh-CN"/>
        </w:rPr>
        <w:t>处注明。</w:t>
      </w:r>
    </w:p>
    <w:p w14:paraId="6A385102">
      <w:pPr>
        <w:spacing w:before="96" w:line="226" w:lineRule="auto"/>
        <w:ind w:left="20"/>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除政策性文件规定以外，投标人所报价格在合同实施期间不因市场变化因素而变动。</w:t>
      </w:r>
    </w:p>
    <w:p w14:paraId="5B4E3C76">
      <w:pPr>
        <w:spacing w:before="94" w:line="292" w:lineRule="auto"/>
        <w:ind w:left="7" w:right="70" w:firstLine="2"/>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3.5.7 </w:t>
      </w:r>
      <w:r>
        <w:rPr>
          <w:rFonts w:ascii="宋体" w:hAnsi="宋体" w:eastAsia="宋体" w:cs="宋体"/>
          <w:color w:val="auto"/>
          <w:spacing w:val="9"/>
          <w:sz w:val="20"/>
          <w:szCs w:val="20"/>
          <w:lang w:eastAsia="zh-CN"/>
        </w:rPr>
        <w:t>对于有配件、耗材、选件、备件和特殊工具的货物，还应填报投标货物配件、耗材、选件表和备</w:t>
      </w:r>
      <w:r>
        <w:rPr>
          <w:rFonts w:ascii="宋体" w:hAnsi="宋体" w:eastAsia="宋体" w:cs="宋体"/>
          <w:color w:val="auto"/>
          <w:spacing w:val="3"/>
          <w:sz w:val="20"/>
          <w:szCs w:val="20"/>
          <w:lang w:eastAsia="zh-CN"/>
        </w:rPr>
        <w:t xml:space="preserve"> </w:t>
      </w:r>
      <w:r>
        <w:rPr>
          <w:rFonts w:ascii="宋体" w:hAnsi="宋体" w:eastAsia="宋体" w:cs="宋体"/>
          <w:color w:val="auto"/>
          <w:spacing w:val="8"/>
          <w:sz w:val="20"/>
          <w:szCs w:val="20"/>
          <w:lang w:eastAsia="zh-CN"/>
        </w:rPr>
        <w:t>件及特殊工具清单，注明品牌、型号、产地、功能、单价、批量折扣等内容，</w:t>
      </w:r>
      <w:r>
        <w:rPr>
          <w:rFonts w:ascii="宋体" w:hAnsi="宋体" w:eastAsia="宋体" w:cs="宋体"/>
          <w:color w:val="auto"/>
          <w:spacing w:val="7"/>
          <w:sz w:val="20"/>
          <w:szCs w:val="20"/>
          <w:lang w:eastAsia="zh-CN"/>
        </w:rPr>
        <w:t>该表格格式由投标人自行</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设计。投标人按照上述要求分类报价，其目的是便于评标，但在任何情况下并</w:t>
      </w:r>
      <w:r>
        <w:rPr>
          <w:rFonts w:ascii="宋体" w:hAnsi="宋体" w:eastAsia="宋体" w:cs="宋体"/>
          <w:color w:val="auto"/>
          <w:spacing w:val="7"/>
          <w:sz w:val="20"/>
          <w:szCs w:val="20"/>
          <w:lang w:eastAsia="zh-CN"/>
        </w:rPr>
        <w:t>不限制采购人以其他条款</w:t>
      </w:r>
      <w:r>
        <w:rPr>
          <w:rFonts w:ascii="宋体" w:hAnsi="宋体" w:eastAsia="宋体" w:cs="宋体"/>
          <w:color w:val="auto"/>
          <w:sz w:val="20"/>
          <w:szCs w:val="20"/>
          <w:lang w:eastAsia="zh-CN"/>
        </w:rPr>
        <w:t xml:space="preserve"> </w:t>
      </w:r>
      <w:r>
        <w:rPr>
          <w:rFonts w:ascii="宋体" w:hAnsi="宋体" w:eastAsia="宋体" w:cs="宋体"/>
          <w:color w:val="auto"/>
          <w:spacing w:val="7"/>
          <w:sz w:val="20"/>
          <w:szCs w:val="20"/>
          <w:lang w:eastAsia="zh-CN"/>
        </w:rPr>
        <w:t>签订合同的权利。</w:t>
      </w:r>
    </w:p>
    <w:p w14:paraId="01AFF07E">
      <w:pPr>
        <w:spacing w:before="95" w:line="226" w:lineRule="auto"/>
        <w:ind w:left="9"/>
        <w:rPr>
          <w:rFonts w:ascii="宋体" w:hAnsi="宋体" w:eastAsia="宋体" w:cs="宋体"/>
          <w:color w:val="auto"/>
          <w:sz w:val="20"/>
          <w:szCs w:val="20"/>
          <w:lang w:eastAsia="zh-CN"/>
        </w:rPr>
      </w:pPr>
      <w:r>
        <w:rPr>
          <w:rFonts w:ascii="Tahoma" w:hAnsi="Tahoma" w:eastAsia="Tahoma" w:cs="Tahoma"/>
          <w:color w:val="auto"/>
          <w:spacing w:val="6"/>
          <w:sz w:val="20"/>
          <w:szCs w:val="20"/>
          <w:lang w:eastAsia="zh-CN"/>
        </w:rPr>
        <w:t>3.5.8</w:t>
      </w:r>
      <w:r>
        <w:rPr>
          <w:rFonts w:ascii="Tahoma" w:hAnsi="Tahoma" w:eastAsia="Tahoma" w:cs="Tahoma"/>
          <w:color w:val="auto"/>
          <w:spacing w:val="68"/>
          <w:w w:val="101"/>
          <w:sz w:val="20"/>
          <w:szCs w:val="20"/>
          <w:lang w:eastAsia="zh-CN"/>
        </w:rPr>
        <w:t xml:space="preserve"> </w:t>
      </w:r>
      <w:r>
        <w:rPr>
          <w:rFonts w:ascii="宋体" w:hAnsi="宋体" w:eastAsia="宋体" w:cs="宋体"/>
          <w:color w:val="auto"/>
          <w:spacing w:val="6"/>
          <w:sz w:val="20"/>
          <w:szCs w:val="20"/>
          <w:lang w:eastAsia="zh-CN"/>
        </w:rPr>
        <w:t>最低报价不能作为中标的保证。</w:t>
      </w:r>
    </w:p>
    <w:p w14:paraId="6B416AC5">
      <w:pPr>
        <w:spacing w:before="95" w:line="228" w:lineRule="auto"/>
        <w:ind w:left="10"/>
        <w:rPr>
          <w:rFonts w:ascii="宋体" w:hAnsi="宋体" w:eastAsia="宋体" w:cs="宋体"/>
          <w:color w:val="auto"/>
          <w:sz w:val="20"/>
          <w:szCs w:val="20"/>
          <w:lang w:eastAsia="zh-CN"/>
        </w:rPr>
      </w:pPr>
      <w:r>
        <w:rPr>
          <w:rFonts w:ascii="Tahoma" w:hAnsi="Tahoma" w:eastAsia="Tahoma" w:cs="Tahoma"/>
          <w:b/>
          <w:bCs/>
          <w:color w:val="auto"/>
          <w:spacing w:val="7"/>
          <w:sz w:val="20"/>
          <w:szCs w:val="20"/>
          <w:lang w:eastAsia="zh-CN"/>
        </w:rPr>
        <w:t>3.6.</w:t>
      </w:r>
      <w:r>
        <w:rPr>
          <w:rFonts w:ascii="宋体" w:hAnsi="宋体" w:eastAsia="宋体" w:cs="宋体"/>
          <w:color w:val="auto"/>
          <w:spacing w:val="7"/>
          <w:sz w:val="20"/>
          <w:szCs w:val="20"/>
          <w:lang w:eastAsia="zh-CN"/>
          <w14:textOutline w14:w="3797" w14:cap="sq" w14:cmpd="sng" w14:algn="ctr">
            <w14:solidFill>
              <w14:srgbClr w14:val="000000"/>
            </w14:solidFill>
            <w14:prstDash w14:val="solid"/>
            <w14:bevel/>
          </w14:textOutline>
        </w:rPr>
        <w:t>投标文件的签署</w:t>
      </w:r>
    </w:p>
    <w:p w14:paraId="35E9C2F0">
      <w:pPr>
        <w:spacing w:before="93" w:line="292" w:lineRule="auto"/>
        <w:ind w:left="7" w:right="70" w:firstLine="2"/>
        <w:jc w:val="both"/>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3.6.1</w:t>
      </w:r>
      <w:r>
        <w:rPr>
          <w:rFonts w:ascii="Tahoma" w:hAnsi="Tahoma" w:eastAsia="Tahoma" w:cs="Tahoma"/>
          <w:color w:val="auto"/>
          <w:spacing w:val="59"/>
          <w:w w:val="101"/>
          <w:sz w:val="20"/>
          <w:szCs w:val="20"/>
          <w:lang w:eastAsia="zh-CN"/>
        </w:rPr>
        <w:t xml:space="preserve"> </w:t>
      </w:r>
      <w:r>
        <w:rPr>
          <w:rFonts w:ascii="宋体" w:hAnsi="宋体" w:eastAsia="宋体" w:cs="宋体"/>
          <w:color w:val="auto"/>
          <w:spacing w:val="8"/>
          <w:sz w:val="20"/>
          <w:szCs w:val="20"/>
          <w:lang w:eastAsia="zh-CN"/>
        </w:rPr>
        <w:t>投标人应通过电子投标文件制作工具严格按招标文件要求制作投标文件，在投标截止时间前完成</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上传经过数字证书电子签章并加密的投标文件（加密和解密须用同一把数字证</w:t>
      </w:r>
      <w:r>
        <w:rPr>
          <w:rFonts w:ascii="宋体" w:hAnsi="宋体" w:eastAsia="宋体" w:cs="宋体"/>
          <w:color w:val="auto"/>
          <w:spacing w:val="7"/>
          <w:sz w:val="20"/>
          <w:szCs w:val="20"/>
          <w:lang w:eastAsia="zh-CN"/>
        </w:rPr>
        <w:t>书）。投标人在投标截止</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时间前，可以对其所递交的投标文件进行修改并重新上传，但以投标截止时间</w:t>
      </w:r>
      <w:r>
        <w:rPr>
          <w:rFonts w:ascii="宋体" w:hAnsi="宋体" w:eastAsia="宋体" w:cs="宋体"/>
          <w:color w:val="auto"/>
          <w:spacing w:val="7"/>
          <w:sz w:val="20"/>
          <w:szCs w:val="20"/>
          <w:lang w:eastAsia="zh-CN"/>
        </w:rPr>
        <w:t>前最后一次上传的投标文</w:t>
      </w:r>
      <w:r>
        <w:rPr>
          <w:rFonts w:ascii="宋体" w:hAnsi="宋体" w:eastAsia="宋体" w:cs="宋体"/>
          <w:color w:val="auto"/>
          <w:sz w:val="20"/>
          <w:szCs w:val="20"/>
          <w:lang w:eastAsia="zh-CN"/>
        </w:rPr>
        <w:t xml:space="preserve"> </w:t>
      </w:r>
      <w:r>
        <w:rPr>
          <w:rFonts w:ascii="宋体" w:hAnsi="宋体" w:eastAsia="宋体" w:cs="宋体"/>
          <w:color w:val="auto"/>
          <w:spacing w:val="7"/>
          <w:sz w:val="20"/>
          <w:szCs w:val="20"/>
          <w:lang w:eastAsia="zh-CN"/>
        </w:rPr>
        <w:t>件为有效投标文件。</w:t>
      </w:r>
    </w:p>
    <w:p w14:paraId="1AC88254">
      <w:pPr>
        <w:spacing w:before="95" w:line="271" w:lineRule="auto"/>
        <w:ind w:left="7" w:right="70" w:firstLine="3"/>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投标截止时间以政采云平台显示的时间为准，逾期系统将自动关闭，未</w:t>
      </w:r>
      <w:r>
        <w:rPr>
          <w:rFonts w:ascii="宋体" w:hAnsi="宋体" w:eastAsia="宋体" w:cs="宋体"/>
          <w:color w:val="auto"/>
          <w:spacing w:val="7"/>
          <w:sz w:val="20"/>
          <w:szCs w:val="20"/>
          <w:lang w:eastAsia="zh-CN"/>
        </w:rPr>
        <w:t>完成上传的投标文件视为逾期送</w:t>
      </w:r>
      <w:r>
        <w:rPr>
          <w:rFonts w:ascii="宋体" w:hAnsi="宋体" w:eastAsia="宋体" w:cs="宋体"/>
          <w:color w:val="auto"/>
          <w:sz w:val="20"/>
          <w:szCs w:val="20"/>
          <w:lang w:eastAsia="zh-CN"/>
        </w:rPr>
        <w:t xml:space="preserve"> </w:t>
      </w:r>
      <w:r>
        <w:rPr>
          <w:rFonts w:ascii="宋体" w:hAnsi="宋体" w:eastAsia="宋体" w:cs="宋体"/>
          <w:color w:val="auto"/>
          <w:spacing w:val="7"/>
          <w:sz w:val="20"/>
          <w:szCs w:val="20"/>
          <w:lang w:eastAsia="zh-CN"/>
        </w:rPr>
        <w:t>达，将被拒绝。</w:t>
      </w:r>
    </w:p>
    <w:p w14:paraId="2AB5344D">
      <w:pPr>
        <w:spacing w:before="93" w:line="285" w:lineRule="auto"/>
        <w:ind w:left="8" w:right="68"/>
        <w:rPr>
          <w:rFonts w:ascii="宋体" w:hAnsi="宋体" w:eastAsia="宋体" w:cs="宋体"/>
          <w:color w:val="auto"/>
          <w:sz w:val="20"/>
          <w:szCs w:val="20"/>
          <w:lang w:eastAsia="zh-CN"/>
        </w:rPr>
      </w:pPr>
      <w:r>
        <w:rPr>
          <w:rFonts w:ascii="Tahoma" w:hAnsi="Tahoma" w:eastAsia="Tahoma" w:cs="Tahoma"/>
          <w:color w:val="auto"/>
          <w:spacing w:val="5"/>
          <w:sz w:val="20"/>
          <w:szCs w:val="20"/>
          <w:lang w:eastAsia="zh-CN"/>
        </w:rPr>
        <w:t>3.6.2</w:t>
      </w:r>
      <w:r>
        <w:rPr>
          <w:rFonts w:ascii="Tahoma" w:hAnsi="Tahoma" w:eastAsia="Tahoma" w:cs="Tahoma"/>
          <w:color w:val="auto"/>
          <w:spacing w:val="61"/>
          <w:w w:val="101"/>
          <w:sz w:val="20"/>
          <w:szCs w:val="20"/>
          <w:lang w:eastAsia="zh-CN"/>
        </w:rPr>
        <w:t xml:space="preserve"> </w:t>
      </w:r>
      <w:r>
        <w:rPr>
          <w:rFonts w:ascii="宋体" w:hAnsi="宋体" w:eastAsia="宋体" w:cs="宋体"/>
          <w:color w:val="auto"/>
          <w:spacing w:val="5"/>
          <w:sz w:val="20"/>
          <w:szCs w:val="20"/>
          <w:lang w:eastAsia="zh-CN"/>
        </w:rPr>
        <w:t>投标人</w:t>
      </w:r>
      <w:r>
        <w:rPr>
          <w:rFonts w:ascii="宋体" w:hAnsi="宋体" w:eastAsia="宋体" w:cs="宋体"/>
          <w:color w:val="auto"/>
          <w:spacing w:val="8"/>
          <w:sz w:val="20"/>
          <w:szCs w:val="20"/>
          <w:lang w:eastAsia="zh-CN"/>
        </w:rPr>
        <w:t>应于</w:t>
      </w:r>
      <w:r>
        <w:rPr>
          <w:rFonts w:hint="eastAsia" w:ascii="宋体" w:hAnsi="宋体" w:eastAsia="宋体" w:cs="宋体"/>
          <w:color w:val="auto"/>
          <w:spacing w:val="8"/>
          <w:sz w:val="20"/>
          <w:szCs w:val="20"/>
          <w:lang w:eastAsia="zh-CN"/>
        </w:rPr>
        <w:t>投标截止日</w:t>
      </w:r>
      <w:r>
        <w:rPr>
          <w:rFonts w:ascii="宋体" w:hAnsi="宋体" w:eastAsia="宋体" w:cs="宋体"/>
          <w:color w:val="auto"/>
          <w:spacing w:val="8"/>
          <w:sz w:val="20"/>
          <w:szCs w:val="20"/>
          <w:lang w:eastAsia="zh-CN"/>
        </w:rPr>
        <w:t>之前</w:t>
      </w:r>
      <w:r>
        <w:rPr>
          <w:rFonts w:ascii="宋体" w:hAnsi="宋体" w:eastAsia="宋体" w:cs="宋体"/>
          <w:color w:val="auto"/>
          <w:spacing w:val="5"/>
          <w:sz w:val="20"/>
          <w:szCs w:val="20"/>
          <w:lang w:eastAsia="zh-CN"/>
        </w:rPr>
        <w:t>将电子投标文件上传到“政采云</w:t>
      </w:r>
      <w:r>
        <w:rPr>
          <w:rFonts w:ascii="宋体" w:hAnsi="宋体" w:eastAsia="宋体" w:cs="宋体"/>
          <w:color w:val="auto"/>
          <w:spacing w:val="-70"/>
          <w:sz w:val="20"/>
          <w:szCs w:val="20"/>
          <w:lang w:eastAsia="zh-CN"/>
        </w:rPr>
        <w:t xml:space="preserve"> </w:t>
      </w:r>
      <w:r>
        <w:rPr>
          <w:rFonts w:ascii="宋体" w:hAnsi="宋体" w:eastAsia="宋体" w:cs="宋体"/>
          <w:color w:val="auto"/>
          <w:spacing w:val="5"/>
          <w:sz w:val="20"/>
          <w:szCs w:val="20"/>
          <w:lang w:eastAsia="zh-CN"/>
        </w:rPr>
        <w:t>”平台。应按照</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本项目招标文件和政采云平台的要求编制、加密传输投标文件。</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在</w:t>
      </w:r>
      <w:r>
        <w:rPr>
          <w:rFonts w:ascii="宋体" w:hAnsi="宋体" w:eastAsia="宋体" w:cs="宋体"/>
          <w:color w:val="auto"/>
          <w:spacing w:val="7"/>
          <w:sz w:val="20"/>
          <w:szCs w:val="20"/>
          <w:lang w:eastAsia="zh-CN"/>
        </w:rPr>
        <w:t>使用系统进行投标的过程中遇</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到涉及平台使用的任何问题，可致电政采云平台技术支持热线咨询，联系方式：</w:t>
      </w:r>
      <w:r>
        <w:rPr>
          <w:rFonts w:hint="eastAsia" w:ascii="Tahoma" w:hAnsi="Tahoma" w:eastAsia="Tahoma" w:cs="Tahoma"/>
          <w:color w:val="auto"/>
          <w:spacing w:val="8"/>
          <w:sz w:val="20"/>
          <w:szCs w:val="20"/>
          <w:lang w:eastAsia="zh-CN"/>
        </w:rPr>
        <w:t>95763</w:t>
      </w:r>
      <w:r>
        <w:rPr>
          <w:rFonts w:ascii="宋体" w:hAnsi="宋体" w:eastAsia="宋体" w:cs="宋体"/>
          <w:color w:val="auto"/>
          <w:spacing w:val="8"/>
          <w:sz w:val="20"/>
          <w:szCs w:val="20"/>
          <w:lang w:eastAsia="zh-CN"/>
        </w:rPr>
        <w:t>。</w:t>
      </w:r>
    </w:p>
    <w:p w14:paraId="1CB5D45A">
      <w:pPr>
        <w:spacing w:before="93" w:line="272" w:lineRule="auto"/>
        <w:ind w:left="12" w:right="71" w:hanging="3"/>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3.6.3 </w:t>
      </w:r>
      <w:r>
        <w:rPr>
          <w:rFonts w:ascii="宋体" w:hAnsi="宋体" w:eastAsia="宋体" w:cs="宋体"/>
          <w:color w:val="auto"/>
          <w:spacing w:val="9"/>
          <w:sz w:val="20"/>
          <w:szCs w:val="20"/>
          <w:lang w:eastAsia="zh-CN"/>
        </w:rPr>
        <w:t>投标文件须由投标人在规定位置盖章并由</w:t>
      </w:r>
      <w:r>
        <w:rPr>
          <w:rFonts w:hint="eastAsia" w:ascii="宋体" w:hAnsi="宋体" w:eastAsia="宋体" w:cs="宋体"/>
          <w:color w:val="auto"/>
          <w:spacing w:val="9"/>
          <w:sz w:val="20"/>
          <w:szCs w:val="20"/>
          <w:lang w:eastAsia="zh-CN"/>
        </w:rPr>
        <w:t>负责</w:t>
      </w:r>
      <w:r>
        <w:rPr>
          <w:rFonts w:ascii="宋体" w:hAnsi="宋体" w:eastAsia="宋体" w:cs="宋体"/>
          <w:color w:val="auto"/>
          <w:spacing w:val="9"/>
          <w:sz w:val="20"/>
          <w:szCs w:val="20"/>
          <w:lang w:eastAsia="zh-CN"/>
        </w:rPr>
        <w:t>人或</w:t>
      </w:r>
      <w:r>
        <w:rPr>
          <w:rFonts w:hint="eastAsia" w:ascii="宋体" w:hAnsi="宋体" w:eastAsia="宋体" w:cs="宋体"/>
          <w:color w:val="auto"/>
          <w:spacing w:val="9"/>
          <w:sz w:val="20"/>
          <w:szCs w:val="20"/>
          <w:lang w:eastAsia="zh-CN"/>
        </w:rPr>
        <w:t>负责</w:t>
      </w:r>
      <w:r>
        <w:rPr>
          <w:rFonts w:ascii="宋体" w:hAnsi="宋体" w:eastAsia="宋体" w:cs="宋体"/>
          <w:color w:val="auto"/>
          <w:spacing w:val="9"/>
          <w:sz w:val="20"/>
          <w:szCs w:val="20"/>
          <w:lang w:eastAsia="zh-CN"/>
        </w:rPr>
        <w:t>人的授权委托人签署，投标人应</w:t>
      </w:r>
      <w:r>
        <w:rPr>
          <w:rFonts w:ascii="宋体" w:hAnsi="宋体" w:eastAsia="宋体" w:cs="宋体"/>
          <w:color w:val="auto"/>
          <w:spacing w:val="3"/>
          <w:sz w:val="20"/>
          <w:szCs w:val="20"/>
          <w:lang w:eastAsia="zh-CN"/>
        </w:rPr>
        <w:t xml:space="preserve"> 写全称。</w:t>
      </w:r>
    </w:p>
    <w:p w14:paraId="74DE9083">
      <w:pPr>
        <w:spacing w:before="91" w:line="227" w:lineRule="auto"/>
        <w:jc w:val="both"/>
        <w:rPr>
          <w:color w:val="auto"/>
          <w:lang w:eastAsia="zh-CN"/>
        </w:rPr>
      </w:pPr>
      <w:r>
        <w:rPr>
          <w:rFonts w:ascii="Tahoma" w:hAnsi="Tahoma" w:eastAsia="Tahoma" w:cs="Tahoma"/>
          <w:color w:val="auto"/>
          <w:spacing w:val="6"/>
          <w:sz w:val="20"/>
          <w:szCs w:val="20"/>
          <w:lang w:eastAsia="zh-CN"/>
        </w:rPr>
        <w:t xml:space="preserve">3.6.4 </w:t>
      </w:r>
      <w:r>
        <w:rPr>
          <w:rFonts w:ascii="宋体" w:hAnsi="宋体" w:eastAsia="宋体" w:cs="宋体"/>
          <w:color w:val="auto"/>
          <w:spacing w:val="6"/>
          <w:sz w:val="20"/>
          <w:szCs w:val="20"/>
          <w:lang w:eastAsia="zh-CN"/>
        </w:rPr>
        <w:t>投标文件不得涂改，若有修改错漏处，须加盖单位公章或者</w:t>
      </w:r>
      <w:r>
        <w:rPr>
          <w:rFonts w:hint="eastAsia" w:ascii="宋体" w:hAnsi="宋体" w:eastAsia="宋体" w:cs="宋体"/>
          <w:color w:val="auto"/>
          <w:spacing w:val="6"/>
          <w:sz w:val="20"/>
          <w:szCs w:val="20"/>
          <w:lang w:eastAsia="zh-CN"/>
        </w:rPr>
        <w:t>负责</w:t>
      </w:r>
      <w:r>
        <w:rPr>
          <w:rFonts w:ascii="宋体" w:hAnsi="宋体" w:eastAsia="宋体" w:cs="宋体"/>
          <w:color w:val="auto"/>
          <w:spacing w:val="6"/>
          <w:sz w:val="20"/>
          <w:szCs w:val="20"/>
          <w:lang w:eastAsia="zh-CN"/>
        </w:rPr>
        <w:t>人或授权委托人签字或盖章。</w:t>
      </w:r>
    </w:p>
    <w:p w14:paraId="0D64A281">
      <w:pPr>
        <w:spacing w:before="65" w:line="228" w:lineRule="auto"/>
        <w:ind w:left="10"/>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投标文件因字迹潦草或表达不清所引起的后果由投标人负责。</w:t>
      </w:r>
    </w:p>
    <w:p w14:paraId="65AAD90E">
      <w:pPr>
        <w:spacing w:before="93" w:line="270" w:lineRule="auto"/>
        <w:ind w:left="8" w:right="54"/>
        <w:rPr>
          <w:rFonts w:ascii="宋体" w:hAnsi="宋体" w:eastAsia="宋体" w:cs="宋体"/>
          <w:color w:val="auto"/>
          <w:sz w:val="20"/>
          <w:szCs w:val="20"/>
          <w:lang w:eastAsia="zh-CN"/>
        </w:rPr>
      </w:pPr>
      <w:r>
        <w:rPr>
          <w:rFonts w:ascii="Tahoma" w:hAnsi="Tahoma" w:eastAsia="Tahoma" w:cs="Tahoma"/>
          <w:color w:val="auto"/>
          <w:spacing w:val="4"/>
          <w:sz w:val="20"/>
          <w:szCs w:val="20"/>
          <w:lang w:eastAsia="zh-CN"/>
        </w:rPr>
        <w:t xml:space="preserve">3.6.5 </w:t>
      </w:r>
      <w:r>
        <w:rPr>
          <w:rFonts w:ascii="宋体" w:hAnsi="宋体" w:eastAsia="宋体" w:cs="宋体"/>
          <w:color w:val="auto"/>
          <w:spacing w:val="4"/>
          <w:sz w:val="20"/>
          <w:szCs w:val="20"/>
          <w:lang w:eastAsia="zh-CN"/>
        </w:rPr>
        <w:t>本项目采用不见面开标，需在开标</w:t>
      </w:r>
      <w:r>
        <w:rPr>
          <w:rFonts w:ascii="宋体" w:hAnsi="宋体" w:eastAsia="宋体" w:cs="宋体"/>
          <w:color w:val="auto"/>
          <w:spacing w:val="3"/>
          <w:sz w:val="20"/>
          <w:szCs w:val="20"/>
          <w:lang w:eastAsia="zh-CN"/>
        </w:rPr>
        <w:t>结束后提供</w:t>
      </w:r>
      <w:r>
        <w:rPr>
          <w:rFonts w:ascii="宋体" w:hAnsi="宋体" w:eastAsia="宋体" w:cs="宋体"/>
          <w:color w:val="auto"/>
          <w:spacing w:val="-31"/>
          <w:sz w:val="20"/>
          <w:szCs w:val="20"/>
          <w:lang w:eastAsia="zh-CN"/>
        </w:rPr>
        <w:t xml:space="preserve"> </w:t>
      </w:r>
      <w:r>
        <w:rPr>
          <w:rFonts w:ascii="Tahoma" w:hAnsi="Tahoma" w:eastAsia="Tahoma" w:cs="Tahoma"/>
          <w:color w:val="auto"/>
          <w:sz w:val="20"/>
          <w:szCs w:val="20"/>
          <w:lang w:eastAsia="zh-CN"/>
        </w:rPr>
        <w:t>PDF</w:t>
      </w:r>
      <w:r>
        <w:rPr>
          <w:rFonts w:ascii="Tahoma" w:hAnsi="Tahoma" w:eastAsia="Tahoma" w:cs="Tahoma"/>
          <w:color w:val="auto"/>
          <w:spacing w:val="24"/>
          <w:sz w:val="20"/>
          <w:szCs w:val="20"/>
          <w:lang w:eastAsia="zh-CN"/>
        </w:rPr>
        <w:t xml:space="preserve"> </w:t>
      </w:r>
      <w:r>
        <w:rPr>
          <w:rFonts w:ascii="宋体" w:hAnsi="宋体" w:eastAsia="宋体" w:cs="宋体"/>
          <w:color w:val="auto"/>
          <w:spacing w:val="3"/>
          <w:sz w:val="20"/>
          <w:szCs w:val="20"/>
          <w:lang w:eastAsia="zh-CN"/>
        </w:rPr>
        <w:t>电子投标文件</w:t>
      </w:r>
      <w:r>
        <w:rPr>
          <w:rFonts w:ascii="宋体" w:hAnsi="宋体" w:eastAsia="宋体" w:cs="宋体"/>
          <w:color w:val="auto"/>
          <w:spacing w:val="-29"/>
          <w:sz w:val="20"/>
          <w:szCs w:val="20"/>
          <w:lang w:eastAsia="zh-CN"/>
        </w:rPr>
        <w:t xml:space="preserve"> </w:t>
      </w:r>
      <w:r>
        <w:rPr>
          <w:rFonts w:ascii="Tahoma" w:hAnsi="Tahoma" w:eastAsia="Tahoma" w:cs="Tahoma"/>
          <w:color w:val="auto"/>
          <w:spacing w:val="3"/>
          <w:sz w:val="20"/>
          <w:szCs w:val="20"/>
          <w:lang w:eastAsia="zh-CN"/>
        </w:rPr>
        <w:t xml:space="preserve">U </w:t>
      </w:r>
      <w:r>
        <w:rPr>
          <w:rFonts w:ascii="宋体" w:hAnsi="宋体" w:eastAsia="宋体" w:cs="宋体"/>
          <w:color w:val="auto"/>
          <w:spacing w:val="3"/>
          <w:sz w:val="20"/>
          <w:szCs w:val="20"/>
          <w:lang w:eastAsia="zh-CN"/>
        </w:rPr>
        <w:t>盘</w:t>
      </w:r>
      <w:r>
        <w:rPr>
          <w:rFonts w:ascii="宋体" w:hAnsi="宋体" w:eastAsia="宋体" w:cs="宋体"/>
          <w:color w:val="auto"/>
          <w:spacing w:val="-24"/>
          <w:sz w:val="20"/>
          <w:szCs w:val="20"/>
          <w:lang w:eastAsia="zh-CN"/>
        </w:rPr>
        <w:t xml:space="preserve"> </w:t>
      </w:r>
      <w:r>
        <w:rPr>
          <w:rFonts w:ascii="Tahoma" w:hAnsi="Tahoma" w:eastAsia="Tahoma" w:cs="Tahoma"/>
          <w:color w:val="auto"/>
          <w:spacing w:val="3"/>
          <w:sz w:val="20"/>
          <w:szCs w:val="20"/>
          <w:lang w:eastAsia="zh-CN"/>
        </w:rPr>
        <w:t xml:space="preserve">1 </w:t>
      </w:r>
      <w:r>
        <w:rPr>
          <w:rFonts w:ascii="宋体" w:hAnsi="宋体" w:eastAsia="宋体" w:cs="宋体"/>
          <w:color w:val="auto"/>
          <w:spacing w:val="3"/>
          <w:sz w:val="20"/>
          <w:szCs w:val="20"/>
          <w:lang w:eastAsia="zh-CN"/>
        </w:rPr>
        <w:t>份、开标一览表</w:t>
      </w:r>
      <w:r>
        <w:rPr>
          <w:rFonts w:ascii="宋体" w:hAnsi="宋体" w:eastAsia="宋体" w:cs="宋体"/>
          <w:color w:val="auto"/>
          <w:spacing w:val="-22"/>
          <w:sz w:val="20"/>
          <w:szCs w:val="20"/>
          <w:lang w:eastAsia="zh-CN"/>
        </w:rPr>
        <w:t xml:space="preserve"> </w:t>
      </w:r>
      <w:r>
        <w:rPr>
          <w:rFonts w:ascii="Tahoma" w:hAnsi="Tahoma" w:eastAsia="Tahoma" w:cs="Tahoma"/>
          <w:color w:val="auto"/>
          <w:spacing w:val="3"/>
          <w:sz w:val="20"/>
          <w:szCs w:val="20"/>
          <w:lang w:eastAsia="zh-CN"/>
        </w:rPr>
        <w:t xml:space="preserve">1 </w:t>
      </w:r>
      <w:r>
        <w:rPr>
          <w:rFonts w:ascii="宋体" w:hAnsi="宋体" w:eastAsia="宋体" w:cs="宋体"/>
          <w:color w:val="auto"/>
          <w:spacing w:val="3"/>
          <w:sz w:val="20"/>
          <w:szCs w:val="20"/>
          <w:lang w:eastAsia="zh-CN"/>
        </w:rPr>
        <w:t>份、纸</w:t>
      </w:r>
      <w:r>
        <w:rPr>
          <w:rFonts w:ascii="宋体" w:hAnsi="宋体" w:eastAsia="宋体" w:cs="宋体"/>
          <w:color w:val="auto"/>
          <w:sz w:val="20"/>
          <w:szCs w:val="20"/>
          <w:lang w:eastAsia="zh-CN"/>
        </w:rPr>
        <w:t xml:space="preserve"> </w:t>
      </w:r>
      <w:r>
        <w:rPr>
          <w:rFonts w:ascii="宋体" w:hAnsi="宋体" w:eastAsia="宋体" w:cs="宋体"/>
          <w:color w:val="auto"/>
          <w:spacing w:val="5"/>
          <w:sz w:val="20"/>
          <w:szCs w:val="20"/>
          <w:lang w:eastAsia="zh-CN"/>
        </w:rPr>
        <w:t>质投标文件</w:t>
      </w:r>
      <w:r>
        <w:rPr>
          <w:rFonts w:ascii="宋体" w:hAnsi="宋体" w:eastAsia="宋体" w:cs="宋体"/>
          <w:color w:val="auto"/>
          <w:spacing w:val="-29"/>
          <w:sz w:val="20"/>
          <w:szCs w:val="20"/>
          <w:lang w:eastAsia="zh-CN"/>
        </w:rPr>
        <w:t xml:space="preserve"> </w:t>
      </w:r>
      <w:r>
        <w:rPr>
          <w:rFonts w:ascii="Tahoma" w:hAnsi="Tahoma" w:eastAsia="Tahoma" w:cs="Tahoma"/>
          <w:color w:val="auto"/>
          <w:spacing w:val="5"/>
          <w:sz w:val="20"/>
          <w:szCs w:val="20"/>
          <w:lang w:eastAsia="zh-CN"/>
        </w:rPr>
        <w:t xml:space="preserve">3 </w:t>
      </w:r>
      <w:r>
        <w:rPr>
          <w:rFonts w:ascii="宋体" w:hAnsi="宋体" w:eastAsia="宋体" w:cs="宋体"/>
          <w:color w:val="auto"/>
          <w:spacing w:val="5"/>
          <w:sz w:val="20"/>
          <w:szCs w:val="20"/>
          <w:lang w:eastAsia="zh-CN"/>
        </w:rPr>
        <w:t>份加盖公章。</w:t>
      </w:r>
    </w:p>
    <w:p w14:paraId="5CD32FB1">
      <w:pPr>
        <w:spacing w:before="94" w:line="228" w:lineRule="auto"/>
        <w:ind w:left="10"/>
        <w:rPr>
          <w:rFonts w:ascii="宋体" w:hAnsi="宋体" w:eastAsia="宋体" w:cs="宋体"/>
          <w:color w:val="auto"/>
          <w:sz w:val="20"/>
          <w:szCs w:val="20"/>
          <w:lang w:eastAsia="zh-CN"/>
        </w:rPr>
      </w:pPr>
      <w:r>
        <w:rPr>
          <w:rFonts w:ascii="Tahoma" w:hAnsi="Tahoma" w:eastAsia="Tahoma" w:cs="Tahoma"/>
          <w:b/>
          <w:bCs/>
          <w:color w:val="auto"/>
          <w:spacing w:val="6"/>
          <w:sz w:val="20"/>
          <w:szCs w:val="20"/>
          <w:lang w:eastAsia="zh-CN"/>
        </w:rPr>
        <w:t>3.7.</w:t>
      </w:r>
      <w:r>
        <w:rPr>
          <w:rFonts w:ascii="Tahoma" w:hAnsi="Tahoma" w:eastAsia="Tahoma" w:cs="Tahoma"/>
          <w:b/>
          <w:bCs/>
          <w:color w:val="auto"/>
          <w:spacing w:val="62"/>
          <w:sz w:val="20"/>
          <w:szCs w:val="20"/>
          <w:lang w:eastAsia="zh-CN"/>
        </w:rPr>
        <w:t xml:space="preserve"> </w:t>
      </w:r>
      <w:r>
        <w:rPr>
          <w:rFonts w:ascii="宋体" w:hAnsi="宋体" w:eastAsia="宋体" w:cs="宋体"/>
          <w:color w:val="auto"/>
          <w:spacing w:val="6"/>
          <w:sz w:val="20"/>
          <w:szCs w:val="20"/>
          <w:lang w:eastAsia="zh-CN"/>
          <w14:textOutline w14:w="3797" w14:cap="sq" w14:cmpd="sng" w14:algn="ctr">
            <w14:solidFill>
              <w14:srgbClr w14:val="000000"/>
            </w14:solidFill>
            <w14:prstDash w14:val="solid"/>
            <w14:bevel/>
          </w14:textOutline>
        </w:rPr>
        <w:t>投标文件的递交</w:t>
      </w:r>
    </w:p>
    <w:p w14:paraId="4D591E66">
      <w:pPr>
        <w:spacing w:before="94" w:line="227" w:lineRule="auto"/>
        <w:ind w:left="9"/>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 xml:space="preserve">3.7.1 </w:t>
      </w:r>
      <w:r>
        <w:rPr>
          <w:rFonts w:ascii="宋体" w:hAnsi="宋体" w:eastAsia="宋体" w:cs="宋体"/>
          <w:color w:val="auto"/>
          <w:spacing w:val="7"/>
          <w:sz w:val="20"/>
          <w:szCs w:val="20"/>
          <w:lang w:eastAsia="zh-CN"/>
        </w:rPr>
        <w:t>本项目实行网上投标，采用电子投标文件。若</w:t>
      </w: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参与投标，</w:t>
      </w:r>
      <w:r>
        <w:rPr>
          <w:rFonts w:ascii="宋体" w:hAnsi="宋体" w:eastAsia="宋体" w:cs="宋体"/>
          <w:color w:val="auto"/>
          <w:spacing w:val="-49"/>
          <w:sz w:val="20"/>
          <w:szCs w:val="20"/>
          <w:lang w:eastAsia="zh-CN"/>
        </w:rPr>
        <w:t xml:space="preserve"> </w:t>
      </w:r>
      <w:r>
        <w:rPr>
          <w:rFonts w:ascii="宋体" w:hAnsi="宋体" w:eastAsia="宋体" w:cs="宋体"/>
          <w:color w:val="auto"/>
          <w:spacing w:val="7"/>
          <w:sz w:val="20"/>
          <w:szCs w:val="20"/>
          <w:lang w:eastAsia="zh-CN"/>
        </w:rPr>
        <w:t>自行承担</w:t>
      </w:r>
      <w:r>
        <w:rPr>
          <w:rFonts w:ascii="宋体" w:hAnsi="宋体" w:eastAsia="宋体" w:cs="宋体"/>
          <w:color w:val="auto"/>
          <w:spacing w:val="6"/>
          <w:sz w:val="20"/>
          <w:szCs w:val="20"/>
          <w:lang w:eastAsia="zh-CN"/>
        </w:rPr>
        <w:t>投标一切费用。</w:t>
      </w:r>
    </w:p>
    <w:p w14:paraId="3FD13C32">
      <w:pPr>
        <w:spacing w:before="91" w:line="286" w:lineRule="auto"/>
        <w:ind w:left="9" w:right="53"/>
        <w:rPr>
          <w:rFonts w:ascii="宋体" w:hAnsi="宋体" w:eastAsia="宋体" w:cs="宋体"/>
          <w:color w:val="auto"/>
          <w:sz w:val="20"/>
          <w:szCs w:val="20"/>
          <w:lang w:eastAsia="zh-CN"/>
        </w:rPr>
      </w:pPr>
      <w:r>
        <w:rPr>
          <w:rFonts w:ascii="Tahoma" w:hAnsi="Tahoma" w:eastAsia="Tahoma" w:cs="Tahoma"/>
          <w:color w:val="auto"/>
          <w:spacing w:val="12"/>
          <w:sz w:val="20"/>
          <w:szCs w:val="20"/>
          <w:lang w:eastAsia="zh-CN"/>
        </w:rPr>
        <w:t xml:space="preserve">3.7.2 </w:t>
      </w:r>
      <w:r>
        <w:rPr>
          <w:rFonts w:ascii="宋体" w:hAnsi="宋体" w:eastAsia="宋体" w:cs="宋体"/>
          <w:color w:val="auto"/>
          <w:spacing w:val="12"/>
          <w:sz w:val="20"/>
          <w:szCs w:val="20"/>
          <w:lang w:eastAsia="zh-CN"/>
        </w:rPr>
        <w:t>各</w:t>
      </w:r>
      <w:r>
        <w:rPr>
          <w:rFonts w:hint="eastAsia" w:ascii="宋体" w:hAnsi="宋体" w:eastAsia="宋体" w:cs="宋体"/>
          <w:color w:val="auto"/>
          <w:spacing w:val="12"/>
          <w:sz w:val="20"/>
          <w:szCs w:val="20"/>
          <w:lang w:eastAsia="zh-CN"/>
        </w:rPr>
        <w:t>服务商</w:t>
      </w:r>
      <w:r>
        <w:rPr>
          <w:rFonts w:ascii="宋体" w:hAnsi="宋体" w:eastAsia="宋体" w:cs="宋体"/>
          <w:color w:val="auto"/>
          <w:spacing w:val="12"/>
          <w:sz w:val="20"/>
          <w:szCs w:val="20"/>
          <w:lang w:eastAsia="zh-CN"/>
        </w:rPr>
        <w:t>应在开标前应确保成为新疆维吾尔自</w:t>
      </w:r>
      <w:r>
        <w:rPr>
          <w:rFonts w:ascii="宋体" w:hAnsi="宋体" w:eastAsia="宋体" w:cs="宋体"/>
          <w:color w:val="auto"/>
          <w:spacing w:val="11"/>
          <w:sz w:val="20"/>
          <w:szCs w:val="20"/>
          <w:lang w:eastAsia="zh-CN"/>
        </w:rPr>
        <w:t>治区政府采购网正式注册入库</w:t>
      </w:r>
      <w:r>
        <w:rPr>
          <w:rFonts w:hint="eastAsia" w:ascii="宋体" w:hAnsi="宋体" w:eastAsia="宋体" w:cs="宋体"/>
          <w:color w:val="auto"/>
          <w:spacing w:val="11"/>
          <w:sz w:val="20"/>
          <w:szCs w:val="20"/>
          <w:lang w:eastAsia="zh-CN"/>
        </w:rPr>
        <w:t>服务商</w:t>
      </w:r>
      <w:r>
        <w:rPr>
          <w:rFonts w:ascii="宋体" w:hAnsi="宋体" w:eastAsia="宋体" w:cs="宋体"/>
          <w:color w:val="auto"/>
          <w:spacing w:val="11"/>
          <w:sz w:val="20"/>
          <w:szCs w:val="20"/>
          <w:lang w:eastAsia="zh-CN"/>
        </w:rPr>
        <w:t>，并完成</w:t>
      </w:r>
      <w:r>
        <w:rPr>
          <w:rFonts w:ascii="宋体" w:hAnsi="宋体" w:eastAsia="宋体" w:cs="宋体"/>
          <w:color w:val="auto"/>
          <w:spacing w:val="-35"/>
          <w:sz w:val="20"/>
          <w:szCs w:val="20"/>
          <w:lang w:eastAsia="zh-CN"/>
        </w:rPr>
        <w:t xml:space="preserve"> </w:t>
      </w:r>
      <w:r>
        <w:rPr>
          <w:rFonts w:ascii="Tahoma" w:hAnsi="Tahoma" w:eastAsia="Tahoma" w:cs="Tahoma"/>
          <w:color w:val="auto"/>
          <w:sz w:val="20"/>
          <w:szCs w:val="20"/>
          <w:lang w:eastAsia="zh-CN"/>
        </w:rPr>
        <w:t xml:space="preserve">CA </w:t>
      </w:r>
      <w:r>
        <w:rPr>
          <w:rFonts w:ascii="宋体" w:hAnsi="宋体" w:eastAsia="宋体" w:cs="宋体"/>
          <w:color w:val="auto"/>
          <w:spacing w:val="9"/>
          <w:sz w:val="20"/>
          <w:szCs w:val="20"/>
          <w:lang w:eastAsia="zh-CN"/>
        </w:rPr>
        <w:t>数字证书申领。因未注册入库、未办理</w:t>
      </w:r>
      <w:r>
        <w:rPr>
          <w:rFonts w:ascii="宋体" w:hAnsi="宋体" w:eastAsia="宋体" w:cs="宋体"/>
          <w:color w:val="auto"/>
          <w:spacing w:val="-38"/>
          <w:sz w:val="20"/>
          <w:szCs w:val="20"/>
          <w:lang w:eastAsia="zh-CN"/>
        </w:rPr>
        <w:t xml:space="preserve"> </w:t>
      </w:r>
      <w:r>
        <w:rPr>
          <w:rFonts w:ascii="Tahoma" w:hAnsi="Tahoma" w:eastAsia="Tahoma" w:cs="Tahoma"/>
          <w:color w:val="auto"/>
          <w:sz w:val="20"/>
          <w:szCs w:val="20"/>
          <w:lang w:eastAsia="zh-CN"/>
        </w:rPr>
        <w:t>CA</w:t>
      </w:r>
      <w:r>
        <w:rPr>
          <w:rFonts w:ascii="Tahoma" w:hAnsi="Tahoma" w:eastAsia="Tahoma" w:cs="Tahoma"/>
          <w:color w:val="auto"/>
          <w:spacing w:val="9"/>
          <w:sz w:val="20"/>
          <w:szCs w:val="20"/>
          <w:lang w:eastAsia="zh-CN"/>
        </w:rPr>
        <w:t xml:space="preserve"> </w:t>
      </w:r>
      <w:r>
        <w:rPr>
          <w:rFonts w:ascii="宋体" w:hAnsi="宋体" w:eastAsia="宋体" w:cs="宋体"/>
          <w:color w:val="auto"/>
          <w:spacing w:val="9"/>
          <w:sz w:val="20"/>
          <w:szCs w:val="20"/>
          <w:lang w:eastAsia="zh-CN"/>
        </w:rPr>
        <w:t>数字证书等原因造成无法投</w:t>
      </w:r>
      <w:r>
        <w:rPr>
          <w:rFonts w:ascii="宋体" w:hAnsi="宋体" w:eastAsia="宋体" w:cs="宋体"/>
          <w:color w:val="auto"/>
          <w:spacing w:val="8"/>
          <w:sz w:val="20"/>
          <w:szCs w:val="20"/>
          <w:lang w:eastAsia="zh-CN"/>
        </w:rPr>
        <w:t>标或投标失败等后果由</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自</w:t>
      </w:r>
      <w:r>
        <w:rPr>
          <w:rFonts w:ascii="宋体" w:hAnsi="宋体" w:eastAsia="宋体" w:cs="宋体"/>
          <w:color w:val="auto"/>
          <w:sz w:val="20"/>
          <w:szCs w:val="20"/>
          <w:lang w:eastAsia="zh-CN"/>
        </w:rPr>
        <w:t xml:space="preserve"> </w:t>
      </w:r>
      <w:r>
        <w:rPr>
          <w:rFonts w:ascii="宋体" w:hAnsi="宋体" w:eastAsia="宋体" w:cs="宋体"/>
          <w:color w:val="auto"/>
          <w:spacing w:val="4"/>
          <w:sz w:val="20"/>
          <w:szCs w:val="20"/>
          <w:lang w:eastAsia="zh-CN"/>
        </w:rPr>
        <w:t>行承担。</w:t>
      </w:r>
    </w:p>
    <w:p w14:paraId="647A6A3F">
      <w:pPr>
        <w:spacing w:before="90" w:line="286" w:lineRule="auto"/>
        <w:ind w:left="6" w:firstLine="3"/>
        <w:rPr>
          <w:rFonts w:ascii="Tahoma" w:hAnsi="Tahoma" w:eastAsia="Tahoma" w:cs="Tahoma"/>
          <w:color w:val="auto"/>
          <w:sz w:val="20"/>
          <w:szCs w:val="20"/>
          <w:lang w:eastAsia="zh-CN"/>
        </w:rPr>
      </w:pPr>
      <w:r>
        <w:rPr>
          <w:rFonts w:ascii="Tahoma" w:hAnsi="Tahoma" w:eastAsia="Tahoma" w:cs="Tahoma"/>
          <w:color w:val="auto"/>
          <w:spacing w:val="7"/>
          <w:sz w:val="20"/>
          <w:szCs w:val="20"/>
          <w:lang w:eastAsia="zh-CN"/>
        </w:rPr>
        <w:t xml:space="preserve">3.7.3 </w:t>
      </w:r>
      <w:r>
        <w:rPr>
          <w:rFonts w:ascii="宋体" w:hAnsi="宋体" w:eastAsia="宋体" w:cs="宋体"/>
          <w:color w:val="auto"/>
          <w:spacing w:val="7"/>
          <w:sz w:val="20"/>
          <w:szCs w:val="20"/>
          <w:lang w:eastAsia="zh-CN"/>
        </w:rPr>
        <w:t>本项目为电子招投标，投标人需要使用</w:t>
      </w:r>
      <w:r>
        <w:rPr>
          <w:rFonts w:ascii="宋体" w:hAnsi="宋体" w:eastAsia="宋体" w:cs="宋体"/>
          <w:color w:val="auto"/>
          <w:spacing w:val="-39"/>
          <w:sz w:val="20"/>
          <w:szCs w:val="20"/>
          <w:lang w:eastAsia="zh-CN"/>
        </w:rPr>
        <w:t xml:space="preserve"> </w:t>
      </w:r>
      <w:r>
        <w:rPr>
          <w:rFonts w:ascii="Tahoma" w:hAnsi="Tahoma" w:eastAsia="Tahoma" w:cs="Tahoma"/>
          <w:color w:val="auto"/>
          <w:sz w:val="20"/>
          <w:szCs w:val="20"/>
          <w:lang w:eastAsia="zh-CN"/>
        </w:rPr>
        <w:t>CA</w:t>
      </w:r>
      <w:r>
        <w:rPr>
          <w:rFonts w:ascii="Tahoma" w:hAnsi="Tahoma" w:eastAsia="Tahoma" w:cs="Tahoma"/>
          <w:color w:val="auto"/>
          <w:spacing w:val="7"/>
          <w:sz w:val="20"/>
          <w:szCs w:val="20"/>
          <w:lang w:eastAsia="zh-CN"/>
        </w:rPr>
        <w:t xml:space="preserve"> </w:t>
      </w:r>
      <w:r>
        <w:rPr>
          <w:rFonts w:ascii="宋体" w:hAnsi="宋体" w:eastAsia="宋体" w:cs="宋体"/>
          <w:color w:val="auto"/>
          <w:spacing w:val="7"/>
          <w:sz w:val="20"/>
          <w:szCs w:val="20"/>
          <w:lang w:eastAsia="zh-CN"/>
        </w:rPr>
        <w:t>加密设备，有意向参与新疆区域</w:t>
      </w:r>
      <w:r>
        <w:rPr>
          <w:rFonts w:ascii="宋体" w:hAnsi="宋体" w:eastAsia="宋体" w:cs="宋体"/>
          <w:color w:val="auto"/>
          <w:spacing w:val="6"/>
          <w:sz w:val="20"/>
          <w:szCs w:val="20"/>
          <w:lang w:eastAsia="zh-CN"/>
        </w:rPr>
        <w:t>电子开评标的</w:t>
      </w:r>
      <w:r>
        <w:rPr>
          <w:rFonts w:hint="eastAsia" w:ascii="宋体" w:hAnsi="宋体" w:eastAsia="宋体" w:cs="宋体"/>
          <w:color w:val="auto"/>
          <w:spacing w:val="6"/>
          <w:sz w:val="20"/>
          <w:szCs w:val="20"/>
          <w:lang w:eastAsia="zh-CN"/>
        </w:rPr>
        <w:t>服务商</w:t>
      </w:r>
      <w:r>
        <w:rPr>
          <w:rFonts w:ascii="宋体" w:hAnsi="宋体" w:eastAsia="宋体" w:cs="宋体"/>
          <w:color w:val="auto"/>
          <w:spacing w:val="6"/>
          <w:sz w:val="20"/>
          <w:szCs w:val="20"/>
          <w:lang w:eastAsia="zh-CN"/>
        </w:rPr>
        <w:t>，</w:t>
      </w:r>
      <w:r>
        <w:rPr>
          <w:rFonts w:ascii="宋体" w:hAnsi="宋体" w:eastAsia="宋体" w:cs="宋体"/>
          <w:color w:val="auto"/>
          <w:sz w:val="20"/>
          <w:szCs w:val="20"/>
          <w:lang w:eastAsia="zh-CN"/>
        </w:rPr>
        <w:t xml:space="preserve"> </w:t>
      </w:r>
      <w:r>
        <w:rPr>
          <w:rFonts w:ascii="宋体" w:hAnsi="宋体" w:eastAsia="宋体" w:cs="宋体"/>
          <w:color w:val="auto"/>
          <w:spacing w:val="10"/>
          <w:sz w:val="20"/>
          <w:szCs w:val="20"/>
          <w:lang w:eastAsia="zh-CN"/>
        </w:rPr>
        <w:t>请访问新疆数字证书认证中心官方网站（</w:t>
      </w:r>
      <w:r>
        <w:rPr>
          <w:color w:val="auto"/>
        </w:rPr>
        <w:fldChar w:fldCharType="begin"/>
      </w:r>
      <w:r>
        <w:rPr>
          <w:color w:val="auto"/>
        </w:rPr>
        <w:instrText xml:space="preserve"> HYPERLINK "https://www.xjca.com.cn/" </w:instrText>
      </w:r>
      <w:r>
        <w:rPr>
          <w:color w:val="auto"/>
        </w:rPr>
        <w:fldChar w:fldCharType="separate"/>
      </w:r>
      <w:r>
        <w:rPr>
          <w:rFonts w:ascii="Tahoma" w:hAnsi="Tahoma" w:eastAsia="Tahoma" w:cs="Tahoma"/>
          <w:color w:val="auto"/>
          <w:sz w:val="20"/>
          <w:szCs w:val="20"/>
          <w:lang w:eastAsia="zh-CN"/>
        </w:rPr>
        <w:t>https</w:t>
      </w:r>
      <w:r>
        <w:rPr>
          <w:rFonts w:ascii="Tahoma" w:hAnsi="Tahoma" w:eastAsia="Tahoma" w:cs="Tahoma"/>
          <w:color w:val="auto"/>
          <w:spacing w:val="10"/>
          <w:sz w:val="20"/>
          <w:szCs w:val="20"/>
          <w:lang w:eastAsia="zh-CN"/>
        </w:rPr>
        <w:t>:/</w:t>
      </w:r>
      <w:r>
        <w:rPr>
          <w:rFonts w:ascii="Tahoma" w:hAnsi="Tahoma" w:eastAsia="Tahoma" w:cs="Tahoma"/>
          <w:color w:val="auto"/>
          <w:spacing w:val="9"/>
          <w:sz w:val="20"/>
          <w:szCs w:val="20"/>
          <w:lang w:eastAsia="zh-CN"/>
        </w:rPr>
        <w:t>/</w:t>
      </w:r>
      <w:r>
        <w:rPr>
          <w:rFonts w:ascii="Tahoma" w:hAnsi="Tahoma" w:eastAsia="Tahoma" w:cs="Tahoma"/>
          <w:color w:val="auto"/>
          <w:sz w:val="20"/>
          <w:szCs w:val="20"/>
          <w:lang w:eastAsia="zh-CN"/>
        </w:rPr>
        <w:t>www</w:t>
      </w:r>
      <w:r>
        <w:rPr>
          <w:rFonts w:ascii="Tahoma" w:hAnsi="Tahoma" w:eastAsia="Tahoma" w:cs="Tahoma"/>
          <w:color w:val="auto"/>
          <w:spacing w:val="9"/>
          <w:sz w:val="20"/>
          <w:szCs w:val="20"/>
          <w:lang w:eastAsia="zh-CN"/>
        </w:rPr>
        <w:t>.</w:t>
      </w:r>
      <w:r>
        <w:rPr>
          <w:rFonts w:ascii="Tahoma" w:hAnsi="Tahoma" w:eastAsia="Tahoma" w:cs="Tahoma"/>
          <w:color w:val="auto"/>
          <w:sz w:val="20"/>
          <w:szCs w:val="20"/>
          <w:lang w:eastAsia="zh-CN"/>
        </w:rPr>
        <w:t>xjca</w:t>
      </w:r>
      <w:r>
        <w:rPr>
          <w:rFonts w:ascii="Tahoma" w:hAnsi="Tahoma" w:eastAsia="Tahoma" w:cs="Tahoma"/>
          <w:color w:val="auto"/>
          <w:spacing w:val="9"/>
          <w:sz w:val="20"/>
          <w:szCs w:val="20"/>
          <w:lang w:eastAsia="zh-CN"/>
        </w:rPr>
        <w:t>.</w:t>
      </w:r>
      <w:r>
        <w:rPr>
          <w:rFonts w:ascii="Tahoma" w:hAnsi="Tahoma" w:eastAsia="Tahoma" w:cs="Tahoma"/>
          <w:color w:val="auto"/>
          <w:sz w:val="20"/>
          <w:szCs w:val="20"/>
          <w:lang w:eastAsia="zh-CN"/>
        </w:rPr>
        <w:t>com</w:t>
      </w:r>
      <w:r>
        <w:rPr>
          <w:rFonts w:ascii="Tahoma" w:hAnsi="Tahoma" w:eastAsia="Tahoma" w:cs="Tahoma"/>
          <w:color w:val="auto"/>
          <w:spacing w:val="9"/>
          <w:sz w:val="20"/>
          <w:szCs w:val="20"/>
          <w:lang w:eastAsia="zh-CN"/>
        </w:rPr>
        <w:t>.</w:t>
      </w:r>
      <w:r>
        <w:rPr>
          <w:rFonts w:ascii="Tahoma" w:hAnsi="Tahoma" w:eastAsia="Tahoma" w:cs="Tahoma"/>
          <w:color w:val="auto"/>
          <w:sz w:val="20"/>
          <w:szCs w:val="20"/>
          <w:lang w:eastAsia="zh-CN"/>
        </w:rPr>
        <w:t>cn</w:t>
      </w:r>
      <w:r>
        <w:rPr>
          <w:rFonts w:ascii="Tahoma" w:hAnsi="Tahoma" w:eastAsia="Tahoma" w:cs="Tahoma"/>
          <w:color w:val="auto"/>
          <w:spacing w:val="9"/>
          <w:sz w:val="20"/>
          <w:szCs w:val="20"/>
          <w:lang w:eastAsia="zh-CN"/>
        </w:rPr>
        <w:t>/</w:t>
      </w:r>
      <w:r>
        <w:rPr>
          <w:rFonts w:ascii="Tahoma" w:hAnsi="Tahoma" w:eastAsia="Tahoma" w:cs="Tahoma"/>
          <w:color w:val="auto"/>
          <w:spacing w:val="9"/>
          <w:sz w:val="20"/>
          <w:szCs w:val="20"/>
          <w:lang w:eastAsia="zh-CN"/>
        </w:rPr>
        <w:fldChar w:fldCharType="end"/>
      </w:r>
      <w:r>
        <w:rPr>
          <w:rFonts w:ascii="宋体" w:hAnsi="宋体" w:eastAsia="宋体" w:cs="宋体"/>
          <w:color w:val="auto"/>
          <w:spacing w:val="9"/>
          <w:sz w:val="20"/>
          <w:szCs w:val="20"/>
          <w:lang w:eastAsia="zh-CN"/>
        </w:rPr>
        <w:t>）或下载；</w:t>
      </w:r>
      <w:r>
        <w:rPr>
          <w:rFonts w:ascii="宋体" w:hAnsi="宋体" w:eastAsia="宋体" w:cs="宋体"/>
          <w:color w:val="auto"/>
          <w:spacing w:val="-78"/>
          <w:sz w:val="20"/>
          <w:szCs w:val="20"/>
          <w:lang w:eastAsia="zh-CN"/>
        </w:rPr>
        <w:t xml:space="preserve"> </w:t>
      </w:r>
      <w:r>
        <w:rPr>
          <w:rFonts w:ascii="宋体" w:hAnsi="宋体" w:eastAsia="宋体" w:cs="宋体"/>
          <w:color w:val="auto"/>
          <w:spacing w:val="9"/>
          <w:sz w:val="20"/>
          <w:szCs w:val="20"/>
          <w:lang w:eastAsia="zh-CN"/>
        </w:rPr>
        <w:t>“新疆政务通</w:t>
      </w:r>
      <w:r>
        <w:rPr>
          <w:rFonts w:ascii="宋体" w:hAnsi="宋体" w:eastAsia="宋体" w:cs="宋体"/>
          <w:color w:val="auto"/>
          <w:spacing w:val="-70"/>
          <w:sz w:val="20"/>
          <w:szCs w:val="20"/>
          <w:lang w:eastAsia="zh-CN"/>
        </w:rPr>
        <w:t xml:space="preserve"> </w:t>
      </w:r>
      <w:r>
        <w:rPr>
          <w:rFonts w:ascii="宋体" w:hAnsi="宋体" w:eastAsia="宋体" w:cs="宋体"/>
          <w:color w:val="auto"/>
          <w:spacing w:val="9"/>
          <w:sz w:val="20"/>
          <w:szCs w:val="20"/>
          <w:lang w:eastAsia="zh-CN"/>
        </w:rPr>
        <w:t>”</w:t>
      </w:r>
      <w:r>
        <w:rPr>
          <w:rFonts w:ascii="Tahoma" w:hAnsi="Tahoma" w:eastAsia="Tahoma" w:cs="Tahoma"/>
          <w:color w:val="auto"/>
          <w:sz w:val="20"/>
          <w:szCs w:val="20"/>
          <w:lang w:eastAsia="zh-CN"/>
        </w:rPr>
        <w:t>APP</w:t>
      </w:r>
      <w:r>
        <w:rPr>
          <w:rFonts w:ascii="Tahoma" w:hAnsi="Tahoma" w:eastAsia="Tahoma" w:cs="Tahoma"/>
          <w:color w:val="auto"/>
          <w:spacing w:val="35"/>
          <w:w w:val="101"/>
          <w:sz w:val="20"/>
          <w:szCs w:val="20"/>
          <w:lang w:eastAsia="zh-CN"/>
        </w:rPr>
        <w:t xml:space="preserve"> </w:t>
      </w:r>
      <w:r>
        <w:rPr>
          <w:rFonts w:ascii="宋体" w:hAnsi="宋体" w:eastAsia="宋体" w:cs="宋体"/>
          <w:color w:val="auto"/>
          <w:spacing w:val="9"/>
          <w:sz w:val="20"/>
          <w:szCs w:val="20"/>
          <w:lang w:eastAsia="zh-CN"/>
        </w:rPr>
        <w:t>自</w:t>
      </w:r>
      <w:r>
        <w:rPr>
          <w:rFonts w:ascii="宋体" w:hAnsi="宋体" w:eastAsia="宋体" w:cs="宋体"/>
          <w:color w:val="auto"/>
          <w:sz w:val="20"/>
          <w:szCs w:val="20"/>
          <w:lang w:eastAsia="zh-CN"/>
        </w:rPr>
        <w:t xml:space="preserve"> </w:t>
      </w:r>
      <w:r>
        <w:rPr>
          <w:rFonts w:ascii="宋体" w:hAnsi="宋体" w:eastAsia="宋体" w:cs="宋体"/>
          <w:color w:val="auto"/>
          <w:spacing w:val="7"/>
          <w:sz w:val="20"/>
          <w:szCs w:val="20"/>
          <w:lang w:eastAsia="zh-CN"/>
        </w:rPr>
        <w:t>行进行申领。如需咨询，请联系新疆</w:t>
      </w:r>
      <w:r>
        <w:rPr>
          <w:rFonts w:ascii="宋体" w:hAnsi="宋体" w:eastAsia="宋体" w:cs="宋体"/>
          <w:color w:val="auto"/>
          <w:spacing w:val="-33"/>
          <w:sz w:val="20"/>
          <w:szCs w:val="20"/>
          <w:lang w:eastAsia="zh-CN"/>
        </w:rPr>
        <w:t xml:space="preserve"> </w:t>
      </w:r>
      <w:r>
        <w:rPr>
          <w:rFonts w:ascii="Tahoma" w:hAnsi="Tahoma" w:eastAsia="Tahoma" w:cs="Tahoma"/>
          <w:color w:val="auto"/>
          <w:sz w:val="20"/>
          <w:szCs w:val="20"/>
          <w:lang w:eastAsia="zh-CN"/>
        </w:rPr>
        <w:t>CA</w:t>
      </w:r>
      <w:r>
        <w:rPr>
          <w:rFonts w:ascii="Tahoma" w:hAnsi="Tahoma" w:eastAsia="Tahoma" w:cs="Tahoma"/>
          <w:color w:val="auto"/>
          <w:spacing w:val="7"/>
          <w:sz w:val="20"/>
          <w:szCs w:val="20"/>
          <w:lang w:eastAsia="zh-CN"/>
        </w:rPr>
        <w:t xml:space="preserve"> </w:t>
      </w:r>
      <w:r>
        <w:rPr>
          <w:rFonts w:ascii="宋体" w:hAnsi="宋体" w:eastAsia="宋体" w:cs="宋体"/>
          <w:color w:val="auto"/>
          <w:spacing w:val="7"/>
          <w:sz w:val="20"/>
          <w:szCs w:val="20"/>
          <w:lang w:eastAsia="zh-CN"/>
        </w:rPr>
        <w:t>服务热线</w:t>
      </w:r>
      <w:r>
        <w:rPr>
          <w:rFonts w:ascii="宋体" w:hAnsi="宋体" w:eastAsia="宋体" w:cs="宋体"/>
          <w:color w:val="auto"/>
          <w:spacing w:val="-39"/>
          <w:sz w:val="20"/>
          <w:szCs w:val="20"/>
          <w:lang w:eastAsia="zh-CN"/>
        </w:rPr>
        <w:t xml:space="preserve"> </w:t>
      </w:r>
      <w:r>
        <w:rPr>
          <w:rFonts w:ascii="Tahoma" w:hAnsi="Tahoma" w:eastAsia="Tahoma" w:cs="Tahoma"/>
          <w:color w:val="auto"/>
          <w:spacing w:val="7"/>
          <w:sz w:val="20"/>
          <w:szCs w:val="20"/>
          <w:lang w:eastAsia="zh-CN"/>
        </w:rPr>
        <w:t>0991-2819290</w:t>
      </w:r>
    </w:p>
    <w:p w14:paraId="14F2AB57">
      <w:pPr>
        <w:spacing w:before="94" w:line="292" w:lineRule="auto"/>
        <w:ind w:left="9" w:right="54"/>
        <w:rPr>
          <w:rFonts w:ascii="宋体" w:hAnsi="宋体" w:eastAsia="宋体" w:cs="宋体"/>
          <w:color w:val="auto"/>
          <w:sz w:val="20"/>
          <w:szCs w:val="20"/>
          <w:lang w:eastAsia="zh-CN"/>
        </w:rPr>
      </w:pPr>
      <w:r>
        <w:rPr>
          <w:rFonts w:ascii="Tahoma" w:hAnsi="Tahoma" w:eastAsia="Tahoma" w:cs="Tahoma"/>
          <w:color w:val="auto"/>
          <w:spacing w:val="10"/>
          <w:sz w:val="20"/>
          <w:szCs w:val="20"/>
          <w:lang w:eastAsia="zh-CN"/>
        </w:rPr>
        <w:t xml:space="preserve">3.7.4 </w:t>
      </w:r>
      <w:r>
        <w:rPr>
          <w:rFonts w:hint="eastAsia" w:ascii="宋体" w:hAnsi="宋体" w:eastAsia="宋体" w:cs="宋体"/>
          <w:color w:val="auto"/>
          <w:spacing w:val="10"/>
          <w:sz w:val="20"/>
          <w:szCs w:val="20"/>
          <w:lang w:eastAsia="zh-CN"/>
        </w:rPr>
        <w:t>服务商</w:t>
      </w:r>
      <w:r>
        <w:rPr>
          <w:rFonts w:ascii="宋体" w:hAnsi="宋体" w:eastAsia="宋体" w:cs="宋体"/>
          <w:color w:val="auto"/>
          <w:spacing w:val="10"/>
          <w:sz w:val="20"/>
          <w:szCs w:val="20"/>
          <w:lang w:eastAsia="zh-CN"/>
        </w:rPr>
        <w:t>将政采云电子交易客户端下载、安装完成后，可通过账号密码或</w:t>
      </w:r>
      <w:r>
        <w:rPr>
          <w:rFonts w:ascii="宋体" w:hAnsi="宋体" w:eastAsia="宋体" w:cs="宋体"/>
          <w:color w:val="auto"/>
          <w:spacing w:val="-35"/>
          <w:sz w:val="20"/>
          <w:szCs w:val="20"/>
          <w:lang w:eastAsia="zh-CN"/>
        </w:rPr>
        <w:t xml:space="preserve"> </w:t>
      </w:r>
      <w:r>
        <w:rPr>
          <w:rFonts w:ascii="Tahoma" w:hAnsi="Tahoma" w:eastAsia="Tahoma" w:cs="Tahoma"/>
          <w:color w:val="auto"/>
          <w:sz w:val="20"/>
          <w:szCs w:val="20"/>
          <w:lang w:eastAsia="zh-CN"/>
        </w:rPr>
        <w:t>CA</w:t>
      </w:r>
      <w:r>
        <w:rPr>
          <w:rFonts w:ascii="Tahoma" w:hAnsi="Tahoma" w:eastAsia="Tahoma" w:cs="Tahoma"/>
          <w:color w:val="auto"/>
          <w:spacing w:val="10"/>
          <w:sz w:val="20"/>
          <w:szCs w:val="20"/>
          <w:lang w:eastAsia="zh-CN"/>
        </w:rPr>
        <w:t xml:space="preserve"> </w:t>
      </w:r>
      <w:r>
        <w:rPr>
          <w:rFonts w:ascii="宋体" w:hAnsi="宋体" w:eastAsia="宋体" w:cs="宋体"/>
          <w:color w:val="auto"/>
          <w:spacing w:val="10"/>
          <w:sz w:val="20"/>
          <w:szCs w:val="20"/>
          <w:lang w:eastAsia="zh-CN"/>
        </w:rPr>
        <w:t>登录客户端进行</w:t>
      </w:r>
      <w:r>
        <w:rPr>
          <w:rFonts w:ascii="宋体" w:hAnsi="宋体" w:eastAsia="宋体" w:cs="宋体"/>
          <w:color w:val="auto"/>
          <w:spacing w:val="9"/>
          <w:sz w:val="20"/>
          <w:szCs w:val="20"/>
          <w:lang w:eastAsia="zh-CN"/>
        </w:rPr>
        <w:t>投标</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文件制作。在使用政采云投标客户端时，建议使</w:t>
      </w:r>
      <w:r>
        <w:rPr>
          <w:rFonts w:ascii="宋体" w:hAnsi="宋体" w:eastAsia="宋体" w:cs="宋体"/>
          <w:color w:val="auto"/>
          <w:spacing w:val="7"/>
          <w:sz w:val="20"/>
          <w:szCs w:val="20"/>
          <w:lang w:eastAsia="zh-CN"/>
        </w:rPr>
        <w:t>用</w:t>
      </w:r>
      <w:r>
        <w:rPr>
          <w:rFonts w:ascii="宋体" w:hAnsi="宋体" w:eastAsia="宋体" w:cs="宋体"/>
          <w:color w:val="auto"/>
          <w:spacing w:val="-43"/>
          <w:sz w:val="20"/>
          <w:szCs w:val="20"/>
          <w:lang w:eastAsia="zh-CN"/>
        </w:rPr>
        <w:t xml:space="preserve"> </w:t>
      </w:r>
      <w:r>
        <w:rPr>
          <w:rFonts w:ascii="Tahoma" w:hAnsi="Tahoma" w:eastAsia="Tahoma" w:cs="Tahoma"/>
          <w:color w:val="auto"/>
          <w:sz w:val="20"/>
          <w:szCs w:val="20"/>
          <w:lang w:eastAsia="zh-CN"/>
        </w:rPr>
        <w:t>WIN</w:t>
      </w:r>
      <w:r>
        <w:rPr>
          <w:rFonts w:ascii="Tahoma" w:hAnsi="Tahoma" w:eastAsia="Tahoma" w:cs="Tahoma"/>
          <w:color w:val="auto"/>
          <w:spacing w:val="7"/>
          <w:sz w:val="20"/>
          <w:szCs w:val="20"/>
          <w:lang w:eastAsia="zh-CN"/>
        </w:rPr>
        <w:t xml:space="preserve">7 </w:t>
      </w:r>
      <w:r>
        <w:rPr>
          <w:rFonts w:ascii="宋体" w:hAnsi="宋体" w:eastAsia="宋体" w:cs="宋体"/>
          <w:color w:val="auto"/>
          <w:spacing w:val="7"/>
          <w:sz w:val="20"/>
          <w:szCs w:val="20"/>
          <w:lang w:eastAsia="zh-CN"/>
        </w:rPr>
        <w:t>及以上操作系统。客户端请至新疆政府采购网</w:t>
      </w:r>
      <w:r>
        <w:rPr>
          <w:rFonts w:ascii="宋体" w:hAnsi="宋体" w:eastAsia="宋体" w:cs="宋体"/>
          <w:color w:val="auto"/>
          <w:sz w:val="20"/>
          <w:szCs w:val="20"/>
          <w:lang w:eastAsia="zh-CN"/>
        </w:rPr>
        <w:t xml:space="preserve"> </w:t>
      </w:r>
      <w:r>
        <w:rPr>
          <w:rFonts w:ascii="宋体" w:hAnsi="宋体" w:eastAsia="宋体" w:cs="宋体"/>
          <w:color w:val="auto"/>
          <w:spacing w:val="11"/>
          <w:sz w:val="20"/>
          <w:szCs w:val="20"/>
          <w:lang w:eastAsia="zh-CN"/>
        </w:rPr>
        <w:t>（</w:t>
      </w:r>
      <w:r>
        <w:rPr>
          <w:color w:val="auto"/>
        </w:rPr>
        <w:fldChar w:fldCharType="begin"/>
      </w:r>
      <w:r>
        <w:rPr>
          <w:color w:val="auto"/>
        </w:rPr>
        <w:instrText xml:space="preserve"> HYPERLINK "https://www.xjca.com.cn/" </w:instrText>
      </w:r>
      <w:r>
        <w:rPr>
          <w:color w:val="auto"/>
        </w:rPr>
        <w:fldChar w:fldCharType="separate"/>
      </w:r>
      <w:r>
        <w:rPr>
          <w:rFonts w:ascii="Tahoma" w:hAnsi="Tahoma" w:eastAsia="Tahoma" w:cs="Tahoma"/>
          <w:color w:val="auto"/>
          <w:sz w:val="20"/>
          <w:szCs w:val="20"/>
          <w:lang w:eastAsia="zh-CN"/>
        </w:rPr>
        <w:t>https</w:t>
      </w:r>
      <w:r>
        <w:rPr>
          <w:rFonts w:ascii="Tahoma" w:hAnsi="Tahoma" w:eastAsia="Tahoma" w:cs="Tahoma"/>
          <w:color w:val="auto"/>
          <w:spacing w:val="11"/>
          <w:sz w:val="20"/>
          <w:szCs w:val="20"/>
          <w:lang w:eastAsia="zh-CN"/>
        </w:rPr>
        <w:t>://</w:t>
      </w:r>
      <w:r>
        <w:rPr>
          <w:rFonts w:ascii="Tahoma" w:hAnsi="Tahoma" w:eastAsia="Tahoma" w:cs="Tahoma"/>
          <w:color w:val="auto"/>
          <w:sz w:val="20"/>
          <w:szCs w:val="20"/>
          <w:lang w:eastAsia="zh-CN"/>
        </w:rPr>
        <w:t>www</w:t>
      </w:r>
      <w:r>
        <w:rPr>
          <w:rFonts w:ascii="Tahoma" w:hAnsi="Tahoma" w:eastAsia="Tahoma" w:cs="Tahoma"/>
          <w:color w:val="auto"/>
          <w:spacing w:val="11"/>
          <w:sz w:val="20"/>
          <w:szCs w:val="20"/>
          <w:lang w:eastAsia="zh-CN"/>
        </w:rPr>
        <w:t>.</w:t>
      </w:r>
      <w:r>
        <w:rPr>
          <w:rFonts w:ascii="Tahoma" w:hAnsi="Tahoma" w:eastAsia="Tahoma" w:cs="Tahoma"/>
          <w:color w:val="auto"/>
          <w:sz w:val="20"/>
          <w:szCs w:val="20"/>
          <w:lang w:eastAsia="zh-CN"/>
        </w:rPr>
        <w:t>xjca</w:t>
      </w:r>
      <w:r>
        <w:rPr>
          <w:rFonts w:ascii="Tahoma" w:hAnsi="Tahoma" w:eastAsia="Tahoma" w:cs="Tahoma"/>
          <w:color w:val="auto"/>
          <w:spacing w:val="11"/>
          <w:sz w:val="20"/>
          <w:szCs w:val="20"/>
          <w:lang w:eastAsia="zh-CN"/>
        </w:rPr>
        <w:t>.</w:t>
      </w:r>
      <w:r>
        <w:rPr>
          <w:rFonts w:ascii="Tahoma" w:hAnsi="Tahoma" w:eastAsia="Tahoma" w:cs="Tahoma"/>
          <w:color w:val="auto"/>
          <w:sz w:val="20"/>
          <w:szCs w:val="20"/>
          <w:lang w:eastAsia="zh-CN"/>
        </w:rPr>
        <w:t>com</w:t>
      </w:r>
      <w:r>
        <w:rPr>
          <w:rFonts w:ascii="Tahoma" w:hAnsi="Tahoma" w:eastAsia="Tahoma" w:cs="Tahoma"/>
          <w:color w:val="auto"/>
          <w:spacing w:val="11"/>
          <w:sz w:val="20"/>
          <w:szCs w:val="20"/>
          <w:lang w:eastAsia="zh-CN"/>
        </w:rPr>
        <w:t>.</w:t>
      </w:r>
      <w:r>
        <w:rPr>
          <w:rFonts w:ascii="Tahoma" w:hAnsi="Tahoma" w:eastAsia="Tahoma" w:cs="Tahoma"/>
          <w:color w:val="auto"/>
          <w:sz w:val="20"/>
          <w:szCs w:val="20"/>
          <w:lang w:eastAsia="zh-CN"/>
        </w:rPr>
        <w:t>cn</w:t>
      </w:r>
      <w:r>
        <w:rPr>
          <w:rFonts w:ascii="Tahoma" w:hAnsi="Tahoma" w:eastAsia="Tahoma" w:cs="Tahoma"/>
          <w:color w:val="auto"/>
          <w:spacing w:val="11"/>
          <w:sz w:val="20"/>
          <w:szCs w:val="20"/>
          <w:lang w:eastAsia="zh-CN"/>
        </w:rPr>
        <w:t>/</w:t>
      </w:r>
      <w:r>
        <w:rPr>
          <w:rFonts w:ascii="Tahoma" w:hAnsi="Tahoma" w:eastAsia="Tahoma" w:cs="Tahoma"/>
          <w:color w:val="auto"/>
          <w:spacing w:val="11"/>
          <w:sz w:val="20"/>
          <w:szCs w:val="20"/>
          <w:lang w:eastAsia="zh-CN"/>
        </w:rPr>
        <w:fldChar w:fldCharType="end"/>
      </w:r>
      <w:r>
        <w:rPr>
          <w:rFonts w:ascii="宋体" w:hAnsi="宋体" w:eastAsia="宋体" w:cs="宋体"/>
          <w:color w:val="auto"/>
          <w:spacing w:val="11"/>
          <w:sz w:val="20"/>
          <w:szCs w:val="20"/>
          <w:lang w:eastAsia="zh-CN"/>
        </w:rPr>
        <w:t>）下载专区查看，如有问题可拨打政采云客户服务</w:t>
      </w:r>
      <w:r>
        <w:rPr>
          <w:rFonts w:ascii="宋体" w:hAnsi="宋体" w:eastAsia="宋体" w:cs="宋体"/>
          <w:color w:val="auto"/>
          <w:spacing w:val="10"/>
          <w:sz w:val="20"/>
          <w:szCs w:val="20"/>
          <w:lang w:eastAsia="zh-CN"/>
        </w:rPr>
        <w:t>热线</w:t>
      </w:r>
      <w:r>
        <w:rPr>
          <w:rFonts w:ascii="宋体" w:hAnsi="宋体" w:eastAsia="宋体" w:cs="宋体"/>
          <w:color w:val="auto"/>
          <w:spacing w:val="-41"/>
          <w:sz w:val="20"/>
          <w:szCs w:val="20"/>
          <w:lang w:eastAsia="zh-CN"/>
        </w:rPr>
        <w:t xml:space="preserve"> </w:t>
      </w:r>
      <w:r>
        <w:rPr>
          <w:rFonts w:hint="eastAsia" w:ascii="Tahoma" w:hAnsi="Tahoma" w:eastAsia="Tahoma" w:cs="Tahoma"/>
          <w:color w:val="auto"/>
          <w:spacing w:val="10"/>
          <w:sz w:val="20"/>
          <w:szCs w:val="20"/>
          <w:lang w:eastAsia="zh-CN"/>
        </w:rPr>
        <w:t>95763</w:t>
      </w:r>
      <w:r>
        <w:rPr>
          <w:rFonts w:ascii="Tahoma" w:hAnsi="Tahoma" w:eastAsia="Tahoma" w:cs="Tahoma"/>
          <w:color w:val="auto"/>
          <w:spacing w:val="10"/>
          <w:sz w:val="20"/>
          <w:szCs w:val="20"/>
          <w:lang w:eastAsia="zh-CN"/>
        </w:rPr>
        <w:t xml:space="preserve"> </w:t>
      </w:r>
      <w:r>
        <w:rPr>
          <w:rFonts w:ascii="宋体" w:hAnsi="宋体" w:eastAsia="宋体" w:cs="宋体"/>
          <w:color w:val="auto"/>
          <w:spacing w:val="10"/>
          <w:sz w:val="20"/>
          <w:szCs w:val="20"/>
          <w:lang w:eastAsia="zh-CN"/>
        </w:rPr>
        <w:t>进</w:t>
      </w:r>
      <w:r>
        <w:rPr>
          <w:rFonts w:ascii="宋体" w:hAnsi="宋体" w:eastAsia="宋体" w:cs="宋体"/>
          <w:color w:val="auto"/>
          <w:sz w:val="20"/>
          <w:szCs w:val="20"/>
          <w:lang w:eastAsia="zh-CN"/>
        </w:rPr>
        <w:t xml:space="preserve"> </w:t>
      </w:r>
      <w:r>
        <w:rPr>
          <w:rFonts w:ascii="宋体" w:hAnsi="宋体" w:eastAsia="宋体" w:cs="宋体"/>
          <w:color w:val="auto"/>
          <w:spacing w:val="4"/>
          <w:sz w:val="20"/>
          <w:szCs w:val="20"/>
          <w:lang w:eastAsia="zh-CN"/>
        </w:rPr>
        <w:t>行咨询。</w:t>
      </w:r>
    </w:p>
    <w:p w14:paraId="0174423C">
      <w:pPr>
        <w:spacing w:before="93" w:line="285" w:lineRule="auto"/>
        <w:ind w:left="9" w:right="54"/>
        <w:rPr>
          <w:rFonts w:ascii="宋体" w:hAnsi="宋体" w:eastAsia="宋体" w:cs="宋体"/>
          <w:color w:val="auto"/>
          <w:sz w:val="20"/>
          <w:szCs w:val="20"/>
          <w:lang w:eastAsia="zh-CN"/>
        </w:rPr>
      </w:pPr>
      <w:r>
        <w:rPr>
          <w:rFonts w:ascii="Tahoma" w:hAnsi="Tahoma" w:eastAsia="Tahoma" w:cs="Tahoma"/>
          <w:color w:val="auto"/>
          <w:spacing w:val="2"/>
          <w:sz w:val="20"/>
          <w:szCs w:val="20"/>
          <w:lang w:eastAsia="zh-CN"/>
        </w:rPr>
        <w:t xml:space="preserve">3.7.5 </w:t>
      </w:r>
      <w:r>
        <w:rPr>
          <w:rFonts w:ascii="宋体" w:hAnsi="宋体" w:eastAsia="宋体" w:cs="宋体"/>
          <w:color w:val="auto"/>
          <w:spacing w:val="2"/>
          <w:sz w:val="20"/>
          <w:szCs w:val="20"/>
          <w:lang w:eastAsia="zh-CN"/>
        </w:rPr>
        <w:t>开标时间后</w:t>
      </w:r>
      <w:r>
        <w:rPr>
          <w:rFonts w:ascii="宋体" w:hAnsi="宋体" w:eastAsia="宋体" w:cs="宋体"/>
          <w:color w:val="auto"/>
          <w:spacing w:val="-21"/>
          <w:sz w:val="20"/>
          <w:szCs w:val="20"/>
          <w:lang w:eastAsia="zh-CN"/>
        </w:rPr>
        <w:t xml:space="preserve"> </w:t>
      </w:r>
      <w:r>
        <w:rPr>
          <w:rFonts w:ascii="Tahoma" w:hAnsi="Tahoma" w:eastAsia="Tahoma" w:cs="Tahoma"/>
          <w:color w:val="auto"/>
          <w:spacing w:val="2"/>
          <w:sz w:val="20"/>
          <w:szCs w:val="20"/>
          <w:lang w:eastAsia="zh-CN"/>
        </w:rPr>
        <w:t xml:space="preserve">30 </w:t>
      </w:r>
      <w:r>
        <w:rPr>
          <w:rFonts w:ascii="宋体" w:hAnsi="宋体" w:eastAsia="宋体" w:cs="宋体"/>
          <w:color w:val="auto"/>
          <w:spacing w:val="2"/>
          <w:sz w:val="20"/>
          <w:szCs w:val="20"/>
          <w:lang w:eastAsia="zh-CN"/>
        </w:rPr>
        <w:t>分钟内</w:t>
      </w:r>
      <w:r>
        <w:rPr>
          <w:rFonts w:hint="eastAsia" w:ascii="宋体" w:hAnsi="宋体" w:eastAsia="宋体" w:cs="宋体"/>
          <w:color w:val="auto"/>
          <w:spacing w:val="2"/>
          <w:sz w:val="20"/>
          <w:szCs w:val="20"/>
          <w:lang w:eastAsia="zh-CN"/>
        </w:rPr>
        <w:t>服务商</w:t>
      </w:r>
      <w:r>
        <w:rPr>
          <w:rFonts w:ascii="宋体" w:hAnsi="宋体" w:eastAsia="宋体" w:cs="宋体"/>
          <w:color w:val="auto"/>
          <w:spacing w:val="2"/>
          <w:sz w:val="20"/>
          <w:szCs w:val="20"/>
          <w:lang w:eastAsia="zh-CN"/>
        </w:rPr>
        <w:t>可以登录“政采云</w:t>
      </w:r>
      <w:r>
        <w:rPr>
          <w:rFonts w:ascii="宋体" w:hAnsi="宋体" w:eastAsia="宋体" w:cs="宋体"/>
          <w:color w:val="auto"/>
          <w:spacing w:val="-70"/>
          <w:sz w:val="20"/>
          <w:szCs w:val="20"/>
          <w:lang w:eastAsia="zh-CN"/>
        </w:rPr>
        <w:t xml:space="preserve"> </w:t>
      </w:r>
      <w:r>
        <w:rPr>
          <w:rFonts w:ascii="宋体" w:hAnsi="宋体" w:eastAsia="宋体" w:cs="宋体"/>
          <w:color w:val="auto"/>
          <w:spacing w:val="2"/>
          <w:sz w:val="20"/>
          <w:szCs w:val="20"/>
          <w:lang w:eastAsia="zh-CN"/>
        </w:rPr>
        <w:t>”平</w:t>
      </w:r>
      <w:r>
        <w:rPr>
          <w:rFonts w:ascii="宋体" w:hAnsi="宋体" w:eastAsia="宋体" w:cs="宋体"/>
          <w:color w:val="auto"/>
          <w:sz w:val="20"/>
          <w:szCs w:val="20"/>
          <w:lang w:eastAsia="zh-CN"/>
        </w:rPr>
        <w:t xml:space="preserve"> </w:t>
      </w:r>
      <w:r>
        <w:rPr>
          <w:rFonts w:ascii="宋体" w:hAnsi="宋体" w:eastAsia="宋体" w:cs="宋体"/>
          <w:color w:val="auto"/>
          <w:spacing w:val="4"/>
          <w:sz w:val="20"/>
          <w:szCs w:val="20"/>
          <w:lang w:eastAsia="zh-CN"/>
        </w:rPr>
        <w:t>台，用“项目采购</w:t>
      </w:r>
      <w:r>
        <w:rPr>
          <w:rFonts w:ascii="Tahoma" w:hAnsi="Tahoma" w:eastAsia="Tahoma" w:cs="Tahoma"/>
          <w:color w:val="auto"/>
          <w:spacing w:val="4"/>
          <w:sz w:val="20"/>
          <w:szCs w:val="20"/>
          <w:lang w:eastAsia="zh-CN"/>
        </w:rPr>
        <w:t>-</w:t>
      </w:r>
      <w:r>
        <w:rPr>
          <w:rFonts w:ascii="宋体" w:hAnsi="宋体" w:eastAsia="宋体" w:cs="宋体"/>
          <w:color w:val="auto"/>
          <w:spacing w:val="4"/>
          <w:sz w:val="20"/>
          <w:szCs w:val="20"/>
          <w:lang w:eastAsia="zh-CN"/>
        </w:rPr>
        <w:t>开标评标</w:t>
      </w:r>
      <w:r>
        <w:rPr>
          <w:rFonts w:ascii="宋体" w:hAnsi="宋体" w:eastAsia="宋体" w:cs="宋体"/>
          <w:color w:val="auto"/>
          <w:spacing w:val="-60"/>
          <w:sz w:val="20"/>
          <w:szCs w:val="20"/>
          <w:lang w:eastAsia="zh-CN"/>
        </w:rPr>
        <w:t xml:space="preserve"> </w:t>
      </w:r>
      <w:r>
        <w:rPr>
          <w:rFonts w:ascii="宋体" w:hAnsi="宋体" w:eastAsia="宋体" w:cs="宋体"/>
          <w:color w:val="auto"/>
          <w:spacing w:val="4"/>
          <w:sz w:val="20"/>
          <w:szCs w:val="20"/>
          <w:lang w:eastAsia="zh-CN"/>
        </w:rPr>
        <w:t>”功能进行解密投标文件。若</w:t>
      </w:r>
      <w:r>
        <w:rPr>
          <w:rFonts w:hint="eastAsia" w:ascii="宋体" w:hAnsi="宋体" w:eastAsia="宋体" w:cs="宋体"/>
          <w:color w:val="auto"/>
          <w:spacing w:val="4"/>
          <w:sz w:val="20"/>
          <w:szCs w:val="20"/>
          <w:lang w:eastAsia="zh-CN"/>
        </w:rPr>
        <w:t>服务商</w:t>
      </w:r>
      <w:r>
        <w:rPr>
          <w:rFonts w:ascii="宋体" w:hAnsi="宋体" w:eastAsia="宋体" w:cs="宋体"/>
          <w:color w:val="auto"/>
          <w:spacing w:val="4"/>
          <w:sz w:val="20"/>
          <w:szCs w:val="20"/>
          <w:lang w:eastAsia="zh-CN"/>
        </w:rPr>
        <w:t>在规定时间内</w:t>
      </w:r>
      <w:r>
        <w:rPr>
          <w:rFonts w:ascii="宋体" w:hAnsi="宋体" w:eastAsia="宋体" w:cs="宋体"/>
          <w:color w:val="auto"/>
          <w:spacing w:val="6"/>
          <w:sz w:val="20"/>
          <w:szCs w:val="20"/>
          <w:lang w:eastAsia="zh-CN"/>
        </w:rPr>
        <w:t>未按时解密的，视为投标文件撤回。</w:t>
      </w:r>
    </w:p>
    <w:p w14:paraId="13B0CEF5">
      <w:pPr>
        <w:spacing w:before="94" w:line="271" w:lineRule="auto"/>
        <w:ind w:left="11" w:right="52" w:hanging="2"/>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3.7.6 </w:t>
      </w:r>
      <w:r>
        <w:rPr>
          <w:rFonts w:ascii="宋体" w:hAnsi="宋体" w:eastAsia="宋体" w:cs="宋体"/>
          <w:color w:val="auto"/>
          <w:spacing w:val="9"/>
          <w:sz w:val="20"/>
          <w:szCs w:val="20"/>
          <w:lang w:eastAsia="zh-CN"/>
        </w:rPr>
        <w:t>因系统（非投标</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行为）的原因，造成投标</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未能在规定的解密时限内解密的，请及时</w:t>
      </w:r>
      <w:r>
        <w:rPr>
          <w:rFonts w:ascii="宋体" w:hAnsi="宋体" w:eastAsia="宋体" w:cs="宋体"/>
          <w:color w:val="auto"/>
          <w:spacing w:val="5"/>
          <w:sz w:val="20"/>
          <w:szCs w:val="20"/>
          <w:lang w:eastAsia="zh-CN"/>
        </w:rPr>
        <w:t xml:space="preserve"> </w:t>
      </w:r>
      <w:r>
        <w:rPr>
          <w:rFonts w:ascii="宋体" w:hAnsi="宋体" w:eastAsia="宋体" w:cs="宋体"/>
          <w:color w:val="auto"/>
          <w:spacing w:val="9"/>
          <w:sz w:val="20"/>
          <w:szCs w:val="20"/>
          <w:lang w:eastAsia="zh-CN"/>
        </w:rPr>
        <w:t>与招标代理机构或与新疆政府采购网投标客户端进行联系。</w:t>
      </w:r>
    </w:p>
    <w:p w14:paraId="5E06FB8A">
      <w:pPr>
        <w:spacing w:before="92" w:line="227" w:lineRule="auto"/>
        <w:ind w:left="9"/>
        <w:rPr>
          <w:rFonts w:ascii="宋体" w:hAnsi="宋体" w:eastAsia="宋体" w:cs="宋体"/>
          <w:color w:val="auto"/>
          <w:sz w:val="20"/>
          <w:szCs w:val="20"/>
          <w:lang w:eastAsia="zh-CN"/>
        </w:rPr>
      </w:pPr>
      <w:r>
        <w:rPr>
          <w:rFonts w:ascii="Tahoma" w:hAnsi="Tahoma" w:eastAsia="Tahoma" w:cs="Tahoma"/>
          <w:color w:val="auto"/>
          <w:spacing w:val="6"/>
          <w:sz w:val="20"/>
          <w:szCs w:val="20"/>
          <w:lang w:eastAsia="zh-CN"/>
        </w:rPr>
        <w:t xml:space="preserve">3.7.7 </w:t>
      </w:r>
      <w:r>
        <w:rPr>
          <w:rFonts w:ascii="宋体" w:hAnsi="宋体" w:eastAsia="宋体" w:cs="宋体"/>
          <w:color w:val="auto"/>
          <w:spacing w:val="6"/>
          <w:sz w:val="20"/>
          <w:szCs w:val="20"/>
          <w:lang w:eastAsia="zh-CN"/>
        </w:rPr>
        <w:t>投标文件未按规定上传的，视为其自动放弃投标。</w:t>
      </w:r>
    </w:p>
    <w:p w14:paraId="56E94005">
      <w:pPr>
        <w:spacing w:before="95" w:line="228" w:lineRule="auto"/>
        <w:ind w:left="10"/>
        <w:rPr>
          <w:rFonts w:ascii="宋体" w:hAnsi="宋体" w:eastAsia="宋体" w:cs="宋体"/>
          <w:color w:val="auto"/>
          <w:sz w:val="20"/>
          <w:szCs w:val="20"/>
          <w:lang w:eastAsia="zh-CN"/>
        </w:rPr>
      </w:pPr>
      <w:r>
        <w:rPr>
          <w:rFonts w:ascii="Tahoma" w:hAnsi="Tahoma" w:eastAsia="Tahoma" w:cs="Tahoma"/>
          <w:b/>
          <w:bCs/>
          <w:color w:val="auto"/>
          <w:spacing w:val="5"/>
          <w:sz w:val="20"/>
          <w:szCs w:val="20"/>
          <w:lang w:eastAsia="zh-CN"/>
        </w:rPr>
        <w:t>3.8.</w:t>
      </w:r>
      <w:r>
        <w:rPr>
          <w:rFonts w:ascii="Tahoma" w:hAnsi="Tahoma" w:eastAsia="Tahoma" w:cs="Tahoma"/>
          <w:b/>
          <w:bCs/>
          <w:color w:val="auto"/>
          <w:spacing w:val="60"/>
          <w:w w:val="101"/>
          <w:sz w:val="20"/>
          <w:szCs w:val="20"/>
          <w:lang w:eastAsia="zh-CN"/>
        </w:rPr>
        <w:t xml:space="preserve"> </w:t>
      </w:r>
      <w:r>
        <w:rPr>
          <w:rFonts w:ascii="宋体" w:hAnsi="宋体" w:eastAsia="宋体" w:cs="宋体"/>
          <w:color w:val="auto"/>
          <w:spacing w:val="5"/>
          <w:sz w:val="20"/>
          <w:szCs w:val="20"/>
          <w:lang w:eastAsia="zh-CN"/>
          <w14:textOutline w14:w="3797" w14:cap="sq" w14:cmpd="sng" w14:algn="ctr">
            <w14:solidFill>
              <w14:srgbClr w14:val="000000"/>
            </w14:solidFill>
            <w14:prstDash w14:val="solid"/>
            <w14:bevel/>
          </w14:textOutline>
        </w:rPr>
        <w:t>投标有效期</w:t>
      </w:r>
    </w:p>
    <w:p w14:paraId="609B5880">
      <w:pPr>
        <w:spacing w:before="94" w:line="270" w:lineRule="auto"/>
        <w:ind w:left="9" w:right="54"/>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3.8.1 </w:t>
      </w:r>
      <w:r>
        <w:rPr>
          <w:rFonts w:ascii="宋体" w:hAnsi="宋体" w:eastAsia="宋体" w:cs="宋体"/>
          <w:color w:val="auto"/>
          <w:spacing w:val="9"/>
          <w:sz w:val="20"/>
          <w:szCs w:val="20"/>
          <w:lang w:eastAsia="zh-CN"/>
        </w:rPr>
        <w:t>投标文件从投标人须知前附表所规定的投标截止期之后开始生效，在投标人须知前附表所规定的</w:t>
      </w:r>
      <w:r>
        <w:rPr>
          <w:rFonts w:ascii="宋体" w:hAnsi="宋体" w:eastAsia="宋体" w:cs="宋体"/>
          <w:color w:val="auto"/>
          <w:spacing w:val="3"/>
          <w:sz w:val="20"/>
          <w:szCs w:val="20"/>
          <w:lang w:eastAsia="zh-CN"/>
        </w:rPr>
        <w:t xml:space="preserve"> </w:t>
      </w:r>
      <w:r>
        <w:rPr>
          <w:rFonts w:ascii="宋体" w:hAnsi="宋体" w:eastAsia="宋体" w:cs="宋体"/>
          <w:color w:val="auto"/>
          <w:spacing w:val="9"/>
          <w:sz w:val="20"/>
          <w:szCs w:val="20"/>
          <w:lang w:eastAsia="zh-CN"/>
        </w:rPr>
        <w:t>期限内保持有效。</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有效期不足将导致其投标文件被拒绝。</w:t>
      </w:r>
    </w:p>
    <w:p w14:paraId="653EAEE5">
      <w:pPr>
        <w:spacing w:before="93" w:line="297" w:lineRule="auto"/>
        <w:ind w:left="7" w:right="54" w:firstLine="2"/>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3.8.2 </w:t>
      </w:r>
      <w:r>
        <w:rPr>
          <w:rFonts w:ascii="宋体" w:hAnsi="宋体" w:eastAsia="宋体" w:cs="宋体"/>
          <w:color w:val="auto"/>
          <w:spacing w:val="9"/>
          <w:sz w:val="20"/>
          <w:szCs w:val="20"/>
          <w:lang w:eastAsia="zh-CN"/>
        </w:rPr>
        <w:t>特殊情况下招标代理人可于投标有效期满之前书面要求投标人同意延长有效期，投标人应在招标</w:t>
      </w:r>
      <w:r>
        <w:rPr>
          <w:rFonts w:ascii="宋体" w:hAnsi="宋体" w:eastAsia="宋体" w:cs="宋体"/>
          <w:color w:val="auto"/>
          <w:spacing w:val="3"/>
          <w:sz w:val="20"/>
          <w:szCs w:val="20"/>
          <w:lang w:eastAsia="zh-CN"/>
        </w:rPr>
        <w:t xml:space="preserve"> </w:t>
      </w:r>
      <w:r>
        <w:rPr>
          <w:rFonts w:ascii="宋体" w:hAnsi="宋体" w:eastAsia="宋体" w:cs="宋体"/>
          <w:color w:val="auto"/>
          <w:spacing w:val="8"/>
          <w:sz w:val="20"/>
          <w:szCs w:val="20"/>
          <w:lang w:eastAsia="zh-CN"/>
        </w:rPr>
        <w:t>代理机构规定的期限内以书面形式予以答复。投标人可以拒绝上述要求而其投</w:t>
      </w:r>
      <w:r>
        <w:rPr>
          <w:rFonts w:ascii="宋体" w:hAnsi="宋体" w:eastAsia="宋体" w:cs="宋体"/>
          <w:color w:val="auto"/>
          <w:spacing w:val="7"/>
          <w:sz w:val="20"/>
          <w:szCs w:val="20"/>
          <w:lang w:eastAsia="zh-CN"/>
        </w:rPr>
        <w:t>标保证金可按规定予以退</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还。投标人答复不明确或者逾期未答复的，均视为拒绝上述要求。对于接受该</w:t>
      </w:r>
      <w:r>
        <w:rPr>
          <w:rFonts w:ascii="宋体" w:hAnsi="宋体" w:eastAsia="宋体" w:cs="宋体"/>
          <w:color w:val="auto"/>
          <w:spacing w:val="7"/>
          <w:sz w:val="20"/>
          <w:szCs w:val="20"/>
          <w:lang w:eastAsia="zh-CN"/>
        </w:rPr>
        <w:t>要求的投标人，既不要求</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也不允许其修改投标文件，但将要求其相应延长投标保证金有效期，有关退还</w:t>
      </w:r>
      <w:r>
        <w:rPr>
          <w:rFonts w:ascii="宋体" w:hAnsi="宋体" w:eastAsia="宋体" w:cs="宋体"/>
          <w:color w:val="auto"/>
          <w:spacing w:val="7"/>
          <w:sz w:val="20"/>
          <w:szCs w:val="20"/>
          <w:lang w:eastAsia="zh-CN"/>
        </w:rPr>
        <w:t>和不予退还投标保证金的</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规定在投标有效期延长期内继续有效。</w:t>
      </w:r>
    </w:p>
    <w:p w14:paraId="0BDEB324">
      <w:pPr>
        <w:spacing w:before="92" w:line="228" w:lineRule="auto"/>
        <w:ind w:left="10"/>
        <w:rPr>
          <w:rFonts w:ascii="宋体" w:hAnsi="宋体" w:eastAsia="宋体" w:cs="宋体"/>
          <w:color w:val="auto"/>
          <w:sz w:val="20"/>
          <w:szCs w:val="20"/>
          <w:lang w:eastAsia="zh-CN"/>
        </w:rPr>
      </w:pPr>
      <w:r>
        <w:rPr>
          <w:rFonts w:ascii="Tahoma" w:hAnsi="Tahoma" w:eastAsia="Tahoma" w:cs="Tahoma"/>
          <w:b/>
          <w:bCs/>
          <w:color w:val="auto"/>
          <w:spacing w:val="5"/>
          <w:sz w:val="20"/>
          <w:szCs w:val="20"/>
          <w:lang w:eastAsia="zh-CN"/>
        </w:rPr>
        <w:t>3.9.</w:t>
      </w:r>
      <w:r>
        <w:rPr>
          <w:rFonts w:ascii="Tahoma" w:hAnsi="Tahoma" w:eastAsia="Tahoma" w:cs="Tahoma"/>
          <w:b/>
          <w:bCs/>
          <w:color w:val="auto"/>
          <w:spacing w:val="60"/>
          <w:w w:val="101"/>
          <w:sz w:val="20"/>
          <w:szCs w:val="20"/>
          <w:lang w:eastAsia="zh-CN"/>
        </w:rPr>
        <w:t xml:space="preserve"> </w:t>
      </w:r>
      <w:r>
        <w:rPr>
          <w:rFonts w:ascii="宋体" w:hAnsi="宋体" w:eastAsia="宋体" w:cs="宋体"/>
          <w:color w:val="auto"/>
          <w:spacing w:val="5"/>
          <w:sz w:val="20"/>
          <w:szCs w:val="20"/>
          <w:lang w:eastAsia="zh-CN"/>
          <w14:textOutline w14:w="3797" w14:cap="sq" w14:cmpd="sng" w14:algn="ctr">
            <w14:solidFill>
              <w14:srgbClr w14:val="000000"/>
            </w14:solidFill>
            <w14:prstDash w14:val="solid"/>
            <w14:bevel/>
          </w14:textOutline>
        </w:rPr>
        <w:t>投标保证金</w:t>
      </w:r>
    </w:p>
    <w:p w14:paraId="36B8F771">
      <w:pPr>
        <w:spacing w:before="93" w:line="228" w:lineRule="auto"/>
        <w:ind w:left="9"/>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3.9.1</w:t>
      </w:r>
      <w:r>
        <w:rPr>
          <w:rFonts w:ascii="Tahoma" w:hAnsi="Tahoma" w:eastAsia="Tahoma" w:cs="Tahoma"/>
          <w:color w:val="auto"/>
          <w:spacing w:val="61"/>
          <w:w w:val="101"/>
          <w:sz w:val="20"/>
          <w:szCs w:val="20"/>
          <w:lang w:eastAsia="zh-CN"/>
        </w:rPr>
        <w:t xml:space="preserve"> </w:t>
      </w:r>
      <w:r>
        <w:rPr>
          <w:rFonts w:ascii="宋体" w:hAnsi="宋体" w:eastAsia="宋体" w:cs="宋体"/>
          <w:color w:val="auto"/>
          <w:spacing w:val="7"/>
          <w:sz w:val="20"/>
          <w:szCs w:val="20"/>
          <w:lang w:eastAsia="zh-CN"/>
        </w:rPr>
        <w:t>投标保证金为投标文件的组成部分之一。</w:t>
      </w:r>
    </w:p>
    <w:p w14:paraId="4BE37880">
      <w:pPr>
        <w:spacing w:before="94" w:line="285" w:lineRule="auto"/>
        <w:ind w:left="8" w:right="54"/>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3.9.2</w:t>
      </w:r>
      <w:r>
        <w:rPr>
          <w:rFonts w:ascii="Tahoma" w:hAnsi="Tahoma" w:eastAsia="Tahoma" w:cs="Tahoma"/>
          <w:color w:val="auto"/>
          <w:spacing w:val="59"/>
          <w:w w:val="101"/>
          <w:sz w:val="20"/>
          <w:szCs w:val="20"/>
          <w:lang w:eastAsia="zh-CN"/>
        </w:rPr>
        <w:t xml:space="preserve"> </w:t>
      </w:r>
      <w:r>
        <w:rPr>
          <w:rFonts w:ascii="宋体" w:hAnsi="宋体" w:eastAsia="宋体" w:cs="宋体"/>
          <w:color w:val="auto"/>
          <w:spacing w:val="8"/>
          <w:sz w:val="20"/>
          <w:szCs w:val="20"/>
          <w:lang w:eastAsia="zh-CN"/>
        </w:rPr>
        <w:t>投标人应在提交投标文件之前向招标代理机构缴交投标人须知前附表要求的投标保证金。联合体</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投标的，可以由联合体中的一方或者共同提交投标保证金，以一方名义提</w:t>
      </w:r>
      <w:r>
        <w:rPr>
          <w:rFonts w:ascii="宋体" w:hAnsi="宋体" w:eastAsia="宋体" w:cs="宋体"/>
          <w:color w:val="auto"/>
          <w:spacing w:val="7"/>
          <w:sz w:val="20"/>
          <w:szCs w:val="20"/>
          <w:lang w:eastAsia="zh-CN"/>
        </w:rPr>
        <w:t>交投标保证金的，对联合体各</w:t>
      </w:r>
      <w:r>
        <w:rPr>
          <w:rFonts w:ascii="宋体" w:hAnsi="宋体" w:eastAsia="宋体" w:cs="宋体"/>
          <w:color w:val="auto"/>
          <w:sz w:val="20"/>
          <w:szCs w:val="20"/>
          <w:lang w:eastAsia="zh-CN"/>
        </w:rPr>
        <w:t xml:space="preserve"> </w:t>
      </w:r>
      <w:r>
        <w:rPr>
          <w:rFonts w:ascii="宋体" w:hAnsi="宋体" w:eastAsia="宋体" w:cs="宋体"/>
          <w:color w:val="auto"/>
          <w:spacing w:val="7"/>
          <w:sz w:val="20"/>
          <w:szCs w:val="20"/>
          <w:lang w:eastAsia="zh-CN"/>
        </w:rPr>
        <w:t>方均具有约束力。</w:t>
      </w:r>
    </w:p>
    <w:p w14:paraId="4BB34A36">
      <w:pPr>
        <w:spacing w:before="94" w:line="227" w:lineRule="auto"/>
        <w:ind w:left="9"/>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3.9.3</w:t>
      </w:r>
      <w:r>
        <w:rPr>
          <w:rFonts w:ascii="Tahoma" w:hAnsi="Tahoma" w:eastAsia="Tahoma" w:cs="Tahoma"/>
          <w:color w:val="auto"/>
          <w:spacing w:val="62"/>
          <w:w w:val="101"/>
          <w:sz w:val="20"/>
          <w:szCs w:val="20"/>
          <w:lang w:eastAsia="zh-CN"/>
        </w:rPr>
        <w:t xml:space="preserve"> </w:t>
      </w:r>
      <w:r>
        <w:rPr>
          <w:rFonts w:ascii="宋体" w:hAnsi="宋体" w:eastAsia="宋体" w:cs="宋体"/>
          <w:color w:val="auto"/>
          <w:spacing w:val="8"/>
          <w:sz w:val="20"/>
          <w:szCs w:val="20"/>
          <w:lang w:eastAsia="zh-CN"/>
        </w:rPr>
        <w:t>投标保证金用于保护本次招标活动免受投标人的行为而引起的风险。</w:t>
      </w:r>
    </w:p>
    <w:p w14:paraId="034F4EF5">
      <w:pPr>
        <w:spacing w:before="92" w:line="271" w:lineRule="auto"/>
        <w:ind w:left="10" w:right="54" w:hanging="1"/>
        <w:rPr>
          <w:rFonts w:ascii="宋体" w:hAnsi="宋体" w:eastAsia="宋体" w:cs="宋体"/>
          <w:color w:val="auto"/>
          <w:sz w:val="20"/>
          <w:szCs w:val="20"/>
          <w:lang w:eastAsia="zh-CN"/>
        </w:rPr>
      </w:pPr>
      <w:r>
        <w:rPr>
          <w:rFonts w:ascii="Tahoma" w:hAnsi="Tahoma" w:eastAsia="Tahoma" w:cs="Tahoma"/>
          <w:color w:val="auto"/>
          <w:spacing w:val="15"/>
          <w:sz w:val="20"/>
          <w:szCs w:val="20"/>
          <w:lang w:eastAsia="zh-CN"/>
        </w:rPr>
        <w:t>3.9.4</w:t>
      </w:r>
      <w:r>
        <w:rPr>
          <w:rFonts w:ascii="Tahoma" w:hAnsi="Tahoma" w:eastAsia="Tahoma" w:cs="Tahoma"/>
          <w:color w:val="auto"/>
          <w:spacing w:val="73"/>
          <w:w w:val="101"/>
          <w:sz w:val="20"/>
          <w:szCs w:val="20"/>
          <w:lang w:eastAsia="zh-CN"/>
        </w:rPr>
        <w:t xml:space="preserve"> </w:t>
      </w:r>
      <w:r>
        <w:rPr>
          <w:rFonts w:ascii="宋体" w:hAnsi="宋体" w:eastAsia="宋体" w:cs="宋体"/>
          <w:color w:val="auto"/>
          <w:spacing w:val="15"/>
          <w:sz w:val="20"/>
          <w:szCs w:val="20"/>
          <w:lang w:eastAsia="zh-CN"/>
        </w:rPr>
        <w:t>投标保证金以投标保证金可以</w:t>
      </w:r>
      <w:r>
        <w:rPr>
          <w:rFonts w:hint="eastAsia" w:ascii="宋体" w:hAnsi="宋体" w:eastAsia="宋体" w:cs="宋体"/>
          <w:color w:val="auto"/>
          <w:spacing w:val="15"/>
          <w:sz w:val="20"/>
          <w:szCs w:val="20"/>
          <w:lang w:val="en-US" w:eastAsia="zh-CN"/>
        </w:rPr>
        <w:t>采用</w:t>
      </w:r>
      <w:r>
        <w:rPr>
          <w:rFonts w:hint="eastAsia" w:ascii="宋体" w:hAnsi="宋体" w:eastAsia="宋体" w:cs="宋体"/>
          <w:color w:val="auto"/>
          <w:spacing w:val="15"/>
          <w:sz w:val="20"/>
          <w:szCs w:val="20"/>
          <w:lang w:eastAsia="zh-CN"/>
        </w:rPr>
        <w:t>支票、汇票、本票或者金融机构、担保机构出具的保函等非现金形式提交</w:t>
      </w:r>
      <w:r>
        <w:rPr>
          <w:rFonts w:ascii="宋体" w:hAnsi="宋体" w:eastAsia="宋体" w:cs="宋体"/>
          <w:color w:val="auto"/>
          <w:spacing w:val="-54"/>
          <w:sz w:val="20"/>
          <w:szCs w:val="20"/>
          <w:lang w:eastAsia="zh-CN"/>
        </w:rPr>
        <w:t xml:space="preserve"> </w:t>
      </w:r>
      <w:r>
        <w:rPr>
          <w:rFonts w:ascii="宋体" w:hAnsi="宋体" w:eastAsia="宋体" w:cs="宋体"/>
          <w:color w:val="auto"/>
          <w:spacing w:val="15"/>
          <w:sz w:val="20"/>
          <w:szCs w:val="20"/>
          <w:lang w:eastAsia="zh-CN"/>
        </w:rPr>
        <w:t>。投标人须知</w:t>
      </w:r>
      <w:r>
        <w:rPr>
          <w:rFonts w:ascii="宋体" w:hAnsi="宋体" w:eastAsia="宋体" w:cs="宋体"/>
          <w:color w:val="auto"/>
          <w:spacing w:val="8"/>
          <w:sz w:val="20"/>
          <w:szCs w:val="20"/>
          <w:lang w:eastAsia="zh-CN"/>
        </w:rPr>
        <w:t>前附表另有规定的，则从其规定。</w:t>
      </w:r>
    </w:p>
    <w:p w14:paraId="71488AE2">
      <w:pPr>
        <w:spacing w:before="94" w:line="228" w:lineRule="auto"/>
        <w:ind w:left="9"/>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3.9.5</w:t>
      </w:r>
      <w:r>
        <w:rPr>
          <w:rFonts w:ascii="Tahoma" w:hAnsi="Tahoma" w:eastAsia="Tahoma" w:cs="Tahoma"/>
          <w:color w:val="auto"/>
          <w:spacing w:val="56"/>
          <w:w w:val="101"/>
          <w:sz w:val="20"/>
          <w:szCs w:val="20"/>
          <w:lang w:eastAsia="zh-CN"/>
        </w:rPr>
        <w:t xml:space="preserve"> </w:t>
      </w:r>
      <w:r>
        <w:rPr>
          <w:rFonts w:ascii="宋体" w:hAnsi="宋体" w:eastAsia="宋体" w:cs="宋体"/>
          <w:color w:val="auto"/>
          <w:spacing w:val="8"/>
          <w:sz w:val="20"/>
          <w:szCs w:val="20"/>
          <w:lang w:eastAsia="zh-CN"/>
        </w:rPr>
        <w:t>未按规定缴交投标保证金的投标，将被视</w:t>
      </w:r>
      <w:r>
        <w:rPr>
          <w:rFonts w:ascii="宋体" w:hAnsi="宋体" w:eastAsia="宋体" w:cs="宋体"/>
          <w:color w:val="auto"/>
          <w:spacing w:val="7"/>
          <w:sz w:val="20"/>
          <w:szCs w:val="20"/>
          <w:lang w:eastAsia="zh-CN"/>
        </w:rPr>
        <w:t>为无效投标。</w:t>
      </w:r>
    </w:p>
    <w:p w14:paraId="0AD993FC">
      <w:pPr>
        <w:spacing w:line="228" w:lineRule="auto"/>
        <w:rPr>
          <w:rFonts w:ascii="宋体" w:hAnsi="宋体" w:eastAsia="宋体" w:cs="宋体"/>
          <w:color w:val="auto"/>
          <w:sz w:val="20"/>
          <w:szCs w:val="20"/>
          <w:lang w:eastAsia="zh-CN"/>
        </w:rPr>
        <w:sectPr>
          <w:headerReference r:id="rId11" w:type="default"/>
          <w:footerReference r:id="rId12" w:type="default"/>
          <w:pgSz w:w="12240" w:h="15840"/>
          <w:pgMar w:top="1440" w:right="1080" w:bottom="1440" w:left="1080" w:header="873" w:footer="1081" w:gutter="0"/>
          <w:pgBorders>
            <w:top w:val="none" w:sz="0" w:space="0"/>
            <w:left w:val="none" w:sz="0" w:space="0"/>
            <w:bottom w:val="none" w:sz="0" w:space="0"/>
            <w:right w:val="none" w:sz="0" w:space="0"/>
          </w:pgBorders>
          <w:pgNumType w:fmt="decimal"/>
          <w:cols w:space="720" w:num="1"/>
        </w:sectPr>
      </w:pPr>
    </w:p>
    <w:p w14:paraId="5DD6D31F">
      <w:pPr>
        <w:pStyle w:val="8"/>
        <w:spacing w:line="350" w:lineRule="auto"/>
        <w:rPr>
          <w:color w:val="auto"/>
          <w:lang w:eastAsia="zh-CN"/>
        </w:rPr>
      </w:pPr>
    </w:p>
    <w:p w14:paraId="74670F48">
      <w:pPr>
        <w:spacing w:before="65" w:line="228" w:lineRule="auto"/>
        <w:ind w:left="9"/>
        <w:rPr>
          <w:rFonts w:ascii="宋体" w:hAnsi="宋体" w:eastAsia="宋体" w:cs="宋体"/>
          <w:color w:val="auto"/>
          <w:sz w:val="20"/>
          <w:szCs w:val="20"/>
          <w:lang w:eastAsia="zh-CN"/>
        </w:rPr>
      </w:pPr>
      <w:r>
        <w:rPr>
          <w:rFonts w:ascii="Tahoma" w:hAnsi="Tahoma" w:eastAsia="Tahoma" w:cs="Tahoma"/>
          <w:color w:val="auto"/>
          <w:spacing w:val="6"/>
          <w:sz w:val="20"/>
          <w:szCs w:val="20"/>
          <w:lang w:eastAsia="zh-CN"/>
        </w:rPr>
        <w:t xml:space="preserve">3.9.6 </w:t>
      </w:r>
      <w:r>
        <w:rPr>
          <w:rFonts w:ascii="宋体" w:hAnsi="宋体" w:eastAsia="宋体" w:cs="宋体"/>
          <w:color w:val="auto"/>
          <w:spacing w:val="6"/>
          <w:sz w:val="20"/>
          <w:szCs w:val="20"/>
          <w:lang w:eastAsia="zh-CN"/>
        </w:rPr>
        <w:t>投标保证金退还手续说明</w:t>
      </w:r>
    </w:p>
    <w:p w14:paraId="6AD92E18">
      <w:pPr>
        <w:spacing w:before="94" w:line="270" w:lineRule="auto"/>
        <w:ind w:left="16" w:right="4" w:firstLine="107"/>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1</w:t>
      </w:r>
      <w:r>
        <w:rPr>
          <w:rFonts w:ascii="宋体" w:hAnsi="宋体" w:eastAsia="宋体" w:cs="宋体"/>
          <w:color w:val="auto"/>
          <w:spacing w:val="9"/>
          <w:sz w:val="20"/>
          <w:szCs w:val="20"/>
          <w:lang w:eastAsia="zh-CN"/>
        </w:rPr>
        <w:t>）投标保证金将在中标通知书发出之日起五个工作日内，按照</w:t>
      </w:r>
      <w:r>
        <w:rPr>
          <w:rFonts w:ascii="宋体" w:hAnsi="宋体" w:eastAsia="宋体" w:cs="宋体"/>
          <w:color w:val="auto"/>
          <w:spacing w:val="8"/>
          <w:sz w:val="20"/>
          <w:szCs w:val="20"/>
          <w:lang w:eastAsia="zh-CN"/>
        </w:rPr>
        <w:t>投标人所提供的开户行、开户名称、</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帐号等信息，予以原额无息退还中标人以外的投标人的投标保证金。</w:t>
      </w:r>
    </w:p>
    <w:p w14:paraId="558C1C3B">
      <w:pPr>
        <w:spacing w:before="93" w:line="285" w:lineRule="auto"/>
        <w:ind w:left="24" w:firstLine="99"/>
        <w:rPr>
          <w:rFonts w:ascii="宋体" w:hAnsi="宋体" w:eastAsia="宋体" w:cs="宋体"/>
          <w:color w:val="auto"/>
          <w:sz w:val="20"/>
          <w:szCs w:val="20"/>
          <w:lang w:eastAsia="zh-CN"/>
        </w:rPr>
      </w:pPr>
      <w:r>
        <w:rPr>
          <w:rFonts w:ascii="宋体" w:hAnsi="宋体" w:eastAsia="宋体" w:cs="宋体"/>
          <w:color w:val="auto"/>
          <w:spacing w:val="4"/>
          <w:sz w:val="20"/>
          <w:szCs w:val="20"/>
          <w:lang w:eastAsia="zh-CN"/>
        </w:rPr>
        <w:t>（</w:t>
      </w:r>
      <w:r>
        <w:rPr>
          <w:rFonts w:ascii="Tahoma" w:hAnsi="Tahoma" w:eastAsia="Tahoma" w:cs="Tahoma"/>
          <w:color w:val="auto"/>
          <w:spacing w:val="4"/>
          <w:sz w:val="20"/>
          <w:szCs w:val="20"/>
          <w:lang w:eastAsia="zh-CN"/>
        </w:rPr>
        <w:t>2</w:t>
      </w:r>
      <w:r>
        <w:rPr>
          <w:rFonts w:ascii="宋体" w:hAnsi="宋体" w:eastAsia="宋体" w:cs="宋体"/>
          <w:color w:val="auto"/>
          <w:spacing w:val="4"/>
          <w:sz w:val="20"/>
          <w:szCs w:val="20"/>
          <w:lang w:eastAsia="zh-CN"/>
        </w:rPr>
        <w:t>）请相关投标人按上述说明办理保证金退还手续，未按要求办理的将不能如期办理而非招标人原因。</w:t>
      </w:r>
      <w:r>
        <w:rPr>
          <w:rFonts w:ascii="宋体" w:hAnsi="宋体" w:eastAsia="宋体" w:cs="宋体"/>
          <w:color w:val="auto"/>
          <w:spacing w:val="10"/>
          <w:sz w:val="20"/>
          <w:szCs w:val="20"/>
          <w:lang w:eastAsia="zh-CN"/>
        </w:rPr>
        <w:t xml:space="preserve"> 因招标人原因造成逾期退还投标保证金的，将按商业银行同期一</w:t>
      </w:r>
      <w:r>
        <w:rPr>
          <w:rFonts w:ascii="宋体" w:hAnsi="宋体" w:eastAsia="宋体" w:cs="宋体"/>
          <w:color w:val="auto"/>
          <w:spacing w:val="9"/>
          <w:sz w:val="20"/>
          <w:szCs w:val="20"/>
          <w:lang w:eastAsia="zh-CN"/>
        </w:rPr>
        <w:t>年期贷款基准利率上浮</w:t>
      </w:r>
      <w:r>
        <w:rPr>
          <w:rFonts w:ascii="宋体" w:hAnsi="宋体" w:eastAsia="宋体" w:cs="宋体"/>
          <w:color w:val="auto"/>
          <w:spacing w:val="-33"/>
          <w:sz w:val="20"/>
          <w:szCs w:val="20"/>
          <w:lang w:eastAsia="zh-CN"/>
        </w:rPr>
        <w:t xml:space="preserve"> </w:t>
      </w:r>
      <w:r>
        <w:rPr>
          <w:rFonts w:ascii="Tahoma" w:hAnsi="Tahoma" w:eastAsia="Tahoma" w:cs="Tahoma"/>
          <w:color w:val="auto"/>
          <w:spacing w:val="9"/>
          <w:sz w:val="20"/>
          <w:szCs w:val="20"/>
          <w:lang w:eastAsia="zh-CN"/>
        </w:rPr>
        <w:t>20%</w:t>
      </w:r>
      <w:r>
        <w:rPr>
          <w:rFonts w:ascii="宋体" w:hAnsi="宋体" w:eastAsia="宋体" w:cs="宋体"/>
          <w:color w:val="auto"/>
          <w:spacing w:val="9"/>
          <w:sz w:val="20"/>
          <w:szCs w:val="20"/>
          <w:lang w:eastAsia="zh-CN"/>
        </w:rPr>
        <w:t xml:space="preserve">后的利率 </w:t>
      </w:r>
      <w:r>
        <w:rPr>
          <w:rFonts w:ascii="宋体" w:hAnsi="宋体" w:eastAsia="宋体" w:cs="宋体"/>
          <w:color w:val="auto"/>
          <w:spacing w:val="7"/>
          <w:sz w:val="20"/>
          <w:szCs w:val="20"/>
          <w:lang w:eastAsia="zh-CN"/>
        </w:rPr>
        <w:t>向投标人支付资金占用费。</w:t>
      </w:r>
    </w:p>
    <w:p w14:paraId="70944859">
      <w:pPr>
        <w:spacing w:before="94" w:line="271" w:lineRule="auto"/>
        <w:ind w:left="8" w:right="69" w:firstLine="1"/>
        <w:rPr>
          <w:rFonts w:ascii="宋体" w:hAnsi="宋体" w:eastAsia="宋体" w:cs="宋体"/>
          <w:color w:val="auto"/>
          <w:sz w:val="20"/>
          <w:szCs w:val="20"/>
          <w:lang w:eastAsia="zh-CN"/>
        </w:rPr>
      </w:pPr>
      <w:r>
        <w:rPr>
          <w:rFonts w:ascii="Tahoma" w:hAnsi="Tahoma" w:eastAsia="Tahoma" w:cs="Tahoma"/>
          <w:color w:val="auto"/>
          <w:spacing w:val="10"/>
          <w:sz w:val="20"/>
          <w:szCs w:val="20"/>
          <w:lang w:eastAsia="zh-CN"/>
        </w:rPr>
        <w:t xml:space="preserve">3.9.7 </w:t>
      </w:r>
      <w:r>
        <w:rPr>
          <w:rFonts w:ascii="宋体" w:hAnsi="宋体" w:eastAsia="宋体" w:cs="宋体"/>
          <w:color w:val="auto"/>
          <w:spacing w:val="10"/>
          <w:sz w:val="20"/>
          <w:szCs w:val="20"/>
          <w:lang w:eastAsia="zh-CN"/>
        </w:rPr>
        <w:t>在中标人签订合同（招标人如有要求中标人支付</w:t>
      </w:r>
      <w:r>
        <w:rPr>
          <w:rFonts w:ascii="宋体" w:hAnsi="宋体" w:eastAsia="宋体" w:cs="宋体"/>
          <w:color w:val="auto"/>
          <w:spacing w:val="9"/>
          <w:sz w:val="20"/>
          <w:szCs w:val="20"/>
          <w:lang w:eastAsia="zh-CN"/>
        </w:rPr>
        <w:t>履约保证金的，则增加：支付履约保证金）后</w:t>
      </w:r>
      <w:r>
        <w:rPr>
          <w:rFonts w:ascii="宋体" w:hAnsi="宋体" w:eastAsia="宋体" w:cs="宋体"/>
          <w:color w:val="auto"/>
          <w:spacing w:val="-32"/>
          <w:sz w:val="20"/>
          <w:szCs w:val="20"/>
          <w:lang w:eastAsia="zh-CN"/>
        </w:rPr>
        <w:t xml:space="preserve"> </w:t>
      </w:r>
      <w:r>
        <w:rPr>
          <w:rFonts w:ascii="Tahoma" w:hAnsi="Tahoma" w:eastAsia="Tahoma" w:cs="Tahoma"/>
          <w:color w:val="auto"/>
          <w:spacing w:val="9"/>
          <w:sz w:val="20"/>
          <w:szCs w:val="20"/>
          <w:lang w:eastAsia="zh-CN"/>
        </w:rPr>
        <w:t>5</w:t>
      </w:r>
      <w:r>
        <w:rPr>
          <w:rFonts w:ascii="Tahoma" w:hAnsi="Tahoma" w:eastAsia="Tahoma" w:cs="Tahoma"/>
          <w:color w:val="auto"/>
          <w:sz w:val="20"/>
          <w:szCs w:val="20"/>
          <w:lang w:eastAsia="zh-CN"/>
        </w:rPr>
        <w:t xml:space="preserve"> </w:t>
      </w:r>
      <w:r>
        <w:rPr>
          <w:rFonts w:ascii="宋体" w:hAnsi="宋体" w:eastAsia="宋体" w:cs="宋体"/>
          <w:color w:val="auto"/>
          <w:spacing w:val="9"/>
          <w:sz w:val="20"/>
          <w:szCs w:val="20"/>
          <w:lang w:eastAsia="zh-CN"/>
        </w:rPr>
        <w:t>个工作日内，中标人的投标保证金予以原额无息退还。</w:t>
      </w:r>
    </w:p>
    <w:p w14:paraId="71745709">
      <w:pPr>
        <w:spacing w:before="94" w:line="271" w:lineRule="auto"/>
        <w:ind w:left="123" w:right="4496" w:hanging="114"/>
        <w:rPr>
          <w:rFonts w:ascii="宋体" w:hAnsi="宋体" w:eastAsia="宋体" w:cs="宋体"/>
          <w:color w:val="auto"/>
          <w:spacing w:val="5"/>
          <w:sz w:val="20"/>
          <w:szCs w:val="20"/>
          <w:lang w:eastAsia="zh-CN"/>
        </w:rPr>
      </w:pPr>
      <w:r>
        <w:rPr>
          <w:rFonts w:ascii="Tahoma" w:hAnsi="Tahoma" w:eastAsia="Tahoma" w:cs="Tahoma"/>
          <w:color w:val="auto"/>
          <w:spacing w:val="6"/>
          <w:sz w:val="20"/>
          <w:szCs w:val="20"/>
          <w:lang w:eastAsia="zh-CN"/>
        </w:rPr>
        <w:t>3.9.</w:t>
      </w:r>
      <w:r>
        <w:rPr>
          <w:rFonts w:hint="eastAsia" w:ascii="Tahoma" w:hAnsi="Tahoma" w:eastAsia="Tahoma" w:cs="Tahoma"/>
          <w:color w:val="auto"/>
          <w:spacing w:val="6"/>
          <w:sz w:val="20"/>
          <w:szCs w:val="20"/>
          <w:lang w:val="en-US" w:eastAsia="zh-CN"/>
        </w:rPr>
        <w:t>8</w:t>
      </w:r>
      <w:r>
        <w:rPr>
          <w:rFonts w:ascii="Tahoma" w:hAnsi="Tahoma" w:eastAsia="Tahoma" w:cs="Tahoma"/>
          <w:color w:val="auto"/>
          <w:spacing w:val="56"/>
          <w:sz w:val="20"/>
          <w:szCs w:val="20"/>
          <w:lang w:eastAsia="zh-CN"/>
        </w:rPr>
        <w:t xml:space="preserve"> </w:t>
      </w:r>
      <w:r>
        <w:rPr>
          <w:rFonts w:ascii="宋体" w:hAnsi="宋体" w:eastAsia="宋体" w:cs="宋体"/>
          <w:color w:val="auto"/>
          <w:spacing w:val="6"/>
          <w:sz w:val="20"/>
          <w:szCs w:val="20"/>
          <w:lang w:eastAsia="zh-CN"/>
        </w:rPr>
        <w:t>发生以下情况之一的，投标保证金将不予退</w:t>
      </w:r>
      <w:r>
        <w:rPr>
          <w:rFonts w:ascii="宋体" w:hAnsi="宋体" w:eastAsia="宋体" w:cs="宋体"/>
          <w:color w:val="auto"/>
          <w:spacing w:val="5"/>
          <w:sz w:val="20"/>
          <w:szCs w:val="20"/>
          <w:lang w:eastAsia="zh-CN"/>
        </w:rPr>
        <w:t>还：</w:t>
      </w:r>
    </w:p>
    <w:p w14:paraId="5EAE0658">
      <w:pPr>
        <w:spacing w:before="92" w:line="227" w:lineRule="auto"/>
        <w:ind w:left="123"/>
        <w:rPr>
          <w:rFonts w:ascii="宋体" w:hAnsi="宋体" w:eastAsia="宋体" w:cs="宋体"/>
          <w:color w:val="auto"/>
          <w:spacing w:val="7"/>
          <w:sz w:val="20"/>
          <w:szCs w:val="20"/>
          <w:lang w:eastAsia="zh-CN"/>
        </w:rPr>
      </w:pPr>
      <w:r>
        <w:rPr>
          <w:rFonts w:ascii="宋体" w:hAnsi="宋体" w:eastAsia="宋体" w:cs="宋体"/>
          <w:color w:val="auto"/>
          <w:spacing w:val="7"/>
          <w:sz w:val="20"/>
          <w:szCs w:val="20"/>
          <w:lang w:eastAsia="zh-CN"/>
        </w:rPr>
        <w:t>（1）投标人在投标有效期内撤销投标文件的；</w:t>
      </w:r>
    </w:p>
    <w:p w14:paraId="4E7D9901">
      <w:pPr>
        <w:spacing w:before="92" w:line="227" w:lineRule="auto"/>
        <w:ind w:left="123"/>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w:t>
      </w:r>
      <w:r>
        <w:rPr>
          <w:rFonts w:ascii="Tahoma" w:hAnsi="Tahoma" w:eastAsia="Tahoma" w:cs="Tahoma"/>
          <w:color w:val="auto"/>
          <w:spacing w:val="7"/>
          <w:sz w:val="20"/>
          <w:szCs w:val="20"/>
          <w:lang w:eastAsia="zh-CN"/>
        </w:rPr>
        <w:t>2</w:t>
      </w:r>
      <w:r>
        <w:rPr>
          <w:rFonts w:ascii="宋体" w:hAnsi="宋体" w:eastAsia="宋体" w:cs="宋体"/>
          <w:color w:val="auto"/>
          <w:spacing w:val="7"/>
          <w:sz w:val="20"/>
          <w:szCs w:val="20"/>
          <w:lang w:eastAsia="zh-CN"/>
        </w:rPr>
        <w:t>）投标人提供虚假投标证明材料；</w:t>
      </w:r>
    </w:p>
    <w:p w14:paraId="0AD094CE">
      <w:pPr>
        <w:spacing w:before="95" w:line="341" w:lineRule="exact"/>
        <w:ind w:left="123"/>
        <w:rPr>
          <w:rFonts w:ascii="宋体" w:hAnsi="宋体" w:eastAsia="宋体" w:cs="宋体"/>
          <w:color w:val="auto"/>
          <w:sz w:val="20"/>
          <w:szCs w:val="20"/>
          <w:lang w:eastAsia="zh-CN"/>
        </w:rPr>
      </w:pPr>
      <w:r>
        <w:rPr>
          <w:rFonts w:ascii="宋体" w:hAnsi="宋体" w:eastAsia="宋体" w:cs="宋体"/>
          <w:color w:val="auto"/>
          <w:spacing w:val="7"/>
          <w:position w:val="10"/>
          <w:sz w:val="20"/>
          <w:szCs w:val="20"/>
          <w:lang w:eastAsia="zh-CN"/>
        </w:rPr>
        <w:t>（</w:t>
      </w:r>
      <w:r>
        <w:rPr>
          <w:rFonts w:ascii="Tahoma" w:hAnsi="Tahoma" w:eastAsia="Tahoma" w:cs="Tahoma"/>
          <w:color w:val="auto"/>
          <w:spacing w:val="7"/>
          <w:position w:val="10"/>
          <w:sz w:val="20"/>
          <w:szCs w:val="20"/>
          <w:lang w:eastAsia="zh-CN"/>
        </w:rPr>
        <w:t>3</w:t>
      </w:r>
      <w:r>
        <w:rPr>
          <w:rFonts w:ascii="宋体" w:hAnsi="宋体" w:eastAsia="宋体" w:cs="宋体"/>
          <w:color w:val="auto"/>
          <w:spacing w:val="7"/>
          <w:position w:val="10"/>
          <w:sz w:val="20"/>
          <w:szCs w:val="20"/>
          <w:lang w:eastAsia="zh-CN"/>
        </w:rPr>
        <w:t>）</w:t>
      </w:r>
      <w:r>
        <w:rPr>
          <w:rFonts w:ascii="宋体" w:hAnsi="宋体" w:eastAsia="宋体" w:cs="宋体"/>
          <w:color w:val="auto"/>
          <w:spacing w:val="-56"/>
          <w:position w:val="10"/>
          <w:sz w:val="20"/>
          <w:szCs w:val="20"/>
          <w:lang w:eastAsia="zh-CN"/>
        </w:rPr>
        <w:t xml:space="preserve"> </w:t>
      </w:r>
      <w:r>
        <w:rPr>
          <w:rFonts w:ascii="宋体" w:hAnsi="宋体" w:eastAsia="宋体" w:cs="宋体"/>
          <w:color w:val="auto"/>
          <w:spacing w:val="7"/>
          <w:position w:val="10"/>
          <w:sz w:val="20"/>
          <w:szCs w:val="20"/>
          <w:lang w:eastAsia="zh-CN"/>
        </w:rPr>
        <w:t>以他人名义投标或者以其他方式弄虚作假，骗取中标；</w:t>
      </w:r>
    </w:p>
    <w:p w14:paraId="0E0FC77B">
      <w:pPr>
        <w:spacing w:before="1" w:line="227" w:lineRule="auto"/>
        <w:ind w:left="123"/>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4</w:t>
      </w:r>
      <w:r>
        <w:rPr>
          <w:rFonts w:ascii="宋体" w:hAnsi="宋体" w:eastAsia="宋体" w:cs="宋体"/>
          <w:color w:val="auto"/>
          <w:spacing w:val="8"/>
          <w:sz w:val="20"/>
          <w:szCs w:val="20"/>
          <w:lang w:eastAsia="zh-CN"/>
        </w:rPr>
        <w:t>）投标人在规定的投标有效期内修改其投标文件；</w:t>
      </w:r>
    </w:p>
    <w:p w14:paraId="2F53D831">
      <w:pPr>
        <w:spacing w:before="91" w:line="271" w:lineRule="auto"/>
        <w:ind w:left="123" w:right="216"/>
        <w:rPr>
          <w:rFonts w:ascii="宋体" w:hAnsi="宋体" w:eastAsia="宋体" w:cs="宋体"/>
          <w:color w:val="auto"/>
          <w:spacing w:val="8"/>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5</w:t>
      </w:r>
      <w:r>
        <w:rPr>
          <w:rFonts w:ascii="宋体" w:hAnsi="宋体" w:eastAsia="宋体" w:cs="宋体"/>
          <w:color w:val="auto"/>
          <w:spacing w:val="9"/>
          <w:sz w:val="20"/>
          <w:szCs w:val="20"/>
          <w:lang w:eastAsia="zh-CN"/>
        </w:rPr>
        <w:t>）中标人在收到中标通知书后，无正当理由拒签合同协</w:t>
      </w:r>
      <w:r>
        <w:rPr>
          <w:rFonts w:ascii="宋体" w:hAnsi="宋体" w:eastAsia="宋体" w:cs="宋体"/>
          <w:color w:val="auto"/>
          <w:spacing w:val="8"/>
          <w:sz w:val="20"/>
          <w:szCs w:val="20"/>
          <w:lang w:eastAsia="zh-CN"/>
        </w:rPr>
        <w:t>议书或未按招标文件规定提交履约担保。</w:t>
      </w:r>
    </w:p>
    <w:p w14:paraId="338A5F13">
      <w:pPr>
        <w:spacing w:before="91" w:line="271" w:lineRule="auto"/>
        <w:ind w:left="123" w:right="216"/>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6</w:t>
      </w:r>
      <w:r>
        <w:rPr>
          <w:rFonts w:ascii="宋体" w:hAnsi="宋体" w:eastAsia="宋体" w:cs="宋体"/>
          <w:color w:val="auto"/>
          <w:spacing w:val="9"/>
          <w:sz w:val="20"/>
          <w:szCs w:val="20"/>
          <w:lang w:eastAsia="zh-CN"/>
        </w:rPr>
        <w:t>）上述不予退还投标保证金的情况给招标采购单位造成损失的，还要承担赔偿责任。</w:t>
      </w:r>
    </w:p>
    <w:p w14:paraId="2DC79C66">
      <w:pPr>
        <w:spacing w:before="69" w:line="222" w:lineRule="auto"/>
        <w:ind w:left="4246"/>
        <w:rPr>
          <w:rFonts w:ascii="Tahoma" w:hAnsi="Tahoma" w:eastAsia="Tahoma" w:cs="Tahoma"/>
          <w:b/>
          <w:bCs/>
          <w:color w:val="auto"/>
          <w:spacing w:val="-10"/>
          <w:sz w:val="24"/>
          <w:szCs w:val="24"/>
          <w:lang w:eastAsia="zh-CN"/>
        </w:rPr>
      </w:pPr>
    </w:p>
    <w:p w14:paraId="1FE49DEE">
      <w:pPr>
        <w:spacing w:before="69" w:line="222" w:lineRule="auto"/>
        <w:ind w:left="4246"/>
        <w:rPr>
          <w:rFonts w:ascii="黑体" w:hAnsi="黑体" w:eastAsia="黑体" w:cs="黑体"/>
          <w:color w:val="auto"/>
          <w:sz w:val="24"/>
          <w:szCs w:val="24"/>
          <w:lang w:eastAsia="zh-CN"/>
        </w:rPr>
      </w:pPr>
      <w:r>
        <w:rPr>
          <w:rFonts w:ascii="Tahoma" w:hAnsi="Tahoma" w:eastAsia="Tahoma" w:cs="Tahoma"/>
          <w:b/>
          <w:bCs/>
          <w:color w:val="auto"/>
          <w:spacing w:val="-10"/>
          <w:sz w:val="24"/>
          <w:szCs w:val="24"/>
          <w:lang w:eastAsia="zh-CN"/>
        </w:rPr>
        <w:t>4</w:t>
      </w:r>
      <w:r>
        <w:rPr>
          <w:rFonts w:ascii="Tahoma" w:hAnsi="Tahoma" w:eastAsia="Tahoma" w:cs="Tahoma"/>
          <w:b/>
          <w:bCs/>
          <w:color w:val="auto"/>
          <w:spacing w:val="-34"/>
          <w:sz w:val="24"/>
          <w:szCs w:val="24"/>
          <w:lang w:eastAsia="zh-CN"/>
        </w:rPr>
        <w:t xml:space="preserve"> </w:t>
      </w:r>
      <w:r>
        <w:rPr>
          <w:rFonts w:ascii="黑体" w:hAnsi="黑体" w:eastAsia="黑体" w:cs="黑体"/>
          <w:color w:val="auto"/>
          <w:spacing w:val="-10"/>
          <w:sz w:val="24"/>
          <w:szCs w:val="24"/>
          <w:lang w:eastAsia="zh-CN"/>
          <w14:textOutline w14:w="4356" w14:cap="sq" w14:cmpd="sng" w14:algn="ctr">
            <w14:solidFill>
              <w14:srgbClr w14:val="000000"/>
            </w14:solidFill>
            <w14:prstDash w14:val="solid"/>
            <w14:bevel/>
          </w14:textOutline>
        </w:rPr>
        <w:t>、投标</w:t>
      </w:r>
    </w:p>
    <w:p w14:paraId="3EC91554">
      <w:pPr>
        <w:spacing w:before="75" w:line="228" w:lineRule="auto"/>
        <w:ind w:left="4"/>
        <w:rPr>
          <w:rFonts w:ascii="宋体" w:hAnsi="宋体" w:eastAsia="宋体" w:cs="宋体"/>
          <w:color w:val="auto"/>
          <w:sz w:val="20"/>
          <w:szCs w:val="20"/>
          <w:lang w:eastAsia="zh-CN"/>
        </w:rPr>
      </w:pPr>
      <w:r>
        <w:rPr>
          <w:rFonts w:ascii="Tahoma" w:hAnsi="Tahoma" w:eastAsia="Tahoma" w:cs="Tahoma"/>
          <w:b/>
          <w:bCs/>
          <w:color w:val="auto"/>
          <w:spacing w:val="7"/>
          <w:sz w:val="20"/>
          <w:szCs w:val="20"/>
          <w:lang w:eastAsia="zh-CN"/>
        </w:rPr>
        <w:t>4.1.</w:t>
      </w:r>
      <w:r>
        <w:rPr>
          <w:rFonts w:ascii="Tahoma" w:hAnsi="Tahoma" w:eastAsia="Tahoma" w:cs="Tahoma"/>
          <w:b/>
          <w:bCs/>
          <w:color w:val="auto"/>
          <w:spacing w:val="57"/>
          <w:sz w:val="20"/>
          <w:szCs w:val="20"/>
          <w:lang w:eastAsia="zh-CN"/>
        </w:rPr>
        <w:t xml:space="preserve"> </w:t>
      </w:r>
      <w:r>
        <w:rPr>
          <w:rFonts w:ascii="宋体" w:hAnsi="宋体" w:eastAsia="宋体" w:cs="宋体"/>
          <w:color w:val="auto"/>
          <w:spacing w:val="7"/>
          <w:sz w:val="20"/>
          <w:szCs w:val="20"/>
          <w:lang w:eastAsia="zh-CN"/>
          <w14:textOutline w14:w="3797" w14:cap="sq" w14:cmpd="sng" w14:algn="ctr">
            <w14:solidFill>
              <w14:srgbClr w14:val="000000"/>
            </w14:solidFill>
            <w14:prstDash w14:val="solid"/>
            <w14:bevel/>
          </w14:textOutline>
        </w:rPr>
        <w:t>投标文件的递交</w:t>
      </w:r>
    </w:p>
    <w:p w14:paraId="18FA837E">
      <w:pPr>
        <w:spacing w:before="94" w:line="227" w:lineRule="auto"/>
        <w:ind w:left="4"/>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 xml:space="preserve">4.1.1 </w:t>
      </w:r>
      <w:r>
        <w:rPr>
          <w:rFonts w:ascii="宋体" w:hAnsi="宋体" w:eastAsia="宋体" w:cs="宋体"/>
          <w:color w:val="auto"/>
          <w:spacing w:val="7"/>
          <w:sz w:val="20"/>
          <w:szCs w:val="20"/>
          <w:lang w:eastAsia="zh-CN"/>
        </w:rPr>
        <w:t>本项目实行网上投标，采用电子投标文件。若</w:t>
      </w: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参与投标，</w:t>
      </w:r>
      <w:r>
        <w:rPr>
          <w:rFonts w:ascii="宋体" w:hAnsi="宋体" w:eastAsia="宋体" w:cs="宋体"/>
          <w:color w:val="auto"/>
          <w:spacing w:val="-33"/>
          <w:sz w:val="20"/>
          <w:szCs w:val="20"/>
          <w:lang w:eastAsia="zh-CN"/>
        </w:rPr>
        <w:t xml:space="preserve"> </w:t>
      </w:r>
      <w:r>
        <w:rPr>
          <w:rFonts w:ascii="宋体" w:hAnsi="宋体" w:eastAsia="宋体" w:cs="宋体"/>
          <w:color w:val="auto"/>
          <w:spacing w:val="7"/>
          <w:sz w:val="20"/>
          <w:szCs w:val="20"/>
          <w:lang w:eastAsia="zh-CN"/>
        </w:rPr>
        <w:t>自行承担投标一切费用。</w:t>
      </w:r>
    </w:p>
    <w:p w14:paraId="6A4A638B">
      <w:pPr>
        <w:spacing w:before="95" w:line="285" w:lineRule="auto"/>
        <w:ind w:left="9" w:right="69" w:hanging="5"/>
        <w:rPr>
          <w:rFonts w:ascii="宋体" w:hAnsi="宋体" w:eastAsia="宋体" w:cs="宋体"/>
          <w:color w:val="auto"/>
          <w:sz w:val="20"/>
          <w:szCs w:val="20"/>
          <w:lang w:eastAsia="zh-CN"/>
        </w:rPr>
      </w:pPr>
      <w:r>
        <w:rPr>
          <w:rFonts w:ascii="Tahoma" w:hAnsi="Tahoma" w:eastAsia="Tahoma" w:cs="Tahoma"/>
          <w:color w:val="auto"/>
          <w:spacing w:val="12"/>
          <w:sz w:val="20"/>
          <w:szCs w:val="20"/>
          <w:lang w:eastAsia="zh-CN"/>
        </w:rPr>
        <w:t xml:space="preserve">4.1.2 </w:t>
      </w:r>
      <w:r>
        <w:rPr>
          <w:rFonts w:ascii="宋体" w:hAnsi="宋体" w:eastAsia="宋体" w:cs="宋体"/>
          <w:color w:val="auto"/>
          <w:spacing w:val="12"/>
          <w:sz w:val="20"/>
          <w:szCs w:val="20"/>
          <w:lang w:eastAsia="zh-CN"/>
        </w:rPr>
        <w:t>各</w:t>
      </w:r>
      <w:r>
        <w:rPr>
          <w:rFonts w:hint="eastAsia" w:ascii="宋体" w:hAnsi="宋体" w:eastAsia="宋体" w:cs="宋体"/>
          <w:color w:val="auto"/>
          <w:spacing w:val="12"/>
          <w:sz w:val="20"/>
          <w:szCs w:val="20"/>
          <w:lang w:eastAsia="zh-CN"/>
        </w:rPr>
        <w:t>服务商</w:t>
      </w:r>
      <w:r>
        <w:rPr>
          <w:rFonts w:ascii="宋体" w:hAnsi="宋体" w:eastAsia="宋体" w:cs="宋体"/>
          <w:color w:val="auto"/>
          <w:spacing w:val="12"/>
          <w:sz w:val="20"/>
          <w:szCs w:val="20"/>
          <w:lang w:eastAsia="zh-CN"/>
        </w:rPr>
        <w:t>应在开标前应确保成为新疆维吾尔自治区政府采购</w:t>
      </w:r>
      <w:r>
        <w:rPr>
          <w:rFonts w:ascii="宋体" w:hAnsi="宋体" w:eastAsia="宋体" w:cs="宋体"/>
          <w:color w:val="auto"/>
          <w:spacing w:val="11"/>
          <w:sz w:val="20"/>
          <w:szCs w:val="20"/>
          <w:lang w:eastAsia="zh-CN"/>
        </w:rPr>
        <w:t>网正式注册入库</w:t>
      </w:r>
      <w:r>
        <w:rPr>
          <w:rFonts w:hint="eastAsia" w:ascii="宋体" w:hAnsi="宋体" w:eastAsia="宋体" w:cs="宋体"/>
          <w:color w:val="auto"/>
          <w:spacing w:val="11"/>
          <w:sz w:val="20"/>
          <w:szCs w:val="20"/>
          <w:lang w:eastAsia="zh-CN"/>
        </w:rPr>
        <w:t>服务商</w:t>
      </w:r>
      <w:r>
        <w:rPr>
          <w:rFonts w:ascii="宋体" w:hAnsi="宋体" w:eastAsia="宋体" w:cs="宋体"/>
          <w:color w:val="auto"/>
          <w:spacing w:val="11"/>
          <w:sz w:val="20"/>
          <w:szCs w:val="20"/>
          <w:lang w:eastAsia="zh-CN"/>
        </w:rPr>
        <w:t>，并完成</w:t>
      </w:r>
      <w:r>
        <w:rPr>
          <w:rFonts w:ascii="宋体" w:hAnsi="宋体" w:eastAsia="宋体" w:cs="宋体"/>
          <w:color w:val="auto"/>
          <w:spacing w:val="-36"/>
          <w:sz w:val="20"/>
          <w:szCs w:val="20"/>
          <w:lang w:eastAsia="zh-CN"/>
        </w:rPr>
        <w:t xml:space="preserve"> </w:t>
      </w:r>
      <w:r>
        <w:rPr>
          <w:rFonts w:ascii="Tahoma" w:hAnsi="Tahoma" w:eastAsia="Tahoma" w:cs="Tahoma"/>
          <w:color w:val="auto"/>
          <w:sz w:val="20"/>
          <w:szCs w:val="20"/>
          <w:lang w:eastAsia="zh-CN"/>
        </w:rPr>
        <w:t xml:space="preserve">CA </w:t>
      </w:r>
      <w:r>
        <w:rPr>
          <w:rFonts w:ascii="宋体" w:hAnsi="宋体" w:eastAsia="宋体" w:cs="宋体"/>
          <w:color w:val="auto"/>
          <w:spacing w:val="9"/>
          <w:sz w:val="20"/>
          <w:szCs w:val="20"/>
          <w:lang w:eastAsia="zh-CN"/>
        </w:rPr>
        <w:t>数字证书申领。因未注册入库、未办理</w:t>
      </w:r>
      <w:r>
        <w:rPr>
          <w:rFonts w:ascii="宋体" w:hAnsi="宋体" w:eastAsia="宋体" w:cs="宋体"/>
          <w:color w:val="auto"/>
          <w:spacing w:val="-38"/>
          <w:sz w:val="20"/>
          <w:szCs w:val="20"/>
          <w:lang w:eastAsia="zh-CN"/>
        </w:rPr>
        <w:t xml:space="preserve"> </w:t>
      </w:r>
      <w:r>
        <w:rPr>
          <w:rFonts w:ascii="Tahoma" w:hAnsi="Tahoma" w:eastAsia="Tahoma" w:cs="Tahoma"/>
          <w:color w:val="auto"/>
          <w:sz w:val="20"/>
          <w:szCs w:val="20"/>
          <w:lang w:eastAsia="zh-CN"/>
        </w:rPr>
        <w:t>CA</w:t>
      </w:r>
      <w:r>
        <w:rPr>
          <w:rFonts w:ascii="Tahoma" w:hAnsi="Tahoma" w:eastAsia="Tahoma" w:cs="Tahoma"/>
          <w:color w:val="auto"/>
          <w:spacing w:val="9"/>
          <w:sz w:val="20"/>
          <w:szCs w:val="20"/>
          <w:lang w:eastAsia="zh-CN"/>
        </w:rPr>
        <w:t xml:space="preserve"> </w:t>
      </w:r>
      <w:r>
        <w:rPr>
          <w:rFonts w:ascii="宋体" w:hAnsi="宋体" w:eastAsia="宋体" w:cs="宋体"/>
          <w:color w:val="auto"/>
          <w:spacing w:val="9"/>
          <w:sz w:val="20"/>
          <w:szCs w:val="20"/>
          <w:lang w:eastAsia="zh-CN"/>
        </w:rPr>
        <w:t>数字证书等原因造成无法投</w:t>
      </w:r>
      <w:r>
        <w:rPr>
          <w:rFonts w:ascii="宋体" w:hAnsi="宋体" w:eastAsia="宋体" w:cs="宋体"/>
          <w:color w:val="auto"/>
          <w:spacing w:val="8"/>
          <w:sz w:val="20"/>
          <w:szCs w:val="20"/>
          <w:lang w:eastAsia="zh-CN"/>
        </w:rPr>
        <w:t>标或投标失败等后果由</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自</w:t>
      </w:r>
      <w:r>
        <w:rPr>
          <w:rFonts w:ascii="宋体" w:hAnsi="宋体" w:eastAsia="宋体" w:cs="宋体"/>
          <w:color w:val="auto"/>
          <w:sz w:val="20"/>
          <w:szCs w:val="20"/>
          <w:lang w:eastAsia="zh-CN"/>
        </w:rPr>
        <w:t xml:space="preserve"> </w:t>
      </w:r>
      <w:r>
        <w:rPr>
          <w:rFonts w:ascii="宋体" w:hAnsi="宋体" w:eastAsia="宋体" w:cs="宋体"/>
          <w:color w:val="auto"/>
          <w:spacing w:val="4"/>
          <w:sz w:val="20"/>
          <w:szCs w:val="20"/>
          <w:lang w:eastAsia="zh-CN"/>
        </w:rPr>
        <w:t>行承担。</w:t>
      </w:r>
    </w:p>
    <w:p w14:paraId="41793529">
      <w:pPr>
        <w:spacing w:before="94" w:line="285" w:lineRule="auto"/>
        <w:ind w:left="6" w:right="16" w:hanging="2"/>
        <w:rPr>
          <w:rFonts w:ascii="Tahoma" w:hAnsi="Tahoma" w:eastAsia="Tahoma" w:cs="Tahoma"/>
          <w:color w:val="auto"/>
          <w:sz w:val="20"/>
          <w:szCs w:val="20"/>
          <w:lang w:eastAsia="zh-CN"/>
        </w:rPr>
      </w:pPr>
      <w:r>
        <w:rPr>
          <w:rFonts w:ascii="Tahoma" w:hAnsi="Tahoma" w:eastAsia="Tahoma" w:cs="Tahoma"/>
          <w:color w:val="auto"/>
          <w:spacing w:val="7"/>
          <w:sz w:val="20"/>
          <w:szCs w:val="20"/>
          <w:lang w:eastAsia="zh-CN"/>
        </w:rPr>
        <w:t xml:space="preserve">4.1.3 </w:t>
      </w:r>
      <w:r>
        <w:rPr>
          <w:rFonts w:ascii="宋体" w:hAnsi="宋体" w:eastAsia="宋体" w:cs="宋体"/>
          <w:color w:val="auto"/>
          <w:spacing w:val="7"/>
          <w:sz w:val="20"/>
          <w:szCs w:val="20"/>
          <w:lang w:eastAsia="zh-CN"/>
        </w:rPr>
        <w:t>本项目为电子招投标，投标人需要使用</w:t>
      </w:r>
      <w:r>
        <w:rPr>
          <w:rFonts w:ascii="宋体" w:hAnsi="宋体" w:eastAsia="宋体" w:cs="宋体"/>
          <w:color w:val="auto"/>
          <w:spacing w:val="-38"/>
          <w:sz w:val="20"/>
          <w:szCs w:val="20"/>
          <w:lang w:eastAsia="zh-CN"/>
        </w:rPr>
        <w:t xml:space="preserve"> </w:t>
      </w:r>
      <w:r>
        <w:rPr>
          <w:rFonts w:ascii="Tahoma" w:hAnsi="Tahoma" w:eastAsia="Tahoma" w:cs="Tahoma"/>
          <w:color w:val="auto"/>
          <w:sz w:val="20"/>
          <w:szCs w:val="20"/>
          <w:lang w:eastAsia="zh-CN"/>
        </w:rPr>
        <w:t>CA</w:t>
      </w:r>
      <w:r>
        <w:rPr>
          <w:rFonts w:ascii="Tahoma" w:hAnsi="Tahoma" w:eastAsia="Tahoma" w:cs="Tahoma"/>
          <w:color w:val="auto"/>
          <w:spacing w:val="7"/>
          <w:sz w:val="20"/>
          <w:szCs w:val="20"/>
          <w:lang w:eastAsia="zh-CN"/>
        </w:rPr>
        <w:t xml:space="preserve"> </w:t>
      </w:r>
      <w:r>
        <w:rPr>
          <w:rFonts w:ascii="宋体" w:hAnsi="宋体" w:eastAsia="宋体" w:cs="宋体"/>
          <w:color w:val="auto"/>
          <w:spacing w:val="7"/>
          <w:sz w:val="20"/>
          <w:szCs w:val="20"/>
          <w:lang w:eastAsia="zh-CN"/>
        </w:rPr>
        <w:t>加密设备，有意向参与新疆区域电子开评标</w:t>
      </w:r>
      <w:r>
        <w:rPr>
          <w:rFonts w:ascii="宋体" w:hAnsi="宋体" w:eastAsia="宋体" w:cs="宋体"/>
          <w:color w:val="auto"/>
          <w:spacing w:val="6"/>
          <w:sz w:val="20"/>
          <w:szCs w:val="20"/>
          <w:lang w:eastAsia="zh-CN"/>
        </w:rPr>
        <w:t>的</w:t>
      </w:r>
      <w:r>
        <w:rPr>
          <w:rFonts w:hint="eastAsia" w:ascii="宋体" w:hAnsi="宋体" w:eastAsia="宋体" w:cs="宋体"/>
          <w:color w:val="auto"/>
          <w:spacing w:val="6"/>
          <w:sz w:val="20"/>
          <w:szCs w:val="20"/>
          <w:lang w:eastAsia="zh-CN"/>
        </w:rPr>
        <w:t>服务商</w:t>
      </w:r>
      <w:r>
        <w:rPr>
          <w:rFonts w:ascii="宋体" w:hAnsi="宋体" w:eastAsia="宋体" w:cs="宋体"/>
          <w:color w:val="auto"/>
          <w:spacing w:val="6"/>
          <w:sz w:val="20"/>
          <w:szCs w:val="20"/>
          <w:lang w:eastAsia="zh-CN"/>
        </w:rPr>
        <w:t>，</w:t>
      </w:r>
      <w:r>
        <w:rPr>
          <w:rFonts w:ascii="宋体" w:hAnsi="宋体" w:eastAsia="宋体" w:cs="宋体"/>
          <w:color w:val="auto"/>
          <w:sz w:val="20"/>
          <w:szCs w:val="20"/>
          <w:lang w:eastAsia="zh-CN"/>
        </w:rPr>
        <w:t xml:space="preserve"> </w:t>
      </w:r>
      <w:r>
        <w:rPr>
          <w:rFonts w:ascii="宋体" w:hAnsi="宋体" w:eastAsia="宋体" w:cs="宋体"/>
          <w:color w:val="auto"/>
          <w:spacing w:val="10"/>
          <w:sz w:val="20"/>
          <w:szCs w:val="20"/>
          <w:lang w:eastAsia="zh-CN"/>
        </w:rPr>
        <w:t>请访问新疆数字证书认证中心官方网站（</w:t>
      </w:r>
      <w:r>
        <w:rPr>
          <w:color w:val="auto"/>
        </w:rPr>
        <w:fldChar w:fldCharType="begin"/>
      </w:r>
      <w:r>
        <w:rPr>
          <w:color w:val="auto"/>
        </w:rPr>
        <w:instrText xml:space="preserve"> HYPERLINK "https://www.xjca.com.cn/" </w:instrText>
      </w:r>
      <w:r>
        <w:rPr>
          <w:color w:val="auto"/>
        </w:rPr>
        <w:fldChar w:fldCharType="separate"/>
      </w:r>
      <w:r>
        <w:rPr>
          <w:rFonts w:ascii="Tahoma" w:hAnsi="Tahoma" w:eastAsia="Tahoma" w:cs="Tahoma"/>
          <w:color w:val="auto"/>
          <w:sz w:val="20"/>
          <w:szCs w:val="20"/>
          <w:lang w:eastAsia="zh-CN"/>
        </w:rPr>
        <w:t>https</w:t>
      </w:r>
      <w:r>
        <w:rPr>
          <w:rFonts w:ascii="Tahoma" w:hAnsi="Tahoma" w:eastAsia="Tahoma" w:cs="Tahoma"/>
          <w:color w:val="auto"/>
          <w:spacing w:val="10"/>
          <w:sz w:val="20"/>
          <w:szCs w:val="20"/>
          <w:lang w:eastAsia="zh-CN"/>
        </w:rPr>
        <w:t>:/</w:t>
      </w:r>
      <w:r>
        <w:rPr>
          <w:rFonts w:ascii="Tahoma" w:hAnsi="Tahoma" w:eastAsia="Tahoma" w:cs="Tahoma"/>
          <w:color w:val="auto"/>
          <w:spacing w:val="9"/>
          <w:sz w:val="20"/>
          <w:szCs w:val="20"/>
          <w:lang w:eastAsia="zh-CN"/>
        </w:rPr>
        <w:t>/</w:t>
      </w:r>
      <w:r>
        <w:rPr>
          <w:rFonts w:ascii="Tahoma" w:hAnsi="Tahoma" w:eastAsia="Tahoma" w:cs="Tahoma"/>
          <w:color w:val="auto"/>
          <w:sz w:val="20"/>
          <w:szCs w:val="20"/>
          <w:lang w:eastAsia="zh-CN"/>
        </w:rPr>
        <w:t>www</w:t>
      </w:r>
      <w:r>
        <w:rPr>
          <w:rFonts w:ascii="Tahoma" w:hAnsi="Tahoma" w:eastAsia="Tahoma" w:cs="Tahoma"/>
          <w:color w:val="auto"/>
          <w:spacing w:val="9"/>
          <w:sz w:val="20"/>
          <w:szCs w:val="20"/>
          <w:lang w:eastAsia="zh-CN"/>
        </w:rPr>
        <w:t>.</w:t>
      </w:r>
      <w:r>
        <w:rPr>
          <w:rFonts w:ascii="Tahoma" w:hAnsi="Tahoma" w:eastAsia="Tahoma" w:cs="Tahoma"/>
          <w:color w:val="auto"/>
          <w:sz w:val="20"/>
          <w:szCs w:val="20"/>
          <w:lang w:eastAsia="zh-CN"/>
        </w:rPr>
        <w:t>xjca</w:t>
      </w:r>
      <w:r>
        <w:rPr>
          <w:rFonts w:ascii="Tahoma" w:hAnsi="Tahoma" w:eastAsia="Tahoma" w:cs="Tahoma"/>
          <w:color w:val="auto"/>
          <w:spacing w:val="9"/>
          <w:sz w:val="20"/>
          <w:szCs w:val="20"/>
          <w:lang w:eastAsia="zh-CN"/>
        </w:rPr>
        <w:t>.</w:t>
      </w:r>
      <w:r>
        <w:rPr>
          <w:rFonts w:ascii="Tahoma" w:hAnsi="Tahoma" w:eastAsia="Tahoma" w:cs="Tahoma"/>
          <w:color w:val="auto"/>
          <w:sz w:val="20"/>
          <w:szCs w:val="20"/>
          <w:lang w:eastAsia="zh-CN"/>
        </w:rPr>
        <w:t>com</w:t>
      </w:r>
      <w:r>
        <w:rPr>
          <w:rFonts w:ascii="Tahoma" w:hAnsi="Tahoma" w:eastAsia="Tahoma" w:cs="Tahoma"/>
          <w:color w:val="auto"/>
          <w:spacing w:val="9"/>
          <w:sz w:val="20"/>
          <w:szCs w:val="20"/>
          <w:lang w:eastAsia="zh-CN"/>
        </w:rPr>
        <w:t>.</w:t>
      </w:r>
      <w:r>
        <w:rPr>
          <w:rFonts w:ascii="Tahoma" w:hAnsi="Tahoma" w:eastAsia="Tahoma" w:cs="Tahoma"/>
          <w:color w:val="auto"/>
          <w:sz w:val="20"/>
          <w:szCs w:val="20"/>
          <w:lang w:eastAsia="zh-CN"/>
        </w:rPr>
        <w:t>cn</w:t>
      </w:r>
      <w:r>
        <w:rPr>
          <w:rFonts w:ascii="Tahoma" w:hAnsi="Tahoma" w:eastAsia="Tahoma" w:cs="Tahoma"/>
          <w:color w:val="auto"/>
          <w:spacing w:val="9"/>
          <w:sz w:val="20"/>
          <w:szCs w:val="20"/>
          <w:lang w:eastAsia="zh-CN"/>
        </w:rPr>
        <w:t>/</w:t>
      </w:r>
      <w:r>
        <w:rPr>
          <w:rFonts w:ascii="Tahoma" w:hAnsi="Tahoma" w:eastAsia="Tahoma" w:cs="Tahoma"/>
          <w:color w:val="auto"/>
          <w:spacing w:val="9"/>
          <w:sz w:val="20"/>
          <w:szCs w:val="20"/>
          <w:lang w:eastAsia="zh-CN"/>
        </w:rPr>
        <w:fldChar w:fldCharType="end"/>
      </w:r>
      <w:r>
        <w:rPr>
          <w:rFonts w:ascii="宋体" w:hAnsi="宋体" w:eastAsia="宋体" w:cs="宋体"/>
          <w:color w:val="auto"/>
          <w:spacing w:val="9"/>
          <w:sz w:val="20"/>
          <w:szCs w:val="20"/>
          <w:lang w:eastAsia="zh-CN"/>
        </w:rPr>
        <w:t>）或下载；</w:t>
      </w:r>
      <w:r>
        <w:rPr>
          <w:rFonts w:ascii="宋体" w:hAnsi="宋体" w:eastAsia="宋体" w:cs="宋体"/>
          <w:color w:val="auto"/>
          <w:spacing w:val="-78"/>
          <w:sz w:val="20"/>
          <w:szCs w:val="20"/>
          <w:lang w:eastAsia="zh-CN"/>
        </w:rPr>
        <w:t xml:space="preserve"> </w:t>
      </w:r>
      <w:r>
        <w:rPr>
          <w:rFonts w:ascii="宋体" w:hAnsi="宋体" w:eastAsia="宋体" w:cs="宋体"/>
          <w:color w:val="auto"/>
          <w:spacing w:val="9"/>
          <w:sz w:val="20"/>
          <w:szCs w:val="20"/>
          <w:lang w:eastAsia="zh-CN"/>
        </w:rPr>
        <w:t>“新疆政务通</w:t>
      </w:r>
      <w:r>
        <w:rPr>
          <w:rFonts w:ascii="宋体" w:hAnsi="宋体" w:eastAsia="宋体" w:cs="宋体"/>
          <w:color w:val="auto"/>
          <w:spacing w:val="-70"/>
          <w:sz w:val="20"/>
          <w:szCs w:val="20"/>
          <w:lang w:eastAsia="zh-CN"/>
        </w:rPr>
        <w:t xml:space="preserve"> </w:t>
      </w:r>
      <w:r>
        <w:rPr>
          <w:rFonts w:ascii="宋体" w:hAnsi="宋体" w:eastAsia="宋体" w:cs="宋体"/>
          <w:color w:val="auto"/>
          <w:spacing w:val="9"/>
          <w:sz w:val="20"/>
          <w:szCs w:val="20"/>
          <w:lang w:eastAsia="zh-CN"/>
        </w:rPr>
        <w:t>”</w:t>
      </w:r>
      <w:r>
        <w:rPr>
          <w:rFonts w:ascii="Tahoma" w:hAnsi="Tahoma" w:eastAsia="Tahoma" w:cs="Tahoma"/>
          <w:color w:val="auto"/>
          <w:sz w:val="20"/>
          <w:szCs w:val="20"/>
          <w:lang w:eastAsia="zh-CN"/>
        </w:rPr>
        <w:t>APP</w:t>
      </w:r>
      <w:r>
        <w:rPr>
          <w:rFonts w:ascii="Tahoma" w:hAnsi="Tahoma" w:eastAsia="Tahoma" w:cs="Tahoma"/>
          <w:color w:val="auto"/>
          <w:spacing w:val="35"/>
          <w:w w:val="101"/>
          <w:sz w:val="20"/>
          <w:szCs w:val="20"/>
          <w:lang w:eastAsia="zh-CN"/>
        </w:rPr>
        <w:t xml:space="preserve"> </w:t>
      </w:r>
      <w:r>
        <w:rPr>
          <w:rFonts w:ascii="宋体" w:hAnsi="宋体" w:eastAsia="宋体" w:cs="宋体"/>
          <w:color w:val="auto"/>
          <w:spacing w:val="9"/>
          <w:sz w:val="20"/>
          <w:szCs w:val="20"/>
          <w:lang w:eastAsia="zh-CN"/>
        </w:rPr>
        <w:t>自</w:t>
      </w:r>
      <w:r>
        <w:rPr>
          <w:rFonts w:ascii="宋体" w:hAnsi="宋体" w:eastAsia="宋体" w:cs="宋体"/>
          <w:color w:val="auto"/>
          <w:sz w:val="20"/>
          <w:szCs w:val="20"/>
          <w:lang w:eastAsia="zh-CN"/>
        </w:rPr>
        <w:t xml:space="preserve"> </w:t>
      </w:r>
      <w:r>
        <w:rPr>
          <w:rFonts w:ascii="宋体" w:hAnsi="宋体" w:eastAsia="宋体" w:cs="宋体"/>
          <w:color w:val="auto"/>
          <w:spacing w:val="7"/>
          <w:sz w:val="20"/>
          <w:szCs w:val="20"/>
          <w:lang w:eastAsia="zh-CN"/>
        </w:rPr>
        <w:t>行进行申领。如需咨询，请联系新疆</w:t>
      </w:r>
      <w:r>
        <w:rPr>
          <w:rFonts w:ascii="宋体" w:hAnsi="宋体" w:eastAsia="宋体" w:cs="宋体"/>
          <w:color w:val="auto"/>
          <w:spacing w:val="-33"/>
          <w:sz w:val="20"/>
          <w:szCs w:val="20"/>
          <w:lang w:eastAsia="zh-CN"/>
        </w:rPr>
        <w:t xml:space="preserve"> </w:t>
      </w:r>
      <w:r>
        <w:rPr>
          <w:rFonts w:ascii="Tahoma" w:hAnsi="Tahoma" w:eastAsia="Tahoma" w:cs="Tahoma"/>
          <w:color w:val="auto"/>
          <w:sz w:val="20"/>
          <w:szCs w:val="20"/>
          <w:lang w:eastAsia="zh-CN"/>
        </w:rPr>
        <w:t>CA</w:t>
      </w:r>
      <w:r>
        <w:rPr>
          <w:rFonts w:ascii="Tahoma" w:hAnsi="Tahoma" w:eastAsia="Tahoma" w:cs="Tahoma"/>
          <w:color w:val="auto"/>
          <w:spacing w:val="7"/>
          <w:sz w:val="20"/>
          <w:szCs w:val="20"/>
          <w:lang w:eastAsia="zh-CN"/>
        </w:rPr>
        <w:t xml:space="preserve"> </w:t>
      </w:r>
      <w:r>
        <w:rPr>
          <w:rFonts w:ascii="宋体" w:hAnsi="宋体" w:eastAsia="宋体" w:cs="宋体"/>
          <w:color w:val="auto"/>
          <w:spacing w:val="7"/>
          <w:sz w:val="20"/>
          <w:szCs w:val="20"/>
          <w:lang w:eastAsia="zh-CN"/>
        </w:rPr>
        <w:t>服务热线</w:t>
      </w:r>
      <w:r>
        <w:rPr>
          <w:rFonts w:ascii="宋体" w:hAnsi="宋体" w:eastAsia="宋体" w:cs="宋体"/>
          <w:color w:val="auto"/>
          <w:spacing w:val="-39"/>
          <w:sz w:val="20"/>
          <w:szCs w:val="20"/>
          <w:lang w:eastAsia="zh-CN"/>
        </w:rPr>
        <w:t xml:space="preserve"> </w:t>
      </w:r>
      <w:r>
        <w:rPr>
          <w:rFonts w:ascii="Tahoma" w:hAnsi="Tahoma" w:eastAsia="Tahoma" w:cs="Tahoma"/>
          <w:color w:val="auto"/>
          <w:spacing w:val="7"/>
          <w:sz w:val="20"/>
          <w:szCs w:val="20"/>
          <w:lang w:eastAsia="zh-CN"/>
        </w:rPr>
        <w:t>0991-2819290</w:t>
      </w:r>
    </w:p>
    <w:p w14:paraId="1304F9E5">
      <w:pPr>
        <w:spacing w:before="93" w:line="270" w:lineRule="auto"/>
        <w:ind w:left="9" w:right="70" w:hanging="5"/>
        <w:rPr>
          <w:rFonts w:ascii="宋体" w:hAnsi="宋体" w:eastAsia="宋体" w:cs="宋体"/>
          <w:color w:val="auto"/>
          <w:sz w:val="20"/>
          <w:szCs w:val="20"/>
          <w:lang w:eastAsia="zh-CN"/>
        </w:rPr>
      </w:pPr>
      <w:r>
        <w:rPr>
          <w:rFonts w:ascii="Tahoma" w:hAnsi="Tahoma" w:eastAsia="Tahoma" w:cs="Tahoma"/>
          <w:color w:val="auto"/>
          <w:spacing w:val="10"/>
          <w:sz w:val="20"/>
          <w:szCs w:val="20"/>
          <w:lang w:eastAsia="zh-CN"/>
        </w:rPr>
        <w:t xml:space="preserve">4.1.4 </w:t>
      </w:r>
      <w:r>
        <w:rPr>
          <w:rFonts w:hint="eastAsia" w:ascii="宋体" w:hAnsi="宋体" w:eastAsia="宋体" w:cs="宋体"/>
          <w:color w:val="auto"/>
          <w:spacing w:val="10"/>
          <w:sz w:val="20"/>
          <w:szCs w:val="20"/>
          <w:lang w:eastAsia="zh-CN"/>
        </w:rPr>
        <w:t>服务商</w:t>
      </w:r>
      <w:r>
        <w:rPr>
          <w:rFonts w:ascii="宋体" w:hAnsi="宋体" w:eastAsia="宋体" w:cs="宋体"/>
          <w:color w:val="auto"/>
          <w:spacing w:val="10"/>
          <w:sz w:val="20"/>
          <w:szCs w:val="20"/>
          <w:lang w:eastAsia="zh-CN"/>
        </w:rPr>
        <w:t>将政采云电子交易客户端下载、安装完成后，可通过账号密码或</w:t>
      </w:r>
      <w:r>
        <w:rPr>
          <w:rFonts w:ascii="宋体" w:hAnsi="宋体" w:eastAsia="宋体" w:cs="宋体"/>
          <w:color w:val="auto"/>
          <w:spacing w:val="-32"/>
          <w:sz w:val="20"/>
          <w:szCs w:val="20"/>
          <w:lang w:eastAsia="zh-CN"/>
        </w:rPr>
        <w:t xml:space="preserve"> </w:t>
      </w:r>
      <w:r>
        <w:rPr>
          <w:rFonts w:ascii="Tahoma" w:hAnsi="Tahoma" w:eastAsia="Tahoma" w:cs="Tahoma"/>
          <w:color w:val="auto"/>
          <w:sz w:val="20"/>
          <w:szCs w:val="20"/>
          <w:lang w:eastAsia="zh-CN"/>
        </w:rPr>
        <w:t>CA</w:t>
      </w:r>
      <w:r>
        <w:rPr>
          <w:rFonts w:ascii="Tahoma" w:hAnsi="Tahoma" w:eastAsia="Tahoma" w:cs="Tahoma"/>
          <w:color w:val="auto"/>
          <w:spacing w:val="10"/>
          <w:sz w:val="20"/>
          <w:szCs w:val="20"/>
          <w:lang w:eastAsia="zh-CN"/>
        </w:rPr>
        <w:t xml:space="preserve"> </w:t>
      </w:r>
      <w:r>
        <w:rPr>
          <w:rFonts w:ascii="宋体" w:hAnsi="宋体" w:eastAsia="宋体" w:cs="宋体"/>
          <w:color w:val="auto"/>
          <w:spacing w:val="10"/>
          <w:sz w:val="20"/>
          <w:szCs w:val="20"/>
          <w:lang w:eastAsia="zh-CN"/>
        </w:rPr>
        <w:t>登录客户端进行投标</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文件制作。在使用政采云投标客户端时，建议使</w:t>
      </w:r>
      <w:r>
        <w:rPr>
          <w:rFonts w:ascii="宋体" w:hAnsi="宋体" w:eastAsia="宋体" w:cs="宋体"/>
          <w:color w:val="auto"/>
          <w:spacing w:val="7"/>
          <w:sz w:val="20"/>
          <w:szCs w:val="20"/>
          <w:lang w:eastAsia="zh-CN"/>
        </w:rPr>
        <w:t>用</w:t>
      </w:r>
      <w:r>
        <w:rPr>
          <w:rFonts w:ascii="宋体" w:hAnsi="宋体" w:eastAsia="宋体" w:cs="宋体"/>
          <w:color w:val="auto"/>
          <w:spacing w:val="-43"/>
          <w:sz w:val="20"/>
          <w:szCs w:val="20"/>
          <w:lang w:eastAsia="zh-CN"/>
        </w:rPr>
        <w:t xml:space="preserve"> </w:t>
      </w:r>
      <w:r>
        <w:rPr>
          <w:rFonts w:ascii="Tahoma" w:hAnsi="Tahoma" w:eastAsia="Tahoma" w:cs="Tahoma"/>
          <w:color w:val="auto"/>
          <w:sz w:val="20"/>
          <w:szCs w:val="20"/>
          <w:lang w:eastAsia="zh-CN"/>
        </w:rPr>
        <w:t>WIN</w:t>
      </w:r>
      <w:r>
        <w:rPr>
          <w:rFonts w:ascii="Tahoma" w:hAnsi="Tahoma" w:eastAsia="Tahoma" w:cs="Tahoma"/>
          <w:color w:val="auto"/>
          <w:spacing w:val="7"/>
          <w:sz w:val="20"/>
          <w:szCs w:val="20"/>
          <w:lang w:eastAsia="zh-CN"/>
        </w:rPr>
        <w:t xml:space="preserve">7 </w:t>
      </w:r>
      <w:r>
        <w:rPr>
          <w:rFonts w:ascii="宋体" w:hAnsi="宋体" w:eastAsia="宋体" w:cs="宋体"/>
          <w:color w:val="auto"/>
          <w:spacing w:val="7"/>
          <w:sz w:val="20"/>
          <w:szCs w:val="20"/>
          <w:lang w:eastAsia="zh-CN"/>
        </w:rPr>
        <w:t>及以上操作系统。客户端请至新疆政府采购网</w:t>
      </w:r>
    </w:p>
    <w:p w14:paraId="0BEAA67C">
      <w:pPr>
        <w:spacing w:before="59" w:line="288" w:lineRule="auto"/>
        <w:ind w:left="11" w:right="70" w:firstLine="6"/>
        <w:rPr>
          <w:rFonts w:ascii="宋体" w:hAnsi="宋体" w:eastAsia="宋体" w:cs="宋体"/>
          <w:color w:val="auto"/>
          <w:sz w:val="20"/>
          <w:szCs w:val="20"/>
          <w:lang w:eastAsia="zh-CN"/>
        </w:rPr>
      </w:pPr>
      <w:r>
        <w:rPr>
          <w:rFonts w:ascii="宋体" w:hAnsi="宋体" w:eastAsia="宋体" w:cs="宋体"/>
          <w:color w:val="auto"/>
          <w:spacing w:val="11"/>
          <w:sz w:val="20"/>
          <w:szCs w:val="20"/>
          <w:lang w:eastAsia="zh-CN"/>
        </w:rPr>
        <w:t>（</w:t>
      </w:r>
      <w:r>
        <w:rPr>
          <w:color w:val="auto"/>
        </w:rPr>
        <w:fldChar w:fldCharType="begin"/>
      </w:r>
      <w:r>
        <w:rPr>
          <w:color w:val="auto"/>
        </w:rPr>
        <w:instrText xml:space="preserve"> HYPERLINK "https://www.xjca.com.cn/" </w:instrText>
      </w:r>
      <w:r>
        <w:rPr>
          <w:color w:val="auto"/>
        </w:rPr>
        <w:fldChar w:fldCharType="separate"/>
      </w:r>
      <w:r>
        <w:rPr>
          <w:rFonts w:ascii="Tahoma" w:hAnsi="Tahoma" w:eastAsia="Tahoma" w:cs="Tahoma"/>
          <w:color w:val="auto"/>
          <w:sz w:val="20"/>
          <w:szCs w:val="20"/>
          <w:lang w:eastAsia="zh-CN"/>
        </w:rPr>
        <w:t>https</w:t>
      </w:r>
      <w:r>
        <w:rPr>
          <w:rFonts w:ascii="Tahoma" w:hAnsi="Tahoma" w:eastAsia="Tahoma" w:cs="Tahoma"/>
          <w:color w:val="auto"/>
          <w:spacing w:val="11"/>
          <w:sz w:val="20"/>
          <w:szCs w:val="20"/>
          <w:lang w:eastAsia="zh-CN"/>
        </w:rPr>
        <w:t>://</w:t>
      </w:r>
      <w:r>
        <w:rPr>
          <w:rFonts w:ascii="Tahoma" w:hAnsi="Tahoma" w:eastAsia="Tahoma" w:cs="Tahoma"/>
          <w:color w:val="auto"/>
          <w:sz w:val="20"/>
          <w:szCs w:val="20"/>
          <w:lang w:eastAsia="zh-CN"/>
        </w:rPr>
        <w:t>www</w:t>
      </w:r>
      <w:r>
        <w:rPr>
          <w:rFonts w:ascii="Tahoma" w:hAnsi="Tahoma" w:eastAsia="Tahoma" w:cs="Tahoma"/>
          <w:color w:val="auto"/>
          <w:spacing w:val="11"/>
          <w:sz w:val="20"/>
          <w:szCs w:val="20"/>
          <w:lang w:eastAsia="zh-CN"/>
        </w:rPr>
        <w:t>.</w:t>
      </w:r>
      <w:r>
        <w:rPr>
          <w:rFonts w:ascii="Tahoma" w:hAnsi="Tahoma" w:eastAsia="Tahoma" w:cs="Tahoma"/>
          <w:color w:val="auto"/>
          <w:sz w:val="20"/>
          <w:szCs w:val="20"/>
          <w:lang w:eastAsia="zh-CN"/>
        </w:rPr>
        <w:t>xjca</w:t>
      </w:r>
      <w:r>
        <w:rPr>
          <w:rFonts w:ascii="Tahoma" w:hAnsi="Tahoma" w:eastAsia="Tahoma" w:cs="Tahoma"/>
          <w:color w:val="auto"/>
          <w:spacing w:val="11"/>
          <w:sz w:val="20"/>
          <w:szCs w:val="20"/>
          <w:lang w:eastAsia="zh-CN"/>
        </w:rPr>
        <w:t>.</w:t>
      </w:r>
      <w:r>
        <w:rPr>
          <w:rFonts w:ascii="Tahoma" w:hAnsi="Tahoma" w:eastAsia="Tahoma" w:cs="Tahoma"/>
          <w:color w:val="auto"/>
          <w:sz w:val="20"/>
          <w:szCs w:val="20"/>
          <w:lang w:eastAsia="zh-CN"/>
        </w:rPr>
        <w:t>com</w:t>
      </w:r>
      <w:r>
        <w:rPr>
          <w:rFonts w:ascii="Tahoma" w:hAnsi="Tahoma" w:eastAsia="Tahoma" w:cs="Tahoma"/>
          <w:color w:val="auto"/>
          <w:spacing w:val="11"/>
          <w:sz w:val="20"/>
          <w:szCs w:val="20"/>
          <w:lang w:eastAsia="zh-CN"/>
        </w:rPr>
        <w:t>.</w:t>
      </w:r>
      <w:r>
        <w:rPr>
          <w:rFonts w:ascii="Tahoma" w:hAnsi="Tahoma" w:eastAsia="Tahoma" w:cs="Tahoma"/>
          <w:color w:val="auto"/>
          <w:sz w:val="20"/>
          <w:szCs w:val="20"/>
          <w:lang w:eastAsia="zh-CN"/>
        </w:rPr>
        <w:t>cn</w:t>
      </w:r>
      <w:r>
        <w:rPr>
          <w:rFonts w:ascii="Tahoma" w:hAnsi="Tahoma" w:eastAsia="Tahoma" w:cs="Tahoma"/>
          <w:color w:val="auto"/>
          <w:spacing w:val="11"/>
          <w:sz w:val="20"/>
          <w:szCs w:val="20"/>
          <w:lang w:eastAsia="zh-CN"/>
        </w:rPr>
        <w:t>/</w:t>
      </w:r>
      <w:r>
        <w:rPr>
          <w:rFonts w:ascii="Tahoma" w:hAnsi="Tahoma" w:eastAsia="Tahoma" w:cs="Tahoma"/>
          <w:color w:val="auto"/>
          <w:spacing w:val="11"/>
          <w:sz w:val="20"/>
          <w:szCs w:val="20"/>
          <w:lang w:eastAsia="zh-CN"/>
        </w:rPr>
        <w:fldChar w:fldCharType="end"/>
      </w:r>
      <w:r>
        <w:rPr>
          <w:rFonts w:ascii="宋体" w:hAnsi="宋体" w:eastAsia="宋体" w:cs="宋体"/>
          <w:color w:val="auto"/>
          <w:spacing w:val="11"/>
          <w:sz w:val="20"/>
          <w:szCs w:val="20"/>
          <w:lang w:eastAsia="zh-CN"/>
        </w:rPr>
        <w:t>）下载专区查看，如有问题可拨</w:t>
      </w:r>
      <w:r>
        <w:rPr>
          <w:rFonts w:ascii="宋体" w:hAnsi="宋体" w:eastAsia="宋体" w:cs="宋体"/>
          <w:color w:val="auto"/>
          <w:spacing w:val="10"/>
          <w:sz w:val="20"/>
          <w:szCs w:val="20"/>
          <w:lang w:eastAsia="zh-CN"/>
        </w:rPr>
        <w:t>打政采云客户服务热线</w:t>
      </w:r>
      <w:r>
        <w:rPr>
          <w:rFonts w:ascii="宋体" w:hAnsi="宋体" w:eastAsia="宋体" w:cs="宋体"/>
          <w:color w:val="auto"/>
          <w:spacing w:val="-41"/>
          <w:sz w:val="20"/>
          <w:szCs w:val="20"/>
          <w:lang w:eastAsia="zh-CN"/>
        </w:rPr>
        <w:t xml:space="preserve"> </w:t>
      </w:r>
      <w:r>
        <w:rPr>
          <w:rFonts w:hint="eastAsia" w:ascii="Tahoma" w:hAnsi="Tahoma" w:eastAsia="Tahoma" w:cs="Tahoma"/>
          <w:color w:val="auto"/>
          <w:spacing w:val="10"/>
          <w:sz w:val="20"/>
          <w:szCs w:val="20"/>
          <w:lang w:eastAsia="zh-CN"/>
        </w:rPr>
        <w:t>95763</w:t>
      </w:r>
      <w:r>
        <w:rPr>
          <w:rFonts w:ascii="Tahoma" w:hAnsi="Tahoma" w:eastAsia="Tahoma" w:cs="Tahoma"/>
          <w:color w:val="auto"/>
          <w:spacing w:val="10"/>
          <w:sz w:val="20"/>
          <w:szCs w:val="20"/>
          <w:lang w:eastAsia="zh-CN"/>
        </w:rPr>
        <w:t xml:space="preserve"> </w:t>
      </w:r>
      <w:r>
        <w:rPr>
          <w:rFonts w:ascii="宋体" w:hAnsi="宋体" w:eastAsia="宋体" w:cs="宋体"/>
          <w:color w:val="auto"/>
          <w:spacing w:val="10"/>
          <w:sz w:val="20"/>
          <w:szCs w:val="20"/>
          <w:lang w:eastAsia="zh-CN"/>
        </w:rPr>
        <w:t>进</w:t>
      </w:r>
      <w:r>
        <w:rPr>
          <w:rFonts w:ascii="宋体" w:hAnsi="宋体" w:eastAsia="宋体" w:cs="宋体"/>
          <w:color w:val="auto"/>
          <w:sz w:val="20"/>
          <w:szCs w:val="20"/>
          <w:lang w:eastAsia="zh-CN"/>
        </w:rPr>
        <w:t xml:space="preserve"> </w:t>
      </w:r>
      <w:r>
        <w:rPr>
          <w:rFonts w:ascii="宋体" w:hAnsi="宋体" w:eastAsia="宋体" w:cs="宋体"/>
          <w:color w:val="auto"/>
          <w:spacing w:val="4"/>
          <w:sz w:val="20"/>
          <w:szCs w:val="20"/>
          <w:lang w:eastAsia="zh-CN"/>
        </w:rPr>
        <w:t>行咨询。</w:t>
      </w:r>
    </w:p>
    <w:p w14:paraId="58225052">
      <w:pPr>
        <w:spacing w:before="90" w:line="286" w:lineRule="auto"/>
        <w:ind w:left="10" w:right="70" w:hanging="6"/>
        <w:rPr>
          <w:rFonts w:ascii="宋体" w:hAnsi="宋体" w:eastAsia="宋体" w:cs="宋体"/>
          <w:color w:val="auto"/>
          <w:sz w:val="20"/>
          <w:szCs w:val="20"/>
          <w:lang w:eastAsia="zh-CN"/>
        </w:rPr>
      </w:pPr>
      <w:r>
        <w:rPr>
          <w:rFonts w:ascii="Tahoma" w:hAnsi="Tahoma" w:eastAsia="Tahoma" w:cs="Tahoma"/>
          <w:color w:val="auto"/>
          <w:spacing w:val="3"/>
          <w:sz w:val="20"/>
          <w:szCs w:val="20"/>
          <w:lang w:eastAsia="zh-CN"/>
        </w:rPr>
        <w:t xml:space="preserve">4.1.5 </w:t>
      </w:r>
      <w:r>
        <w:rPr>
          <w:rFonts w:ascii="宋体" w:hAnsi="宋体" w:eastAsia="宋体" w:cs="宋体"/>
          <w:color w:val="auto"/>
          <w:spacing w:val="3"/>
          <w:sz w:val="20"/>
          <w:szCs w:val="20"/>
          <w:lang w:eastAsia="zh-CN"/>
        </w:rPr>
        <w:t>开标时间后</w:t>
      </w:r>
      <w:r>
        <w:rPr>
          <w:rFonts w:ascii="宋体" w:hAnsi="宋体" w:eastAsia="宋体" w:cs="宋体"/>
          <w:color w:val="auto"/>
          <w:spacing w:val="-35"/>
          <w:sz w:val="20"/>
          <w:szCs w:val="20"/>
          <w:lang w:eastAsia="zh-CN"/>
        </w:rPr>
        <w:t xml:space="preserve"> </w:t>
      </w:r>
      <w:r>
        <w:rPr>
          <w:rFonts w:ascii="Tahoma" w:hAnsi="Tahoma" w:eastAsia="Tahoma" w:cs="Tahoma"/>
          <w:color w:val="auto"/>
          <w:spacing w:val="3"/>
          <w:sz w:val="20"/>
          <w:szCs w:val="20"/>
          <w:lang w:eastAsia="zh-CN"/>
        </w:rPr>
        <w:t xml:space="preserve">30 </w:t>
      </w:r>
      <w:r>
        <w:rPr>
          <w:rFonts w:ascii="宋体" w:hAnsi="宋体" w:eastAsia="宋体" w:cs="宋体"/>
          <w:color w:val="auto"/>
          <w:spacing w:val="3"/>
          <w:sz w:val="20"/>
          <w:szCs w:val="20"/>
          <w:lang w:eastAsia="zh-CN"/>
        </w:rPr>
        <w:t>分钟内</w:t>
      </w:r>
      <w:r>
        <w:rPr>
          <w:rFonts w:hint="eastAsia" w:ascii="宋体" w:hAnsi="宋体" w:eastAsia="宋体" w:cs="宋体"/>
          <w:color w:val="auto"/>
          <w:spacing w:val="2"/>
          <w:sz w:val="20"/>
          <w:szCs w:val="20"/>
          <w:lang w:eastAsia="zh-CN"/>
        </w:rPr>
        <w:t>服务商</w:t>
      </w:r>
      <w:r>
        <w:rPr>
          <w:rFonts w:ascii="宋体" w:hAnsi="宋体" w:eastAsia="宋体" w:cs="宋体"/>
          <w:color w:val="auto"/>
          <w:spacing w:val="2"/>
          <w:sz w:val="20"/>
          <w:szCs w:val="20"/>
          <w:lang w:eastAsia="zh-CN"/>
        </w:rPr>
        <w:t>可以登录“政采云</w:t>
      </w:r>
      <w:r>
        <w:rPr>
          <w:rFonts w:ascii="宋体" w:hAnsi="宋体" w:eastAsia="宋体" w:cs="宋体"/>
          <w:color w:val="auto"/>
          <w:spacing w:val="-70"/>
          <w:sz w:val="20"/>
          <w:szCs w:val="20"/>
          <w:lang w:eastAsia="zh-CN"/>
        </w:rPr>
        <w:t xml:space="preserve"> </w:t>
      </w:r>
      <w:r>
        <w:rPr>
          <w:rFonts w:ascii="宋体" w:hAnsi="宋体" w:eastAsia="宋体" w:cs="宋体"/>
          <w:color w:val="auto"/>
          <w:spacing w:val="2"/>
          <w:sz w:val="20"/>
          <w:szCs w:val="20"/>
          <w:lang w:eastAsia="zh-CN"/>
        </w:rPr>
        <w:t>”平</w:t>
      </w:r>
      <w:r>
        <w:rPr>
          <w:rFonts w:ascii="宋体" w:hAnsi="宋体" w:eastAsia="宋体" w:cs="宋体"/>
          <w:color w:val="auto"/>
          <w:spacing w:val="4"/>
          <w:sz w:val="20"/>
          <w:szCs w:val="20"/>
          <w:lang w:eastAsia="zh-CN"/>
        </w:rPr>
        <w:t>台，用“项目采购</w:t>
      </w:r>
      <w:r>
        <w:rPr>
          <w:rFonts w:ascii="Tahoma" w:hAnsi="Tahoma" w:eastAsia="Tahoma" w:cs="Tahoma"/>
          <w:color w:val="auto"/>
          <w:spacing w:val="4"/>
          <w:sz w:val="20"/>
          <w:szCs w:val="20"/>
          <w:lang w:eastAsia="zh-CN"/>
        </w:rPr>
        <w:t>-</w:t>
      </w:r>
      <w:r>
        <w:rPr>
          <w:rFonts w:ascii="宋体" w:hAnsi="宋体" w:eastAsia="宋体" w:cs="宋体"/>
          <w:color w:val="auto"/>
          <w:spacing w:val="4"/>
          <w:sz w:val="20"/>
          <w:szCs w:val="20"/>
          <w:lang w:eastAsia="zh-CN"/>
        </w:rPr>
        <w:t>开标评标</w:t>
      </w:r>
      <w:r>
        <w:rPr>
          <w:rFonts w:ascii="宋体" w:hAnsi="宋体" w:eastAsia="宋体" w:cs="宋体"/>
          <w:color w:val="auto"/>
          <w:spacing w:val="-60"/>
          <w:sz w:val="20"/>
          <w:szCs w:val="20"/>
          <w:lang w:eastAsia="zh-CN"/>
        </w:rPr>
        <w:t xml:space="preserve"> </w:t>
      </w:r>
      <w:r>
        <w:rPr>
          <w:rFonts w:ascii="宋体" w:hAnsi="宋体" w:eastAsia="宋体" w:cs="宋体"/>
          <w:color w:val="auto"/>
          <w:spacing w:val="4"/>
          <w:sz w:val="20"/>
          <w:szCs w:val="20"/>
          <w:lang w:eastAsia="zh-CN"/>
        </w:rPr>
        <w:t>”功能进行解密投标文件。若</w:t>
      </w:r>
      <w:r>
        <w:rPr>
          <w:rFonts w:hint="eastAsia" w:ascii="宋体" w:hAnsi="宋体" w:eastAsia="宋体" w:cs="宋体"/>
          <w:color w:val="auto"/>
          <w:spacing w:val="4"/>
          <w:sz w:val="20"/>
          <w:szCs w:val="20"/>
          <w:lang w:eastAsia="zh-CN"/>
        </w:rPr>
        <w:t>服务商</w:t>
      </w:r>
      <w:r>
        <w:rPr>
          <w:rFonts w:ascii="宋体" w:hAnsi="宋体" w:eastAsia="宋体" w:cs="宋体"/>
          <w:color w:val="auto"/>
          <w:spacing w:val="4"/>
          <w:sz w:val="20"/>
          <w:szCs w:val="20"/>
          <w:lang w:eastAsia="zh-CN"/>
        </w:rPr>
        <w:t>在规定时间内</w:t>
      </w:r>
      <w:r>
        <w:rPr>
          <w:rFonts w:ascii="宋体" w:hAnsi="宋体" w:eastAsia="宋体" w:cs="宋体"/>
          <w:color w:val="auto"/>
          <w:spacing w:val="6"/>
          <w:sz w:val="20"/>
          <w:szCs w:val="20"/>
          <w:lang w:eastAsia="zh-CN"/>
        </w:rPr>
        <w:t>未按时解密的，视为投标文件撤回。</w:t>
      </w:r>
    </w:p>
    <w:p w14:paraId="7A07D1CF">
      <w:pPr>
        <w:spacing w:before="91" w:line="271" w:lineRule="auto"/>
        <w:ind w:left="12" w:right="71" w:hanging="8"/>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4.1.6 </w:t>
      </w:r>
      <w:r>
        <w:rPr>
          <w:rFonts w:ascii="宋体" w:hAnsi="宋体" w:eastAsia="宋体" w:cs="宋体"/>
          <w:color w:val="auto"/>
          <w:spacing w:val="9"/>
          <w:sz w:val="20"/>
          <w:szCs w:val="20"/>
          <w:lang w:eastAsia="zh-CN"/>
        </w:rPr>
        <w:t>因系统（非投标</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行为）的原因，造成投标</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未能在规定的解密时限内解密的，请及时 与招标代理机构或与新疆政府采购网投标客户端进行联系。</w:t>
      </w:r>
    </w:p>
    <w:p w14:paraId="540DD964">
      <w:pPr>
        <w:spacing w:before="95" w:line="227" w:lineRule="auto"/>
        <w:ind w:left="4"/>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 xml:space="preserve">4.1.7 </w:t>
      </w:r>
      <w:r>
        <w:rPr>
          <w:rFonts w:ascii="宋体" w:hAnsi="宋体" w:eastAsia="宋体" w:cs="宋体"/>
          <w:color w:val="auto"/>
          <w:spacing w:val="7"/>
          <w:sz w:val="20"/>
          <w:szCs w:val="20"/>
          <w:lang w:eastAsia="zh-CN"/>
        </w:rPr>
        <w:t>投标文件未按规定上传的，视为其自动放弃投标。</w:t>
      </w:r>
    </w:p>
    <w:p w14:paraId="73ACEFA5">
      <w:pPr>
        <w:spacing w:before="92" w:line="228" w:lineRule="auto"/>
        <w:ind w:left="4"/>
        <w:rPr>
          <w:rFonts w:ascii="宋体" w:hAnsi="宋体" w:eastAsia="宋体" w:cs="宋体"/>
          <w:color w:val="auto"/>
          <w:sz w:val="20"/>
          <w:szCs w:val="20"/>
          <w:lang w:eastAsia="zh-CN"/>
        </w:rPr>
      </w:pPr>
      <w:r>
        <w:rPr>
          <w:rFonts w:ascii="Tahoma" w:hAnsi="Tahoma" w:eastAsia="Tahoma" w:cs="Tahoma"/>
          <w:b/>
          <w:bCs/>
          <w:color w:val="auto"/>
          <w:spacing w:val="7"/>
          <w:sz w:val="20"/>
          <w:szCs w:val="20"/>
          <w:lang w:eastAsia="zh-CN"/>
        </w:rPr>
        <w:t>4.2.</w:t>
      </w:r>
      <w:r>
        <w:rPr>
          <w:rFonts w:ascii="Tahoma" w:hAnsi="Tahoma" w:eastAsia="Tahoma" w:cs="Tahoma"/>
          <w:b/>
          <w:bCs/>
          <w:color w:val="auto"/>
          <w:spacing w:val="69"/>
          <w:sz w:val="20"/>
          <w:szCs w:val="20"/>
          <w:lang w:eastAsia="zh-CN"/>
        </w:rPr>
        <w:t xml:space="preserve"> </w:t>
      </w:r>
      <w:r>
        <w:rPr>
          <w:rFonts w:ascii="宋体" w:hAnsi="宋体" w:eastAsia="宋体" w:cs="宋体"/>
          <w:color w:val="auto"/>
          <w:spacing w:val="7"/>
          <w:sz w:val="20"/>
          <w:szCs w:val="20"/>
          <w:lang w:eastAsia="zh-CN"/>
          <w14:textOutline w14:w="3797" w14:cap="sq" w14:cmpd="sng" w14:algn="ctr">
            <w14:solidFill>
              <w14:srgbClr w14:val="000000"/>
            </w14:solidFill>
            <w14:prstDash w14:val="solid"/>
            <w14:bevel/>
          </w14:textOutline>
        </w:rPr>
        <w:t>投标文件的修改与撤回</w:t>
      </w:r>
    </w:p>
    <w:p w14:paraId="00B03A9D">
      <w:pPr>
        <w:spacing w:before="94" w:line="271" w:lineRule="auto"/>
        <w:ind w:left="9" w:right="70" w:hanging="5"/>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4.2.1 </w:t>
      </w:r>
      <w:r>
        <w:rPr>
          <w:rFonts w:ascii="宋体" w:hAnsi="宋体" w:eastAsia="宋体" w:cs="宋体"/>
          <w:color w:val="auto"/>
          <w:spacing w:val="9"/>
          <w:sz w:val="20"/>
          <w:szCs w:val="20"/>
          <w:lang w:eastAsia="zh-CN"/>
        </w:rPr>
        <w:t xml:space="preserve">投标人在投标截止时间前，可以对所递交的投标文件进行补充、修改或者撤回，并书面通知采购 </w:t>
      </w:r>
      <w:r>
        <w:rPr>
          <w:rFonts w:ascii="宋体" w:hAnsi="宋体" w:eastAsia="宋体" w:cs="宋体"/>
          <w:color w:val="auto"/>
          <w:spacing w:val="8"/>
          <w:sz w:val="20"/>
          <w:szCs w:val="20"/>
          <w:lang w:eastAsia="zh-CN"/>
        </w:rPr>
        <w:t>人或者采购代理机构。补充、修改的内容应当按照招标文件要求签署、</w:t>
      </w:r>
      <w:r>
        <w:rPr>
          <w:rFonts w:ascii="宋体" w:hAnsi="宋体" w:eastAsia="宋体" w:cs="宋体"/>
          <w:color w:val="auto"/>
          <w:spacing w:val="7"/>
          <w:sz w:val="20"/>
          <w:szCs w:val="20"/>
          <w:lang w:eastAsia="zh-CN"/>
        </w:rPr>
        <w:t>盖章、密封后，作为投标文件的</w:t>
      </w:r>
    </w:p>
    <w:p w14:paraId="4DB42C00">
      <w:pPr>
        <w:spacing w:line="271" w:lineRule="auto"/>
        <w:rPr>
          <w:rFonts w:ascii="宋体" w:hAnsi="宋体" w:eastAsia="宋体" w:cs="宋体"/>
          <w:color w:val="auto"/>
          <w:sz w:val="20"/>
          <w:szCs w:val="20"/>
          <w:lang w:eastAsia="zh-CN"/>
        </w:rPr>
        <w:sectPr>
          <w:headerReference r:id="rId13" w:type="default"/>
          <w:footerReference r:id="rId14" w:type="default"/>
          <w:pgSz w:w="12240" w:h="15840"/>
          <w:pgMar w:top="1440" w:right="1080" w:bottom="1440" w:left="1080" w:header="873" w:footer="1081" w:gutter="0"/>
          <w:pgBorders>
            <w:top w:val="none" w:sz="0" w:space="0"/>
            <w:left w:val="none" w:sz="0" w:space="0"/>
            <w:bottom w:val="none" w:sz="0" w:space="0"/>
            <w:right w:val="none" w:sz="0" w:space="0"/>
          </w:pgBorders>
          <w:pgNumType w:fmt="decimal"/>
          <w:cols w:space="720" w:num="1"/>
        </w:sectPr>
      </w:pPr>
    </w:p>
    <w:p w14:paraId="527105B6">
      <w:pPr>
        <w:pStyle w:val="8"/>
        <w:spacing w:line="350" w:lineRule="auto"/>
        <w:rPr>
          <w:color w:val="auto"/>
          <w:lang w:eastAsia="zh-CN"/>
        </w:rPr>
      </w:pPr>
    </w:p>
    <w:p w14:paraId="06D3CF5E">
      <w:pPr>
        <w:spacing w:before="65" w:line="228" w:lineRule="auto"/>
        <w:ind w:left="10"/>
        <w:rPr>
          <w:rFonts w:ascii="宋体" w:hAnsi="宋体" w:eastAsia="宋体" w:cs="宋体"/>
          <w:color w:val="auto"/>
          <w:sz w:val="20"/>
          <w:szCs w:val="20"/>
          <w:lang w:eastAsia="zh-CN"/>
        </w:rPr>
      </w:pPr>
      <w:r>
        <w:rPr>
          <w:rFonts w:ascii="宋体" w:hAnsi="宋体" w:eastAsia="宋体" w:cs="宋体"/>
          <w:color w:val="auto"/>
          <w:spacing w:val="5"/>
          <w:sz w:val="20"/>
          <w:szCs w:val="20"/>
          <w:lang w:eastAsia="zh-CN"/>
        </w:rPr>
        <w:t>组成部分。</w:t>
      </w:r>
    </w:p>
    <w:p w14:paraId="3E03A72B">
      <w:pPr>
        <w:spacing w:before="94" w:line="270" w:lineRule="auto"/>
        <w:ind w:left="9" w:right="70" w:hanging="5"/>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4.2.2 </w:t>
      </w:r>
      <w:r>
        <w:rPr>
          <w:rFonts w:ascii="宋体" w:hAnsi="宋体" w:eastAsia="宋体" w:cs="宋体"/>
          <w:color w:val="auto"/>
          <w:spacing w:val="9"/>
          <w:sz w:val="20"/>
          <w:szCs w:val="20"/>
          <w:lang w:eastAsia="zh-CN"/>
        </w:rPr>
        <w:t>投标人在投标截止期后不得补充、修改、撤回投标文件。</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投标人在投标截止期后补充、修改投标</w:t>
      </w:r>
      <w:r>
        <w:rPr>
          <w:rFonts w:ascii="宋体" w:hAnsi="宋体" w:eastAsia="宋体" w:cs="宋体"/>
          <w:color w:val="auto"/>
          <w:spacing w:val="9"/>
          <w:sz w:val="20"/>
          <w:szCs w:val="20"/>
          <w:lang w:eastAsia="zh-CN"/>
        </w:rPr>
        <w:t xml:space="preserve"> </w:t>
      </w:r>
      <w:r>
        <w:rPr>
          <w:rFonts w:ascii="宋体" w:hAnsi="宋体" w:eastAsia="宋体" w:cs="宋体"/>
          <w:color w:val="auto"/>
          <w:spacing w:val="8"/>
          <w:sz w:val="20"/>
          <w:szCs w:val="20"/>
          <w:lang w:eastAsia="zh-CN"/>
          <w14:textOutline w14:w="3797" w14:cap="sq" w14:cmpd="sng" w14:algn="ctr">
            <w14:solidFill>
              <w14:srgbClr w14:val="000000"/>
            </w14:solidFill>
            <w14:prstDash w14:val="solid"/>
            <w14:bevel/>
          </w14:textOutline>
        </w:rPr>
        <w:t>文件的，其投标无效。</w:t>
      </w:r>
    </w:p>
    <w:p w14:paraId="0D771C5C">
      <w:pPr>
        <w:spacing w:before="68" w:line="224" w:lineRule="auto"/>
        <w:ind w:left="4240"/>
        <w:rPr>
          <w:rFonts w:ascii="Tahoma" w:hAnsi="Tahoma" w:eastAsia="Tahoma" w:cs="Tahoma"/>
          <w:b/>
          <w:bCs/>
          <w:color w:val="auto"/>
          <w:spacing w:val="-8"/>
          <w:sz w:val="24"/>
          <w:szCs w:val="24"/>
          <w:lang w:eastAsia="zh-CN"/>
        </w:rPr>
      </w:pPr>
    </w:p>
    <w:p w14:paraId="23BC1E48">
      <w:pPr>
        <w:spacing w:before="68" w:line="224" w:lineRule="auto"/>
        <w:ind w:left="4240"/>
        <w:rPr>
          <w:rFonts w:ascii="黑体" w:hAnsi="黑体" w:eastAsia="黑体" w:cs="黑体"/>
          <w:color w:val="auto"/>
          <w:sz w:val="24"/>
          <w:szCs w:val="24"/>
          <w:lang w:eastAsia="zh-CN"/>
        </w:rPr>
      </w:pPr>
      <w:r>
        <w:rPr>
          <w:rFonts w:ascii="Tahoma" w:hAnsi="Tahoma" w:eastAsia="Tahoma" w:cs="Tahoma"/>
          <w:b/>
          <w:bCs/>
          <w:color w:val="auto"/>
          <w:spacing w:val="-8"/>
          <w:sz w:val="24"/>
          <w:szCs w:val="24"/>
          <w:lang w:eastAsia="zh-CN"/>
        </w:rPr>
        <w:t>5</w:t>
      </w:r>
      <w:r>
        <w:rPr>
          <w:rFonts w:ascii="Tahoma" w:hAnsi="Tahoma" w:eastAsia="Tahoma" w:cs="Tahoma"/>
          <w:b/>
          <w:bCs/>
          <w:color w:val="auto"/>
          <w:spacing w:val="-36"/>
          <w:sz w:val="24"/>
          <w:szCs w:val="24"/>
          <w:lang w:eastAsia="zh-CN"/>
        </w:rPr>
        <w:t xml:space="preserve"> </w:t>
      </w:r>
      <w:r>
        <w:rPr>
          <w:rFonts w:ascii="黑体" w:hAnsi="黑体" w:eastAsia="黑体" w:cs="黑体"/>
          <w:color w:val="auto"/>
          <w:spacing w:val="-8"/>
          <w:sz w:val="24"/>
          <w:szCs w:val="24"/>
          <w:lang w:eastAsia="zh-CN"/>
          <w14:textOutline w14:w="4356" w14:cap="sq" w14:cmpd="sng" w14:algn="ctr">
            <w14:solidFill>
              <w14:srgbClr w14:val="000000"/>
            </w14:solidFill>
            <w14:prstDash w14:val="solid"/>
            <w14:bevel/>
          </w14:textOutline>
        </w:rPr>
        <w:t>、开标</w:t>
      </w:r>
    </w:p>
    <w:p w14:paraId="04BCF415">
      <w:pPr>
        <w:spacing w:before="76" w:line="228" w:lineRule="auto"/>
        <w:ind w:left="12"/>
        <w:rPr>
          <w:rFonts w:ascii="宋体" w:hAnsi="宋体" w:eastAsia="宋体" w:cs="宋体"/>
          <w:color w:val="auto"/>
          <w:sz w:val="20"/>
          <w:szCs w:val="20"/>
          <w:lang w:eastAsia="zh-CN"/>
        </w:rPr>
      </w:pPr>
      <w:r>
        <w:rPr>
          <w:rFonts w:ascii="Tahoma" w:hAnsi="Tahoma" w:eastAsia="Tahoma" w:cs="Tahoma"/>
          <w:b/>
          <w:bCs/>
          <w:color w:val="auto"/>
          <w:spacing w:val="2"/>
          <w:sz w:val="20"/>
          <w:szCs w:val="20"/>
          <w:lang w:eastAsia="zh-CN"/>
        </w:rPr>
        <w:t>5.1.</w:t>
      </w:r>
      <w:r>
        <w:rPr>
          <w:rFonts w:ascii="Tahoma" w:hAnsi="Tahoma" w:eastAsia="Tahoma" w:cs="Tahoma"/>
          <w:b/>
          <w:bCs/>
          <w:color w:val="auto"/>
          <w:spacing w:val="60"/>
          <w:sz w:val="20"/>
          <w:szCs w:val="20"/>
          <w:lang w:eastAsia="zh-CN"/>
        </w:rPr>
        <w:t xml:space="preserve"> </w:t>
      </w:r>
      <w:r>
        <w:rPr>
          <w:rFonts w:ascii="宋体" w:hAnsi="宋体" w:eastAsia="宋体" w:cs="宋体"/>
          <w:color w:val="auto"/>
          <w:spacing w:val="2"/>
          <w:sz w:val="20"/>
          <w:szCs w:val="20"/>
          <w:lang w:eastAsia="zh-CN"/>
          <w14:textOutline w14:w="3797" w14:cap="sq" w14:cmpd="sng" w14:algn="ctr">
            <w14:solidFill>
              <w14:srgbClr w14:val="000000"/>
            </w14:solidFill>
            <w14:prstDash w14:val="solid"/>
            <w14:bevel/>
          </w14:textOutline>
        </w:rPr>
        <w:t>开标</w:t>
      </w:r>
    </w:p>
    <w:p w14:paraId="2C4A8876">
      <w:pPr>
        <w:spacing w:before="90" w:line="227" w:lineRule="auto"/>
        <w:ind w:left="12"/>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 xml:space="preserve">5.1.1 </w:t>
      </w:r>
      <w:r>
        <w:rPr>
          <w:rFonts w:ascii="宋体" w:hAnsi="宋体" w:eastAsia="宋体" w:cs="宋体"/>
          <w:color w:val="auto"/>
          <w:spacing w:val="7"/>
          <w:sz w:val="20"/>
          <w:szCs w:val="20"/>
          <w:lang w:eastAsia="zh-CN"/>
        </w:rPr>
        <w:t>本次采用政采云系统不见面方式网上开标。</w:t>
      </w:r>
    </w:p>
    <w:p w14:paraId="317B410A">
      <w:pPr>
        <w:spacing w:before="94" w:line="227" w:lineRule="auto"/>
        <w:ind w:left="12"/>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5.1.2 </w:t>
      </w:r>
      <w:r>
        <w:rPr>
          <w:rFonts w:ascii="宋体" w:hAnsi="宋体" w:eastAsia="宋体" w:cs="宋体"/>
          <w:color w:val="auto"/>
          <w:spacing w:val="8"/>
          <w:sz w:val="20"/>
          <w:szCs w:val="20"/>
          <w:lang w:eastAsia="zh-CN"/>
        </w:rPr>
        <w:t>开标由招标代理机构主持，招标人、投标人和有关方面</w:t>
      </w:r>
      <w:r>
        <w:rPr>
          <w:rFonts w:ascii="宋体" w:hAnsi="宋体" w:eastAsia="宋体" w:cs="宋体"/>
          <w:color w:val="auto"/>
          <w:spacing w:val="7"/>
          <w:sz w:val="20"/>
          <w:szCs w:val="20"/>
          <w:lang w:eastAsia="zh-CN"/>
        </w:rPr>
        <w:t>代表参加。</w:t>
      </w:r>
    </w:p>
    <w:p w14:paraId="02EEA8DD">
      <w:pPr>
        <w:spacing w:before="94" w:line="285" w:lineRule="auto"/>
        <w:ind w:left="7" w:right="70" w:firstLine="5"/>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5.1.3 </w:t>
      </w:r>
      <w:r>
        <w:rPr>
          <w:rFonts w:ascii="宋体" w:hAnsi="宋体" w:eastAsia="宋体" w:cs="宋体"/>
          <w:color w:val="auto"/>
          <w:spacing w:val="9"/>
          <w:sz w:val="20"/>
          <w:szCs w:val="20"/>
          <w:lang w:eastAsia="zh-CN"/>
        </w:rPr>
        <w:t>招标人在规定的投标截止时间（开标时间）和投标人须知前附表规定的地点开标。投标人的</w:t>
      </w:r>
      <w:r>
        <w:rPr>
          <w:rFonts w:hint="eastAsia" w:ascii="宋体" w:hAnsi="宋体" w:eastAsia="宋体" w:cs="宋体"/>
          <w:color w:val="auto"/>
          <w:spacing w:val="9"/>
          <w:sz w:val="20"/>
          <w:szCs w:val="20"/>
          <w:lang w:eastAsia="zh-CN"/>
        </w:rPr>
        <w:t>负责</w:t>
      </w:r>
      <w:r>
        <w:rPr>
          <w:rFonts w:ascii="宋体" w:hAnsi="宋体" w:eastAsia="宋体" w:cs="宋体"/>
          <w:color w:val="auto"/>
          <w:spacing w:val="9"/>
          <w:sz w:val="20"/>
          <w:szCs w:val="20"/>
          <w:lang w:eastAsia="zh-CN"/>
        </w:rPr>
        <w:t>人或其委托代理人无需到达开标现场，仅需在任意地点通过政采云不见</w:t>
      </w:r>
      <w:r>
        <w:rPr>
          <w:rFonts w:ascii="宋体" w:hAnsi="宋体" w:eastAsia="宋体" w:cs="宋体"/>
          <w:color w:val="auto"/>
          <w:spacing w:val="8"/>
          <w:sz w:val="20"/>
          <w:szCs w:val="20"/>
          <w:lang w:eastAsia="zh-CN"/>
        </w:rPr>
        <w:t>面开标系统，使用</w:t>
      </w:r>
      <w:r>
        <w:rPr>
          <w:rFonts w:ascii="宋体" w:hAnsi="宋体" w:eastAsia="宋体" w:cs="宋体"/>
          <w:color w:val="auto"/>
          <w:spacing w:val="-39"/>
          <w:sz w:val="20"/>
          <w:szCs w:val="20"/>
          <w:lang w:eastAsia="zh-CN"/>
        </w:rPr>
        <w:t xml:space="preserve"> </w:t>
      </w:r>
      <w:r>
        <w:rPr>
          <w:rFonts w:ascii="Tahoma" w:hAnsi="Tahoma" w:eastAsia="Tahoma" w:cs="Tahoma"/>
          <w:color w:val="auto"/>
          <w:sz w:val="20"/>
          <w:szCs w:val="20"/>
          <w:lang w:eastAsia="zh-CN"/>
        </w:rPr>
        <w:t>CA</w:t>
      </w:r>
      <w:r>
        <w:rPr>
          <w:rFonts w:ascii="Tahoma" w:hAnsi="Tahoma" w:eastAsia="Tahoma" w:cs="Tahoma"/>
          <w:color w:val="auto"/>
          <w:spacing w:val="8"/>
          <w:sz w:val="20"/>
          <w:szCs w:val="20"/>
          <w:lang w:eastAsia="zh-CN"/>
        </w:rPr>
        <w:t xml:space="preserve"> </w:t>
      </w:r>
      <w:r>
        <w:rPr>
          <w:rFonts w:ascii="宋体" w:hAnsi="宋体" w:eastAsia="宋体" w:cs="宋体"/>
          <w:color w:val="auto"/>
          <w:spacing w:val="8"/>
          <w:sz w:val="20"/>
          <w:szCs w:val="20"/>
          <w:lang w:eastAsia="zh-CN"/>
        </w:rPr>
        <w:t>密钥</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完成远程解密、提疑澄清、开标唱标、结果公布等交互环节。</w:t>
      </w:r>
    </w:p>
    <w:p w14:paraId="338DB94D">
      <w:pPr>
        <w:spacing w:before="97" w:line="292" w:lineRule="auto"/>
        <w:ind w:left="7" w:right="70" w:firstLine="5"/>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5.1.4 </w:t>
      </w:r>
      <w:r>
        <w:rPr>
          <w:rFonts w:hint="eastAsia" w:ascii="宋体" w:hAnsi="宋体" w:eastAsia="宋体" w:cs="宋体"/>
          <w:color w:val="auto"/>
          <w:spacing w:val="9"/>
          <w:sz w:val="20"/>
          <w:szCs w:val="20"/>
          <w:lang w:eastAsia="zh-CN"/>
        </w:rPr>
        <w:t>负责</w:t>
      </w:r>
      <w:r>
        <w:rPr>
          <w:rFonts w:ascii="宋体" w:hAnsi="宋体" w:eastAsia="宋体" w:cs="宋体"/>
          <w:color w:val="auto"/>
          <w:spacing w:val="9"/>
          <w:sz w:val="20"/>
          <w:szCs w:val="20"/>
          <w:lang w:eastAsia="zh-CN"/>
        </w:rPr>
        <w:t>人或</w:t>
      </w:r>
      <w:r>
        <w:rPr>
          <w:rFonts w:hint="eastAsia" w:ascii="宋体" w:hAnsi="宋体" w:eastAsia="宋体" w:cs="宋体"/>
          <w:color w:val="auto"/>
          <w:spacing w:val="9"/>
          <w:sz w:val="20"/>
          <w:szCs w:val="20"/>
          <w:lang w:eastAsia="zh-CN"/>
        </w:rPr>
        <w:t>负责</w:t>
      </w:r>
      <w:r>
        <w:rPr>
          <w:rFonts w:ascii="宋体" w:hAnsi="宋体" w:eastAsia="宋体" w:cs="宋体"/>
          <w:color w:val="auto"/>
          <w:spacing w:val="9"/>
          <w:sz w:val="20"/>
          <w:szCs w:val="20"/>
          <w:lang w:eastAsia="zh-CN"/>
        </w:rPr>
        <w:t>人授权委托人参与远程交互，中途不得更换，在废标、澄清、提疑、传送</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文件等特殊情况下需要交互时，投标人一端参与交互的人员将均被视为是投标</w:t>
      </w:r>
      <w:r>
        <w:rPr>
          <w:rFonts w:ascii="宋体" w:hAnsi="宋体" w:eastAsia="宋体" w:cs="宋体"/>
          <w:color w:val="auto"/>
          <w:spacing w:val="7"/>
          <w:sz w:val="20"/>
          <w:szCs w:val="20"/>
          <w:lang w:eastAsia="zh-CN"/>
        </w:rPr>
        <w:t>人的授权委托人或法人代</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表，投标人不得以不承认交互人员的资格或身份等为借口推脱，投标人自行承</w:t>
      </w:r>
      <w:r>
        <w:rPr>
          <w:rFonts w:ascii="宋体" w:hAnsi="宋体" w:eastAsia="宋体" w:cs="宋体"/>
          <w:color w:val="auto"/>
          <w:spacing w:val="7"/>
          <w:sz w:val="20"/>
          <w:szCs w:val="20"/>
          <w:lang w:eastAsia="zh-CN"/>
        </w:rPr>
        <w:t>担随意更换人员所导致的</w:t>
      </w:r>
      <w:r>
        <w:rPr>
          <w:rFonts w:ascii="宋体" w:hAnsi="宋体" w:eastAsia="宋体" w:cs="宋体"/>
          <w:color w:val="auto"/>
          <w:sz w:val="20"/>
          <w:szCs w:val="20"/>
          <w:lang w:eastAsia="zh-CN"/>
        </w:rPr>
        <w:t xml:space="preserve"> </w:t>
      </w:r>
      <w:r>
        <w:rPr>
          <w:rFonts w:ascii="宋体" w:hAnsi="宋体" w:eastAsia="宋体" w:cs="宋体"/>
          <w:color w:val="auto"/>
          <w:spacing w:val="6"/>
          <w:sz w:val="20"/>
          <w:szCs w:val="20"/>
          <w:lang w:eastAsia="zh-CN"/>
        </w:rPr>
        <w:t>一切后果。</w:t>
      </w:r>
    </w:p>
    <w:p w14:paraId="31CE167F">
      <w:pPr>
        <w:spacing w:before="91" w:line="271" w:lineRule="auto"/>
        <w:ind w:left="8" w:right="71" w:firstLine="3"/>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5.1.5 </w:t>
      </w:r>
      <w:r>
        <w:rPr>
          <w:rFonts w:ascii="宋体" w:hAnsi="宋体" w:eastAsia="宋体" w:cs="宋体"/>
          <w:color w:val="auto"/>
          <w:spacing w:val="8"/>
          <w:sz w:val="20"/>
          <w:szCs w:val="20"/>
          <w:lang w:eastAsia="zh-CN"/>
        </w:rPr>
        <w:t>开标时，</w:t>
      </w:r>
      <w:r>
        <w:rPr>
          <w:rFonts w:ascii="宋体" w:hAnsi="宋体" w:eastAsia="宋体" w:cs="宋体"/>
          <w:color w:val="auto"/>
          <w:spacing w:val="-52"/>
          <w:sz w:val="20"/>
          <w:szCs w:val="20"/>
          <w:lang w:eastAsia="zh-CN"/>
        </w:rPr>
        <w:t xml:space="preserve"> </w:t>
      </w:r>
      <w:r>
        <w:rPr>
          <w:rFonts w:ascii="宋体" w:hAnsi="宋体" w:eastAsia="宋体" w:cs="宋体"/>
          <w:color w:val="auto"/>
          <w:spacing w:val="8"/>
          <w:sz w:val="20"/>
          <w:szCs w:val="20"/>
          <w:lang w:eastAsia="zh-CN"/>
        </w:rPr>
        <w:t>由采购代理机构工作人员当众在不见面开标大厅解密，宣布投标人名称、投标价格和招</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标文件规定的需要宣布的其他内容。投标人不足</w:t>
      </w:r>
      <w:r>
        <w:rPr>
          <w:rFonts w:ascii="宋体" w:hAnsi="宋体" w:eastAsia="宋体" w:cs="宋体"/>
          <w:color w:val="auto"/>
          <w:spacing w:val="-32"/>
          <w:sz w:val="20"/>
          <w:szCs w:val="20"/>
          <w:lang w:eastAsia="zh-CN"/>
        </w:rPr>
        <w:t xml:space="preserve"> </w:t>
      </w:r>
      <w:r>
        <w:rPr>
          <w:rFonts w:ascii="Tahoma" w:hAnsi="Tahoma" w:eastAsia="Tahoma" w:cs="Tahoma"/>
          <w:color w:val="auto"/>
          <w:spacing w:val="8"/>
          <w:sz w:val="20"/>
          <w:szCs w:val="20"/>
          <w:lang w:eastAsia="zh-CN"/>
        </w:rPr>
        <w:t xml:space="preserve">3 </w:t>
      </w:r>
      <w:r>
        <w:rPr>
          <w:rFonts w:ascii="宋体" w:hAnsi="宋体" w:eastAsia="宋体" w:cs="宋体"/>
          <w:color w:val="auto"/>
          <w:spacing w:val="8"/>
          <w:sz w:val="20"/>
          <w:szCs w:val="20"/>
          <w:lang w:eastAsia="zh-CN"/>
        </w:rPr>
        <w:t>家的，不得开标。</w:t>
      </w:r>
    </w:p>
    <w:p w14:paraId="5529659D">
      <w:pPr>
        <w:spacing w:before="95" w:line="226" w:lineRule="auto"/>
        <w:ind w:left="12"/>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 xml:space="preserve">5.1.6 </w:t>
      </w:r>
      <w:r>
        <w:rPr>
          <w:rFonts w:ascii="宋体" w:hAnsi="宋体" w:eastAsia="宋体" w:cs="宋体"/>
          <w:color w:val="auto"/>
          <w:spacing w:val="7"/>
          <w:sz w:val="20"/>
          <w:szCs w:val="20"/>
          <w:lang w:eastAsia="zh-CN"/>
        </w:rPr>
        <w:t>开标时，投标报价以系统显示投标报价为准。</w:t>
      </w:r>
    </w:p>
    <w:p w14:paraId="04D2E16A">
      <w:pPr>
        <w:spacing w:before="92" w:line="286" w:lineRule="auto"/>
        <w:ind w:left="6" w:right="70" w:firstLine="6"/>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5.1.7 </w:t>
      </w:r>
      <w:r>
        <w:rPr>
          <w:rFonts w:ascii="宋体" w:hAnsi="宋体" w:eastAsia="宋体" w:cs="宋体"/>
          <w:color w:val="auto"/>
          <w:spacing w:val="9"/>
          <w:sz w:val="20"/>
          <w:szCs w:val="20"/>
          <w:lang w:eastAsia="zh-CN"/>
        </w:rPr>
        <w:t>投标人代表对开标过程和开标记录有疑义，以及认为采购人、采购代理机构相关工作人员有需要</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回避的情形的，应当场提出询问或者回避申请。采购人、采购代理机构对投标人</w:t>
      </w:r>
      <w:r>
        <w:rPr>
          <w:rFonts w:ascii="宋体" w:hAnsi="宋体" w:eastAsia="宋体" w:cs="宋体"/>
          <w:color w:val="auto"/>
          <w:spacing w:val="7"/>
          <w:sz w:val="20"/>
          <w:szCs w:val="20"/>
          <w:lang w:eastAsia="zh-CN"/>
        </w:rPr>
        <w:t>代表提出的询问或者回</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避申请应当及时处理。</w:t>
      </w:r>
    </w:p>
    <w:p w14:paraId="01CE38DF">
      <w:pPr>
        <w:spacing w:before="92" w:line="227" w:lineRule="auto"/>
        <w:ind w:left="12"/>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5.1.8 </w:t>
      </w:r>
      <w:r>
        <w:rPr>
          <w:rFonts w:ascii="宋体" w:hAnsi="宋体" w:eastAsia="宋体" w:cs="宋体"/>
          <w:color w:val="auto"/>
          <w:spacing w:val="8"/>
          <w:sz w:val="20"/>
          <w:szCs w:val="20"/>
          <w:lang w:eastAsia="zh-CN"/>
        </w:rPr>
        <w:t>投标人代表在开标过程中未提出异议的，视为认可本次开标及开标过程的全部事宜。</w:t>
      </w:r>
    </w:p>
    <w:p w14:paraId="43560D11">
      <w:pPr>
        <w:spacing w:before="67" w:line="222" w:lineRule="auto"/>
        <w:ind w:left="4252"/>
        <w:rPr>
          <w:rFonts w:ascii="Tahoma" w:hAnsi="Tahoma" w:eastAsia="Tahoma" w:cs="Tahoma"/>
          <w:b/>
          <w:bCs/>
          <w:color w:val="auto"/>
          <w:spacing w:val="-3"/>
          <w:sz w:val="24"/>
          <w:szCs w:val="24"/>
          <w:lang w:eastAsia="zh-CN"/>
        </w:rPr>
      </w:pPr>
    </w:p>
    <w:p w14:paraId="0CF69B8B">
      <w:pPr>
        <w:spacing w:before="67" w:line="222" w:lineRule="auto"/>
        <w:ind w:left="4252"/>
        <w:rPr>
          <w:rFonts w:ascii="黑体" w:hAnsi="黑体" w:eastAsia="黑体" w:cs="黑体"/>
          <w:color w:val="auto"/>
          <w:sz w:val="24"/>
          <w:szCs w:val="24"/>
          <w:lang w:eastAsia="zh-CN"/>
        </w:rPr>
      </w:pPr>
      <w:r>
        <w:rPr>
          <w:rFonts w:ascii="Tahoma" w:hAnsi="Tahoma" w:eastAsia="Tahoma" w:cs="Tahoma"/>
          <w:b/>
          <w:bCs/>
          <w:color w:val="auto"/>
          <w:spacing w:val="-3"/>
          <w:sz w:val="24"/>
          <w:szCs w:val="24"/>
          <w:lang w:eastAsia="zh-CN"/>
        </w:rPr>
        <w:t>6</w:t>
      </w:r>
      <w:r>
        <w:rPr>
          <w:rFonts w:ascii="宋体" w:hAnsi="宋体" w:eastAsia="宋体" w:cs="宋体"/>
          <w:color w:val="auto"/>
          <w:spacing w:val="-3"/>
          <w:sz w:val="24"/>
          <w:szCs w:val="24"/>
          <w:lang w:eastAsia="zh-CN"/>
          <w14:textOutline w14:w="4356" w14:cap="sq" w14:cmpd="sng" w14:algn="ctr">
            <w14:solidFill>
              <w14:srgbClr w14:val="000000"/>
            </w14:solidFill>
            <w14:prstDash w14:val="solid"/>
            <w14:bevel/>
          </w14:textOutline>
        </w:rPr>
        <w:t>、</w:t>
      </w:r>
      <w:r>
        <w:rPr>
          <w:rFonts w:ascii="黑体" w:hAnsi="黑体" w:eastAsia="黑体" w:cs="黑体"/>
          <w:color w:val="auto"/>
          <w:spacing w:val="-3"/>
          <w:sz w:val="24"/>
          <w:szCs w:val="24"/>
          <w:lang w:eastAsia="zh-CN"/>
          <w14:textOutline w14:w="4356" w14:cap="sq" w14:cmpd="sng" w14:algn="ctr">
            <w14:solidFill>
              <w14:srgbClr w14:val="000000"/>
            </w14:solidFill>
            <w14:prstDash w14:val="solid"/>
            <w14:bevel/>
          </w14:textOutline>
        </w:rPr>
        <w:t>评标</w:t>
      </w:r>
    </w:p>
    <w:p w14:paraId="19A04864">
      <w:pPr>
        <w:spacing w:before="80" w:line="227" w:lineRule="auto"/>
        <w:ind w:left="10"/>
        <w:rPr>
          <w:rFonts w:ascii="宋体" w:hAnsi="宋体" w:eastAsia="宋体" w:cs="宋体"/>
          <w:color w:val="auto"/>
          <w:sz w:val="20"/>
          <w:szCs w:val="20"/>
          <w:lang w:eastAsia="zh-CN"/>
        </w:rPr>
      </w:pPr>
      <w:r>
        <w:rPr>
          <w:rFonts w:ascii="Tahoma" w:hAnsi="Tahoma" w:eastAsia="Tahoma" w:cs="Tahoma"/>
          <w:b/>
          <w:bCs/>
          <w:color w:val="auto"/>
          <w:spacing w:val="4"/>
          <w:sz w:val="20"/>
          <w:szCs w:val="20"/>
          <w:lang w:eastAsia="zh-CN"/>
        </w:rPr>
        <w:t>6.1</w:t>
      </w:r>
      <w:r>
        <w:rPr>
          <w:rFonts w:ascii="Tahoma" w:hAnsi="Tahoma" w:eastAsia="Tahoma" w:cs="Tahoma"/>
          <w:b/>
          <w:bCs/>
          <w:color w:val="auto"/>
          <w:spacing w:val="-27"/>
          <w:sz w:val="20"/>
          <w:szCs w:val="20"/>
          <w:lang w:eastAsia="zh-CN"/>
        </w:rPr>
        <w:t xml:space="preserve"> </w:t>
      </w:r>
      <w:r>
        <w:rPr>
          <w:rFonts w:ascii="宋体" w:hAnsi="宋体" w:eastAsia="宋体" w:cs="宋体"/>
          <w:color w:val="auto"/>
          <w:spacing w:val="4"/>
          <w:sz w:val="20"/>
          <w:szCs w:val="20"/>
          <w:lang w:eastAsia="zh-CN"/>
          <w14:textOutline w14:w="3797" w14:cap="sq" w14:cmpd="sng" w14:algn="ctr">
            <w14:solidFill>
              <w14:srgbClr w14:val="000000"/>
            </w14:solidFill>
            <w14:prstDash w14:val="solid"/>
            <w14:bevel/>
          </w14:textOutline>
        </w:rPr>
        <w:t>．评标委员会</w:t>
      </w:r>
    </w:p>
    <w:p w14:paraId="6246814E">
      <w:pPr>
        <w:spacing w:before="93" w:line="285" w:lineRule="auto"/>
        <w:ind w:left="6" w:right="70" w:firstLine="2"/>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6.1.1 </w:t>
      </w:r>
      <w:r>
        <w:rPr>
          <w:rFonts w:ascii="宋体" w:hAnsi="宋体" w:eastAsia="宋体" w:cs="宋体"/>
          <w:color w:val="auto"/>
          <w:spacing w:val="9"/>
          <w:sz w:val="20"/>
          <w:szCs w:val="20"/>
          <w:lang w:eastAsia="zh-CN"/>
        </w:rPr>
        <w:t>招标人依法组建评标委员会。评标委员会由采购人代表和有关技术、经济等方面的专家组成，成</w:t>
      </w:r>
      <w:r>
        <w:rPr>
          <w:rFonts w:ascii="宋体" w:hAnsi="宋体" w:eastAsia="宋体" w:cs="宋体"/>
          <w:color w:val="auto"/>
          <w:spacing w:val="2"/>
          <w:sz w:val="20"/>
          <w:szCs w:val="20"/>
          <w:lang w:eastAsia="zh-CN"/>
        </w:rPr>
        <w:t xml:space="preserve"> </w:t>
      </w:r>
      <w:r>
        <w:rPr>
          <w:rFonts w:ascii="宋体" w:hAnsi="宋体" w:eastAsia="宋体" w:cs="宋体"/>
          <w:color w:val="auto"/>
          <w:spacing w:val="6"/>
          <w:sz w:val="20"/>
          <w:szCs w:val="20"/>
          <w:lang w:eastAsia="zh-CN"/>
        </w:rPr>
        <w:t>员人数应当为</w:t>
      </w:r>
      <w:r>
        <w:rPr>
          <w:rFonts w:ascii="Tahoma" w:hAnsi="Tahoma" w:eastAsia="Tahoma" w:cs="Tahoma"/>
          <w:color w:val="auto"/>
          <w:spacing w:val="58"/>
          <w:w w:val="101"/>
          <w:sz w:val="20"/>
          <w:szCs w:val="20"/>
          <w:u w:val="single"/>
          <w:lang w:eastAsia="zh-CN"/>
        </w:rPr>
        <w:t xml:space="preserve"> </w:t>
      </w:r>
      <w:r>
        <w:rPr>
          <w:rFonts w:ascii="Tahoma" w:hAnsi="Tahoma" w:eastAsia="Tahoma" w:cs="Tahoma"/>
          <w:color w:val="auto"/>
          <w:spacing w:val="6"/>
          <w:sz w:val="20"/>
          <w:szCs w:val="20"/>
          <w:u w:val="single"/>
          <w:lang w:eastAsia="zh-CN"/>
        </w:rPr>
        <w:t xml:space="preserve">5 </w:t>
      </w:r>
      <w:r>
        <w:rPr>
          <w:rFonts w:ascii="宋体" w:hAnsi="宋体" w:eastAsia="宋体" w:cs="宋体"/>
          <w:color w:val="auto"/>
          <w:spacing w:val="6"/>
          <w:sz w:val="20"/>
          <w:szCs w:val="20"/>
          <w:lang w:eastAsia="zh-CN"/>
        </w:rPr>
        <w:t>人以上单数，其中，技术、经济等方面的专家不得少于成员总数的</w:t>
      </w:r>
      <w:r>
        <w:rPr>
          <w:rFonts w:ascii="宋体" w:hAnsi="宋体" w:eastAsia="宋体" w:cs="宋体"/>
          <w:color w:val="auto"/>
          <w:spacing w:val="-36"/>
          <w:sz w:val="20"/>
          <w:szCs w:val="20"/>
          <w:lang w:eastAsia="zh-CN"/>
        </w:rPr>
        <w:t xml:space="preserve"> </w:t>
      </w:r>
      <w:r>
        <w:rPr>
          <w:rFonts w:ascii="Tahoma" w:hAnsi="Tahoma" w:eastAsia="Tahoma" w:cs="Tahoma"/>
          <w:color w:val="auto"/>
          <w:spacing w:val="5"/>
          <w:sz w:val="20"/>
          <w:szCs w:val="20"/>
          <w:lang w:eastAsia="zh-CN"/>
        </w:rPr>
        <w:t>2/3</w:t>
      </w:r>
      <w:r>
        <w:rPr>
          <w:rFonts w:ascii="Tahoma" w:hAnsi="Tahoma" w:eastAsia="Tahoma" w:cs="Tahoma"/>
          <w:color w:val="auto"/>
          <w:spacing w:val="-36"/>
          <w:sz w:val="20"/>
          <w:szCs w:val="20"/>
          <w:lang w:eastAsia="zh-CN"/>
        </w:rPr>
        <w:t xml:space="preserve"> </w:t>
      </w:r>
      <w:r>
        <w:rPr>
          <w:rFonts w:ascii="宋体" w:hAnsi="宋体" w:eastAsia="宋体" w:cs="宋体"/>
          <w:color w:val="auto"/>
          <w:spacing w:val="5"/>
          <w:sz w:val="20"/>
          <w:szCs w:val="20"/>
          <w:lang w:eastAsia="zh-CN"/>
        </w:rPr>
        <w:t>，并对投标文件</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进行审查、评估和比较，并做出授予合同的建议。</w:t>
      </w:r>
    </w:p>
    <w:p w14:paraId="4D561452">
      <w:pPr>
        <w:spacing w:before="93" w:line="292" w:lineRule="auto"/>
        <w:ind w:left="8"/>
        <w:rPr>
          <w:rFonts w:ascii="宋体" w:hAnsi="宋体" w:eastAsia="宋体" w:cs="宋体"/>
          <w:color w:val="auto"/>
          <w:sz w:val="20"/>
          <w:szCs w:val="20"/>
          <w:lang w:eastAsia="zh-CN"/>
        </w:rPr>
      </w:pPr>
      <w:r>
        <w:rPr>
          <w:rFonts w:ascii="Tahoma" w:hAnsi="Tahoma" w:eastAsia="Tahoma" w:cs="Tahoma"/>
          <w:color w:val="auto"/>
          <w:spacing w:val="5"/>
          <w:sz w:val="20"/>
          <w:szCs w:val="20"/>
          <w:lang w:eastAsia="zh-CN"/>
        </w:rPr>
        <w:t xml:space="preserve">6.1.2 </w:t>
      </w:r>
      <w:r>
        <w:rPr>
          <w:rFonts w:ascii="宋体" w:hAnsi="宋体" w:eastAsia="宋体" w:cs="宋体"/>
          <w:color w:val="auto"/>
          <w:spacing w:val="5"/>
          <w:sz w:val="20"/>
          <w:szCs w:val="20"/>
          <w:lang w:eastAsia="zh-CN"/>
        </w:rPr>
        <w:t>在评标工作开始前，由采购人或者采购代理机构</w:t>
      </w:r>
      <w:r>
        <w:rPr>
          <w:rFonts w:ascii="宋体" w:hAnsi="宋体" w:eastAsia="宋体" w:cs="宋体"/>
          <w:color w:val="auto"/>
          <w:spacing w:val="4"/>
          <w:sz w:val="20"/>
          <w:szCs w:val="20"/>
          <w:lang w:eastAsia="zh-CN"/>
        </w:rPr>
        <w:t xml:space="preserve">负责：核对评审专家身份和采购人代表授权函；宣 </w:t>
      </w:r>
      <w:r>
        <w:rPr>
          <w:rFonts w:ascii="宋体" w:hAnsi="宋体" w:eastAsia="宋体" w:cs="宋体"/>
          <w:color w:val="auto"/>
          <w:spacing w:val="5"/>
          <w:sz w:val="20"/>
          <w:szCs w:val="20"/>
          <w:lang w:eastAsia="zh-CN"/>
        </w:rPr>
        <w:t>布评标纪律；告知评审专家应当回避的情形；组织评标委员会推选评标组长，采</w:t>
      </w:r>
      <w:r>
        <w:rPr>
          <w:rFonts w:ascii="宋体" w:hAnsi="宋体" w:eastAsia="宋体" w:cs="宋体"/>
          <w:color w:val="auto"/>
          <w:spacing w:val="4"/>
          <w:sz w:val="20"/>
          <w:szCs w:val="20"/>
          <w:lang w:eastAsia="zh-CN"/>
        </w:rPr>
        <w:t>购人代表不得担任组长。</w:t>
      </w:r>
      <w:r>
        <w:rPr>
          <w:rFonts w:ascii="宋体" w:hAnsi="宋体" w:eastAsia="宋体" w:cs="宋体"/>
          <w:color w:val="auto"/>
          <w:sz w:val="20"/>
          <w:szCs w:val="20"/>
          <w:lang w:eastAsia="zh-CN"/>
        </w:rPr>
        <w:t xml:space="preserve"> </w:t>
      </w:r>
      <w:r>
        <w:rPr>
          <w:rFonts w:ascii="Tahoma" w:hAnsi="Tahoma" w:eastAsia="Tahoma" w:cs="Tahoma"/>
          <w:color w:val="auto"/>
          <w:spacing w:val="9"/>
          <w:sz w:val="20"/>
          <w:szCs w:val="20"/>
          <w:lang w:eastAsia="zh-CN"/>
        </w:rPr>
        <w:t xml:space="preserve">6.1.3 </w:t>
      </w:r>
      <w:r>
        <w:rPr>
          <w:rFonts w:ascii="宋体" w:hAnsi="宋体" w:eastAsia="宋体" w:cs="宋体"/>
          <w:color w:val="auto"/>
          <w:spacing w:val="9"/>
          <w:sz w:val="20"/>
          <w:szCs w:val="20"/>
          <w:lang w:eastAsia="zh-CN"/>
        </w:rPr>
        <w:t>采购人就招标文件征询过意见的专家，不得再作为评标专家参加评标</w:t>
      </w:r>
      <w:r>
        <w:rPr>
          <w:rFonts w:ascii="宋体" w:hAnsi="宋体" w:eastAsia="宋体" w:cs="宋体"/>
          <w:color w:val="auto"/>
          <w:spacing w:val="8"/>
          <w:sz w:val="20"/>
          <w:szCs w:val="20"/>
          <w:lang w:eastAsia="zh-CN"/>
        </w:rPr>
        <w:t xml:space="preserve">。招标人不得以专家身份参 </w:t>
      </w:r>
      <w:r>
        <w:rPr>
          <w:rFonts w:ascii="宋体" w:hAnsi="宋体" w:eastAsia="宋体" w:cs="宋体"/>
          <w:color w:val="auto"/>
          <w:spacing w:val="10"/>
          <w:sz w:val="20"/>
          <w:szCs w:val="20"/>
          <w:lang w:eastAsia="zh-CN"/>
        </w:rPr>
        <w:t>与本部门或者本项目的评标。招标代理机构工作</w:t>
      </w:r>
      <w:r>
        <w:rPr>
          <w:rFonts w:ascii="宋体" w:hAnsi="宋体" w:eastAsia="宋体" w:cs="宋体"/>
          <w:color w:val="auto"/>
          <w:spacing w:val="9"/>
          <w:sz w:val="20"/>
          <w:szCs w:val="20"/>
          <w:lang w:eastAsia="zh-CN"/>
        </w:rPr>
        <w:t>人员不得参加由本机构代理的招标项目的评标。</w:t>
      </w:r>
    </w:p>
    <w:p w14:paraId="51FB3EA9">
      <w:pPr>
        <w:spacing w:before="95" w:line="227" w:lineRule="auto"/>
        <w:ind w:left="8"/>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 xml:space="preserve">6.1.4 </w:t>
      </w:r>
      <w:r>
        <w:rPr>
          <w:rFonts w:ascii="宋体" w:hAnsi="宋体" w:eastAsia="宋体" w:cs="宋体"/>
          <w:color w:val="auto"/>
          <w:spacing w:val="7"/>
          <w:sz w:val="20"/>
          <w:szCs w:val="20"/>
          <w:lang w:eastAsia="zh-CN"/>
        </w:rPr>
        <w:t>评标委员会成员应当履行下列</w:t>
      </w:r>
      <w:r>
        <w:rPr>
          <w:rFonts w:ascii="宋体" w:hAnsi="宋体" w:eastAsia="宋体" w:cs="宋体"/>
          <w:color w:val="auto"/>
          <w:spacing w:val="6"/>
          <w:sz w:val="20"/>
          <w:szCs w:val="20"/>
          <w:lang w:eastAsia="zh-CN"/>
        </w:rPr>
        <w:t>义务：</w:t>
      </w:r>
    </w:p>
    <w:p w14:paraId="23CE71C7">
      <w:pPr>
        <w:spacing w:before="95" w:line="228" w:lineRule="auto"/>
        <w:ind w:left="123"/>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（一）遵纪守法，客观、公正、廉洁地履行职责；</w:t>
      </w:r>
    </w:p>
    <w:p w14:paraId="2A685AF3">
      <w:pPr>
        <w:spacing w:before="91" w:line="228" w:lineRule="auto"/>
        <w:ind w:left="123"/>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（二）按照招标文件规定的评标方法和评标标准进行评标，对评审意见承担个人责任；</w:t>
      </w:r>
    </w:p>
    <w:p w14:paraId="392F5A1F">
      <w:pPr>
        <w:spacing w:before="94" w:line="227" w:lineRule="auto"/>
        <w:ind w:left="123"/>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（三）对评标过程和结果，</w:t>
      </w:r>
      <w:r>
        <w:rPr>
          <w:rFonts w:ascii="宋体" w:hAnsi="宋体" w:eastAsia="宋体" w:cs="宋体"/>
          <w:color w:val="auto"/>
          <w:spacing w:val="-57"/>
          <w:sz w:val="20"/>
          <w:szCs w:val="20"/>
          <w:lang w:eastAsia="zh-CN"/>
        </w:rPr>
        <w:t xml:space="preserve"> </w:t>
      </w:r>
      <w:r>
        <w:rPr>
          <w:rFonts w:ascii="宋体" w:hAnsi="宋体" w:eastAsia="宋体" w:cs="宋体"/>
          <w:color w:val="auto"/>
          <w:spacing w:val="7"/>
          <w:sz w:val="20"/>
          <w:szCs w:val="20"/>
          <w:lang w:eastAsia="zh-CN"/>
        </w:rPr>
        <w:t>以及</w:t>
      </w: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的商业秘密保密；</w:t>
      </w:r>
    </w:p>
    <w:p w14:paraId="1A543910">
      <w:pPr>
        <w:spacing w:before="96" w:line="226" w:lineRule="auto"/>
        <w:ind w:left="123"/>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（四）参与评标报告的起草；</w:t>
      </w:r>
    </w:p>
    <w:p w14:paraId="6980F4FE">
      <w:pPr>
        <w:spacing w:before="93" w:line="228" w:lineRule="auto"/>
        <w:ind w:left="123"/>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（五）配合有关部门的投诉处理工作；</w:t>
      </w:r>
    </w:p>
    <w:p w14:paraId="556EEE9F">
      <w:pPr>
        <w:spacing w:before="94" w:line="227" w:lineRule="auto"/>
        <w:ind w:left="123"/>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（六）配合招标单位答复投标</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提出的质疑。</w:t>
      </w:r>
    </w:p>
    <w:p w14:paraId="6D7CDD99">
      <w:pPr>
        <w:spacing w:before="65" w:line="228" w:lineRule="auto"/>
        <w:ind w:left="10"/>
        <w:rPr>
          <w:rFonts w:ascii="宋体" w:hAnsi="宋体" w:eastAsia="宋体" w:cs="宋体"/>
          <w:color w:val="auto"/>
          <w:sz w:val="20"/>
          <w:szCs w:val="20"/>
          <w:lang w:eastAsia="zh-CN"/>
        </w:rPr>
      </w:pPr>
      <w:r>
        <w:rPr>
          <w:rFonts w:ascii="Tahoma" w:hAnsi="Tahoma" w:eastAsia="Tahoma" w:cs="Tahoma"/>
          <w:b/>
          <w:bCs/>
          <w:color w:val="auto"/>
          <w:spacing w:val="1"/>
          <w:sz w:val="20"/>
          <w:szCs w:val="20"/>
          <w:lang w:eastAsia="zh-CN"/>
        </w:rPr>
        <w:t>6.2</w:t>
      </w:r>
      <w:r>
        <w:rPr>
          <w:rFonts w:ascii="Tahoma" w:hAnsi="Tahoma" w:eastAsia="Tahoma" w:cs="Tahoma"/>
          <w:b/>
          <w:bCs/>
          <w:color w:val="auto"/>
          <w:spacing w:val="-28"/>
          <w:sz w:val="20"/>
          <w:szCs w:val="20"/>
          <w:lang w:eastAsia="zh-CN"/>
        </w:rPr>
        <w:t xml:space="preserve"> </w:t>
      </w:r>
      <w:r>
        <w:rPr>
          <w:rFonts w:ascii="宋体" w:hAnsi="宋体" w:eastAsia="宋体" w:cs="宋体"/>
          <w:color w:val="auto"/>
          <w:spacing w:val="1"/>
          <w:sz w:val="20"/>
          <w:szCs w:val="20"/>
          <w:lang w:eastAsia="zh-CN"/>
          <w14:textOutline w14:w="3797" w14:cap="sq" w14:cmpd="sng" w14:algn="ctr">
            <w14:solidFill>
              <w14:srgbClr w14:val="000000"/>
            </w14:solidFill>
            <w14:prstDash w14:val="solid"/>
            <w14:bevel/>
          </w14:textOutline>
        </w:rPr>
        <w:t>．评标</w:t>
      </w:r>
    </w:p>
    <w:p w14:paraId="35C44E3E">
      <w:pPr>
        <w:spacing w:before="92" w:line="270" w:lineRule="auto"/>
        <w:ind w:left="12" w:right="53" w:hanging="4"/>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 xml:space="preserve">6.2.1 </w:t>
      </w:r>
      <w:r>
        <w:rPr>
          <w:rFonts w:ascii="宋体" w:hAnsi="宋体" w:eastAsia="宋体" w:cs="宋体"/>
          <w:color w:val="auto"/>
          <w:spacing w:val="7"/>
          <w:sz w:val="20"/>
          <w:szCs w:val="20"/>
          <w:lang w:eastAsia="zh-CN"/>
        </w:rPr>
        <w:t>本项目评标办法根据《政府采购货物和服务招标投标管理办法》（中华人民共和国财政部令第</w:t>
      </w:r>
      <w:r>
        <w:rPr>
          <w:rFonts w:ascii="宋体" w:hAnsi="宋体" w:eastAsia="宋体" w:cs="宋体"/>
          <w:color w:val="auto"/>
          <w:spacing w:val="-24"/>
          <w:sz w:val="20"/>
          <w:szCs w:val="20"/>
          <w:lang w:eastAsia="zh-CN"/>
        </w:rPr>
        <w:t xml:space="preserve"> </w:t>
      </w:r>
      <w:r>
        <w:rPr>
          <w:rFonts w:ascii="Tahoma" w:hAnsi="Tahoma" w:eastAsia="Tahoma" w:cs="Tahoma"/>
          <w:color w:val="auto"/>
          <w:spacing w:val="7"/>
          <w:sz w:val="20"/>
          <w:szCs w:val="20"/>
          <w:lang w:eastAsia="zh-CN"/>
        </w:rPr>
        <w:t>87</w:t>
      </w:r>
      <w:r>
        <w:rPr>
          <w:rFonts w:ascii="Tahoma" w:hAnsi="Tahoma" w:eastAsia="Tahoma" w:cs="Tahoma"/>
          <w:color w:val="auto"/>
          <w:sz w:val="20"/>
          <w:szCs w:val="20"/>
          <w:lang w:eastAsia="zh-CN"/>
        </w:rPr>
        <w:t xml:space="preserve"> </w:t>
      </w:r>
      <w:r>
        <w:rPr>
          <w:rFonts w:ascii="宋体" w:hAnsi="宋体" w:eastAsia="宋体" w:cs="宋体"/>
          <w:color w:val="auto"/>
          <w:spacing w:val="8"/>
          <w:sz w:val="20"/>
          <w:szCs w:val="20"/>
          <w:lang w:eastAsia="zh-CN"/>
        </w:rPr>
        <w:t>号）规定的评审标准，评标办法（详见第三章）。</w:t>
      </w:r>
    </w:p>
    <w:p w14:paraId="4252167D">
      <w:pPr>
        <w:spacing w:before="95" w:line="271" w:lineRule="auto"/>
        <w:ind w:left="9" w:right="71" w:hanging="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6.2.2 </w:t>
      </w:r>
      <w:r>
        <w:rPr>
          <w:rFonts w:ascii="宋体" w:hAnsi="宋体" w:eastAsia="宋体" w:cs="宋体"/>
          <w:color w:val="auto"/>
          <w:spacing w:val="9"/>
          <w:sz w:val="20"/>
          <w:szCs w:val="20"/>
          <w:lang w:eastAsia="zh-CN"/>
        </w:rPr>
        <w:t>对所有投标人的评估，都采用相同的程序和招标文件规定的评审标</w:t>
      </w:r>
      <w:r>
        <w:rPr>
          <w:rFonts w:ascii="宋体" w:hAnsi="宋体" w:eastAsia="宋体" w:cs="宋体"/>
          <w:color w:val="auto"/>
          <w:spacing w:val="8"/>
          <w:sz w:val="20"/>
          <w:szCs w:val="20"/>
          <w:lang w:eastAsia="zh-CN"/>
        </w:rPr>
        <w:t>准。评议过程将严格按照招标</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文件规定的评标办法和标准进行。</w:t>
      </w:r>
    </w:p>
    <w:p w14:paraId="51014034">
      <w:pPr>
        <w:spacing w:before="92" w:line="271" w:lineRule="auto"/>
        <w:ind w:left="9" w:right="54" w:hanging="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6.2.3 </w:t>
      </w:r>
      <w:r>
        <w:rPr>
          <w:rFonts w:ascii="宋体" w:hAnsi="宋体" w:eastAsia="宋体" w:cs="宋体"/>
          <w:color w:val="auto"/>
          <w:spacing w:val="9"/>
          <w:sz w:val="20"/>
          <w:szCs w:val="20"/>
          <w:lang w:eastAsia="zh-CN"/>
        </w:rPr>
        <w:t>有关投标文件的审查、澄清、评估和比较以及推荐中标候选人的一切情况都不得透露给任一投标</w:t>
      </w:r>
      <w:r>
        <w:rPr>
          <w:rFonts w:ascii="宋体" w:hAnsi="宋体" w:eastAsia="宋体" w:cs="宋体"/>
          <w:color w:val="auto"/>
          <w:spacing w:val="4"/>
          <w:sz w:val="20"/>
          <w:szCs w:val="20"/>
          <w:lang w:eastAsia="zh-CN"/>
        </w:rPr>
        <w:t xml:space="preserve"> </w:t>
      </w:r>
      <w:r>
        <w:rPr>
          <w:rFonts w:ascii="宋体" w:hAnsi="宋体" w:eastAsia="宋体" w:cs="宋体"/>
          <w:color w:val="auto"/>
          <w:spacing w:val="8"/>
          <w:sz w:val="20"/>
          <w:szCs w:val="20"/>
          <w:lang w:eastAsia="zh-CN"/>
        </w:rPr>
        <w:t>人或与上述评标工作无关的人员。</w:t>
      </w:r>
    </w:p>
    <w:p w14:paraId="3654EA18">
      <w:pPr>
        <w:spacing w:before="93" w:line="270" w:lineRule="auto"/>
        <w:ind w:left="7" w:right="54" w:firstLine="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6.2.4 </w:t>
      </w:r>
      <w:r>
        <w:rPr>
          <w:rFonts w:ascii="宋体" w:hAnsi="宋体" w:eastAsia="宋体" w:cs="宋体"/>
          <w:color w:val="auto"/>
          <w:spacing w:val="9"/>
          <w:sz w:val="20"/>
          <w:szCs w:val="20"/>
          <w:lang w:eastAsia="zh-CN"/>
        </w:rPr>
        <w:t>投标人任何试图影响评委会对投标文件的评估、比较或者推荐候选人的行为，都将导致其投标被</w:t>
      </w:r>
      <w:r>
        <w:rPr>
          <w:rFonts w:ascii="宋体" w:hAnsi="宋体" w:eastAsia="宋体" w:cs="宋体"/>
          <w:color w:val="auto"/>
          <w:spacing w:val="4"/>
          <w:sz w:val="20"/>
          <w:szCs w:val="20"/>
          <w:lang w:eastAsia="zh-CN"/>
        </w:rPr>
        <w:t xml:space="preserve"> </w:t>
      </w:r>
      <w:r>
        <w:rPr>
          <w:rFonts w:ascii="宋体" w:hAnsi="宋体" w:eastAsia="宋体" w:cs="宋体"/>
          <w:color w:val="auto"/>
          <w:spacing w:val="8"/>
          <w:sz w:val="20"/>
          <w:szCs w:val="20"/>
          <w:lang w:eastAsia="zh-CN"/>
        </w:rPr>
        <w:t>拒绝，并被没收投标保证金。</w:t>
      </w:r>
    </w:p>
    <w:p w14:paraId="0CC6D722">
      <w:pPr>
        <w:spacing w:before="94" w:line="228" w:lineRule="auto"/>
        <w:ind w:left="10"/>
        <w:rPr>
          <w:rFonts w:ascii="宋体" w:hAnsi="宋体" w:eastAsia="宋体" w:cs="宋体"/>
          <w:color w:val="auto"/>
          <w:sz w:val="20"/>
          <w:szCs w:val="20"/>
          <w:lang w:eastAsia="zh-CN"/>
        </w:rPr>
      </w:pPr>
      <w:r>
        <w:rPr>
          <w:rFonts w:ascii="Tahoma" w:hAnsi="Tahoma" w:eastAsia="Tahoma" w:cs="Tahoma"/>
          <w:b/>
          <w:bCs/>
          <w:color w:val="auto"/>
          <w:spacing w:val="6"/>
          <w:sz w:val="20"/>
          <w:szCs w:val="20"/>
          <w:lang w:eastAsia="zh-CN"/>
        </w:rPr>
        <w:t>6.3.</w:t>
      </w:r>
      <w:r>
        <w:rPr>
          <w:rFonts w:ascii="Tahoma" w:hAnsi="Tahoma" w:eastAsia="Tahoma" w:cs="Tahoma"/>
          <w:b/>
          <w:bCs/>
          <w:color w:val="auto"/>
          <w:spacing w:val="1"/>
          <w:sz w:val="20"/>
          <w:szCs w:val="20"/>
          <w:lang w:eastAsia="zh-CN"/>
        </w:rPr>
        <w:t xml:space="preserve">  </w:t>
      </w:r>
      <w:r>
        <w:rPr>
          <w:rFonts w:ascii="宋体" w:hAnsi="宋体" w:eastAsia="宋体" w:cs="宋体"/>
          <w:color w:val="auto"/>
          <w:spacing w:val="6"/>
          <w:sz w:val="20"/>
          <w:szCs w:val="20"/>
          <w:lang w:eastAsia="zh-CN"/>
          <w14:textOutline w14:w="3797" w14:cap="sq" w14:cmpd="sng" w14:algn="ctr">
            <w14:solidFill>
              <w14:srgbClr w14:val="000000"/>
            </w14:solidFill>
            <w14:prstDash w14:val="solid"/>
            <w14:bevel/>
          </w14:textOutline>
        </w:rPr>
        <w:t>投标文件的初审</w:t>
      </w:r>
    </w:p>
    <w:p w14:paraId="0EF672CB">
      <w:pPr>
        <w:spacing w:before="94" w:line="270" w:lineRule="auto"/>
        <w:ind w:left="8" w:right="54"/>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6.3.1 </w:t>
      </w:r>
      <w:r>
        <w:rPr>
          <w:rFonts w:ascii="宋体" w:hAnsi="宋体" w:eastAsia="宋体" w:cs="宋体"/>
          <w:color w:val="auto"/>
          <w:spacing w:val="9"/>
          <w:sz w:val="20"/>
          <w:szCs w:val="20"/>
          <w:lang w:eastAsia="zh-CN"/>
        </w:rPr>
        <w:t>评委会将对投标文件进行检查，以确定投标文件是否完整、有无计算上的错误、是否提交了投标</w:t>
      </w:r>
      <w:r>
        <w:rPr>
          <w:rFonts w:ascii="宋体" w:hAnsi="宋体" w:eastAsia="宋体" w:cs="宋体"/>
          <w:color w:val="auto"/>
          <w:spacing w:val="4"/>
          <w:sz w:val="20"/>
          <w:szCs w:val="20"/>
          <w:lang w:eastAsia="zh-CN"/>
        </w:rPr>
        <w:t xml:space="preserve"> </w:t>
      </w:r>
      <w:r>
        <w:rPr>
          <w:rFonts w:ascii="宋体" w:hAnsi="宋体" w:eastAsia="宋体" w:cs="宋体"/>
          <w:color w:val="auto"/>
          <w:spacing w:val="8"/>
          <w:sz w:val="20"/>
          <w:szCs w:val="20"/>
          <w:lang w:eastAsia="zh-CN"/>
        </w:rPr>
        <w:t>保证金、文件是否已正确签署。</w:t>
      </w:r>
    </w:p>
    <w:p w14:paraId="2063747B">
      <w:pPr>
        <w:spacing w:before="94" w:line="228" w:lineRule="auto"/>
        <w:ind w:left="10"/>
        <w:rPr>
          <w:rFonts w:ascii="宋体" w:hAnsi="宋体" w:eastAsia="宋体" w:cs="宋体"/>
          <w:color w:val="auto"/>
          <w:sz w:val="20"/>
          <w:szCs w:val="20"/>
          <w:lang w:eastAsia="zh-CN"/>
        </w:rPr>
      </w:pPr>
      <w:r>
        <w:rPr>
          <w:rFonts w:ascii="Tahoma" w:hAnsi="Tahoma" w:eastAsia="Tahoma" w:cs="Tahoma"/>
          <w:b/>
          <w:bCs/>
          <w:color w:val="auto"/>
          <w:spacing w:val="8"/>
          <w:sz w:val="20"/>
          <w:szCs w:val="20"/>
          <w:lang w:eastAsia="zh-CN"/>
        </w:rPr>
        <w:t>6.4.</w:t>
      </w:r>
      <w:r>
        <w:rPr>
          <w:rFonts w:ascii="宋体" w:hAnsi="宋体" w:eastAsia="宋体" w:cs="宋体"/>
          <w:color w:val="auto"/>
          <w:spacing w:val="8"/>
          <w:sz w:val="20"/>
          <w:szCs w:val="20"/>
          <w:lang w:eastAsia="zh-CN"/>
          <w14:textOutline w14:w="3797" w14:cap="sq" w14:cmpd="sng" w14:algn="ctr">
            <w14:solidFill>
              <w14:srgbClr w14:val="000000"/>
            </w14:solidFill>
            <w14:prstDash w14:val="solid"/>
            <w14:bevel/>
          </w14:textOutline>
        </w:rPr>
        <w:t>资格性检查和符合性检查</w:t>
      </w:r>
    </w:p>
    <w:p w14:paraId="7A75E056">
      <w:pPr>
        <w:spacing w:before="96" w:line="292" w:lineRule="auto"/>
        <w:ind w:left="8"/>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6.4.1 </w:t>
      </w:r>
      <w:r>
        <w:rPr>
          <w:rFonts w:ascii="宋体" w:hAnsi="宋体" w:eastAsia="宋体" w:cs="宋体"/>
          <w:color w:val="auto"/>
          <w:spacing w:val="9"/>
          <w:sz w:val="20"/>
          <w:szCs w:val="20"/>
          <w:lang w:eastAsia="zh-CN"/>
        </w:rPr>
        <w:t>资格性检查：依据法律法规和</w:t>
      </w:r>
      <w:r>
        <w:rPr>
          <w:rFonts w:ascii="宋体" w:hAnsi="宋体" w:eastAsia="宋体" w:cs="宋体"/>
          <w:color w:val="auto"/>
          <w:spacing w:val="8"/>
          <w:sz w:val="20"/>
          <w:szCs w:val="20"/>
          <w:lang w:eastAsia="zh-CN"/>
        </w:rPr>
        <w:t>招标文件的规定，在对投标文件详细评估之前，评标委员会将依据 投标人提交的投标文件按投标人须知前附表所述的资格标准对投标人进行</w:t>
      </w:r>
      <w:r>
        <w:rPr>
          <w:rFonts w:ascii="宋体" w:hAnsi="宋体" w:eastAsia="宋体" w:cs="宋体"/>
          <w:color w:val="auto"/>
          <w:spacing w:val="7"/>
          <w:sz w:val="20"/>
          <w:szCs w:val="20"/>
          <w:lang w:eastAsia="zh-CN"/>
        </w:rPr>
        <w:t>资格审查，以确定其是否具备</w:t>
      </w:r>
      <w:r>
        <w:rPr>
          <w:rFonts w:ascii="宋体" w:hAnsi="宋体" w:eastAsia="宋体" w:cs="宋体"/>
          <w:color w:val="auto"/>
          <w:sz w:val="20"/>
          <w:szCs w:val="20"/>
          <w:lang w:eastAsia="zh-CN"/>
        </w:rPr>
        <w:t xml:space="preserve"> </w:t>
      </w:r>
      <w:r>
        <w:rPr>
          <w:rFonts w:ascii="宋体" w:hAnsi="宋体" w:eastAsia="宋体" w:cs="宋体"/>
          <w:color w:val="auto"/>
          <w:spacing w:val="4"/>
          <w:sz w:val="20"/>
          <w:szCs w:val="20"/>
          <w:lang w:eastAsia="zh-CN"/>
        </w:rPr>
        <w:t>投标资格。如果投标人不具备投标资格，不满足招标文件所规定的资格标准或提供资格证明文件不全的，</w:t>
      </w:r>
      <w:r>
        <w:rPr>
          <w:rFonts w:ascii="宋体" w:hAnsi="宋体" w:eastAsia="宋体" w:cs="宋体"/>
          <w:color w:val="auto"/>
          <w:spacing w:val="18"/>
          <w:sz w:val="20"/>
          <w:szCs w:val="20"/>
          <w:lang w:eastAsia="zh-CN"/>
        </w:rPr>
        <w:t xml:space="preserve"> </w:t>
      </w:r>
      <w:r>
        <w:rPr>
          <w:rFonts w:ascii="宋体" w:hAnsi="宋体" w:eastAsia="宋体" w:cs="宋体"/>
          <w:color w:val="auto"/>
          <w:spacing w:val="6"/>
          <w:sz w:val="20"/>
          <w:szCs w:val="20"/>
          <w:lang w:eastAsia="zh-CN"/>
        </w:rPr>
        <w:t>其投标无效。</w:t>
      </w:r>
    </w:p>
    <w:p w14:paraId="369438E5">
      <w:pPr>
        <w:spacing w:before="92" w:line="285" w:lineRule="auto"/>
        <w:ind w:left="8" w:right="54"/>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6.4.2 </w:t>
      </w:r>
      <w:r>
        <w:rPr>
          <w:rFonts w:ascii="宋体" w:hAnsi="宋体" w:eastAsia="宋体" w:cs="宋体"/>
          <w:color w:val="auto"/>
          <w:spacing w:val="8"/>
          <w:sz w:val="20"/>
          <w:szCs w:val="20"/>
          <w:lang w:eastAsia="zh-CN"/>
        </w:rPr>
        <w:t>符合性检查：</w:t>
      </w:r>
      <w:r>
        <w:rPr>
          <w:rFonts w:ascii="宋体" w:hAnsi="宋体" w:eastAsia="宋体" w:cs="宋体"/>
          <w:color w:val="auto"/>
          <w:spacing w:val="-48"/>
          <w:sz w:val="20"/>
          <w:szCs w:val="20"/>
          <w:lang w:eastAsia="zh-CN"/>
        </w:rPr>
        <w:t xml:space="preserve"> </w:t>
      </w:r>
      <w:r>
        <w:rPr>
          <w:rFonts w:ascii="宋体" w:hAnsi="宋体" w:eastAsia="宋体" w:cs="宋体"/>
          <w:color w:val="auto"/>
          <w:spacing w:val="8"/>
          <w:sz w:val="20"/>
          <w:szCs w:val="20"/>
          <w:lang w:eastAsia="zh-CN"/>
        </w:rPr>
        <w:t>由评标委员会依据有关法律、法规及招标文件的要求，对对符合资格的投标人的投</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标文件进行符合性审查，以确定其是否满足招标文件的实质性要求。只有</w:t>
      </w:r>
      <w:r>
        <w:rPr>
          <w:rFonts w:ascii="宋体" w:hAnsi="宋体" w:eastAsia="宋体" w:cs="宋体"/>
          <w:color w:val="auto"/>
          <w:spacing w:val="7"/>
          <w:sz w:val="20"/>
          <w:szCs w:val="20"/>
          <w:lang w:eastAsia="zh-CN"/>
        </w:rPr>
        <w:t>通过符合性审查的投标人的投</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标文件才能进入下一阶段的评审！</w:t>
      </w:r>
    </w:p>
    <w:p w14:paraId="1B3A970D">
      <w:pPr>
        <w:spacing w:before="92" w:line="228" w:lineRule="auto"/>
        <w:ind w:left="8"/>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6.4.3 </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投标人存在下列情况之一的，投标文件将被视为未实质性响应招标文件要求，其投标无效：</w:t>
      </w:r>
    </w:p>
    <w:p w14:paraId="6BDE9F65">
      <w:pPr>
        <w:spacing w:before="94" w:line="271" w:lineRule="auto"/>
        <w:ind w:left="227" w:right="324"/>
        <w:rPr>
          <w:rFonts w:ascii="宋体" w:hAnsi="宋体" w:eastAsia="宋体" w:cs="宋体"/>
          <w:color w:val="auto"/>
          <w:spacing w:val="8"/>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1</w:t>
      </w:r>
      <w:r>
        <w:rPr>
          <w:rFonts w:ascii="宋体" w:hAnsi="宋体" w:eastAsia="宋体" w:cs="宋体"/>
          <w:color w:val="auto"/>
          <w:spacing w:val="8"/>
          <w:sz w:val="20"/>
          <w:szCs w:val="20"/>
          <w:lang w:eastAsia="zh-CN"/>
        </w:rPr>
        <w:t>）不具备招标文件中规定的资格要求的，或投标文件中提供的资格证明文件与原件不一致的；</w:t>
      </w:r>
    </w:p>
    <w:p w14:paraId="0AF04561">
      <w:pPr>
        <w:spacing w:before="94" w:line="271" w:lineRule="auto"/>
        <w:ind w:left="227" w:right="324"/>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2</w:t>
      </w:r>
      <w:r>
        <w:rPr>
          <w:rFonts w:ascii="宋体" w:hAnsi="宋体" w:eastAsia="宋体" w:cs="宋体"/>
          <w:color w:val="auto"/>
          <w:spacing w:val="8"/>
          <w:sz w:val="20"/>
          <w:szCs w:val="20"/>
          <w:lang w:eastAsia="zh-CN"/>
        </w:rPr>
        <w:t>）投标文件未按招标文件要求签署、盖章的；</w:t>
      </w:r>
    </w:p>
    <w:p w14:paraId="792E33EE">
      <w:pPr>
        <w:spacing w:before="92" w:line="228"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3</w:t>
      </w:r>
      <w:r>
        <w:rPr>
          <w:rFonts w:ascii="宋体" w:hAnsi="宋体" w:eastAsia="宋体" w:cs="宋体"/>
          <w:color w:val="auto"/>
          <w:spacing w:val="8"/>
          <w:sz w:val="20"/>
          <w:szCs w:val="20"/>
          <w:lang w:eastAsia="zh-CN"/>
        </w:rPr>
        <w:t>）未按照招标文件的规定提交投标保证金的；</w:t>
      </w:r>
    </w:p>
    <w:p w14:paraId="2C57AC60">
      <w:pPr>
        <w:spacing w:before="95" w:line="340" w:lineRule="exact"/>
        <w:ind w:left="227"/>
        <w:rPr>
          <w:rFonts w:ascii="宋体" w:hAnsi="宋体" w:eastAsia="宋体" w:cs="宋体"/>
          <w:color w:val="auto"/>
          <w:sz w:val="20"/>
          <w:szCs w:val="20"/>
          <w:lang w:eastAsia="zh-CN"/>
        </w:rPr>
      </w:pPr>
      <w:r>
        <w:rPr>
          <w:rFonts w:ascii="宋体" w:hAnsi="宋体" w:eastAsia="宋体" w:cs="宋体"/>
          <w:color w:val="auto"/>
          <w:spacing w:val="8"/>
          <w:position w:val="10"/>
          <w:sz w:val="20"/>
          <w:szCs w:val="20"/>
          <w:lang w:eastAsia="zh-CN"/>
        </w:rPr>
        <w:t>（</w:t>
      </w:r>
      <w:r>
        <w:rPr>
          <w:rFonts w:ascii="Tahoma" w:hAnsi="Tahoma" w:eastAsia="Tahoma" w:cs="Tahoma"/>
          <w:color w:val="auto"/>
          <w:spacing w:val="8"/>
          <w:position w:val="10"/>
          <w:sz w:val="20"/>
          <w:szCs w:val="20"/>
          <w:lang w:eastAsia="zh-CN"/>
        </w:rPr>
        <w:t>4</w:t>
      </w:r>
      <w:r>
        <w:rPr>
          <w:rFonts w:ascii="宋体" w:hAnsi="宋体" w:eastAsia="宋体" w:cs="宋体"/>
          <w:color w:val="auto"/>
          <w:spacing w:val="8"/>
          <w:position w:val="10"/>
          <w:sz w:val="20"/>
          <w:szCs w:val="20"/>
          <w:lang w:eastAsia="zh-CN"/>
        </w:rPr>
        <w:t>）投标文件含有采购人不能接受的附加条件的；</w:t>
      </w:r>
    </w:p>
    <w:p w14:paraId="41290CB2">
      <w:pPr>
        <w:spacing w:before="1" w:line="227"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5</w:t>
      </w:r>
      <w:r>
        <w:rPr>
          <w:rFonts w:ascii="宋体" w:hAnsi="宋体" w:eastAsia="宋体" w:cs="宋体"/>
          <w:color w:val="auto"/>
          <w:spacing w:val="8"/>
          <w:sz w:val="20"/>
          <w:szCs w:val="20"/>
          <w:lang w:eastAsia="zh-CN"/>
        </w:rPr>
        <w:t>）投标有效期不满足招标文件要求的；</w:t>
      </w:r>
    </w:p>
    <w:p w14:paraId="0194DFF9">
      <w:pPr>
        <w:spacing w:before="93" w:line="270" w:lineRule="auto"/>
        <w:ind w:left="6" w:right="57" w:firstLine="220"/>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w:t>
      </w:r>
      <w:r>
        <w:rPr>
          <w:rFonts w:ascii="Tahoma" w:hAnsi="Tahoma" w:eastAsia="Tahoma" w:cs="Tahoma"/>
          <w:color w:val="auto"/>
          <w:spacing w:val="10"/>
          <w:sz w:val="20"/>
          <w:szCs w:val="20"/>
          <w:lang w:eastAsia="zh-CN"/>
        </w:rPr>
        <w:t>6</w:t>
      </w:r>
      <w:r>
        <w:rPr>
          <w:rFonts w:ascii="宋体" w:hAnsi="宋体" w:eastAsia="宋体" w:cs="宋体"/>
          <w:color w:val="auto"/>
          <w:spacing w:val="10"/>
          <w:sz w:val="20"/>
          <w:szCs w:val="20"/>
          <w:lang w:eastAsia="zh-CN"/>
        </w:rPr>
        <w:t>）报价超过招标文件中规定的预算金额或者</w:t>
      </w:r>
      <w:r>
        <w:rPr>
          <w:rFonts w:ascii="宋体" w:hAnsi="宋体" w:eastAsia="宋体" w:cs="宋体"/>
          <w:color w:val="auto"/>
          <w:spacing w:val="9"/>
          <w:sz w:val="20"/>
          <w:szCs w:val="20"/>
          <w:lang w:eastAsia="zh-CN"/>
        </w:rPr>
        <w:t>最高限价的；或提供的报价是可供选择的（不是唯一</w:t>
      </w:r>
      <w:r>
        <w:rPr>
          <w:rFonts w:ascii="宋体" w:hAnsi="宋体" w:eastAsia="宋体" w:cs="宋体"/>
          <w:color w:val="auto"/>
          <w:spacing w:val="5"/>
          <w:sz w:val="20"/>
          <w:szCs w:val="20"/>
          <w:lang w:eastAsia="zh-CN"/>
        </w:rPr>
        <w:t>报价</w:t>
      </w:r>
      <w:r>
        <w:rPr>
          <w:rFonts w:ascii="宋体" w:hAnsi="宋体" w:eastAsia="宋体" w:cs="宋体"/>
          <w:color w:val="auto"/>
          <w:sz w:val="20"/>
          <w:szCs w:val="20"/>
          <w:lang w:eastAsia="zh-CN"/>
        </w:rPr>
        <w:t>）；</w:t>
      </w:r>
    </w:p>
    <w:p w14:paraId="4E3927CF">
      <w:pPr>
        <w:spacing w:before="95" w:line="270" w:lineRule="auto"/>
        <w:ind w:left="8" w:right="57" w:firstLine="218"/>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w:t>
      </w:r>
      <w:r>
        <w:rPr>
          <w:rFonts w:ascii="Tahoma" w:hAnsi="Tahoma" w:eastAsia="Tahoma" w:cs="Tahoma"/>
          <w:color w:val="auto"/>
          <w:spacing w:val="10"/>
          <w:sz w:val="20"/>
          <w:szCs w:val="20"/>
          <w:lang w:eastAsia="zh-CN"/>
        </w:rPr>
        <w:t>7</w:t>
      </w:r>
      <w:r>
        <w:rPr>
          <w:rFonts w:ascii="宋体" w:hAnsi="宋体" w:eastAsia="宋体" w:cs="宋体"/>
          <w:color w:val="auto"/>
          <w:spacing w:val="10"/>
          <w:sz w:val="20"/>
          <w:szCs w:val="20"/>
          <w:lang w:eastAsia="zh-CN"/>
        </w:rPr>
        <w:t>）</w:t>
      </w:r>
      <w:r>
        <w:rPr>
          <w:rFonts w:hint="eastAsia" w:ascii="宋体" w:hAnsi="宋体" w:eastAsia="宋体" w:cs="宋体"/>
          <w:color w:val="auto"/>
          <w:spacing w:val="10"/>
          <w:sz w:val="20"/>
          <w:szCs w:val="20"/>
          <w:lang w:eastAsia="zh-CN"/>
        </w:rPr>
        <w:t>服务商</w:t>
      </w:r>
      <w:r>
        <w:rPr>
          <w:rFonts w:ascii="宋体" w:hAnsi="宋体" w:eastAsia="宋体" w:cs="宋体"/>
          <w:color w:val="auto"/>
          <w:spacing w:val="10"/>
          <w:sz w:val="20"/>
          <w:szCs w:val="20"/>
          <w:lang w:eastAsia="zh-CN"/>
        </w:rPr>
        <w:t>未进行分项报价或分项报价的构成</w:t>
      </w:r>
      <w:r>
        <w:rPr>
          <w:rFonts w:ascii="宋体" w:hAnsi="宋体" w:eastAsia="宋体" w:cs="宋体"/>
          <w:color w:val="auto"/>
          <w:spacing w:val="9"/>
          <w:sz w:val="20"/>
          <w:szCs w:val="20"/>
          <w:lang w:eastAsia="zh-CN"/>
        </w:rPr>
        <w:t>未能准确全部反映产品价格组成或有所隐含，有可能致使在合同履行过程中引起纠纷（非正常的追加或索赔等）或不能诚信履约的；</w:t>
      </w:r>
    </w:p>
    <w:p w14:paraId="008B19E8">
      <w:pPr>
        <w:spacing w:before="94" w:line="271" w:lineRule="auto"/>
        <w:ind w:left="227" w:right="115"/>
        <w:rPr>
          <w:rFonts w:ascii="宋体" w:hAnsi="宋体" w:eastAsia="宋体" w:cs="宋体"/>
          <w:color w:val="auto"/>
          <w:spacing w:val="8"/>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8</w:t>
      </w:r>
      <w:r>
        <w:rPr>
          <w:rFonts w:ascii="宋体" w:hAnsi="宋体" w:eastAsia="宋体" w:cs="宋体"/>
          <w:color w:val="auto"/>
          <w:spacing w:val="8"/>
          <w:sz w:val="20"/>
          <w:szCs w:val="20"/>
          <w:lang w:eastAsia="zh-CN"/>
        </w:rPr>
        <w:t>）投标文件的内容与采购内容及要求（质量要求、交货期、付款方式等）有重大偏离或保留的；</w:t>
      </w:r>
    </w:p>
    <w:p w14:paraId="0C5CA505">
      <w:pPr>
        <w:spacing w:before="94" w:line="271" w:lineRule="auto"/>
        <w:ind w:left="227" w:right="115"/>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9</w:t>
      </w:r>
      <w:r>
        <w:rPr>
          <w:rFonts w:ascii="宋体" w:hAnsi="宋体" w:eastAsia="宋体" w:cs="宋体"/>
          <w:color w:val="auto"/>
          <w:spacing w:val="8"/>
          <w:sz w:val="20"/>
          <w:szCs w:val="20"/>
          <w:lang w:eastAsia="zh-CN"/>
        </w:rPr>
        <w:t>）存在财政部令第</w:t>
      </w:r>
      <w:r>
        <w:rPr>
          <w:rFonts w:ascii="宋体" w:hAnsi="宋体" w:eastAsia="宋体" w:cs="宋体"/>
          <w:color w:val="auto"/>
          <w:spacing w:val="-35"/>
          <w:sz w:val="20"/>
          <w:szCs w:val="20"/>
          <w:lang w:eastAsia="zh-CN"/>
        </w:rPr>
        <w:t xml:space="preserve"> </w:t>
      </w:r>
      <w:r>
        <w:rPr>
          <w:rFonts w:ascii="Tahoma" w:hAnsi="Tahoma" w:eastAsia="Tahoma" w:cs="Tahoma"/>
          <w:color w:val="auto"/>
          <w:spacing w:val="8"/>
          <w:sz w:val="20"/>
          <w:szCs w:val="20"/>
          <w:lang w:eastAsia="zh-CN"/>
        </w:rPr>
        <w:t xml:space="preserve">87 </w:t>
      </w:r>
      <w:r>
        <w:rPr>
          <w:rFonts w:ascii="宋体" w:hAnsi="宋体" w:eastAsia="宋体" w:cs="宋体"/>
          <w:color w:val="auto"/>
          <w:spacing w:val="8"/>
          <w:sz w:val="20"/>
          <w:szCs w:val="20"/>
          <w:lang w:eastAsia="zh-CN"/>
        </w:rPr>
        <w:t>号文第三十七条规定串</w:t>
      </w:r>
      <w:r>
        <w:rPr>
          <w:rFonts w:ascii="宋体" w:hAnsi="宋体" w:eastAsia="宋体" w:cs="宋体"/>
          <w:color w:val="auto"/>
          <w:spacing w:val="7"/>
          <w:sz w:val="20"/>
          <w:szCs w:val="20"/>
          <w:lang w:eastAsia="zh-CN"/>
        </w:rPr>
        <w:t>通投标的情形之一的；</w:t>
      </w:r>
    </w:p>
    <w:p w14:paraId="1A51E35E">
      <w:pPr>
        <w:spacing w:before="93" w:line="340" w:lineRule="exact"/>
        <w:ind w:left="227"/>
        <w:rPr>
          <w:rFonts w:ascii="宋体" w:hAnsi="宋体" w:eastAsia="宋体" w:cs="宋体"/>
          <w:color w:val="auto"/>
          <w:sz w:val="20"/>
          <w:szCs w:val="20"/>
          <w:lang w:eastAsia="zh-CN"/>
        </w:rPr>
      </w:pPr>
      <w:r>
        <w:rPr>
          <w:rFonts w:ascii="宋体" w:hAnsi="宋体" w:eastAsia="宋体" w:cs="宋体"/>
          <w:color w:val="auto"/>
          <w:spacing w:val="8"/>
          <w:position w:val="10"/>
          <w:sz w:val="20"/>
          <w:szCs w:val="20"/>
          <w:lang w:eastAsia="zh-CN"/>
        </w:rPr>
        <w:t>（</w:t>
      </w:r>
      <w:r>
        <w:rPr>
          <w:rFonts w:ascii="Tahoma" w:hAnsi="Tahoma" w:eastAsia="Tahoma" w:cs="Tahoma"/>
          <w:color w:val="auto"/>
          <w:spacing w:val="8"/>
          <w:position w:val="10"/>
          <w:sz w:val="20"/>
          <w:szCs w:val="20"/>
          <w:lang w:eastAsia="zh-CN"/>
        </w:rPr>
        <w:t>10</w:t>
      </w:r>
      <w:r>
        <w:rPr>
          <w:rFonts w:ascii="宋体" w:hAnsi="宋体" w:eastAsia="宋体" w:cs="宋体"/>
          <w:color w:val="auto"/>
          <w:spacing w:val="8"/>
          <w:position w:val="10"/>
          <w:sz w:val="20"/>
          <w:szCs w:val="20"/>
          <w:lang w:eastAsia="zh-CN"/>
        </w:rPr>
        <w:t>）投标文件的内容组成不符合招标文件要求的；</w:t>
      </w:r>
    </w:p>
    <w:p w14:paraId="34A5E685">
      <w:pPr>
        <w:spacing w:before="1" w:line="226"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11</w:t>
      </w:r>
      <w:r>
        <w:rPr>
          <w:rFonts w:ascii="宋体" w:hAnsi="宋体" w:eastAsia="宋体" w:cs="宋体"/>
          <w:color w:val="auto"/>
          <w:spacing w:val="8"/>
          <w:sz w:val="20"/>
          <w:szCs w:val="20"/>
          <w:lang w:eastAsia="zh-CN"/>
        </w:rPr>
        <w:t>）投标文件中提供虚假或失实资料的；</w:t>
      </w:r>
    </w:p>
    <w:p w14:paraId="5A87E4FA">
      <w:pPr>
        <w:spacing w:before="95" w:line="228"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12</w:t>
      </w:r>
      <w:r>
        <w:rPr>
          <w:rFonts w:ascii="宋体" w:hAnsi="宋体" w:eastAsia="宋体" w:cs="宋体"/>
          <w:color w:val="auto"/>
          <w:spacing w:val="8"/>
          <w:sz w:val="20"/>
          <w:szCs w:val="20"/>
          <w:lang w:eastAsia="zh-CN"/>
        </w:rPr>
        <w:t>）法律、法规和招标文件规定的其他无效情形。</w:t>
      </w:r>
    </w:p>
    <w:p w14:paraId="2B11001C">
      <w:pPr>
        <w:spacing w:before="92" w:line="227" w:lineRule="auto"/>
        <w:ind w:left="8"/>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6.4.4 </w:t>
      </w:r>
      <w:r>
        <w:rPr>
          <w:rFonts w:ascii="宋体" w:hAnsi="宋体" w:eastAsia="宋体" w:cs="宋体"/>
          <w:color w:val="auto"/>
          <w:spacing w:val="8"/>
          <w:sz w:val="20"/>
          <w:szCs w:val="20"/>
          <w:lang w:eastAsia="zh-CN"/>
        </w:rPr>
        <w:t>评标委员会判断投标文件的响应性仅基于投标文件本身而不靠外部证据。</w:t>
      </w:r>
    </w:p>
    <w:p w14:paraId="7DF1F7B1">
      <w:pPr>
        <w:spacing w:before="96" w:line="271" w:lineRule="auto"/>
        <w:ind w:left="8" w:right="54"/>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6.4.5 </w:t>
      </w:r>
      <w:r>
        <w:rPr>
          <w:rFonts w:ascii="宋体" w:hAnsi="宋体" w:eastAsia="宋体" w:cs="宋体"/>
          <w:color w:val="auto"/>
          <w:spacing w:val="9"/>
          <w:sz w:val="20"/>
          <w:szCs w:val="20"/>
          <w:lang w:eastAsia="zh-CN"/>
        </w:rPr>
        <w:t>评标委员会将拒绝被确定为非实质性响应的投标，投标人不能通过修正或撤销不符之处而使其投</w:t>
      </w:r>
      <w:r>
        <w:rPr>
          <w:rFonts w:ascii="宋体" w:hAnsi="宋体" w:eastAsia="宋体" w:cs="宋体"/>
          <w:color w:val="auto"/>
          <w:spacing w:val="4"/>
          <w:sz w:val="20"/>
          <w:szCs w:val="20"/>
          <w:lang w:eastAsia="zh-CN"/>
        </w:rPr>
        <w:t xml:space="preserve"> </w:t>
      </w:r>
      <w:r>
        <w:rPr>
          <w:rFonts w:ascii="宋体" w:hAnsi="宋体" w:eastAsia="宋体" w:cs="宋体"/>
          <w:color w:val="auto"/>
          <w:spacing w:val="8"/>
          <w:sz w:val="20"/>
          <w:szCs w:val="20"/>
          <w:lang w:eastAsia="zh-CN"/>
        </w:rPr>
        <w:t>标成为实质性响应的投标。</w:t>
      </w:r>
    </w:p>
    <w:p w14:paraId="3D242637">
      <w:pPr>
        <w:spacing w:before="65" w:line="271" w:lineRule="auto"/>
        <w:ind w:left="7" w:right="71" w:firstLine="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6.</w:t>
      </w:r>
      <w:r>
        <w:rPr>
          <w:rFonts w:hint="eastAsia" w:ascii="Tahoma" w:hAnsi="Tahoma" w:eastAsia="Tahoma" w:cs="Tahoma"/>
          <w:color w:val="auto"/>
          <w:spacing w:val="9"/>
          <w:sz w:val="20"/>
          <w:szCs w:val="20"/>
          <w:lang w:eastAsia="zh-CN"/>
        </w:rPr>
        <w:t>4.6</w:t>
      </w:r>
      <w:r>
        <w:rPr>
          <w:rFonts w:ascii="Tahoma" w:hAnsi="Tahoma" w:eastAsia="Tahoma" w:cs="Tahoma"/>
          <w:color w:val="auto"/>
          <w:spacing w:val="9"/>
          <w:sz w:val="20"/>
          <w:szCs w:val="20"/>
          <w:lang w:eastAsia="zh-CN"/>
        </w:rPr>
        <w:t xml:space="preserve"> </w:t>
      </w:r>
      <w:r>
        <w:rPr>
          <w:rFonts w:ascii="宋体" w:hAnsi="宋体" w:eastAsia="宋体" w:cs="宋体"/>
          <w:color w:val="auto"/>
          <w:spacing w:val="9"/>
          <w:sz w:val="20"/>
          <w:szCs w:val="20"/>
          <w:lang w:eastAsia="zh-CN"/>
        </w:rPr>
        <w:t>对于投标文件中含义不明确、同类问题表述不一致或者有明显文字和计算错误的内容，评标委员</w:t>
      </w:r>
      <w:r>
        <w:rPr>
          <w:rFonts w:ascii="宋体" w:hAnsi="宋体" w:eastAsia="宋体" w:cs="宋体"/>
          <w:color w:val="auto"/>
          <w:spacing w:val="4"/>
          <w:sz w:val="20"/>
          <w:szCs w:val="20"/>
          <w:lang w:eastAsia="zh-CN"/>
        </w:rPr>
        <w:t xml:space="preserve"> </w:t>
      </w:r>
      <w:r>
        <w:rPr>
          <w:rFonts w:ascii="宋体" w:hAnsi="宋体" w:eastAsia="宋体" w:cs="宋体"/>
          <w:color w:val="auto"/>
          <w:spacing w:val="9"/>
          <w:sz w:val="20"/>
          <w:szCs w:val="20"/>
          <w:lang w:eastAsia="zh-CN"/>
        </w:rPr>
        <w:t>会应当以书面形式要求投标人作出必要的澄清、说明或者补正。</w:t>
      </w:r>
    </w:p>
    <w:p w14:paraId="20F687E4">
      <w:pPr>
        <w:spacing w:before="92" w:line="271" w:lineRule="auto"/>
        <w:ind w:left="8" w:right="70" w:firstLine="210"/>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投标人的澄清、说明或者补正应当采用书面形式，并加盖公章，或</w:t>
      </w:r>
      <w:r>
        <w:rPr>
          <w:rFonts w:ascii="宋体" w:hAnsi="宋体" w:eastAsia="宋体" w:cs="宋体"/>
          <w:color w:val="auto"/>
          <w:spacing w:val="7"/>
          <w:sz w:val="20"/>
          <w:szCs w:val="20"/>
          <w:lang w:eastAsia="zh-CN"/>
        </w:rPr>
        <w:t>者由</w:t>
      </w:r>
      <w:r>
        <w:rPr>
          <w:rFonts w:hint="eastAsia" w:ascii="宋体" w:hAnsi="宋体" w:eastAsia="宋体" w:cs="宋体"/>
          <w:color w:val="auto"/>
          <w:spacing w:val="7"/>
          <w:sz w:val="20"/>
          <w:szCs w:val="20"/>
          <w:lang w:eastAsia="zh-CN"/>
        </w:rPr>
        <w:t>负责</w:t>
      </w:r>
      <w:r>
        <w:rPr>
          <w:rFonts w:ascii="宋体" w:hAnsi="宋体" w:eastAsia="宋体" w:cs="宋体"/>
          <w:color w:val="auto"/>
          <w:spacing w:val="7"/>
          <w:sz w:val="20"/>
          <w:szCs w:val="20"/>
          <w:lang w:eastAsia="zh-CN"/>
        </w:rPr>
        <w:t>人或其授权的代表签</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字。投标人的澄清、说明或者补正不得超出投标文件的范围或者改变投标文件的实质性内容。</w:t>
      </w:r>
    </w:p>
    <w:p w14:paraId="17DD996A">
      <w:pPr>
        <w:spacing w:before="94" w:line="226" w:lineRule="auto"/>
        <w:ind w:left="8"/>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6.</w:t>
      </w:r>
      <w:r>
        <w:rPr>
          <w:rFonts w:hint="eastAsia" w:ascii="Tahoma" w:hAnsi="Tahoma" w:eastAsia="Tahoma" w:cs="Tahoma"/>
          <w:color w:val="auto"/>
          <w:spacing w:val="8"/>
          <w:sz w:val="20"/>
          <w:szCs w:val="20"/>
          <w:lang w:eastAsia="zh-CN"/>
        </w:rPr>
        <w:t>4.7</w:t>
      </w:r>
      <w:r>
        <w:rPr>
          <w:rFonts w:ascii="Tahoma" w:hAnsi="Tahoma" w:eastAsia="Tahoma" w:cs="Tahoma"/>
          <w:color w:val="auto"/>
          <w:spacing w:val="8"/>
          <w:sz w:val="20"/>
          <w:szCs w:val="20"/>
          <w:lang w:eastAsia="zh-CN"/>
        </w:rPr>
        <w:t xml:space="preserve"> </w:t>
      </w:r>
      <w:r>
        <w:rPr>
          <w:rFonts w:ascii="宋体" w:hAnsi="宋体" w:eastAsia="宋体" w:cs="宋体"/>
          <w:color w:val="auto"/>
          <w:spacing w:val="8"/>
          <w:sz w:val="20"/>
          <w:szCs w:val="20"/>
          <w:lang w:eastAsia="zh-CN"/>
        </w:rPr>
        <w:t>投标文件报价出现前后不一致的，除招标文件另有规定外，按照下列规定修正：</w:t>
      </w:r>
    </w:p>
    <w:p w14:paraId="7FC2DA4C">
      <w:pPr>
        <w:spacing w:before="92" w:line="272" w:lineRule="auto"/>
        <w:ind w:left="168" w:right="70" w:firstLine="10"/>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（一）投标文件中开标一览表（报价表）内容与投标文件</w:t>
      </w:r>
      <w:r>
        <w:rPr>
          <w:rFonts w:ascii="宋体" w:hAnsi="宋体" w:eastAsia="宋体" w:cs="宋体"/>
          <w:color w:val="auto"/>
          <w:spacing w:val="8"/>
          <w:sz w:val="20"/>
          <w:szCs w:val="20"/>
          <w:lang w:eastAsia="zh-CN"/>
        </w:rPr>
        <w:t>中相应内容不一致的，以开标一览表（报价</w:t>
      </w:r>
      <w:r>
        <w:rPr>
          <w:rFonts w:ascii="宋体" w:hAnsi="宋体" w:eastAsia="宋体" w:cs="宋体"/>
          <w:color w:val="auto"/>
          <w:spacing w:val="6"/>
          <w:sz w:val="20"/>
          <w:szCs w:val="20"/>
          <w:lang w:eastAsia="zh-CN"/>
        </w:rPr>
        <w:t>表）为准；</w:t>
      </w:r>
    </w:p>
    <w:p w14:paraId="7D1BAA7A">
      <w:pPr>
        <w:spacing w:before="93" w:line="228" w:lineRule="auto"/>
        <w:ind w:left="179"/>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（二）大写金额和小写金额不一致的，以大写金额为准；</w:t>
      </w:r>
    </w:p>
    <w:p w14:paraId="36FCFAFC">
      <w:pPr>
        <w:spacing w:before="92" w:line="270" w:lineRule="auto"/>
        <w:ind w:left="179" w:right="923"/>
        <w:rPr>
          <w:rFonts w:ascii="宋体" w:hAnsi="宋体" w:eastAsia="宋体" w:cs="宋体"/>
          <w:color w:val="auto"/>
          <w:spacing w:val="7"/>
          <w:sz w:val="20"/>
          <w:szCs w:val="20"/>
          <w:lang w:eastAsia="zh-CN"/>
        </w:rPr>
      </w:pPr>
      <w:r>
        <w:rPr>
          <w:rFonts w:ascii="宋体" w:hAnsi="宋体" w:eastAsia="宋体" w:cs="宋体"/>
          <w:color w:val="auto"/>
          <w:spacing w:val="7"/>
          <w:sz w:val="20"/>
          <w:szCs w:val="20"/>
          <w:lang w:eastAsia="zh-CN"/>
        </w:rPr>
        <w:t>（三）单价金额小数点或者百分比有明显错位的，</w:t>
      </w:r>
      <w:r>
        <w:rPr>
          <w:rFonts w:ascii="宋体" w:hAnsi="宋体" w:eastAsia="宋体" w:cs="宋体"/>
          <w:color w:val="auto"/>
          <w:spacing w:val="-56"/>
          <w:sz w:val="20"/>
          <w:szCs w:val="20"/>
          <w:lang w:eastAsia="zh-CN"/>
        </w:rPr>
        <w:t xml:space="preserve"> </w:t>
      </w:r>
      <w:r>
        <w:rPr>
          <w:rFonts w:ascii="宋体" w:hAnsi="宋体" w:eastAsia="宋体" w:cs="宋体"/>
          <w:color w:val="auto"/>
          <w:spacing w:val="7"/>
          <w:sz w:val="20"/>
          <w:szCs w:val="20"/>
          <w:lang w:eastAsia="zh-CN"/>
        </w:rPr>
        <w:t>以开标一览表的总价为准，并修改单价；</w:t>
      </w:r>
    </w:p>
    <w:p w14:paraId="04208ECF">
      <w:pPr>
        <w:spacing w:before="92" w:line="270" w:lineRule="auto"/>
        <w:ind w:left="179" w:right="923"/>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（四）总价金额与按单价汇总金额不一致的，</w:t>
      </w:r>
      <w:r>
        <w:rPr>
          <w:rFonts w:ascii="宋体" w:hAnsi="宋体" w:eastAsia="宋体" w:cs="宋体"/>
          <w:color w:val="auto"/>
          <w:spacing w:val="-59"/>
          <w:sz w:val="20"/>
          <w:szCs w:val="20"/>
          <w:lang w:eastAsia="zh-CN"/>
        </w:rPr>
        <w:t xml:space="preserve"> </w:t>
      </w:r>
      <w:r>
        <w:rPr>
          <w:rFonts w:ascii="宋体" w:hAnsi="宋体" w:eastAsia="宋体" w:cs="宋体"/>
          <w:color w:val="auto"/>
          <w:spacing w:val="8"/>
          <w:sz w:val="20"/>
          <w:szCs w:val="20"/>
          <w:lang w:eastAsia="zh-CN"/>
        </w:rPr>
        <w:t>以单价金</w:t>
      </w:r>
      <w:r>
        <w:rPr>
          <w:rFonts w:ascii="宋体" w:hAnsi="宋体" w:eastAsia="宋体" w:cs="宋体"/>
          <w:color w:val="auto"/>
          <w:spacing w:val="7"/>
          <w:sz w:val="20"/>
          <w:szCs w:val="20"/>
          <w:lang w:eastAsia="zh-CN"/>
        </w:rPr>
        <w:t>额计算结果为准。</w:t>
      </w:r>
    </w:p>
    <w:p w14:paraId="1065AF8B">
      <w:pPr>
        <w:spacing w:before="96" w:line="226" w:lineRule="auto"/>
        <w:ind w:left="609"/>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同时出现两种以上不一致的，按照前款规定的顺序修正。修正后的报价按照本章第</w:t>
      </w:r>
      <w:r>
        <w:rPr>
          <w:rFonts w:ascii="宋体" w:hAnsi="宋体" w:eastAsia="宋体" w:cs="宋体"/>
          <w:color w:val="auto"/>
          <w:spacing w:val="-24"/>
          <w:sz w:val="20"/>
          <w:szCs w:val="20"/>
          <w:lang w:eastAsia="zh-CN"/>
        </w:rPr>
        <w:t xml:space="preserve"> </w:t>
      </w:r>
      <w:r>
        <w:rPr>
          <w:rFonts w:ascii="Tahoma" w:hAnsi="Tahoma" w:eastAsia="Tahoma" w:cs="Tahoma"/>
          <w:color w:val="auto"/>
          <w:spacing w:val="8"/>
          <w:sz w:val="20"/>
          <w:szCs w:val="20"/>
          <w:lang w:eastAsia="zh-CN"/>
        </w:rPr>
        <w:t xml:space="preserve">6.5.2 </w:t>
      </w:r>
      <w:r>
        <w:rPr>
          <w:rFonts w:ascii="宋体" w:hAnsi="宋体" w:eastAsia="宋体" w:cs="宋体"/>
          <w:color w:val="auto"/>
          <w:spacing w:val="8"/>
          <w:sz w:val="20"/>
          <w:szCs w:val="20"/>
          <w:lang w:eastAsia="zh-CN"/>
        </w:rPr>
        <w:t>条第二</w:t>
      </w:r>
    </w:p>
    <w:p w14:paraId="7A715D83">
      <w:pPr>
        <w:spacing w:before="93" w:line="341" w:lineRule="exact"/>
        <w:ind w:left="169"/>
        <w:rPr>
          <w:rFonts w:ascii="宋体" w:hAnsi="宋体" w:eastAsia="宋体" w:cs="宋体"/>
          <w:color w:val="auto"/>
          <w:sz w:val="20"/>
          <w:szCs w:val="20"/>
          <w:lang w:eastAsia="zh-CN"/>
        </w:rPr>
      </w:pPr>
      <w:r>
        <w:rPr>
          <w:rFonts w:ascii="宋体" w:hAnsi="宋体" w:eastAsia="宋体" w:cs="宋体"/>
          <w:color w:val="auto"/>
          <w:spacing w:val="9"/>
          <w:position w:val="10"/>
          <w:sz w:val="20"/>
          <w:szCs w:val="20"/>
          <w:lang w:eastAsia="zh-CN"/>
        </w:rPr>
        <w:t>款的规定经投标人确认后产生约束力，</w:t>
      </w:r>
      <w:r>
        <w:rPr>
          <w:rFonts w:ascii="宋体" w:hAnsi="宋体" w:eastAsia="宋体" w:cs="宋体"/>
          <w:color w:val="auto"/>
          <w:spacing w:val="9"/>
          <w:position w:val="10"/>
          <w:sz w:val="20"/>
          <w:szCs w:val="20"/>
          <w:lang w:eastAsia="zh-CN"/>
          <w14:textOutline w14:w="3797" w14:cap="sq" w14:cmpd="sng" w14:algn="ctr">
            <w14:solidFill>
              <w14:srgbClr w14:val="000000"/>
            </w14:solidFill>
            <w14:prstDash w14:val="solid"/>
            <w14:bevel/>
          </w14:textOutline>
        </w:rPr>
        <w:t>投标人不确认的，其投标无效。</w:t>
      </w:r>
    </w:p>
    <w:p w14:paraId="776A9082">
      <w:pPr>
        <w:spacing w:line="226" w:lineRule="auto"/>
        <w:ind w:left="10"/>
        <w:rPr>
          <w:rFonts w:ascii="宋体" w:hAnsi="宋体" w:eastAsia="宋体" w:cs="宋体"/>
          <w:color w:val="auto"/>
          <w:sz w:val="20"/>
          <w:szCs w:val="20"/>
          <w:lang w:eastAsia="zh-CN"/>
        </w:rPr>
      </w:pPr>
      <w:r>
        <w:rPr>
          <w:rFonts w:ascii="Tahoma" w:hAnsi="Tahoma" w:eastAsia="Tahoma" w:cs="Tahoma"/>
          <w:b/>
          <w:bCs/>
          <w:color w:val="auto"/>
          <w:spacing w:val="3"/>
          <w:sz w:val="20"/>
          <w:szCs w:val="20"/>
          <w:lang w:eastAsia="zh-CN"/>
        </w:rPr>
        <w:t>6.</w:t>
      </w:r>
      <w:r>
        <w:rPr>
          <w:rFonts w:hint="eastAsia" w:ascii="Tahoma" w:hAnsi="Tahoma" w:eastAsia="Tahoma" w:cs="Tahoma"/>
          <w:b/>
          <w:bCs/>
          <w:color w:val="auto"/>
          <w:spacing w:val="3"/>
          <w:sz w:val="20"/>
          <w:szCs w:val="20"/>
          <w:lang w:eastAsia="zh-CN"/>
        </w:rPr>
        <w:t>5</w:t>
      </w:r>
      <w:r>
        <w:rPr>
          <w:rFonts w:ascii="Tahoma" w:hAnsi="Tahoma" w:eastAsia="Tahoma" w:cs="Tahoma"/>
          <w:b/>
          <w:bCs/>
          <w:color w:val="auto"/>
          <w:spacing w:val="3"/>
          <w:sz w:val="20"/>
          <w:szCs w:val="20"/>
          <w:lang w:eastAsia="zh-CN"/>
        </w:rPr>
        <w:t>.</w:t>
      </w:r>
      <w:r>
        <w:rPr>
          <w:rFonts w:ascii="Tahoma" w:hAnsi="Tahoma" w:eastAsia="Tahoma" w:cs="Tahoma"/>
          <w:b/>
          <w:bCs/>
          <w:color w:val="auto"/>
          <w:spacing w:val="10"/>
          <w:sz w:val="20"/>
          <w:szCs w:val="20"/>
          <w:lang w:eastAsia="zh-CN"/>
        </w:rPr>
        <w:t xml:space="preserve">  </w:t>
      </w:r>
      <w:r>
        <w:rPr>
          <w:rFonts w:ascii="宋体" w:hAnsi="宋体" w:eastAsia="宋体" w:cs="宋体"/>
          <w:color w:val="auto"/>
          <w:spacing w:val="3"/>
          <w:sz w:val="20"/>
          <w:szCs w:val="20"/>
          <w:lang w:eastAsia="zh-CN"/>
          <w14:textOutline w14:w="3797" w14:cap="sq" w14:cmpd="sng" w14:algn="ctr">
            <w14:solidFill>
              <w14:srgbClr w14:val="000000"/>
            </w14:solidFill>
            <w14:prstDash w14:val="solid"/>
            <w14:bevel/>
          </w14:textOutline>
        </w:rPr>
        <w:t>比较与评价</w:t>
      </w:r>
    </w:p>
    <w:p w14:paraId="6FF67C57">
      <w:pPr>
        <w:spacing w:before="97" w:line="269" w:lineRule="auto"/>
        <w:ind w:left="9" w:right="71" w:hanging="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6.</w:t>
      </w:r>
      <w:r>
        <w:rPr>
          <w:rFonts w:hint="eastAsia" w:ascii="Tahoma" w:hAnsi="Tahoma" w:eastAsia="Tahoma" w:cs="Tahoma"/>
          <w:color w:val="auto"/>
          <w:spacing w:val="9"/>
          <w:sz w:val="20"/>
          <w:szCs w:val="20"/>
          <w:lang w:eastAsia="zh-CN"/>
        </w:rPr>
        <w:t>5</w:t>
      </w:r>
      <w:r>
        <w:rPr>
          <w:rFonts w:ascii="Tahoma" w:hAnsi="Tahoma" w:eastAsia="Tahoma" w:cs="Tahoma"/>
          <w:color w:val="auto"/>
          <w:spacing w:val="9"/>
          <w:sz w:val="20"/>
          <w:szCs w:val="20"/>
          <w:lang w:eastAsia="zh-CN"/>
        </w:rPr>
        <w:t xml:space="preserve">.1 </w:t>
      </w:r>
      <w:r>
        <w:rPr>
          <w:rFonts w:ascii="宋体" w:hAnsi="宋体" w:eastAsia="宋体" w:cs="宋体"/>
          <w:color w:val="auto"/>
          <w:spacing w:val="9"/>
          <w:sz w:val="20"/>
          <w:szCs w:val="20"/>
          <w:lang w:eastAsia="zh-CN"/>
        </w:rPr>
        <w:t>评标委员会按照招标文件中规定的评标方法和标准，对符合性审查合格的投标文件进行商务和技</w:t>
      </w:r>
      <w:r>
        <w:rPr>
          <w:rFonts w:ascii="宋体" w:hAnsi="宋体" w:eastAsia="宋体" w:cs="宋体"/>
          <w:color w:val="auto"/>
          <w:spacing w:val="4"/>
          <w:sz w:val="20"/>
          <w:szCs w:val="20"/>
          <w:lang w:eastAsia="zh-CN"/>
        </w:rPr>
        <w:t xml:space="preserve"> </w:t>
      </w:r>
      <w:r>
        <w:rPr>
          <w:rFonts w:ascii="宋体" w:hAnsi="宋体" w:eastAsia="宋体" w:cs="宋体"/>
          <w:color w:val="auto"/>
          <w:spacing w:val="9"/>
          <w:sz w:val="20"/>
          <w:szCs w:val="20"/>
          <w:lang w:eastAsia="zh-CN"/>
        </w:rPr>
        <w:t>术评估，综合比较与评价。评价投标文件是否符合招标文件的商务、技术等实质性要求。</w:t>
      </w:r>
    </w:p>
    <w:p w14:paraId="2A09EA28">
      <w:pPr>
        <w:spacing w:before="94" w:line="285" w:lineRule="auto"/>
        <w:ind w:left="8" w:right="70"/>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6.</w:t>
      </w:r>
      <w:r>
        <w:rPr>
          <w:rFonts w:hint="eastAsia" w:ascii="Tahoma" w:hAnsi="Tahoma" w:eastAsia="Tahoma" w:cs="Tahoma"/>
          <w:color w:val="auto"/>
          <w:spacing w:val="9"/>
          <w:sz w:val="20"/>
          <w:szCs w:val="20"/>
          <w:lang w:eastAsia="zh-CN"/>
        </w:rPr>
        <w:t>5</w:t>
      </w:r>
      <w:r>
        <w:rPr>
          <w:rFonts w:ascii="Tahoma" w:hAnsi="Tahoma" w:eastAsia="Tahoma" w:cs="Tahoma"/>
          <w:color w:val="auto"/>
          <w:spacing w:val="9"/>
          <w:sz w:val="20"/>
          <w:szCs w:val="20"/>
          <w:lang w:eastAsia="zh-CN"/>
        </w:rPr>
        <w:t xml:space="preserve">.2 </w:t>
      </w:r>
      <w:r>
        <w:rPr>
          <w:rFonts w:ascii="宋体" w:hAnsi="宋体" w:eastAsia="宋体" w:cs="宋体"/>
          <w:color w:val="auto"/>
          <w:spacing w:val="9"/>
          <w:sz w:val="20"/>
          <w:szCs w:val="20"/>
          <w:lang w:eastAsia="zh-CN"/>
        </w:rPr>
        <w:t>评标委员会按招标文件规定的评审因素和量化指标由评标委员会采用综合评分法对投标文件进行</w:t>
      </w:r>
      <w:r>
        <w:rPr>
          <w:rFonts w:ascii="宋体" w:hAnsi="宋体" w:eastAsia="宋体" w:cs="宋体"/>
          <w:color w:val="auto"/>
          <w:spacing w:val="4"/>
          <w:sz w:val="20"/>
          <w:szCs w:val="20"/>
          <w:lang w:eastAsia="zh-CN"/>
        </w:rPr>
        <w:t xml:space="preserve"> </w:t>
      </w:r>
      <w:r>
        <w:rPr>
          <w:rFonts w:ascii="宋体" w:hAnsi="宋体" w:eastAsia="宋体" w:cs="宋体"/>
          <w:color w:val="auto"/>
          <w:spacing w:val="8"/>
          <w:sz w:val="20"/>
          <w:szCs w:val="20"/>
          <w:lang w:eastAsia="zh-CN"/>
        </w:rPr>
        <w:t>综合评分。评审时，各成员应当独立对每个全部实质性响应的投标文件进行</w:t>
      </w:r>
      <w:r>
        <w:rPr>
          <w:rFonts w:ascii="宋体" w:hAnsi="宋体" w:eastAsia="宋体" w:cs="宋体"/>
          <w:color w:val="auto"/>
          <w:spacing w:val="7"/>
          <w:sz w:val="20"/>
          <w:szCs w:val="20"/>
          <w:lang w:eastAsia="zh-CN"/>
        </w:rPr>
        <w:t>评价、打分，然后汇总每个</w:t>
      </w:r>
      <w:r>
        <w:rPr>
          <w:rFonts w:ascii="宋体" w:hAnsi="宋体" w:eastAsia="宋体" w:cs="宋体"/>
          <w:color w:val="auto"/>
          <w:sz w:val="20"/>
          <w:szCs w:val="20"/>
          <w:lang w:eastAsia="zh-CN"/>
        </w:rPr>
        <w:t xml:space="preserve"> </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每项评分因素的得分。</w:t>
      </w:r>
    </w:p>
    <w:p w14:paraId="458F8C91">
      <w:pPr>
        <w:spacing w:before="97" w:line="284" w:lineRule="auto"/>
        <w:ind w:left="9" w:right="18" w:hanging="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6.</w:t>
      </w:r>
      <w:r>
        <w:rPr>
          <w:rFonts w:hint="eastAsia" w:ascii="Tahoma" w:hAnsi="Tahoma" w:eastAsia="Tahoma" w:cs="Tahoma"/>
          <w:color w:val="auto"/>
          <w:spacing w:val="9"/>
          <w:sz w:val="20"/>
          <w:szCs w:val="20"/>
          <w:lang w:eastAsia="zh-CN"/>
        </w:rPr>
        <w:t>5</w:t>
      </w:r>
      <w:r>
        <w:rPr>
          <w:rFonts w:ascii="Tahoma" w:hAnsi="Tahoma" w:eastAsia="Tahoma" w:cs="Tahoma"/>
          <w:color w:val="auto"/>
          <w:spacing w:val="9"/>
          <w:sz w:val="20"/>
          <w:szCs w:val="20"/>
          <w:lang w:eastAsia="zh-CN"/>
        </w:rPr>
        <w:t xml:space="preserve">.3 </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评标委员会认为投标人的报价明显低于其他通过符合性审查投标人的报价，有可能影响产品质量</w:t>
      </w:r>
      <w:r>
        <w:rPr>
          <w:rFonts w:hint="eastAsia"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w:t>
      </w:r>
      <w:r>
        <w:rPr>
          <w:rFonts w:hint="eastAsia" w:ascii="宋体" w:hAnsi="宋体" w:eastAsia="宋体" w:cs="宋体"/>
          <w:color w:val="auto"/>
          <w:spacing w:val="9"/>
          <w:sz w:val="20"/>
          <w:szCs w:val="20"/>
          <w:lang w:val="en-US" w:eastAsia="zh-CN"/>
          <w14:textOutline w14:w="3797" w14:cap="sq" w14:cmpd="sng" w14:algn="ctr">
            <w14:solidFill>
              <w14:srgbClr w14:val="000000"/>
            </w14:solidFill>
            <w14:prstDash w14:val="solid"/>
            <w14:bevel/>
          </w14:textOutline>
        </w:rPr>
        <w:t>服务质量</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或者不能诚信履约的，应当要求其在评标现场合理的时间内提供书面说明，必要时提交</w:t>
      </w:r>
      <w:r>
        <w:rPr>
          <w:rFonts w:ascii="宋体" w:hAnsi="宋体" w:eastAsia="宋体" w:cs="宋体"/>
          <w:color w:val="auto"/>
          <w:spacing w:val="8"/>
          <w:sz w:val="20"/>
          <w:szCs w:val="20"/>
          <w:lang w:eastAsia="zh-CN"/>
          <w14:textOutline w14:w="3797" w14:cap="sq" w14:cmpd="sng" w14:algn="ctr">
            <w14:solidFill>
              <w14:srgbClr w14:val="000000"/>
            </w14:solidFill>
            <w14:prstDash w14:val="solid"/>
            <w14:bevel/>
          </w14:textOutline>
        </w:rPr>
        <w:t>相关证明材料；</w:t>
      </w:r>
      <w:r>
        <w:rPr>
          <w:rFonts w:ascii="宋体" w:hAnsi="宋体" w:eastAsia="宋体" w:cs="宋体"/>
          <w:color w:val="auto"/>
          <w:sz w:val="20"/>
          <w:szCs w:val="20"/>
          <w:lang w:eastAsia="zh-CN"/>
        </w:rPr>
        <w:t xml:space="preserve"> </w:t>
      </w:r>
      <w:r>
        <w:rPr>
          <w:rFonts w:ascii="宋体" w:hAnsi="宋体" w:eastAsia="宋体" w:cs="宋体"/>
          <w:color w:val="auto"/>
          <w:spacing w:val="10"/>
          <w:sz w:val="20"/>
          <w:szCs w:val="20"/>
          <w:lang w:eastAsia="zh-CN"/>
          <w14:textOutline w14:w="3797" w14:cap="sq" w14:cmpd="sng" w14:algn="ctr">
            <w14:solidFill>
              <w14:srgbClr w14:val="000000"/>
            </w14:solidFill>
            <w14:prstDash w14:val="solid"/>
            <w14:bevel/>
          </w14:textOutline>
        </w:rPr>
        <w:t>投标人不能证明其报价合理性的，评标委员会应当将其作为无效投标处理</w:t>
      </w:r>
      <w:r>
        <w:rPr>
          <w:rFonts w:ascii="宋体" w:hAnsi="宋体" w:eastAsia="宋体" w:cs="宋体"/>
          <w:color w:val="auto"/>
          <w:spacing w:val="10"/>
          <w:sz w:val="20"/>
          <w:szCs w:val="20"/>
          <w:lang w:eastAsia="zh-CN"/>
        </w:rPr>
        <w:t>。</w:t>
      </w:r>
    </w:p>
    <w:p w14:paraId="4A90D434">
      <w:pPr>
        <w:spacing w:before="96" w:line="226" w:lineRule="auto"/>
        <w:ind w:left="8"/>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6.</w:t>
      </w:r>
      <w:r>
        <w:rPr>
          <w:rFonts w:hint="eastAsia" w:ascii="Tahoma" w:hAnsi="Tahoma" w:eastAsia="Tahoma" w:cs="Tahoma"/>
          <w:color w:val="auto"/>
          <w:spacing w:val="8"/>
          <w:sz w:val="20"/>
          <w:szCs w:val="20"/>
          <w:lang w:eastAsia="zh-CN"/>
        </w:rPr>
        <w:t>5</w:t>
      </w:r>
      <w:r>
        <w:rPr>
          <w:rFonts w:ascii="Tahoma" w:hAnsi="Tahoma" w:eastAsia="Tahoma" w:cs="Tahoma"/>
          <w:color w:val="auto"/>
          <w:spacing w:val="8"/>
          <w:sz w:val="20"/>
          <w:szCs w:val="20"/>
          <w:lang w:eastAsia="zh-CN"/>
        </w:rPr>
        <w:t xml:space="preserve">.4 </w:t>
      </w:r>
      <w:r>
        <w:rPr>
          <w:rFonts w:ascii="宋体" w:hAnsi="宋体" w:eastAsia="宋体" w:cs="宋体"/>
          <w:color w:val="auto"/>
          <w:spacing w:val="8"/>
          <w:sz w:val="20"/>
          <w:szCs w:val="20"/>
          <w:lang w:eastAsia="zh-CN"/>
        </w:rPr>
        <w:t>评标委员会将按比较与评价最优在先原</w:t>
      </w:r>
      <w:r>
        <w:rPr>
          <w:rFonts w:ascii="宋体" w:hAnsi="宋体" w:eastAsia="宋体" w:cs="宋体"/>
          <w:color w:val="auto"/>
          <w:spacing w:val="7"/>
          <w:sz w:val="20"/>
          <w:szCs w:val="20"/>
          <w:lang w:eastAsia="zh-CN"/>
        </w:rPr>
        <w:t>则，排列评价顺序，</w:t>
      </w:r>
      <w:r>
        <w:rPr>
          <w:rFonts w:ascii="宋体" w:hAnsi="宋体" w:eastAsia="宋体" w:cs="宋体"/>
          <w:color w:val="auto"/>
          <w:spacing w:val="-23"/>
          <w:sz w:val="20"/>
          <w:szCs w:val="20"/>
          <w:lang w:eastAsia="zh-CN"/>
        </w:rPr>
        <w:t xml:space="preserve"> </w:t>
      </w:r>
      <w:r>
        <w:rPr>
          <w:rFonts w:ascii="宋体" w:hAnsi="宋体" w:eastAsia="宋体" w:cs="宋体"/>
          <w:color w:val="auto"/>
          <w:spacing w:val="7"/>
          <w:sz w:val="20"/>
          <w:szCs w:val="20"/>
          <w:lang w:eastAsia="zh-CN"/>
        </w:rPr>
        <w:t>根据在投标人须知前附表中确定的中</w:t>
      </w:r>
      <w:r>
        <w:rPr>
          <w:rFonts w:ascii="宋体" w:hAnsi="宋体" w:eastAsia="宋体" w:cs="宋体"/>
          <w:color w:val="auto"/>
          <w:spacing w:val="8"/>
          <w:sz w:val="20"/>
          <w:szCs w:val="20"/>
          <w:lang w:eastAsia="zh-CN"/>
        </w:rPr>
        <w:t>标候选人数量推荐出中标候选人。</w:t>
      </w:r>
    </w:p>
    <w:p w14:paraId="2E4DE0BD">
      <w:pPr>
        <w:spacing w:before="92" w:line="271" w:lineRule="auto"/>
        <w:ind w:left="7" w:right="70" w:firstLine="1"/>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6.</w:t>
      </w:r>
      <w:r>
        <w:rPr>
          <w:rFonts w:hint="eastAsia" w:ascii="Tahoma" w:hAnsi="Tahoma" w:eastAsia="Tahoma" w:cs="Tahoma"/>
          <w:color w:val="auto"/>
          <w:spacing w:val="8"/>
          <w:sz w:val="20"/>
          <w:szCs w:val="20"/>
          <w:lang w:eastAsia="zh-CN"/>
        </w:rPr>
        <w:t>5</w:t>
      </w:r>
      <w:r>
        <w:rPr>
          <w:rFonts w:ascii="Tahoma" w:hAnsi="Tahoma" w:eastAsia="Tahoma" w:cs="Tahoma"/>
          <w:color w:val="auto"/>
          <w:spacing w:val="8"/>
          <w:sz w:val="20"/>
          <w:szCs w:val="20"/>
          <w:lang w:eastAsia="zh-CN"/>
        </w:rPr>
        <w:t>.5</w:t>
      </w:r>
      <w:r>
        <w:rPr>
          <w:rFonts w:ascii="Tahoma" w:hAnsi="Tahoma" w:eastAsia="Tahoma" w:cs="Tahoma"/>
          <w:color w:val="auto"/>
          <w:spacing w:val="60"/>
          <w:w w:val="101"/>
          <w:sz w:val="20"/>
          <w:szCs w:val="20"/>
          <w:lang w:eastAsia="zh-CN"/>
        </w:rPr>
        <w:t xml:space="preserve"> </w:t>
      </w:r>
      <w:r>
        <w:rPr>
          <w:rFonts w:ascii="宋体" w:hAnsi="宋体" w:eastAsia="宋体" w:cs="宋体"/>
          <w:color w:val="auto"/>
          <w:spacing w:val="8"/>
          <w:sz w:val="20"/>
          <w:szCs w:val="20"/>
          <w:lang w:eastAsia="zh-CN"/>
        </w:rPr>
        <w:t>经评审后，若出现符合本须知规定的所有投标条件的投标人不足三家情形的，本次招标终止，除</w:t>
      </w:r>
      <w:r>
        <w:rPr>
          <w:rFonts w:ascii="宋体" w:hAnsi="宋体" w:eastAsia="宋体" w:cs="宋体"/>
          <w:color w:val="auto"/>
          <w:spacing w:val="9"/>
          <w:sz w:val="20"/>
          <w:szCs w:val="20"/>
          <w:lang w:eastAsia="zh-CN"/>
        </w:rPr>
        <w:t>采购任务取消情形外，招标单位将依法重新组织招标或者采取其他方式采购。</w:t>
      </w:r>
    </w:p>
    <w:p w14:paraId="38EB44E7">
      <w:pPr>
        <w:spacing w:before="69" w:line="222" w:lineRule="auto"/>
        <w:ind w:left="3654"/>
        <w:rPr>
          <w:rFonts w:ascii="Tahoma" w:hAnsi="Tahoma" w:eastAsia="Tahoma" w:cs="Tahoma"/>
          <w:b/>
          <w:bCs/>
          <w:color w:val="auto"/>
          <w:spacing w:val="-2"/>
          <w:sz w:val="24"/>
          <w:szCs w:val="24"/>
          <w:lang w:eastAsia="zh-CN"/>
        </w:rPr>
      </w:pPr>
    </w:p>
    <w:p w14:paraId="7E3255A2">
      <w:pPr>
        <w:spacing w:before="69" w:line="222" w:lineRule="auto"/>
        <w:ind w:left="3654"/>
        <w:rPr>
          <w:rFonts w:ascii="黑体" w:hAnsi="黑体" w:eastAsia="黑体" w:cs="黑体"/>
          <w:color w:val="auto"/>
          <w:sz w:val="24"/>
          <w:szCs w:val="24"/>
          <w:lang w:eastAsia="zh-CN"/>
        </w:rPr>
      </w:pPr>
      <w:r>
        <w:rPr>
          <w:rFonts w:ascii="Tahoma" w:hAnsi="Tahoma" w:eastAsia="Tahoma" w:cs="Tahoma"/>
          <w:b/>
          <w:bCs/>
          <w:color w:val="auto"/>
          <w:spacing w:val="-2"/>
          <w:sz w:val="24"/>
          <w:szCs w:val="24"/>
          <w:lang w:eastAsia="zh-CN"/>
        </w:rPr>
        <w:t>7</w:t>
      </w:r>
      <w:r>
        <w:rPr>
          <w:rFonts w:ascii="宋体" w:hAnsi="宋体" w:eastAsia="宋体" w:cs="宋体"/>
          <w:color w:val="auto"/>
          <w:spacing w:val="-2"/>
          <w:sz w:val="24"/>
          <w:szCs w:val="24"/>
          <w:lang w:eastAsia="zh-CN"/>
          <w14:textOutline w14:w="4356" w14:cap="sq" w14:cmpd="sng" w14:algn="ctr">
            <w14:solidFill>
              <w14:srgbClr w14:val="000000"/>
            </w14:solidFill>
            <w14:prstDash w14:val="solid"/>
            <w14:bevel/>
          </w14:textOutline>
        </w:rPr>
        <w:t>、</w:t>
      </w:r>
      <w:r>
        <w:rPr>
          <w:rFonts w:ascii="黑体" w:hAnsi="黑体" w:eastAsia="黑体" w:cs="黑体"/>
          <w:color w:val="auto"/>
          <w:spacing w:val="-2"/>
          <w:sz w:val="24"/>
          <w:szCs w:val="24"/>
          <w:lang w:eastAsia="zh-CN"/>
          <w14:textOutline w14:w="4356" w14:cap="sq" w14:cmpd="sng" w14:algn="ctr">
            <w14:solidFill>
              <w14:srgbClr w14:val="000000"/>
            </w14:solidFill>
            <w14:prstDash w14:val="solid"/>
            <w14:bevel/>
          </w14:textOutline>
        </w:rPr>
        <w:t>定标与授予合同</w:t>
      </w:r>
    </w:p>
    <w:p w14:paraId="41B69915">
      <w:pPr>
        <w:spacing w:before="76" w:line="228" w:lineRule="auto"/>
        <w:ind w:left="11"/>
        <w:rPr>
          <w:rFonts w:ascii="宋体" w:hAnsi="宋体" w:eastAsia="宋体" w:cs="宋体"/>
          <w:color w:val="auto"/>
          <w:sz w:val="20"/>
          <w:szCs w:val="20"/>
          <w:lang w:eastAsia="zh-CN"/>
        </w:rPr>
      </w:pPr>
      <w:r>
        <w:rPr>
          <w:rFonts w:ascii="Tahoma" w:hAnsi="Tahoma" w:eastAsia="Tahoma" w:cs="Tahoma"/>
          <w:b/>
          <w:bCs/>
          <w:color w:val="auto"/>
          <w:spacing w:val="4"/>
          <w:sz w:val="20"/>
          <w:szCs w:val="20"/>
          <w:lang w:eastAsia="zh-CN"/>
        </w:rPr>
        <w:t>7.1.</w:t>
      </w:r>
      <w:r>
        <w:rPr>
          <w:rFonts w:ascii="Tahoma" w:hAnsi="Tahoma" w:eastAsia="Tahoma" w:cs="Tahoma"/>
          <w:b/>
          <w:bCs/>
          <w:color w:val="auto"/>
          <w:spacing w:val="2"/>
          <w:sz w:val="20"/>
          <w:szCs w:val="20"/>
          <w:lang w:eastAsia="zh-CN"/>
        </w:rPr>
        <w:t xml:space="preserve">  </w:t>
      </w:r>
      <w:r>
        <w:rPr>
          <w:rFonts w:ascii="宋体" w:hAnsi="宋体" w:eastAsia="宋体" w:cs="宋体"/>
          <w:color w:val="auto"/>
          <w:spacing w:val="4"/>
          <w:sz w:val="20"/>
          <w:szCs w:val="20"/>
          <w:lang w:eastAsia="zh-CN"/>
          <w14:textOutline w14:w="3797" w14:cap="sq" w14:cmpd="sng" w14:algn="ctr">
            <w14:solidFill>
              <w14:srgbClr w14:val="000000"/>
            </w14:solidFill>
            <w14:prstDash w14:val="solid"/>
            <w14:bevel/>
          </w14:textOutline>
        </w:rPr>
        <w:t>定标准则</w:t>
      </w:r>
    </w:p>
    <w:p w14:paraId="1ABF7356">
      <w:pPr>
        <w:spacing w:before="94" w:line="226" w:lineRule="auto"/>
        <w:ind w:left="10"/>
        <w:rPr>
          <w:rFonts w:ascii="宋体" w:hAnsi="宋体" w:eastAsia="宋体" w:cs="宋体"/>
          <w:color w:val="auto"/>
          <w:sz w:val="20"/>
          <w:szCs w:val="20"/>
          <w:lang w:eastAsia="zh-CN"/>
        </w:rPr>
      </w:pPr>
      <w:r>
        <w:rPr>
          <w:rFonts w:ascii="Tahoma" w:hAnsi="Tahoma" w:eastAsia="Tahoma" w:cs="Tahoma"/>
          <w:color w:val="auto"/>
          <w:spacing w:val="5"/>
          <w:sz w:val="20"/>
          <w:szCs w:val="20"/>
          <w:lang w:eastAsia="zh-CN"/>
        </w:rPr>
        <w:t xml:space="preserve">7.1.1 </w:t>
      </w:r>
      <w:r>
        <w:rPr>
          <w:rFonts w:ascii="宋体" w:hAnsi="宋体" w:eastAsia="宋体" w:cs="宋体"/>
          <w:color w:val="auto"/>
          <w:spacing w:val="5"/>
          <w:sz w:val="20"/>
          <w:szCs w:val="20"/>
          <w:lang w:eastAsia="zh-CN"/>
        </w:rPr>
        <w:t>最低投标价不作为中标的保证。</w:t>
      </w:r>
    </w:p>
    <w:p w14:paraId="25801E69">
      <w:pPr>
        <w:spacing w:before="96" w:line="226" w:lineRule="auto"/>
        <w:ind w:left="10"/>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 xml:space="preserve">7.1.2 </w:t>
      </w:r>
      <w:r>
        <w:rPr>
          <w:rFonts w:ascii="宋体" w:hAnsi="宋体" w:eastAsia="宋体" w:cs="宋体"/>
          <w:color w:val="auto"/>
          <w:spacing w:val="7"/>
          <w:sz w:val="20"/>
          <w:szCs w:val="20"/>
          <w:lang w:eastAsia="zh-CN"/>
        </w:rPr>
        <w:t>采购代理机构应当在评标结束后</w:t>
      </w:r>
      <w:r>
        <w:rPr>
          <w:rFonts w:ascii="宋体" w:hAnsi="宋体" w:eastAsia="宋体" w:cs="宋体"/>
          <w:color w:val="auto"/>
          <w:spacing w:val="-36"/>
          <w:sz w:val="20"/>
          <w:szCs w:val="20"/>
          <w:lang w:eastAsia="zh-CN"/>
        </w:rPr>
        <w:t xml:space="preserve"> </w:t>
      </w:r>
      <w:r>
        <w:rPr>
          <w:rFonts w:ascii="Tahoma" w:hAnsi="Tahoma" w:eastAsia="Tahoma" w:cs="Tahoma"/>
          <w:color w:val="auto"/>
          <w:spacing w:val="7"/>
          <w:sz w:val="20"/>
          <w:szCs w:val="20"/>
          <w:lang w:eastAsia="zh-CN"/>
        </w:rPr>
        <w:t xml:space="preserve">2 </w:t>
      </w:r>
      <w:r>
        <w:rPr>
          <w:rFonts w:ascii="宋体" w:hAnsi="宋体" w:eastAsia="宋体" w:cs="宋体"/>
          <w:color w:val="auto"/>
          <w:spacing w:val="7"/>
          <w:sz w:val="20"/>
          <w:szCs w:val="20"/>
          <w:lang w:eastAsia="zh-CN"/>
        </w:rPr>
        <w:t>个工作</w:t>
      </w:r>
      <w:r>
        <w:rPr>
          <w:rFonts w:ascii="宋体" w:hAnsi="宋体" w:eastAsia="宋体" w:cs="宋体"/>
          <w:color w:val="auto"/>
          <w:spacing w:val="6"/>
          <w:sz w:val="20"/>
          <w:szCs w:val="20"/>
          <w:lang w:eastAsia="zh-CN"/>
        </w:rPr>
        <w:t>日内将评标报告送采购人。</w:t>
      </w:r>
    </w:p>
    <w:p w14:paraId="7A65DD46">
      <w:pPr>
        <w:spacing w:before="95" w:line="285" w:lineRule="auto"/>
        <w:ind w:left="9" w:right="71"/>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7.1.3 </w:t>
      </w:r>
      <w:r>
        <w:rPr>
          <w:rFonts w:ascii="宋体" w:hAnsi="宋体" w:eastAsia="宋体" w:cs="宋体"/>
          <w:color w:val="auto"/>
          <w:spacing w:val="8"/>
          <w:sz w:val="20"/>
          <w:szCs w:val="20"/>
          <w:lang w:eastAsia="zh-CN"/>
        </w:rPr>
        <w:t>采购人应当自收到评标报告之日起</w:t>
      </w:r>
      <w:r>
        <w:rPr>
          <w:rFonts w:ascii="宋体" w:hAnsi="宋体" w:eastAsia="宋体" w:cs="宋体"/>
          <w:color w:val="auto"/>
          <w:spacing w:val="-29"/>
          <w:sz w:val="20"/>
          <w:szCs w:val="20"/>
          <w:lang w:eastAsia="zh-CN"/>
        </w:rPr>
        <w:t xml:space="preserve"> </w:t>
      </w:r>
      <w:r>
        <w:rPr>
          <w:rFonts w:ascii="Tahoma" w:hAnsi="Tahoma" w:eastAsia="Tahoma" w:cs="Tahoma"/>
          <w:color w:val="auto"/>
          <w:spacing w:val="8"/>
          <w:sz w:val="20"/>
          <w:szCs w:val="20"/>
          <w:lang w:eastAsia="zh-CN"/>
        </w:rPr>
        <w:t xml:space="preserve">5 </w:t>
      </w:r>
      <w:r>
        <w:rPr>
          <w:rFonts w:ascii="宋体" w:hAnsi="宋体" w:eastAsia="宋体" w:cs="宋体"/>
          <w:color w:val="auto"/>
          <w:spacing w:val="8"/>
          <w:sz w:val="20"/>
          <w:szCs w:val="20"/>
          <w:lang w:eastAsia="zh-CN"/>
        </w:rPr>
        <w:t>个工作日内，在评标报告确定的中标候选人名单中按顺序确</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定中标人。中标候选人并列的，由采购人或者采购人委托评标委员会按</w:t>
      </w:r>
      <w:r>
        <w:rPr>
          <w:rFonts w:ascii="宋体" w:hAnsi="宋体" w:eastAsia="宋体" w:cs="宋体"/>
          <w:color w:val="auto"/>
          <w:spacing w:val="7"/>
          <w:sz w:val="20"/>
          <w:szCs w:val="20"/>
          <w:lang w:eastAsia="zh-CN"/>
        </w:rPr>
        <w:t>照招标文件规定的方式确定中标</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人；招标文件未规定的，采取随机抽取的方式确定。</w:t>
      </w:r>
    </w:p>
    <w:p w14:paraId="6C0DC8DE">
      <w:pPr>
        <w:spacing w:before="93" w:line="270" w:lineRule="auto"/>
        <w:ind w:left="27" w:right="68" w:hanging="17"/>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7.1.4 </w:t>
      </w:r>
      <w:r>
        <w:rPr>
          <w:rFonts w:ascii="宋体" w:hAnsi="宋体" w:eastAsia="宋体" w:cs="宋体"/>
          <w:color w:val="auto"/>
          <w:spacing w:val="8"/>
          <w:sz w:val="20"/>
          <w:szCs w:val="20"/>
          <w:lang w:eastAsia="zh-CN"/>
        </w:rPr>
        <w:t>采购人在收到评标报告</w:t>
      </w:r>
      <w:r>
        <w:rPr>
          <w:rFonts w:ascii="宋体" w:hAnsi="宋体" w:eastAsia="宋体" w:cs="宋体"/>
          <w:color w:val="auto"/>
          <w:spacing w:val="-26"/>
          <w:sz w:val="20"/>
          <w:szCs w:val="20"/>
          <w:lang w:eastAsia="zh-CN"/>
        </w:rPr>
        <w:t xml:space="preserve"> </w:t>
      </w:r>
      <w:r>
        <w:rPr>
          <w:rFonts w:ascii="Tahoma" w:hAnsi="Tahoma" w:eastAsia="Tahoma" w:cs="Tahoma"/>
          <w:color w:val="auto"/>
          <w:spacing w:val="8"/>
          <w:sz w:val="20"/>
          <w:szCs w:val="20"/>
          <w:lang w:eastAsia="zh-CN"/>
        </w:rPr>
        <w:t xml:space="preserve">5 </w:t>
      </w:r>
      <w:r>
        <w:rPr>
          <w:rFonts w:ascii="宋体" w:hAnsi="宋体" w:eastAsia="宋体" w:cs="宋体"/>
          <w:color w:val="auto"/>
          <w:spacing w:val="8"/>
          <w:sz w:val="20"/>
          <w:szCs w:val="20"/>
          <w:lang w:eastAsia="zh-CN"/>
        </w:rPr>
        <w:t>个工作日内未按评标报告推荐的中标候选人顺序确定中标人，又不能说</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明合法理由的，视同按评标报告推荐的顺序确定排名第一的中标候选人</w:t>
      </w:r>
      <w:r>
        <w:rPr>
          <w:rFonts w:ascii="宋体" w:hAnsi="宋体" w:eastAsia="宋体" w:cs="宋体"/>
          <w:color w:val="auto"/>
          <w:spacing w:val="8"/>
          <w:sz w:val="20"/>
          <w:szCs w:val="20"/>
          <w:lang w:eastAsia="zh-CN"/>
        </w:rPr>
        <w:t>为中标人。</w:t>
      </w:r>
    </w:p>
    <w:p w14:paraId="43E9A393">
      <w:pPr>
        <w:spacing w:before="96" w:line="228" w:lineRule="auto"/>
        <w:ind w:left="11"/>
        <w:rPr>
          <w:rFonts w:ascii="宋体" w:hAnsi="宋体" w:eastAsia="宋体" w:cs="宋体"/>
          <w:color w:val="auto"/>
          <w:sz w:val="20"/>
          <w:szCs w:val="20"/>
          <w:lang w:eastAsia="zh-CN"/>
        </w:rPr>
      </w:pPr>
      <w:r>
        <w:rPr>
          <w:rFonts w:ascii="Tahoma" w:hAnsi="Tahoma" w:eastAsia="Tahoma" w:cs="Tahoma"/>
          <w:b/>
          <w:bCs/>
          <w:color w:val="auto"/>
          <w:spacing w:val="2"/>
          <w:sz w:val="20"/>
          <w:szCs w:val="20"/>
          <w:lang w:eastAsia="zh-CN"/>
        </w:rPr>
        <w:t>7.2.</w:t>
      </w:r>
      <w:r>
        <w:rPr>
          <w:rFonts w:ascii="Tahoma" w:hAnsi="Tahoma" w:eastAsia="Tahoma" w:cs="Tahoma"/>
          <w:b/>
          <w:bCs/>
          <w:color w:val="auto"/>
          <w:spacing w:val="10"/>
          <w:sz w:val="20"/>
          <w:szCs w:val="20"/>
          <w:lang w:eastAsia="zh-CN"/>
        </w:rPr>
        <w:t xml:space="preserve">  </w:t>
      </w:r>
      <w:r>
        <w:rPr>
          <w:rFonts w:ascii="宋体" w:hAnsi="宋体" w:eastAsia="宋体" w:cs="宋体"/>
          <w:color w:val="auto"/>
          <w:spacing w:val="2"/>
          <w:sz w:val="20"/>
          <w:szCs w:val="20"/>
          <w:lang w:eastAsia="zh-CN"/>
          <w14:textOutline w14:w="3797" w14:cap="sq" w14:cmpd="sng" w14:algn="ctr">
            <w14:solidFill>
              <w14:srgbClr w14:val="000000"/>
            </w14:solidFill>
            <w14:prstDash w14:val="solid"/>
            <w14:bevel/>
          </w14:textOutline>
        </w:rPr>
        <w:t>中标通知</w:t>
      </w:r>
    </w:p>
    <w:p w14:paraId="1AE73E80">
      <w:pPr>
        <w:pStyle w:val="8"/>
        <w:spacing w:line="351" w:lineRule="auto"/>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7.2.1</w:t>
      </w:r>
      <w:r>
        <w:rPr>
          <w:rFonts w:ascii="Tahoma" w:hAnsi="Tahoma" w:eastAsia="Tahoma" w:cs="Tahoma"/>
          <w:color w:val="auto"/>
          <w:spacing w:val="52"/>
          <w:sz w:val="20"/>
          <w:szCs w:val="20"/>
          <w:lang w:eastAsia="zh-CN"/>
        </w:rPr>
        <w:t xml:space="preserve"> </w:t>
      </w:r>
      <w:r>
        <w:rPr>
          <w:rFonts w:ascii="宋体" w:hAnsi="宋体" w:eastAsia="宋体" w:cs="宋体"/>
          <w:color w:val="auto"/>
          <w:spacing w:val="7"/>
          <w:sz w:val="20"/>
          <w:szCs w:val="20"/>
          <w:lang w:eastAsia="zh-CN"/>
        </w:rPr>
        <w:t>评标结束后，采购人或者采购代理机构应当自中标人确定之日起</w:t>
      </w:r>
      <w:r>
        <w:rPr>
          <w:rFonts w:ascii="宋体" w:hAnsi="宋体" w:eastAsia="宋体" w:cs="宋体"/>
          <w:color w:val="auto"/>
          <w:spacing w:val="-34"/>
          <w:sz w:val="20"/>
          <w:szCs w:val="20"/>
          <w:lang w:eastAsia="zh-CN"/>
        </w:rPr>
        <w:t xml:space="preserve"> </w:t>
      </w:r>
      <w:r>
        <w:rPr>
          <w:rFonts w:ascii="Tahoma" w:hAnsi="Tahoma" w:eastAsia="Tahoma" w:cs="Tahoma"/>
          <w:color w:val="auto"/>
          <w:spacing w:val="7"/>
          <w:sz w:val="20"/>
          <w:szCs w:val="20"/>
          <w:lang w:eastAsia="zh-CN"/>
        </w:rPr>
        <w:t xml:space="preserve">2 </w:t>
      </w:r>
      <w:r>
        <w:rPr>
          <w:rFonts w:ascii="宋体" w:hAnsi="宋体" w:eastAsia="宋体" w:cs="宋体"/>
          <w:color w:val="auto"/>
          <w:spacing w:val="7"/>
          <w:sz w:val="20"/>
          <w:szCs w:val="20"/>
          <w:lang w:eastAsia="zh-CN"/>
        </w:rPr>
        <w:t>个工作日内，在</w:t>
      </w:r>
      <w:r>
        <w:rPr>
          <w:rFonts w:ascii="宋体" w:hAnsi="宋体" w:eastAsia="宋体" w:cs="宋体"/>
          <w:color w:val="auto"/>
          <w:spacing w:val="6"/>
          <w:sz w:val="20"/>
          <w:szCs w:val="20"/>
          <w:lang w:eastAsia="zh-CN"/>
        </w:rPr>
        <w:t xml:space="preserve">省级以上财政 </w:t>
      </w:r>
      <w:r>
        <w:rPr>
          <w:rFonts w:ascii="宋体" w:hAnsi="宋体" w:eastAsia="宋体" w:cs="宋体"/>
          <w:color w:val="auto"/>
          <w:spacing w:val="4"/>
          <w:sz w:val="20"/>
          <w:szCs w:val="20"/>
          <w:lang w:eastAsia="zh-CN"/>
        </w:rPr>
        <w:t>部门指定的媒体上公告中标结果，公告期限为</w:t>
      </w:r>
      <w:r>
        <w:rPr>
          <w:rFonts w:ascii="宋体" w:hAnsi="宋体" w:eastAsia="宋体" w:cs="宋体"/>
          <w:color w:val="auto"/>
          <w:spacing w:val="-24"/>
          <w:sz w:val="20"/>
          <w:szCs w:val="20"/>
          <w:lang w:eastAsia="zh-CN"/>
        </w:rPr>
        <w:t xml:space="preserve"> </w:t>
      </w:r>
      <w:r>
        <w:rPr>
          <w:rFonts w:ascii="Tahoma" w:hAnsi="Tahoma" w:eastAsia="Tahoma" w:cs="Tahoma"/>
          <w:color w:val="auto"/>
          <w:spacing w:val="4"/>
          <w:sz w:val="20"/>
          <w:szCs w:val="20"/>
          <w:lang w:eastAsia="zh-CN"/>
        </w:rPr>
        <w:t xml:space="preserve">1 </w:t>
      </w:r>
      <w:r>
        <w:rPr>
          <w:rFonts w:ascii="宋体" w:hAnsi="宋体" w:eastAsia="宋体" w:cs="宋体"/>
          <w:color w:val="auto"/>
          <w:spacing w:val="4"/>
          <w:sz w:val="20"/>
          <w:szCs w:val="20"/>
          <w:lang w:eastAsia="zh-CN"/>
        </w:rPr>
        <w:t>个工作日；同</w:t>
      </w:r>
      <w:r>
        <w:rPr>
          <w:rFonts w:ascii="宋体" w:hAnsi="宋体" w:eastAsia="宋体" w:cs="宋体"/>
          <w:color w:val="auto"/>
          <w:spacing w:val="3"/>
          <w:sz w:val="20"/>
          <w:szCs w:val="20"/>
          <w:lang w:eastAsia="zh-CN"/>
        </w:rPr>
        <w:t>时招标代理机构向中标人发出中标通知书。</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中标通知书对招标人和中标人具有同等法律效力。中标通知书发出后，</w:t>
      </w:r>
      <w:r>
        <w:rPr>
          <w:rFonts w:ascii="宋体" w:hAnsi="宋体" w:eastAsia="宋体" w:cs="宋体"/>
          <w:color w:val="auto"/>
          <w:spacing w:val="7"/>
          <w:sz w:val="20"/>
          <w:szCs w:val="20"/>
          <w:lang w:eastAsia="zh-CN"/>
        </w:rPr>
        <w:t>招标人改变中标结果，或者中标</w:t>
      </w:r>
      <w:r>
        <w:rPr>
          <w:rFonts w:ascii="宋体" w:hAnsi="宋体" w:eastAsia="宋体" w:cs="宋体"/>
          <w:color w:val="auto"/>
          <w:spacing w:val="8"/>
          <w:sz w:val="20"/>
          <w:szCs w:val="20"/>
          <w:lang w:eastAsia="zh-CN"/>
        </w:rPr>
        <w:t>人放弃中标，应按相关法律、规章、规范性文件的要求承担相应的法律</w:t>
      </w:r>
      <w:r>
        <w:rPr>
          <w:rFonts w:ascii="宋体" w:hAnsi="宋体" w:eastAsia="宋体" w:cs="宋体"/>
          <w:color w:val="auto"/>
          <w:spacing w:val="7"/>
          <w:sz w:val="20"/>
          <w:szCs w:val="20"/>
          <w:lang w:eastAsia="zh-CN"/>
        </w:rPr>
        <w:t>责任。投标人对中标公告有异议</w:t>
      </w:r>
      <w:r>
        <w:rPr>
          <w:rFonts w:ascii="宋体" w:hAnsi="宋体" w:eastAsia="宋体" w:cs="宋体"/>
          <w:color w:val="auto"/>
          <w:spacing w:val="8"/>
          <w:sz w:val="20"/>
          <w:szCs w:val="20"/>
          <w:lang w:eastAsia="zh-CN"/>
        </w:rPr>
        <w:t>的，应当在知道或应当知道其权益受到损害之日起在规定的期限内，以</w:t>
      </w:r>
      <w:r>
        <w:rPr>
          <w:rFonts w:ascii="宋体" w:hAnsi="宋体" w:eastAsia="宋体" w:cs="宋体"/>
          <w:color w:val="auto"/>
          <w:spacing w:val="7"/>
          <w:sz w:val="20"/>
          <w:szCs w:val="20"/>
          <w:lang w:eastAsia="zh-CN"/>
        </w:rPr>
        <w:t>书面形式向采购人或招标代理机</w:t>
      </w:r>
      <w:r>
        <w:rPr>
          <w:rFonts w:ascii="宋体" w:hAnsi="宋体" w:eastAsia="宋体" w:cs="宋体"/>
          <w:color w:val="auto"/>
          <w:spacing w:val="6"/>
          <w:sz w:val="20"/>
          <w:szCs w:val="20"/>
          <w:lang w:eastAsia="zh-CN"/>
        </w:rPr>
        <w:t>构提出质疑。</w:t>
      </w:r>
    </w:p>
    <w:p w14:paraId="1253F446">
      <w:pPr>
        <w:spacing w:before="93" w:line="226" w:lineRule="auto"/>
        <w:ind w:left="10"/>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 xml:space="preserve">7.2.2  </w:t>
      </w:r>
      <w:r>
        <w:rPr>
          <w:rFonts w:ascii="宋体" w:hAnsi="宋体" w:eastAsia="宋体" w:cs="宋体"/>
          <w:color w:val="auto"/>
          <w:spacing w:val="7"/>
          <w:sz w:val="20"/>
          <w:szCs w:val="20"/>
          <w:lang w:eastAsia="zh-CN"/>
        </w:rPr>
        <w:t>中标公告发出后的同时，将向未中标人发出《</w:t>
      </w:r>
      <w:r>
        <w:rPr>
          <w:rFonts w:ascii="宋体" w:hAnsi="宋体" w:eastAsia="宋体" w:cs="宋体"/>
          <w:color w:val="auto"/>
          <w:spacing w:val="6"/>
          <w:sz w:val="20"/>
          <w:szCs w:val="20"/>
          <w:lang w:eastAsia="zh-CN"/>
        </w:rPr>
        <w:t>中标结果通知书》。</w:t>
      </w:r>
    </w:p>
    <w:p w14:paraId="4A710BE5">
      <w:pPr>
        <w:spacing w:before="96" w:line="270" w:lineRule="auto"/>
        <w:ind w:left="10" w:right="70"/>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7.2.3</w:t>
      </w:r>
      <w:r>
        <w:rPr>
          <w:rFonts w:ascii="Tahoma" w:hAnsi="Tahoma" w:eastAsia="Tahoma" w:cs="Tahoma"/>
          <w:color w:val="auto"/>
          <w:spacing w:val="59"/>
          <w:sz w:val="20"/>
          <w:szCs w:val="20"/>
          <w:lang w:eastAsia="zh-CN"/>
        </w:rPr>
        <w:t xml:space="preserve"> </w:t>
      </w:r>
      <w:r>
        <w:rPr>
          <w:rFonts w:ascii="宋体" w:hAnsi="宋体" w:eastAsia="宋体" w:cs="宋体"/>
          <w:color w:val="auto"/>
          <w:spacing w:val="8"/>
          <w:sz w:val="20"/>
          <w:szCs w:val="20"/>
          <w:lang w:eastAsia="zh-CN"/>
        </w:rPr>
        <w:t>《中标通知书》将作为签订合同的依据。《合同》签订后，《中标通知书》成为《合同》的一部</w:t>
      </w:r>
      <w:r>
        <w:rPr>
          <w:rFonts w:ascii="宋体" w:hAnsi="宋体" w:eastAsia="宋体" w:cs="宋体"/>
          <w:color w:val="auto"/>
          <w:spacing w:val="-1"/>
          <w:sz w:val="20"/>
          <w:szCs w:val="20"/>
          <w:lang w:eastAsia="zh-CN"/>
        </w:rPr>
        <w:t>分。</w:t>
      </w:r>
    </w:p>
    <w:p w14:paraId="43797155">
      <w:pPr>
        <w:spacing w:before="92" w:line="271" w:lineRule="auto"/>
        <w:ind w:left="8" w:right="70" w:firstLine="1"/>
        <w:rPr>
          <w:rFonts w:ascii="宋体" w:hAnsi="宋体" w:eastAsia="宋体" w:cs="宋体"/>
          <w:color w:val="auto"/>
          <w:sz w:val="20"/>
          <w:szCs w:val="20"/>
          <w:lang w:eastAsia="zh-CN"/>
        </w:rPr>
      </w:pPr>
      <w:r>
        <w:rPr>
          <w:rFonts w:ascii="Tahoma" w:hAnsi="Tahoma" w:eastAsia="Tahoma" w:cs="Tahoma"/>
          <w:color w:val="auto"/>
          <w:spacing w:val="10"/>
          <w:sz w:val="20"/>
          <w:szCs w:val="20"/>
          <w:lang w:eastAsia="zh-CN"/>
        </w:rPr>
        <w:t>7.2.4</w:t>
      </w:r>
      <w:r>
        <w:rPr>
          <w:rFonts w:ascii="宋体" w:hAnsi="宋体" w:eastAsia="宋体" w:cs="宋体"/>
          <w:color w:val="auto"/>
          <w:spacing w:val="10"/>
          <w:sz w:val="20"/>
          <w:szCs w:val="20"/>
          <w:lang w:eastAsia="zh-CN"/>
        </w:rPr>
        <w:t>《中标通知书》发出后</w:t>
      </w:r>
      <w:r>
        <w:rPr>
          <w:rFonts w:ascii="宋体" w:hAnsi="宋体" w:eastAsia="宋体" w:cs="宋体"/>
          <w:color w:val="auto"/>
          <w:spacing w:val="-30"/>
          <w:sz w:val="20"/>
          <w:szCs w:val="20"/>
          <w:lang w:eastAsia="zh-CN"/>
        </w:rPr>
        <w:t xml:space="preserve"> </w:t>
      </w:r>
      <w:r>
        <w:rPr>
          <w:rFonts w:ascii="Tahoma" w:hAnsi="Tahoma" w:eastAsia="Tahoma" w:cs="Tahoma"/>
          <w:color w:val="auto"/>
          <w:spacing w:val="10"/>
          <w:sz w:val="20"/>
          <w:szCs w:val="20"/>
          <w:lang w:eastAsia="zh-CN"/>
        </w:rPr>
        <w:t xml:space="preserve">5 </w:t>
      </w:r>
      <w:r>
        <w:rPr>
          <w:rFonts w:ascii="宋体" w:hAnsi="宋体" w:eastAsia="宋体" w:cs="宋体"/>
          <w:color w:val="auto"/>
          <w:spacing w:val="10"/>
          <w:sz w:val="20"/>
          <w:szCs w:val="20"/>
          <w:lang w:eastAsia="zh-CN"/>
        </w:rPr>
        <w:t>个工作日内，招</w:t>
      </w:r>
      <w:r>
        <w:rPr>
          <w:rFonts w:ascii="宋体" w:hAnsi="宋体" w:eastAsia="宋体" w:cs="宋体"/>
          <w:color w:val="auto"/>
          <w:spacing w:val="9"/>
          <w:sz w:val="20"/>
          <w:szCs w:val="20"/>
          <w:lang w:eastAsia="zh-CN"/>
        </w:rPr>
        <w:t>标代理机构将向未中标的投标人退还其投标保证金，具</w:t>
      </w:r>
      <w:r>
        <w:rPr>
          <w:rFonts w:ascii="宋体" w:hAnsi="宋体" w:eastAsia="宋体" w:cs="宋体"/>
          <w:color w:val="auto"/>
          <w:spacing w:val="5"/>
          <w:sz w:val="20"/>
          <w:szCs w:val="20"/>
          <w:lang w:eastAsia="zh-CN"/>
        </w:rPr>
        <w:t>体退款手续详见本须知第</w:t>
      </w:r>
      <w:r>
        <w:rPr>
          <w:rFonts w:ascii="宋体" w:hAnsi="宋体" w:eastAsia="宋体" w:cs="宋体"/>
          <w:color w:val="auto"/>
          <w:spacing w:val="-22"/>
          <w:sz w:val="20"/>
          <w:szCs w:val="20"/>
          <w:lang w:eastAsia="zh-CN"/>
        </w:rPr>
        <w:t xml:space="preserve"> </w:t>
      </w:r>
      <w:r>
        <w:rPr>
          <w:rFonts w:ascii="Tahoma" w:hAnsi="Tahoma" w:eastAsia="Tahoma" w:cs="Tahoma"/>
          <w:color w:val="auto"/>
          <w:spacing w:val="5"/>
          <w:sz w:val="20"/>
          <w:szCs w:val="20"/>
          <w:lang w:eastAsia="zh-CN"/>
        </w:rPr>
        <w:t xml:space="preserve">3.6.6 </w:t>
      </w:r>
      <w:r>
        <w:rPr>
          <w:rFonts w:ascii="宋体" w:hAnsi="宋体" w:eastAsia="宋体" w:cs="宋体"/>
          <w:color w:val="auto"/>
          <w:spacing w:val="5"/>
          <w:sz w:val="20"/>
          <w:szCs w:val="20"/>
          <w:lang w:eastAsia="zh-CN"/>
        </w:rPr>
        <w:t>条。</w:t>
      </w:r>
    </w:p>
    <w:p w14:paraId="66E14504">
      <w:pPr>
        <w:spacing w:before="92" w:line="271" w:lineRule="auto"/>
        <w:ind w:left="9" w:right="70"/>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7.2.5 </w:t>
      </w:r>
      <w:r>
        <w:rPr>
          <w:rFonts w:ascii="宋体" w:hAnsi="宋体" w:eastAsia="宋体" w:cs="宋体"/>
          <w:color w:val="auto"/>
          <w:spacing w:val="8"/>
          <w:sz w:val="20"/>
          <w:szCs w:val="20"/>
          <w:lang w:eastAsia="zh-CN"/>
        </w:rPr>
        <w:t>在合同签订后</w:t>
      </w:r>
      <w:r>
        <w:rPr>
          <w:rFonts w:ascii="宋体" w:hAnsi="宋体" w:eastAsia="宋体" w:cs="宋体"/>
          <w:color w:val="auto"/>
          <w:spacing w:val="-29"/>
          <w:sz w:val="20"/>
          <w:szCs w:val="20"/>
          <w:lang w:eastAsia="zh-CN"/>
        </w:rPr>
        <w:t xml:space="preserve"> </w:t>
      </w:r>
      <w:r>
        <w:rPr>
          <w:rFonts w:ascii="Tahoma" w:hAnsi="Tahoma" w:eastAsia="Tahoma" w:cs="Tahoma"/>
          <w:color w:val="auto"/>
          <w:spacing w:val="8"/>
          <w:sz w:val="20"/>
          <w:szCs w:val="20"/>
          <w:lang w:eastAsia="zh-CN"/>
        </w:rPr>
        <w:t xml:space="preserve">5 </w:t>
      </w:r>
      <w:r>
        <w:rPr>
          <w:rFonts w:ascii="宋体" w:hAnsi="宋体" w:eastAsia="宋体" w:cs="宋体"/>
          <w:color w:val="auto"/>
          <w:spacing w:val="8"/>
          <w:sz w:val="20"/>
          <w:szCs w:val="20"/>
          <w:lang w:eastAsia="zh-CN"/>
        </w:rPr>
        <w:t>个工作日内，招标代理机构将向未中标的投标人退还其投标保证金，条件是已交</w:t>
      </w:r>
      <w:r>
        <w:rPr>
          <w:rFonts w:ascii="宋体" w:hAnsi="宋体" w:eastAsia="宋体" w:cs="宋体"/>
          <w:color w:val="auto"/>
          <w:sz w:val="20"/>
          <w:szCs w:val="20"/>
          <w:lang w:eastAsia="zh-CN"/>
        </w:rPr>
        <w:t xml:space="preserve"> </w:t>
      </w:r>
      <w:r>
        <w:rPr>
          <w:rFonts w:ascii="宋体" w:hAnsi="宋体" w:eastAsia="宋体" w:cs="宋体"/>
          <w:color w:val="auto"/>
          <w:spacing w:val="7"/>
          <w:sz w:val="20"/>
          <w:szCs w:val="20"/>
          <w:lang w:eastAsia="zh-CN"/>
        </w:rPr>
        <w:t>纳的招标代理服务费，具体退款手续详见本须知第</w:t>
      </w:r>
      <w:r>
        <w:rPr>
          <w:rFonts w:ascii="宋体" w:hAnsi="宋体" w:eastAsia="宋体" w:cs="宋体"/>
          <w:color w:val="auto"/>
          <w:spacing w:val="-27"/>
          <w:sz w:val="20"/>
          <w:szCs w:val="20"/>
          <w:lang w:eastAsia="zh-CN"/>
        </w:rPr>
        <w:t xml:space="preserve"> </w:t>
      </w:r>
      <w:r>
        <w:rPr>
          <w:rFonts w:ascii="Tahoma" w:hAnsi="Tahoma" w:eastAsia="Tahoma" w:cs="Tahoma"/>
          <w:color w:val="auto"/>
          <w:spacing w:val="7"/>
          <w:sz w:val="20"/>
          <w:szCs w:val="20"/>
          <w:lang w:eastAsia="zh-CN"/>
        </w:rPr>
        <w:t xml:space="preserve">3.6.6 </w:t>
      </w:r>
      <w:r>
        <w:rPr>
          <w:rFonts w:ascii="宋体" w:hAnsi="宋体" w:eastAsia="宋体" w:cs="宋体"/>
          <w:color w:val="auto"/>
          <w:spacing w:val="7"/>
          <w:sz w:val="20"/>
          <w:szCs w:val="20"/>
          <w:lang w:eastAsia="zh-CN"/>
        </w:rPr>
        <w:t>条。</w:t>
      </w:r>
    </w:p>
    <w:p w14:paraId="1908BAF9">
      <w:pPr>
        <w:spacing w:before="95" w:line="230" w:lineRule="auto"/>
        <w:ind w:left="11"/>
        <w:rPr>
          <w:rFonts w:ascii="宋体" w:hAnsi="宋体" w:eastAsia="宋体" w:cs="宋体"/>
          <w:color w:val="auto"/>
          <w:sz w:val="20"/>
          <w:szCs w:val="20"/>
          <w:lang w:eastAsia="zh-CN"/>
        </w:rPr>
      </w:pPr>
      <w:r>
        <w:rPr>
          <w:rFonts w:ascii="Tahoma" w:hAnsi="Tahoma" w:eastAsia="Tahoma" w:cs="Tahoma"/>
          <w:b/>
          <w:bCs/>
          <w:color w:val="auto"/>
          <w:spacing w:val="5"/>
          <w:sz w:val="20"/>
          <w:szCs w:val="20"/>
          <w:lang w:eastAsia="zh-CN"/>
        </w:rPr>
        <w:t>7.3.</w:t>
      </w:r>
      <w:r>
        <w:rPr>
          <w:rFonts w:ascii="Tahoma" w:hAnsi="Tahoma" w:eastAsia="Tahoma" w:cs="Tahoma"/>
          <w:b/>
          <w:bCs/>
          <w:color w:val="auto"/>
          <w:spacing w:val="55"/>
          <w:sz w:val="20"/>
          <w:szCs w:val="20"/>
          <w:lang w:eastAsia="zh-CN"/>
        </w:rPr>
        <w:t xml:space="preserve"> </w:t>
      </w:r>
      <w:r>
        <w:rPr>
          <w:rFonts w:ascii="宋体" w:hAnsi="宋体" w:eastAsia="宋体" w:cs="宋体"/>
          <w:color w:val="auto"/>
          <w:spacing w:val="5"/>
          <w:sz w:val="20"/>
          <w:szCs w:val="20"/>
          <w:lang w:eastAsia="zh-CN"/>
          <w14:textOutline w14:w="3797" w14:cap="sq" w14:cmpd="sng" w14:algn="ctr">
            <w14:solidFill>
              <w14:srgbClr w14:val="000000"/>
            </w14:solidFill>
            <w14:prstDash w14:val="solid"/>
            <w14:bevel/>
          </w14:textOutline>
        </w:rPr>
        <w:t>签订合同</w:t>
      </w:r>
    </w:p>
    <w:p w14:paraId="767C0FF5">
      <w:pPr>
        <w:spacing w:before="86" w:line="302" w:lineRule="auto"/>
        <w:ind w:left="6" w:firstLine="3"/>
        <w:rPr>
          <w:rFonts w:ascii="宋体" w:hAnsi="宋体" w:eastAsia="宋体" w:cs="宋体"/>
          <w:color w:val="auto"/>
          <w:sz w:val="20"/>
          <w:szCs w:val="20"/>
          <w:lang w:eastAsia="zh-CN"/>
        </w:rPr>
      </w:pPr>
      <w:r>
        <w:rPr>
          <w:rFonts w:ascii="Tahoma" w:hAnsi="Tahoma" w:eastAsia="Tahoma" w:cs="Tahoma"/>
          <w:color w:val="auto"/>
          <w:spacing w:val="5"/>
          <w:sz w:val="20"/>
          <w:szCs w:val="20"/>
          <w:lang w:eastAsia="zh-CN"/>
        </w:rPr>
        <w:t xml:space="preserve">7.3.1 </w:t>
      </w:r>
      <w:r>
        <w:rPr>
          <w:rFonts w:ascii="宋体" w:hAnsi="宋体" w:eastAsia="宋体" w:cs="宋体"/>
          <w:color w:val="auto"/>
          <w:spacing w:val="5"/>
          <w:sz w:val="20"/>
          <w:szCs w:val="20"/>
          <w:lang w:eastAsia="zh-CN"/>
        </w:rPr>
        <w:t>采购人与成交</w:t>
      </w:r>
      <w:r>
        <w:rPr>
          <w:rFonts w:hint="eastAsia" w:ascii="宋体" w:hAnsi="宋体" w:eastAsia="宋体" w:cs="宋体"/>
          <w:color w:val="auto"/>
          <w:spacing w:val="5"/>
          <w:sz w:val="20"/>
          <w:szCs w:val="20"/>
          <w:lang w:eastAsia="zh-CN"/>
        </w:rPr>
        <w:t>服务商</w:t>
      </w:r>
      <w:r>
        <w:rPr>
          <w:rFonts w:ascii="宋体" w:hAnsi="宋体" w:eastAsia="宋体" w:cs="宋体"/>
          <w:color w:val="auto"/>
          <w:spacing w:val="5"/>
          <w:sz w:val="20"/>
          <w:szCs w:val="20"/>
          <w:lang w:eastAsia="zh-CN"/>
        </w:rPr>
        <w:t>应当在成交通知书发出之日起</w:t>
      </w:r>
      <w:r>
        <w:rPr>
          <w:rFonts w:ascii="宋体" w:hAnsi="宋体" w:eastAsia="宋体" w:cs="宋体"/>
          <w:color w:val="auto"/>
          <w:spacing w:val="-37"/>
          <w:sz w:val="20"/>
          <w:szCs w:val="20"/>
          <w:lang w:eastAsia="zh-CN"/>
        </w:rPr>
        <w:t xml:space="preserve"> </w:t>
      </w:r>
      <w:r>
        <w:rPr>
          <w:rFonts w:ascii="Tahoma" w:hAnsi="Tahoma" w:eastAsia="Tahoma" w:cs="Tahoma"/>
          <w:color w:val="auto"/>
          <w:spacing w:val="5"/>
          <w:sz w:val="20"/>
          <w:szCs w:val="20"/>
          <w:lang w:eastAsia="zh-CN"/>
        </w:rPr>
        <w:t>30</w:t>
      </w:r>
      <w:r>
        <w:rPr>
          <w:rFonts w:ascii="宋体" w:hAnsi="宋体" w:eastAsia="宋体" w:cs="宋体"/>
          <w:color w:val="auto"/>
          <w:spacing w:val="5"/>
          <w:sz w:val="20"/>
          <w:szCs w:val="20"/>
          <w:lang w:eastAsia="zh-CN"/>
        </w:rPr>
        <w:t>日内，按照招标文件确定的合同</w:t>
      </w:r>
      <w:r>
        <w:rPr>
          <w:rFonts w:ascii="宋体" w:hAnsi="宋体" w:eastAsia="宋体" w:cs="宋体"/>
          <w:color w:val="auto"/>
          <w:spacing w:val="4"/>
          <w:sz w:val="20"/>
          <w:szCs w:val="20"/>
          <w:lang w:eastAsia="zh-CN"/>
        </w:rPr>
        <w:t xml:space="preserve">文本以及采 </w:t>
      </w:r>
      <w:r>
        <w:rPr>
          <w:rFonts w:ascii="宋体" w:hAnsi="宋体" w:eastAsia="宋体" w:cs="宋体"/>
          <w:color w:val="auto"/>
          <w:spacing w:val="8"/>
          <w:sz w:val="20"/>
          <w:szCs w:val="20"/>
          <w:lang w:eastAsia="zh-CN"/>
        </w:rPr>
        <w:t>购标的、规格型号、采购金额、采购数量、</w:t>
      </w:r>
      <w:r>
        <w:rPr>
          <w:rFonts w:ascii="宋体" w:hAnsi="宋体" w:eastAsia="宋体" w:cs="宋体"/>
          <w:color w:val="auto"/>
          <w:spacing w:val="7"/>
          <w:sz w:val="20"/>
          <w:szCs w:val="20"/>
          <w:lang w:eastAsia="zh-CN"/>
        </w:rPr>
        <w:t xml:space="preserve">技术和服务要求等事项签订政府采购合同。采购人不得向成 </w:t>
      </w:r>
      <w:r>
        <w:rPr>
          <w:rFonts w:ascii="宋体" w:hAnsi="宋体" w:eastAsia="宋体" w:cs="宋体"/>
          <w:color w:val="auto"/>
          <w:spacing w:val="8"/>
          <w:sz w:val="20"/>
          <w:szCs w:val="20"/>
          <w:lang w:eastAsia="zh-CN"/>
        </w:rPr>
        <w:t>交</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提出超出招标文件以外的任何要求</w:t>
      </w:r>
      <w:r>
        <w:rPr>
          <w:rFonts w:ascii="宋体" w:hAnsi="宋体" w:eastAsia="宋体" w:cs="宋体"/>
          <w:color w:val="auto"/>
          <w:spacing w:val="7"/>
          <w:sz w:val="20"/>
          <w:szCs w:val="20"/>
          <w:lang w:eastAsia="zh-CN"/>
        </w:rPr>
        <w:t>作为签订合同的条件，不得与成交</w:t>
      </w: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 xml:space="preserve">订立背离招标文件 </w:t>
      </w:r>
      <w:r>
        <w:rPr>
          <w:rFonts w:ascii="宋体" w:hAnsi="宋体" w:eastAsia="宋体" w:cs="宋体"/>
          <w:color w:val="auto"/>
          <w:spacing w:val="5"/>
          <w:sz w:val="20"/>
          <w:szCs w:val="20"/>
          <w:lang w:eastAsia="zh-CN"/>
        </w:rPr>
        <w:t>确定的合同文本以及采购标的、规格型号、采购金额、采购数量、技术和服务要求等</w:t>
      </w:r>
      <w:r>
        <w:rPr>
          <w:rFonts w:ascii="宋体" w:hAnsi="宋体" w:eastAsia="宋体" w:cs="宋体"/>
          <w:color w:val="auto"/>
          <w:spacing w:val="4"/>
          <w:sz w:val="20"/>
          <w:szCs w:val="20"/>
          <w:lang w:eastAsia="zh-CN"/>
        </w:rPr>
        <w:t>实质性内容的协议。</w:t>
      </w:r>
      <w:r>
        <w:rPr>
          <w:rFonts w:ascii="宋体" w:hAnsi="宋体" w:eastAsia="宋体" w:cs="宋体"/>
          <w:color w:val="auto"/>
          <w:sz w:val="20"/>
          <w:szCs w:val="20"/>
          <w:lang w:eastAsia="zh-CN"/>
        </w:rPr>
        <w:t xml:space="preserve"> </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逾期未与采购人签订合同，将按照有</w:t>
      </w:r>
      <w:r>
        <w:rPr>
          <w:rFonts w:ascii="宋体" w:hAnsi="宋体" w:eastAsia="宋体" w:cs="宋体"/>
          <w:color w:val="auto"/>
          <w:spacing w:val="7"/>
          <w:sz w:val="20"/>
          <w:szCs w:val="20"/>
          <w:lang w:eastAsia="zh-CN"/>
        </w:rPr>
        <w:t xml:space="preserve">关法律规定承担相应的法律责任，并没收投标保证金，以抵 </w:t>
      </w:r>
      <w:r>
        <w:rPr>
          <w:rFonts w:ascii="宋体" w:hAnsi="宋体" w:eastAsia="宋体" w:cs="宋体"/>
          <w:color w:val="auto"/>
          <w:spacing w:val="8"/>
          <w:sz w:val="20"/>
          <w:szCs w:val="20"/>
          <w:lang w:eastAsia="zh-CN"/>
        </w:rPr>
        <w:t>偿对采购人造成的损失。采购方逾期不与成</w:t>
      </w:r>
      <w:r>
        <w:rPr>
          <w:rFonts w:ascii="宋体" w:hAnsi="宋体" w:eastAsia="宋体" w:cs="宋体"/>
          <w:color w:val="auto"/>
          <w:spacing w:val="7"/>
          <w:sz w:val="20"/>
          <w:szCs w:val="20"/>
          <w:lang w:eastAsia="zh-CN"/>
        </w:rPr>
        <w:t>交</w:t>
      </w: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 xml:space="preserve">签订合同的，按有关规定处理，并承担相应的法律 </w:t>
      </w:r>
      <w:r>
        <w:rPr>
          <w:rFonts w:ascii="宋体" w:hAnsi="宋体" w:eastAsia="宋体" w:cs="宋体"/>
          <w:color w:val="auto"/>
          <w:spacing w:val="3"/>
          <w:sz w:val="20"/>
          <w:szCs w:val="20"/>
          <w:lang w:eastAsia="zh-CN"/>
        </w:rPr>
        <w:t>责任。</w:t>
      </w:r>
    </w:p>
    <w:p w14:paraId="30407FF4">
      <w:pPr>
        <w:spacing w:before="87" w:line="279" w:lineRule="auto"/>
        <w:ind w:left="9" w:right="70"/>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7.3.2 </w:t>
      </w:r>
      <w:r>
        <w:rPr>
          <w:rFonts w:ascii="宋体" w:hAnsi="宋体" w:eastAsia="宋体" w:cs="宋体"/>
          <w:color w:val="auto"/>
          <w:spacing w:val="9"/>
          <w:sz w:val="20"/>
          <w:szCs w:val="20"/>
          <w:lang w:eastAsia="zh-CN"/>
        </w:rPr>
        <w:t>招标文件、招标文件的修改文件、成交</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的投标文件、补充或修改的文件及澄清或承诺文件</w:t>
      </w:r>
      <w:r>
        <w:rPr>
          <w:rFonts w:ascii="宋体" w:hAnsi="宋体" w:eastAsia="宋体" w:cs="宋体"/>
          <w:color w:val="auto"/>
          <w:spacing w:val="3"/>
          <w:sz w:val="20"/>
          <w:szCs w:val="20"/>
          <w:lang w:eastAsia="zh-CN"/>
        </w:rPr>
        <w:t xml:space="preserve"> </w:t>
      </w:r>
      <w:r>
        <w:rPr>
          <w:rFonts w:ascii="宋体" w:hAnsi="宋体" w:eastAsia="宋体" w:cs="宋体"/>
          <w:color w:val="auto"/>
          <w:spacing w:val="8"/>
          <w:sz w:val="20"/>
          <w:szCs w:val="20"/>
          <w:lang w:eastAsia="zh-CN"/>
        </w:rPr>
        <w:t>等，均为双方签订《合同》的组成部分，并与《合同》一并作为本招标</w:t>
      </w:r>
      <w:r>
        <w:rPr>
          <w:rFonts w:ascii="宋体" w:hAnsi="宋体" w:eastAsia="宋体" w:cs="宋体"/>
          <w:color w:val="auto"/>
          <w:spacing w:val="7"/>
          <w:sz w:val="20"/>
          <w:szCs w:val="20"/>
          <w:lang w:eastAsia="zh-CN"/>
        </w:rPr>
        <w:t>文件所列采购项目的互补性法律</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文件，与《合同》具有同等法律效力。</w:t>
      </w:r>
    </w:p>
    <w:p w14:paraId="23410155">
      <w:pPr>
        <w:spacing w:before="82" w:line="279" w:lineRule="auto"/>
        <w:ind w:left="8" w:right="68" w:firstLine="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7.3.3 </w:t>
      </w:r>
      <w:r>
        <w:rPr>
          <w:rFonts w:ascii="宋体" w:hAnsi="宋体" w:eastAsia="宋体" w:cs="宋体"/>
          <w:color w:val="auto"/>
          <w:spacing w:val="9"/>
          <w:sz w:val="20"/>
          <w:szCs w:val="20"/>
          <w:lang w:eastAsia="zh-CN"/>
        </w:rPr>
        <w:t>政府采购合同履行中，采购人需追加与合同标的相同的货物、工程或者服务的，在不改变合同其</w:t>
      </w:r>
      <w:r>
        <w:rPr>
          <w:rFonts w:ascii="宋体" w:hAnsi="宋体" w:eastAsia="宋体" w:cs="宋体"/>
          <w:color w:val="auto"/>
          <w:spacing w:val="5"/>
          <w:sz w:val="20"/>
          <w:szCs w:val="20"/>
          <w:lang w:eastAsia="zh-CN"/>
        </w:rPr>
        <w:t xml:space="preserve"> </w:t>
      </w:r>
      <w:r>
        <w:rPr>
          <w:rFonts w:ascii="宋体" w:hAnsi="宋体" w:eastAsia="宋体" w:cs="宋体"/>
          <w:color w:val="auto"/>
          <w:spacing w:val="8"/>
          <w:sz w:val="20"/>
          <w:szCs w:val="20"/>
          <w:lang w:eastAsia="zh-CN"/>
        </w:rPr>
        <w:t>他条款的前提下，可与</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协商签订补充合同，但所有补充合同的采购金</w:t>
      </w:r>
      <w:r>
        <w:rPr>
          <w:rFonts w:ascii="宋体" w:hAnsi="宋体" w:eastAsia="宋体" w:cs="宋体"/>
          <w:color w:val="auto"/>
          <w:spacing w:val="7"/>
          <w:sz w:val="20"/>
          <w:szCs w:val="20"/>
          <w:lang w:eastAsia="zh-CN"/>
        </w:rPr>
        <w:t>额不得超过原合同采购金额</w:t>
      </w:r>
      <w:r>
        <w:rPr>
          <w:rFonts w:ascii="宋体" w:hAnsi="宋体" w:eastAsia="宋体" w:cs="宋体"/>
          <w:color w:val="auto"/>
          <w:sz w:val="20"/>
          <w:szCs w:val="20"/>
          <w:lang w:eastAsia="zh-CN"/>
        </w:rPr>
        <w:t xml:space="preserve"> </w:t>
      </w:r>
      <w:r>
        <w:rPr>
          <w:rFonts w:ascii="宋体" w:hAnsi="宋体" w:eastAsia="宋体" w:cs="宋体"/>
          <w:color w:val="auto"/>
          <w:spacing w:val="6"/>
          <w:sz w:val="20"/>
          <w:szCs w:val="20"/>
          <w:lang w:eastAsia="zh-CN"/>
        </w:rPr>
        <w:t>的百分之十。</w:t>
      </w:r>
    </w:p>
    <w:p w14:paraId="3C1BF50E">
      <w:pPr>
        <w:spacing w:before="91" w:line="227" w:lineRule="auto"/>
        <w:ind w:left="10"/>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7.3.4 </w:t>
      </w:r>
      <w:r>
        <w:rPr>
          <w:rFonts w:ascii="宋体" w:hAnsi="宋体" w:eastAsia="宋体" w:cs="宋体"/>
          <w:color w:val="auto"/>
          <w:spacing w:val="9"/>
          <w:sz w:val="20"/>
          <w:szCs w:val="20"/>
          <w:lang w:eastAsia="zh-CN"/>
        </w:rPr>
        <w:t>成交</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因不可抗力或者自身原因不能履行合同的，招标人可以与排位在成交</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之后第一</w:t>
      </w:r>
    </w:p>
    <w:p w14:paraId="618FDB19">
      <w:pPr>
        <w:spacing w:before="95" w:line="227" w:lineRule="auto"/>
        <w:ind w:left="8"/>
        <w:rPr>
          <w:rFonts w:ascii="宋体" w:hAnsi="宋体" w:eastAsia="宋体" w:cs="宋体"/>
          <w:color w:val="auto"/>
          <w:spacing w:val="6"/>
          <w:sz w:val="20"/>
          <w:szCs w:val="20"/>
          <w:lang w:eastAsia="zh-CN"/>
        </w:rPr>
      </w:pPr>
      <w:r>
        <w:rPr>
          <w:rFonts w:ascii="宋体" w:hAnsi="宋体" w:eastAsia="宋体" w:cs="宋体"/>
          <w:color w:val="auto"/>
          <w:spacing w:val="6"/>
          <w:sz w:val="20"/>
          <w:szCs w:val="20"/>
          <w:lang w:eastAsia="zh-CN"/>
        </w:rPr>
        <w:t>位的成交候选</w:t>
      </w:r>
      <w:r>
        <w:rPr>
          <w:rFonts w:hint="eastAsia" w:ascii="宋体" w:hAnsi="宋体" w:eastAsia="宋体" w:cs="宋体"/>
          <w:color w:val="auto"/>
          <w:spacing w:val="6"/>
          <w:sz w:val="20"/>
          <w:szCs w:val="20"/>
          <w:lang w:eastAsia="zh-CN"/>
        </w:rPr>
        <w:t>服务商</w:t>
      </w:r>
      <w:r>
        <w:rPr>
          <w:rFonts w:ascii="宋体" w:hAnsi="宋体" w:eastAsia="宋体" w:cs="宋体"/>
          <w:color w:val="auto"/>
          <w:spacing w:val="6"/>
          <w:sz w:val="20"/>
          <w:szCs w:val="20"/>
          <w:lang w:eastAsia="zh-CN"/>
        </w:rPr>
        <w:t>签订合同，</w:t>
      </w:r>
      <w:r>
        <w:rPr>
          <w:rFonts w:ascii="宋体" w:hAnsi="宋体" w:eastAsia="宋体" w:cs="宋体"/>
          <w:color w:val="auto"/>
          <w:spacing w:val="-46"/>
          <w:sz w:val="20"/>
          <w:szCs w:val="20"/>
          <w:lang w:eastAsia="zh-CN"/>
        </w:rPr>
        <w:t xml:space="preserve"> </w:t>
      </w:r>
      <w:r>
        <w:rPr>
          <w:rFonts w:ascii="宋体" w:hAnsi="宋体" w:eastAsia="宋体" w:cs="宋体"/>
          <w:color w:val="auto"/>
          <w:spacing w:val="6"/>
          <w:sz w:val="20"/>
          <w:szCs w:val="20"/>
          <w:lang w:eastAsia="zh-CN"/>
        </w:rPr>
        <w:t>以此类推。</w:t>
      </w:r>
    </w:p>
    <w:p w14:paraId="2D2596F0">
      <w:pPr>
        <w:spacing w:before="95" w:line="227" w:lineRule="auto"/>
        <w:ind w:left="8"/>
        <w:rPr>
          <w:rFonts w:ascii="宋体" w:hAnsi="宋体" w:eastAsia="宋体" w:cs="宋体"/>
          <w:color w:val="auto"/>
          <w:spacing w:val="6"/>
          <w:sz w:val="20"/>
          <w:szCs w:val="20"/>
          <w:lang w:eastAsia="zh-CN"/>
        </w:rPr>
      </w:pPr>
    </w:p>
    <w:p w14:paraId="24F67DA4">
      <w:pPr>
        <w:spacing w:before="51" w:line="221" w:lineRule="auto"/>
        <w:ind w:left="3165"/>
        <w:rPr>
          <w:rFonts w:ascii="Tahoma" w:hAnsi="Tahoma" w:eastAsia="Tahoma" w:cs="Tahoma"/>
          <w:b/>
          <w:bCs/>
          <w:color w:val="auto"/>
          <w:sz w:val="24"/>
          <w:szCs w:val="24"/>
          <w:lang w:eastAsia="zh-CN"/>
        </w:rPr>
      </w:pPr>
    </w:p>
    <w:p w14:paraId="09A30058">
      <w:pPr>
        <w:spacing w:before="51" w:line="221" w:lineRule="auto"/>
        <w:ind w:left="3165"/>
        <w:rPr>
          <w:rFonts w:ascii="黑体" w:hAnsi="黑体" w:eastAsia="黑体" w:cs="黑体"/>
          <w:color w:val="auto"/>
          <w:sz w:val="24"/>
          <w:szCs w:val="24"/>
          <w:lang w:eastAsia="zh-CN"/>
        </w:rPr>
      </w:pPr>
      <w:r>
        <w:rPr>
          <w:rFonts w:ascii="Tahoma" w:hAnsi="Tahoma" w:eastAsia="Tahoma" w:cs="Tahoma"/>
          <w:b/>
          <w:bCs/>
          <w:color w:val="auto"/>
          <w:sz w:val="24"/>
          <w:szCs w:val="24"/>
          <w:lang w:eastAsia="zh-CN"/>
        </w:rPr>
        <w:t>8</w:t>
      </w:r>
      <w:r>
        <w:rPr>
          <w:rFonts w:ascii="宋体" w:hAnsi="宋体" w:eastAsia="宋体" w:cs="宋体"/>
          <w:color w:val="auto"/>
          <w:sz w:val="24"/>
          <w:szCs w:val="24"/>
          <w:lang w:eastAsia="zh-CN"/>
          <w14:textOutline w14:w="4356" w14:cap="sq" w14:cmpd="sng" w14:algn="ctr">
            <w14:solidFill>
              <w14:srgbClr w14:val="000000"/>
            </w14:solidFill>
            <w14:prstDash w14:val="solid"/>
            <w14:bevel/>
          </w14:textOutline>
        </w:rPr>
        <w:t>、</w:t>
      </w:r>
      <w:r>
        <w:rPr>
          <w:rFonts w:ascii="黑体" w:hAnsi="黑体" w:eastAsia="黑体" w:cs="黑体"/>
          <w:color w:val="auto"/>
          <w:sz w:val="24"/>
          <w:szCs w:val="24"/>
          <w:lang w:eastAsia="zh-CN"/>
          <w14:textOutline w14:w="4356" w14:cap="sq" w14:cmpd="sng" w14:algn="ctr">
            <w14:solidFill>
              <w14:srgbClr w14:val="000000"/>
            </w14:solidFill>
            <w14:prstDash w14:val="solid"/>
            <w14:bevel/>
          </w14:textOutline>
        </w:rPr>
        <w:t>重新招标和其他方式采购</w:t>
      </w:r>
    </w:p>
    <w:p w14:paraId="192A4CAC">
      <w:pPr>
        <w:spacing w:before="60" w:line="228" w:lineRule="auto"/>
        <w:ind w:left="6"/>
        <w:rPr>
          <w:rFonts w:ascii="宋体" w:hAnsi="宋体" w:eastAsia="宋体" w:cs="宋体"/>
          <w:color w:val="auto"/>
          <w:sz w:val="20"/>
          <w:szCs w:val="20"/>
          <w:lang w:eastAsia="zh-CN"/>
        </w:rPr>
      </w:pPr>
      <w:r>
        <w:rPr>
          <w:rFonts w:ascii="Tahoma" w:hAnsi="Tahoma" w:eastAsia="Tahoma" w:cs="Tahoma"/>
          <w:b/>
          <w:bCs/>
          <w:color w:val="auto"/>
          <w:spacing w:val="5"/>
          <w:sz w:val="20"/>
          <w:szCs w:val="20"/>
          <w:lang w:eastAsia="zh-CN"/>
        </w:rPr>
        <w:t xml:space="preserve">8.1 </w:t>
      </w:r>
      <w:r>
        <w:rPr>
          <w:rFonts w:ascii="宋体" w:hAnsi="宋体" w:eastAsia="宋体" w:cs="宋体"/>
          <w:color w:val="auto"/>
          <w:spacing w:val="5"/>
          <w:sz w:val="20"/>
          <w:szCs w:val="20"/>
          <w:lang w:eastAsia="zh-CN"/>
          <w14:textOutline w14:w="3797" w14:cap="sq" w14:cmpd="sng" w14:algn="ctr">
            <w14:solidFill>
              <w14:srgbClr w14:val="000000"/>
            </w14:solidFill>
            <w14:prstDash w14:val="solid"/>
            <w14:bevel/>
          </w14:textOutline>
        </w:rPr>
        <w:t>重新招标</w:t>
      </w:r>
    </w:p>
    <w:p w14:paraId="7E5A2100">
      <w:pPr>
        <w:spacing w:before="71" w:line="227" w:lineRule="auto"/>
        <w:ind w:left="7"/>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8.1.1 </w:t>
      </w:r>
      <w:r>
        <w:rPr>
          <w:rFonts w:ascii="宋体" w:hAnsi="宋体" w:eastAsia="宋体" w:cs="宋体"/>
          <w:color w:val="auto"/>
          <w:spacing w:val="8"/>
          <w:sz w:val="20"/>
          <w:szCs w:val="20"/>
          <w:lang w:eastAsia="zh-CN"/>
        </w:rPr>
        <w:t>在招标采购中，出现下列情形之一的，应当在废标后重新招</w:t>
      </w:r>
      <w:r>
        <w:rPr>
          <w:rFonts w:ascii="宋体" w:hAnsi="宋体" w:eastAsia="宋体" w:cs="宋体"/>
          <w:color w:val="auto"/>
          <w:spacing w:val="7"/>
          <w:sz w:val="20"/>
          <w:szCs w:val="20"/>
          <w:lang w:eastAsia="zh-CN"/>
        </w:rPr>
        <w:t>标：</w:t>
      </w:r>
    </w:p>
    <w:p w14:paraId="23249852">
      <w:pPr>
        <w:spacing w:before="76" w:line="319" w:lineRule="exact"/>
        <w:ind w:left="227"/>
        <w:rPr>
          <w:rFonts w:ascii="宋体" w:hAnsi="宋体" w:eastAsia="宋体" w:cs="宋体"/>
          <w:color w:val="auto"/>
          <w:sz w:val="20"/>
          <w:szCs w:val="20"/>
          <w:lang w:eastAsia="zh-CN"/>
        </w:rPr>
      </w:pPr>
      <w:r>
        <w:rPr>
          <w:rFonts w:ascii="宋体" w:hAnsi="宋体" w:eastAsia="宋体" w:cs="宋体"/>
          <w:color w:val="auto"/>
          <w:spacing w:val="9"/>
          <w:position w:val="8"/>
          <w:sz w:val="20"/>
          <w:szCs w:val="20"/>
          <w:lang w:eastAsia="zh-CN"/>
        </w:rPr>
        <w:t>（</w:t>
      </w:r>
      <w:r>
        <w:rPr>
          <w:rFonts w:ascii="Tahoma" w:hAnsi="Tahoma" w:eastAsia="Tahoma" w:cs="Tahoma"/>
          <w:color w:val="auto"/>
          <w:spacing w:val="9"/>
          <w:position w:val="8"/>
          <w:sz w:val="20"/>
          <w:szCs w:val="20"/>
          <w:lang w:eastAsia="zh-CN"/>
        </w:rPr>
        <w:t>1</w:t>
      </w:r>
      <w:r>
        <w:rPr>
          <w:rFonts w:ascii="宋体" w:hAnsi="宋体" w:eastAsia="宋体" w:cs="宋体"/>
          <w:color w:val="auto"/>
          <w:spacing w:val="9"/>
          <w:position w:val="8"/>
          <w:sz w:val="20"/>
          <w:szCs w:val="20"/>
          <w:lang w:eastAsia="zh-CN"/>
        </w:rPr>
        <w:t>）符合专业条件的</w:t>
      </w:r>
      <w:r>
        <w:rPr>
          <w:rFonts w:hint="eastAsia" w:ascii="宋体" w:hAnsi="宋体" w:eastAsia="宋体" w:cs="宋体"/>
          <w:color w:val="auto"/>
          <w:spacing w:val="9"/>
          <w:position w:val="8"/>
          <w:sz w:val="20"/>
          <w:szCs w:val="20"/>
          <w:lang w:eastAsia="zh-CN"/>
        </w:rPr>
        <w:t>服务商</w:t>
      </w:r>
      <w:r>
        <w:rPr>
          <w:rFonts w:ascii="宋体" w:hAnsi="宋体" w:eastAsia="宋体" w:cs="宋体"/>
          <w:color w:val="auto"/>
          <w:spacing w:val="9"/>
          <w:position w:val="8"/>
          <w:sz w:val="20"/>
          <w:szCs w:val="20"/>
          <w:lang w:eastAsia="zh-CN"/>
        </w:rPr>
        <w:t>或者对招标文件作实质响应的</w:t>
      </w:r>
      <w:r>
        <w:rPr>
          <w:rFonts w:hint="eastAsia" w:ascii="宋体" w:hAnsi="宋体" w:eastAsia="宋体" w:cs="宋体"/>
          <w:color w:val="auto"/>
          <w:spacing w:val="9"/>
          <w:position w:val="8"/>
          <w:sz w:val="20"/>
          <w:szCs w:val="20"/>
          <w:lang w:eastAsia="zh-CN"/>
        </w:rPr>
        <w:t>服务商</w:t>
      </w:r>
      <w:r>
        <w:rPr>
          <w:rFonts w:ascii="宋体" w:hAnsi="宋体" w:eastAsia="宋体" w:cs="宋体"/>
          <w:color w:val="auto"/>
          <w:spacing w:val="9"/>
          <w:position w:val="8"/>
          <w:sz w:val="20"/>
          <w:szCs w:val="20"/>
          <w:lang w:eastAsia="zh-CN"/>
        </w:rPr>
        <w:t>不足三家</w:t>
      </w:r>
      <w:r>
        <w:rPr>
          <w:rFonts w:ascii="宋体" w:hAnsi="宋体" w:eastAsia="宋体" w:cs="宋体"/>
          <w:color w:val="auto"/>
          <w:spacing w:val="8"/>
          <w:position w:val="8"/>
          <w:sz w:val="20"/>
          <w:szCs w:val="20"/>
          <w:lang w:eastAsia="zh-CN"/>
        </w:rPr>
        <w:t>的；</w:t>
      </w:r>
    </w:p>
    <w:p w14:paraId="6DACB056">
      <w:pPr>
        <w:spacing w:before="1" w:line="226"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2</w:t>
      </w:r>
      <w:r>
        <w:rPr>
          <w:rFonts w:ascii="宋体" w:hAnsi="宋体" w:eastAsia="宋体" w:cs="宋体"/>
          <w:color w:val="auto"/>
          <w:spacing w:val="8"/>
          <w:sz w:val="20"/>
          <w:szCs w:val="20"/>
          <w:lang w:eastAsia="zh-CN"/>
        </w:rPr>
        <w:t>）出现影响采购公正的违法、违规行为的；</w:t>
      </w:r>
    </w:p>
    <w:p w14:paraId="61EABA80">
      <w:pPr>
        <w:spacing w:before="74" w:line="321" w:lineRule="exact"/>
        <w:ind w:left="227"/>
        <w:rPr>
          <w:rFonts w:ascii="宋体" w:hAnsi="宋体" w:eastAsia="宋体" w:cs="宋体"/>
          <w:color w:val="auto"/>
          <w:sz w:val="20"/>
          <w:szCs w:val="20"/>
          <w:lang w:eastAsia="zh-CN"/>
        </w:rPr>
      </w:pPr>
      <w:r>
        <w:rPr>
          <w:rFonts w:ascii="宋体" w:hAnsi="宋体" w:eastAsia="宋体" w:cs="宋体"/>
          <w:color w:val="auto"/>
          <w:spacing w:val="8"/>
          <w:position w:val="8"/>
          <w:sz w:val="20"/>
          <w:szCs w:val="20"/>
          <w:lang w:eastAsia="zh-CN"/>
        </w:rPr>
        <w:t>（</w:t>
      </w:r>
      <w:r>
        <w:rPr>
          <w:rFonts w:ascii="Tahoma" w:hAnsi="Tahoma" w:eastAsia="Tahoma" w:cs="Tahoma"/>
          <w:color w:val="auto"/>
          <w:spacing w:val="8"/>
          <w:position w:val="8"/>
          <w:sz w:val="20"/>
          <w:szCs w:val="20"/>
          <w:lang w:eastAsia="zh-CN"/>
        </w:rPr>
        <w:t>3</w:t>
      </w:r>
      <w:r>
        <w:rPr>
          <w:rFonts w:ascii="宋体" w:hAnsi="宋体" w:eastAsia="宋体" w:cs="宋体"/>
          <w:color w:val="auto"/>
          <w:spacing w:val="8"/>
          <w:position w:val="8"/>
          <w:sz w:val="20"/>
          <w:szCs w:val="20"/>
          <w:lang w:eastAsia="zh-CN"/>
        </w:rPr>
        <w:t>）投标人的报价均超过了采购预算，采购人不能支付的；</w:t>
      </w:r>
    </w:p>
    <w:p w14:paraId="4AD9F68D">
      <w:pPr>
        <w:spacing w:before="1" w:line="226" w:lineRule="auto"/>
        <w:ind w:left="227"/>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w:t>
      </w:r>
      <w:r>
        <w:rPr>
          <w:rFonts w:ascii="Tahoma" w:hAnsi="Tahoma" w:eastAsia="Tahoma" w:cs="Tahoma"/>
          <w:color w:val="auto"/>
          <w:spacing w:val="7"/>
          <w:sz w:val="20"/>
          <w:szCs w:val="20"/>
          <w:lang w:eastAsia="zh-CN"/>
        </w:rPr>
        <w:t>4</w:t>
      </w:r>
      <w:r>
        <w:rPr>
          <w:rFonts w:ascii="宋体" w:hAnsi="宋体" w:eastAsia="宋体" w:cs="宋体"/>
          <w:color w:val="auto"/>
          <w:spacing w:val="7"/>
          <w:sz w:val="20"/>
          <w:szCs w:val="20"/>
          <w:lang w:eastAsia="zh-CN"/>
        </w:rPr>
        <w:t>）因重大变故，采购任务取消的。</w:t>
      </w:r>
    </w:p>
    <w:p w14:paraId="13079DBD">
      <w:pPr>
        <w:spacing w:before="73" w:line="261" w:lineRule="auto"/>
        <w:ind w:left="11" w:right="71" w:hanging="4"/>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8.1.2 </w:t>
      </w:r>
      <w:r>
        <w:rPr>
          <w:rFonts w:ascii="宋体" w:hAnsi="宋体" w:eastAsia="宋体" w:cs="宋体"/>
          <w:color w:val="auto"/>
          <w:spacing w:val="9"/>
          <w:sz w:val="20"/>
          <w:szCs w:val="20"/>
          <w:lang w:eastAsia="zh-CN"/>
        </w:rPr>
        <w:t>如果排名第一的中标候选人因不可抗力或自身原因放弃中标结果，本次招标宣布失败。招标人应依法按规定重新组织招标</w:t>
      </w:r>
      <w:r>
        <w:rPr>
          <w:rFonts w:hint="eastAsia" w:ascii="宋体" w:hAnsi="宋体" w:eastAsia="宋体" w:cs="宋体"/>
          <w:color w:val="auto"/>
          <w:spacing w:val="9"/>
          <w:sz w:val="20"/>
          <w:szCs w:val="20"/>
          <w:lang w:val="en-US" w:eastAsia="zh-CN"/>
        </w:rPr>
        <w:t>或以此顺延至排名</w:t>
      </w:r>
      <w:r>
        <w:rPr>
          <w:rFonts w:ascii="宋体" w:hAnsi="宋体" w:eastAsia="宋体" w:cs="宋体"/>
          <w:color w:val="auto"/>
          <w:spacing w:val="9"/>
          <w:sz w:val="20"/>
          <w:szCs w:val="20"/>
          <w:lang w:eastAsia="zh-CN"/>
        </w:rPr>
        <w:t>二</w:t>
      </w:r>
      <w:r>
        <w:rPr>
          <w:rFonts w:hint="eastAsia" w:ascii="宋体" w:hAnsi="宋体" w:eastAsia="宋体" w:cs="宋体"/>
          <w:color w:val="auto"/>
          <w:spacing w:val="9"/>
          <w:sz w:val="20"/>
          <w:szCs w:val="20"/>
          <w:lang w:eastAsia="zh-CN"/>
        </w:rPr>
        <w:t>、</w:t>
      </w:r>
      <w:r>
        <w:rPr>
          <w:rFonts w:ascii="宋体" w:hAnsi="宋体" w:eastAsia="宋体" w:cs="宋体"/>
          <w:color w:val="auto"/>
          <w:spacing w:val="9"/>
          <w:sz w:val="20"/>
          <w:szCs w:val="20"/>
          <w:lang w:eastAsia="zh-CN"/>
        </w:rPr>
        <w:t>直至排名第三的中标候选人。</w:t>
      </w:r>
    </w:p>
    <w:p w14:paraId="263868CA">
      <w:pPr>
        <w:spacing w:before="76" w:line="227" w:lineRule="auto"/>
        <w:ind w:left="6"/>
        <w:rPr>
          <w:rFonts w:ascii="宋体" w:hAnsi="宋体" w:eastAsia="宋体" w:cs="宋体"/>
          <w:color w:val="auto"/>
          <w:sz w:val="20"/>
          <w:szCs w:val="20"/>
          <w:lang w:eastAsia="zh-CN"/>
        </w:rPr>
      </w:pPr>
      <w:r>
        <w:rPr>
          <w:rFonts w:ascii="Tahoma" w:hAnsi="Tahoma" w:eastAsia="Tahoma" w:cs="Tahoma"/>
          <w:b/>
          <w:bCs/>
          <w:color w:val="auto"/>
          <w:spacing w:val="6"/>
          <w:sz w:val="20"/>
          <w:szCs w:val="20"/>
          <w:lang w:eastAsia="zh-CN"/>
        </w:rPr>
        <w:t xml:space="preserve">8.2 </w:t>
      </w:r>
      <w:r>
        <w:rPr>
          <w:rFonts w:ascii="宋体" w:hAnsi="宋体" w:eastAsia="宋体" w:cs="宋体"/>
          <w:color w:val="auto"/>
          <w:spacing w:val="6"/>
          <w:sz w:val="20"/>
          <w:szCs w:val="20"/>
          <w:lang w:eastAsia="zh-CN"/>
          <w14:textOutline w14:w="3797" w14:cap="sq" w14:cmpd="sng" w14:algn="ctr">
            <w14:solidFill>
              <w14:srgbClr w14:val="000000"/>
            </w14:solidFill>
            <w14:prstDash w14:val="solid"/>
            <w14:bevel/>
          </w14:textOutline>
        </w:rPr>
        <w:t>其他方式采购</w:t>
      </w:r>
    </w:p>
    <w:p w14:paraId="6FC341A8">
      <w:pPr>
        <w:spacing w:before="73" w:line="227" w:lineRule="auto"/>
        <w:ind w:left="7"/>
        <w:rPr>
          <w:color w:val="auto"/>
          <w:lang w:eastAsia="zh-CN"/>
        </w:rPr>
      </w:pPr>
      <w:r>
        <w:rPr>
          <w:rFonts w:ascii="Tahoma" w:hAnsi="Tahoma" w:eastAsia="Tahoma" w:cs="Tahoma"/>
          <w:color w:val="auto"/>
          <w:spacing w:val="8"/>
          <w:sz w:val="20"/>
          <w:szCs w:val="20"/>
          <w:lang w:eastAsia="zh-CN"/>
        </w:rPr>
        <w:t xml:space="preserve">8.2.1 </w:t>
      </w:r>
      <w:r>
        <w:rPr>
          <w:rFonts w:ascii="宋体" w:hAnsi="宋体" w:eastAsia="宋体" w:cs="宋体"/>
          <w:color w:val="auto"/>
          <w:spacing w:val="8"/>
          <w:sz w:val="20"/>
          <w:szCs w:val="20"/>
          <w:lang w:eastAsia="zh-CN"/>
        </w:rPr>
        <w:t>需要采取其他方式采购的，采购人应当依法报财政部门</w:t>
      </w:r>
      <w:r>
        <w:rPr>
          <w:rFonts w:ascii="宋体" w:hAnsi="宋体" w:eastAsia="宋体" w:cs="宋体"/>
          <w:color w:val="auto"/>
          <w:spacing w:val="7"/>
          <w:sz w:val="20"/>
          <w:szCs w:val="20"/>
          <w:lang w:eastAsia="zh-CN"/>
        </w:rPr>
        <w:t>批准。</w:t>
      </w:r>
    </w:p>
    <w:p w14:paraId="3FEF0077">
      <w:pPr>
        <w:spacing w:before="78" w:line="221" w:lineRule="auto"/>
        <w:ind w:left="3888"/>
        <w:rPr>
          <w:rFonts w:ascii="Tahoma" w:hAnsi="Tahoma" w:eastAsia="Tahoma" w:cs="Tahoma"/>
          <w:b/>
          <w:bCs/>
          <w:color w:val="auto"/>
          <w:spacing w:val="-1"/>
          <w:sz w:val="24"/>
          <w:szCs w:val="24"/>
          <w:lang w:eastAsia="zh-CN"/>
        </w:rPr>
      </w:pPr>
    </w:p>
    <w:p w14:paraId="0DC84068">
      <w:pPr>
        <w:spacing w:before="78" w:line="221" w:lineRule="auto"/>
        <w:ind w:left="3888"/>
        <w:rPr>
          <w:rFonts w:ascii="黑体" w:hAnsi="黑体" w:eastAsia="黑体" w:cs="黑体"/>
          <w:color w:val="auto"/>
          <w:sz w:val="24"/>
          <w:szCs w:val="24"/>
          <w:lang w:eastAsia="zh-CN"/>
        </w:rPr>
      </w:pPr>
      <w:r>
        <w:rPr>
          <w:rFonts w:ascii="Tahoma" w:hAnsi="Tahoma" w:eastAsia="Tahoma" w:cs="Tahoma"/>
          <w:b/>
          <w:bCs/>
          <w:color w:val="auto"/>
          <w:spacing w:val="-1"/>
          <w:sz w:val="24"/>
          <w:szCs w:val="24"/>
          <w:lang w:eastAsia="zh-CN"/>
        </w:rPr>
        <w:t>9</w:t>
      </w:r>
      <w:r>
        <w:rPr>
          <w:rFonts w:ascii="宋体" w:hAnsi="宋体" w:eastAsia="宋体" w:cs="宋体"/>
          <w:color w:val="auto"/>
          <w:spacing w:val="-1"/>
          <w:sz w:val="24"/>
          <w:szCs w:val="24"/>
          <w:lang w:eastAsia="zh-CN"/>
          <w14:textOutline w14:w="4356" w14:cap="sq" w14:cmpd="sng" w14:algn="ctr">
            <w14:solidFill>
              <w14:srgbClr w14:val="000000"/>
            </w14:solidFill>
            <w14:prstDash w14:val="solid"/>
            <w14:bevel/>
          </w14:textOutline>
        </w:rPr>
        <w:t>、</w:t>
      </w:r>
      <w:r>
        <w:rPr>
          <w:rFonts w:ascii="黑体" w:hAnsi="黑体" w:eastAsia="黑体" w:cs="黑体"/>
          <w:color w:val="auto"/>
          <w:spacing w:val="-1"/>
          <w:sz w:val="24"/>
          <w:szCs w:val="24"/>
          <w:lang w:eastAsia="zh-CN"/>
          <w14:textOutline w14:w="4356" w14:cap="sq" w14:cmpd="sng" w14:algn="ctr">
            <w14:solidFill>
              <w14:srgbClr w14:val="000000"/>
            </w14:solidFill>
            <w14:prstDash w14:val="solid"/>
            <w14:bevel/>
          </w14:textOutline>
        </w:rPr>
        <w:t>纪律和监督</w:t>
      </w:r>
    </w:p>
    <w:p w14:paraId="1A4892DE">
      <w:pPr>
        <w:spacing w:before="58" w:line="228" w:lineRule="auto"/>
        <w:ind w:left="6"/>
        <w:rPr>
          <w:rFonts w:ascii="新宋体" w:hAnsi="新宋体" w:eastAsia="新宋体" w:cs="新宋体"/>
          <w:color w:val="auto"/>
          <w:sz w:val="20"/>
          <w:szCs w:val="20"/>
          <w:lang w:eastAsia="zh-CN"/>
        </w:rPr>
      </w:pPr>
      <w:r>
        <w:rPr>
          <w:rFonts w:ascii="Tahoma" w:hAnsi="Tahoma" w:eastAsia="Tahoma" w:cs="Tahoma"/>
          <w:b/>
          <w:bCs/>
          <w:color w:val="auto"/>
          <w:spacing w:val="8"/>
          <w:sz w:val="20"/>
          <w:szCs w:val="20"/>
          <w:lang w:eastAsia="zh-CN"/>
        </w:rPr>
        <w:t>9.1</w:t>
      </w:r>
      <w:r>
        <w:rPr>
          <w:rFonts w:ascii="Tahoma" w:hAnsi="Tahoma" w:eastAsia="Tahoma" w:cs="Tahoma"/>
          <w:b/>
          <w:bCs/>
          <w:color w:val="auto"/>
          <w:spacing w:val="53"/>
          <w:sz w:val="20"/>
          <w:szCs w:val="20"/>
          <w:lang w:eastAsia="zh-CN"/>
        </w:rPr>
        <w:t xml:space="preserve"> </w:t>
      </w:r>
      <w:r>
        <w:rPr>
          <w:rFonts w:ascii="新宋体" w:hAnsi="新宋体" w:eastAsia="新宋体" w:cs="新宋体"/>
          <w:color w:val="auto"/>
          <w:spacing w:val="8"/>
          <w:sz w:val="20"/>
          <w:szCs w:val="20"/>
          <w:lang w:eastAsia="zh-CN"/>
          <w14:textOutline w14:w="3797" w14:cap="sq" w14:cmpd="sng" w14:algn="ctr">
            <w14:solidFill>
              <w14:srgbClr w14:val="000000"/>
            </w14:solidFill>
            <w14:prstDash w14:val="solid"/>
            <w14:bevel/>
          </w14:textOutline>
        </w:rPr>
        <w:t>对招标人的纪律要求</w:t>
      </w:r>
    </w:p>
    <w:p w14:paraId="636D4632">
      <w:pPr>
        <w:spacing w:before="72" w:line="261" w:lineRule="auto"/>
        <w:ind w:left="7" w:right="2" w:firstLine="421"/>
        <w:rPr>
          <w:rFonts w:ascii="新宋体" w:hAnsi="新宋体" w:eastAsia="新宋体" w:cs="新宋体"/>
          <w:color w:val="auto"/>
          <w:sz w:val="20"/>
          <w:szCs w:val="20"/>
          <w:lang w:eastAsia="zh-CN"/>
        </w:rPr>
      </w:pPr>
      <w:r>
        <w:rPr>
          <w:rFonts w:ascii="新宋体" w:hAnsi="新宋体" w:eastAsia="新宋体" w:cs="新宋体"/>
          <w:color w:val="auto"/>
          <w:spacing w:val="8"/>
          <w:sz w:val="20"/>
          <w:szCs w:val="20"/>
          <w:lang w:eastAsia="zh-CN"/>
        </w:rPr>
        <w:t>招标人不得泄露招标投标活动中应当保密的情况和资料，不</w:t>
      </w:r>
      <w:r>
        <w:rPr>
          <w:rFonts w:ascii="新宋体" w:hAnsi="新宋体" w:eastAsia="新宋体" w:cs="新宋体"/>
          <w:color w:val="auto"/>
          <w:spacing w:val="7"/>
          <w:sz w:val="20"/>
          <w:szCs w:val="20"/>
          <w:lang w:eastAsia="zh-CN"/>
        </w:rPr>
        <w:t>得与投标人串通损害国家利益、社会公</w:t>
      </w:r>
      <w:r>
        <w:rPr>
          <w:rFonts w:ascii="新宋体" w:hAnsi="新宋体" w:eastAsia="新宋体" w:cs="新宋体"/>
          <w:color w:val="auto"/>
          <w:sz w:val="20"/>
          <w:szCs w:val="20"/>
          <w:lang w:eastAsia="zh-CN"/>
        </w:rPr>
        <w:t xml:space="preserve"> </w:t>
      </w:r>
      <w:r>
        <w:rPr>
          <w:rFonts w:ascii="新宋体" w:hAnsi="新宋体" w:eastAsia="新宋体" w:cs="新宋体"/>
          <w:color w:val="auto"/>
          <w:spacing w:val="9"/>
          <w:sz w:val="20"/>
          <w:szCs w:val="20"/>
          <w:lang w:eastAsia="zh-CN"/>
        </w:rPr>
        <w:t>共利益或者他人合法利益。招标人不得有下列行为之一：</w:t>
      </w:r>
    </w:p>
    <w:p w14:paraId="68E42CEC">
      <w:pPr>
        <w:spacing w:before="75" w:line="228" w:lineRule="auto"/>
        <w:ind w:left="227"/>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w:t>
      </w:r>
      <w:r>
        <w:rPr>
          <w:rFonts w:ascii="Tahoma" w:hAnsi="Tahoma" w:eastAsia="Tahoma" w:cs="Tahoma"/>
          <w:color w:val="auto"/>
          <w:spacing w:val="7"/>
          <w:sz w:val="20"/>
          <w:szCs w:val="20"/>
          <w:lang w:eastAsia="zh-CN"/>
        </w:rPr>
        <w:t>1</w:t>
      </w:r>
      <w:r>
        <w:rPr>
          <w:rFonts w:ascii="宋体" w:hAnsi="宋体" w:eastAsia="宋体" w:cs="宋体"/>
          <w:color w:val="auto"/>
          <w:spacing w:val="7"/>
          <w:sz w:val="20"/>
          <w:szCs w:val="20"/>
          <w:lang w:eastAsia="zh-CN"/>
        </w:rPr>
        <w:t>）与投标人恶意串通的；</w:t>
      </w:r>
    </w:p>
    <w:p w14:paraId="7A45C4F4">
      <w:pPr>
        <w:spacing w:before="71" w:line="320" w:lineRule="exact"/>
        <w:ind w:left="227"/>
        <w:rPr>
          <w:rFonts w:ascii="宋体" w:hAnsi="宋体" w:eastAsia="宋体" w:cs="宋体"/>
          <w:color w:val="auto"/>
          <w:sz w:val="20"/>
          <w:szCs w:val="20"/>
          <w:lang w:eastAsia="zh-CN"/>
        </w:rPr>
      </w:pPr>
      <w:r>
        <w:rPr>
          <w:rFonts w:ascii="宋体" w:hAnsi="宋体" w:eastAsia="宋体" w:cs="宋体"/>
          <w:color w:val="auto"/>
          <w:spacing w:val="8"/>
          <w:position w:val="8"/>
          <w:sz w:val="20"/>
          <w:szCs w:val="20"/>
          <w:lang w:eastAsia="zh-CN"/>
        </w:rPr>
        <w:t>（</w:t>
      </w:r>
      <w:r>
        <w:rPr>
          <w:rFonts w:ascii="Tahoma" w:hAnsi="Tahoma" w:eastAsia="Tahoma" w:cs="Tahoma"/>
          <w:color w:val="auto"/>
          <w:spacing w:val="8"/>
          <w:position w:val="8"/>
          <w:sz w:val="20"/>
          <w:szCs w:val="20"/>
          <w:lang w:eastAsia="zh-CN"/>
        </w:rPr>
        <w:t>2</w:t>
      </w:r>
      <w:r>
        <w:rPr>
          <w:rFonts w:ascii="宋体" w:hAnsi="宋体" w:eastAsia="宋体" w:cs="宋体"/>
          <w:color w:val="auto"/>
          <w:spacing w:val="8"/>
          <w:position w:val="8"/>
          <w:sz w:val="20"/>
          <w:szCs w:val="20"/>
          <w:lang w:eastAsia="zh-CN"/>
        </w:rPr>
        <w:t>）在采购过程中接受贿赂或者获取其他不正当利益的；</w:t>
      </w:r>
    </w:p>
    <w:p w14:paraId="5526871F">
      <w:pPr>
        <w:spacing w:line="226"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3</w:t>
      </w:r>
      <w:r>
        <w:rPr>
          <w:rFonts w:ascii="宋体" w:hAnsi="宋体" w:eastAsia="宋体" w:cs="宋体"/>
          <w:color w:val="auto"/>
          <w:spacing w:val="8"/>
          <w:sz w:val="20"/>
          <w:szCs w:val="20"/>
          <w:lang w:eastAsia="zh-CN"/>
        </w:rPr>
        <w:t>）在有关部门依法实施的监督检查中提供虚假情况的；</w:t>
      </w:r>
    </w:p>
    <w:p w14:paraId="3D772BB8">
      <w:pPr>
        <w:spacing w:before="77" w:line="261" w:lineRule="auto"/>
        <w:ind w:left="11" w:right="9" w:firstLine="215"/>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4</w:t>
      </w:r>
      <w:r>
        <w:rPr>
          <w:rFonts w:ascii="宋体" w:hAnsi="宋体" w:eastAsia="宋体" w:cs="宋体"/>
          <w:color w:val="auto"/>
          <w:spacing w:val="9"/>
          <w:sz w:val="20"/>
          <w:szCs w:val="20"/>
          <w:lang w:eastAsia="zh-CN"/>
        </w:rPr>
        <w:t>）开标前泄露已获取招标文件的潜在投标人的名称、数量、标底或者其他可能影响公平竞争的有</w:t>
      </w:r>
      <w:r>
        <w:rPr>
          <w:rFonts w:ascii="宋体" w:hAnsi="宋体" w:eastAsia="宋体" w:cs="宋体"/>
          <w:color w:val="auto"/>
          <w:spacing w:val="17"/>
          <w:sz w:val="20"/>
          <w:szCs w:val="20"/>
          <w:lang w:eastAsia="zh-CN"/>
        </w:rPr>
        <w:t xml:space="preserve"> </w:t>
      </w:r>
      <w:r>
        <w:rPr>
          <w:rFonts w:ascii="宋体" w:hAnsi="宋体" w:eastAsia="宋体" w:cs="宋体"/>
          <w:color w:val="auto"/>
          <w:spacing w:val="7"/>
          <w:sz w:val="20"/>
          <w:szCs w:val="20"/>
          <w:lang w:eastAsia="zh-CN"/>
        </w:rPr>
        <w:t>关招标投标情况的。</w:t>
      </w:r>
    </w:p>
    <w:p w14:paraId="6AF17F33">
      <w:pPr>
        <w:spacing w:before="72" w:line="228"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5</w:t>
      </w:r>
      <w:r>
        <w:rPr>
          <w:rFonts w:ascii="宋体" w:hAnsi="宋体" w:eastAsia="宋体" w:cs="宋体"/>
          <w:color w:val="auto"/>
          <w:spacing w:val="8"/>
          <w:sz w:val="20"/>
          <w:szCs w:val="20"/>
          <w:lang w:eastAsia="zh-CN"/>
        </w:rPr>
        <w:t>）法律、法规规定的其他违法、违规情形。</w:t>
      </w:r>
    </w:p>
    <w:p w14:paraId="2A965DED">
      <w:pPr>
        <w:spacing w:before="74" w:line="228" w:lineRule="auto"/>
        <w:ind w:left="6"/>
        <w:rPr>
          <w:rFonts w:ascii="新宋体" w:hAnsi="新宋体" w:eastAsia="新宋体" w:cs="新宋体"/>
          <w:color w:val="auto"/>
          <w:sz w:val="20"/>
          <w:szCs w:val="20"/>
          <w:lang w:eastAsia="zh-CN"/>
        </w:rPr>
      </w:pPr>
      <w:r>
        <w:rPr>
          <w:rFonts w:ascii="Tahoma" w:hAnsi="Tahoma" w:eastAsia="Tahoma" w:cs="Tahoma"/>
          <w:b/>
          <w:bCs/>
          <w:color w:val="auto"/>
          <w:spacing w:val="8"/>
          <w:sz w:val="20"/>
          <w:szCs w:val="20"/>
          <w:lang w:eastAsia="zh-CN"/>
        </w:rPr>
        <w:t>9.2</w:t>
      </w:r>
      <w:r>
        <w:rPr>
          <w:rFonts w:ascii="Tahoma" w:hAnsi="Tahoma" w:eastAsia="Tahoma" w:cs="Tahoma"/>
          <w:b/>
          <w:bCs/>
          <w:color w:val="auto"/>
          <w:spacing w:val="53"/>
          <w:sz w:val="20"/>
          <w:szCs w:val="20"/>
          <w:lang w:eastAsia="zh-CN"/>
        </w:rPr>
        <w:t xml:space="preserve"> </w:t>
      </w:r>
      <w:r>
        <w:rPr>
          <w:rFonts w:ascii="新宋体" w:hAnsi="新宋体" w:eastAsia="新宋体" w:cs="新宋体"/>
          <w:color w:val="auto"/>
          <w:spacing w:val="8"/>
          <w:sz w:val="20"/>
          <w:szCs w:val="20"/>
          <w:lang w:eastAsia="zh-CN"/>
          <w14:textOutline w14:w="3797" w14:cap="sq" w14:cmpd="sng" w14:algn="ctr">
            <w14:solidFill>
              <w14:srgbClr w14:val="000000"/>
            </w14:solidFill>
            <w14:prstDash w14:val="solid"/>
            <w14:bevel/>
          </w14:textOutline>
        </w:rPr>
        <w:t>对投标人的纪律要求</w:t>
      </w:r>
    </w:p>
    <w:p w14:paraId="5BBA6B2A">
      <w:pPr>
        <w:spacing w:before="73" w:line="273" w:lineRule="auto"/>
        <w:ind w:left="8" w:right="249" w:hanging="2"/>
        <w:jc w:val="both"/>
        <w:rPr>
          <w:rFonts w:ascii="新宋体" w:hAnsi="新宋体" w:eastAsia="新宋体" w:cs="新宋体"/>
          <w:color w:val="auto"/>
          <w:sz w:val="20"/>
          <w:szCs w:val="20"/>
          <w:lang w:eastAsia="zh-CN"/>
        </w:rPr>
      </w:pPr>
      <w:r>
        <w:rPr>
          <w:rFonts w:ascii="Tahoma" w:hAnsi="Tahoma" w:eastAsia="Tahoma" w:cs="Tahoma"/>
          <w:color w:val="auto"/>
          <w:spacing w:val="8"/>
          <w:sz w:val="20"/>
          <w:szCs w:val="20"/>
          <w:lang w:eastAsia="zh-CN"/>
        </w:rPr>
        <w:t xml:space="preserve">9.2.1 </w:t>
      </w:r>
      <w:r>
        <w:rPr>
          <w:rFonts w:ascii="新宋体" w:hAnsi="新宋体" w:eastAsia="新宋体" w:cs="新宋体"/>
          <w:color w:val="auto"/>
          <w:spacing w:val="8"/>
          <w:sz w:val="20"/>
          <w:szCs w:val="20"/>
          <w:lang w:eastAsia="zh-CN"/>
        </w:rPr>
        <w:t>投标人不得相互串通投标或者与招标人串通投标，不得向招标人或者评标委员会成员行贿谋取</w:t>
      </w:r>
      <w:r>
        <w:rPr>
          <w:rFonts w:ascii="新宋体" w:hAnsi="新宋体" w:eastAsia="新宋体" w:cs="新宋体"/>
          <w:color w:val="auto"/>
          <w:spacing w:val="15"/>
          <w:sz w:val="20"/>
          <w:szCs w:val="20"/>
          <w:lang w:eastAsia="zh-CN"/>
        </w:rPr>
        <w:t xml:space="preserve"> </w:t>
      </w:r>
      <w:r>
        <w:rPr>
          <w:rFonts w:ascii="新宋体" w:hAnsi="新宋体" w:eastAsia="新宋体" w:cs="新宋体"/>
          <w:color w:val="auto"/>
          <w:spacing w:val="12"/>
          <w:sz w:val="20"/>
          <w:szCs w:val="20"/>
          <w:lang w:eastAsia="zh-CN"/>
        </w:rPr>
        <w:t>中标，不得以其它方式弄虚作假骗取中标；投标人不得以任何</w:t>
      </w:r>
      <w:r>
        <w:rPr>
          <w:rFonts w:ascii="新宋体" w:hAnsi="新宋体" w:eastAsia="新宋体" w:cs="新宋体"/>
          <w:color w:val="auto"/>
          <w:spacing w:val="11"/>
          <w:sz w:val="20"/>
          <w:szCs w:val="20"/>
          <w:lang w:eastAsia="zh-CN"/>
        </w:rPr>
        <w:t>方式干扰、影响评标工作。投标人不</w:t>
      </w:r>
      <w:r>
        <w:rPr>
          <w:rFonts w:ascii="新宋体" w:hAnsi="新宋体" w:eastAsia="新宋体" w:cs="新宋体"/>
          <w:color w:val="auto"/>
          <w:sz w:val="20"/>
          <w:szCs w:val="20"/>
          <w:lang w:eastAsia="zh-CN"/>
        </w:rPr>
        <w:t xml:space="preserve"> </w:t>
      </w:r>
      <w:r>
        <w:rPr>
          <w:rFonts w:ascii="新宋体" w:hAnsi="新宋体" w:eastAsia="新宋体" w:cs="新宋体"/>
          <w:color w:val="auto"/>
          <w:spacing w:val="7"/>
          <w:sz w:val="20"/>
          <w:szCs w:val="20"/>
          <w:lang w:eastAsia="zh-CN"/>
        </w:rPr>
        <w:t>得有下列行为之一：</w:t>
      </w:r>
    </w:p>
    <w:p w14:paraId="49D9DC86">
      <w:pPr>
        <w:spacing w:before="72" w:line="227" w:lineRule="auto"/>
        <w:ind w:left="227"/>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w:t>
      </w:r>
      <w:r>
        <w:rPr>
          <w:rFonts w:ascii="Tahoma" w:hAnsi="Tahoma" w:eastAsia="Tahoma" w:cs="Tahoma"/>
          <w:color w:val="auto"/>
          <w:spacing w:val="7"/>
          <w:sz w:val="20"/>
          <w:szCs w:val="20"/>
          <w:lang w:eastAsia="zh-CN"/>
        </w:rPr>
        <w:t>1</w:t>
      </w:r>
      <w:r>
        <w:rPr>
          <w:rFonts w:ascii="宋体" w:hAnsi="宋体" w:eastAsia="宋体" w:cs="宋体"/>
          <w:color w:val="auto"/>
          <w:spacing w:val="7"/>
          <w:sz w:val="20"/>
          <w:szCs w:val="20"/>
          <w:lang w:eastAsia="zh-CN"/>
        </w:rPr>
        <w:t>）提供虚假材料谋取中标的；</w:t>
      </w:r>
    </w:p>
    <w:p w14:paraId="473B7E0B">
      <w:pPr>
        <w:spacing w:before="74" w:line="321" w:lineRule="exact"/>
        <w:ind w:left="227"/>
        <w:rPr>
          <w:rFonts w:ascii="宋体" w:hAnsi="宋体" w:eastAsia="宋体" w:cs="宋体"/>
          <w:color w:val="auto"/>
          <w:sz w:val="20"/>
          <w:szCs w:val="20"/>
          <w:lang w:eastAsia="zh-CN"/>
        </w:rPr>
      </w:pPr>
      <w:r>
        <w:rPr>
          <w:rFonts w:ascii="宋体" w:hAnsi="宋体" w:eastAsia="宋体" w:cs="宋体"/>
          <w:color w:val="auto"/>
          <w:spacing w:val="8"/>
          <w:position w:val="8"/>
          <w:sz w:val="20"/>
          <w:szCs w:val="20"/>
          <w:lang w:eastAsia="zh-CN"/>
        </w:rPr>
        <w:t>（</w:t>
      </w:r>
      <w:r>
        <w:rPr>
          <w:rFonts w:ascii="Tahoma" w:hAnsi="Tahoma" w:eastAsia="Tahoma" w:cs="Tahoma"/>
          <w:color w:val="auto"/>
          <w:spacing w:val="8"/>
          <w:position w:val="8"/>
          <w:sz w:val="20"/>
          <w:szCs w:val="20"/>
          <w:lang w:eastAsia="zh-CN"/>
        </w:rPr>
        <w:t>2</w:t>
      </w:r>
      <w:r>
        <w:rPr>
          <w:rFonts w:ascii="宋体" w:hAnsi="宋体" w:eastAsia="宋体" w:cs="宋体"/>
          <w:color w:val="auto"/>
          <w:spacing w:val="8"/>
          <w:position w:val="8"/>
          <w:sz w:val="20"/>
          <w:szCs w:val="20"/>
          <w:lang w:eastAsia="zh-CN"/>
        </w:rPr>
        <w:t>）采取不正当手段诋毁、排挤其他投标人的；</w:t>
      </w:r>
    </w:p>
    <w:p w14:paraId="7D4CFAEA">
      <w:pPr>
        <w:spacing w:before="1" w:line="226"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3</w:t>
      </w:r>
      <w:r>
        <w:rPr>
          <w:rFonts w:ascii="宋体" w:hAnsi="宋体" w:eastAsia="宋体" w:cs="宋体"/>
          <w:color w:val="auto"/>
          <w:spacing w:val="8"/>
          <w:sz w:val="20"/>
          <w:szCs w:val="20"/>
          <w:lang w:eastAsia="zh-CN"/>
        </w:rPr>
        <w:t>）与招标采购单位、其他投标人恶意串通的；</w:t>
      </w:r>
    </w:p>
    <w:p w14:paraId="1707FE4A">
      <w:pPr>
        <w:spacing w:before="74" w:line="227"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4</w:t>
      </w:r>
      <w:r>
        <w:rPr>
          <w:rFonts w:ascii="宋体" w:hAnsi="宋体" w:eastAsia="宋体" w:cs="宋体"/>
          <w:color w:val="auto"/>
          <w:spacing w:val="8"/>
          <w:sz w:val="20"/>
          <w:szCs w:val="20"/>
          <w:lang w:eastAsia="zh-CN"/>
        </w:rPr>
        <w:t>）向招标采购单位行贿或者提供其他不正当利益的；</w:t>
      </w:r>
    </w:p>
    <w:p w14:paraId="0F6A35D9">
      <w:pPr>
        <w:spacing w:before="73" w:line="262" w:lineRule="auto"/>
        <w:ind w:left="28" w:right="9" w:firstLine="198"/>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5</w:t>
      </w:r>
      <w:r>
        <w:rPr>
          <w:rFonts w:ascii="宋体" w:hAnsi="宋体" w:eastAsia="宋体" w:cs="宋体"/>
          <w:color w:val="auto"/>
          <w:spacing w:val="9"/>
          <w:sz w:val="20"/>
          <w:szCs w:val="20"/>
          <w:lang w:eastAsia="zh-CN"/>
        </w:rPr>
        <w:t>）在招标过程中与招标采购单位进行协商谈判、不按照招标文件和中标</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的投标文件订立合</w:t>
      </w:r>
      <w:r>
        <w:rPr>
          <w:rFonts w:ascii="宋体" w:hAnsi="宋体" w:eastAsia="宋体" w:cs="宋体"/>
          <w:color w:val="auto"/>
          <w:spacing w:val="17"/>
          <w:sz w:val="20"/>
          <w:szCs w:val="20"/>
          <w:lang w:eastAsia="zh-CN"/>
        </w:rPr>
        <w:t xml:space="preserve"> </w:t>
      </w:r>
      <w:r>
        <w:rPr>
          <w:rFonts w:ascii="宋体" w:hAnsi="宋体" w:eastAsia="宋体" w:cs="宋体"/>
          <w:color w:val="auto"/>
          <w:spacing w:val="8"/>
          <w:sz w:val="20"/>
          <w:szCs w:val="20"/>
          <w:lang w:eastAsia="zh-CN"/>
        </w:rPr>
        <w:t>同，或者与采购人另行订立背离合同实质性内容的协议的；</w:t>
      </w:r>
    </w:p>
    <w:p w14:paraId="1AA41ECA">
      <w:pPr>
        <w:spacing w:before="73" w:line="319" w:lineRule="exact"/>
        <w:ind w:left="227"/>
        <w:rPr>
          <w:rFonts w:ascii="宋体" w:hAnsi="宋体" w:eastAsia="宋体" w:cs="宋体"/>
          <w:color w:val="auto"/>
          <w:sz w:val="20"/>
          <w:szCs w:val="20"/>
          <w:lang w:eastAsia="zh-CN"/>
        </w:rPr>
      </w:pPr>
      <w:r>
        <w:rPr>
          <w:rFonts w:ascii="宋体" w:hAnsi="宋体" w:eastAsia="宋体" w:cs="宋体"/>
          <w:color w:val="auto"/>
          <w:spacing w:val="8"/>
          <w:position w:val="8"/>
          <w:sz w:val="20"/>
          <w:szCs w:val="20"/>
          <w:lang w:eastAsia="zh-CN"/>
        </w:rPr>
        <w:t>（</w:t>
      </w:r>
      <w:r>
        <w:rPr>
          <w:rFonts w:ascii="Tahoma" w:hAnsi="Tahoma" w:eastAsia="Tahoma" w:cs="Tahoma"/>
          <w:color w:val="auto"/>
          <w:spacing w:val="8"/>
          <w:position w:val="8"/>
          <w:sz w:val="20"/>
          <w:szCs w:val="20"/>
          <w:lang w:eastAsia="zh-CN"/>
        </w:rPr>
        <w:t>6</w:t>
      </w:r>
      <w:r>
        <w:rPr>
          <w:rFonts w:ascii="宋体" w:hAnsi="宋体" w:eastAsia="宋体" w:cs="宋体"/>
          <w:color w:val="auto"/>
          <w:spacing w:val="8"/>
          <w:position w:val="8"/>
          <w:sz w:val="20"/>
          <w:szCs w:val="20"/>
          <w:lang w:eastAsia="zh-CN"/>
        </w:rPr>
        <w:t>）拒绝有关部门监督检查或者提供虚假情况的；</w:t>
      </w:r>
    </w:p>
    <w:p w14:paraId="0EE79118">
      <w:pPr>
        <w:spacing w:before="1" w:line="227"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7</w:t>
      </w:r>
      <w:r>
        <w:rPr>
          <w:rFonts w:ascii="宋体" w:hAnsi="宋体" w:eastAsia="宋体" w:cs="宋体"/>
          <w:color w:val="auto"/>
          <w:spacing w:val="8"/>
          <w:sz w:val="20"/>
          <w:szCs w:val="20"/>
          <w:lang w:eastAsia="zh-CN"/>
        </w:rPr>
        <w:t>）法律、法规规定的其他违法、违规情形。</w:t>
      </w:r>
    </w:p>
    <w:p w14:paraId="140E9201">
      <w:pPr>
        <w:spacing w:before="75" w:line="227" w:lineRule="auto"/>
        <w:ind w:left="6"/>
        <w:rPr>
          <w:rFonts w:ascii="宋体" w:hAnsi="宋体" w:eastAsia="宋体" w:cs="宋体"/>
          <w:color w:val="auto"/>
          <w:sz w:val="20"/>
          <w:szCs w:val="20"/>
          <w:lang w:eastAsia="zh-CN"/>
        </w:rPr>
      </w:pPr>
      <w:r>
        <w:rPr>
          <w:rFonts w:ascii="Tahoma" w:hAnsi="Tahoma" w:eastAsia="Tahoma" w:cs="Tahoma"/>
          <w:b/>
          <w:bCs/>
          <w:color w:val="auto"/>
          <w:spacing w:val="8"/>
          <w:sz w:val="20"/>
          <w:szCs w:val="20"/>
          <w:lang w:eastAsia="zh-CN"/>
        </w:rPr>
        <w:t>9.3</w:t>
      </w:r>
      <w:r>
        <w:rPr>
          <w:rFonts w:ascii="Tahoma" w:hAnsi="Tahoma" w:eastAsia="Tahoma" w:cs="Tahoma"/>
          <w:b/>
          <w:bCs/>
          <w:color w:val="auto"/>
          <w:spacing w:val="63"/>
          <w:w w:val="101"/>
          <w:sz w:val="20"/>
          <w:szCs w:val="20"/>
          <w:lang w:eastAsia="zh-CN"/>
        </w:rPr>
        <w:t xml:space="preserve"> </w:t>
      </w:r>
      <w:r>
        <w:rPr>
          <w:rFonts w:ascii="宋体" w:hAnsi="宋体" w:eastAsia="宋体" w:cs="宋体"/>
          <w:color w:val="auto"/>
          <w:spacing w:val="8"/>
          <w:sz w:val="20"/>
          <w:szCs w:val="20"/>
          <w:lang w:eastAsia="zh-CN"/>
          <w14:textOutline w14:w="3797" w14:cap="sq" w14:cmpd="sng" w14:algn="ctr">
            <w14:solidFill>
              <w14:srgbClr w14:val="000000"/>
            </w14:solidFill>
            <w14:prstDash w14:val="solid"/>
            <w14:bevel/>
          </w14:textOutline>
        </w:rPr>
        <w:t>对评标委员会成员的纪律要求</w:t>
      </w:r>
    </w:p>
    <w:p w14:paraId="28777452">
      <w:pPr>
        <w:spacing w:before="74" w:line="273" w:lineRule="auto"/>
        <w:ind w:left="8" w:right="2" w:firstLine="418"/>
        <w:jc w:val="both"/>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评标委员会成员不得收受他人的财物或者其他好处，不得向他人</w:t>
      </w:r>
      <w:r>
        <w:rPr>
          <w:rFonts w:ascii="宋体" w:hAnsi="宋体" w:eastAsia="宋体" w:cs="宋体"/>
          <w:color w:val="auto"/>
          <w:spacing w:val="7"/>
          <w:sz w:val="20"/>
          <w:szCs w:val="20"/>
          <w:lang w:eastAsia="zh-CN"/>
        </w:rPr>
        <w:t>透漏对</w:t>
      </w:r>
      <w:r>
        <w:rPr>
          <w:rFonts w:ascii="新宋体" w:hAnsi="新宋体" w:eastAsia="新宋体" w:cs="新宋体"/>
          <w:color w:val="auto"/>
          <w:spacing w:val="7"/>
          <w:sz w:val="20"/>
          <w:szCs w:val="20"/>
          <w:lang w:eastAsia="zh-CN"/>
        </w:rPr>
        <w:t>投标文件的评审和比较、中</w:t>
      </w:r>
      <w:r>
        <w:rPr>
          <w:rFonts w:ascii="新宋体" w:hAnsi="新宋体" w:eastAsia="新宋体" w:cs="新宋体"/>
          <w:color w:val="auto"/>
          <w:sz w:val="20"/>
          <w:szCs w:val="20"/>
          <w:lang w:eastAsia="zh-CN"/>
        </w:rPr>
        <w:t xml:space="preserve"> </w:t>
      </w:r>
      <w:r>
        <w:rPr>
          <w:rFonts w:ascii="新宋体" w:hAnsi="新宋体" w:eastAsia="新宋体" w:cs="新宋体"/>
          <w:color w:val="auto"/>
          <w:spacing w:val="8"/>
          <w:sz w:val="20"/>
          <w:szCs w:val="20"/>
          <w:lang w:eastAsia="zh-CN"/>
        </w:rPr>
        <w:t>标候选人的推荐情况以及评标有关的其他情况。在评标活动中，评标委员</w:t>
      </w:r>
      <w:r>
        <w:rPr>
          <w:rFonts w:ascii="新宋体" w:hAnsi="新宋体" w:eastAsia="新宋体" w:cs="新宋体"/>
          <w:color w:val="auto"/>
          <w:spacing w:val="7"/>
          <w:sz w:val="20"/>
          <w:szCs w:val="20"/>
          <w:lang w:eastAsia="zh-CN"/>
        </w:rPr>
        <w:t>会成员不得擅离职守，影响评</w:t>
      </w:r>
      <w:r>
        <w:rPr>
          <w:rFonts w:ascii="新宋体" w:hAnsi="新宋体" w:eastAsia="新宋体" w:cs="新宋体"/>
          <w:color w:val="auto"/>
          <w:sz w:val="20"/>
          <w:szCs w:val="20"/>
          <w:lang w:eastAsia="zh-CN"/>
        </w:rPr>
        <w:t xml:space="preserve"> </w:t>
      </w:r>
      <w:r>
        <w:rPr>
          <w:rFonts w:ascii="新宋体" w:hAnsi="新宋体" w:eastAsia="新宋体" w:cs="新宋体"/>
          <w:color w:val="auto"/>
          <w:spacing w:val="9"/>
          <w:sz w:val="20"/>
          <w:szCs w:val="20"/>
          <w:lang w:eastAsia="zh-CN"/>
        </w:rPr>
        <w:t>标程序正常进行。</w:t>
      </w:r>
      <w:r>
        <w:rPr>
          <w:rFonts w:ascii="宋体" w:hAnsi="宋体" w:eastAsia="宋体" w:cs="宋体"/>
          <w:color w:val="auto"/>
          <w:spacing w:val="9"/>
          <w:sz w:val="20"/>
          <w:szCs w:val="20"/>
          <w:lang w:eastAsia="zh-CN"/>
        </w:rPr>
        <w:t>评标委员</w:t>
      </w:r>
      <w:r>
        <w:rPr>
          <w:rFonts w:ascii="新宋体" w:hAnsi="新宋体" w:eastAsia="新宋体" w:cs="新宋体"/>
          <w:color w:val="auto"/>
          <w:spacing w:val="9"/>
          <w:sz w:val="20"/>
          <w:szCs w:val="20"/>
          <w:lang w:eastAsia="zh-CN"/>
        </w:rPr>
        <w:t>不得有下列行为之一</w:t>
      </w:r>
      <w:r>
        <w:rPr>
          <w:rFonts w:ascii="宋体" w:hAnsi="宋体" w:eastAsia="宋体" w:cs="宋体"/>
          <w:color w:val="auto"/>
          <w:spacing w:val="9"/>
          <w:sz w:val="20"/>
          <w:szCs w:val="20"/>
          <w:lang w:eastAsia="zh-CN"/>
        </w:rPr>
        <w:t>：</w:t>
      </w:r>
    </w:p>
    <w:p w14:paraId="65E8C716">
      <w:pPr>
        <w:spacing w:before="72" w:line="228" w:lineRule="auto"/>
        <w:ind w:left="227"/>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w:t>
      </w:r>
      <w:r>
        <w:rPr>
          <w:rFonts w:ascii="Tahoma" w:hAnsi="Tahoma" w:eastAsia="Tahoma" w:cs="Tahoma"/>
          <w:color w:val="auto"/>
          <w:spacing w:val="7"/>
          <w:sz w:val="20"/>
          <w:szCs w:val="20"/>
          <w:lang w:eastAsia="zh-CN"/>
        </w:rPr>
        <w:t>1</w:t>
      </w:r>
      <w:r>
        <w:rPr>
          <w:rFonts w:ascii="宋体" w:hAnsi="宋体" w:eastAsia="宋体" w:cs="宋体"/>
          <w:color w:val="auto"/>
          <w:spacing w:val="7"/>
          <w:sz w:val="20"/>
          <w:szCs w:val="20"/>
          <w:lang w:eastAsia="zh-CN"/>
        </w:rPr>
        <w:t>）明知应当回避而未主动回避的；</w:t>
      </w:r>
    </w:p>
    <w:p w14:paraId="0813BDE4">
      <w:pPr>
        <w:spacing w:before="71" w:line="263" w:lineRule="auto"/>
        <w:ind w:left="227" w:right="1323"/>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2</w:t>
      </w:r>
      <w:r>
        <w:rPr>
          <w:rFonts w:ascii="宋体" w:hAnsi="宋体" w:eastAsia="宋体" w:cs="宋体"/>
          <w:color w:val="auto"/>
          <w:spacing w:val="8"/>
          <w:sz w:val="20"/>
          <w:szCs w:val="20"/>
          <w:lang w:eastAsia="zh-CN"/>
        </w:rPr>
        <w:t>）在知道自己为评委会成员身份后至评标结束前的时段内私下接触投标</w:t>
      </w: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的；</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3</w:t>
      </w:r>
      <w:r>
        <w:rPr>
          <w:rFonts w:ascii="宋体" w:hAnsi="宋体" w:eastAsia="宋体" w:cs="宋体"/>
          <w:color w:val="auto"/>
          <w:spacing w:val="8"/>
          <w:sz w:val="20"/>
          <w:szCs w:val="20"/>
          <w:lang w:eastAsia="zh-CN"/>
        </w:rPr>
        <w:t>）在评标过程中擅离职守，影响评标程序正常进行的；</w:t>
      </w:r>
    </w:p>
    <w:p w14:paraId="48A014EB">
      <w:pPr>
        <w:spacing w:before="72" w:line="319" w:lineRule="exact"/>
        <w:ind w:left="227"/>
        <w:rPr>
          <w:rFonts w:ascii="宋体" w:hAnsi="宋体" w:eastAsia="宋体" w:cs="宋体"/>
          <w:color w:val="auto"/>
          <w:sz w:val="20"/>
          <w:szCs w:val="20"/>
          <w:lang w:eastAsia="zh-CN"/>
        </w:rPr>
      </w:pPr>
      <w:r>
        <w:rPr>
          <w:rFonts w:ascii="宋体" w:hAnsi="宋体" w:eastAsia="宋体" w:cs="宋体"/>
          <w:color w:val="auto"/>
          <w:spacing w:val="8"/>
          <w:position w:val="8"/>
          <w:sz w:val="20"/>
          <w:szCs w:val="20"/>
          <w:lang w:eastAsia="zh-CN"/>
        </w:rPr>
        <w:t>（</w:t>
      </w:r>
      <w:r>
        <w:rPr>
          <w:rFonts w:ascii="Tahoma" w:hAnsi="Tahoma" w:eastAsia="Tahoma" w:cs="Tahoma"/>
          <w:color w:val="auto"/>
          <w:spacing w:val="8"/>
          <w:position w:val="8"/>
          <w:sz w:val="20"/>
          <w:szCs w:val="20"/>
          <w:lang w:eastAsia="zh-CN"/>
        </w:rPr>
        <w:t>4</w:t>
      </w:r>
      <w:r>
        <w:rPr>
          <w:rFonts w:ascii="宋体" w:hAnsi="宋体" w:eastAsia="宋体" w:cs="宋体"/>
          <w:color w:val="auto"/>
          <w:spacing w:val="8"/>
          <w:position w:val="8"/>
          <w:sz w:val="20"/>
          <w:szCs w:val="20"/>
          <w:lang w:eastAsia="zh-CN"/>
        </w:rPr>
        <w:t>）在评标过程中有明显不合理或者不正当倾向性的；</w:t>
      </w:r>
    </w:p>
    <w:p w14:paraId="1C301FB9">
      <w:pPr>
        <w:spacing w:before="1" w:line="227"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5</w:t>
      </w:r>
      <w:r>
        <w:rPr>
          <w:rFonts w:ascii="宋体" w:hAnsi="宋体" w:eastAsia="宋体" w:cs="宋体"/>
          <w:color w:val="auto"/>
          <w:spacing w:val="8"/>
          <w:sz w:val="20"/>
          <w:szCs w:val="20"/>
          <w:lang w:eastAsia="zh-CN"/>
        </w:rPr>
        <w:t>）未按招标文件规定的评标方法和标准进行评标的。</w:t>
      </w:r>
    </w:p>
    <w:p w14:paraId="494121A2">
      <w:pPr>
        <w:spacing w:before="75" w:line="228"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6</w:t>
      </w:r>
      <w:r>
        <w:rPr>
          <w:rFonts w:ascii="宋体" w:hAnsi="宋体" w:eastAsia="宋体" w:cs="宋体"/>
          <w:color w:val="auto"/>
          <w:spacing w:val="8"/>
          <w:sz w:val="20"/>
          <w:szCs w:val="20"/>
          <w:lang w:eastAsia="zh-CN"/>
        </w:rPr>
        <w:t>）法律、法规规定的其他违法、违规情形。</w:t>
      </w:r>
    </w:p>
    <w:p w14:paraId="78A296AE">
      <w:pPr>
        <w:spacing w:before="72" w:line="228" w:lineRule="auto"/>
        <w:ind w:left="6"/>
        <w:rPr>
          <w:rFonts w:ascii="新宋体" w:hAnsi="新宋体" w:eastAsia="新宋体" w:cs="新宋体"/>
          <w:color w:val="auto"/>
          <w:sz w:val="20"/>
          <w:szCs w:val="20"/>
          <w:lang w:eastAsia="zh-CN"/>
        </w:rPr>
      </w:pPr>
      <w:r>
        <w:rPr>
          <w:rFonts w:ascii="Tahoma" w:hAnsi="Tahoma" w:eastAsia="Tahoma" w:cs="Tahoma"/>
          <w:b/>
          <w:bCs/>
          <w:color w:val="auto"/>
          <w:spacing w:val="9"/>
          <w:sz w:val="20"/>
          <w:szCs w:val="20"/>
          <w:lang w:eastAsia="zh-CN"/>
        </w:rPr>
        <w:t>9.4</w:t>
      </w:r>
      <w:r>
        <w:rPr>
          <w:rFonts w:ascii="Tahoma" w:hAnsi="Tahoma" w:eastAsia="Tahoma" w:cs="Tahoma"/>
          <w:b/>
          <w:bCs/>
          <w:color w:val="auto"/>
          <w:spacing w:val="56"/>
          <w:sz w:val="20"/>
          <w:szCs w:val="20"/>
          <w:lang w:eastAsia="zh-CN"/>
        </w:rPr>
        <w:t xml:space="preserve"> </w:t>
      </w:r>
      <w:r>
        <w:rPr>
          <w:rFonts w:ascii="新宋体" w:hAnsi="新宋体" w:eastAsia="新宋体" w:cs="新宋体"/>
          <w:color w:val="auto"/>
          <w:spacing w:val="9"/>
          <w:sz w:val="20"/>
          <w:szCs w:val="20"/>
          <w:lang w:eastAsia="zh-CN"/>
          <w14:textOutline w14:w="3797" w14:cap="sq" w14:cmpd="sng" w14:algn="ctr">
            <w14:solidFill>
              <w14:srgbClr w14:val="000000"/>
            </w14:solidFill>
            <w14:prstDash w14:val="solid"/>
            <w14:bevel/>
          </w14:textOutline>
        </w:rPr>
        <w:t>对与评标活动有关的工作人员的纪律要求</w:t>
      </w:r>
    </w:p>
    <w:p w14:paraId="1D4FBBDE">
      <w:pPr>
        <w:spacing w:before="72" w:line="228" w:lineRule="auto"/>
        <w:ind w:left="326"/>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与评标活动有关的工作人员不得收受他人的财物或</w:t>
      </w:r>
      <w:r>
        <w:rPr>
          <w:rFonts w:ascii="宋体" w:hAnsi="宋体" w:eastAsia="宋体" w:cs="宋体"/>
          <w:color w:val="auto"/>
          <w:spacing w:val="9"/>
          <w:sz w:val="20"/>
          <w:szCs w:val="20"/>
          <w:lang w:eastAsia="zh-CN"/>
        </w:rPr>
        <w:t>者其他好处，不得向他人透漏对投</w:t>
      </w:r>
    </w:p>
    <w:p w14:paraId="18D340C2">
      <w:pPr>
        <w:spacing w:before="75" w:line="261" w:lineRule="auto"/>
        <w:ind w:left="8" w:firstLine="105"/>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标文件的评审和比较、中标候选人的推荐情况以及评标有关的其他情况。在评标活动中，与评标活动</w:t>
      </w:r>
      <w:r>
        <w:rPr>
          <w:rFonts w:ascii="宋体" w:hAnsi="宋体" w:eastAsia="宋体" w:cs="宋体"/>
          <w:color w:val="auto"/>
          <w:spacing w:val="4"/>
          <w:sz w:val="20"/>
          <w:szCs w:val="20"/>
          <w:lang w:eastAsia="zh-CN"/>
        </w:rPr>
        <w:t xml:space="preserve"> </w:t>
      </w:r>
      <w:r>
        <w:rPr>
          <w:rFonts w:ascii="宋体" w:hAnsi="宋体" w:eastAsia="宋体" w:cs="宋体"/>
          <w:color w:val="auto"/>
          <w:spacing w:val="9"/>
          <w:sz w:val="20"/>
          <w:szCs w:val="20"/>
          <w:lang w:eastAsia="zh-CN"/>
        </w:rPr>
        <w:t>有关的工作人员不得擅离职守，影响评标程序正常进行。</w:t>
      </w:r>
    </w:p>
    <w:p w14:paraId="632EF072">
      <w:pPr>
        <w:pStyle w:val="8"/>
        <w:spacing w:line="297" w:lineRule="auto"/>
        <w:rPr>
          <w:color w:val="auto"/>
          <w:lang w:eastAsia="zh-CN"/>
        </w:rPr>
      </w:pPr>
    </w:p>
    <w:p w14:paraId="5A4123D6">
      <w:pPr>
        <w:spacing w:before="78" w:line="222" w:lineRule="auto"/>
        <w:ind w:left="3344"/>
        <w:rPr>
          <w:rFonts w:ascii="Tahoma" w:hAnsi="Tahoma" w:eastAsia="Tahoma" w:cs="Tahoma"/>
          <w:b/>
          <w:bCs/>
          <w:color w:val="auto"/>
          <w:spacing w:val="-2"/>
          <w:sz w:val="24"/>
          <w:szCs w:val="24"/>
          <w:lang w:eastAsia="zh-CN"/>
        </w:rPr>
      </w:pPr>
    </w:p>
    <w:p w14:paraId="45DC51E4">
      <w:pPr>
        <w:spacing w:before="78" w:line="222" w:lineRule="auto"/>
        <w:ind w:left="3344"/>
        <w:rPr>
          <w:rFonts w:ascii="黑体" w:hAnsi="黑体" w:eastAsia="黑体" w:cs="黑体"/>
          <w:color w:val="auto"/>
          <w:sz w:val="24"/>
          <w:szCs w:val="24"/>
          <w:lang w:eastAsia="zh-CN"/>
        </w:rPr>
      </w:pPr>
      <w:r>
        <w:rPr>
          <w:rFonts w:ascii="Tahoma" w:hAnsi="Tahoma" w:eastAsia="Tahoma" w:cs="Tahoma"/>
          <w:b/>
          <w:bCs/>
          <w:color w:val="auto"/>
          <w:spacing w:val="-2"/>
          <w:sz w:val="24"/>
          <w:szCs w:val="24"/>
          <w:lang w:eastAsia="zh-CN"/>
        </w:rPr>
        <w:t>10</w:t>
      </w:r>
      <w:r>
        <w:rPr>
          <w:rFonts w:ascii="宋体" w:hAnsi="宋体" w:eastAsia="宋体" w:cs="宋体"/>
          <w:color w:val="auto"/>
          <w:spacing w:val="-2"/>
          <w:sz w:val="24"/>
          <w:szCs w:val="24"/>
          <w:lang w:eastAsia="zh-CN"/>
          <w14:textOutline w14:w="4356" w14:cap="sq" w14:cmpd="sng" w14:algn="ctr">
            <w14:solidFill>
              <w14:srgbClr w14:val="000000"/>
            </w14:solidFill>
            <w14:prstDash w14:val="solid"/>
            <w14:bevel/>
          </w14:textOutline>
        </w:rPr>
        <w:t>、</w:t>
      </w:r>
      <w:r>
        <w:rPr>
          <w:rFonts w:ascii="黑体" w:hAnsi="黑体" w:eastAsia="黑体" w:cs="黑体"/>
          <w:color w:val="auto"/>
          <w:spacing w:val="-2"/>
          <w:sz w:val="24"/>
          <w:szCs w:val="24"/>
          <w:lang w:eastAsia="zh-CN"/>
          <w14:textOutline w14:w="4356" w14:cap="sq" w14:cmpd="sng" w14:algn="ctr">
            <w14:solidFill>
              <w14:srgbClr w14:val="000000"/>
            </w14:solidFill>
            <w14:prstDash w14:val="solid"/>
            <w14:bevel/>
          </w14:textOutline>
        </w:rPr>
        <w:t>需要补充的其他内容</w:t>
      </w:r>
    </w:p>
    <w:p w14:paraId="38575C15">
      <w:pPr>
        <w:spacing w:before="57" w:line="228" w:lineRule="auto"/>
        <w:ind w:left="19"/>
        <w:rPr>
          <w:rFonts w:ascii="宋体" w:hAnsi="宋体" w:eastAsia="宋体" w:cs="宋体"/>
          <w:color w:val="auto"/>
          <w:sz w:val="20"/>
          <w:szCs w:val="20"/>
          <w:lang w:eastAsia="zh-CN"/>
        </w:rPr>
      </w:pPr>
      <w:r>
        <w:rPr>
          <w:rFonts w:ascii="Tahoma" w:hAnsi="Tahoma" w:eastAsia="Tahoma" w:cs="Tahoma"/>
          <w:b/>
          <w:bCs/>
          <w:color w:val="auto"/>
          <w:spacing w:val="2"/>
          <w:sz w:val="20"/>
          <w:szCs w:val="20"/>
          <w:lang w:eastAsia="zh-CN"/>
        </w:rPr>
        <w:t xml:space="preserve">10.1 </w:t>
      </w:r>
      <w:r>
        <w:rPr>
          <w:rFonts w:ascii="宋体" w:hAnsi="宋体" w:eastAsia="宋体" w:cs="宋体"/>
          <w:color w:val="auto"/>
          <w:spacing w:val="2"/>
          <w:sz w:val="20"/>
          <w:szCs w:val="20"/>
          <w:lang w:eastAsia="zh-CN"/>
          <w14:textOutline w14:w="3797" w14:cap="sq" w14:cmpd="sng" w14:algn="ctr">
            <w14:solidFill>
              <w14:srgbClr w14:val="000000"/>
            </w14:solidFill>
            <w14:prstDash w14:val="solid"/>
            <w14:bevel/>
          </w14:textOutline>
        </w:rPr>
        <w:t>质疑</w:t>
      </w:r>
    </w:p>
    <w:p w14:paraId="7483E606">
      <w:pPr>
        <w:spacing w:before="74" w:line="261" w:lineRule="auto"/>
        <w:ind w:left="206" w:leftChars="98" w:right="2" w:firstLine="433" w:firstLineChars="199"/>
        <w:rPr>
          <w:rFonts w:hint="default" w:ascii="宋体" w:hAnsi="宋体" w:eastAsia="宋体" w:cs="宋体"/>
          <w:color w:val="auto"/>
          <w:spacing w:val="9"/>
          <w:sz w:val="20"/>
          <w:szCs w:val="20"/>
          <w:lang w:eastAsia="zh-CN"/>
        </w:rPr>
      </w:pPr>
      <w:r>
        <w:rPr>
          <w:rFonts w:hint="eastAsia" w:ascii="宋体" w:hAnsi="宋体" w:eastAsia="宋体" w:cs="宋体"/>
          <w:color w:val="auto"/>
          <w:spacing w:val="9"/>
          <w:sz w:val="20"/>
          <w:szCs w:val="20"/>
          <w:lang w:val="en-US" w:eastAsia="zh-CN"/>
        </w:rPr>
        <w:t>供应商可根据中华人民共和国财政部令第94号--《政府采购质疑和投诉办法》</w:t>
      </w:r>
      <w:r>
        <w:rPr>
          <w:rFonts w:ascii="宋体" w:hAnsi="宋体" w:eastAsia="宋体" w:cs="宋体"/>
          <w:color w:val="auto"/>
          <w:spacing w:val="9"/>
          <w:sz w:val="20"/>
          <w:szCs w:val="20"/>
          <w:lang w:eastAsia="zh-CN"/>
        </w:rPr>
        <w:t>，以书面形式向采购代理机构提出。</w:t>
      </w:r>
    </w:p>
    <w:p w14:paraId="2012B90A">
      <w:pPr>
        <w:spacing w:before="74" w:line="261" w:lineRule="auto"/>
        <w:ind w:left="206" w:leftChars="98" w:right="2" w:firstLine="433" w:firstLineChars="199"/>
        <w:rPr>
          <w:rFonts w:ascii="宋体" w:hAnsi="宋体" w:eastAsia="宋体" w:cs="宋体"/>
          <w:color w:val="auto"/>
          <w:spacing w:val="9"/>
          <w:sz w:val="20"/>
          <w:szCs w:val="20"/>
          <w:lang w:eastAsia="zh-CN"/>
        </w:rPr>
      </w:pPr>
      <w:bookmarkStart w:id="9" w:name="十二、保密和披露"/>
      <w:bookmarkEnd w:id="9"/>
      <w:r>
        <w:rPr>
          <w:rFonts w:ascii="宋体" w:hAnsi="宋体" w:eastAsia="宋体" w:cs="宋体"/>
          <w:color w:val="auto"/>
          <w:spacing w:val="9"/>
          <w:sz w:val="20"/>
          <w:szCs w:val="20"/>
          <w:lang w:eastAsia="zh-CN"/>
        </w:rPr>
        <w:t>供应商认为采购文件、采购过程、中标或者成交结果使自己的权益受到损害的，可以在知道或者应知其权益受到损害之日起7个工作日内，以书面形式向采购人、采购代理机构提出质疑。</w:t>
      </w:r>
    </w:p>
    <w:p w14:paraId="3437B3E2">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采购文件可以要求供应商在法定质疑期内一次性提出针对同一采购程序环节的质疑。</w:t>
      </w:r>
    </w:p>
    <w:p w14:paraId="7FD0B151">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提出质疑的供应商（以下简称质疑供应商）应当是参与所质疑项目采购活动的供应商。</w:t>
      </w:r>
    </w:p>
    <w:p w14:paraId="174E9458">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潜在供应商已依法获取其可质疑的采购文件的，可以对该文件提出质疑。对采购文件提出质疑的，应当在获取采购文件或者采购文件公告期限届满之日起7个工作日内提出。</w:t>
      </w:r>
    </w:p>
    <w:p w14:paraId="61F6494E">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供应商提出质疑应当提交质疑函和必要的证明材料。质疑函应当包括下列内容：</w:t>
      </w:r>
    </w:p>
    <w:p w14:paraId="10F93696">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（一）供应商的姓名或者名称、地址、邮编、联系人及联系电话；</w:t>
      </w:r>
    </w:p>
    <w:p w14:paraId="0CD61837">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（二）质疑项目的名称、编号；</w:t>
      </w:r>
    </w:p>
    <w:p w14:paraId="4B371D2F">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（三）具体、明确的质疑事项和与质疑事项相关的请求；</w:t>
      </w:r>
    </w:p>
    <w:p w14:paraId="480509DC">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（四）事实依据；</w:t>
      </w:r>
    </w:p>
    <w:p w14:paraId="3D3AEF91">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（五）必要的法律依据；</w:t>
      </w:r>
    </w:p>
    <w:p w14:paraId="0150657B">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（六）提出质疑的日期。</w:t>
      </w:r>
    </w:p>
    <w:p w14:paraId="628A6370">
      <w:pPr>
        <w:spacing w:before="74" w:line="261" w:lineRule="auto"/>
        <w:ind w:left="206" w:leftChars="98" w:right="2" w:firstLine="433" w:firstLineChars="199"/>
        <w:rPr>
          <w:rFonts w:hint="default" w:ascii="宋体" w:hAnsi="宋体" w:eastAsia="宋体" w:cs="宋体"/>
          <w:color w:val="auto"/>
          <w:spacing w:val="9"/>
          <w:sz w:val="20"/>
          <w:szCs w:val="20"/>
          <w:lang w:eastAsia="zh-CN"/>
        </w:rPr>
      </w:pPr>
      <w:r>
        <w:rPr>
          <w:rFonts w:hint="default" w:ascii="宋体" w:hAnsi="宋体" w:eastAsia="宋体" w:cs="宋体"/>
          <w:color w:val="auto"/>
          <w:spacing w:val="9"/>
          <w:sz w:val="20"/>
          <w:szCs w:val="20"/>
          <w:lang w:eastAsia="zh-CN"/>
        </w:rPr>
        <w:t>供应商为自然人的，应当由本人签字；供应商为法人或者其他组织的，应当由法定代表人、主要负责人，或者其授权代表签字或者盖章，并加盖公章。</w:t>
      </w:r>
    </w:p>
    <w:p w14:paraId="6D3BF63B">
      <w:pPr>
        <w:spacing w:before="74" w:line="261" w:lineRule="auto"/>
        <w:ind w:left="206" w:leftChars="98" w:right="2" w:firstLine="433" w:firstLineChars="199"/>
        <w:rPr>
          <w:rFonts w:hint="default" w:ascii="宋体" w:hAnsi="宋体" w:eastAsia="宋体" w:cs="宋体"/>
          <w:color w:val="auto"/>
          <w:spacing w:val="9"/>
          <w:sz w:val="20"/>
          <w:szCs w:val="20"/>
          <w:lang w:eastAsia="zh-CN"/>
        </w:rPr>
      </w:pPr>
      <w:r>
        <w:rPr>
          <w:rFonts w:hint="default" w:ascii="宋体" w:hAnsi="宋体" w:eastAsia="宋体" w:cs="宋体"/>
          <w:color w:val="auto"/>
          <w:spacing w:val="9"/>
          <w:sz w:val="20"/>
          <w:szCs w:val="20"/>
          <w:lang w:eastAsia="zh-CN"/>
        </w:rPr>
        <w:t>　采购人、采购代理机构不得拒收质疑供应商在法定质疑期内发出的质疑函，应当在收到质疑函后7个工作日内作出答复，并以书面形式通知质疑供应商和其他有关供应商。</w:t>
      </w:r>
    </w:p>
    <w:p w14:paraId="05192D2C">
      <w:pPr>
        <w:spacing w:before="74" w:line="261" w:lineRule="auto"/>
        <w:ind w:left="206" w:leftChars="98" w:right="2" w:firstLine="433" w:firstLineChars="199"/>
        <w:rPr>
          <w:rFonts w:hint="default" w:ascii="宋体" w:hAnsi="宋体" w:eastAsia="宋体" w:cs="宋体"/>
          <w:color w:val="auto"/>
          <w:spacing w:val="9"/>
          <w:sz w:val="20"/>
          <w:szCs w:val="20"/>
          <w:lang w:eastAsia="zh-CN"/>
        </w:rPr>
      </w:pPr>
      <w:r>
        <w:rPr>
          <w:rFonts w:hint="default" w:ascii="宋体" w:hAnsi="宋体" w:eastAsia="宋体" w:cs="宋体"/>
          <w:color w:val="auto"/>
          <w:spacing w:val="9"/>
          <w:sz w:val="20"/>
          <w:szCs w:val="20"/>
          <w:lang w:eastAsia="zh-CN"/>
        </w:rPr>
        <w:t>供应商对评审过程、中标或者成交结果提出质疑的，采购人、采购代理机构可以组织原评标委员会、竞争性谈判小组、询价小组或者竞争性磋商小组协助答复质疑。</w:t>
      </w:r>
    </w:p>
    <w:p w14:paraId="1EB6AAFD">
      <w:pPr>
        <w:spacing w:before="74" w:line="261" w:lineRule="auto"/>
        <w:ind w:left="206" w:leftChars="98" w:right="2" w:firstLine="433" w:firstLineChars="199"/>
        <w:rPr>
          <w:rFonts w:hint="default" w:ascii="宋体" w:hAnsi="宋体" w:eastAsia="宋体" w:cs="宋体"/>
          <w:color w:val="auto"/>
          <w:spacing w:val="9"/>
          <w:sz w:val="20"/>
          <w:szCs w:val="20"/>
          <w:lang w:eastAsia="zh-CN"/>
        </w:rPr>
      </w:pPr>
      <w:r>
        <w:rPr>
          <w:rFonts w:hint="default" w:ascii="宋体" w:hAnsi="宋体" w:eastAsia="宋体" w:cs="宋体"/>
          <w:color w:val="auto"/>
          <w:spacing w:val="9"/>
          <w:sz w:val="20"/>
          <w:szCs w:val="20"/>
          <w:lang w:eastAsia="zh-CN"/>
        </w:rPr>
        <w:t>质疑答复应当包括下列内容：</w:t>
      </w:r>
    </w:p>
    <w:p w14:paraId="53E09551">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（一）质疑供应商的姓名或者名称；</w:t>
      </w:r>
    </w:p>
    <w:p w14:paraId="0DD297F5">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（二）收到质疑函的日期、质疑项目名称及编号；</w:t>
      </w:r>
    </w:p>
    <w:p w14:paraId="6FA4F685">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（三）质疑事项、质疑答复的具体内容、事实依据和法律依据；</w:t>
      </w:r>
    </w:p>
    <w:p w14:paraId="2CBD365C">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（四）告知质疑供应商依法投诉的权利；</w:t>
      </w:r>
    </w:p>
    <w:p w14:paraId="5327FE13">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（五）质疑答复人名称；</w:t>
      </w:r>
    </w:p>
    <w:p w14:paraId="09E64AB5">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（六）答复质疑的日期。</w:t>
      </w:r>
    </w:p>
    <w:p w14:paraId="6C8959CA">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质疑答复的内容不得涉及商业秘密。</w:t>
      </w:r>
    </w:p>
    <w:p w14:paraId="496F544B">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采购人、采购代理机构认为供应商质疑不成立，或者成立但未对中标、成交结果构成影响的，继续开展采购活动；认为供应商质疑成立且影响或者可能影响中标、成交结果的，按照下列情况处理：</w:t>
      </w:r>
    </w:p>
    <w:p w14:paraId="235C3B0C">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（一）对采购文件提出的质疑，依法通过澄清或者修改可以继续开展采购活动的，澄清或者修改采购文件后继续开展采购活动；否则应当修改采购文件后重新开展采购活动。</w:t>
      </w:r>
    </w:p>
    <w:p w14:paraId="4A09A599">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二）对采购过程、中标或者成交结果提出的质疑，合格供应商符合法定数量时，可以从合格的中标或者成交候选人中另行确定中标、成交供应商的，应当依法另行确定中标、成交供应商；否则应当重新开展采购活动。</w:t>
      </w:r>
    </w:p>
    <w:p w14:paraId="6E8CC417">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质疑答复导致中标、成交结果改变的，采购人或者采购代理机构应当将有关情况书面报告本级财政部门。</w:t>
      </w:r>
    </w:p>
    <w:p w14:paraId="4F8D2F00">
      <w:pPr>
        <w:spacing w:before="57" w:line="228" w:lineRule="auto"/>
        <w:ind w:left="19"/>
        <w:rPr>
          <w:rFonts w:hint="eastAsia" w:ascii="Tahoma" w:hAnsi="Tahoma" w:eastAsia="Tahoma" w:cs="Tahoma"/>
          <w:b/>
          <w:bCs/>
          <w:color w:val="auto"/>
          <w:spacing w:val="2"/>
          <w:sz w:val="20"/>
          <w:szCs w:val="20"/>
          <w:lang w:val="en-US" w:eastAsia="zh-CN"/>
        </w:rPr>
      </w:pPr>
      <w:r>
        <w:rPr>
          <w:rFonts w:hint="eastAsia" w:ascii="Tahoma" w:hAnsi="Tahoma" w:eastAsia="Tahoma" w:cs="Tahoma"/>
          <w:b/>
          <w:bCs/>
          <w:color w:val="auto"/>
          <w:spacing w:val="2"/>
          <w:sz w:val="20"/>
          <w:szCs w:val="20"/>
          <w:lang w:val="en-US" w:eastAsia="zh-CN"/>
        </w:rPr>
        <w:t>10.2 投诉</w:t>
      </w:r>
    </w:p>
    <w:p w14:paraId="67D171CC">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质疑供应商对采购人、采购代理机构的答复不满意，或者采购人、采购代理机构未在规定时间内作出答复的，可以在答复期满后15个工作日内向本办法第六条规定的财政部门提起投诉。</w:t>
      </w:r>
    </w:p>
    <w:p w14:paraId="22C39100">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投诉人投诉时,应当提交投诉书和必要的证明材料，并按照被投诉采购人、采购代理机构（以下简称被投诉人）和与投诉事项有关的供应商数量提供投诉书的副本。投诉书应当包括下列内容：</w:t>
      </w:r>
    </w:p>
    <w:p w14:paraId="673D6FAD">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（一）投诉人和被投诉人的姓名或者名称、通讯地址、邮编、联系人及联系电话；</w:t>
      </w:r>
    </w:p>
    <w:p w14:paraId="70D8F1D6">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（二）质疑和质疑答复情况说明及相关证明材料；</w:t>
      </w:r>
    </w:p>
    <w:p w14:paraId="511DBF39">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（三）具体、明确的投诉事项和与投诉事项相关的投诉请求；</w:t>
      </w:r>
    </w:p>
    <w:p w14:paraId="0415E3A9">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（四）事实依据；</w:t>
      </w:r>
    </w:p>
    <w:p w14:paraId="35EA6E0B">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（五）法律依据；</w:t>
      </w:r>
    </w:p>
    <w:p w14:paraId="590C5491">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（六）提起投诉的日期。</w:t>
      </w:r>
    </w:p>
    <w:p w14:paraId="0CC84DD4">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投诉人为自然人的，应当由本人签字；投诉人为法人或者其他组织的，应当由法定代表人、主要负责人，或者其授权代表签字或者盖章，并加盖公章。</w:t>
      </w:r>
    </w:p>
    <w:p w14:paraId="22006FD6">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投诉人应当根据本办法第七条第二款规定的信息内容，并按照其规定的方式提起投诉。</w:t>
      </w:r>
    </w:p>
    <w:p w14:paraId="04AB9551">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投诉人提起投诉应当符合下列条件：</w:t>
      </w:r>
    </w:p>
    <w:p w14:paraId="2DCDC2F7">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（一）提起投诉前已依法进行质疑；</w:t>
      </w:r>
    </w:p>
    <w:p w14:paraId="33DCD715">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（二）投诉书内容符合本办法的规定；</w:t>
      </w:r>
    </w:p>
    <w:p w14:paraId="6BA0208C">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（三）在投诉有效期限内提起投诉；</w:t>
      </w:r>
    </w:p>
    <w:p w14:paraId="3CBC8466">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（四）同一投诉事项未经财政部门投诉处理；</w:t>
      </w:r>
    </w:p>
    <w:p w14:paraId="4A0A2E00">
      <w:pPr>
        <w:spacing w:before="74" w:line="261" w:lineRule="auto"/>
        <w:ind w:left="7" w:right="2" w:hanging="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　　（五）财政部规定的其他条件。</w:t>
      </w:r>
    </w:p>
    <w:p w14:paraId="67B701A4">
      <w:pPr>
        <w:spacing w:before="74" w:line="261" w:lineRule="auto"/>
        <w:ind w:left="206" w:leftChars="98" w:right="2" w:firstLine="433" w:firstLineChars="199"/>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供应商投诉的事项不得超出已质疑事项的范围，但基于质疑答复内容提出的投诉事项除外。</w:t>
      </w:r>
    </w:p>
    <w:p w14:paraId="065D2A6A">
      <w:pPr>
        <w:spacing w:before="76" w:line="228" w:lineRule="auto"/>
        <w:ind w:left="19"/>
        <w:rPr>
          <w:rFonts w:ascii="宋体" w:hAnsi="宋体" w:eastAsia="宋体" w:cs="宋体"/>
          <w:color w:val="auto"/>
          <w:sz w:val="20"/>
          <w:szCs w:val="20"/>
          <w:lang w:eastAsia="zh-CN"/>
        </w:rPr>
      </w:pPr>
      <w:r>
        <w:rPr>
          <w:rFonts w:ascii="Tahoma" w:hAnsi="Tahoma" w:eastAsia="Tahoma" w:cs="Tahoma"/>
          <w:b/>
          <w:bCs/>
          <w:color w:val="auto"/>
          <w:spacing w:val="2"/>
          <w:sz w:val="20"/>
          <w:szCs w:val="20"/>
          <w:lang w:eastAsia="zh-CN"/>
        </w:rPr>
        <w:t xml:space="preserve">10.3 </w:t>
      </w:r>
      <w:r>
        <w:rPr>
          <w:rFonts w:ascii="宋体" w:hAnsi="宋体" w:eastAsia="宋体" w:cs="宋体"/>
          <w:color w:val="auto"/>
          <w:spacing w:val="2"/>
          <w:sz w:val="20"/>
          <w:szCs w:val="20"/>
          <w:lang w:eastAsia="zh-CN"/>
          <w14:textOutline w14:w="3797" w14:cap="sq" w14:cmpd="sng" w14:algn="ctr">
            <w14:solidFill>
              <w14:srgbClr w14:val="000000"/>
            </w14:solidFill>
            <w14:prstDash w14:val="solid"/>
            <w14:bevel/>
          </w14:textOutline>
        </w:rPr>
        <w:t>其他</w:t>
      </w:r>
    </w:p>
    <w:p w14:paraId="648BB057">
      <w:pPr>
        <w:spacing w:before="72" w:line="227" w:lineRule="auto"/>
        <w:ind w:left="22"/>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 xml:space="preserve">10.3.1 </w:t>
      </w:r>
      <w:r>
        <w:rPr>
          <w:rFonts w:ascii="宋体" w:hAnsi="宋体" w:eastAsia="宋体" w:cs="宋体"/>
          <w:color w:val="auto"/>
          <w:spacing w:val="7"/>
          <w:sz w:val="20"/>
          <w:szCs w:val="20"/>
          <w:lang w:eastAsia="zh-CN"/>
        </w:rPr>
        <w:t>投标人出席开标会，详见投标</w:t>
      </w:r>
      <w:r>
        <w:rPr>
          <w:rFonts w:ascii="宋体" w:hAnsi="宋体" w:eastAsia="宋体" w:cs="宋体"/>
          <w:color w:val="auto"/>
          <w:spacing w:val="6"/>
          <w:sz w:val="20"/>
          <w:szCs w:val="20"/>
          <w:lang w:eastAsia="zh-CN"/>
        </w:rPr>
        <w:t>人须知前附表。</w:t>
      </w:r>
    </w:p>
    <w:p w14:paraId="2D1CB82C">
      <w:pPr>
        <w:spacing w:before="73" w:line="227" w:lineRule="auto"/>
        <w:ind w:left="22"/>
        <w:rPr>
          <w:rFonts w:ascii="宋体" w:hAnsi="宋体" w:eastAsia="宋体" w:cs="宋体"/>
          <w:color w:val="auto"/>
          <w:sz w:val="20"/>
          <w:szCs w:val="20"/>
          <w:lang w:eastAsia="zh-CN"/>
        </w:rPr>
      </w:pPr>
      <w:r>
        <w:rPr>
          <w:rFonts w:ascii="Tahoma" w:hAnsi="Tahoma" w:eastAsia="Tahoma" w:cs="Tahoma"/>
          <w:color w:val="auto"/>
          <w:spacing w:val="6"/>
          <w:sz w:val="20"/>
          <w:szCs w:val="20"/>
          <w:lang w:eastAsia="zh-CN"/>
        </w:rPr>
        <w:t xml:space="preserve">10.3.2 </w:t>
      </w:r>
      <w:r>
        <w:rPr>
          <w:rFonts w:ascii="宋体" w:hAnsi="宋体" w:eastAsia="宋体" w:cs="宋体"/>
          <w:color w:val="auto"/>
          <w:spacing w:val="6"/>
          <w:sz w:val="20"/>
          <w:szCs w:val="20"/>
          <w:lang w:eastAsia="zh-CN"/>
        </w:rPr>
        <w:t>通讯联系，详见投标人须知前附表。</w:t>
      </w:r>
    </w:p>
    <w:p w14:paraId="7EB06F2D">
      <w:pPr>
        <w:spacing w:line="227" w:lineRule="auto"/>
        <w:rPr>
          <w:rFonts w:ascii="宋体" w:hAnsi="宋体" w:eastAsia="宋体" w:cs="宋体"/>
          <w:color w:val="auto"/>
          <w:sz w:val="20"/>
          <w:szCs w:val="20"/>
          <w:lang w:eastAsia="zh-CN"/>
        </w:rPr>
        <w:sectPr>
          <w:headerReference r:id="rId15" w:type="default"/>
          <w:footerReference r:id="rId16" w:type="default"/>
          <w:pgSz w:w="12240" w:h="15840"/>
          <w:pgMar w:top="1440" w:right="1080" w:bottom="1440" w:left="1080" w:header="873" w:footer="1080" w:gutter="0"/>
          <w:pgBorders>
            <w:top w:val="none" w:sz="0" w:space="0"/>
            <w:left w:val="none" w:sz="0" w:space="0"/>
            <w:bottom w:val="none" w:sz="0" w:space="0"/>
            <w:right w:val="none" w:sz="0" w:space="0"/>
          </w:pgBorders>
          <w:pgNumType w:fmt="decimal"/>
          <w:cols w:space="720" w:num="1"/>
        </w:sectPr>
      </w:pPr>
    </w:p>
    <w:p w14:paraId="57079852">
      <w:pPr>
        <w:pStyle w:val="8"/>
        <w:spacing w:line="241" w:lineRule="auto"/>
        <w:rPr>
          <w:color w:val="auto"/>
          <w:lang w:eastAsia="zh-CN"/>
        </w:rPr>
      </w:pPr>
    </w:p>
    <w:p w14:paraId="68666AB2">
      <w:pPr>
        <w:pStyle w:val="8"/>
        <w:spacing w:line="241" w:lineRule="auto"/>
        <w:rPr>
          <w:color w:val="auto"/>
          <w:lang w:eastAsia="zh-CN"/>
        </w:rPr>
      </w:pPr>
    </w:p>
    <w:p w14:paraId="4AEC5984">
      <w:pPr>
        <w:pStyle w:val="8"/>
        <w:spacing w:line="241" w:lineRule="auto"/>
        <w:rPr>
          <w:color w:val="auto"/>
          <w:lang w:eastAsia="zh-CN"/>
        </w:rPr>
      </w:pPr>
    </w:p>
    <w:p w14:paraId="2DD769BA">
      <w:pPr>
        <w:pStyle w:val="8"/>
        <w:spacing w:line="241" w:lineRule="auto"/>
        <w:rPr>
          <w:color w:val="auto"/>
          <w:lang w:eastAsia="zh-CN"/>
        </w:rPr>
      </w:pPr>
    </w:p>
    <w:p w14:paraId="09CD53F6">
      <w:pPr>
        <w:pStyle w:val="8"/>
        <w:spacing w:line="241" w:lineRule="auto"/>
        <w:rPr>
          <w:color w:val="auto"/>
          <w:lang w:eastAsia="zh-CN"/>
        </w:rPr>
      </w:pPr>
    </w:p>
    <w:p w14:paraId="29A70D90">
      <w:pPr>
        <w:pStyle w:val="8"/>
        <w:spacing w:line="241" w:lineRule="auto"/>
        <w:rPr>
          <w:color w:val="auto"/>
          <w:lang w:eastAsia="zh-CN"/>
        </w:rPr>
      </w:pPr>
    </w:p>
    <w:p w14:paraId="1245ADAF">
      <w:pPr>
        <w:pStyle w:val="8"/>
        <w:spacing w:line="241" w:lineRule="auto"/>
        <w:rPr>
          <w:color w:val="auto"/>
          <w:lang w:eastAsia="zh-CN"/>
        </w:rPr>
      </w:pPr>
    </w:p>
    <w:p w14:paraId="06303B93">
      <w:pPr>
        <w:pStyle w:val="8"/>
        <w:spacing w:line="241" w:lineRule="auto"/>
        <w:rPr>
          <w:color w:val="auto"/>
          <w:lang w:eastAsia="zh-CN"/>
        </w:rPr>
      </w:pPr>
    </w:p>
    <w:p w14:paraId="04737B5C">
      <w:pPr>
        <w:pStyle w:val="8"/>
        <w:spacing w:line="241" w:lineRule="auto"/>
        <w:rPr>
          <w:color w:val="auto"/>
          <w:lang w:eastAsia="zh-CN"/>
        </w:rPr>
      </w:pPr>
    </w:p>
    <w:p w14:paraId="61D33969">
      <w:pPr>
        <w:pStyle w:val="8"/>
        <w:spacing w:line="241" w:lineRule="auto"/>
        <w:rPr>
          <w:color w:val="auto"/>
          <w:lang w:eastAsia="zh-CN"/>
        </w:rPr>
      </w:pPr>
    </w:p>
    <w:p w14:paraId="2F738174">
      <w:pPr>
        <w:pStyle w:val="8"/>
        <w:spacing w:line="241" w:lineRule="auto"/>
        <w:rPr>
          <w:color w:val="auto"/>
          <w:lang w:eastAsia="zh-CN"/>
        </w:rPr>
      </w:pPr>
    </w:p>
    <w:p w14:paraId="6123E3CE">
      <w:pPr>
        <w:pStyle w:val="8"/>
        <w:spacing w:line="241" w:lineRule="auto"/>
        <w:rPr>
          <w:color w:val="auto"/>
          <w:lang w:eastAsia="zh-CN"/>
        </w:rPr>
      </w:pPr>
    </w:p>
    <w:p w14:paraId="7C33C566">
      <w:pPr>
        <w:pStyle w:val="8"/>
        <w:spacing w:line="241" w:lineRule="auto"/>
        <w:rPr>
          <w:color w:val="auto"/>
          <w:lang w:eastAsia="zh-CN"/>
        </w:rPr>
      </w:pPr>
    </w:p>
    <w:p w14:paraId="5529F7E3">
      <w:pPr>
        <w:pStyle w:val="8"/>
        <w:spacing w:line="241" w:lineRule="auto"/>
        <w:rPr>
          <w:color w:val="auto"/>
          <w:lang w:eastAsia="zh-CN"/>
        </w:rPr>
      </w:pPr>
    </w:p>
    <w:p w14:paraId="71DBC1EA">
      <w:pPr>
        <w:pStyle w:val="8"/>
        <w:spacing w:line="241" w:lineRule="auto"/>
        <w:rPr>
          <w:color w:val="auto"/>
          <w:lang w:eastAsia="zh-CN"/>
        </w:rPr>
      </w:pPr>
    </w:p>
    <w:p w14:paraId="74FD65D4">
      <w:pPr>
        <w:pStyle w:val="8"/>
        <w:spacing w:line="241" w:lineRule="auto"/>
        <w:rPr>
          <w:color w:val="auto"/>
          <w:lang w:eastAsia="zh-CN"/>
        </w:rPr>
      </w:pPr>
    </w:p>
    <w:p w14:paraId="23E156F6">
      <w:pPr>
        <w:pStyle w:val="8"/>
        <w:spacing w:line="241" w:lineRule="auto"/>
        <w:rPr>
          <w:color w:val="auto"/>
          <w:lang w:eastAsia="zh-CN"/>
        </w:rPr>
      </w:pPr>
    </w:p>
    <w:p w14:paraId="58D17A2D">
      <w:pPr>
        <w:pStyle w:val="8"/>
        <w:spacing w:line="241" w:lineRule="auto"/>
        <w:rPr>
          <w:color w:val="auto"/>
          <w:lang w:eastAsia="zh-CN"/>
        </w:rPr>
      </w:pPr>
    </w:p>
    <w:p w14:paraId="68A97607">
      <w:pPr>
        <w:pStyle w:val="8"/>
        <w:spacing w:line="241" w:lineRule="auto"/>
        <w:rPr>
          <w:color w:val="auto"/>
          <w:lang w:eastAsia="zh-CN"/>
        </w:rPr>
      </w:pPr>
    </w:p>
    <w:p w14:paraId="7CCDFB71">
      <w:pPr>
        <w:pStyle w:val="8"/>
        <w:spacing w:line="241" w:lineRule="auto"/>
        <w:rPr>
          <w:color w:val="auto"/>
          <w:lang w:eastAsia="zh-CN"/>
        </w:rPr>
      </w:pPr>
    </w:p>
    <w:p w14:paraId="3F8962D3">
      <w:pPr>
        <w:pStyle w:val="8"/>
        <w:spacing w:line="241" w:lineRule="auto"/>
        <w:rPr>
          <w:color w:val="auto"/>
          <w:lang w:eastAsia="zh-CN"/>
        </w:rPr>
      </w:pPr>
    </w:p>
    <w:p w14:paraId="26748148">
      <w:pPr>
        <w:pStyle w:val="8"/>
        <w:spacing w:line="241" w:lineRule="auto"/>
        <w:rPr>
          <w:color w:val="auto"/>
          <w:lang w:eastAsia="zh-CN"/>
        </w:rPr>
      </w:pPr>
    </w:p>
    <w:p w14:paraId="428A1E75">
      <w:pPr>
        <w:pStyle w:val="8"/>
        <w:spacing w:line="241" w:lineRule="auto"/>
        <w:rPr>
          <w:color w:val="auto"/>
          <w:lang w:eastAsia="zh-CN"/>
        </w:rPr>
      </w:pPr>
    </w:p>
    <w:p w14:paraId="46355CE8">
      <w:pPr>
        <w:pStyle w:val="8"/>
        <w:spacing w:line="242" w:lineRule="auto"/>
        <w:rPr>
          <w:color w:val="auto"/>
          <w:lang w:eastAsia="zh-CN"/>
        </w:rPr>
      </w:pPr>
    </w:p>
    <w:p w14:paraId="59DC181B">
      <w:pPr>
        <w:pStyle w:val="2"/>
        <w:bidi w:val="0"/>
        <w:rPr>
          <w:lang w:eastAsia="zh-CN"/>
        </w:rPr>
      </w:pPr>
      <w:bookmarkStart w:id="10" w:name="_Toc742"/>
      <w:bookmarkStart w:id="11" w:name="_Toc20276"/>
      <w:r>
        <w:rPr>
          <w:lang w:eastAsia="zh-CN"/>
        </w:rPr>
        <w:t>第三章  评标办法</w:t>
      </w:r>
      <w:bookmarkEnd w:id="10"/>
      <w:bookmarkEnd w:id="11"/>
    </w:p>
    <w:p w14:paraId="440B5CF2">
      <w:pPr>
        <w:spacing w:line="225" w:lineRule="auto"/>
        <w:rPr>
          <w:rFonts w:ascii="黑体" w:hAnsi="黑体" w:eastAsia="黑体" w:cs="黑体"/>
          <w:color w:val="auto"/>
          <w:sz w:val="43"/>
          <w:szCs w:val="43"/>
          <w:lang w:eastAsia="zh-CN"/>
        </w:rPr>
        <w:sectPr>
          <w:footerReference r:id="rId17" w:type="default"/>
          <w:pgSz w:w="12240" w:h="15840"/>
          <w:pgMar w:top="1440" w:right="1080" w:bottom="1440" w:left="1080" w:header="873" w:footer="1081" w:gutter="0"/>
          <w:pgBorders>
            <w:top w:val="none" w:sz="0" w:space="0"/>
            <w:left w:val="none" w:sz="0" w:space="0"/>
            <w:bottom w:val="none" w:sz="0" w:space="0"/>
            <w:right w:val="none" w:sz="0" w:space="0"/>
          </w:pgBorders>
          <w:pgNumType w:fmt="decimal"/>
          <w:cols w:space="720" w:num="1"/>
        </w:sectPr>
      </w:pPr>
    </w:p>
    <w:p w14:paraId="66735193">
      <w:pPr>
        <w:spacing w:before="78" w:line="221" w:lineRule="auto"/>
        <w:ind w:left="4023"/>
        <w:outlineLvl w:val="0"/>
        <w:rPr>
          <w:rFonts w:ascii="黑体" w:hAnsi="黑体" w:eastAsia="黑体" w:cs="黑体"/>
          <w:color w:val="auto"/>
          <w:sz w:val="24"/>
          <w:szCs w:val="24"/>
          <w:lang w:eastAsia="zh-CN"/>
        </w:rPr>
      </w:pPr>
      <w:bookmarkStart w:id="12" w:name="_Toc16424"/>
      <w:bookmarkStart w:id="13" w:name="_Toc29330"/>
      <w:bookmarkStart w:id="14" w:name="_Toc13994"/>
      <w:r>
        <w:rPr>
          <w:rFonts w:ascii="Tahoma" w:hAnsi="Tahoma" w:eastAsia="Tahoma" w:cs="Tahoma"/>
          <w:b/>
          <w:bCs/>
          <w:color w:val="auto"/>
          <w:spacing w:val="-4"/>
          <w:sz w:val="24"/>
          <w:szCs w:val="24"/>
          <w:lang w:eastAsia="zh-CN"/>
        </w:rPr>
        <w:t>1</w:t>
      </w:r>
      <w:r>
        <w:rPr>
          <w:rFonts w:ascii="宋体" w:hAnsi="宋体" w:eastAsia="宋体" w:cs="宋体"/>
          <w:color w:val="auto"/>
          <w:spacing w:val="-4"/>
          <w:sz w:val="24"/>
          <w:szCs w:val="24"/>
          <w:lang w:eastAsia="zh-CN"/>
          <w14:textOutline w14:w="4356" w14:cap="sq" w14:cmpd="sng" w14:algn="ctr">
            <w14:solidFill>
              <w14:srgbClr w14:val="000000"/>
            </w14:solidFill>
            <w14:prstDash w14:val="solid"/>
            <w14:bevel/>
          </w14:textOutline>
        </w:rPr>
        <w:t>、</w:t>
      </w:r>
      <w:r>
        <w:rPr>
          <w:rFonts w:ascii="黑体" w:hAnsi="黑体" w:eastAsia="黑体" w:cs="黑体"/>
          <w:color w:val="auto"/>
          <w:spacing w:val="-4"/>
          <w:sz w:val="24"/>
          <w:szCs w:val="24"/>
          <w:lang w:eastAsia="zh-CN"/>
          <w14:textOutline w14:w="4356" w14:cap="sq" w14:cmpd="sng" w14:algn="ctr">
            <w14:solidFill>
              <w14:srgbClr w14:val="000000"/>
            </w14:solidFill>
            <w14:prstDash w14:val="solid"/>
            <w14:bevel/>
          </w14:textOutline>
        </w:rPr>
        <w:t>评标办法</w:t>
      </w:r>
      <w:bookmarkEnd w:id="12"/>
      <w:bookmarkEnd w:id="13"/>
      <w:bookmarkEnd w:id="14"/>
    </w:p>
    <w:p w14:paraId="284D18DE">
      <w:pPr>
        <w:spacing w:before="234" w:line="297" w:lineRule="auto"/>
        <w:ind w:left="7" w:firstLine="481"/>
        <w:rPr>
          <w:rFonts w:ascii="宋体" w:hAnsi="宋体" w:eastAsia="宋体" w:cs="宋体"/>
          <w:color w:val="auto"/>
          <w:sz w:val="20"/>
          <w:szCs w:val="20"/>
          <w:lang w:eastAsia="zh-CN"/>
        </w:rPr>
      </w:pPr>
      <w:r>
        <w:rPr>
          <w:rFonts w:ascii="宋体" w:hAnsi="宋体" w:eastAsia="宋体" w:cs="宋体"/>
          <w:color w:val="auto"/>
          <w:spacing w:val="11"/>
          <w:sz w:val="20"/>
          <w:szCs w:val="20"/>
          <w:lang w:eastAsia="zh-CN"/>
        </w:rPr>
        <w:t>本次评标</w:t>
      </w:r>
      <w:r>
        <w:rPr>
          <w:rFonts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按照《政府采购货物和服务招标投标管</w:t>
      </w:r>
      <w:r>
        <w:rPr>
          <w:rFonts w:ascii="宋体" w:hAnsi="宋体" w:eastAsia="宋体" w:cs="宋体"/>
          <w:color w:val="auto"/>
          <w:spacing w:val="10"/>
          <w:sz w:val="20"/>
          <w:szCs w:val="20"/>
          <w:lang w:eastAsia="zh-CN"/>
          <w14:textOutline w14:w="3797" w14:cap="sq" w14:cmpd="sng" w14:algn="ctr">
            <w14:solidFill>
              <w14:srgbClr w14:val="000000"/>
            </w14:solidFill>
            <w14:prstDash w14:val="solid"/>
            <w14:bevel/>
          </w14:textOutline>
        </w:rPr>
        <w:t>理办法》</w:t>
      </w:r>
      <w:r>
        <w:rPr>
          <w:rFonts w:ascii="宋体" w:hAnsi="宋体" w:eastAsia="宋体" w:cs="宋体"/>
          <w:color w:val="auto"/>
          <w:spacing w:val="-77"/>
          <w:sz w:val="20"/>
          <w:szCs w:val="20"/>
          <w:lang w:eastAsia="zh-CN"/>
        </w:rPr>
        <w:t xml:space="preserve"> </w:t>
      </w:r>
      <w:r>
        <w:rPr>
          <w:rFonts w:ascii="宋体" w:hAnsi="宋体" w:eastAsia="宋体" w:cs="宋体"/>
          <w:color w:val="auto"/>
          <w:spacing w:val="10"/>
          <w:sz w:val="20"/>
          <w:szCs w:val="20"/>
          <w:lang w:eastAsia="zh-CN"/>
          <w14:textOutline w14:w="3797" w14:cap="sq" w14:cmpd="sng" w14:algn="ctr">
            <w14:solidFill>
              <w14:srgbClr w14:val="000000"/>
            </w14:solidFill>
            <w14:prstDash w14:val="solid"/>
            <w14:bevel/>
          </w14:textOutline>
        </w:rPr>
        <w:t>（中华人民共和国财政部令第</w:t>
      </w:r>
      <w:r>
        <w:rPr>
          <w:rFonts w:ascii="宋体" w:hAnsi="宋体" w:eastAsia="宋体" w:cs="宋体"/>
          <w:color w:val="auto"/>
          <w:spacing w:val="-38"/>
          <w:sz w:val="20"/>
          <w:szCs w:val="20"/>
          <w:lang w:eastAsia="zh-CN"/>
        </w:rPr>
        <w:t xml:space="preserve"> </w:t>
      </w:r>
      <w:r>
        <w:rPr>
          <w:rFonts w:ascii="Tahoma" w:hAnsi="Tahoma" w:eastAsia="Tahoma" w:cs="Tahoma"/>
          <w:b/>
          <w:bCs/>
          <w:color w:val="auto"/>
          <w:spacing w:val="10"/>
          <w:sz w:val="20"/>
          <w:szCs w:val="20"/>
          <w:lang w:eastAsia="zh-CN"/>
        </w:rPr>
        <w:t xml:space="preserve">87 </w:t>
      </w:r>
      <w:r>
        <w:rPr>
          <w:rFonts w:ascii="宋体" w:hAnsi="宋体" w:eastAsia="宋体" w:cs="宋体"/>
          <w:color w:val="auto"/>
          <w:spacing w:val="10"/>
          <w:sz w:val="20"/>
          <w:szCs w:val="20"/>
          <w:lang w:eastAsia="zh-CN"/>
          <w14:textOutline w14:w="3797" w14:cap="sq" w14:cmpd="sng" w14:algn="ctr">
            <w14:solidFill>
              <w14:srgbClr w14:val="000000"/>
            </w14:solidFill>
            <w14:prstDash w14:val="solid"/>
            <w14:bevel/>
          </w14:textOutline>
        </w:rPr>
        <w:t>号）</w:t>
      </w:r>
      <w:r>
        <w:rPr>
          <w:rFonts w:ascii="宋体" w:hAnsi="宋体" w:eastAsia="宋体" w:cs="宋体"/>
          <w:color w:val="auto"/>
          <w:sz w:val="20"/>
          <w:szCs w:val="20"/>
          <w:lang w:eastAsia="zh-CN"/>
        </w:rPr>
        <w:t xml:space="preserve"> </w:t>
      </w:r>
      <w:r>
        <w:rPr>
          <w:rFonts w:ascii="宋体" w:hAnsi="宋体" w:eastAsia="宋体" w:cs="宋体"/>
          <w:color w:val="auto"/>
          <w:spacing w:val="12"/>
          <w:sz w:val="20"/>
          <w:szCs w:val="20"/>
          <w:lang w:eastAsia="zh-CN"/>
          <w14:textOutline w14:w="3797" w14:cap="sq" w14:cmpd="sng" w14:algn="ctr">
            <w14:solidFill>
              <w14:srgbClr w14:val="000000"/>
            </w14:solidFill>
            <w14:prstDash w14:val="solid"/>
            <w14:bevel/>
          </w14:textOutline>
        </w:rPr>
        <w:t>规定的评审标准，采用综合评分法</w:t>
      </w:r>
      <w:r>
        <w:rPr>
          <w:rFonts w:ascii="宋体" w:hAnsi="宋体" w:eastAsia="宋体" w:cs="宋体"/>
          <w:color w:val="auto"/>
          <w:spacing w:val="-53"/>
          <w:sz w:val="20"/>
          <w:szCs w:val="20"/>
          <w:lang w:eastAsia="zh-CN"/>
        </w:rPr>
        <w:t xml:space="preserve"> </w:t>
      </w:r>
      <w:r>
        <w:rPr>
          <w:rFonts w:ascii="宋体" w:hAnsi="宋体" w:eastAsia="宋体" w:cs="宋体"/>
          <w:color w:val="auto"/>
          <w:spacing w:val="12"/>
          <w:sz w:val="20"/>
          <w:szCs w:val="20"/>
          <w:lang w:eastAsia="zh-CN"/>
        </w:rPr>
        <w:t>。评标委员</w:t>
      </w:r>
      <w:r>
        <w:rPr>
          <w:rFonts w:ascii="宋体" w:hAnsi="宋体" w:eastAsia="宋体" w:cs="宋体"/>
          <w:color w:val="auto"/>
          <w:spacing w:val="11"/>
          <w:sz w:val="20"/>
          <w:szCs w:val="20"/>
          <w:lang w:eastAsia="zh-CN"/>
        </w:rPr>
        <w:t>会对全部满足招标文件实质性要求前提下，按照招标文</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件中规定的各项因素进行综合评审后，按评审后得分由高到低顺序排列，得分</w:t>
      </w:r>
      <w:r>
        <w:rPr>
          <w:rFonts w:ascii="宋体" w:hAnsi="宋体" w:eastAsia="宋体" w:cs="宋体"/>
          <w:color w:val="auto"/>
          <w:spacing w:val="7"/>
          <w:sz w:val="20"/>
          <w:szCs w:val="20"/>
          <w:lang w:eastAsia="zh-CN"/>
        </w:rPr>
        <w:t>相同的，按投标报价由低</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到高顺序排列。得分且投标报价相同的并列。投标文件满足招标文件全部实质</w:t>
      </w:r>
      <w:r>
        <w:rPr>
          <w:rFonts w:ascii="宋体" w:hAnsi="宋体" w:eastAsia="宋体" w:cs="宋体"/>
          <w:color w:val="auto"/>
          <w:spacing w:val="7"/>
          <w:sz w:val="20"/>
          <w:szCs w:val="20"/>
          <w:lang w:eastAsia="zh-CN"/>
        </w:rPr>
        <w:t>性要求，且按照评审因素</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的量化指标评审得分最高的投标人为排名第一的中标候选人。</w:t>
      </w:r>
    </w:p>
    <w:p w14:paraId="7043F733">
      <w:pPr>
        <w:spacing w:before="67" w:line="222" w:lineRule="auto"/>
        <w:ind w:left="4018"/>
        <w:rPr>
          <w:rFonts w:ascii="黑体" w:hAnsi="黑体" w:eastAsia="黑体" w:cs="黑体"/>
          <w:color w:val="auto"/>
          <w:sz w:val="24"/>
          <w:szCs w:val="24"/>
          <w:lang w:eastAsia="zh-CN"/>
        </w:rPr>
      </w:pPr>
      <w:r>
        <w:rPr>
          <w:rFonts w:ascii="Tahoma" w:hAnsi="Tahoma" w:eastAsia="Tahoma" w:cs="Tahoma"/>
          <w:b/>
          <w:bCs/>
          <w:color w:val="auto"/>
          <w:spacing w:val="-3"/>
          <w:sz w:val="24"/>
          <w:szCs w:val="24"/>
          <w:lang w:eastAsia="zh-CN"/>
        </w:rPr>
        <w:t>2</w:t>
      </w:r>
      <w:r>
        <w:rPr>
          <w:rFonts w:ascii="宋体" w:hAnsi="宋体" w:eastAsia="宋体" w:cs="宋体"/>
          <w:color w:val="auto"/>
          <w:spacing w:val="-3"/>
          <w:sz w:val="24"/>
          <w:szCs w:val="24"/>
          <w:lang w:eastAsia="zh-CN"/>
          <w14:textOutline w14:w="4356" w14:cap="sq" w14:cmpd="sng" w14:algn="ctr">
            <w14:solidFill>
              <w14:srgbClr w14:val="000000"/>
            </w14:solidFill>
            <w14:prstDash w14:val="solid"/>
            <w14:bevel/>
          </w14:textOutline>
        </w:rPr>
        <w:t>、</w:t>
      </w:r>
      <w:r>
        <w:rPr>
          <w:rFonts w:ascii="黑体" w:hAnsi="黑体" w:eastAsia="黑体" w:cs="黑体"/>
          <w:color w:val="auto"/>
          <w:spacing w:val="-3"/>
          <w:sz w:val="24"/>
          <w:szCs w:val="24"/>
          <w:lang w:eastAsia="zh-CN"/>
          <w14:textOutline w14:w="4356" w14:cap="sq" w14:cmpd="sng" w14:algn="ctr">
            <w14:solidFill>
              <w14:srgbClr w14:val="000000"/>
            </w14:solidFill>
            <w14:prstDash w14:val="solid"/>
            <w14:bevel/>
          </w14:textOutline>
        </w:rPr>
        <w:t>评审标准</w:t>
      </w:r>
    </w:p>
    <w:p w14:paraId="27954B2C">
      <w:pPr>
        <w:spacing w:before="76" w:line="228" w:lineRule="auto"/>
        <w:ind w:left="15"/>
        <w:rPr>
          <w:rFonts w:ascii="宋体" w:hAnsi="宋体" w:eastAsia="宋体" w:cs="宋体"/>
          <w:color w:val="auto"/>
          <w:sz w:val="20"/>
          <w:szCs w:val="20"/>
          <w:lang w:eastAsia="zh-CN"/>
        </w:rPr>
      </w:pPr>
      <w:r>
        <w:rPr>
          <w:rFonts w:ascii="Tahoma" w:hAnsi="Tahoma" w:eastAsia="Tahoma" w:cs="Tahoma"/>
          <w:b/>
          <w:bCs/>
          <w:color w:val="auto"/>
          <w:spacing w:val="6"/>
          <w:sz w:val="20"/>
          <w:szCs w:val="20"/>
          <w:lang w:eastAsia="zh-CN"/>
        </w:rPr>
        <w:t>2.1</w:t>
      </w:r>
      <w:r>
        <w:rPr>
          <w:rFonts w:ascii="Tahoma" w:hAnsi="Tahoma" w:eastAsia="Tahoma" w:cs="Tahoma"/>
          <w:b/>
          <w:bCs/>
          <w:color w:val="auto"/>
          <w:spacing w:val="53"/>
          <w:sz w:val="20"/>
          <w:szCs w:val="20"/>
          <w:lang w:eastAsia="zh-CN"/>
        </w:rPr>
        <w:t xml:space="preserve"> </w:t>
      </w:r>
      <w:r>
        <w:rPr>
          <w:rFonts w:ascii="宋体" w:hAnsi="宋体" w:eastAsia="宋体" w:cs="宋体"/>
          <w:color w:val="auto"/>
          <w:spacing w:val="6"/>
          <w:sz w:val="20"/>
          <w:szCs w:val="20"/>
          <w:lang w:eastAsia="zh-CN"/>
          <w14:textOutline w14:w="3797" w14:cap="sq" w14:cmpd="sng" w14:algn="ctr">
            <w14:solidFill>
              <w14:srgbClr w14:val="000000"/>
            </w14:solidFill>
            <w14:prstDash w14:val="solid"/>
            <w14:bevel/>
          </w14:textOutline>
        </w:rPr>
        <w:t>初步评审标准</w:t>
      </w:r>
    </w:p>
    <w:p w14:paraId="258D8514">
      <w:pPr>
        <w:spacing w:before="93" w:line="228" w:lineRule="auto"/>
        <w:ind w:left="11"/>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 xml:space="preserve">2.1.1 </w:t>
      </w:r>
      <w:r>
        <w:rPr>
          <w:rFonts w:ascii="宋体" w:hAnsi="宋体" w:eastAsia="宋体" w:cs="宋体"/>
          <w:color w:val="auto"/>
          <w:spacing w:val="7"/>
          <w:sz w:val="20"/>
          <w:szCs w:val="20"/>
          <w:lang w:eastAsia="zh-CN"/>
        </w:rPr>
        <w:t>投标文件初审。初审分为资格性检查和符合性检查。</w:t>
      </w:r>
    </w:p>
    <w:p w14:paraId="00165E49">
      <w:pPr>
        <w:spacing w:before="94" w:line="292" w:lineRule="auto"/>
        <w:ind w:left="7" w:right="2" w:firstLine="219"/>
        <w:jc w:val="both"/>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w:t>
      </w:r>
      <w:r>
        <w:rPr>
          <w:rFonts w:ascii="Tahoma" w:hAnsi="Tahoma" w:eastAsia="Tahoma" w:cs="Tahoma"/>
          <w:color w:val="auto"/>
          <w:spacing w:val="10"/>
          <w:sz w:val="20"/>
          <w:szCs w:val="20"/>
          <w:lang w:eastAsia="zh-CN"/>
        </w:rPr>
        <w:t>1</w:t>
      </w:r>
      <w:r>
        <w:rPr>
          <w:rFonts w:ascii="宋体" w:hAnsi="宋体" w:eastAsia="宋体" w:cs="宋体"/>
          <w:color w:val="auto"/>
          <w:spacing w:val="10"/>
          <w:sz w:val="20"/>
          <w:szCs w:val="20"/>
          <w:lang w:eastAsia="zh-CN"/>
        </w:rPr>
        <w:t>）资格性检查：依据法律法规和招标文件的</w:t>
      </w:r>
      <w:r>
        <w:rPr>
          <w:rFonts w:ascii="宋体" w:hAnsi="宋体" w:eastAsia="宋体" w:cs="宋体"/>
          <w:color w:val="auto"/>
          <w:spacing w:val="9"/>
          <w:sz w:val="20"/>
          <w:szCs w:val="20"/>
          <w:lang w:eastAsia="zh-CN"/>
        </w:rPr>
        <w:t>规定，在对投标文件详细评估之前，评标委员会将依</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据投标人提交的投标文件按投标人须知前附表所述的资格标准对投标人进行资</w:t>
      </w:r>
      <w:r>
        <w:rPr>
          <w:rFonts w:ascii="宋体" w:hAnsi="宋体" w:eastAsia="宋体" w:cs="宋体"/>
          <w:color w:val="auto"/>
          <w:spacing w:val="7"/>
          <w:sz w:val="20"/>
          <w:szCs w:val="20"/>
          <w:lang w:eastAsia="zh-CN"/>
        </w:rPr>
        <w:t>格审查，以确定其是否具</w:t>
      </w:r>
      <w:r>
        <w:rPr>
          <w:rFonts w:ascii="宋体" w:hAnsi="宋体" w:eastAsia="宋体" w:cs="宋体"/>
          <w:color w:val="auto"/>
          <w:sz w:val="20"/>
          <w:szCs w:val="20"/>
          <w:lang w:eastAsia="zh-CN"/>
        </w:rPr>
        <w:t xml:space="preserve"> </w:t>
      </w:r>
      <w:r>
        <w:rPr>
          <w:rFonts w:ascii="宋体" w:hAnsi="宋体" w:eastAsia="宋体" w:cs="宋体"/>
          <w:color w:val="auto"/>
          <w:spacing w:val="13"/>
          <w:sz w:val="20"/>
          <w:szCs w:val="20"/>
          <w:lang w:eastAsia="zh-CN"/>
        </w:rPr>
        <w:t>备投标资格。</w:t>
      </w:r>
      <w:r>
        <w:rPr>
          <w:rFonts w:ascii="宋体" w:hAnsi="宋体" w:eastAsia="宋体" w:cs="宋体"/>
          <w:color w:val="auto"/>
          <w:spacing w:val="13"/>
          <w:sz w:val="20"/>
          <w:szCs w:val="20"/>
          <w:lang w:eastAsia="zh-CN"/>
          <w14:textOutline w14:w="3797" w14:cap="sq" w14:cmpd="sng" w14:algn="ctr">
            <w14:solidFill>
              <w14:srgbClr w14:val="000000"/>
            </w14:solidFill>
            <w14:prstDash w14:val="solid"/>
            <w14:bevel/>
          </w14:textOutline>
        </w:rPr>
        <w:t>如果投标人不具备投标资格，不满</w:t>
      </w:r>
      <w:r>
        <w:rPr>
          <w:rFonts w:ascii="宋体" w:hAnsi="宋体" w:eastAsia="宋体" w:cs="宋体"/>
          <w:color w:val="auto"/>
          <w:spacing w:val="12"/>
          <w:sz w:val="20"/>
          <w:szCs w:val="20"/>
          <w:lang w:eastAsia="zh-CN"/>
          <w14:textOutline w14:w="3797" w14:cap="sq" w14:cmpd="sng" w14:algn="ctr">
            <w14:solidFill>
              <w14:srgbClr w14:val="000000"/>
            </w14:solidFill>
            <w14:prstDash w14:val="solid"/>
            <w14:bevel/>
          </w14:textOutline>
        </w:rPr>
        <w:t>足招标文件所规定的资格标准或提供资格证明文件不</w:t>
      </w:r>
      <w:r>
        <w:rPr>
          <w:rFonts w:ascii="宋体" w:hAnsi="宋体" w:eastAsia="宋体" w:cs="宋体"/>
          <w:color w:val="auto"/>
          <w:spacing w:val="8"/>
          <w:sz w:val="20"/>
          <w:szCs w:val="20"/>
          <w:lang w:eastAsia="zh-CN"/>
          <w14:textOutline w14:w="3797" w14:cap="sq" w14:cmpd="sng" w14:algn="ctr">
            <w14:solidFill>
              <w14:srgbClr w14:val="000000"/>
            </w14:solidFill>
            <w14:prstDash w14:val="solid"/>
            <w14:bevel/>
          </w14:textOutline>
        </w:rPr>
        <w:t>全的，其投标无效。</w:t>
      </w:r>
    </w:p>
    <w:p w14:paraId="3B76A1C7">
      <w:pPr>
        <w:spacing w:before="92" w:line="285" w:lineRule="auto"/>
        <w:ind w:left="8" w:right="2" w:firstLine="218"/>
        <w:jc w:val="both"/>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2</w:t>
      </w:r>
      <w:r>
        <w:rPr>
          <w:rFonts w:ascii="宋体" w:hAnsi="宋体" w:eastAsia="宋体" w:cs="宋体"/>
          <w:color w:val="auto"/>
          <w:spacing w:val="9"/>
          <w:sz w:val="20"/>
          <w:szCs w:val="20"/>
          <w:lang w:eastAsia="zh-CN"/>
        </w:rPr>
        <w:t>）符合性检查：</w:t>
      </w:r>
      <w:r>
        <w:rPr>
          <w:rFonts w:ascii="宋体" w:hAnsi="宋体" w:eastAsia="宋体" w:cs="宋体"/>
          <w:color w:val="auto"/>
          <w:spacing w:val="-56"/>
          <w:sz w:val="20"/>
          <w:szCs w:val="20"/>
          <w:lang w:eastAsia="zh-CN"/>
        </w:rPr>
        <w:t xml:space="preserve"> </w:t>
      </w:r>
      <w:r>
        <w:rPr>
          <w:rFonts w:ascii="宋体" w:hAnsi="宋体" w:eastAsia="宋体" w:cs="宋体"/>
          <w:color w:val="auto"/>
          <w:spacing w:val="9"/>
          <w:sz w:val="20"/>
          <w:szCs w:val="20"/>
          <w:lang w:eastAsia="zh-CN"/>
        </w:rPr>
        <w:t>由评标委员会依据有关法律</w:t>
      </w:r>
      <w:r>
        <w:rPr>
          <w:rFonts w:ascii="宋体" w:hAnsi="宋体" w:eastAsia="宋体" w:cs="宋体"/>
          <w:color w:val="auto"/>
          <w:spacing w:val="8"/>
          <w:sz w:val="20"/>
          <w:szCs w:val="20"/>
          <w:lang w:eastAsia="zh-CN"/>
        </w:rPr>
        <w:t>、法规及招标文件的要求，对符合资格的投标人的投</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标文件进行符合性审查，以确定是否对招标文件的实质性要求做出响应。</w:t>
      </w:r>
      <w:r>
        <w:rPr>
          <w:rFonts w:ascii="宋体" w:hAnsi="宋体" w:eastAsia="宋体" w:cs="宋体"/>
          <w:color w:val="auto"/>
          <w:spacing w:val="7"/>
          <w:sz w:val="20"/>
          <w:szCs w:val="20"/>
          <w:lang w:eastAsia="zh-CN"/>
        </w:rPr>
        <w:t>只有通过符合性审查的投标人</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的投标文件才能进入下一阶段的评审！</w:t>
      </w:r>
    </w:p>
    <w:p w14:paraId="07990F8C">
      <w:pPr>
        <w:spacing w:before="96" w:line="228" w:lineRule="auto"/>
        <w:ind w:left="15"/>
        <w:rPr>
          <w:rFonts w:ascii="宋体" w:hAnsi="宋体" w:eastAsia="宋体" w:cs="宋体"/>
          <w:color w:val="auto"/>
          <w:sz w:val="20"/>
          <w:szCs w:val="20"/>
          <w:lang w:eastAsia="zh-CN"/>
        </w:rPr>
      </w:pPr>
      <w:r>
        <w:rPr>
          <w:rFonts w:ascii="Tahoma" w:hAnsi="Tahoma" w:eastAsia="Tahoma" w:cs="Tahoma"/>
          <w:b/>
          <w:bCs/>
          <w:color w:val="auto"/>
          <w:spacing w:val="4"/>
          <w:sz w:val="20"/>
          <w:szCs w:val="20"/>
          <w:lang w:eastAsia="zh-CN"/>
        </w:rPr>
        <w:t xml:space="preserve">2.2 </w:t>
      </w:r>
      <w:r>
        <w:rPr>
          <w:rFonts w:ascii="宋体" w:hAnsi="宋体" w:eastAsia="宋体" w:cs="宋体"/>
          <w:color w:val="auto"/>
          <w:spacing w:val="4"/>
          <w:sz w:val="20"/>
          <w:szCs w:val="20"/>
          <w:lang w:eastAsia="zh-CN"/>
          <w14:textOutline w14:w="3797" w14:cap="sq" w14:cmpd="sng" w14:algn="ctr">
            <w14:solidFill>
              <w14:srgbClr w14:val="000000"/>
            </w14:solidFill>
            <w14:prstDash w14:val="solid"/>
            <w14:bevel/>
          </w14:textOutline>
        </w:rPr>
        <w:t>详细评审</w:t>
      </w:r>
    </w:p>
    <w:p w14:paraId="627515F7">
      <w:pPr>
        <w:spacing w:before="94" w:line="269" w:lineRule="auto"/>
        <w:ind w:left="18" w:right="2" w:firstLine="208"/>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w:t>
      </w:r>
      <w:r>
        <w:rPr>
          <w:rFonts w:ascii="Tahoma" w:hAnsi="Tahoma" w:eastAsia="Tahoma" w:cs="Tahoma"/>
          <w:color w:val="auto"/>
          <w:spacing w:val="10"/>
          <w:sz w:val="20"/>
          <w:szCs w:val="20"/>
          <w:lang w:eastAsia="zh-CN"/>
        </w:rPr>
        <w:t>1</w:t>
      </w:r>
      <w:r>
        <w:rPr>
          <w:rFonts w:ascii="宋体" w:hAnsi="宋体" w:eastAsia="宋体" w:cs="宋体"/>
          <w:color w:val="auto"/>
          <w:spacing w:val="10"/>
          <w:sz w:val="20"/>
          <w:szCs w:val="20"/>
          <w:lang w:eastAsia="zh-CN"/>
        </w:rPr>
        <w:t>）对通过符合性审查的投标人的投标文件（投标文</w:t>
      </w:r>
      <w:r>
        <w:rPr>
          <w:rFonts w:ascii="宋体" w:hAnsi="宋体" w:eastAsia="宋体" w:cs="宋体"/>
          <w:color w:val="auto"/>
          <w:spacing w:val="9"/>
          <w:sz w:val="20"/>
          <w:szCs w:val="20"/>
          <w:lang w:eastAsia="zh-CN"/>
        </w:rPr>
        <w:t>件满足招标文件全部实质性要求）进一步进行</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审查，由评标委员会审查、评价投标文件是否符合招标文件的商务、技术等实质性要求。</w:t>
      </w:r>
    </w:p>
    <w:p w14:paraId="4649C1D7">
      <w:pPr>
        <w:spacing w:before="96" w:line="270" w:lineRule="auto"/>
        <w:ind w:left="9" w:right="2" w:firstLine="217"/>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w:t>
      </w:r>
      <w:r>
        <w:rPr>
          <w:rFonts w:ascii="Tahoma" w:hAnsi="Tahoma" w:eastAsia="Tahoma" w:cs="Tahoma"/>
          <w:color w:val="auto"/>
          <w:spacing w:val="10"/>
          <w:sz w:val="20"/>
          <w:szCs w:val="20"/>
          <w:lang w:eastAsia="zh-CN"/>
        </w:rPr>
        <w:t>2</w:t>
      </w:r>
      <w:r>
        <w:rPr>
          <w:rFonts w:ascii="宋体" w:hAnsi="宋体" w:eastAsia="宋体" w:cs="宋体"/>
          <w:color w:val="auto"/>
          <w:spacing w:val="10"/>
          <w:sz w:val="20"/>
          <w:szCs w:val="20"/>
          <w:lang w:eastAsia="zh-CN"/>
        </w:rPr>
        <w:t>）评标委员会应当按照招标文件中规定的评标方法</w:t>
      </w:r>
      <w:r>
        <w:rPr>
          <w:rFonts w:ascii="宋体" w:hAnsi="宋体" w:eastAsia="宋体" w:cs="宋体"/>
          <w:color w:val="auto"/>
          <w:spacing w:val="9"/>
          <w:sz w:val="20"/>
          <w:szCs w:val="20"/>
          <w:lang w:eastAsia="zh-CN"/>
        </w:rPr>
        <w:t>和标准，对符合性审查合格的投标文件进行商</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务和技术评估，综合比较与评价。</w:t>
      </w:r>
    </w:p>
    <w:p w14:paraId="57A0EFDB">
      <w:pPr>
        <w:spacing w:before="95" w:line="271" w:lineRule="auto"/>
        <w:ind w:left="11" w:right="2" w:firstLine="215"/>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w:t>
      </w:r>
      <w:r>
        <w:rPr>
          <w:rFonts w:ascii="Tahoma" w:hAnsi="Tahoma" w:eastAsia="Tahoma" w:cs="Tahoma"/>
          <w:color w:val="auto"/>
          <w:spacing w:val="10"/>
          <w:sz w:val="20"/>
          <w:szCs w:val="20"/>
          <w:lang w:eastAsia="zh-CN"/>
        </w:rPr>
        <w:t>3</w:t>
      </w:r>
      <w:r>
        <w:rPr>
          <w:rFonts w:ascii="宋体" w:hAnsi="宋体" w:eastAsia="宋体" w:cs="宋体"/>
          <w:color w:val="auto"/>
          <w:spacing w:val="10"/>
          <w:sz w:val="20"/>
          <w:szCs w:val="20"/>
          <w:lang w:eastAsia="zh-CN"/>
        </w:rPr>
        <w:t>）评标委员会按招标文件规定的评审因素和量化指</w:t>
      </w:r>
      <w:r>
        <w:rPr>
          <w:rFonts w:ascii="宋体" w:hAnsi="宋体" w:eastAsia="宋体" w:cs="宋体"/>
          <w:color w:val="auto"/>
          <w:spacing w:val="9"/>
          <w:sz w:val="20"/>
          <w:szCs w:val="20"/>
          <w:lang w:eastAsia="zh-CN"/>
        </w:rPr>
        <w:t>标由评标委员会采用综合评分法对投标文件进</w:t>
      </w:r>
      <w:r>
        <w:rPr>
          <w:rFonts w:ascii="宋体" w:hAnsi="宋体" w:eastAsia="宋体" w:cs="宋体"/>
          <w:color w:val="auto"/>
          <w:sz w:val="20"/>
          <w:szCs w:val="20"/>
          <w:lang w:eastAsia="zh-CN"/>
        </w:rPr>
        <w:t xml:space="preserve"> </w:t>
      </w:r>
      <w:r>
        <w:rPr>
          <w:rFonts w:ascii="宋体" w:hAnsi="宋体" w:eastAsia="宋体" w:cs="宋体"/>
          <w:color w:val="auto"/>
          <w:spacing w:val="6"/>
          <w:sz w:val="20"/>
          <w:szCs w:val="20"/>
          <w:lang w:eastAsia="zh-CN"/>
        </w:rPr>
        <w:t>行综合评分。</w:t>
      </w:r>
    </w:p>
    <w:p w14:paraId="74633A36">
      <w:pPr>
        <w:spacing w:before="93" w:line="228" w:lineRule="auto"/>
        <w:ind w:left="15"/>
        <w:rPr>
          <w:rFonts w:ascii="宋体" w:hAnsi="宋体" w:eastAsia="宋体" w:cs="宋体"/>
          <w:color w:val="auto"/>
          <w:sz w:val="20"/>
          <w:szCs w:val="20"/>
          <w:lang w:eastAsia="zh-CN"/>
        </w:rPr>
      </w:pPr>
      <w:r>
        <w:rPr>
          <w:rFonts w:ascii="Tahoma" w:hAnsi="Tahoma" w:eastAsia="Tahoma" w:cs="Tahoma"/>
          <w:b/>
          <w:bCs/>
          <w:color w:val="auto"/>
          <w:spacing w:val="4"/>
          <w:sz w:val="20"/>
          <w:szCs w:val="20"/>
          <w:lang w:eastAsia="zh-CN"/>
        </w:rPr>
        <w:t xml:space="preserve">2.3 </w:t>
      </w:r>
      <w:r>
        <w:rPr>
          <w:rFonts w:ascii="宋体" w:hAnsi="宋体" w:eastAsia="宋体" w:cs="宋体"/>
          <w:color w:val="auto"/>
          <w:spacing w:val="4"/>
          <w:sz w:val="20"/>
          <w:szCs w:val="20"/>
          <w:lang w:eastAsia="zh-CN"/>
          <w14:textOutline w14:w="3797" w14:cap="sq" w14:cmpd="sng" w14:algn="ctr">
            <w14:solidFill>
              <w14:srgbClr w14:val="000000"/>
            </w14:solidFill>
            <w14:prstDash w14:val="solid"/>
            <w14:bevel/>
          </w14:textOutline>
        </w:rPr>
        <w:t>评审因素</w:t>
      </w:r>
    </w:p>
    <w:p w14:paraId="375DA463">
      <w:pPr>
        <w:spacing w:before="92" w:line="271" w:lineRule="auto"/>
        <w:ind w:left="9" w:firstLine="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2.3.1 </w:t>
      </w:r>
      <w:r>
        <w:rPr>
          <w:rFonts w:ascii="宋体" w:hAnsi="宋体" w:eastAsia="宋体" w:cs="宋体"/>
          <w:color w:val="auto"/>
          <w:spacing w:val="9"/>
          <w:sz w:val="20"/>
          <w:szCs w:val="20"/>
          <w:lang w:eastAsia="zh-CN"/>
        </w:rPr>
        <w:t>评标委员会依据统一的评审要素，综合进行评定，在评标中，不得改变招标文件中规定的评标标</w:t>
      </w:r>
      <w:r>
        <w:rPr>
          <w:rFonts w:ascii="宋体" w:hAnsi="宋体" w:eastAsia="宋体" w:cs="宋体"/>
          <w:color w:val="auto"/>
          <w:spacing w:val="4"/>
          <w:sz w:val="20"/>
          <w:szCs w:val="20"/>
          <w:lang w:eastAsia="zh-CN"/>
        </w:rPr>
        <w:t xml:space="preserve"> </w:t>
      </w:r>
      <w:r>
        <w:rPr>
          <w:rFonts w:ascii="宋体" w:hAnsi="宋体" w:eastAsia="宋体" w:cs="宋体"/>
          <w:color w:val="auto"/>
          <w:spacing w:val="7"/>
          <w:sz w:val="20"/>
          <w:szCs w:val="20"/>
          <w:lang w:eastAsia="zh-CN"/>
        </w:rPr>
        <w:t>准、方法和中标条件。</w:t>
      </w:r>
    </w:p>
    <w:p w14:paraId="0B59A6EB">
      <w:pPr>
        <w:spacing w:before="95" w:line="292" w:lineRule="auto"/>
        <w:ind w:left="9" w:right="2" w:firstLine="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2.3.2 </w:t>
      </w:r>
      <w:r>
        <w:rPr>
          <w:rFonts w:ascii="宋体" w:hAnsi="宋体" w:eastAsia="宋体" w:cs="宋体"/>
          <w:color w:val="auto"/>
          <w:spacing w:val="9"/>
          <w:sz w:val="20"/>
          <w:szCs w:val="20"/>
          <w:lang w:eastAsia="zh-CN"/>
        </w:rPr>
        <w:t>在评标中，不得改变招标文件中规定的评标标准、方法和中标条件。不得将投标人的注册资本、</w:t>
      </w:r>
      <w:r>
        <w:rPr>
          <w:rFonts w:ascii="宋体" w:hAnsi="宋体" w:eastAsia="宋体" w:cs="宋体"/>
          <w:color w:val="auto"/>
          <w:spacing w:val="2"/>
          <w:sz w:val="20"/>
          <w:szCs w:val="20"/>
          <w:lang w:eastAsia="zh-CN"/>
        </w:rPr>
        <w:t xml:space="preserve"> </w:t>
      </w:r>
      <w:r>
        <w:rPr>
          <w:rFonts w:ascii="宋体" w:hAnsi="宋体" w:eastAsia="宋体" w:cs="宋体"/>
          <w:color w:val="auto"/>
          <w:spacing w:val="8"/>
          <w:sz w:val="20"/>
          <w:szCs w:val="20"/>
          <w:lang w:eastAsia="zh-CN"/>
        </w:rPr>
        <w:t>资产总额、营业收入、从业人员、利润、纳税额等规模条件作为资格要</w:t>
      </w:r>
      <w:r>
        <w:rPr>
          <w:rFonts w:ascii="宋体" w:hAnsi="宋体" w:eastAsia="宋体" w:cs="宋体"/>
          <w:color w:val="auto"/>
          <w:spacing w:val="7"/>
          <w:sz w:val="20"/>
          <w:szCs w:val="20"/>
          <w:lang w:eastAsia="zh-CN"/>
        </w:rPr>
        <w:t>求或者评审因素，也不得通过将</w:t>
      </w:r>
      <w:r>
        <w:rPr>
          <w:rFonts w:ascii="宋体" w:hAnsi="宋体" w:eastAsia="宋体" w:cs="宋体"/>
          <w:color w:val="auto"/>
          <w:spacing w:val="8"/>
          <w:sz w:val="20"/>
          <w:szCs w:val="20"/>
          <w:lang w:eastAsia="zh-CN"/>
        </w:rPr>
        <w:t>除进口货物以外的生产厂家授权、承诺、证明、背书等作为资格要求，</w:t>
      </w:r>
      <w:r>
        <w:rPr>
          <w:rFonts w:ascii="宋体" w:hAnsi="宋体" w:eastAsia="宋体" w:cs="宋体"/>
          <w:color w:val="auto"/>
          <w:spacing w:val="7"/>
          <w:sz w:val="20"/>
          <w:szCs w:val="20"/>
          <w:lang w:eastAsia="zh-CN"/>
        </w:rPr>
        <w:t>对投标人实行差别待遇或者歧视</w:t>
      </w:r>
      <w:r>
        <w:rPr>
          <w:rFonts w:ascii="宋体" w:hAnsi="宋体" w:eastAsia="宋体" w:cs="宋体"/>
          <w:color w:val="auto"/>
          <w:spacing w:val="2"/>
          <w:sz w:val="20"/>
          <w:szCs w:val="20"/>
          <w:lang w:eastAsia="zh-CN"/>
        </w:rPr>
        <w:t>待遇。</w:t>
      </w:r>
    </w:p>
    <w:p w14:paraId="28551588">
      <w:pPr>
        <w:spacing w:before="92" w:line="228" w:lineRule="auto"/>
        <w:ind w:left="15"/>
        <w:rPr>
          <w:rFonts w:ascii="宋体" w:hAnsi="宋体" w:eastAsia="宋体" w:cs="宋体"/>
          <w:color w:val="auto"/>
          <w:sz w:val="20"/>
          <w:szCs w:val="20"/>
          <w:lang w:eastAsia="zh-CN"/>
        </w:rPr>
      </w:pPr>
      <w:r>
        <w:rPr>
          <w:rFonts w:ascii="Tahoma" w:hAnsi="Tahoma" w:eastAsia="Tahoma" w:cs="Tahoma"/>
          <w:b/>
          <w:bCs/>
          <w:color w:val="auto"/>
          <w:spacing w:val="6"/>
          <w:sz w:val="20"/>
          <w:szCs w:val="20"/>
          <w:lang w:eastAsia="zh-CN"/>
        </w:rPr>
        <w:t xml:space="preserve">2.4 </w:t>
      </w:r>
      <w:r>
        <w:rPr>
          <w:rFonts w:ascii="宋体" w:hAnsi="宋体" w:eastAsia="宋体" w:cs="宋体"/>
          <w:color w:val="auto"/>
          <w:spacing w:val="6"/>
          <w:sz w:val="20"/>
          <w:szCs w:val="20"/>
          <w:lang w:eastAsia="zh-CN"/>
          <w14:textOutline w14:w="3797" w14:cap="sq" w14:cmpd="sng" w14:algn="ctr">
            <w14:solidFill>
              <w14:srgbClr w14:val="000000"/>
            </w14:solidFill>
            <w14:prstDash w14:val="solid"/>
            <w14:bevel/>
          </w14:textOutline>
        </w:rPr>
        <w:t>评分标准与分值构成</w:t>
      </w:r>
    </w:p>
    <w:p w14:paraId="5DBB10E7">
      <w:pPr>
        <w:spacing w:before="94" w:line="271" w:lineRule="auto"/>
        <w:ind w:left="9" w:right="2" w:firstLine="41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评分标准按商务、技术和投标价格三个部分确定的评审因素和评</w:t>
      </w:r>
      <w:r>
        <w:rPr>
          <w:rFonts w:ascii="宋体" w:hAnsi="宋体" w:eastAsia="宋体" w:cs="宋体"/>
          <w:color w:val="auto"/>
          <w:spacing w:val="7"/>
          <w:sz w:val="20"/>
          <w:szCs w:val="20"/>
          <w:lang w:eastAsia="zh-CN"/>
        </w:rPr>
        <w:t>分标准分别进行评定，分值构成采</w:t>
      </w:r>
      <w:r>
        <w:rPr>
          <w:rFonts w:ascii="宋体" w:hAnsi="宋体" w:eastAsia="宋体" w:cs="宋体"/>
          <w:color w:val="auto"/>
          <w:spacing w:val="5"/>
          <w:sz w:val="20"/>
          <w:szCs w:val="20"/>
          <w:lang w:eastAsia="zh-CN"/>
        </w:rPr>
        <w:t>用百分制，商务、技术部分满分为</w:t>
      </w:r>
      <w:r>
        <w:rPr>
          <w:rFonts w:ascii="宋体" w:hAnsi="宋体" w:eastAsia="宋体" w:cs="宋体"/>
          <w:color w:val="auto"/>
          <w:spacing w:val="-9"/>
          <w:sz w:val="20"/>
          <w:szCs w:val="20"/>
          <w:lang w:eastAsia="zh-CN"/>
        </w:rPr>
        <w:t xml:space="preserve"> </w:t>
      </w:r>
      <w:r>
        <w:rPr>
          <w:rFonts w:ascii="Tahoma" w:hAnsi="Tahoma" w:eastAsia="Tahoma" w:cs="Tahoma"/>
          <w:color w:val="auto"/>
          <w:spacing w:val="5"/>
          <w:sz w:val="20"/>
          <w:szCs w:val="20"/>
          <w:lang w:eastAsia="zh-CN"/>
        </w:rPr>
        <w:t xml:space="preserve">100 </w:t>
      </w:r>
      <w:r>
        <w:rPr>
          <w:rFonts w:ascii="宋体" w:hAnsi="宋体" w:eastAsia="宋体" w:cs="宋体"/>
          <w:color w:val="auto"/>
          <w:spacing w:val="5"/>
          <w:sz w:val="20"/>
          <w:szCs w:val="20"/>
          <w:lang w:eastAsia="zh-CN"/>
        </w:rPr>
        <w:t>分，合计总分</w:t>
      </w:r>
      <w:r>
        <w:rPr>
          <w:rFonts w:ascii="宋体" w:hAnsi="宋体" w:eastAsia="宋体" w:cs="宋体"/>
          <w:color w:val="auto"/>
          <w:spacing w:val="-22"/>
          <w:sz w:val="20"/>
          <w:szCs w:val="20"/>
          <w:lang w:eastAsia="zh-CN"/>
        </w:rPr>
        <w:t xml:space="preserve"> </w:t>
      </w:r>
      <w:r>
        <w:rPr>
          <w:rFonts w:ascii="Tahoma" w:hAnsi="Tahoma" w:eastAsia="Tahoma" w:cs="Tahoma"/>
          <w:color w:val="auto"/>
          <w:spacing w:val="5"/>
          <w:sz w:val="20"/>
          <w:szCs w:val="20"/>
          <w:lang w:eastAsia="zh-CN"/>
        </w:rPr>
        <w:t xml:space="preserve">100 </w:t>
      </w:r>
      <w:r>
        <w:rPr>
          <w:rFonts w:ascii="宋体" w:hAnsi="宋体" w:eastAsia="宋体" w:cs="宋体"/>
          <w:color w:val="auto"/>
          <w:spacing w:val="5"/>
          <w:sz w:val="20"/>
          <w:szCs w:val="20"/>
          <w:lang w:eastAsia="zh-CN"/>
        </w:rPr>
        <w:t>分。</w:t>
      </w:r>
    </w:p>
    <w:p w14:paraId="31800D9B">
      <w:pPr>
        <w:spacing w:line="271" w:lineRule="auto"/>
        <w:rPr>
          <w:rFonts w:ascii="宋体" w:hAnsi="宋体" w:eastAsia="宋体" w:cs="宋体"/>
          <w:color w:val="auto"/>
          <w:sz w:val="20"/>
          <w:szCs w:val="20"/>
          <w:lang w:eastAsia="zh-CN"/>
        </w:rPr>
        <w:sectPr>
          <w:headerReference r:id="rId18" w:type="default"/>
          <w:footerReference r:id="rId19" w:type="default"/>
          <w:pgSz w:w="12240" w:h="15840"/>
          <w:pgMar w:top="1440" w:right="1080" w:bottom="1440" w:left="1080" w:header="873" w:footer="1081" w:gutter="0"/>
          <w:pgBorders>
            <w:top w:val="none" w:sz="0" w:space="0"/>
            <w:left w:val="none" w:sz="0" w:space="0"/>
            <w:bottom w:val="none" w:sz="0" w:space="0"/>
            <w:right w:val="none" w:sz="0" w:space="0"/>
          </w:pgBorders>
          <w:pgNumType w:fmt="decimal"/>
          <w:cols w:space="720" w:num="1"/>
        </w:sectPr>
      </w:pPr>
    </w:p>
    <w:p w14:paraId="214AA237">
      <w:pPr>
        <w:spacing w:before="98" w:line="216" w:lineRule="auto"/>
        <w:jc w:val="center"/>
        <w:rPr>
          <w:rFonts w:ascii="仿宋" w:hAnsi="仿宋" w:eastAsia="仿宋" w:cs="仿宋"/>
          <w:color w:val="auto"/>
          <w:sz w:val="30"/>
          <w:szCs w:val="30"/>
          <w:lang w:eastAsia="zh-CN"/>
        </w:rPr>
      </w:pPr>
      <w:r>
        <w:rPr>
          <w:rFonts w:ascii="仿宋" w:hAnsi="仿宋" w:eastAsia="仿宋" w:cs="仿宋"/>
          <w:color w:val="auto"/>
          <w:spacing w:val="-5"/>
          <w:sz w:val="30"/>
          <w:szCs w:val="30"/>
          <w:lang w:eastAsia="zh-CN"/>
          <w14:textOutline w14:w="5448" w14:cap="sq" w14:cmpd="sng" w14:algn="ctr">
            <w14:solidFill>
              <w14:srgbClr w14:val="000000"/>
            </w14:solidFill>
            <w14:prstDash w14:val="solid"/>
            <w14:bevel/>
          </w14:textOutline>
        </w:rPr>
        <w:t>详细评分表（满分</w:t>
      </w:r>
      <w:r>
        <w:rPr>
          <w:rFonts w:ascii="仿宋" w:hAnsi="仿宋" w:eastAsia="仿宋" w:cs="仿宋"/>
          <w:color w:val="auto"/>
          <w:spacing w:val="-35"/>
          <w:sz w:val="30"/>
          <w:szCs w:val="30"/>
          <w:lang w:eastAsia="zh-CN"/>
        </w:rPr>
        <w:t xml:space="preserve"> </w:t>
      </w:r>
      <w:r>
        <w:rPr>
          <w:rFonts w:ascii="宋体" w:hAnsi="宋体" w:eastAsia="宋体" w:cs="宋体"/>
          <w:color w:val="auto"/>
          <w:spacing w:val="-5"/>
          <w:sz w:val="30"/>
          <w:szCs w:val="30"/>
          <w:lang w:eastAsia="zh-CN"/>
          <w14:textOutline w14:w="5448" w14:cap="sq" w14:cmpd="sng" w14:algn="ctr">
            <w14:solidFill>
              <w14:srgbClr w14:val="000000"/>
            </w14:solidFill>
            <w14:prstDash w14:val="solid"/>
            <w14:bevel/>
          </w14:textOutline>
        </w:rPr>
        <w:t>100</w:t>
      </w:r>
      <w:r>
        <w:rPr>
          <w:rFonts w:ascii="宋体" w:hAnsi="宋体" w:eastAsia="宋体" w:cs="宋体"/>
          <w:color w:val="auto"/>
          <w:spacing w:val="-60"/>
          <w:sz w:val="30"/>
          <w:szCs w:val="30"/>
          <w:lang w:eastAsia="zh-CN"/>
        </w:rPr>
        <w:t xml:space="preserve"> </w:t>
      </w:r>
      <w:r>
        <w:rPr>
          <w:rFonts w:ascii="仿宋" w:hAnsi="仿宋" w:eastAsia="仿宋" w:cs="仿宋"/>
          <w:color w:val="auto"/>
          <w:spacing w:val="-5"/>
          <w:sz w:val="30"/>
          <w:szCs w:val="30"/>
          <w:lang w:eastAsia="zh-CN"/>
          <w14:textOutline w14:w="5448" w14:cap="sq" w14:cmpd="sng" w14:algn="ctr">
            <w14:solidFill>
              <w14:srgbClr w14:val="000000"/>
            </w14:solidFill>
            <w14:prstDash w14:val="solid"/>
            <w14:bevel/>
          </w14:textOutline>
        </w:rPr>
        <w:t>分）</w:t>
      </w:r>
    </w:p>
    <w:p w14:paraId="2C2EEE73">
      <w:pPr>
        <w:spacing w:line="132" w:lineRule="exact"/>
        <w:rPr>
          <w:color w:val="auto"/>
          <w:lang w:eastAsia="zh-CN"/>
        </w:rPr>
      </w:pPr>
    </w:p>
    <w:tbl>
      <w:tblPr>
        <w:tblStyle w:val="20"/>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55"/>
        <w:gridCol w:w="1224"/>
        <w:gridCol w:w="6491"/>
        <w:gridCol w:w="783"/>
      </w:tblGrid>
      <w:tr w14:paraId="4B17EF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5" w:hRule="atLeast"/>
          <w:jc w:val="center"/>
        </w:trPr>
        <w:tc>
          <w:tcPr>
            <w:tcW w:w="955" w:type="dxa"/>
            <w:tcBorders>
              <w:top w:val="single" w:color="000000" w:sz="4" w:space="0"/>
              <w:left w:val="single" w:color="000000" w:sz="4" w:space="0"/>
              <w:bottom w:val="single" w:color="000000" w:sz="4" w:space="0"/>
              <w:right w:val="single" w:color="000000" w:sz="4" w:space="0"/>
            </w:tcBorders>
            <w:noWrap w:val="0"/>
            <w:vAlign w:val="center"/>
          </w:tcPr>
          <w:p w14:paraId="1E2C0E67">
            <w:pPr>
              <w:spacing w:before="95" w:line="292" w:lineRule="auto"/>
              <w:ind w:left="9" w:right="2" w:firstLine="1"/>
              <w:rPr>
                <w:rFonts w:hint="eastAsia" w:ascii="宋体" w:hAnsi="宋体" w:eastAsia="宋体" w:cs="宋体"/>
                <w:color w:val="auto"/>
                <w:spacing w:val="9"/>
                <w:sz w:val="20"/>
                <w:szCs w:val="20"/>
                <w:lang w:eastAsia="zh-CN"/>
              </w:rPr>
            </w:pPr>
            <w:r>
              <w:rPr>
                <w:rFonts w:hint="eastAsia" w:ascii="宋体" w:hAnsi="宋体" w:eastAsia="宋体" w:cs="宋体"/>
                <w:color w:val="auto"/>
                <w:spacing w:val="9"/>
                <w:sz w:val="20"/>
                <w:szCs w:val="20"/>
                <w:lang w:eastAsia="zh-CN"/>
              </w:rPr>
              <w:t>评审因素</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432BCBBF">
            <w:pPr>
              <w:spacing w:before="95" w:line="292" w:lineRule="auto"/>
              <w:ind w:left="9" w:right="2" w:firstLine="1"/>
              <w:rPr>
                <w:rFonts w:hint="eastAsia" w:ascii="宋体" w:hAnsi="宋体" w:eastAsia="宋体" w:cs="宋体"/>
                <w:color w:val="auto"/>
                <w:spacing w:val="9"/>
                <w:sz w:val="20"/>
                <w:szCs w:val="20"/>
                <w:lang w:eastAsia="zh-CN"/>
              </w:rPr>
            </w:pPr>
            <w:r>
              <w:rPr>
                <w:rFonts w:hint="eastAsia" w:ascii="宋体" w:hAnsi="宋体" w:eastAsia="宋体" w:cs="宋体"/>
                <w:color w:val="auto"/>
                <w:spacing w:val="9"/>
                <w:sz w:val="20"/>
                <w:szCs w:val="20"/>
                <w:lang w:eastAsia="zh-CN"/>
              </w:rPr>
              <w:t xml:space="preserve">评审指标         </w:t>
            </w:r>
          </w:p>
        </w:tc>
        <w:tc>
          <w:tcPr>
            <w:tcW w:w="6491" w:type="dxa"/>
            <w:tcBorders>
              <w:top w:val="single" w:color="000000" w:sz="4" w:space="0"/>
              <w:left w:val="single" w:color="000000" w:sz="4" w:space="0"/>
              <w:bottom w:val="single" w:color="000000" w:sz="4" w:space="0"/>
              <w:right w:val="single" w:color="000000" w:sz="4" w:space="0"/>
            </w:tcBorders>
            <w:noWrap w:val="0"/>
            <w:vAlign w:val="center"/>
          </w:tcPr>
          <w:p w14:paraId="7A97FFE9">
            <w:pPr>
              <w:spacing w:before="95" w:line="292" w:lineRule="auto"/>
              <w:ind w:left="9" w:right="2" w:firstLine="1"/>
              <w:rPr>
                <w:rFonts w:hint="eastAsia" w:ascii="宋体" w:hAnsi="宋体" w:eastAsia="宋体" w:cs="宋体"/>
                <w:color w:val="auto"/>
                <w:spacing w:val="9"/>
                <w:sz w:val="20"/>
                <w:szCs w:val="20"/>
                <w:lang w:eastAsia="zh-CN"/>
              </w:rPr>
            </w:pPr>
            <w:r>
              <w:rPr>
                <w:rFonts w:hint="eastAsia" w:ascii="宋体" w:hAnsi="宋体" w:eastAsia="宋体" w:cs="宋体"/>
                <w:color w:val="auto"/>
                <w:spacing w:val="9"/>
                <w:sz w:val="20"/>
                <w:szCs w:val="20"/>
                <w:lang w:eastAsia="zh-CN"/>
              </w:rPr>
              <w:t>评分标准</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6CEFFC26">
            <w:pPr>
              <w:spacing w:before="95" w:line="292" w:lineRule="auto"/>
              <w:ind w:left="9" w:right="2" w:firstLine="1"/>
              <w:rPr>
                <w:rFonts w:hint="eastAsia" w:ascii="宋体" w:hAnsi="宋体" w:eastAsia="宋体" w:cs="宋体"/>
                <w:color w:val="auto"/>
                <w:spacing w:val="9"/>
                <w:sz w:val="20"/>
                <w:szCs w:val="20"/>
                <w:lang w:eastAsia="zh-CN"/>
              </w:rPr>
            </w:pPr>
            <w:r>
              <w:rPr>
                <w:rFonts w:hint="eastAsia" w:ascii="宋体" w:hAnsi="宋体" w:eastAsia="宋体" w:cs="宋体"/>
                <w:color w:val="auto"/>
                <w:spacing w:val="9"/>
                <w:sz w:val="20"/>
                <w:szCs w:val="20"/>
                <w:lang w:eastAsia="zh-CN"/>
              </w:rPr>
              <w:t>分值</w:t>
            </w:r>
          </w:p>
        </w:tc>
      </w:tr>
      <w:tr w14:paraId="645F69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5" w:hRule="atLeast"/>
          <w:jc w:val="center"/>
        </w:trPr>
        <w:tc>
          <w:tcPr>
            <w:tcW w:w="955" w:type="dxa"/>
            <w:tcBorders>
              <w:top w:val="single" w:color="000000" w:sz="4" w:space="0"/>
              <w:left w:val="single" w:color="000000" w:sz="4" w:space="0"/>
              <w:bottom w:val="single" w:color="000000" w:sz="4" w:space="0"/>
              <w:right w:val="single" w:color="000000" w:sz="4" w:space="0"/>
            </w:tcBorders>
            <w:noWrap w:val="0"/>
            <w:vAlign w:val="center"/>
          </w:tcPr>
          <w:p w14:paraId="1B691C6E">
            <w:pPr>
              <w:spacing w:before="95" w:line="292" w:lineRule="auto"/>
              <w:ind w:left="9" w:right="2" w:firstLine="1"/>
              <w:rPr>
                <w:rFonts w:hint="eastAsia" w:ascii="宋体" w:hAnsi="宋体" w:eastAsia="宋体" w:cs="宋体"/>
                <w:color w:val="auto"/>
                <w:spacing w:val="9"/>
                <w:sz w:val="20"/>
                <w:szCs w:val="20"/>
                <w:lang w:eastAsia="zh-CN"/>
              </w:rPr>
            </w:pPr>
            <w:r>
              <w:rPr>
                <w:rFonts w:hint="eastAsia" w:ascii="宋体" w:hAnsi="宋体" w:eastAsia="宋体" w:cs="宋体"/>
                <w:color w:val="auto"/>
                <w:spacing w:val="9"/>
                <w:sz w:val="20"/>
                <w:szCs w:val="20"/>
                <w:lang w:eastAsia="zh-CN"/>
              </w:rPr>
              <w:t>价格部分</w:t>
            </w:r>
          </w:p>
          <w:p w14:paraId="29B6F05F">
            <w:pPr>
              <w:spacing w:before="95" w:line="292" w:lineRule="auto"/>
              <w:ind w:left="9" w:right="2" w:firstLine="1"/>
              <w:rPr>
                <w:rFonts w:hint="eastAsia" w:ascii="宋体" w:hAnsi="宋体" w:eastAsia="宋体" w:cs="宋体"/>
                <w:color w:val="auto"/>
                <w:spacing w:val="9"/>
                <w:sz w:val="20"/>
                <w:szCs w:val="20"/>
                <w:lang w:eastAsia="zh-CN"/>
              </w:rPr>
            </w:pPr>
            <w:r>
              <w:rPr>
                <w:rFonts w:hint="eastAsia" w:ascii="宋体" w:hAnsi="宋体" w:eastAsia="宋体" w:cs="宋体"/>
                <w:color w:val="auto"/>
                <w:spacing w:val="9"/>
                <w:sz w:val="20"/>
                <w:szCs w:val="20"/>
                <w:lang w:eastAsia="zh-CN"/>
              </w:rPr>
              <w:t>（</w:t>
            </w:r>
            <w:r>
              <w:rPr>
                <w:rFonts w:hint="eastAsia" w:ascii="宋体" w:hAnsi="宋体" w:eastAsia="宋体" w:cs="宋体"/>
                <w:color w:val="auto"/>
                <w:spacing w:val="9"/>
                <w:sz w:val="20"/>
                <w:szCs w:val="20"/>
                <w:lang w:val="en-US" w:eastAsia="zh-CN"/>
              </w:rPr>
              <w:t>15</w:t>
            </w:r>
            <w:r>
              <w:rPr>
                <w:rFonts w:hint="eastAsia" w:ascii="宋体" w:hAnsi="宋体" w:eastAsia="宋体" w:cs="宋体"/>
                <w:color w:val="auto"/>
                <w:spacing w:val="9"/>
                <w:sz w:val="20"/>
                <w:szCs w:val="20"/>
                <w:lang w:eastAsia="zh-CN"/>
              </w:rPr>
              <w:t>）</w:t>
            </w:r>
          </w:p>
        </w:tc>
        <w:tc>
          <w:tcPr>
            <w:tcW w:w="1224" w:type="dxa"/>
            <w:tcBorders>
              <w:top w:val="single" w:color="000000" w:sz="4" w:space="0"/>
              <w:left w:val="single" w:color="000000" w:sz="4" w:space="0"/>
              <w:bottom w:val="single" w:color="000000" w:sz="4" w:space="0"/>
              <w:right w:val="single" w:color="000000" w:sz="4" w:space="0"/>
            </w:tcBorders>
            <w:noWrap w:val="0"/>
            <w:vAlign w:val="center"/>
          </w:tcPr>
          <w:p w14:paraId="797D2B79">
            <w:pPr>
              <w:spacing w:before="95" w:line="292" w:lineRule="auto"/>
              <w:ind w:left="9" w:right="2" w:firstLine="1"/>
              <w:rPr>
                <w:rFonts w:hint="eastAsia" w:ascii="宋体" w:hAnsi="宋体" w:eastAsia="宋体" w:cs="宋体"/>
                <w:color w:val="auto"/>
                <w:spacing w:val="9"/>
                <w:sz w:val="20"/>
                <w:szCs w:val="20"/>
                <w:lang w:eastAsia="zh-CN"/>
              </w:rPr>
            </w:pPr>
            <w:r>
              <w:rPr>
                <w:rFonts w:hint="eastAsia" w:ascii="宋体" w:hAnsi="宋体" w:eastAsia="宋体" w:cs="宋体"/>
                <w:color w:val="auto"/>
                <w:spacing w:val="9"/>
                <w:sz w:val="20"/>
                <w:szCs w:val="20"/>
                <w:lang w:eastAsia="zh-CN"/>
              </w:rPr>
              <w:t>最终报价</w:t>
            </w:r>
          </w:p>
        </w:tc>
        <w:tc>
          <w:tcPr>
            <w:tcW w:w="6491" w:type="dxa"/>
            <w:tcBorders>
              <w:top w:val="single" w:color="000000" w:sz="4" w:space="0"/>
              <w:left w:val="single" w:color="000000" w:sz="4" w:space="0"/>
              <w:bottom w:val="single" w:color="000000" w:sz="4" w:space="0"/>
              <w:right w:val="single" w:color="000000" w:sz="4" w:space="0"/>
            </w:tcBorders>
            <w:noWrap w:val="0"/>
            <w:vAlign w:val="top"/>
          </w:tcPr>
          <w:p w14:paraId="1ED5B66E">
            <w:pPr>
              <w:spacing w:before="95" w:line="292" w:lineRule="auto"/>
              <w:ind w:left="9" w:right="2" w:firstLine="1"/>
              <w:rPr>
                <w:rFonts w:hint="eastAsia" w:ascii="宋体" w:hAnsi="宋体" w:eastAsia="宋体" w:cs="宋体"/>
                <w:color w:val="auto"/>
                <w:spacing w:val="9"/>
                <w:sz w:val="20"/>
                <w:szCs w:val="20"/>
                <w:lang w:eastAsia="zh-CN"/>
              </w:rPr>
            </w:pPr>
            <w:r>
              <w:rPr>
                <w:rFonts w:hint="eastAsia" w:ascii="宋体" w:hAnsi="宋体" w:eastAsia="宋体" w:cs="宋体"/>
                <w:color w:val="auto"/>
                <w:spacing w:val="9"/>
                <w:sz w:val="20"/>
                <w:szCs w:val="20"/>
                <w:lang w:eastAsia="zh-CN"/>
              </w:rPr>
              <w:t>满足招标文件要求且最终报价所有供应商的最低价格为招标基准价，其价格分为满分,其他供应商的价格分按公式计算: 招标报价得分=（招标基准价/最终报价）×</w:t>
            </w:r>
            <w:r>
              <w:rPr>
                <w:rFonts w:hint="eastAsia" w:ascii="宋体" w:hAnsi="宋体" w:eastAsia="宋体" w:cs="宋体"/>
                <w:color w:val="auto"/>
                <w:spacing w:val="9"/>
                <w:sz w:val="20"/>
                <w:szCs w:val="20"/>
                <w:lang w:val="en-US" w:eastAsia="zh-CN"/>
              </w:rPr>
              <w:t>15</w:t>
            </w:r>
            <w:r>
              <w:rPr>
                <w:rFonts w:hint="eastAsia" w:ascii="宋体" w:hAnsi="宋体" w:eastAsia="宋体" w:cs="宋体"/>
                <w:color w:val="auto"/>
                <w:spacing w:val="9"/>
                <w:sz w:val="20"/>
                <w:szCs w:val="20"/>
                <w:lang w:eastAsia="zh-CN"/>
              </w:rPr>
              <w:t>%×100。</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382A112D">
            <w:pPr>
              <w:spacing w:before="95" w:line="292" w:lineRule="auto"/>
              <w:ind w:left="9" w:right="2" w:firstLine="1"/>
              <w:jc w:val="center"/>
              <w:rPr>
                <w:rFonts w:hint="default" w:ascii="宋体" w:hAnsi="宋体" w:eastAsia="宋体" w:cs="宋体"/>
                <w:color w:val="auto"/>
                <w:spacing w:val="9"/>
                <w:sz w:val="20"/>
                <w:szCs w:val="20"/>
                <w:lang w:val="en-US" w:eastAsia="zh-CN"/>
              </w:rPr>
            </w:pPr>
            <w:r>
              <w:rPr>
                <w:rFonts w:hint="eastAsia" w:ascii="宋体" w:hAnsi="宋体" w:eastAsia="宋体" w:cs="宋体"/>
                <w:color w:val="auto"/>
                <w:spacing w:val="9"/>
                <w:sz w:val="20"/>
                <w:szCs w:val="20"/>
                <w:lang w:eastAsia="zh-CN"/>
              </w:rPr>
              <w:t>0-</w:t>
            </w:r>
            <w:r>
              <w:rPr>
                <w:rFonts w:hint="eastAsia" w:ascii="宋体" w:hAnsi="宋体" w:eastAsia="宋体" w:cs="宋体"/>
                <w:color w:val="auto"/>
                <w:spacing w:val="9"/>
                <w:sz w:val="20"/>
                <w:szCs w:val="20"/>
                <w:lang w:val="en-US" w:eastAsia="zh-CN"/>
              </w:rPr>
              <w:t>15</w:t>
            </w:r>
          </w:p>
        </w:tc>
      </w:tr>
      <w:tr w14:paraId="05C0C0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jc w:val="center"/>
        </w:trPr>
        <w:tc>
          <w:tcPr>
            <w:tcW w:w="9453" w:type="dxa"/>
            <w:gridSpan w:val="4"/>
            <w:tcBorders>
              <w:top w:val="single" w:color="000000" w:sz="4" w:space="0"/>
              <w:left w:val="single" w:color="000000" w:sz="4" w:space="0"/>
              <w:bottom w:val="single" w:color="000000" w:sz="4" w:space="0"/>
              <w:right w:val="single" w:color="000000" w:sz="4" w:space="0"/>
            </w:tcBorders>
            <w:noWrap w:val="0"/>
            <w:vAlign w:val="center"/>
          </w:tcPr>
          <w:p w14:paraId="24662F04">
            <w:pPr>
              <w:spacing w:before="95" w:line="292" w:lineRule="auto"/>
              <w:ind w:left="9" w:right="2" w:firstLine="1"/>
              <w:jc w:val="center"/>
              <w:rPr>
                <w:rFonts w:hint="eastAsia" w:ascii="宋体" w:hAnsi="宋体" w:eastAsia="宋体" w:cs="宋体"/>
                <w:color w:val="auto"/>
                <w:spacing w:val="9"/>
                <w:sz w:val="20"/>
                <w:szCs w:val="20"/>
                <w:lang w:eastAsia="zh-CN"/>
              </w:rPr>
            </w:pPr>
            <w:r>
              <w:rPr>
                <w:rFonts w:hint="eastAsia" w:ascii="宋体" w:hAnsi="宋体" w:eastAsia="宋体" w:cs="宋体"/>
                <w:color w:val="auto"/>
                <w:spacing w:val="9"/>
                <w:sz w:val="20"/>
                <w:szCs w:val="20"/>
                <w:lang w:eastAsia="zh-CN"/>
              </w:rPr>
              <w:t>新疆维吾尔自治区财政厅文件-新财购[2022] 22号关于落实好政府采购支持中小企业发展的通知。</w:t>
            </w:r>
          </w:p>
        </w:tc>
      </w:tr>
      <w:tr w14:paraId="51AA10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1" w:hRule="atLeast"/>
          <w:jc w:val="center"/>
        </w:trPr>
        <w:tc>
          <w:tcPr>
            <w:tcW w:w="955" w:type="dxa"/>
            <w:vMerge w:val="restart"/>
            <w:tcBorders>
              <w:top w:val="single" w:color="auto" w:sz="4" w:space="0"/>
              <w:left w:val="single" w:color="000000" w:sz="4" w:space="0"/>
              <w:right w:val="single" w:color="000000" w:sz="4" w:space="0"/>
            </w:tcBorders>
            <w:noWrap w:val="0"/>
            <w:vAlign w:val="center"/>
          </w:tcPr>
          <w:p w14:paraId="31D6A8E4">
            <w:pPr>
              <w:pStyle w:val="49"/>
              <w:snapToGrid w:val="0"/>
              <w:spacing w:line="360" w:lineRule="auto"/>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商</w:t>
            </w:r>
          </w:p>
          <w:p w14:paraId="0A564B8D">
            <w:pPr>
              <w:pStyle w:val="49"/>
              <w:snapToGrid w:val="0"/>
              <w:spacing w:line="360" w:lineRule="auto"/>
              <w:ind w:left="560" w:firstLineChars="0"/>
              <w:jc w:val="center"/>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w:t>
            </w:r>
          </w:p>
          <w:p w14:paraId="1EE1F84B">
            <w:pPr>
              <w:snapToGrid w:val="0"/>
              <w:jc w:val="left"/>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商务部分（30分）</w:t>
            </w:r>
          </w:p>
        </w:tc>
        <w:tc>
          <w:tcPr>
            <w:tcW w:w="1224" w:type="dxa"/>
            <w:tcBorders>
              <w:top w:val="single" w:color="000000" w:sz="4" w:space="0"/>
              <w:left w:val="single" w:color="000000" w:sz="4" w:space="0"/>
              <w:right w:val="single" w:color="000000" w:sz="4" w:space="0"/>
            </w:tcBorders>
            <w:noWrap w:val="0"/>
            <w:vAlign w:val="center"/>
          </w:tcPr>
          <w:p w14:paraId="15F9DCAA">
            <w:pPr>
              <w:keepNext w:val="0"/>
              <w:keepLines w:val="0"/>
              <w:pageBreakBefore w:val="0"/>
              <w:widowControl/>
              <w:kinsoku w:val="0"/>
              <w:wordWrap/>
              <w:overflowPunct/>
              <w:topLinePunct w:val="0"/>
              <w:autoSpaceDE w:val="0"/>
              <w:autoSpaceDN w:val="0"/>
              <w:bidi w:val="0"/>
              <w:adjustRightInd w:val="0"/>
              <w:snapToGrid w:val="0"/>
              <w:ind w:left="105" w:leftChars="50"/>
              <w:jc w:val="center"/>
              <w:textAlignment w:val="baseline"/>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业绩要求</w:t>
            </w:r>
          </w:p>
          <w:p w14:paraId="244D0099">
            <w:pPr>
              <w:keepNext w:val="0"/>
              <w:keepLines w:val="0"/>
              <w:pageBreakBefore w:val="0"/>
              <w:widowControl/>
              <w:kinsoku w:val="0"/>
              <w:wordWrap/>
              <w:overflowPunct/>
              <w:topLinePunct w:val="0"/>
              <w:autoSpaceDE w:val="0"/>
              <w:autoSpaceDN w:val="0"/>
              <w:bidi w:val="0"/>
              <w:adjustRightInd w:val="0"/>
              <w:snapToGrid w:val="0"/>
              <w:ind w:left="105" w:leftChars="50"/>
              <w:jc w:val="center"/>
              <w:textAlignment w:val="baseline"/>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（6分）</w:t>
            </w:r>
          </w:p>
        </w:tc>
        <w:tc>
          <w:tcPr>
            <w:tcW w:w="6491" w:type="dxa"/>
            <w:tcBorders>
              <w:top w:val="single" w:color="000000" w:sz="4" w:space="0"/>
              <w:left w:val="single" w:color="000000" w:sz="4" w:space="0"/>
              <w:bottom w:val="single" w:color="auto" w:sz="4" w:space="0"/>
              <w:right w:val="single" w:color="000000" w:sz="4" w:space="0"/>
            </w:tcBorders>
            <w:noWrap w:val="0"/>
            <w:vAlign w:val="center"/>
          </w:tcPr>
          <w:p w14:paraId="335376B5">
            <w:pPr>
              <w:keepNext w:val="0"/>
              <w:keepLines w:val="0"/>
              <w:pageBreakBefore w:val="0"/>
              <w:widowControl/>
              <w:kinsoku w:val="0"/>
              <w:wordWrap/>
              <w:overflowPunct/>
              <w:topLinePunct w:val="0"/>
              <w:autoSpaceDE w:val="0"/>
              <w:autoSpaceDN w:val="0"/>
              <w:bidi w:val="0"/>
              <w:adjustRightInd w:val="0"/>
              <w:snapToGrid w:val="0"/>
              <w:spacing w:line="380" w:lineRule="exact"/>
              <w:ind w:left="105" w:leftChars="50"/>
              <w:jc w:val="left"/>
              <w:textAlignment w:val="baseline"/>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投标人近三年（2022年1月1日-至今）同类似业绩每提供1项，得2分，满分6分；</w:t>
            </w:r>
          </w:p>
          <w:p w14:paraId="2823B49A">
            <w:pPr>
              <w:keepNext w:val="0"/>
              <w:keepLines w:val="0"/>
              <w:pageBreakBefore w:val="0"/>
              <w:widowControl/>
              <w:kinsoku w:val="0"/>
              <w:wordWrap/>
              <w:overflowPunct/>
              <w:topLinePunct w:val="0"/>
              <w:autoSpaceDE w:val="0"/>
              <w:autoSpaceDN w:val="0"/>
              <w:bidi w:val="0"/>
              <w:adjustRightInd w:val="0"/>
              <w:snapToGrid w:val="0"/>
              <w:spacing w:line="380" w:lineRule="exact"/>
              <w:ind w:left="105" w:leftChars="50"/>
              <w:jc w:val="left"/>
              <w:textAlignment w:val="baseline"/>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注：1.须提供中标通知书（成交通知书）及合同复印件加盖公章，以合同签订日期为准。未提供相关证明材料或提供证明材料不全不清晰者不得分。</w:t>
            </w:r>
          </w:p>
          <w:p w14:paraId="4DFB8F1D">
            <w:pPr>
              <w:keepNext w:val="0"/>
              <w:keepLines w:val="0"/>
              <w:pageBreakBefore w:val="0"/>
              <w:widowControl/>
              <w:kinsoku w:val="0"/>
              <w:wordWrap/>
              <w:overflowPunct/>
              <w:topLinePunct w:val="0"/>
              <w:autoSpaceDE w:val="0"/>
              <w:autoSpaceDN w:val="0"/>
              <w:bidi w:val="0"/>
              <w:adjustRightInd w:val="0"/>
              <w:snapToGrid w:val="0"/>
              <w:spacing w:line="380" w:lineRule="exact"/>
              <w:ind w:left="105" w:leftChars="50"/>
              <w:jc w:val="left"/>
              <w:textAlignment w:val="baseline"/>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2.投标人提供虚假合同的，按虚假投标处理。</w:t>
            </w:r>
          </w:p>
        </w:tc>
        <w:tc>
          <w:tcPr>
            <w:tcW w:w="783" w:type="dxa"/>
            <w:tcBorders>
              <w:top w:val="single" w:color="000000" w:sz="4" w:space="0"/>
              <w:left w:val="single" w:color="000000" w:sz="4" w:space="0"/>
              <w:right w:val="single" w:color="000000" w:sz="4" w:space="0"/>
            </w:tcBorders>
            <w:noWrap w:val="0"/>
            <w:vAlign w:val="center"/>
          </w:tcPr>
          <w:p w14:paraId="51270940">
            <w:pPr>
              <w:snapToGrid w:val="0"/>
              <w:jc w:val="center"/>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0-6</w:t>
            </w:r>
          </w:p>
        </w:tc>
      </w:tr>
      <w:tr w14:paraId="2A3E08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80" w:hRule="atLeast"/>
          <w:jc w:val="center"/>
        </w:trPr>
        <w:tc>
          <w:tcPr>
            <w:tcW w:w="955" w:type="dxa"/>
            <w:vMerge w:val="continue"/>
            <w:tcBorders>
              <w:left w:val="single" w:color="000000" w:sz="4" w:space="0"/>
              <w:right w:val="single" w:color="000000" w:sz="4" w:space="0"/>
            </w:tcBorders>
            <w:noWrap w:val="0"/>
            <w:vAlign w:val="center"/>
          </w:tcPr>
          <w:p w14:paraId="4FB16BBC">
            <w:pPr>
              <w:spacing w:before="95" w:line="292" w:lineRule="auto"/>
              <w:ind w:left="9" w:right="2" w:firstLine="1"/>
              <w:rPr>
                <w:rFonts w:hint="eastAsia" w:ascii="宋体" w:hAnsi="宋体" w:eastAsia="宋体" w:cs="宋体"/>
                <w:snapToGrid w:val="0"/>
                <w:color w:val="auto"/>
                <w:spacing w:val="9"/>
                <w:sz w:val="20"/>
                <w:szCs w:val="20"/>
                <w:lang w:val="en-US" w:eastAsia="zh-CN" w:bidi="ar-SA"/>
              </w:rPr>
            </w:pPr>
          </w:p>
        </w:tc>
        <w:tc>
          <w:tcPr>
            <w:tcW w:w="1224" w:type="dxa"/>
            <w:tcBorders>
              <w:top w:val="single" w:color="000000" w:sz="4" w:space="0"/>
              <w:left w:val="single" w:color="000000" w:sz="4" w:space="0"/>
              <w:right w:val="single" w:color="000000" w:sz="4" w:space="0"/>
            </w:tcBorders>
            <w:noWrap w:val="0"/>
            <w:vAlign w:val="center"/>
          </w:tcPr>
          <w:p w14:paraId="454DCB35">
            <w:pPr>
              <w:spacing w:before="95" w:line="292" w:lineRule="auto"/>
              <w:ind w:left="9" w:leftChars="0" w:right="2" w:rightChars="0" w:firstLine="1" w:firstLineChars="0"/>
              <w:jc w:val="center"/>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售后服务</w:t>
            </w:r>
          </w:p>
          <w:p w14:paraId="5815BF9A">
            <w:pPr>
              <w:spacing w:before="95" w:line="292" w:lineRule="auto"/>
              <w:ind w:left="9" w:leftChars="0" w:right="2" w:rightChars="0" w:firstLine="1" w:firstLineChars="0"/>
              <w:jc w:val="center"/>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（15分）</w:t>
            </w:r>
          </w:p>
        </w:tc>
        <w:tc>
          <w:tcPr>
            <w:tcW w:w="6491" w:type="dxa"/>
            <w:tcBorders>
              <w:top w:val="single" w:color="000000" w:sz="4" w:space="0"/>
              <w:left w:val="single" w:color="000000" w:sz="4" w:space="0"/>
              <w:right w:val="single" w:color="000000" w:sz="4" w:space="0"/>
            </w:tcBorders>
            <w:noWrap w:val="0"/>
            <w:vAlign w:val="center"/>
          </w:tcPr>
          <w:p w14:paraId="4918CB74">
            <w:pPr>
              <w:spacing w:before="95" w:line="292" w:lineRule="auto"/>
              <w:ind w:left="9" w:right="2" w:firstLine="1"/>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保期内，投标商应保证接到通知后及时进行现场处理，并应在售后服务承诺书中注明售后服务响应时间以及保证措施。若系统发生重大故障，收到甲方通知后，投标商及时给用户做出答复，响应时间为1小时，并在24小时内到达现场服务,48小时内解决问题。维修所需费用由投标商承担。不能在规定时间内解决故障的，要提供应急解决方案。在质保期内，投标商应无偿的承担故障维修、系统维护及软件升级的义务，确系质量原因无法正常工作时，投标商应根据售后要求无偿更换合格的产品。</w:t>
            </w:r>
          </w:p>
          <w:p w14:paraId="06CA7372">
            <w:pPr>
              <w:spacing w:before="95" w:line="292" w:lineRule="auto"/>
              <w:ind w:left="9" w:right="2" w:firstLine="1"/>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根据投标人提供的售后服务方案进行评分:项目售后服务方案包括但不限于①服务响应方案、②备件(易耗品)供应方案(含备件价格)、③服务人员配备、④故障响应措施、⑤质保外服务措施等5项内容，方案内容完整齐全，符合项目实际的，得15分;每缺少一项方案内容扣3分，每有一项内容存在缺陷的扣1分;未提供项目实施方案的，此项不得分。</w:t>
            </w:r>
          </w:p>
          <w:p w14:paraId="3EAC047D">
            <w:pPr>
              <w:spacing w:before="95" w:line="292" w:lineRule="auto"/>
              <w:ind w:left="9" w:leftChars="0" w:right="2" w:rightChars="0" w:firstLine="1" w:firstLineChars="0"/>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套用其他项目内容。</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4BDC9734">
            <w:pPr>
              <w:spacing w:before="95" w:line="292" w:lineRule="auto"/>
              <w:ind w:left="9" w:leftChars="0" w:right="2" w:rightChars="0" w:firstLine="1" w:firstLineChars="0"/>
              <w:jc w:val="center"/>
              <w:rPr>
                <w:rFonts w:hint="default"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0-15</w:t>
            </w:r>
          </w:p>
        </w:tc>
      </w:tr>
      <w:tr w14:paraId="08DE6C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80" w:hRule="atLeast"/>
          <w:jc w:val="center"/>
        </w:trPr>
        <w:tc>
          <w:tcPr>
            <w:tcW w:w="955" w:type="dxa"/>
            <w:tcBorders>
              <w:left w:val="single" w:color="000000" w:sz="4" w:space="0"/>
              <w:right w:val="single" w:color="000000" w:sz="4" w:space="0"/>
            </w:tcBorders>
            <w:noWrap w:val="0"/>
            <w:vAlign w:val="center"/>
          </w:tcPr>
          <w:p w14:paraId="652CCA4C">
            <w:pPr>
              <w:spacing w:before="95" w:line="292" w:lineRule="auto"/>
              <w:ind w:left="9" w:right="2" w:firstLine="1"/>
              <w:rPr>
                <w:rFonts w:hint="eastAsia" w:ascii="宋体" w:hAnsi="宋体" w:eastAsia="宋体" w:cs="宋体"/>
                <w:snapToGrid w:val="0"/>
                <w:color w:val="auto"/>
                <w:spacing w:val="9"/>
                <w:sz w:val="20"/>
                <w:szCs w:val="20"/>
                <w:lang w:val="en-US" w:eastAsia="zh-CN" w:bidi="ar-SA"/>
              </w:rPr>
            </w:pPr>
          </w:p>
        </w:tc>
        <w:tc>
          <w:tcPr>
            <w:tcW w:w="1224" w:type="dxa"/>
            <w:tcBorders>
              <w:top w:val="single" w:color="000000" w:sz="4" w:space="0"/>
              <w:left w:val="single" w:color="000000" w:sz="4" w:space="0"/>
              <w:right w:val="single" w:color="000000" w:sz="4" w:space="0"/>
            </w:tcBorders>
            <w:noWrap w:val="0"/>
            <w:vAlign w:val="center"/>
          </w:tcPr>
          <w:p w14:paraId="635EC488">
            <w:pPr>
              <w:spacing w:before="95" w:line="292" w:lineRule="auto"/>
              <w:ind w:left="9" w:leftChars="0" w:right="2" w:rightChars="0" w:firstLine="1" w:firstLineChars="0"/>
              <w:jc w:val="center"/>
              <w:rPr>
                <w:rFonts w:hint="eastAsia" w:ascii="宋体" w:hAnsi="宋体" w:eastAsia="宋体" w:cs="宋体"/>
                <w:color w:val="auto"/>
                <w:lang w:val="en-US" w:eastAsia="zh-CN" w:bidi="ar"/>
              </w:rPr>
            </w:pPr>
            <w:r>
              <w:rPr>
                <w:rFonts w:hint="eastAsia" w:ascii="宋体" w:hAnsi="宋体" w:eastAsia="宋体" w:cs="宋体"/>
                <w:color w:val="auto"/>
                <w:lang w:val="en-US" w:eastAsia="zh-CN" w:bidi="ar"/>
              </w:rPr>
              <w:t>项目团队</w:t>
            </w:r>
          </w:p>
          <w:p w14:paraId="108CFF62">
            <w:pPr>
              <w:spacing w:before="95" w:line="292" w:lineRule="auto"/>
              <w:ind w:left="9" w:leftChars="0" w:right="2" w:rightChars="0" w:firstLine="1" w:firstLineChars="0"/>
              <w:jc w:val="center"/>
              <w:rPr>
                <w:rFonts w:hint="eastAsia" w:ascii="宋体" w:hAnsi="宋体" w:eastAsia="宋体" w:cs="宋体"/>
                <w:color w:val="auto"/>
                <w:lang w:val="en-US" w:eastAsia="zh-CN" w:bidi="ar"/>
              </w:rPr>
            </w:pPr>
            <w:r>
              <w:rPr>
                <w:rFonts w:hint="eastAsia" w:ascii="宋体" w:hAnsi="宋体" w:eastAsia="宋体" w:cs="宋体"/>
                <w:color w:val="auto"/>
                <w:lang w:val="en-US" w:eastAsia="zh-CN" w:bidi="ar"/>
              </w:rPr>
              <w:t>人员要求</w:t>
            </w:r>
          </w:p>
          <w:p w14:paraId="51A94FA0">
            <w:pPr>
              <w:spacing w:before="95" w:line="292" w:lineRule="auto"/>
              <w:ind w:left="9" w:leftChars="0" w:right="2" w:rightChars="0" w:firstLine="1" w:firstLineChars="0"/>
              <w:jc w:val="center"/>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color w:val="auto"/>
                <w:lang w:val="en-US" w:eastAsia="zh-CN" w:bidi="ar"/>
              </w:rPr>
              <w:t>（9分）</w:t>
            </w:r>
          </w:p>
        </w:tc>
        <w:tc>
          <w:tcPr>
            <w:tcW w:w="6491" w:type="dxa"/>
            <w:tcBorders>
              <w:top w:val="single" w:color="000000" w:sz="4" w:space="0"/>
              <w:left w:val="single" w:color="000000" w:sz="4" w:space="0"/>
              <w:right w:val="single" w:color="000000" w:sz="4" w:space="0"/>
            </w:tcBorders>
            <w:noWrap w:val="0"/>
            <w:vAlign w:val="center"/>
          </w:tcPr>
          <w:p w14:paraId="3E4A3802">
            <w:pPr>
              <w:spacing w:before="95" w:line="292" w:lineRule="auto"/>
              <w:ind w:left="9" w:right="2" w:firstLine="1"/>
              <w:rPr>
                <w:rFonts w:hint="eastAsia" w:ascii="宋体" w:hAnsi="宋体" w:eastAsia="宋体" w:cs="宋体"/>
                <w:color w:val="auto"/>
                <w:lang w:val="en-US" w:eastAsia="zh-CN" w:bidi="ar"/>
              </w:rPr>
            </w:pPr>
            <w:r>
              <w:rPr>
                <w:rFonts w:hint="eastAsia" w:ascii="宋体" w:hAnsi="宋体" w:eastAsia="宋体" w:cs="宋体"/>
                <w:color w:val="auto"/>
                <w:lang w:val="en-US" w:eastAsia="zh-CN" w:bidi="ar"/>
              </w:rPr>
              <w:t>1、项目团队人员配备专业安装及迁移团队并提供安装及迁移技术人员，提供1-3人的得1分，提供4-7人的得2分，没有的不得分。</w:t>
            </w:r>
          </w:p>
          <w:p w14:paraId="342A5D1C">
            <w:pPr>
              <w:spacing w:before="95" w:line="292" w:lineRule="auto"/>
              <w:ind w:left="9" w:right="2" w:firstLine="1"/>
              <w:rPr>
                <w:rFonts w:hint="eastAsia" w:ascii="宋体" w:hAnsi="宋体" w:eastAsia="宋体" w:cs="宋体"/>
                <w:color w:val="auto"/>
                <w:lang w:val="en-US" w:eastAsia="zh-CN" w:bidi="ar"/>
              </w:rPr>
            </w:pPr>
            <w:r>
              <w:rPr>
                <w:rFonts w:hint="eastAsia" w:ascii="宋体" w:hAnsi="宋体" w:eastAsia="宋体" w:cs="宋体"/>
                <w:color w:val="auto"/>
                <w:lang w:val="en-US" w:eastAsia="zh-CN" w:bidi="ar"/>
              </w:rPr>
              <w:t>2、项目经理需同时具备中华人民共和国工业和信息化部颁发的：信息系统项目管理师（高级）证书和PMP认证证书，同时提供两个证书得3分，不提供不得分。</w:t>
            </w:r>
          </w:p>
          <w:p w14:paraId="5AB93D23">
            <w:pPr>
              <w:spacing w:before="95" w:line="292" w:lineRule="auto"/>
              <w:ind w:left="9" w:right="2" w:firstLine="1"/>
              <w:rPr>
                <w:rFonts w:hint="eastAsia" w:ascii="宋体" w:hAnsi="宋体" w:eastAsia="宋体" w:cs="宋体"/>
                <w:color w:val="auto"/>
                <w:lang w:val="en-US" w:eastAsia="zh-CN" w:bidi="ar"/>
              </w:rPr>
            </w:pPr>
            <w:r>
              <w:rPr>
                <w:rFonts w:hint="eastAsia" w:ascii="宋体" w:hAnsi="宋体" w:eastAsia="宋体" w:cs="宋体"/>
                <w:color w:val="auto"/>
                <w:lang w:val="en-US" w:eastAsia="zh-CN" w:bidi="ar"/>
              </w:rPr>
              <w:t>3、实施团员配备专业数据库人员且具备Oracle OCM数据库认证证书得2分。</w:t>
            </w:r>
          </w:p>
          <w:p w14:paraId="2F5AFFA7">
            <w:pPr>
              <w:spacing w:before="95" w:line="292" w:lineRule="auto"/>
              <w:ind w:left="9" w:right="2" w:firstLine="1"/>
              <w:rPr>
                <w:rFonts w:hint="eastAsia" w:ascii="宋体" w:hAnsi="宋体" w:eastAsia="宋体" w:cs="宋体"/>
                <w:color w:val="auto"/>
                <w:lang w:val="en-US" w:eastAsia="zh-CN" w:bidi="ar"/>
              </w:rPr>
            </w:pPr>
            <w:r>
              <w:rPr>
                <w:rFonts w:hint="eastAsia" w:ascii="宋体" w:hAnsi="宋体" w:eastAsia="宋体" w:cs="宋体"/>
                <w:color w:val="auto"/>
                <w:lang w:val="en-US" w:eastAsia="zh-CN" w:bidi="ar"/>
              </w:rPr>
              <w:t>4、实施团员配备专业操作系统工程师，每提供一种操作系统认证证书得1分，最多得1分。</w:t>
            </w:r>
          </w:p>
          <w:p w14:paraId="4A12228C">
            <w:pPr>
              <w:spacing w:before="95" w:line="292" w:lineRule="auto"/>
              <w:ind w:left="9" w:right="2" w:firstLine="1"/>
              <w:rPr>
                <w:rFonts w:hint="eastAsia" w:ascii="宋体" w:hAnsi="宋体" w:eastAsia="宋体" w:cs="宋体"/>
                <w:color w:val="auto"/>
                <w:lang w:val="en-US" w:eastAsia="zh-CN" w:bidi="ar"/>
              </w:rPr>
            </w:pPr>
            <w:r>
              <w:rPr>
                <w:rFonts w:hint="eastAsia" w:ascii="宋体" w:hAnsi="宋体" w:eastAsia="宋体" w:cs="宋体"/>
                <w:color w:val="auto"/>
                <w:lang w:val="en-US" w:eastAsia="zh-CN" w:bidi="ar"/>
              </w:rPr>
              <w:t>5、实施团员每提供一个高级网络工程师认证证书得0.5分，最多得1分。</w:t>
            </w:r>
          </w:p>
          <w:p w14:paraId="5432B58F">
            <w:pPr>
              <w:spacing w:before="95" w:line="292" w:lineRule="auto"/>
              <w:ind w:left="9" w:leftChars="0" w:right="2" w:rightChars="0" w:firstLine="1" w:firstLineChars="0"/>
              <w:rPr>
                <w:rFonts w:hint="eastAsia" w:ascii="宋体" w:hAnsi="宋体" w:eastAsia="宋体" w:cs="宋体"/>
                <w:snapToGrid w:val="0"/>
                <w:color w:val="auto"/>
                <w:spacing w:val="9"/>
                <w:sz w:val="20"/>
                <w:szCs w:val="20"/>
                <w:lang w:val="en-US" w:eastAsia="zh-CN" w:bidi="ar-SA"/>
              </w:rPr>
            </w:pPr>
            <w:r>
              <w:rPr>
                <w:rFonts w:hint="default" w:ascii="宋体" w:hAnsi="宋体" w:eastAsia="宋体" w:cs="宋体"/>
                <w:color w:val="auto"/>
                <w:lang w:val="en-US" w:eastAsia="zh-CN" w:bidi="ar"/>
              </w:rPr>
              <w:t>注：以上人员证书需提供</w:t>
            </w:r>
            <w:r>
              <w:rPr>
                <w:rFonts w:hint="eastAsia" w:ascii="宋体" w:hAnsi="宋体" w:eastAsia="宋体" w:cs="宋体"/>
                <w:color w:val="auto"/>
                <w:lang w:val="en-US" w:eastAsia="zh-CN" w:bidi="ar"/>
              </w:rPr>
              <w:t>在本公司缴纳</w:t>
            </w:r>
            <w:r>
              <w:rPr>
                <w:rFonts w:hint="default" w:ascii="宋体" w:hAnsi="宋体" w:eastAsia="宋体" w:cs="宋体"/>
                <w:color w:val="auto"/>
                <w:lang w:val="en-US" w:eastAsia="zh-CN" w:bidi="ar"/>
              </w:rPr>
              <w:t>近</w:t>
            </w:r>
            <w:r>
              <w:rPr>
                <w:rFonts w:hint="eastAsia" w:ascii="宋体" w:hAnsi="宋体" w:eastAsia="宋体" w:cs="宋体"/>
                <w:color w:val="auto"/>
                <w:lang w:val="en-US" w:eastAsia="zh-CN" w:bidi="ar"/>
              </w:rPr>
              <w:t>半</w:t>
            </w:r>
            <w:r>
              <w:rPr>
                <w:rFonts w:hint="default" w:ascii="宋体" w:hAnsi="宋体" w:eastAsia="宋体" w:cs="宋体"/>
                <w:color w:val="auto"/>
                <w:lang w:val="en-US" w:eastAsia="zh-CN" w:bidi="ar"/>
              </w:rPr>
              <w:t>年社保证明材料。</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437C701F">
            <w:pPr>
              <w:spacing w:before="95" w:line="292" w:lineRule="auto"/>
              <w:ind w:left="9" w:leftChars="0" w:right="2" w:rightChars="0" w:firstLine="1" w:firstLineChars="0"/>
              <w:jc w:val="center"/>
              <w:rPr>
                <w:rFonts w:hint="default"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0-9</w:t>
            </w:r>
          </w:p>
        </w:tc>
      </w:tr>
      <w:tr w14:paraId="29EC3D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955" w:type="dxa"/>
            <w:vMerge w:val="restart"/>
            <w:tcBorders>
              <w:left w:val="single" w:color="000000" w:sz="4" w:space="0"/>
              <w:right w:val="single" w:color="auto" w:sz="4" w:space="0"/>
            </w:tcBorders>
            <w:noWrap w:val="0"/>
            <w:vAlign w:val="center"/>
          </w:tcPr>
          <w:p w14:paraId="133DBA7A">
            <w:pPr>
              <w:spacing w:before="95" w:line="292" w:lineRule="auto"/>
              <w:ind w:left="9" w:right="2" w:firstLine="1"/>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技术指标（55分）</w:t>
            </w:r>
          </w:p>
        </w:tc>
        <w:tc>
          <w:tcPr>
            <w:tcW w:w="1224" w:type="dxa"/>
            <w:tcBorders>
              <w:left w:val="single" w:color="auto" w:sz="4" w:space="0"/>
              <w:bottom w:val="single" w:color="auto" w:sz="4" w:space="0"/>
              <w:right w:val="single" w:color="000000" w:sz="4" w:space="0"/>
            </w:tcBorders>
            <w:noWrap w:val="0"/>
            <w:vAlign w:val="center"/>
          </w:tcPr>
          <w:p w14:paraId="22887743">
            <w:pPr>
              <w:spacing w:before="95" w:line="292" w:lineRule="auto"/>
              <w:ind w:left="9" w:leftChars="0" w:right="2" w:rightChars="0" w:firstLine="1" w:firstLineChars="0"/>
              <w:rPr>
                <w:rFonts w:hint="default"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重要技术参数（20分）</w:t>
            </w:r>
          </w:p>
        </w:tc>
        <w:tc>
          <w:tcPr>
            <w:tcW w:w="6491" w:type="dxa"/>
            <w:tcBorders>
              <w:top w:val="single" w:color="000000" w:sz="4" w:space="0"/>
              <w:left w:val="single" w:color="000000" w:sz="4" w:space="0"/>
              <w:bottom w:val="single" w:color="auto" w:sz="4" w:space="0"/>
              <w:right w:val="single" w:color="000000" w:sz="4" w:space="0"/>
            </w:tcBorders>
            <w:noWrap w:val="0"/>
            <w:vAlign w:val="center"/>
          </w:tcPr>
          <w:p w14:paraId="23801361">
            <w:pPr>
              <w:spacing w:before="95" w:line="292" w:lineRule="auto"/>
              <w:ind w:left="9" w:right="2" w:firstLine="1"/>
              <w:rPr>
                <w:rFonts w:hint="eastAsia" w:ascii="宋体" w:hAnsi="宋体" w:eastAsia="宋体" w:cs="宋体"/>
                <w:color w:val="auto"/>
                <w:lang w:val="zh-CN" w:bidi="ar"/>
              </w:rPr>
            </w:pPr>
            <w:r>
              <w:rPr>
                <w:rFonts w:hint="eastAsia" w:ascii="宋体" w:hAnsi="宋体" w:eastAsia="宋体" w:cs="宋体"/>
                <w:color w:val="auto"/>
                <w:lang w:val="zh-CN" w:bidi="ar"/>
              </w:rPr>
              <w:t>根据拟投产品技术性能参数响应情况进行逐项比对，所有标★项条款满足</w:t>
            </w:r>
            <w:r>
              <w:rPr>
                <w:rFonts w:hint="eastAsia" w:ascii="宋体" w:hAnsi="宋体" w:eastAsia="宋体" w:cs="宋体"/>
                <w:color w:val="auto"/>
                <w:lang w:val="en-US" w:eastAsia="zh-CN" w:bidi="ar"/>
              </w:rPr>
              <w:t>或优于</w:t>
            </w:r>
            <w:r>
              <w:rPr>
                <w:rFonts w:hint="eastAsia" w:ascii="宋体" w:hAnsi="宋体" w:eastAsia="宋体" w:cs="宋体"/>
                <w:color w:val="auto"/>
                <w:lang w:val="zh-CN" w:bidi="ar"/>
              </w:rPr>
              <w:t>技术要求得</w:t>
            </w:r>
            <w:r>
              <w:rPr>
                <w:rFonts w:hint="eastAsia" w:hAnsi="宋体" w:cs="宋体"/>
                <w:color w:val="auto"/>
                <w:lang w:val="en-US" w:eastAsia="zh-CN" w:bidi="ar"/>
              </w:rPr>
              <w:t>20</w:t>
            </w:r>
            <w:r>
              <w:rPr>
                <w:rFonts w:hint="eastAsia" w:ascii="宋体" w:hAnsi="宋体" w:eastAsia="宋体" w:cs="宋体"/>
                <w:color w:val="auto"/>
                <w:lang w:val="zh-CN" w:bidi="ar"/>
              </w:rPr>
              <w:t>分，有负偏离项的，每负偏离一项扣</w:t>
            </w:r>
            <w:r>
              <w:rPr>
                <w:rFonts w:hint="eastAsia" w:hAnsi="宋体" w:cs="宋体"/>
                <w:color w:val="auto"/>
                <w:lang w:val="en-US" w:eastAsia="zh-CN" w:bidi="ar"/>
              </w:rPr>
              <w:t>4</w:t>
            </w:r>
            <w:r>
              <w:rPr>
                <w:rFonts w:hint="eastAsia" w:ascii="宋体" w:hAnsi="宋体" w:eastAsia="宋体" w:cs="宋体"/>
                <w:color w:val="auto"/>
                <w:lang w:val="zh-CN" w:bidi="ar"/>
              </w:rPr>
              <w:t>分，分数扣完为止。</w:t>
            </w:r>
          </w:p>
          <w:p w14:paraId="6823CE19">
            <w:pPr>
              <w:spacing w:before="95" w:line="292" w:lineRule="auto"/>
              <w:ind w:left="9" w:right="2" w:firstLine="1"/>
              <w:rPr>
                <w:rFonts w:hint="eastAsia" w:ascii="宋体" w:hAnsi="宋体" w:eastAsia="宋体" w:cs="宋体"/>
                <w:color w:val="auto"/>
                <w:lang w:val="zh-CN" w:bidi="ar"/>
              </w:rPr>
            </w:pPr>
            <w:r>
              <w:rPr>
                <w:rFonts w:hint="eastAsia" w:ascii="宋体" w:hAnsi="宋体" w:eastAsia="宋体" w:cs="宋体"/>
                <w:color w:val="auto"/>
                <w:lang w:val="zh-CN" w:bidi="ar"/>
              </w:rPr>
              <w:t>【投标人应提供详细完整的加盖公章技术偏离表，对于标★项技术参数进行逐条应答如有正偏离请予以标注做出详细说明】</w:t>
            </w:r>
          </w:p>
          <w:p w14:paraId="517A111E">
            <w:pPr>
              <w:spacing w:before="95" w:line="292" w:lineRule="auto"/>
              <w:ind w:left="9" w:leftChars="0" w:right="2" w:rightChars="0" w:firstLine="1" w:firstLineChars="0"/>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注：完全照抄招标参数本项不得分。投标人须对本招标文件技术要求进行点对点应答，必须在引用本招标文件的基础上,进行逐条逐项答复、说明和解释,特别对有具体参数要求的指标，投标人必须提供所投货物的具体参数值。</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5F238707">
            <w:pPr>
              <w:spacing w:before="95" w:line="292" w:lineRule="auto"/>
              <w:ind w:left="9" w:right="2" w:firstLine="1"/>
              <w:jc w:val="center"/>
              <w:rPr>
                <w:rFonts w:hint="default"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0-20</w:t>
            </w:r>
          </w:p>
        </w:tc>
      </w:tr>
      <w:tr w14:paraId="1A4B9E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955" w:type="dxa"/>
            <w:vMerge w:val="continue"/>
            <w:tcBorders>
              <w:left w:val="single" w:color="000000" w:sz="4" w:space="0"/>
              <w:right w:val="single" w:color="auto" w:sz="4" w:space="0"/>
            </w:tcBorders>
            <w:noWrap w:val="0"/>
            <w:vAlign w:val="center"/>
          </w:tcPr>
          <w:p w14:paraId="7B931FA7">
            <w:pPr>
              <w:spacing w:before="95" w:line="292" w:lineRule="auto"/>
              <w:ind w:left="9" w:right="2" w:firstLine="1"/>
              <w:rPr>
                <w:rFonts w:hint="eastAsia" w:ascii="宋体" w:hAnsi="宋体" w:eastAsia="宋体" w:cs="宋体"/>
                <w:snapToGrid w:val="0"/>
                <w:color w:val="auto"/>
                <w:spacing w:val="9"/>
                <w:sz w:val="20"/>
                <w:szCs w:val="20"/>
                <w:lang w:val="en-US" w:eastAsia="zh-CN" w:bidi="ar-SA"/>
              </w:rPr>
            </w:pPr>
          </w:p>
        </w:tc>
        <w:tc>
          <w:tcPr>
            <w:tcW w:w="1224" w:type="dxa"/>
            <w:tcBorders>
              <w:left w:val="single" w:color="auto" w:sz="4" w:space="0"/>
              <w:bottom w:val="single" w:color="auto" w:sz="4" w:space="0"/>
              <w:right w:val="single" w:color="000000" w:sz="4" w:space="0"/>
            </w:tcBorders>
            <w:noWrap w:val="0"/>
            <w:vAlign w:val="center"/>
          </w:tcPr>
          <w:p w14:paraId="1044D5D5">
            <w:pPr>
              <w:spacing w:before="95" w:line="292" w:lineRule="auto"/>
              <w:ind w:left="9" w:leftChars="0" w:right="2" w:rightChars="0" w:firstLine="1" w:firstLineChars="0"/>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一般技术参数（20分）</w:t>
            </w:r>
          </w:p>
        </w:tc>
        <w:tc>
          <w:tcPr>
            <w:tcW w:w="6491" w:type="dxa"/>
            <w:tcBorders>
              <w:top w:val="single" w:color="000000" w:sz="4" w:space="0"/>
              <w:left w:val="single" w:color="000000" w:sz="4" w:space="0"/>
              <w:bottom w:val="single" w:color="auto" w:sz="4" w:space="0"/>
              <w:right w:val="single" w:color="000000" w:sz="4" w:space="0"/>
            </w:tcBorders>
            <w:noWrap w:val="0"/>
            <w:vAlign w:val="center"/>
          </w:tcPr>
          <w:p w14:paraId="0E8B7146">
            <w:pPr>
              <w:spacing w:before="95" w:line="292" w:lineRule="auto"/>
              <w:ind w:left="9" w:right="2" w:firstLine="1"/>
              <w:rPr>
                <w:rFonts w:hint="eastAsia" w:ascii="宋体" w:hAnsi="宋体" w:eastAsia="宋体" w:cs="宋体"/>
                <w:color w:val="auto"/>
                <w:lang w:val="zh-CN" w:bidi="ar"/>
              </w:rPr>
            </w:pPr>
            <w:r>
              <w:rPr>
                <w:rFonts w:hint="eastAsia" w:ascii="宋体" w:hAnsi="宋体" w:eastAsia="宋体" w:cs="宋体"/>
                <w:color w:val="auto"/>
                <w:lang w:val="zh-CN" w:bidi="ar"/>
              </w:rPr>
              <w:t>满足</w:t>
            </w:r>
            <w:r>
              <w:rPr>
                <w:rFonts w:hint="eastAsia" w:ascii="宋体" w:hAnsi="宋体" w:eastAsia="宋体" w:cs="宋体"/>
                <w:color w:val="auto"/>
                <w:lang w:val="en-US" w:eastAsia="zh-CN" w:bidi="ar"/>
              </w:rPr>
              <w:t>或优于参数</w:t>
            </w:r>
            <w:r>
              <w:rPr>
                <w:rFonts w:hint="eastAsia" w:ascii="宋体" w:hAnsi="宋体" w:eastAsia="宋体" w:cs="宋体"/>
                <w:color w:val="auto"/>
                <w:lang w:val="zh-CN" w:bidi="ar"/>
              </w:rPr>
              <w:t>功能中所有非标★项目的，得</w:t>
            </w:r>
            <w:r>
              <w:rPr>
                <w:rFonts w:hint="eastAsia" w:hAnsi="宋体" w:cs="宋体"/>
                <w:color w:val="auto"/>
                <w:lang w:val="en-US" w:eastAsia="zh-CN" w:bidi="ar"/>
              </w:rPr>
              <w:t>20</w:t>
            </w:r>
            <w:r>
              <w:rPr>
                <w:rFonts w:hint="eastAsia" w:ascii="宋体" w:hAnsi="宋体" w:eastAsia="宋体" w:cs="宋体"/>
                <w:color w:val="auto"/>
                <w:lang w:val="zh-CN" w:bidi="ar"/>
              </w:rPr>
              <w:t>分</w:t>
            </w:r>
            <w:r>
              <w:rPr>
                <w:rFonts w:hint="eastAsia" w:ascii="宋体" w:hAnsi="宋体" w:eastAsia="宋体" w:cs="宋体"/>
                <w:color w:val="auto"/>
                <w:lang w:val="zh-CN" w:eastAsia="zh-CN" w:bidi="ar"/>
              </w:rPr>
              <w:t>。</w:t>
            </w:r>
            <w:r>
              <w:rPr>
                <w:rFonts w:hint="eastAsia" w:ascii="宋体" w:hAnsi="宋体" w:eastAsia="宋体" w:cs="宋体"/>
                <w:color w:val="auto"/>
                <w:lang w:val="zh-CN" w:bidi="ar"/>
              </w:rPr>
              <w:t>有负偏离项的，每负偏离一项扣</w:t>
            </w:r>
            <w:r>
              <w:rPr>
                <w:rFonts w:hint="eastAsia" w:ascii="宋体" w:hAnsi="宋体" w:eastAsia="宋体" w:cs="宋体"/>
                <w:color w:val="auto"/>
                <w:lang w:val="en-US" w:eastAsia="zh-CN" w:bidi="ar"/>
              </w:rPr>
              <w:t>1</w:t>
            </w:r>
            <w:r>
              <w:rPr>
                <w:rFonts w:hint="eastAsia" w:ascii="宋体" w:hAnsi="宋体" w:eastAsia="宋体" w:cs="宋体"/>
                <w:color w:val="auto"/>
                <w:lang w:val="zh-CN" w:bidi="ar"/>
              </w:rPr>
              <w:t>分，分数扣完为止。【投标人应提供详细完整的加盖公章技术偏离表，对于技术参数进行逐条应答，不满足的需在每条参数前如实标注不满足】</w:t>
            </w:r>
          </w:p>
          <w:p w14:paraId="0A55381C">
            <w:pPr>
              <w:spacing w:before="95" w:line="292" w:lineRule="auto"/>
              <w:ind w:left="9" w:leftChars="0" w:right="2" w:rightChars="0" w:firstLine="1" w:firstLineChars="0"/>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注：完全照抄招标参数本项不得分。投标人须对本招标文件技术要求进行点对点应答，必须在引用本招标文件的基础上,进行逐条逐项答复、说明和解释,特别对有具体参数要求的指标，投标人必须提供所投货物的具体参数值。</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7D32704F">
            <w:pPr>
              <w:spacing w:before="95" w:line="292" w:lineRule="auto"/>
              <w:ind w:left="9" w:right="2" w:firstLine="1"/>
              <w:jc w:val="center"/>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0-20</w:t>
            </w:r>
          </w:p>
        </w:tc>
      </w:tr>
      <w:tr w14:paraId="116816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955" w:type="dxa"/>
            <w:vMerge w:val="continue"/>
            <w:tcBorders>
              <w:left w:val="single" w:color="000000" w:sz="4" w:space="0"/>
              <w:right w:val="single" w:color="auto" w:sz="4" w:space="0"/>
            </w:tcBorders>
            <w:noWrap w:val="0"/>
            <w:vAlign w:val="center"/>
          </w:tcPr>
          <w:p w14:paraId="2D08545C">
            <w:pPr>
              <w:spacing w:before="95" w:line="292" w:lineRule="auto"/>
              <w:ind w:left="9" w:right="2" w:firstLine="1"/>
              <w:rPr>
                <w:rFonts w:hint="eastAsia" w:ascii="宋体" w:hAnsi="宋体" w:eastAsia="宋体" w:cs="宋体"/>
                <w:snapToGrid w:val="0"/>
                <w:color w:val="auto"/>
                <w:spacing w:val="9"/>
                <w:sz w:val="20"/>
                <w:szCs w:val="20"/>
                <w:lang w:val="en-US" w:eastAsia="zh-CN" w:bidi="ar-SA"/>
              </w:rPr>
            </w:pPr>
          </w:p>
        </w:tc>
        <w:tc>
          <w:tcPr>
            <w:tcW w:w="1224" w:type="dxa"/>
            <w:tcBorders>
              <w:top w:val="single" w:color="auto" w:sz="4" w:space="0"/>
              <w:left w:val="single" w:color="auto" w:sz="4" w:space="0"/>
              <w:bottom w:val="single" w:color="auto" w:sz="4" w:space="0"/>
              <w:right w:val="single" w:color="000000" w:sz="4" w:space="0"/>
            </w:tcBorders>
            <w:noWrap w:val="0"/>
            <w:vAlign w:val="center"/>
          </w:tcPr>
          <w:p w14:paraId="18CCC0D3">
            <w:pPr>
              <w:spacing w:before="95" w:line="292" w:lineRule="auto"/>
              <w:ind w:left="9" w:leftChars="0" w:right="2" w:rightChars="0" w:firstLine="1" w:firstLineChars="0"/>
              <w:rPr>
                <w:rFonts w:hint="default"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项目实施方案（12分）</w:t>
            </w:r>
          </w:p>
        </w:tc>
        <w:tc>
          <w:tcPr>
            <w:tcW w:w="6491" w:type="dxa"/>
            <w:tcBorders>
              <w:top w:val="single" w:color="auto" w:sz="4" w:space="0"/>
              <w:left w:val="single" w:color="000000" w:sz="4" w:space="0"/>
              <w:bottom w:val="single" w:color="000000" w:sz="4" w:space="0"/>
              <w:right w:val="single" w:color="000000" w:sz="4" w:space="0"/>
            </w:tcBorders>
            <w:noWrap w:val="0"/>
            <w:vAlign w:val="center"/>
          </w:tcPr>
          <w:p w14:paraId="2E72D2BF">
            <w:pPr>
              <w:spacing w:before="95" w:line="292" w:lineRule="auto"/>
              <w:ind w:left="9" w:right="2" w:firstLine="1"/>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根据投标人提供的项目实施方案进行评分:项目实施方案包括但不限于:①项目人员安排(包含但不限于主要人员名单及基本情况介绍、在本项目中承担的职责等)、②供货方案(包含但不限于产品来源、供货计划、供货时间、包装和运输方式等)、③质量管控方案(包括但不限于质量管控的标准、方法和程序等)、④测试(调试)方案(包含但不限于人员安排、测试步骤、测试标准等)等 4项内容，方案内容完整齐全，符合项目实际(第四部分技术需求)的，得12分;每缺少一项方案内容扣3分，每有一项内容存在缺陷的扣1分;未提供项目实施方案的，此项不得分。</w:t>
            </w:r>
          </w:p>
          <w:p w14:paraId="5B4D5593">
            <w:pPr>
              <w:spacing w:before="95" w:line="292" w:lineRule="auto"/>
              <w:ind w:left="9" w:leftChars="0" w:right="2" w:rightChars="0" w:firstLine="1" w:firstLineChars="0"/>
              <w:rPr>
                <w:rFonts w:hint="default"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套用其他项目内容。</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6B5EDE97">
            <w:pPr>
              <w:spacing w:before="95" w:line="292" w:lineRule="auto"/>
              <w:ind w:left="9" w:right="2" w:firstLine="1"/>
              <w:jc w:val="center"/>
              <w:rPr>
                <w:rFonts w:hint="default"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0-12</w:t>
            </w:r>
          </w:p>
        </w:tc>
      </w:tr>
      <w:tr w14:paraId="20A3BB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0" w:hRule="atLeast"/>
          <w:jc w:val="center"/>
        </w:trPr>
        <w:tc>
          <w:tcPr>
            <w:tcW w:w="955" w:type="dxa"/>
            <w:vMerge w:val="continue"/>
            <w:tcBorders>
              <w:left w:val="single" w:color="000000" w:sz="4" w:space="0"/>
              <w:right w:val="single" w:color="auto" w:sz="4" w:space="0"/>
            </w:tcBorders>
            <w:noWrap w:val="0"/>
            <w:vAlign w:val="center"/>
          </w:tcPr>
          <w:p w14:paraId="662BC2ED">
            <w:pPr>
              <w:spacing w:before="95" w:line="292" w:lineRule="auto"/>
              <w:ind w:left="9" w:right="2" w:firstLine="1"/>
              <w:rPr>
                <w:rFonts w:hint="eastAsia" w:ascii="宋体" w:hAnsi="宋体" w:eastAsia="宋体" w:cs="宋体"/>
                <w:snapToGrid w:val="0"/>
                <w:color w:val="auto"/>
                <w:spacing w:val="9"/>
                <w:sz w:val="20"/>
                <w:szCs w:val="20"/>
                <w:lang w:val="en-US" w:eastAsia="zh-CN" w:bidi="ar-SA"/>
              </w:rPr>
            </w:pPr>
          </w:p>
        </w:tc>
        <w:tc>
          <w:tcPr>
            <w:tcW w:w="1224" w:type="dxa"/>
            <w:tcBorders>
              <w:top w:val="single" w:color="auto" w:sz="4" w:space="0"/>
              <w:left w:val="single" w:color="auto" w:sz="4" w:space="0"/>
              <w:bottom w:val="single" w:color="auto" w:sz="4" w:space="0"/>
              <w:right w:val="single" w:color="000000" w:sz="4" w:space="0"/>
            </w:tcBorders>
            <w:noWrap w:val="0"/>
            <w:vAlign w:val="center"/>
          </w:tcPr>
          <w:p w14:paraId="717CE98E">
            <w:pPr>
              <w:spacing w:before="95" w:line="292" w:lineRule="auto"/>
              <w:ind w:left="9" w:leftChars="0" w:right="2" w:rightChars="0" w:firstLine="1" w:firstLineChars="0"/>
              <w:jc w:val="center"/>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培训方案</w:t>
            </w:r>
          </w:p>
          <w:p w14:paraId="570C6830">
            <w:pPr>
              <w:spacing w:before="95" w:line="292" w:lineRule="auto"/>
              <w:ind w:left="9" w:leftChars="0" w:right="2" w:rightChars="0" w:firstLine="1" w:firstLineChars="0"/>
              <w:jc w:val="center"/>
              <w:rPr>
                <w:rFonts w:hint="default"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（3分）</w:t>
            </w:r>
          </w:p>
        </w:tc>
        <w:tc>
          <w:tcPr>
            <w:tcW w:w="6491" w:type="dxa"/>
            <w:tcBorders>
              <w:top w:val="single" w:color="000000" w:sz="4" w:space="0"/>
              <w:left w:val="single" w:color="000000" w:sz="4" w:space="0"/>
              <w:bottom w:val="single" w:color="auto" w:sz="4" w:space="0"/>
              <w:right w:val="single" w:color="000000" w:sz="4" w:space="0"/>
            </w:tcBorders>
            <w:noWrap w:val="0"/>
            <w:vAlign w:val="center"/>
          </w:tcPr>
          <w:p w14:paraId="2CF17219">
            <w:pPr>
              <w:spacing w:before="95" w:line="292" w:lineRule="auto"/>
              <w:ind w:left="9" w:right="2" w:firstLine="1"/>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场地、交通等与培训相关的费用均由投标人承担。根据投标人提供的项目培训方案进行评分:项目培训方案包括但不限于①培训内容、②培训方式及计划、③培训团队人员配置等3项内容，方案内容完整齐全，符合项目实际的，得3分;每缺少一项方案内容，或-项内容存在缺陷的，每一项扣1分，扣完为止;未提供项目实施方案的，此项不得分。</w:t>
            </w:r>
          </w:p>
          <w:p w14:paraId="743A8B7B">
            <w:pPr>
              <w:spacing w:before="95" w:line="292" w:lineRule="auto"/>
              <w:ind w:left="9" w:leftChars="0" w:right="2" w:rightChars="0" w:firstLine="1" w:firstLineChars="0"/>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套用其他项目内容。</w:t>
            </w:r>
          </w:p>
        </w:tc>
        <w:tc>
          <w:tcPr>
            <w:tcW w:w="783" w:type="dxa"/>
            <w:tcBorders>
              <w:top w:val="single" w:color="000000" w:sz="4" w:space="0"/>
              <w:left w:val="single" w:color="000000" w:sz="4" w:space="0"/>
              <w:bottom w:val="single" w:color="000000" w:sz="4" w:space="0"/>
              <w:right w:val="single" w:color="000000" w:sz="4" w:space="0"/>
            </w:tcBorders>
            <w:noWrap w:val="0"/>
            <w:vAlign w:val="center"/>
          </w:tcPr>
          <w:p w14:paraId="09E477C3">
            <w:pPr>
              <w:spacing w:before="95" w:line="292" w:lineRule="auto"/>
              <w:ind w:left="9" w:right="2" w:firstLine="1"/>
              <w:jc w:val="center"/>
              <w:rPr>
                <w:rFonts w:hint="default"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0-3</w:t>
            </w:r>
          </w:p>
        </w:tc>
      </w:tr>
      <w:tr w14:paraId="195375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9453" w:type="dxa"/>
            <w:gridSpan w:val="4"/>
            <w:tcBorders>
              <w:left w:val="single" w:color="000000" w:sz="4" w:space="0"/>
              <w:right w:val="single" w:color="000000" w:sz="4" w:space="0"/>
            </w:tcBorders>
            <w:noWrap w:val="0"/>
            <w:vAlign w:val="center"/>
          </w:tcPr>
          <w:p w14:paraId="5AC0F16A">
            <w:pPr>
              <w:pStyle w:val="10"/>
              <w:snapToGrid w:val="0"/>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注：1、计算过程中，算术平均值保留2位小数（百分比亦取2位小数），第三位小数四舍五入。</w:t>
            </w:r>
            <w:r>
              <w:rPr>
                <w:rFonts w:hint="eastAsia" w:ascii="宋体" w:hAnsi="宋体" w:eastAsia="宋体" w:cs="宋体"/>
                <w:snapToGrid w:val="0"/>
                <w:color w:val="auto"/>
                <w:spacing w:val="9"/>
                <w:sz w:val="20"/>
                <w:szCs w:val="20"/>
                <w:lang w:val="en-US" w:eastAsia="zh-CN" w:bidi="ar-SA"/>
              </w:rPr>
              <w:br w:type="textWrapping"/>
            </w:r>
            <w:r>
              <w:rPr>
                <w:rFonts w:hint="eastAsia" w:ascii="宋体" w:hAnsi="宋体" w:eastAsia="宋体" w:cs="宋体"/>
                <w:snapToGrid w:val="0"/>
                <w:color w:val="auto"/>
                <w:spacing w:val="9"/>
                <w:sz w:val="20"/>
                <w:szCs w:val="20"/>
                <w:lang w:val="en-US" w:eastAsia="zh-CN" w:bidi="ar-SA"/>
              </w:rPr>
              <w:t>2、供应商的最终得分为：所有评委对其评分的算术平均值。</w:t>
            </w:r>
          </w:p>
        </w:tc>
      </w:tr>
    </w:tbl>
    <w:p w14:paraId="30419CAD">
      <w:pPr>
        <w:pStyle w:val="8"/>
        <w:spacing w:line="243" w:lineRule="auto"/>
        <w:rPr>
          <w:color w:val="auto"/>
          <w:sz w:val="20"/>
          <w:szCs w:val="20"/>
        </w:rPr>
      </w:pPr>
    </w:p>
    <w:p w14:paraId="7D4667DC">
      <w:pPr>
        <w:pStyle w:val="8"/>
        <w:spacing w:line="243" w:lineRule="auto"/>
        <w:rPr>
          <w:color w:val="auto"/>
        </w:rPr>
      </w:pPr>
    </w:p>
    <w:p w14:paraId="7ACA774C">
      <w:pPr>
        <w:spacing w:before="95" w:line="292" w:lineRule="auto"/>
        <w:ind w:left="9" w:right="2" w:firstLine="1"/>
        <w:rPr>
          <w:rFonts w:hint="eastAsia" w:ascii="宋体" w:hAnsi="宋体" w:eastAsia="宋体" w:cs="宋体"/>
          <w:snapToGrid w:val="0"/>
          <w:color w:val="auto"/>
          <w:spacing w:val="9"/>
          <w:sz w:val="20"/>
          <w:szCs w:val="20"/>
          <w:lang w:val="en-US" w:eastAsia="zh-CN" w:bidi="ar-SA"/>
        </w:rPr>
      </w:pPr>
      <w:r>
        <w:rPr>
          <w:rFonts w:hint="eastAsia" w:ascii="宋体" w:hAnsi="宋体" w:eastAsia="宋体" w:cs="宋体"/>
          <w:snapToGrid w:val="0"/>
          <w:color w:val="auto"/>
          <w:spacing w:val="9"/>
          <w:sz w:val="20"/>
          <w:szCs w:val="20"/>
          <w:lang w:val="en-US" w:eastAsia="zh-CN" w:bidi="ar-SA"/>
        </w:rPr>
        <w:t>注：评标委员会根据汇总各投标企业的综合得分，按照得分高低进行排序，取前三名作为中标候选人 推荐给招标人。如果投标人的得分相同，取投标报价低的排在前；如报价也相同，则由评标委员会抽 签确定。</w:t>
      </w:r>
    </w:p>
    <w:p w14:paraId="09887392">
      <w:pPr>
        <w:spacing w:line="244" w:lineRule="auto"/>
        <w:rPr>
          <w:rFonts w:ascii="宋体" w:hAnsi="宋体" w:eastAsia="宋体" w:cs="宋体"/>
          <w:color w:val="auto"/>
          <w:sz w:val="20"/>
          <w:szCs w:val="20"/>
          <w:lang w:eastAsia="zh-CN"/>
        </w:rPr>
        <w:sectPr>
          <w:headerReference r:id="rId20" w:type="default"/>
          <w:footerReference r:id="rId21" w:type="default"/>
          <w:pgSz w:w="12240" w:h="15840"/>
          <w:pgMar w:top="1440" w:right="1080" w:bottom="1440" w:left="1080" w:header="873" w:footer="1081" w:gutter="0"/>
          <w:pgBorders>
            <w:top w:val="none" w:sz="0" w:space="0"/>
            <w:left w:val="none" w:sz="0" w:space="0"/>
            <w:bottom w:val="none" w:sz="0" w:space="0"/>
            <w:right w:val="none" w:sz="0" w:space="0"/>
          </w:pgBorders>
          <w:pgNumType w:fmt="decimal"/>
          <w:cols w:space="720" w:num="1"/>
        </w:sectPr>
      </w:pPr>
    </w:p>
    <w:p w14:paraId="2096B0E5">
      <w:pPr>
        <w:pStyle w:val="8"/>
        <w:spacing w:line="311" w:lineRule="auto"/>
        <w:rPr>
          <w:color w:val="auto"/>
          <w:lang w:eastAsia="zh-CN"/>
        </w:rPr>
      </w:pPr>
    </w:p>
    <w:p w14:paraId="35D5B547">
      <w:pPr>
        <w:spacing w:before="78" w:line="222" w:lineRule="auto"/>
        <w:ind w:left="4012"/>
        <w:outlineLvl w:val="0"/>
        <w:rPr>
          <w:rFonts w:ascii="黑体" w:hAnsi="黑体" w:eastAsia="黑体" w:cs="黑体"/>
          <w:color w:val="auto"/>
          <w:sz w:val="24"/>
          <w:szCs w:val="24"/>
          <w:lang w:eastAsia="zh-CN"/>
        </w:rPr>
      </w:pPr>
      <w:bookmarkStart w:id="15" w:name="_Toc30226"/>
      <w:bookmarkStart w:id="16" w:name="_Toc310"/>
      <w:bookmarkStart w:id="17" w:name="_Toc18389"/>
      <w:r>
        <w:rPr>
          <w:rFonts w:ascii="Tahoma" w:hAnsi="Tahoma" w:eastAsia="Tahoma" w:cs="Tahoma"/>
          <w:b/>
          <w:bCs/>
          <w:color w:val="auto"/>
          <w:spacing w:val="-2"/>
          <w:sz w:val="24"/>
          <w:szCs w:val="24"/>
          <w:lang w:eastAsia="zh-CN"/>
        </w:rPr>
        <w:t>3</w:t>
      </w:r>
      <w:r>
        <w:rPr>
          <w:rFonts w:ascii="宋体" w:hAnsi="宋体" w:eastAsia="宋体" w:cs="宋体"/>
          <w:color w:val="auto"/>
          <w:spacing w:val="-2"/>
          <w:sz w:val="24"/>
          <w:szCs w:val="24"/>
          <w:lang w:eastAsia="zh-CN"/>
          <w14:textOutline w14:w="4356" w14:cap="sq" w14:cmpd="sng" w14:algn="ctr">
            <w14:solidFill>
              <w14:srgbClr w14:val="000000"/>
            </w14:solidFill>
            <w14:prstDash w14:val="solid"/>
            <w14:bevel/>
          </w14:textOutline>
        </w:rPr>
        <w:t>、</w:t>
      </w:r>
      <w:r>
        <w:rPr>
          <w:rFonts w:ascii="黑体" w:hAnsi="黑体" w:eastAsia="黑体" w:cs="黑体"/>
          <w:color w:val="auto"/>
          <w:spacing w:val="-2"/>
          <w:sz w:val="24"/>
          <w:szCs w:val="24"/>
          <w:lang w:eastAsia="zh-CN"/>
          <w14:textOutline w14:w="4356" w14:cap="sq" w14:cmpd="sng" w14:algn="ctr">
            <w14:solidFill>
              <w14:srgbClr w14:val="000000"/>
            </w14:solidFill>
            <w14:prstDash w14:val="solid"/>
            <w14:bevel/>
          </w14:textOutline>
        </w:rPr>
        <w:t>评标程序</w:t>
      </w:r>
      <w:bookmarkEnd w:id="15"/>
      <w:bookmarkEnd w:id="16"/>
      <w:bookmarkEnd w:id="17"/>
    </w:p>
    <w:p w14:paraId="23F33092">
      <w:pPr>
        <w:spacing w:before="79" w:line="228" w:lineRule="auto"/>
        <w:ind w:left="10"/>
        <w:rPr>
          <w:rFonts w:ascii="宋体" w:hAnsi="宋体" w:eastAsia="宋体" w:cs="宋体"/>
          <w:color w:val="auto"/>
          <w:sz w:val="20"/>
          <w:szCs w:val="20"/>
          <w:lang w:eastAsia="zh-CN"/>
        </w:rPr>
      </w:pPr>
      <w:r>
        <w:rPr>
          <w:rFonts w:ascii="Tahoma" w:hAnsi="Tahoma" w:eastAsia="Tahoma" w:cs="Tahoma"/>
          <w:b/>
          <w:bCs/>
          <w:color w:val="auto"/>
          <w:spacing w:val="5"/>
          <w:sz w:val="20"/>
          <w:szCs w:val="20"/>
          <w:lang w:eastAsia="zh-CN"/>
        </w:rPr>
        <w:t>3.1</w:t>
      </w:r>
      <w:r>
        <w:rPr>
          <w:rFonts w:ascii="Tahoma" w:hAnsi="Tahoma" w:eastAsia="Tahoma" w:cs="Tahoma"/>
          <w:b/>
          <w:bCs/>
          <w:color w:val="auto"/>
          <w:spacing w:val="57"/>
          <w:sz w:val="20"/>
          <w:szCs w:val="20"/>
          <w:lang w:eastAsia="zh-CN"/>
        </w:rPr>
        <w:t xml:space="preserve"> </w:t>
      </w:r>
      <w:r>
        <w:rPr>
          <w:rFonts w:ascii="宋体" w:hAnsi="宋体" w:eastAsia="宋体" w:cs="宋体"/>
          <w:color w:val="auto"/>
          <w:spacing w:val="5"/>
          <w:sz w:val="20"/>
          <w:szCs w:val="20"/>
          <w:lang w:eastAsia="zh-CN"/>
          <w14:textOutline w14:w="3797" w14:cap="sq" w14:cmpd="sng" w14:algn="ctr">
            <w14:solidFill>
              <w14:srgbClr w14:val="000000"/>
            </w14:solidFill>
            <w14:prstDash w14:val="solid"/>
            <w14:bevel/>
          </w14:textOutline>
        </w:rPr>
        <w:t>初步评审</w:t>
      </w:r>
    </w:p>
    <w:p w14:paraId="55E3C4C5">
      <w:pPr>
        <w:spacing w:before="92" w:line="271" w:lineRule="auto"/>
        <w:ind w:left="9"/>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3.1.1</w:t>
      </w:r>
      <w:r>
        <w:rPr>
          <w:rFonts w:ascii="Tahoma" w:hAnsi="Tahoma" w:eastAsia="Tahoma" w:cs="Tahoma"/>
          <w:color w:val="auto"/>
          <w:spacing w:val="54"/>
          <w:w w:val="101"/>
          <w:sz w:val="20"/>
          <w:szCs w:val="20"/>
          <w:lang w:eastAsia="zh-CN"/>
        </w:rPr>
        <w:t xml:space="preserve"> </w:t>
      </w:r>
      <w:r>
        <w:rPr>
          <w:rFonts w:ascii="宋体" w:hAnsi="宋体" w:eastAsia="宋体" w:cs="宋体"/>
          <w:color w:val="auto"/>
          <w:spacing w:val="7"/>
          <w:sz w:val="20"/>
          <w:szCs w:val="20"/>
          <w:lang w:eastAsia="zh-CN"/>
        </w:rPr>
        <w:t>评标委员会依据本章第</w:t>
      </w:r>
      <w:r>
        <w:rPr>
          <w:rFonts w:ascii="宋体" w:hAnsi="宋体" w:eastAsia="宋体" w:cs="宋体"/>
          <w:color w:val="auto"/>
          <w:spacing w:val="-34"/>
          <w:sz w:val="20"/>
          <w:szCs w:val="20"/>
          <w:lang w:eastAsia="zh-CN"/>
        </w:rPr>
        <w:t xml:space="preserve"> </w:t>
      </w:r>
      <w:r>
        <w:rPr>
          <w:rFonts w:ascii="Tahoma" w:hAnsi="Tahoma" w:eastAsia="Tahoma" w:cs="Tahoma"/>
          <w:color w:val="auto"/>
          <w:spacing w:val="7"/>
          <w:sz w:val="20"/>
          <w:szCs w:val="20"/>
          <w:lang w:eastAsia="zh-CN"/>
        </w:rPr>
        <w:t>2.1</w:t>
      </w:r>
      <w:r>
        <w:rPr>
          <w:rFonts w:ascii="Tahoma" w:hAnsi="Tahoma" w:eastAsia="Tahoma" w:cs="Tahoma"/>
          <w:color w:val="auto"/>
          <w:spacing w:val="53"/>
          <w:w w:val="101"/>
          <w:sz w:val="20"/>
          <w:szCs w:val="20"/>
          <w:lang w:eastAsia="zh-CN"/>
        </w:rPr>
        <w:t xml:space="preserve"> </w:t>
      </w:r>
      <w:r>
        <w:rPr>
          <w:rFonts w:ascii="宋体" w:hAnsi="宋体" w:eastAsia="宋体" w:cs="宋体"/>
          <w:color w:val="auto"/>
          <w:spacing w:val="7"/>
          <w:sz w:val="20"/>
          <w:szCs w:val="20"/>
          <w:lang w:eastAsia="zh-CN"/>
        </w:rPr>
        <w:t>款规定的标准对投标文件进行初步评审。有一项不符合评审标准的，</w:t>
      </w:r>
      <w:r>
        <w:rPr>
          <w:rFonts w:ascii="宋体" w:hAnsi="宋体" w:eastAsia="宋体" w:cs="宋体"/>
          <w:color w:val="auto"/>
          <w:sz w:val="20"/>
          <w:szCs w:val="20"/>
          <w:lang w:eastAsia="zh-CN"/>
        </w:rPr>
        <w:t xml:space="preserve"> </w:t>
      </w:r>
      <w:r>
        <w:rPr>
          <w:rFonts w:ascii="宋体" w:hAnsi="宋体" w:eastAsia="宋体" w:cs="宋体"/>
          <w:color w:val="auto"/>
          <w:spacing w:val="6"/>
          <w:sz w:val="20"/>
          <w:szCs w:val="20"/>
          <w:lang w:eastAsia="zh-CN"/>
        </w:rPr>
        <w:t>按无效标处理。</w:t>
      </w:r>
    </w:p>
    <w:p w14:paraId="068E4FAA">
      <w:pPr>
        <w:spacing w:before="94" w:line="228" w:lineRule="auto"/>
        <w:ind w:left="9"/>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3.1.2</w:t>
      </w:r>
      <w:r>
        <w:rPr>
          <w:rFonts w:ascii="Tahoma" w:hAnsi="Tahoma" w:eastAsia="Tahoma" w:cs="Tahoma"/>
          <w:color w:val="auto"/>
          <w:spacing w:val="74"/>
          <w:sz w:val="20"/>
          <w:szCs w:val="20"/>
          <w:lang w:eastAsia="zh-CN"/>
        </w:rPr>
        <w:t xml:space="preserve"> </w:t>
      </w:r>
      <w:r>
        <w:rPr>
          <w:rFonts w:ascii="宋体" w:hAnsi="宋体" w:eastAsia="宋体" w:cs="宋体"/>
          <w:color w:val="auto"/>
          <w:spacing w:val="7"/>
          <w:sz w:val="20"/>
          <w:szCs w:val="20"/>
          <w:lang w:eastAsia="zh-CN"/>
        </w:rPr>
        <w:t>投标人有以下情形之一的，其投标作无效标处理：</w:t>
      </w:r>
    </w:p>
    <w:p w14:paraId="04AA3E01">
      <w:pPr>
        <w:spacing w:before="90" w:line="227" w:lineRule="auto"/>
        <w:ind w:left="227"/>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w:t>
      </w:r>
      <w:r>
        <w:rPr>
          <w:rFonts w:ascii="Tahoma" w:hAnsi="Tahoma" w:eastAsia="Tahoma" w:cs="Tahoma"/>
          <w:color w:val="auto"/>
          <w:spacing w:val="6"/>
          <w:sz w:val="20"/>
          <w:szCs w:val="20"/>
          <w:lang w:eastAsia="zh-CN"/>
        </w:rPr>
        <w:t>1</w:t>
      </w:r>
      <w:r>
        <w:rPr>
          <w:rFonts w:ascii="宋体" w:hAnsi="宋体" w:eastAsia="宋体" w:cs="宋体"/>
          <w:color w:val="auto"/>
          <w:spacing w:val="6"/>
          <w:sz w:val="20"/>
          <w:szCs w:val="20"/>
          <w:lang w:eastAsia="zh-CN"/>
        </w:rPr>
        <w:t>）第二章“投标人须知</w:t>
      </w:r>
      <w:r>
        <w:rPr>
          <w:rFonts w:ascii="宋体" w:hAnsi="宋体" w:eastAsia="宋体" w:cs="宋体"/>
          <w:color w:val="auto"/>
          <w:spacing w:val="-67"/>
          <w:sz w:val="20"/>
          <w:szCs w:val="20"/>
          <w:lang w:eastAsia="zh-CN"/>
        </w:rPr>
        <w:t xml:space="preserve"> </w:t>
      </w:r>
      <w:r>
        <w:rPr>
          <w:rFonts w:ascii="宋体" w:hAnsi="宋体" w:eastAsia="宋体" w:cs="宋体"/>
          <w:color w:val="auto"/>
          <w:spacing w:val="6"/>
          <w:sz w:val="20"/>
          <w:szCs w:val="20"/>
          <w:lang w:eastAsia="zh-CN"/>
        </w:rPr>
        <w:t>”第</w:t>
      </w:r>
      <w:r>
        <w:rPr>
          <w:rFonts w:ascii="宋体" w:hAnsi="宋体" w:eastAsia="宋体" w:cs="宋体"/>
          <w:color w:val="auto"/>
          <w:spacing w:val="-26"/>
          <w:sz w:val="20"/>
          <w:szCs w:val="20"/>
          <w:lang w:eastAsia="zh-CN"/>
        </w:rPr>
        <w:t xml:space="preserve"> </w:t>
      </w:r>
      <w:r>
        <w:rPr>
          <w:rFonts w:ascii="Tahoma" w:hAnsi="Tahoma" w:eastAsia="Tahoma" w:cs="Tahoma"/>
          <w:b/>
          <w:bCs/>
          <w:color w:val="auto"/>
          <w:spacing w:val="6"/>
          <w:sz w:val="20"/>
          <w:szCs w:val="20"/>
          <w:lang w:eastAsia="zh-CN"/>
        </w:rPr>
        <w:t xml:space="preserve">1.3 </w:t>
      </w:r>
      <w:r>
        <w:rPr>
          <w:rFonts w:ascii="宋体" w:hAnsi="宋体" w:eastAsia="宋体" w:cs="宋体"/>
          <w:color w:val="auto"/>
          <w:spacing w:val="6"/>
          <w:sz w:val="20"/>
          <w:szCs w:val="20"/>
          <w:lang w:eastAsia="zh-CN"/>
        </w:rPr>
        <w:t>项规定的任何一种情形的：</w:t>
      </w:r>
    </w:p>
    <w:p w14:paraId="6EE70319">
      <w:pPr>
        <w:spacing w:before="94" w:line="341" w:lineRule="exact"/>
        <w:ind w:left="227"/>
        <w:rPr>
          <w:rFonts w:ascii="宋体" w:hAnsi="宋体" w:eastAsia="宋体" w:cs="宋体"/>
          <w:color w:val="auto"/>
          <w:sz w:val="20"/>
          <w:szCs w:val="20"/>
          <w:lang w:eastAsia="zh-CN"/>
        </w:rPr>
      </w:pPr>
      <w:r>
        <w:rPr>
          <w:rFonts w:ascii="宋体" w:hAnsi="宋体" w:eastAsia="宋体" w:cs="宋体"/>
          <w:color w:val="auto"/>
          <w:spacing w:val="8"/>
          <w:position w:val="10"/>
          <w:sz w:val="20"/>
          <w:szCs w:val="20"/>
          <w:lang w:eastAsia="zh-CN"/>
        </w:rPr>
        <w:t>（</w:t>
      </w:r>
      <w:r>
        <w:rPr>
          <w:rFonts w:ascii="Tahoma" w:hAnsi="Tahoma" w:eastAsia="Tahoma" w:cs="Tahoma"/>
          <w:color w:val="auto"/>
          <w:spacing w:val="8"/>
          <w:position w:val="10"/>
          <w:sz w:val="20"/>
          <w:szCs w:val="20"/>
          <w:lang w:eastAsia="zh-CN"/>
        </w:rPr>
        <w:t>2</w:t>
      </w:r>
      <w:r>
        <w:rPr>
          <w:rFonts w:ascii="宋体" w:hAnsi="宋体" w:eastAsia="宋体" w:cs="宋体"/>
          <w:color w:val="auto"/>
          <w:spacing w:val="8"/>
          <w:position w:val="10"/>
          <w:sz w:val="20"/>
          <w:szCs w:val="20"/>
          <w:lang w:eastAsia="zh-CN"/>
        </w:rPr>
        <w:t>）串通投标或弄虚作假或有其他违法行为的；</w:t>
      </w:r>
    </w:p>
    <w:p w14:paraId="77781FC5">
      <w:pPr>
        <w:spacing w:before="1" w:line="226"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3</w:t>
      </w:r>
      <w:r>
        <w:rPr>
          <w:rFonts w:ascii="宋体" w:hAnsi="宋体" w:eastAsia="宋体" w:cs="宋体"/>
          <w:color w:val="auto"/>
          <w:spacing w:val="8"/>
          <w:sz w:val="20"/>
          <w:szCs w:val="20"/>
          <w:lang w:eastAsia="zh-CN"/>
        </w:rPr>
        <w:t>）不按评标委员会要求澄清、说明或补正的。</w:t>
      </w:r>
    </w:p>
    <w:p w14:paraId="6A9E07E7">
      <w:pPr>
        <w:spacing w:before="92" w:line="286" w:lineRule="auto"/>
        <w:ind w:left="9" w:right="16"/>
        <w:jc w:val="both"/>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3.1.3 </w:t>
      </w:r>
      <w:r>
        <w:rPr>
          <w:rFonts w:ascii="宋体" w:hAnsi="宋体" w:eastAsia="宋体" w:cs="宋体"/>
          <w:color w:val="auto"/>
          <w:spacing w:val="9"/>
          <w:sz w:val="20"/>
          <w:szCs w:val="20"/>
          <w:lang w:eastAsia="zh-CN"/>
        </w:rPr>
        <w:t>评标委员会应根据招标文件的规定，对投标文件进行系统地评审和比较，在进行详细评审前，按</w:t>
      </w:r>
      <w:r>
        <w:rPr>
          <w:rFonts w:ascii="宋体" w:hAnsi="宋体" w:eastAsia="宋体" w:cs="宋体"/>
          <w:color w:val="auto"/>
          <w:spacing w:val="3"/>
          <w:sz w:val="20"/>
          <w:szCs w:val="20"/>
          <w:lang w:eastAsia="zh-CN"/>
        </w:rPr>
        <w:t xml:space="preserve"> </w:t>
      </w:r>
      <w:r>
        <w:rPr>
          <w:rFonts w:ascii="宋体" w:hAnsi="宋体" w:eastAsia="宋体" w:cs="宋体"/>
          <w:color w:val="auto"/>
          <w:spacing w:val="12"/>
          <w:sz w:val="20"/>
          <w:szCs w:val="20"/>
          <w:lang w:eastAsia="zh-CN"/>
        </w:rPr>
        <w:t>下列规定对投标文件进行初步评审，</w:t>
      </w:r>
      <w:r>
        <w:rPr>
          <w:rFonts w:ascii="宋体" w:hAnsi="宋体" w:eastAsia="宋体" w:cs="宋体"/>
          <w:color w:val="auto"/>
          <w:spacing w:val="12"/>
          <w:sz w:val="20"/>
          <w:szCs w:val="20"/>
          <w:lang w:eastAsia="zh-CN"/>
          <w14:textOutline w14:w="3797" w14:cap="sq" w14:cmpd="sng" w14:algn="ctr">
            <w14:solidFill>
              <w14:srgbClr w14:val="000000"/>
            </w14:solidFill>
            <w14:prstDash w14:val="solid"/>
            <w14:bevel/>
          </w14:textOutline>
        </w:rPr>
        <w:t>投标文件属下列情况之一的，应当在资格性、符合性检查时按照</w:t>
      </w:r>
      <w:r>
        <w:rPr>
          <w:rFonts w:ascii="宋体" w:hAnsi="宋体" w:eastAsia="宋体" w:cs="宋体"/>
          <w:color w:val="auto"/>
          <w:spacing w:val="18"/>
          <w:sz w:val="20"/>
          <w:szCs w:val="20"/>
          <w:lang w:eastAsia="zh-CN"/>
        </w:rPr>
        <w:t xml:space="preserve"> </w:t>
      </w:r>
      <w:r>
        <w:rPr>
          <w:rFonts w:ascii="宋体" w:hAnsi="宋体" w:eastAsia="宋体" w:cs="宋体"/>
          <w:color w:val="auto"/>
          <w:spacing w:val="6"/>
          <w:sz w:val="20"/>
          <w:szCs w:val="20"/>
          <w:lang w:eastAsia="zh-CN"/>
          <w14:textOutline w14:w="3797" w14:cap="sq" w14:cmpd="sng" w14:algn="ctr">
            <w14:solidFill>
              <w14:srgbClr w14:val="000000"/>
            </w14:solidFill>
            <w14:prstDash w14:val="solid"/>
            <w14:bevel/>
          </w14:textOutline>
        </w:rPr>
        <w:t>无效标处理：</w:t>
      </w:r>
    </w:p>
    <w:p w14:paraId="51FFE93F">
      <w:pPr>
        <w:spacing w:before="90" w:line="271" w:lineRule="auto"/>
        <w:ind w:left="227" w:right="285"/>
        <w:rPr>
          <w:rFonts w:ascii="宋体" w:hAnsi="宋体" w:eastAsia="宋体" w:cs="宋体"/>
          <w:color w:val="auto"/>
          <w:spacing w:val="8"/>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1</w:t>
      </w:r>
      <w:r>
        <w:rPr>
          <w:rFonts w:ascii="宋体" w:hAnsi="宋体" w:eastAsia="宋体" w:cs="宋体"/>
          <w:color w:val="auto"/>
          <w:spacing w:val="8"/>
          <w:sz w:val="20"/>
          <w:szCs w:val="20"/>
          <w:lang w:eastAsia="zh-CN"/>
        </w:rPr>
        <w:t>）不具备招标文件中规定的资格要求的，或投标文件中提供的资格证明文件与原件不一致的；</w:t>
      </w:r>
    </w:p>
    <w:p w14:paraId="1B60CF19">
      <w:pPr>
        <w:spacing w:before="90" w:line="271" w:lineRule="auto"/>
        <w:ind w:left="227" w:right="285"/>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2</w:t>
      </w:r>
      <w:r>
        <w:rPr>
          <w:rFonts w:ascii="宋体" w:hAnsi="宋体" w:eastAsia="宋体" w:cs="宋体"/>
          <w:color w:val="auto"/>
          <w:spacing w:val="8"/>
          <w:sz w:val="20"/>
          <w:szCs w:val="20"/>
          <w:lang w:eastAsia="zh-CN"/>
        </w:rPr>
        <w:t>）投标文件未按招标文件要求签署、盖章的；</w:t>
      </w:r>
    </w:p>
    <w:p w14:paraId="740D0EE8">
      <w:pPr>
        <w:spacing w:before="95" w:line="228"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3</w:t>
      </w:r>
      <w:r>
        <w:rPr>
          <w:rFonts w:ascii="宋体" w:hAnsi="宋体" w:eastAsia="宋体" w:cs="宋体"/>
          <w:color w:val="auto"/>
          <w:spacing w:val="8"/>
          <w:sz w:val="20"/>
          <w:szCs w:val="20"/>
          <w:lang w:eastAsia="zh-CN"/>
        </w:rPr>
        <w:t>）未按照招标文件的规定提交投标保证金的；</w:t>
      </w:r>
    </w:p>
    <w:p w14:paraId="17D45C9E">
      <w:pPr>
        <w:spacing w:before="92" w:line="341" w:lineRule="exact"/>
        <w:ind w:left="227"/>
        <w:rPr>
          <w:rFonts w:ascii="宋体" w:hAnsi="宋体" w:eastAsia="宋体" w:cs="宋体"/>
          <w:color w:val="auto"/>
          <w:sz w:val="20"/>
          <w:szCs w:val="20"/>
          <w:lang w:eastAsia="zh-CN"/>
        </w:rPr>
      </w:pPr>
      <w:r>
        <w:rPr>
          <w:rFonts w:ascii="宋体" w:hAnsi="宋体" w:eastAsia="宋体" w:cs="宋体"/>
          <w:color w:val="auto"/>
          <w:spacing w:val="8"/>
          <w:position w:val="10"/>
          <w:sz w:val="20"/>
          <w:szCs w:val="20"/>
          <w:lang w:eastAsia="zh-CN"/>
        </w:rPr>
        <w:t>（</w:t>
      </w:r>
      <w:r>
        <w:rPr>
          <w:rFonts w:ascii="Tahoma" w:hAnsi="Tahoma" w:eastAsia="Tahoma" w:cs="Tahoma"/>
          <w:color w:val="auto"/>
          <w:spacing w:val="8"/>
          <w:position w:val="10"/>
          <w:sz w:val="20"/>
          <w:szCs w:val="20"/>
          <w:lang w:eastAsia="zh-CN"/>
        </w:rPr>
        <w:t>4</w:t>
      </w:r>
      <w:r>
        <w:rPr>
          <w:rFonts w:ascii="宋体" w:hAnsi="宋体" w:eastAsia="宋体" w:cs="宋体"/>
          <w:color w:val="auto"/>
          <w:spacing w:val="8"/>
          <w:position w:val="10"/>
          <w:sz w:val="20"/>
          <w:szCs w:val="20"/>
          <w:lang w:eastAsia="zh-CN"/>
        </w:rPr>
        <w:t>）投标文件含有采购人不能接受的附加条件的；</w:t>
      </w:r>
    </w:p>
    <w:p w14:paraId="5364288E">
      <w:pPr>
        <w:spacing w:line="227"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5</w:t>
      </w:r>
      <w:r>
        <w:rPr>
          <w:rFonts w:ascii="宋体" w:hAnsi="宋体" w:eastAsia="宋体" w:cs="宋体"/>
          <w:color w:val="auto"/>
          <w:spacing w:val="8"/>
          <w:sz w:val="20"/>
          <w:szCs w:val="20"/>
          <w:lang w:eastAsia="zh-CN"/>
        </w:rPr>
        <w:t>）投标有效期不满足招标文件要求的；</w:t>
      </w:r>
    </w:p>
    <w:p w14:paraId="3C543FD6">
      <w:pPr>
        <w:spacing w:before="95" w:line="269" w:lineRule="auto"/>
        <w:ind w:left="6" w:right="18" w:firstLine="220"/>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w:t>
      </w:r>
      <w:r>
        <w:rPr>
          <w:rFonts w:ascii="Tahoma" w:hAnsi="Tahoma" w:eastAsia="Tahoma" w:cs="Tahoma"/>
          <w:color w:val="auto"/>
          <w:spacing w:val="10"/>
          <w:sz w:val="20"/>
          <w:szCs w:val="20"/>
          <w:lang w:eastAsia="zh-CN"/>
        </w:rPr>
        <w:t>6</w:t>
      </w:r>
      <w:r>
        <w:rPr>
          <w:rFonts w:ascii="宋体" w:hAnsi="宋体" w:eastAsia="宋体" w:cs="宋体"/>
          <w:color w:val="auto"/>
          <w:spacing w:val="10"/>
          <w:sz w:val="20"/>
          <w:szCs w:val="20"/>
          <w:lang w:eastAsia="zh-CN"/>
        </w:rPr>
        <w:t>）报价超过招标文件中规定的预算金额或者</w:t>
      </w:r>
      <w:r>
        <w:rPr>
          <w:rFonts w:ascii="宋体" w:hAnsi="宋体" w:eastAsia="宋体" w:cs="宋体"/>
          <w:color w:val="auto"/>
          <w:spacing w:val="9"/>
          <w:sz w:val="20"/>
          <w:szCs w:val="20"/>
          <w:lang w:eastAsia="zh-CN"/>
        </w:rPr>
        <w:t>最高限价的；或提供的报价是可供选择的（不是唯一</w:t>
      </w:r>
      <w:r>
        <w:rPr>
          <w:rFonts w:ascii="宋体" w:hAnsi="宋体" w:eastAsia="宋体" w:cs="宋体"/>
          <w:color w:val="auto"/>
          <w:sz w:val="20"/>
          <w:szCs w:val="20"/>
          <w:lang w:eastAsia="zh-CN"/>
        </w:rPr>
        <w:t xml:space="preserve"> </w:t>
      </w:r>
      <w:r>
        <w:rPr>
          <w:rFonts w:ascii="宋体" w:hAnsi="宋体" w:eastAsia="宋体" w:cs="宋体"/>
          <w:color w:val="auto"/>
          <w:spacing w:val="5"/>
          <w:sz w:val="20"/>
          <w:szCs w:val="20"/>
          <w:lang w:eastAsia="zh-CN"/>
        </w:rPr>
        <w:t>报价</w:t>
      </w:r>
      <w:r>
        <w:rPr>
          <w:rFonts w:ascii="宋体" w:hAnsi="宋体" w:eastAsia="宋体" w:cs="宋体"/>
          <w:color w:val="auto"/>
          <w:sz w:val="20"/>
          <w:szCs w:val="20"/>
          <w:lang w:eastAsia="zh-CN"/>
        </w:rPr>
        <w:t>）；</w:t>
      </w:r>
    </w:p>
    <w:p w14:paraId="67BFD453">
      <w:pPr>
        <w:spacing w:before="96" w:line="271" w:lineRule="auto"/>
        <w:ind w:left="8" w:right="18" w:firstLine="218"/>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w:t>
      </w:r>
      <w:r>
        <w:rPr>
          <w:rFonts w:ascii="Tahoma" w:hAnsi="Tahoma" w:eastAsia="Tahoma" w:cs="Tahoma"/>
          <w:color w:val="auto"/>
          <w:spacing w:val="10"/>
          <w:sz w:val="20"/>
          <w:szCs w:val="20"/>
          <w:lang w:eastAsia="zh-CN"/>
        </w:rPr>
        <w:t>7</w:t>
      </w:r>
      <w:r>
        <w:rPr>
          <w:rFonts w:ascii="宋体" w:hAnsi="宋体" w:eastAsia="宋体" w:cs="宋体"/>
          <w:color w:val="auto"/>
          <w:spacing w:val="10"/>
          <w:sz w:val="20"/>
          <w:szCs w:val="20"/>
          <w:lang w:eastAsia="zh-CN"/>
        </w:rPr>
        <w:t>）</w:t>
      </w:r>
      <w:r>
        <w:rPr>
          <w:rFonts w:hint="eastAsia" w:ascii="宋体" w:hAnsi="宋体" w:eastAsia="宋体" w:cs="宋体"/>
          <w:color w:val="auto"/>
          <w:spacing w:val="10"/>
          <w:sz w:val="20"/>
          <w:szCs w:val="20"/>
          <w:lang w:eastAsia="zh-CN"/>
        </w:rPr>
        <w:t>服务商</w:t>
      </w:r>
      <w:r>
        <w:rPr>
          <w:rFonts w:ascii="宋体" w:hAnsi="宋体" w:eastAsia="宋体" w:cs="宋体"/>
          <w:color w:val="auto"/>
          <w:spacing w:val="10"/>
          <w:sz w:val="20"/>
          <w:szCs w:val="20"/>
          <w:lang w:eastAsia="zh-CN"/>
        </w:rPr>
        <w:t>未进行分项报价或分项报价的构成</w:t>
      </w:r>
      <w:r>
        <w:rPr>
          <w:rFonts w:ascii="宋体" w:hAnsi="宋体" w:eastAsia="宋体" w:cs="宋体"/>
          <w:color w:val="auto"/>
          <w:spacing w:val="9"/>
          <w:sz w:val="20"/>
          <w:szCs w:val="20"/>
          <w:lang w:eastAsia="zh-CN"/>
        </w:rPr>
        <w:t>未能准确全部反映产品价格组成或有所隐含，有可能</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致使在合同履行过程中引起纠纷（非正常的追加或索赔等）或不能诚信履约的；</w:t>
      </w:r>
    </w:p>
    <w:p w14:paraId="2F4CCAA2">
      <w:pPr>
        <w:spacing w:before="91" w:line="271" w:lineRule="auto"/>
        <w:ind w:left="227" w:right="77"/>
        <w:rPr>
          <w:rFonts w:ascii="宋体" w:hAnsi="宋体" w:eastAsia="宋体" w:cs="宋体"/>
          <w:color w:val="auto"/>
          <w:spacing w:val="8"/>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8</w:t>
      </w:r>
      <w:r>
        <w:rPr>
          <w:rFonts w:ascii="宋体" w:hAnsi="宋体" w:eastAsia="宋体" w:cs="宋体"/>
          <w:color w:val="auto"/>
          <w:spacing w:val="8"/>
          <w:sz w:val="20"/>
          <w:szCs w:val="20"/>
          <w:lang w:eastAsia="zh-CN"/>
        </w:rPr>
        <w:t>）投标文件的内容与采购内容及要求（质量要求、交货期、付款方式等）有重大偏离或保留的；</w:t>
      </w:r>
    </w:p>
    <w:p w14:paraId="76647FA9">
      <w:pPr>
        <w:spacing w:before="91" w:line="271" w:lineRule="auto"/>
        <w:ind w:left="227" w:right="7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9</w:t>
      </w:r>
      <w:r>
        <w:rPr>
          <w:rFonts w:ascii="宋体" w:hAnsi="宋体" w:eastAsia="宋体" w:cs="宋体"/>
          <w:color w:val="auto"/>
          <w:spacing w:val="8"/>
          <w:sz w:val="20"/>
          <w:szCs w:val="20"/>
          <w:lang w:eastAsia="zh-CN"/>
        </w:rPr>
        <w:t>）存在财政部令第</w:t>
      </w:r>
      <w:r>
        <w:rPr>
          <w:rFonts w:ascii="宋体" w:hAnsi="宋体" w:eastAsia="宋体" w:cs="宋体"/>
          <w:color w:val="auto"/>
          <w:spacing w:val="-35"/>
          <w:sz w:val="20"/>
          <w:szCs w:val="20"/>
          <w:lang w:eastAsia="zh-CN"/>
        </w:rPr>
        <w:t xml:space="preserve"> </w:t>
      </w:r>
      <w:r>
        <w:rPr>
          <w:rFonts w:ascii="Tahoma" w:hAnsi="Tahoma" w:eastAsia="Tahoma" w:cs="Tahoma"/>
          <w:color w:val="auto"/>
          <w:spacing w:val="8"/>
          <w:sz w:val="20"/>
          <w:szCs w:val="20"/>
          <w:lang w:eastAsia="zh-CN"/>
        </w:rPr>
        <w:t xml:space="preserve">87 </w:t>
      </w:r>
      <w:r>
        <w:rPr>
          <w:rFonts w:ascii="宋体" w:hAnsi="宋体" w:eastAsia="宋体" w:cs="宋体"/>
          <w:color w:val="auto"/>
          <w:spacing w:val="8"/>
          <w:sz w:val="20"/>
          <w:szCs w:val="20"/>
          <w:lang w:eastAsia="zh-CN"/>
        </w:rPr>
        <w:t>号文第三十七条规定串</w:t>
      </w:r>
      <w:r>
        <w:rPr>
          <w:rFonts w:ascii="宋体" w:hAnsi="宋体" w:eastAsia="宋体" w:cs="宋体"/>
          <w:color w:val="auto"/>
          <w:spacing w:val="7"/>
          <w:sz w:val="20"/>
          <w:szCs w:val="20"/>
          <w:lang w:eastAsia="zh-CN"/>
        </w:rPr>
        <w:t>通投标的情形之一的；</w:t>
      </w:r>
    </w:p>
    <w:p w14:paraId="2E1F3BE1">
      <w:pPr>
        <w:spacing w:before="95" w:line="339" w:lineRule="exact"/>
        <w:ind w:left="227"/>
        <w:rPr>
          <w:rFonts w:ascii="宋体" w:hAnsi="宋体" w:eastAsia="宋体" w:cs="宋体"/>
          <w:color w:val="auto"/>
          <w:sz w:val="20"/>
          <w:szCs w:val="20"/>
          <w:lang w:eastAsia="zh-CN"/>
        </w:rPr>
      </w:pPr>
      <w:r>
        <w:rPr>
          <w:rFonts w:ascii="宋体" w:hAnsi="宋体" w:eastAsia="宋体" w:cs="宋体"/>
          <w:color w:val="auto"/>
          <w:spacing w:val="8"/>
          <w:position w:val="9"/>
          <w:sz w:val="20"/>
          <w:szCs w:val="20"/>
          <w:lang w:eastAsia="zh-CN"/>
        </w:rPr>
        <w:t>（</w:t>
      </w:r>
      <w:r>
        <w:rPr>
          <w:rFonts w:ascii="Tahoma" w:hAnsi="Tahoma" w:eastAsia="Tahoma" w:cs="Tahoma"/>
          <w:color w:val="auto"/>
          <w:spacing w:val="8"/>
          <w:position w:val="9"/>
          <w:sz w:val="20"/>
          <w:szCs w:val="20"/>
          <w:lang w:eastAsia="zh-CN"/>
        </w:rPr>
        <w:t>10</w:t>
      </w:r>
      <w:r>
        <w:rPr>
          <w:rFonts w:ascii="宋体" w:hAnsi="宋体" w:eastAsia="宋体" w:cs="宋体"/>
          <w:color w:val="auto"/>
          <w:spacing w:val="8"/>
          <w:position w:val="9"/>
          <w:sz w:val="20"/>
          <w:szCs w:val="20"/>
          <w:lang w:eastAsia="zh-CN"/>
        </w:rPr>
        <w:t>）投标文件的内容组成不符合招标文件要求的；</w:t>
      </w:r>
    </w:p>
    <w:p w14:paraId="055337F0">
      <w:pPr>
        <w:spacing w:before="1" w:line="226"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11</w:t>
      </w:r>
      <w:r>
        <w:rPr>
          <w:rFonts w:ascii="宋体" w:hAnsi="宋体" w:eastAsia="宋体" w:cs="宋体"/>
          <w:color w:val="auto"/>
          <w:spacing w:val="8"/>
          <w:sz w:val="20"/>
          <w:szCs w:val="20"/>
          <w:lang w:eastAsia="zh-CN"/>
        </w:rPr>
        <w:t>）投标文件中提供虚假或失实资料的；</w:t>
      </w:r>
    </w:p>
    <w:p w14:paraId="405FB1EE">
      <w:pPr>
        <w:spacing w:before="94" w:line="228"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12</w:t>
      </w:r>
      <w:r>
        <w:rPr>
          <w:rFonts w:ascii="宋体" w:hAnsi="宋体" w:eastAsia="宋体" w:cs="宋体"/>
          <w:color w:val="auto"/>
          <w:spacing w:val="8"/>
          <w:sz w:val="20"/>
          <w:szCs w:val="20"/>
          <w:lang w:eastAsia="zh-CN"/>
        </w:rPr>
        <w:t>）法律、法规和招标文件规定的其他无效情形。</w:t>
      </w:r>
    </w:p>
    <w:p w14:paraId="374B8026">
      <w:pPr>
        <w:spacing w:before="94" w:line="227" w:lineRule="auto"/>
        <w:ind w:left="9"/>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3.1.4 </w:t>
      </w:r>
      <w:r>
        <w:rPr>
          <w:rFonts w:ascii="宋体" w:hAnsi="宋体" w:eastAsia="宋体" w:cs="宋体"/>
          <w:color w:val="auto"/>
          <w:spacing w:val="8"/>
          <w:sz w:val="20"/>
          <w:szCs w:val="20"/>
          <w:lang w:eastAsia="zh-CN"/>
        </w:rPr>
        <w:t>评标委员会判断投标文件的响应性仅基于投标文件本身而不靠外部证据。</w:t>
      </w:r>
    </w:p>
    <w:p w14:paraId="47AE9166">
      <w:pPr>
        <w:spacing w:before="94" w:line="271" w:lineRule="auto"/>
        <w:ind w:left="8" w:right="16"/>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3.1.5 </w:t>
      </w:r>
      <w:r>
        <w:rPr>
          <w:rFonts w:ascii="宋体" w:hAnsi="宋体" w:eastAsia="宋体" w:cs="宋体"/>
          <w:color w:val="auto"/>
          <w:spacing w:val="9"/>
          <w:sz w:val="20"/>
          <w:szCs w:val="20"/>
          <w:lang w:eastAsia="zh-CN"/>
        </w:rPr>
        <w:t>评标委员会将拒绝被确定为非实质性响应的投标，投标人不能通过修正或撤销不符之处而使其投</w:t>
      </w:r>
      <w:r>
        <w:rPr>
          <w:rFonts w:ascii="宋体" w:hAnsi="宋体" w:eastAsia="宋体" w:cs="宋体"/>
          <w:color w:val="auto"/>
          <w:spacing w:val="3"/>
          <w:sz w:val="20"/>
          <w:szCs w:val="20"/>
          <w:lang w:eastAsia="zh-CN"/>
        </w:rPr>
        <w:t xml:space="preserve"> </w:t>
      </w:r>
      <w:r>
        <w:rPr>
          <w:rFonts w:ascii="宋体" w:hAnsi="宋体" w:eastAsia="宋体" w:cs="宋体"/>
          <w:color w:val="auto"/>
          <w:spacing w:val="8"/>
          <w:sz w:val="20"/>
          <w:szCs w:val="20"/>
          <w:lang w:eastAsia="zh-CN"/>
        </w:rPr>
        <w:t>标成为实质性响应的投标。</w:t>
      </w:r>
    </w:p>
    <w:p w14:paraId="6414E25D">
      <w:pPr>
        <w:spacing w:before="93" w:line="228" w:lineRule="auto"/>
        <w:ind w:left="10"/>
        <w:rPr>
          <w:rFonts w:ascii="宋体" w:hAnsi="宋体" w:eastAsia="宋体" w:cs="宋体"/>
          <w:color w:val="auto"/>
          <w:sz w:val="20"/>
          <w:szCs w:val="20"/>
          <w:lang w:eastAsia="zh-CN"/>
        </w:rPr>
      </w:pPr>
      <w:r>
        <w:rPr>
          <w:rFonts w:ascii="Tahoma" w:hAnsi="Tahoma" w:eastAsia="Tahoma" w:cs="Tahoma"/>
          <w:b/>
          <w:bCs/>
          <w:color w:val="auto"/>
          <w:spacing w:val="7"/>
          <w:sz w:val="20"/>
          <w:szCs w:val="20"/>
          <w:lang w:eastAsia="zh-CN"/>
        </w:rPr>
        <w:t>3.2</w:t>
      </w:r>
      <w:r>
        <w:rPr>
          <w:rFonts w:ascii="Tahoma" w:hAnsi="Tahoma" w:eastAsia="Tahoma" w:cs="Tahoma"/>
          <w:b/>
          <w:bCs/>
          <w:color w:val="auto"/>
          <w:spacing w:val="56"/>
          <w:w w:val="101"/>
          <w:sz w:val="20"/>
          <w:szCs w:val="20"/>
          <w:lang w:eastAsia="zh-CN"/>
        </w:rPr>
        <w:t xml:space="preserve"> </w:t>
      </w:r>
      <w:r>
        <w:rPr>
          <w:rFonts w:ascii="宋体" w:hAnsi="宋体" w:eastAsia="宋体" w:cs="宋体"/>
          <w:color w:val="auto"/>
          <w:spacing w:val="7"/>
          <w:sz w:val="20"/>
          <w:szCs w:val="20"/>
          <w:lang w:eastAsia="zh-CN"/>
          <w14:textOutline w14:w="3797" w14:cap="sq" w14:cmpd="sng" w14:algn="ctr">
            <w14:solidFill>
              <w14:srgbClr w14:val="000000"/>
            </w14:solidFill>
            <w14:prstDash w14:val="solid"/>
            <w14:bevel/>
          </w14:textOutline>
        </w:rPr>
        <w:t>投标文件的澄清</w:t>
      </w:r>
    </w:p>
    <w:p w14:paraId="7E714D7B">
      <w:pPr>
        <w:spacing w:before="92" w:line="271" w:lineRule="auto"/>
        <w:ind w:left="8" w:right="16"/>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3.2.1 </w:t>
      </w:r>
      <w:r>
        <w:rPr>
          <w:rFonts w:ascii="宋体" w:hAnsi="宋体" w:eastAsia="宋体" w:cs="宋体"/>
          <w:color w:val="auto"/>
          <w:spacing w:val="9"/>
          <w:sz w:val="20"/>
          <w:szCs w:val="20"/>
          <w:lang w:eastAsia="zh-CN"/>
        </w:rPr>
        <w:t>评标委员会将允许投标人修改投标文件中不构成重大偏离的微小的、非正规、不一致或不规则地</w:t>
      </w:r>
      <w:r>
        <w:rPr>
          <w:rFonts w:ascii="宋体" w:hAnsi="宋体" w:eastAsia="宋体" w:cs="宋体"/>
          <w:color w:val="auto"/>
          <w:spacing w:val="3"/>
          <w:sz w:val="20"/>
          <w:szCs w:val="20"/>
          <w:lang w:eastAsia="zh-CN"/>
        </w:rPr>
        <w:t xml:space="preserve"> </w:t>
      </w:r>
      <w:r>
        <w:rPr>
          <w:rFonts w:ascii="宋体" w:hAnsi="宋体" w:eastAsia="宋体" w:cs="宋体"/>
          <w:color w:val="auto"/>
          <w:spacing w:val="9"/>
          <w:sz w:val="20"/>
          <w:szCs w:val="20"/>
          <w:lang w:eastAsia="zh-CN"/>
        </w:rPr>
        <w:t>方，但这种允许不能损害或影响任何投标人的相对排序。</w:t>
      </w:r>
    </w:p>
    <w:p w14:paraId="344B3074">
      <w:pPr>
        <w:spacing w:before="94" w:line="270" w:lineRule="auto"/>
        <w:ind w:left="7" w:right="16" w:firstLine="2"/>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3.2.2 </w:t>
      </w:r>
      <w:r>
        <w:rPr>
          <w:rFonts w:ascii="宋体" w:hAnsi="宋体" w:eastAsia="宋体" w:cs="宋体"/>
          <w:color w:val="auto"/>
          <w:spacing w:val="9"/>
          <w:sz w:val="20"/>
          <w:szCs w:val="20"/>
          <w:lang w:eastAsia="zh-CN"/>
        </w:rPr>
        <w:t>对于投标文件中含义不明确、同类问题表述不一致或者有明显文字和计算错误的内容，评标委员</w:t>
      </w:r>
      <w:r>
        <w:rPr>
          <w:rFonts w:ascii="宋体" w:hAnsi="宋体" w:eastAsia="宋体" w:cs="宋体"/>
          <w:color w:val="auto"/>
          <w:spacing w:val="3"/>
          <w:sz w:val="20"/>
          <w:szCs w:val="20"/>
          <w:lang w:eastAsia="zh-CN"/>
        </w:rPr>
        <w:t xml:space="preserve"> </w:t>
      </w:r>
      <w:r>
        <w:rPr>
          <w:rFonts w:ascii="宋体" w:hAnsi="宋体" w:eastAsia="宋体" w:cs="宋体"/>
          <w:color w:val="auto"/>
          <w:spacing w:val="9"/>
          <w:sz w:val="20"/>
          <w:szCs w:val="20"/>
          <w:lang w:eastAsia="zh-CN"/>
        </w:rPr>
        <w:t>会应当以书面形式要求投标人作出必要的澄清、说明或者补正。</w:t>
      </w:r>
    </w:p>
    <w:p w14:paraId="34E86EA6">
      <w:pPr>
        <w:spacing w:before="95" w:line="271" w:lineRule="auto"/>
        <w:ind w:left="8" w:right="16" w:firstLine="210"/>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投标人的澄清、说明或者补正应当采用书面形式，并加盖公章，或</w:t>
      </w:r>
      <w:r>
        <w:rPr>
          <w:rFonts w:ascii="宋体" w:hAnsi="宋体" w:eastAsia="宋体" w:cs="宋体"/>
          <w:color w:val="auto"/>
          <w:spacing w:val="7"/>
          <w:sz w:val="20"/>
          <w:szCs w:val="20"/>
          <w:lang w:eastAsia="zh-CN"/>
        </w:rPr>
        <w:t>者由</w:t>
      </w:r>
      <w:r>
        <w:rPr>
          <w:rFonts w:hint="eastAsia" w:ascii="宋体" w:hAnsi="宋体" w:eastAsia="宋体" w:cs="宋体"/>
          <w:color w:val="auto"/>
          <w:spacing w:val="7"/>
          <w:sz w:val="20"/>
          <w:szCs w:val="20"/>
          <w:lang w:eastAsia="zh-CN"/>
        </w:rPr>
        <w:t>负责</w:t>
      </w:r>
      <w:r>
        <w:rPr>
          <w:rFonts w:ascii="宋体" w:hAnsi="宋体" w:eastAsia="宋体" w:cs="宋体"/>
          <w:color w:val="auto"/>
          <w:spacing w:val="7"/>
          <w:sz w:val="20"/>
          <w:szCs w:val="20"/>
          <w:lang w:eastAsia="zh-CN"/>
        </w:rPr>
        <w:t>人或其授权的代表签</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字。投标人的澄清、说明或者补正不得超出投标文件的范围或者改变投标文件的实质性内容。</w:t>
      </w:r>
    </w:p>
    <w:p w14:paraId="0BF74A60">
      <w:pPr>
        <w:spacing w:before="92" w:line="226" w:lineRule="auto"/>
        <w:ind w:left="9"/>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3.2.3 </w:t>
      </w:r>
      <w:r>
        <w:rPr>
          <w:rFonts w:ascii="宋体" w:hAnsi="宋体" w:eastAsia="宋体" w:cs="宋体"/>
          <w:color w:val="auto"/>
          <w:spacing w:val="8"/>
          <w:sz w:val="20"/>
          <w:szCs w:val="20"/>
          <w:lang w:eastAsia="zh-CN"/>
        </w:rPr>
        <w:t>投标文件报价出现前后不一致的，除招标文件另有规定外，按照下列规定修正：</w:t>
      </w:r>
    </w:p>
    <w:p w14:paraId="55471353">
      <w:pPr>
        <w:spacing w:before="95" w:line="272" w:lineRule="auto"/>
        <w:ind w:left="7" w:right="16" w:firstLine="219"/>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（一）投标文件中开标一览表（报价表）内容与</w:t>
      </w:r>
      <w:r>
        <w:rPr>
          <w:rFonts w:ascii="宋体" w:hAnsi="宋体" w:eastAsia="宋体" w:cs="宋体"/>
          <w:color w:val="auto"/>
          <w:spacing w:val="7"/>
          <w:sz w:val="20"/>
          <w:szCs w:val="20"/>
          <w:lang w:eastAsia="zh-CN"/>
        </w:rPr>
        <w:t>投标文件中相应内容不一致的，以开标一览表（报价</w:t>
      </w:r>
      <w:r>
        <w:rPr>
          <w:rFonts w:ascii="宋体" w:hAnsi="宋体" w:eastAsia="宋体" w:cs="宋体"/>
          <w:color w:val="auto"/>
          <w:sz w:val="20"/>
          <w:szCs w:val="20"/>
          <w:lang w:eastAsia="zh-CN"/>
        </w:rPr>
        <w:t xml:space="preserve"> </w:t>
      </w:r>
      <w:r>
        <w:rPr>
          <w:rFonts w:ascii="宋体" w:hAnsi="宋体" w:eastAsia="宋体" w:cs="宋体"/>
          <w:color w:val="auto"/>
          <w:spacing w:val="6"/>
          <w:sz w:val="20"/>
          <w:szCs w:val="20"/>
          <w:lang w:eastAsia="zh-CN"/>
        </w:rPr>
        <w:t>表）为准；</w:t>
      </w:r>
    </w:p>
    <w:p w14:paraId="2593274E">
      <w:pPr>
        <w:spacing w:before="65" w:line="228"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（二）大写金额和小写金额不一致的，以大写金额为准；</w:t>
      </w:r>
    </w:p>
    <w:p w14:paraId="393B1437">
      <w:pPr>
        <w:spacing w:before="94" w:line="269" w:lineRule="auto"/>
        <w:ind w:left="227" w:right="857"/>
        <w:rPr>
          <w:rFonts w:ascii="宋体" w:hAnsi="宋体" w:eastAsia="宋体" w:cs="宋体"/>
          <w:color w:val="auto"/>
          <w:spacing w:val="7"/>
          <w:sz w:val="20"/>
          <w:szCs w:val="20"/>
          <w:lang w:eastAsia="zh-CN"/>
        </w:rPr>
      </w:pPr>
      <w:r>
        <w:rPr>
          <w:rFonts w:ascii="宋体" w:hAnsi="宋体" w:eastAsia="宋体" w:cs="宋体"/>
          <w:color w:val="auto"/>
          <w:spacing w:val="7"/>
          <w:sz w:val="20"/>
          <w:szCs w:val="20"/>
          <w:lang w:eastAsia="zh-CN"/>
        </w:rPr>
        <w:t>（三）单价金额小数点或者百分比有明显错位的，</w:t>
      </w:r>
      <w:r>
        <w:rPr>
          <w:rFonts w:ascii="宋体" w:hAnsi="宋体" w:eastAsia="宋体" w:cs="宋体"/>
          <w:color w:val="auto"/>
          <w:spacing w:val="-56"/>
          <w:sz w:val="20"/>
          <w:szCs w:val="20"/>
          <w:lang w:eastAsia="zh-CN"/>
        </w:rPr>
        <w:t xml:space="preserve"> </w:t>
      </w:r>
      <w:r>
        <w:rPr>
          <w:rFonts w:ascii="宋体" w:hAnsi="宋体" w:eastAsia="宋体" w:cs="宋体"/>
          <w:color w:val="auto"/>
          <w:spacing w:val="7"/>
          <w:sz w:val="20"/>
          <w:szCs w:val="20"/>
          <w:lang w:eastAsia="zh-CN"/>
        </w:rPr>
        <w:t>以开标一览表的总价为准，并修改单价；</w:t>
      </w:r>
    </w:p>
    <w:p w14:paraId="650BD7B7">
      <w:pPr>
        <w:spacing w:before="94" w:line="269" w:lineRule="auto"/>
        <w:ind w:left="227" w:right="85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（四）总价金额与按单价汇总金额不一致的，</w:t>
      </w:r>
      <w:r>
        <w:rPr>
          <w:rFonts w:ascii="宋体" w:hAnsi="宋体" w:eastAsia="宋体" w:cs="宋体"/>
          <w:color w:val="auto"/>
          <w:spacing w:val="-59"/>
          <w:sz w:val="20"/>
          <w:szCs w:val="20"/>
          <w:lang w:eastAsia="zh-CN"/>
        </w:rPr>
        <w:t xml:space="preserve"> </w:t>
      </w:r>
      <w:r>
        <w:rPr>
          <w:rFonts w:ascii="宋体" w:hAnsi="宋体" w:eastAsia="宋体" w:cs="宋体"/>
          <w:color w:val="auto"/>
          <w:spacing w:val="8"/>
          <w:sz w:val="20"/>
          <w:szCs w:val="20"/>
          <w:lang w:eastAsia="zh-CN"/>
        </w:rPr>
        <w:t>以单价金</w:t>
      </w:r>
      <w:r>
        <w:rPr>
          <w:rFonts w:ascii="宋体" w:hAnsi="宋体" w:eastAsia="宋体" w:cs="宋体"/>
          <w:color w:val="auto"/>
          <w:spacing w:val="7"/>
          <w:sz w:val="20"/>
          <w:szCs w:val="20"/>
          <w:lang w:eastAsia="zh-CN"/>
        </w:rPr>
        <w:t>额计算结果为准。</w:t>
      </w:r>
    </w:p>
    <w:p w14:paraId="50205D97">
      <w:pPr>
        <w:spacing w:before="95" w:line="271" w:lineRule="auto"/>
        <w:ind w:left="8" w:right="52" w:firstLine="19"/>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同时出现两种以上不一致的，按照前款规定的顺序修正。修正后的报价按照投标人须知第</w:t>
      </w:r>
      <w:r>
        <w:rPr>
          <w:rFonts w:ascii="宋体" w:hAnsi="宋体" w:eastAsia="宋体" w:cs="宋体"/>
          <w:color w:val="auto"/>
          <w:spacing w:val="-19"/>
          <w:sz w:val="20"/>
          <w:szCs w:val="20"/>
          <w:lang w:eastAsia="zh-CN"/>
        </w:rPr>
        <w:t xml:space="preserve"> </w:t>
      </w:r>
      <w:r>
        <w:rPr>
          <w:rFonts w:ascii="Tahoma" w:hAnsi="Tahoma" w:eastAsia="Tahoma" w:cs="Tahoma"/>
          <w:color w:val="auto"/>
          <w:spacing w:val="7"/>
          <w:sz w:val="20"/>
          <w:szCs w:val="20"/>
          <w:lang w:eastAsia="zh-CN"/>
        </w:rPr>
        <w:t xml:space="preserve">6.5.2 </w:t>
      </w:r>
      <w:r>
        <w:rPr>
          <w:rFonts w:ascii="宋体" w:hAnsi="宋体" w:eastAsia="宋体" w:cs="宋体"/>
          <w:color w:val="auto"/>
          <w:spacing w:val="7"/>
          <w:sz w:val="20"/>
          <w:szCs w:val="20"/>
          <w:lang w:eastAsia="zh-CN"/>
        </w:rPr>
        <w:t>条第二</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款的规定经投标人确认后产生约束力，</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投标人不确认的，其投标无效。</w:t>
      </w:r>
    </w:p>
    <w:p w14:paraId="26F898B0">
      <w:pPr>
        <w:spacing w:before="92" w:line="226" w:lineRule="auto"/>
        <w:ind w:left="10"/>
        <w:rPr>
          <w:rFonts w:ascii="宋体" w:hAnsi="宋体" w:eastAsia="宋体" w:cs="宋体"/>
          <w:color w:val="auto"/>
          <w:sz w:val="20"/>
          <w:szCs w:val="20"/>
          <w:lang w:eastAsia="zh-CN"/>
        </w:rPr>
      </w:pPr>
      <w:r>
        <w:rPr>
          <w:rFonts w:ascii="Tahoma" w:hAnsi="Tahoma" w:eastAsia="Tahoma" w:cs="Tahoma"/>
          <w:b/>
          <w:bCs/>
          <w:color w:val="auto"/>
          <w:spacing w:val="3"/>
          <w:sz w:val="20"/>
          <w:szCs w:val="20"/>
          <w:lang w:eastAsia="zh-CN"/>
        </w:rPr>
        <w:t>3.3</w:t>
      </w:r>
      <w:r>
        <w:rPr>
          <w:rFonts w:ascii="Tahoma" w:hAnsi="Tahoma" w:eastAsia="Tahoma" w:cs="Tahoma"/>
          <w:b/>
          <w:bCs/>
          <w:color w:val="auto"/>
          <w:spacing w:val="9"/>
          <w:sz w:val="20"/>
          <w:szCs w:val="20"/>
          <w:lang w:eastAsia="zh-CN"/>
        </w:rPr>
        <w:t xml:space="preserve">  </w:t>
      </w:r>
      <w:r>
        <w:rPr>
          <w:rFonts w:ascii="宋体" w:hAnsi="宋体" w:eastAsia="宋体" w:cs="宋体"/>
          <w:color w:val="auto"/>
          <w:spacing w:val="3"/>
          <w:sz w:val="20"/>
          <w:szCs w:val="20"/>
          <w:lang w:eastAsia="zh-CN"/>
          <w14:textOutline w14:w="3797" w14:cap="sq" w14:cmpd="sng" w14:algn="ctr">
            <w14:solidFill>
              <w14:srgbClr w14:val="000000"/>
            </w14:solidFill>
            <w14:prstDash w14:val="solid"/>
            <w14:bevel/>
          </w14:textOutline>
        </w:rPr>
        <w:t>比较与评价</w:t>
      </w:r>
    </w:p>
    <w:p w14:paraId="15D2E9B8">
      <w:pPr>
        <w:spacing w:before="97" w:line="270" w:lineRule="auto"/>
        <w:ind w:left="9" w:right="52"/>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3.3.1 </w:t>
      </w:r>
      <w:r>
        <w:rPr>
          <w:rFonts w:ascii="宋体" w:hAnsi="宋体" w:eastAsia="宋体" w:cs="宋体"/>
          <w:color w:val="auto"/>
          <w:spacing w:val="9"/>
          <w:sz w:val="20"/>
          <w:szCs w:val="20"/>
          <w:lang w:eastAsia="zh-CN"/>
        </w:rPr>
        <w:t>评标委员会按照招标文件中规定的评标方法和标准，对符合性审查合格的投标文件进行商务和技</w:t>
      </w:r>
      <w:r>
        <w:rPr>
          <w:rFonts w:ascii="宋体" w:hAnsi="宋体" w:eastAsia="宋体" w:cs="宋体"/>
          <w:color w:val="auto"/>
          <w:spacing w:val="3"/>
          <w:sz w:val="20"/>
          <w:szCs w:val="20"/>
          <w:lang w:eastAsia="zh-CN"/>
        </w:rPr>
        <w:t xml:space="preserve"> </w:t>
      </w:r>
      <w:r>
        <w:rPr>
          <w:rFonts w:ascii="宋体" w:hAnsi="宋体" w:eastAsia="宋体" w:cs="宋体"/>
          <w:color w:val="auto"/>
          <w:spacing w:val="9"/>
          <w:sz w:val="20"/>
          <w:szCs w:val="20"/>
          <w:lang w:eastAsia="zh-CN"/>
        </w:rPr>
        <w:t>术评估，综合比较与评价。评价投标文件是否符合招标文件的商务、技术等实质性要求。</w:t>
      </w:r>
    </w:p>
    <w:p w14:paraId="143573E7">
      <w:pPr>
        <w:spacing w:before="94" w:line="285" w:lineRule="auto"/>
        <w:ind w:left="8" w:right="52" w:firstLine="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3.3.2 </w:t>
      </w:r>
      <w:r>
        <w:rPr>
          <w:rFonts w:ascii="宋体" w:hAnsi="宋体" w:eastAsia="宋体" w:cs="宋体"/>
          <w:color w:val="auto"/>
          <w:spacing w:val="9"/>
          <w:sz w:val="20"/>
          <w:szCs w:val="20"/>
          <w:lang w:eastAsia="zh-CN"/>
        </w:rPr>
        <w:t>评标委员会按招标文件规定的评审因素和量化指标由评标委员会采用综合评分法对投标文件进行</w:t>
      </w:r>
      <w:r>
        <w:rPr>
          <w:rFonts w:ascii="宋体" w:hAnsi="宋体" w:eastAsia="宋体" w:cs="宋体"/>
          <w:color w:val="auto"/>
          <w:spacing w:val="3"/>
          <w:sz w:val="20"/>
          <w:szCs w:val="20"/>
          <w:lang w:eastAsia="zh-CN"/>
        </w:rPr>
        <w:t xml:space="preserve"> </w:t>
      </w:r>
      <w:r>
        <w:rPr>
          <w:rFonts w:ascii="宋体" w:hAnsi="宋体" w:eastAsia="宋体" w:cs="宋体"/>
          <w:color w:val="auto"/>
          <w:spacing w:val="8"/>
          <w:sz w:val="20"/>
          <w:szCs w:val="20"/>
          <w:lang w:eastAsia="zh-CN"/>
        </w:rPr>
        <w:t>综合评分。评审时，各成员应当独立对每个全部实质性响应的投标文件进行</w:t>
      </w:r>
      <w:r>
        <w:rPr>
          <w:rFonts w:ascii="宋体" w:hAnsi="宋体" w:eastAsia="宋体" w:cs="宋体"/>
          <w:color w:val="auto"/>
          <w:spacing w:val="7"/>
          <w:sz w:val="20"/>
          <w:szCs w:val="20"/>
          <w:lang w:eastAsia="zh-CN"/>
        </w:rPr>
        <w:t>评价、打分，然后汇总每个</w:t>
      </w:r>
      <w:r>
        <w:rPr>
          <w:rFonts w:ascii="宋体" w:hAnsi="宋体" w:eastAsia="宋体" w:cs="宋体"/>
          <w:color w:val="auto"/>
          <w:sz w:val="20"/>
          <w:szCs w:val="20"/>
          <w:lang w:eastAsia="zh-CN"/>
        </w:rPr>
        <w:t xml:space="preserve"> </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每项评分因素的得分。</w:t>
      </w:r>
    </w:p>
    <w:p w14:paraId="5BC2FBC4">
      <w:pPr>
        <w:spacing w:before="94" w:line="270" w:lineRule="auto"/>
        <w:ind w:left="24" w:right="52" w:hanging="15"/>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3.3.3 </w:t>
      </w:r>
      <w:r>
        <w:rPr>
          <w:rFonts w:ascii="宋体" w:hAnsi="宋体" w:eastAsia="宋体" w:cs="宋体"/>
          <w:color w:val="auto"/>
          <w:spacing w:val="9"/>
          <w:sz w:val="20"/>
          <w:szCs w:val="20"/>
          <w:lang w:eastAsia="zh-CN"/>
        </w:rPr>
        <w:t>对于非专门面向中小企业的项目，</w:t>
      </w:r>
      <w:r>
        <w:rPr>
          <w:rFonts w:ascii="宋体" w:hAnsi="宋体" w:eastAsia="宋体" w:cs="宋体"/>
          <w:color w:val="auto"/>
          <w:spacing w:val="8"/>
          <w:sz w:val="20"/>
          <w:szCs w:val="20"/>
          <w:lang w:eastAsia="zh-CN"/>
        </w:rPr>
        <w:t>对小型和微型企业产品的价格扣除，按“投标须知前附表</w:t>
      </w:r>
      <w:r>
        <w:rPr>
          <w:rFonts w:ascii="宋体" w:hAnsi="宋体" w:eastAsia="宋体" w:cs="宋体"/>
          <w:color w:val="auto"/>
          <w:spacing w:val="-70"/>
          <w:sz w:val="20"/>
          <w:szCs w:val="20"/>
          <w:lang w:eastAsia="zh-CN"/>
        </w:rPr>
        <w:t xml:space="preserve"> </w:t>
      </w:r>
      <w:r>
        <w:rPr>
          <w:rFonts w:ascii="宋体" w:hAnsi="宋体" w:eastAsia="宋体" w:cs="宋体"/>
          <w:color w:val="auto"/>
          <w:spacing w:val="8"/>
          <w:sz w:val="20"/>
          <w:szCs w:val="20"/>
          <w:lang w:eastAsia="zh-CN"/>
        </w:rPr>
        <w:t>”中</w:t>
      </w:r>
      <w:r>
        <w:rPr>
          <w:rFonts w:ascii="宋体" w:hAnsi="宋体" w:eastAsia="宋体" w:cs="宋体"/>
          <w:color w:val="auto"/>
          <w:sz w:val="20"/>
          <w:szCs w:val="20"/>
          <w:lang w:eastAsia="zh-CN"/>
        </w:rPr>
        <w:t xml:space="preserve"> </w:t>
      </w:r>
      <w:r>
        <w:rPr>
          <w:rFonts w:ascii="宋体" w:hAnsi="宋体" w:eastAsia="宋体" w:cs="宋体"/>
          <w:color w:val="auto"/>
          <w:spacing w:val="5"/>
          <w:sz w:val="20"/>
          <w:szCs w:val="20"/>
          <w:lang w:eastAsia="zh-CN"/>
        </w:rPr>
        <w:t>的第</w:t>
      </w:r>
      <w:r>
        <w:rPr>
          <w:rFonts w:ascii="宋体" w:hAnsi="宋体" w:eastAsia="宋体" w:cs="宋体"/>
          <w:color w:val="auto"/>
          <w:spacing w:val="-11"/>
          <w:sz w:val="20"/>
          <w:szCs w:val="20"/>
          <w:lang w:eastAsia="zh-CN"/>
        </w:rPr>
        <w:t xml:space="preserve"> </w:t>
      </w:r>
      <w:r>
        <w:rPr>
          <w:rFonts w:ascii="Tahoma" w:hAnsi="Tahoma" w:eastAsia="Tahoma" w:cs="Tahoma"/>
          <w:color w:val="auto"/>
          <w:spacing w:val="5"/>
          <w:sz w:val="20"/>
          <w:szCs w:val="20"/>
          <w:lang w:eastAsia="zh-CN"/>
        </w:rPr>
        <w:t xml:space="preserve">10.3.2 </w:t>
      </w:r>
      <w:r>
        <w:rPr>
          <w:rFonts w:ascii="宋体" w:hAnsi="宋体" w:eastAsia="宋体" w:cs="宋体"/>
          <w:color w:val="auto"/>
          <w:spacing w:val="5"/>
          <w:sz w:val="20"/>
          <w:szCs w:val="20"/>
          <w:lang w:eastAsia="zh-CN"/>
        </w:rPr>
        <w:t>款的规定，用扣除后的价格参与评审。</w:t>
      </w:r>
    </w:p>
    <w:p w14:paraId="66FE4BDD">
      <w:pPr>
        <w:spacing w:before="96" w:line="269" w:lineRule="auto"/>
        <w:ind w:left="24" w:right="54" w:hanging="15"/>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3.3.4 </w:t>
      </w:r>
      <w:r>
        <w:rPr>
          <w:rFonts w:ascii="宋体" w:hAnsi="宋体" w:eastAsia="宋体" w:cs="宋体"/>
          <w:color w:val="auto"/>
          <w:spacing w:val="8"/>
          <w:sz w:val="20"/>
          <w:szCs w:val="20"/>
          <w:lang w:eastAsia="zh-CN"/>
        </w:rPr>
        <w:t>对于非专门面向中小企业的项目，采用联合体投标的，符合“投标人须知</w:t>
      </w:r>
      <w:r>
        <w:rPr>
          <w:rFonts w:ascii="宋体" w:hAnsi="宋体" w:eastAsia="宋体" w:cs="宋体"/>
          <w:color w:val="auto"/>
          <w:spacing w:val="-64"/>
          <w:sz w:val="20"/>
          <w:szCs w:val="20"/>
          <w:lang w:eastAsia="zh-CN"/>
        </w:rPr>
        <w:t xml:space="preserve"> </w:t>
      </w:r>
      <w:r>
        <w:rPr>
          <w:rFonts w:ascii="宋体" w:hAnsi="宋体" w:eastAsia="宋体" w:cs="宋体"/>
          <w:color w:val="auto"/>
          <w:spacing w:val="8"/>
          <w:sz w:val="20"/>
          <w:szCs w:val="20"/>
          <w:lang w:eastAsia="zh-CN"/>
        </w:rPr>
        <w:t>”正文第</w:t>
      </w:r>
      <w:r>
        <w:rPr>
          <w:rFonts w:ascii="宋体" w:hAnsi="宋体" w:eastAsia="宋体" w:cs="宋体"/>
          <w:color w:val="auto"/>
          <w:spacing w:val="-22"/>
          <w:sz w:val="20"/>
          <w:szCs w:val="20"/>
          <w:lang w:eastAsia="zh-CN"/>
        </w:rPr>
        <w:t xml:space="preserve"> </w:t>
      </w:r>
      <w:r>
        <w:rPr>
          <w:rFonts w:ascii="Tahoma" w:hAnsi="Tahoma" w:eastAsia="Tahoma" w:cs="Tahoma"/>
          <w:color w:val="auto"/>
          <w:spacing w:val="8"/>
          <w:sz w:val="20"/>
          <w:szCs w:val="20"/>
          <w:lang w:eastAsia="zh-CN"/>
        </w:rPr>
        <w:t xml:space="preserve">1.4.4 </w:t>
      </w:r>
      <w:r>
        <w:rPr>
          <w:rFonts w:ascii="宋体" w:hAnsi="宋体" w:eastAsia="宋体" w:cs="宋体"/>
          <w:color w:val="auto"/>
          <w:spacing w:val="8"/>
          <w:sz w:val="20"/>
          <w:szCs w:val="20"/>
          <w:lang w:eastAsia="zh-CN"/>
        </w:rPr>
        <w:t>条规定</w:t>
      </w:r>
      <w:r>
        <w:rPr>
          <w:rFonts w:ascii="宋体" w:hAnsi="宋体" w:eastAsia="宋体" w:cs="宋体"/>
          <w:color w:val="auto"/>
          <w:sz w:val="20"/>
          <w:szCs w:val="20"/>
          <w:lang w:eastAsia="zh-CN"/>
        </w:rPr>
        <w:t xml:space="preserve"> </w:t>
      </w:r>
      <w:r>
        <w:rPr>
          <w:rFonts w:ascii="宋体" w:hAnsi="宋体" w:eastAsia="宋体" w:cs="宋体"/>
          <w:color w:val="auto"/>
          <w:spacing w:val="7"/>
          <w:sz w:val="20"/>
          <w:szCs w:val="20"/>
          <w:lang w:eastAsia="zh-CN"/>
        </w:rPr>
        <w:t>的投标人产品的价格扣除按</w:t>
      </w:r>
      <w:r>
        <w:rPr>
          <w:rFonts w:ascii="宋体" w:hAnsi="宋体" w:eastAsia="宋体" w:cs="宋体"/>
          <w:color w:val="auto"/>
          <w:spacing w:val="-22"/>
          <w:sz w:val="20"/>
          <w:szCs w:val="20"/>
          <w:lang w:eastAsia="zh-CN"/>
        </w:rPr>
        <w:t xml:space="preserve"> </w:t>
      </w:r>
      <w:r>
        <w:rPr>
          <w:rFonts w:ascii="Tahoma" w:hAnsi="Tahoma" w:eastAsia="Tahoma" w:cs="Tahoma"/>
          <w:color w:val="auto"/>
          <w:spacing w:val="7"/>
          <w:sz w:val="20"/>
          <w:szCs w:val="20"/>
          <w:lang w:eastAsia="zh-CN"/>
        </w:rPr>
        <w:t xml:space="preserve">1.4.4 </w:t>
      </w:r>
      <w:r>
        <w:rPr>
          <w:rFonts w:ascii="宋体" w:hAnsi="宋体" w:eastAsia="宋体" w:cs="宋体"/>
          <w:color w:val="auto"/>
          <w:spacing w:val="7"/>
          <w:sz w:val="20"/>
          <w:szCs w:val="20"/>
          <w:lang w:eastAsia="zh-CN"/>
        </w:rPr>
        <w:t>条的规定，用扣</w:t>
      </w:r>
      <w:r>
        <w:rPr>
          <w:rFonts w:ascii="宋体" w:hAnsi="宋体" w:eastAsia="宋体" w:cs="宋体"/>
          <w:color w:val="auto"/>
          <w:spacing w:val="6"/>
          <w:sz w:val="20"/>
          <w:szCs w:val="20"/>
          <w:lang w:eastAsia="zh-CN"/>
        </w:rPr>
        <w:t>除后的价格参与评审。</w:t>
      </w:r>
    </w:p>
    <w:p w14:paraId="7D5EC531">
      <w:pPr>
        <w:spacing w:before="97" w:line="284" w:lineRule="auto"/>
        <w:ind w:left="9"/>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3.3.5 </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评标委员会认为投标人的报价明显低于其他通过符合性审查投标人的报价，有可能影响产品质量</w:t>
      </w:r>
      <w:r>
        <w:rPr>
          <w:rFonts w:ascii="宋体" w:hAnsi="宋体" w:eastAsia="宋体" w:cs="宋体"/>
          <w:color w:val="auto"/>
          <w:spacing w:val="3"/>
          <w:sz w:val="20"/>
          <w:szCs w:val="20"/>
          <w:lang w:eastAsia="zh-CN"/>
        </w:rPr>
        <w:t xml:space="preserve"> </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或者不能诚信履约的，应当要求其在评标现场合理的时间内提供书面说明，必要时提交</w:t>
      </w:r>
      <w:r>
        <w:rPr>
          <w:rFonts w:ascii="宋体" w:hAnsi="宋体" w:eastAsia="宋体" w:cs="宋体"/>
          <w:color w:val="auto"/>
          <w:spacing w:val="8"/>
          <w:sz w:val="20"/>
          <w:szCs w:val="20"/>
          <w:lang w:eastAsia="zh-CN"/>
          <w14:textOutline w14:w="3797" w14:cap="sq" w14:cmpd="sng" w14:algn="ctr">
            <w14:solidFill>
              <w14:srgbClr w14:val="000000"/>
            </w14:solidFill>
            <w14:prstDash w14:val="solid"/>
            <w14:bevel/>
          </w14:textOutline>
        </w:rPr>
        <w:t>相关证明材料；</w:t>
      </w:r>
      <w:r>
        <w:rPr>
          <w:rFonts w:ascii="宋体" w:hAnsi="宋体" w:eastAsia="宋体" w:cs="宋体"/>
          <w:color w:val="auto"/>
          <w:sz w:val="20"/>
          <w:szCs w:val="20"/>
          <w:lang w:eastAsia="zh-CN"/>
        </w:rPr>
        <w:t xml:space="preserve"> </w:t>
      </w:r>
      <w:r>
        <w:rPr>
          <w:rFonts w:ascii="宋体" w:hAnsi="宋体" w:eastAsia="宋体" w:cs="宋体"/>
          <w:color w:val="auto"/>
          <w:spacing w:val="10"/>
          <w:sz w:val="20"/>
          <w:szCs w:val="20"/>
          <w:lang w:eastAsia="zh-CN"/>
          <w14:textOutline w14:w="3797" w14:cap="sq" w14:cmpd="sng" w14:algn="ctr">
            <w14:solidFill>
              <w14:srgbClr w14:val="000000"/>
            </w14:solidFill>
            <w14:prstDash w14:val="solid"/>
            <w14:bevel/>
          </w14:textOutline>
        </w:rPr>
        <w:t>投标人不能证明其报价合理性的，评标委员会应当将其作为无效投标处理</w:t>
      </w:r>
      <w:r>
        <w:rPr>
          <w:rFonts w:ascii="宋体" w:hAnsi="宋体" w:eastAsia="宋体" w:cs="宋体"/>
          <w:color w:val="auto"/>
          <w:spacing w:val="10"/>
          <w:sz w:val="20"/>
          <w:szCs w:val="20"/>
          <w:lang w:eastAsia="zh-CN"/>
        </w:rPr>
        <w:t>。</w:t>
      </w:r>
    </w:p>
    <w:p w14:paraId="15A6A93A">
      <w:pPr>
        <w:spacing w:before="96" w:line="292" w:lineRule="auto"/>
        <w:ind w:left="8" w:right="52" w:firstLine="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3.3.6 </w:t>
      </w:r>
      <w:r>
        <w:rPr>
          <w:rFonts w:ascii="宋体" w:hAnsi="宋体" w:eastAsia="宋体" w:cs="宋体"/>
          <w:color w:val="auto"/>
          <w:spacing w:val="9"/>
          <w:sz w:val="20"/>
          <w:szCs w:val="20"/>
          <w:lang w:eastAsia="zh-CN"/>
        </w:rPr>
        <w:t>在评审过程中出现投标人提供相同品牌产品且通过资格审查、符合性审查的不同投标人参加同一</w:t>
      </w:r>
      <w:r>
        <w:rPr>
          <w:rFonts w:ascii="宋体" w:hAnsi="宋体" w:eastAsia="宋体" w:cs="宋体"/>
          <w:color w:val="auto"/>
          <w:spacing w:val="3"/>
          <w:sz w:val="20"/>
          <w:szCs w:val="20"/>
          <w:lang w:eastAsia="zh-CN"/>
        </w:rPr>
        <w:t xml:space="preserve"> </w:t>
      </w:r>
      <w:r>
        <w:rPr>
          <w:rFonts w:ascii="宋体" w:hAnsi="宋体" w:eastAsia="宋体" w:cs="宋体"/>
          <w:color w:val="auto"/>
          <w:spacing w:val="8"/>
          <w:sz w:val="20"/>
          <w:szCs w:val="20"/>
          <w:lang w:eastAsia="zh-CN"/>
        </w:rPr>
        <w:t>合同项下投标的，按一家投标人计算，评审后得分最高的同品牌投标人获得</w:t>
      </w:r>
      <w:r>
        <w:rPr>
          <w:rFonts w:ascii="宋体" w:hAnsi="宋体" w:eastAsia="宋体" w:cs="宋体"/>
          <w:color w:val="auto"/>
          <w:spacing w:val="7"/>
          <w:sz w:val="20"/>
          <w:szCs w:val="20"/>
          <w:lang w:eastAsia="zh-CN"/>
        </w:rPr>
        <w:t>中标人推荐资格；评审得分</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相同的，由采购人或者采购人委托评标委员会按照招标文件规定的方式确定</w:t>
      </w:r>
      <w:r>
        <w:rPr>
          <w:rFonts w:ascii="宋体" w:hAnsi="宋体" w:eastAsia="宋体" w:cs="宋体"/>
          <w:color w:val="auto"/>
          <w:spacing w:val="7"/>
          <w:sz w:val="20"/>
          <w:szCs w:val="20"/>
          <w:lang w:eastAsia="zh-CN"/>
        </w:rPr>
        <w:t>一个投标人获得中标人推荐</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资格，招标文件未规定的采取随机抽取方式确定，其他同品牌投标人不作为中标候选人。</w:t>
      </w:r>
    </w:p>
    <w:p w14:paraId="3EDD4B5D">
      <w:pPr>
        <w:spacing w:before="94" w:line="270" w:lineRule="auto"/>
        <w:ind w:left="7" w:right="52" w:firstLine="428"/>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非单一产品采购项目，采购人应当根据采购</w:t>
      </w:r>
      <w:r>
        <w:rPr>
          <w:rFonts w:ascii="宋体" w:hAnsi="宋体" w:eastAsia="宋体" w:cs="宋体"/>
          <w:color w:val="auto"/>
          <w:spacing w:val="7"/>
          <w:sz w:val="20"/>
          <w:szCs w:val="20"/>
          <w:lang w:eastAsia="zh-CN"/>
        </w:rPr>
        <w:t>项目技术构成、产品价格比重等合理确定核心产品，并</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在招标文件中载明。多家投标人提供的核心产品品牌相同的，按前两款规定处理。</w:t>
      </w:r>
    </w:p>
    <w:p w14:paraId="0728A779">
      <w:pPr>
        <w:spacing w:before="95" w:line="271" w:lineRule="auto"/>
        <w:ind w:left="7" w:right="52" w:firstLine="2"/>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3.3.7 </w:t>
      </w:r>
      <w:r>
        <w:rPr>
          <w:rFonts w:ascii="宋体" w:hAnsi="宋体" w:eastAsia="宋体" w:cs="宋体"/>
          <w:color w:val="auto"/>
          <w:spacing w:val="9"/>
          <w:sz w:val="20"/>
          <w:szCs w:val="20"/>
          <w:lang w:eastAsia="zh-CN"/>
        </w:rPr>
        <w:t>经评审后，若出现符合本须知规定的所有投标条件的投标人不足三家情形的，本次招标终止，除</w:t>
      </w:r>
      <w:r>
        <w:rPr>
          <w:rFonts w:ascii="宋体" w:hAnsi="宋体" w:eastAsia="宋体" w:cs="宋体"/>
          <w:color w:val="auto"/>
          <w:spacing w:val="3"/>
          <w:sz w:val="20"/>
          <w:szCs w:val="20"/>
          <w:lang w:eastAsia="zh-CN"/>
        </w:rPr>
        <w:t xml:space="preserve"> </w:t>
      </w:r>
      <w:r>
        <w:rPr>
          <w:rFonts w:ascii="宋体" w:hAnsi="宋体" w:eastAsia="宋体" w:cs="宋体"/>
          <w:color w:val="auto"/>
          <w:spacing w:val="9"/>
          <w:sz w:val="20"/>
          <w:szCs w:val="20"/>
          <w:lang w:eastAsia="zh-CN"/>
        </w:rPr>
        <w:t>采购任务取消情形外，招标单位将依法重新组织招标或者采取其他方式采购。</w:t>
      </w:r>
    </w:p>
    <w:p w14:paraId="10FD5E71">
      <w:pPr>
        <w:spacing w:before="92" w:line="227" w:lineRule="auto"/>
        <w:ind w:left="10"/>
        <w:rPr>
          <w:rFonts w:ascii="宋体" w:hAnsi="宋体" w:eastAsia="宋体" w:cs="宋体"/>
          <w:color w:val="auto"/>
          <w:sz w:val="20"/>
          <w:szCs w:val="20"/>
          <w:lang w:eastAsia="zh-CN"/>
        </w:rPr>
      </w:pPr>
      <w:r>
        <w:rPr>
          <w:rFonts w:ascii="Tahoma" w:hAnsi="Tahoma" w:eastAsia="Tahoma" w:cs="Tahoma"/>
          <w:b/>
          <w:bCs/>
          <w:color w:val="auto"/>
          <w:spacing w:val="6"/>
          <w:sz w:val="20"/>
          <w:szCs w:val="20"/>
          <w:lang w:eastAsia="zh-CN"/>
        </w:rPr>
        <w:t xml:space="preserve">3.4 </w:t>
      </w:r>
      <w:r>
        <w:rPr>
          <w:rFonts w:ascii="宋体" w:hAnsi="宋体" w:eastAsia="宋体" w:cs="宋体"/>
          <w:color w:val="auto"/>
          <w:spacing w:val="6"/>
          <w:sz w:val="20"/>
          <w:szCs w:val="20"/>
          <w:lang w:eastAsia="zh-CN"/>
          <w14:textOutline w14:w="3797" w14:cap="sq" w14:cmpd="sng" w14:algn="ctr">
            <w14:solidFill>
              <w14:srgbClr w14:val="000000"/>
            </w14:solidFill>
            <w14:prstDash w14:val="solid"/>
            <w14:bevel/>
          </w14:textOutline>
        </w:rPr>
        <w:t>推荐中标候选人</w:t>
      </w:r>
    </w:p>
    <w:p w14:paraId="7ED1EAC6">
      <w:pPr>
        <w:spacing w:before="95" w:line="227" w:lineRule="auto"/>
        <w:ind w:left="9"/>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3.4.1</w:t>
      </w:r>
      <w:r>
        <w:rPr>
          <w:rFonts w:ascii="Tahoma" w:hAnsi="Tahoma" w:eastAsia="Tahoma" w:cs="Tahoma"/>
          <w:color w:val="auto"/>
          <w:spacing w:val="20"/>
          <w:sz w:val="20"/>
          <w:szCs w:val="20"/>
          <w:lang w:eastAsia="zh-CN"/>
        </w:rPr>
        <w:t xml:space="preserve"> </w:t>
      </w:r>
      <w:r>
        <w:rPr>
          <w:rFonts w:ascii="宋体" w:hAnsi="宋体" w:eastAsia="宋体" w:cs="宋体"/>
          <w:color w:val="auto"/>
          <w:spacing w:val="7"/>
          <w:sz w:val="20"/>
          <w:szCs w:val="20"/>
          <w:lang w:eastAsia="zh-CN"/>
        </w:rPr>
        <w:t>中标候选</w:t>
      </w: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数量为</w:t>
      </w:r>
      <w:r>
        <w:rPr>
          <w:rFonts w:ascii="宋体" w:hAnsi="宋体" w:eastAsia="宋体" w:cs="宋体"/>
          <w:color w:val="auto"/>
          <w:spacing w:val="-38"/>
          <w:sz w:val="20"/>
          <w:szCs w:val="20"/>
          <w:lang w:eastAsia="zh-CN"/>
        </w:rPr>
        <w:t xml:space="preserve"> </w:t>
      </w:r>
      <w:r>
        <w:rPr>
          <w:rFonts w:ascii="Tahoma" w:hAnsi="Tahoma" w:eastAsia="Tahoma" w:cs="Tahoma"/>
          <w:color w:val="auto"/>
          <w:spacing w:val="7"/>
          <w:sz w:val="20"/>
          <w:szCs w:val="20"/>
          <w:lang w:eastAsia="zh-CN"/>
        </w:rPr>
        <w:t xml:space="preserve">3 </w:t>
      </w:r>
      <w:r>
        <w:rPr>
          <w:rFonts w:ascii="宋体" w:hAnsi="宋体" w:eastAsia="宋体" w:cs="宋体"/>
          <w:color w:val="auto"/>
          <w:spacing w:val="7"/>
          <w:sz w:val="20"/>
          <w:szCs w:val="20"/>
          <w:lang w:eastAsia="zh-CN"/>
        </w:rPr>
        <w:t>人，但必须</w:t>
      </w:r>
      <w:r>
        <w:rPr>
          <w:rFonts w:ascii="宋体" w:hAnsi="宋体" w:eastAsia="宋体" w:cs="宋体"/>
          <w:color w:val="auto"/>
          <w:spacing w:val="6"/>
          <w:sz w:val="20"/>
          <w:szCs w:val="20"/>
          <w:lang w:eastAsia="zh-CN"/>
        </w:rPr>
        <w:t>按顺序排列中标候选</w:t>
      </w:r>
      <w:r>
        <w:rPr>
          <w:rFonts w:hint="eastAsia" w:ascii="宋体" w:hAnsi="宋体" w:eastAsia="宋体" w:cs="宋体"/>
          <w:color w:val="auto"/>
          <w:spacing w:val="6"/>
          <w:sz w:val="20"/>
          <w:szCs w:val="20"/>
          <w:lang w:eastAsia="zh-CN"/>
        </w:rPr>
        <w:t>服务商</w:t>
      </w:r>
      <w:r>
        <w:rPr>
          <w:rFonts w:ascii="宋体" w:hAnsi="宋体" w:eastAsia="宋体" w:cs="宋体"/>
          <w:color w:val="auto"/>
          <w:spacing w:val="6"/>
          <w:sz w:val="20"/>
          <w:szCs w:val="20"/>
          <w:lang w:eastAsia="zh-CN"/>
        </w:rPr>
        <w:t>。</w:t>
      </w:r>
    </w:p>
    <w:p w14:paraId="6FD230E4">
      <w:pPr>
        <w:spacing w:before="96" w:line="292" w:lineRule="auto"/>
        <w:ind w:left="8" w:right="52" w:firstLine="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3.4.2 </w:t>
      </w:r>
      <w:r>
        <w:rPr>
          <w:rFonts w:ascii="宋体" w:hAnsi="宋体" w:eastAsia="宋体" w:cs="宋体"/>
          <w:color w:val="auto"/>
          <w:spacing w:val="9"/>
          <w:sz w:val="20"/>
          <w:szCs w:val="20"/>
          <w:lang w:eastAsia="zh-CN"/>
        </w:rPr>
        <w:t>评标委员会对全部满足招标文件实质性要求前提下，按照招标文件中规定的各项因素进行综合评</w:t>
      </w:r>
      <w:r>
        <w:rPr>
          <w:rFonts w:ascii="宋体" w:hAnsi="宋体" w:eastAsia="宋体" w:cs="宋体"/>
          <w:color w:val="auto"/>
          <w:spacing w:val="3"/>
          <w:sz w:val="20"/>
          <w:szCs w:val="20"/>
          <w:lang w:eastAsia="zh-CN"/>
        </w:rPr>
        <w:t xml:space="preserve"> </w:t>
      </w:r>
      <w:r>
        <w:rPr>
          <w:rFonts w:ascii="宋体" w:hAnsi="宋体" w:eastAsia="宋体" w:cs="宋体"/>
          <w:color w:val="auto"/>
          <w:spacing w:val="8"/>
          <w:sz w:val="20"/>
          <w:szCs w:val="20"/>
          <w:lang w:eastAsia="zh-CN"/>
        </w:rPr>
        <w:t>审后，按评审后得分由高到低顺序排列，得分相同的，按投标报价由低到高</w:t>
      </w:r>
      <w:r>
        <w:rPr>
          <w:rFonts w:ascii="宋体" w:hAnsi="宋体" w:eastAsia="宋体" w:cs="宋体"/>
          <w:color w:val="auto"/>
          <w:spacing w:val="7"/>
          <w:sz w:val="20"/>
          <w:szCs w:val="20"/>
          <w:lang w:eastAsia="zh-CN"/>
        </w:rPr>
        <w:t>顺序排列。得分且投标报价</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相同的并列。投标文件满足招标文件全部实质性要求，且按照评审因素的量</w:t>
      </w:r>
      <w:r>
        <w:rPr>
          <w:rFonts w:ascii="宋体" w:hAnsi="宋体" w:eastAsia="宋体" w:cs="宋体"/>
          <w:color w:val="auto"/>
          <w:spacing w:val="7"/>
          <w:sz w:val="20"/>
          <w:szCs w:val="20"/>
          <w:lang w:eastAsia="zh-CN"/>
        </w:rPr>
        <w:t>化指标评审得分最高的投标</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人为排名第一的中标候选人。</w:t>
      </w:r>
    </w:p>
    <w:p w14:paraId="1A7ACCAC">
      <w:pPr>
        <w:spacing w:before="92" w:line="226" w:lineRule="auto"/>
        <w:ind w:left="10"/>
        <w:rPr>
          <w:rFonts w:ascii="宋体" w:hAnsi="宋体" w:eastAsia="宋体" w:cs="宋体"/>
          <w:color w:val="auto"/>
          <w:sz w:val="20"/>
          <w:szCs w:val="20"/>
          <w:lang w:eastAsia="zh-CN"/>
        </w:rPr>
      </w:pPr>
      <w:r>
        <w:rPr>
          <w:rFonts w:ascii="Tahoma" w:hAnsi="Tahoma" w:eastAsia="Tahoma" w:cs="Tahoma"/>
          <w:b/>
          <w:bCs/>
          <w:color w:val="auto"/>
          <w:spacing w:val="6"/>
          <w:sz w:val="20"/>
          <w:szCs w:val="20"/>
          <w:lang w:eastAsia="zh-CN"/>
        </w:rPr>
        <w:t xml:space="preserve">3.5 </w:t>
      </w:r>
      <w:r>
        <w:rPr>
          <w:rFonts w:ascii="宋体" w:hAnsi="宋体" w:eastAsia="宋体" w:cs="宋体"/>
          <w:color w:val="auto"/>
          <w:spacing w:val="6"/>
          <w:sz w:val="20"/>
          <w:szCs w:val="20"/>
          <w:lang w:eastAsia="zh-CN"/>
          <w14:textOutline w14:w="3797" w14:cap="sq" w14:cmpd="sng" w14:algn="ctr">
            <w14:solidFill>
              <w14:srgbClr w14:val="000000"/>
            </w14:solidFill>
            <w14:prstDash w14:val="solid"/>
            <w14:bevel/>
          </w14:textOutline>
        </w:rPr>
        <w:t>编写评标报告</w:t>
      </w:r>
    </w:p>
    <w:p w14:paraId="1BD185F7">
      <w:pPr>
        <w:spacing w:before="97" w:line="270" w:lineRule="auto"/>
        <w:ind w:left="6" w:right="52" w:firstLine="3"/>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3.5.1 </w:t>
      </w:r>
      <w:r>
        <w:rPr>
          <w:rFonts w:ascii="宋体" w:hAnsi="宋体" w:eastAsia="宋体" w:cs="宋体"/>
          <w:color w:val="auto"/>
          <w:spacing w:val="9"/>
          <w:sz w:val="20"/>
          <w:szCs w:val="20"/>
          <w:lang w:eastAsia="zh-CN"/>
        </w:rPr>
        <w:t>评标委员会完成评标后，根据全体评标成员签字的原始评标记录和评标结果编写评标报告。评标</w:t>
      </w:r>
      <w:r>
        <w:rPr>
          <w:rFonts w:ascii="宋体" w:hAnsi="宋体" w:eastAsia="宋体" w:cs="宋体"/>
          <w:color w:val="auto"/>
          <w:spacing w:val="3"/>
          <w:sz w:val="20"/>
          <w:szCs w:val="20"/>
          <w:lang w:eastAsia="zh-CN"/>
        </w:rPr>
        <w:t xml:space="preserve"> </w:t>
      </w:r>
      <w:r>
        <w:rPr>
          <w:rFonts w:ascii="宋体" w:hAnsi="宋体" w:eastAsia="宋体" w:cs="宋体"/>
          <w:color w:val="auto"/>
          <w:spacing w:val="8"/>
          <w:sz w:val="20"/>
          <w:szCs w:val="20"/>
          <w:lang w:eastAsia="zh-CN"/>
        </w:rPr>
        <w:t>报告应当包括以下内容：</w:t>
      </w:r>
    </w:p>
    <w:p w14:paraId="26D20611">
      <w:pPr>
        <w:spacing w:before="94" w:line="226" w:lineRule="auto"/>
        <w:ind w:left="22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（一）招标公告刊登的媒体名称、开标日期和地点；</w:t>
      </w:r>
    </w:p>
    <w:p w14:paraId="27293B9E">
      <w:pPr>
        <w:spacing w:before="95" w:line="341" w:lineRule="exact"/>
        <w:ind w:left="227"/>
        <w:rPr>
          <w:rFonts w:ascii="宋体" w:hAnsi="宋体" w:eastAsia="宋体" w:cs="宋体"/>
          <w:color w:val="auto"/>
          <w:sz w:val="20"/>
          <w:szCs w:val="20"/>
          <w:lang w:eastAsia="zh-CN"/>
        </w:rPr>
      </w:pPr>
      <w:r>
        <w:rPr>
          <w:rFonts w:ascii="宋体" w:hAnsi="宋体" w:eastAsia="宋体" w:cs="宋体"/>
          <w:color w:val="auto"/>
          <w:spacing w:val="8"/>
          <w:position w:val="10"/>
          <w:sz w:val="20"/>
          <w:szCs w:val="20"/>
          <w:lang w:eastAsia="zh-CN"/>
        </w:rPr>
        <w:t>（二）投标人名单和评标委员会成员名单；</w:t>
      </w:r>
    </w:p>
    <w:p w14:paraId="73D02AF7">
      <w:pPr>
        <w:spacing w:before="1" w:line="228" w:lineRule="auto"/>
        <w:ind w:left="227"/>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（三）评标方法和标准；</w:t>
      </w:r>
    </w:p>
    <w:p w14:paraId="3DA2E4A5">
      <w:pPr>
        <w:spacing w:before="65" w:line="228" w:lineRule="auto"/>
        <w:ind w:left="227"/>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（四）开标记录和评标情况及说明，包括无效投标人名单及</w:t>
      </w:r>
      <w:r>
        <w:rPr>
          <w:rFonts w:ascii="宋体" w:hAnsi="宋体" w:eastAsia="宋体" w:cs="宋体"/>
          <w:color w:val="auto"/>
          <w:spacing w:val="8"/>
          <w:sz w:val="20"/>
          <w:szCs w:val="20"/>
          <w:lang w:eastAsia="zh-CN"/>
        </w:rPr>
        <w:t>原因；</w:t>
      </w:r>
    </w:p>
    <w:p w14:paraId="6919BFCA">
      <w:pPr>
        <w:spacing w:before="94" w:line="227" w:lineRule="auto"/>
        <w:ind w:left="227"/>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（五）评标结果，确定的中标候选人名单或者经采购人委托直接确定的中标人；</w:t>
      </w:r>
    </w:p>
    <w:p w14:paraId="22622AE3">
      <w:pPr>
        <w:spacing w:before="92" w:line="271" w:lineRule="auto"/>
        <w:ind w:left="7" w:firstLine="219"/>
        <w:rPr>
          <w:rFonts w:ascii="宋体" w:hAnsi="宋体" w:eastAsia="宋体" w:cs="宋体"/>
          <w:color w:val="auto"/>
          <w:sz w:val="20"/>
          <w:szCs w:val="20"/>
          <w:lang w:eastAsia="zh-CN"/>
        </w:rPr>
      </w:pPr>
      <w:r>
        <w:rPr>
          <w:rFonts w:ascii="宋体" w:hAnsi="宋体" w:eastAsia="宋体" w:cs="宋体"/>
          <w:color w:val="auto"/>
          <w:spacing w:val="4"/>
          <w:sz w:val="20"/>
          <w:szCs w:val="20"/>
          <w:lang w:eastAsia="zh-CN"/>
        </w:rPr>
        <w:t xml:space="preserve">（六）其他需要说明的情况，包括评标过程中投标人根据评标委员会要求进行的澄清、说明或者补正， </w:t>
      </w:r>
      <w:r>
        <w:rPr>
          <w:rFonts w:ascii="宋体" w:hAnsi="宋体" w:eastAsia="宋体" w:cs="宋体"/>
          <w:color w:val="auto"/>
          <w:spacing w:val="8"/>
          <w:sz w:val="20"/>
          <w:szCs w:val="20"/>
          <w:lang w:eastAsia="zh-CN"/>
        </w:rPr>
        <w:t>评标委员会成员的更换等。</w:t>
      </w:r>
    </w:p>
    <w:p w14:paraId="7F26CA08">
      <w:pPr>
        <w:spacing w:before="95" w:line="226" w:lineRule="auto"/>
        <w:ind w:left="9"/>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 xml:space="preserve">3.5.2 </w:t>
      </w:r>
      <w:r>
        <w:rPr>
          <w:rFonts w:ascii="宋体" w:hAnsi="宋体" w:eastAsia="宋体" w:cs="宋体"/>
          <w:color w:val="auto"/>
          <w:spacing w:val="7"/>
          <w:sz w:val="20"/>
          <w:szCs w:val="20"/>
          <w:lang w:eastAsia="zh-CN"/>
        </w:rPr>
        <w:t>采购代理机构在评标结束后</w:t>
      </w:r>
      <w:r>
        <w:rPr>
          <w:rFonts w:ascii="宋体" w:hAnsi="宋体" w:eastAsia="宋体" w:cs="宋体"/>
          <w:color w:val="auto"/>
          <w:spacing w:val="-33"/>
          <w:sz w:val="20"/>
          <w:szCs w:val="20"/>
          <w:lang w:eastAsia="zh-CN"/>
        </w:rPr>
        <w:t xml:space="preserve"> </w:t>
      </w:r>
      <w:r>
        <w:rPr>
          <w:rFonts w:ascii="Tahoma" w:hAnsi="Tahoma" w:eastAsia="Tahoma" w:cs="Tahoma"/>
          <w:color w:val="auto"/>
          <w:spacing w:val="7"/>
          <w:sz w:val="20"/>
          <w:szCs w:val="20"/>
          <w:lang w:eastAsia="zh-CN"/>
        </w:rPr>
        <w:t xml:space="preserve">2 </w:t>
      </w:r>
      <w:r>
        <w:rPr>
          <w:rFonts w:ascii="宋体" w:hAnsi="宋体" w:eastAsia="宋体" w:cs="宋体"/>
          <w:color w:val="auto"/>
          <w:spacing w:val="7"/>
          <w:sz w:val="20"/>
          <w:szCs w:val="20"/>
          <w:lang w:eastAsia="zh-CN"/>
        </w:rPr>
        <w:t>个工作日内将评标报告送</w:t>
      </w:r>
      <w:r>
        <w:rPr>
          <w:rFonts w:ascii="宋体" w:hAnsi="宋体" w:eastAsia="宋体" w:cs="宋体"/>
          <w:color w:val="auto"/>
          <w:spacing w:val="6"/>
          <w:sz w:val="20"/>
          <w:szCs w:val="20"/>
          <w:lang w:eastAsia="zh-CN"/>
        </w:rPr>
        <w:t>采购人。</w:t>
      </w:r>
    </w:p>
    <w:p w14:paraId="5C8892A5">
      <w:pPr>
        <w:spacing w:before="93" w:line="228" w:lineRule="auto"/>
        <w:ind w:left="10"/>
        <w:rPr>
          <w:rFonts w:ascii="宋体" w:hAnsi="宋体" w:eastAsia="宋体" w:cs="宋体"/>
          <w:color w:val="auto"/>
          <w:sz w:val="20"/>
          <w:szCs w:val="20"/>
          <w:lang w:eastAsia="zh-CN"/>
        </w:rPr>
      </w:pPr>
      <w:r>
        <w:rPr>
          <w:rFonts w:ascii="Tahoma" w:hAnsi="Tahoma" w:eastAsia="Tahoma" w:cs="Tahoma"/>
          <w:b/>
          <w:bCs/>
          <w:color w:val="auto"/>
          <w:spacing w:val="5"/>
          <w:sz w:val="20"/>
          <w:szCs w:val="20"/>
          <w:lang w:eastAsia="zh-CN"/>
        </w:rPr>
        <w:t xml:space="preserve">3.6 </w:t>
      </w:r>
      <w:r>
        <w:rPr>
          <w:rFonts w:ascii="宋体" w:hAnsi="宋体" w:eastAsia="宋体" w:cs="宋体"/>
          <w:color w:val="auto"/>
          <w:spacing w:val="5"/>
          <w:sz w:val="20"/>
          <w:szCs w:val="20"/>
          <w:lang w:eastAsia="zh-CN"/>
          <w14:textOutline w14:w="3797" w14:cap="sq" w14:cmpd="sng" w14:algn="ctr">
            <w14:solidFill>
              <w14:srgbClr w14:val="000000"/>
            </w14:solidFill>
            <w14:prstDash w14:val="solid"/>
            <w14:bevel/>
          </w14:textOutline>
        </w:rPr>
        <w:t>确定中标人</w:t>
      </w:r>
    </w:p>
    <w:p w14:paraId="3EF36D22">
      <w:pPr>
        <w:spacing w:before="92" w:line="285" w:lineRule="auto"/>
        <w:ind w:left="9" w:right="54"/>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3.6.1 </w:t>
      </w:r>
      <w:r>
        <w:rPr>
          <w:rFonts w:ascii="宋体" w:hAnsi="宋体" w:eastAsia="宋体" w:cs="宋体"/>
          <w:color w:val="auto"/>
          <w:spacing w:val="8"/>
          <w:sz w:val="20"/>
          <w:szCs w:val="20"/>
          <w:lang w:eastAsia="zh-CN"/>
        </w:rPr>
        <w:t>采购人应当自收到评标报告之日起</w:t>
      </w:r>
      <w:r>
        <w:rPr>
          <w:rFonts w:ascii="宋体" w:hAnsi="宋体" w:eastAsia="宋体" w:cs="宋体"/>
          <w:color w:val="auto"/>
          <w:spacing w:val="-29"/>
          <w:sz w:val="20"/>
          <w:szCs w:val="20"/>
          <w:lang w:eastAsia="zh-CN"/>
        </w:rPr>
        <w:t xml:space="preserve"> </w:t>
      </w:r>
      <w:r>
        <w:rPr>
          <w:rFonts w:ascii="Tahoma" w:hAnsi="Tahoma" w:eastAsia="Tahoma" w:cs="Tahoma"/>
          <w:color w:val="auto"/>
          <w:spacing w:val="8"/>
          <w:sz w:val="20"/>
          <w:szCs w:val="20"/>
          <w:lang w:eastAsia="zh-CN"/>
        </w:rPr>
        <w:t xml:space="preserve">5 </w:t>
      </w:r>
      <w:r>
        <w:rPr>
          <w:rFonts w:ascii="宋体" w:hAnsi="宋体" w:eastAsia="宋体" w:cs="宋体"/>
          <w:color w:val="auto"/>
          <w:spacing w:val="8"/>
          <w:sz w:val="20"/>
          <w:szCs w:val="20"/>
          <w:lang w:eastAsia="zh-CN"/>
        </w:rPr>
        <w:t>个工作日内，在评标报告确定的中标候选人名单中按顺序确</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定中标人。中标候选人并列的，由采购人或者采购人委托评标委员会按</w:t>
      </w:r>
      <w:r>
        <w:rPr>
          <w:rFonts w:ascii="宋体" w:hAnsi="宋体" w:eastAsia="宋体" w:cs="宋体"/>
          <w:color w:val="auto"/>
          <w:spacing w:val="7"/>
          <w:sz w:val="20"/>
          <w:szCs w:val="20"/>
          <w:lang w:eastAsia="zh-CN"/>
        </w:rPr>
        <w:t>照招标文件规定的方式确定中标</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人；招标文件未规定的，采取随机抽取的方式确定。</w:t>
      </w:r>
    </w:p>
    <w:p w14:paraId="27773D05">
      <w:pPr>
        <w:spacing w:before="95" w:line="270" w:lineRule="auto"/>
        <w:ind w:left="26" w:right="54" w:hanging="17"/>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 xml:space="preserve">3.6.2 </w:t>
      </w:r>
      <w:r>
        <w:rPr>
          <w:rFonts w:ascii="宋体" w:hAnsi="宋体" w:eastAsia="宋体" w:cs="宋体"/>
          <w:color w:val="auto"/>
          <w:spacing w:val="8"/>
          <w:sz w:val="20"/>
          <w:szCs w:val="20"/>
          <w:lang w:eastAsia="zh-CN"/>
        </w:rPr>
        <w:t>采购人在收到评标报告</w:t>
      </w:r>
      <w:r>
        <w:rPr>
          <w:rFonts w:ascii="宋体" w:hAnsi="宋体" w:eastAsia="宋体" w:cs="宋体"/>
          <w:color w:val="auto"/>
          <w:spacing w:val="-29"/>
          <w:sz w:val="20"/>
          <w:szCs w:val="20"/>
          <w:lang w:eastAsia="zh-CN"/>
        </w:rPr>
        <w:t xml:space="preserve"> </w:t>
      </w:r>
      <w:r>
        <w:rPr>
          <w:rFonts w:ascii="Tahoma" w:hAnsi="Tahoma" w:eastAsia="Tahoma" w:cs="Tahoma"/>
          <w:color w:val="auto"/>
          <w:spacing w:val="8"/>
          <w:sz w:val="20"/>
          <w:szCs w:val="20"/>
          <w:lang w:eastAsia="zh-CN"/>
        </w:rPr>
        <w:t xml:space="preserve">5 </w:t>
      </w:r>
      <w:r>
        <w:rPr>
          <w:rFonts w:ascii="宋体" w:hAnsi="宋体" w:eastAsia="宋体" w:cs="宋体"/>
          <w:color w:val="auto"/>
          <w:spacing w:val="8"/>
          <w:sz w:val="20"/>
          <w:szCs w:val="20"/>
          <w:lang w:eastAsia="zh-CN"/>
        </w:rPr>
        <w:t>个工作日内未按评标报告推荐的中标候选人顺序确定中标人，又不能说</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明合法理由的，视同按评标报告推荐的顺序确定排名第一的中标候选人</w:t>
      </w:r>
      <w:r>
        <w:rPr>
          <w:rFonts w:ascii="宋体" w:hAnsi="宋体" w:eastAsia="宋体" w:cs="宋体"/>
          <w:color w:val="auto"/>
          <w:spacing w:val="8"/>
          <w:sz w:val="20"/>
          <w:szCs w:val="20"/>
          <w:lang w:eastAsia="zh-CN"/>
        </w:rPr>
        <w:t>为中标人。</w:t>
      </w:r>
    </w:p>
    <w:p w14:paraId="3E174E2E">
      <w:pPr>
        <w:spacing w:before="93" w:line="271" w:lineRule="auto"/>
        <w:ind w:left="9" w:right="54"/>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 xml:space="preserve">3.6.3 </w:t>
      </w:r>
      <w:r>
        <w:rPr>
          <w:rFonts w:ascii="宋体" w:hAnsi="宋体" w:eastAsia="宋体" w:cs="宋体"/>
          <w:color w:val="auto"/>
          <w:spacing w:val="9"/>
          <w:sz w:val="20"/>
          <w:szCs w:val="20"/>
          <w:lang w:eastAsia="zh-CN"/>
        </w:rPr>
        <w:t>如果排名第一的成交候选</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，因不可抗力或自身原因放弃成交结果，可根据项目所需确定排</w:t>
      </w:r>
      <w:r>
        <w:rPr>
          <w:rFonts w:ascii="宋体" w:hAnsi="宋体" w:eastAsia="宋体" w:cs="宋体"/>
          <w:color w:val="auto"/>
          <w:spacing w:val="3"/>
          <w:sz w:val="20"/>
          <w:szCs w:val="20"/>
          <w:lang w:eastAsia="zh-CN"/>
        </w:rPr>
        <w:t xml:space="preserve"> </w:t>
      </w:r>
      <w:r>
        <w:rPr>
          <w:rFonts w:ascii="宋体" w:hAnsi="宋体" w:eastAsia="宋体" w:cs="宋体"/>
          <w:color w:val="auto"/>
          <w:spacing w:val="7"/>
          <w:sz w:val="20"/>
          <w:szCs w:val="20"/>
          <w:lang w:eastAsia="zh-CN"/>
        </w:rPr>
        <w:t>名第二的成交候选</w:t>
      </w: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为成交</w:t>
      </w: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w:t>
      </w:r>
      <w:r>
        <w:rPr>
          <w:rFonts w:ascii="宋体" w:hAnsi="宋体" w:eastAsia="宋体" w:cs="宋体"/>
          <w:color w:val="auto"/>
          <w:spacing w:val="-56"/>
          <w:sz w:val="20"/>
          <w:szCs w:val="20"/>
          <w:lang w:eastAsia="zh-CN"/>
        </w:rPr>
        <w:t xml:space="preserve"> </w:t>
      </w:r>
      <w:r>
        <w:rPr>
          <w:rFonts w:ascii="宋体" w:hAnsi="宋体" w:eastAsia="宋体" w:cs="宋体"/>
          <w:color w:val="auto"/>
          <w:spacing w:val="7"/>
          <w:sz w:val="20"/>
          <w:szCs w:val="20"/>
          <w:lang w:eastAsia="zh-CN"/>
        </w:rPr>
        <w:t>以此类推。</w:t>
      </w:r>
    </w:p>
    <w:p w14:paraId="59A98B90">
      <w:pPr>
        <w:spacing w:before="236" w:line="227" w:lineRule="auto"/>
        <w:jc w:val="center"/>
        <w:rPr>
          <w:rFonts w:ascii="黑体" w:hAnsi="黑体" w:eastAsia="黑体" w:cs="黑体"/>
          <w:color w:val="auto"/>
          <w:spacing w:val="7"/>
          <w:sz w:val="31"/>
          <w:szCs w:val="31"/>
          <w:lang w:eastAsia="zh-CN"/>
          <w14:textOutline w14:w="5791" w14:cap="sq" w14:cmpd="sng" w14:algn="ctr">
            <w14:solidFill>
              <w14:srgbClr w14:val="000000"/>
            </w14:solidFill>
            <w14:prstDash w14:val="solid"/>
            <w14:bevel/>
          </w14:textOutline>
        </w:rPr>
      </w:pPr>
    </w:p>
    <w:p w14:paraId="0E33D19F">
      <w:pPr>
        <w:spacing w:before="236" w:line="227" w:lineRule="auto"/>
        <w:jc w:val="center"/>
        <w:rPr>
          <w:rFonts w:ascii="黑体" w:hAnsi="黑体" w:eastAsia="黑体" w:cs="黑体"/>
          <w:color w:val="auto"/>
          <w:spacing w:val="7"/>
          <w:sz w:val="31"/>
          <w:szCs w:val="31"/>
          <w:lang w:eastAsia="zh-CN"/>
          <w14:textOutline w14:w="5791" w14:cap="sq" w14:cmpd="sng" w14:algn="ctr">
            <w14:solidFill>
              <w14:srgbClr w14:val="000000"/>
            </w14:solidFill>
            <w14:prstDash w14:val="solid"/>
            <w14:bevel/>
          </w14:textOutline>
        </w:rPr>
      </w:pPr>
    </w:p>
    <w:p w14:paraId="3746A52F">
      <w:pPr>
        <w:spacing w:before="236" w:line="227" w:lineRule="auto"/>
        <w:jc w:val="center"/>
        <w:rPr>
          <w:rFonts w:ascii="黑体" w:hAnsi="黑体" w:eastAsia="黑体" w:cs="黑体"/>
          <w:color w:val="auto"/>
          <w:spacing w:val="7"/>
          <w:sz w:val="31"/>
          <w:szCs w:val="31"/>
          <w:lang w:eastAsia="zh-CN"/>
          <w14:textOutline w14:w="5791" w14:cap="sq" w14:cmpd="sng" w14:algn="ctr">
            <w14:solidFill>
              <w14:srgbClr w14:val="000000"/>
            </w14:solidFill>
            <w14:prstDash w14:val="solid"/>
            <w14:bevel/>
          </w14:textOutline>
        </w:rPr>
      </w:pPr>
    </w:p>
    <w:p w14:paraId="37AA90AB">
      <w:pPr>
        <w:spacing w:before="236" w:line="227" w:lineRule="auto"/>
        <w:jc w:val="center"/>
        <w:rPr>
          <w:rFonts w:ascii="黑体" w:hAnsi="黑体" w:eastAsia="黑体" w:cs="黑体"/>
          <w:color w:val="auto"/>
          <w:spacing w:val="7"/>
          <w:sz w:val="31"/>
          <w:szCs w:val="31"/>
          <w:lang w:eastAsia="zh-CN"/>
          <w14:textOutline w14:w="5791" w14:cap="sq" w14:cmpd="sng" w14:algn="ctr">
            <w14:solidFill>
              <w14:srgbClr w14:val="000000"/>
            </w14:solidFill>
            <w14:prstDash w14:val="solid"/>
            <w14:bevel/>
          </w14:textOutline>
        </w:rPr>
      </w:pPr>
    </w:p>
    <w:p w14:paraId="3526E2AC">
      <w:pPr>
        <w:spacing w:before="236" w:line="227" w:lineRule="auto"/>
        <w:jc w:val="center"/>
        <w:rPr>
          <w:rFonts w:ascii="黑体" w:hAnsi="黑体" w:eastAsia="黑体" w:cs="黑体"/>
          <w:color w:val="auto"/>
          <w:spacing w:val="7"/>
          <w:sz w:val="31"/>
          <w:szCs w:val="31"/>
          <w:lang w:eastAsia="zh-CN"/>
          <w14:textOutline w14:w="5791" w14:cap="sq" w14:cmpd="sng" w14:algn="ctr">
            <w14:solidFill>
              <w14:srgbClr w14:val="000000"/>
            </w14:solidFill>
            <w14:prstDash w14:val="solid"/>
            <w14:bevel/>
          </w14:textOutline>
        </w:rPr>
      </w:pPr>
    </w:p>
    <w:p w14:paraId="4019B55D">
      <w:pPr>
        <w:spacing w:before="236" w:line="227" w:lineRule="auto"/>
        <w:jc w:val="center"/>
        <w:rPr>
          <w:rFonts w:ascii="黑体" w:hAnsi="黑体" w:eastAsia="黑体" w:cs="黑体"/>
          <w:color w:val="auto"/>
          <w:spacing w:val="7"/>
          <w:sz w:val="31"/>
          <w:szCs w:val="31"/>
          <w:lang w:eastAsia="zh-CN"/>
          <w14:textOutline w14:w="5791" w14:cap="sq" w14:cmpd="sng" w14:algn="ctr">
            <w14:solidFill>
              <w14:srgbClr w14:val="000000"/>
            </w14:solidFill>
            <w14:prstDash w14:val="solid"/>
            <w14:bevel/>
          </w14:textOutline>
        </w:rPr>
      </w:pPr>
    </w:p>
    <w:p w14:paraId="278288FA">
      <w:pPr>
        <w:spacing w:before="236" w:line="227" w:lineRule="auto"/>
        <w:jc w:val="center"/>
        <w:rPr>
          <w:rFonts w:ascii="黑体" w:hAnsi="黑体" w:eastAsia="黑体" w:cs="黑体"/>
          <w:color w:val="auto"/>
          <w:spacing w:val="7"/>
          <w:sz w:val="31"/>
          <w:szCs w:val="31"/>
          <w:lang w:eastAsia="zh-CN"/>
          <w14:textOutline w14:w="5791" w14:cap="sq" w14:cmpd="sng" w14:algn="ctr">
            <w14:solidFill>
              <w14:srgbClr w14:val="000000"/>
            </w14:solidFill>
            <w14:prstDash w14:val="solid"/>
            <w14:bevel/>
          </w14:textOutline>
        </w:rPr>
      </w:pPr>
    </w:p>
    <w:p w14:paraId="4BD7C069">
      <w:pPr>
        <w:spacing w:before="236" w:line="227" w:lineRule="auto"/>
        <w:jc w:val="center"/>
        <w:rPr>
          <w:rFonts w:ascii="黑体" w:hAnsi="黑体" w:eastAsia="黑体" w:cs="黑体"/>
          <w:color w:val="auto"/>
          <w:spacing w:val="7"/>
          <w:sz w:val="31"/>
          <w:szCs w:val="31"/>
          <w:lang w:eastAsia="zh-CN"/>
          <w14:textOutline w14:w="5791" w14:cap="sq" w14:cmpd="sng" w14:algn="ctr">
            <w14:solidFill>
              <w14:srgbClr w14:val="000000"/>
            </w14:solidFill>
            <w14:prstDash w14:val="solid"/>
            <w14:bevel/>
          </w14:textOutline>
        </w:rPr>
      </w:pPr>
    </w:p>
    <w:p w14:paraId="10237297">
      <w:pPr>
        <w:spacing w:before="236" w:line="227" w:lineRule="auto"/>
        <w:jc w:val="center"/>
        <w:rPr>
          <w:rFonts w:ascii="黑体" w:hAnsi="黑体" w:eastAsia="黑体" w:cs="黑体"/>
          <w:color w:val="auto"/>
          <w:spacing w:val="7"/>
          <w:sz w:val="31"/>
          <w:szCs w:val="31"/>
          <w:lang w:eastAsia="zh-CN"/>
          <w14:textOutline w14:w="5791" w14:cap="sq" w14:cmpd="sng" w14:algn="ctr">
            <w14:solidFill>
              <w14:srgbClr w14:val="000000"/>
            </w14:solidFill>
            <w14:prstDash w14:val="solid"/>
            <w14:bevel/>
          </w14:textOutline>
        </w:rPr>
      </w:pPr>
    </w:p>
    <w:p w14:paraId="66133713">
      <w:pPr>
        <w:spacing w:before="236" w:line="227" w:lineRule="auto"/>
        <w:jc w:val="center"/>
        <w:rPr>
          <w:rFonts w:ascii="黑体" w:hAnsi="黑体" w:eastAsia="黑体" w:cs="黑体"/>
          <w:color w:val="auto"/>
          <w:spacing w:val="7"/>
          <w:sz w:val="31"/>
          <w:szCs w:val="31"/>
          <w:lang w:eastAsia="zh-CN"/>
          <w14:textOutline w14:w="5791" w14:cap="sq" w14:cmpd="sng" w14:algn="ctr">
            <w14:solidFill>
              <w14:srgbClr w14:val="000000"/>
            </w14:solidFill>
            <w14:prstDash w14:val="solid"/>
            <w14:bevel/>
          </w14:textOutline>
        </w:rPr>
      </w:pPr>
    </w:p>
    <w:p w14:paraId="2E5C0BE6">
      <w:pPr>
        <w:spacing w:before="236" w:line="227" w:lineRule="auto"/>
        <w:jc w:val="center"/>
        <w:rPr>
          <w:rFonts w:ascii="黑体" w:hAnsi="黑体" w:eastAsia="黑体" w:cs="黑体"/>
          <w:color w:val="auto"/>
          <w:spacing w:val="7"/>
          <w:sz w:val="31"/>
          <w:szCs w:val="31"/>
          <w:lang w:eastAsia="zh-CN"/>
          <w14:textOutline w14:w="5791" w14:cap="sq" w14:cmpd="sng" w14:algn="ctr">
            <w14:solidFill>
              <w14:srgbClr w14:val="000000"/>
            </w14:solidFill>
            <w14:prstDash w14:val="solid"/>
            <w14:bevel/>
          </w14:textOutline>
        </w:rPr>
      </w:pPr>
    </w:p>
    <w:p w14:paraId="67F5E741">
      <w:pPr>
        <w:spacing w:before="236" w:line="227" w:lineRule="auto"/>
        <w:jc w:val="center"/>
        <w:rPr>
          <w:rFonts w:ascii="黑体" w:hAnsi="黑体" w:eastAsia="黑体" w:cs="黑体"/>
          <w:color w:val="auto"/>
          <w:spacing w:val="7"/>
          <w:sz w:val="31"/>
          <w:szCs w:val="31"/>
          <w:lang w:eastAsia="zh-CN"/>
          <w14:textOutline w14:w="5791" w14:cap="sq" w14:cmpd="sng" w14:algn="ctr">
            <w14:solidFill>
              <w14:srgbClr w14:val="000000"/>
            </w14:solidFill>
            <w14:prstDash w14:val="solid"/>
            <w14:bevel/>
          </w14:textOutline>
        </w:rPr>
      </w:pPr>
    </w:p>
    <w:p w14:paraId="044A5FCF">
      <w:pPr>
        <w:spacing w:before="236" w:line="227" w:lineRule="auto"/>
        <w:jc w:val="center"/>
        <w:rPr>
          <w:rFonts w:hint="default" w:ascii="黑体" w:hAnsi="黑体" w:eastAsia="黑体" w:cs="黑体"/>
          <w:color w:val="auto"/>
          <w:sz w:val="31"/>
          <w:szCs w:val="31"/>
          <w:lang w:val="en-US" w:eastAsia="zh-CN"/>
        </w:rPr>
      </w:pPr>
      <w:r>
        <w:rPr>
          <w:rFonts w:ascii="黑体" w:hAnsi="黑体" w:eastAsia="黑体" w:cs="黑体"/>
          <w:color w:val="auto"/>
          <w:spacing w:val="7"/>
          <w:sz w:val="31"/>
          <w:szCs w:val="31"/>
          <w:lang w:eastAsia="zh-CN"/>
          <w14:textOutline w14:w="5791" w14:cap="sq" w14:cmpd="sng" w14:algn="ctr">
            <w14:solidFill>
              <w14:srgbClr w14:val="000000"/>
            </w14:solidFill>
            <w14:prstDash w14:val="solid"/>
            <w14:bevel/>
          </w14:textOutline>
        </w:rPr>
        <w:t>资格性检查评审记录表</w:t>
      </w:r>
      <w:r>
        <w:rPr>
          <w:rFonts w:hint="eastAsia" w:ascii="黑体" w:hAnsi="黑体" w:eastAsia="黑体" w:cs="黑体"/>
          <w:color w:val="auto"/>
          <w:spacing w:val="7"/>
          <w:sz w:val="31"/>
          <w:szCs w:val="31"/>
          <w:lang w:val="en-US" w:eastAsia="zh-CN"/>
          <w14:textOutline w14:w="5791" w14:cap="sq" w14:cmpd="sng" w14:algn="ctr">
            <w14:solidFill>
              <w14:srgbClr w14:val="000000"/>
            </w14:solidFill>
            <w14:prstDash w14:val="solid"/>
            <w14:bevel/>
          </w14:textOutline>
        </w:rPr>
        <w:t>及符合性检查评审记录表</w:t>
      </w:r>
    </w:p>
    <w:p w14:paraId="0B57C0DB">
      <w:pPr>
        <w:spacing w:before="100"/>
        <w:rPr>
          <w:color w:val="auto"/>
          <w:lang w:eastAsia="zh-CN"/>
        </w:rPr>
      </w:pPr>
    </w:p>
    <w:p w14:paraId="08EC1B3B">
      <w:pPr>
        <w:rPr>
          <w:color w:val="auto"/>
          <w:lang w:eastAsia="zh-CN"/>
        </w:rPr>
        <w:sectPr>
          <w:headerReference r:id="rId22" w:type="default"/>
          <w:footerReference r:id="rId23" w:type="default"/>
          <w:pgSz w:w="12240" w:h="15840"/>
          <w:pgMar w:top="1440" w:right="1080" w:bottom="1440" w:left="1080" w:header="1233" w:footer="1081" w:gutter="0"/>
          <w:pgBorders>
            <w:top w:val="none" w:sz="0" w:space="0"/>
            <w:left w:val="none" w:sz="0" w:space="0"/>
            <w:bottom w:val="none" w:sz="0" w:space="0"/>
            <w:right w:val="none" w:sz="0" w:space="0"/>
          </w:pgBorders>
          <w:pgNumType w:fmt="decimal"/>
          <w:cols w:equalWidth="0" w:num="1">
            <w:col w:w="14448"/>
          </w:cols>
        </w:sectPr>
      </w:pPr>
    </w:p>
    <w:p w14:paraId="0CE10FA1">
      <w:pPr>
        <w:spacing w:before="47" w:line="219" w:lineRule="auto"/>
        <w:ind w:left="757"/>
        <w:rPr>
          <w:rFonts w:ascii="宋体" w:hAnsi="宋体" w:eastAsia="宋体" w:cs="宋体"/>
          <w:color w:val="auto"/>
          <w:sz w:val="24"/>
          <w:szCs w:val="24"/>
          <w:lang w:eastAsia="zh-CN"/>
          <w14:textOutline w14:w="4356" w14:cap="sq" w14:cmpd="sng" w14:algn="ctr">
            <w14:solidFill>
              <w14:srgbClr w14:val="000000"/>
            </w14:solidFill>
            <w14:prstDash w14:val="solid"/>
            <w14:bevel/>
          </w14:textOutline>
        </w:rPr>
      </w:pPr>
      <w:r>
        <w:rPr>
          <w:rFonts w:ascii="宋体" w:hAnsi="宋体" w:eastAsia="宋体" w:cs="宋体"/>
          <w:color w:val="auto"/>
          <w:sz w:val="24"/>
          <w:szCs w:val="24"/>
          <w:lang w:eastAsia="zh-CN"/>
          <w14:textOutline w14:w="4356" w14:cap="sq" w14:cmpd="sng" w14:algn="ctr">
            <w14:solidFill>
              <w14:srgbClr w14:val="000000"/>
            </w14:solidFill>
            <w14:prstDash w14:val="solid"/>
            <w14:bevel/>
          </w14:textOutline>
        </w:rPr>
        <w:t>项目名称：</w:t>
      </w:r>
      <w:r>
        <w:rPr>
          <w:rFonts w:hint="eastAsia" w:ascii="宋体" w:hAnsi="宋体" w:eastAsia="宋体" w:cs="宋体"/>
          <w:color w:val="auto"/>
          <w:sz w:val="24"/>
          <w:szCs w:val="24"/>
          <w:lang w:eastAsia="zh-CN"/>
          <w14:textOutline w14:w="4356" w14:cap="sq" w14:cmpd="sng" w14:algn="ctr">
            <w14:solidFill>
              <w14:srgbClr w14:val="000000"/>
            </w14:solidFill>
            <w14:prstDash w14:val="solid"/>
            <w14:bevel/>
          </w14:textOutline>
        </w:rPr>
        <w:t xml:space="preserve">尼勒克县人民医院医疗服务能力数字设施标准化建设项目（包1）  </w:t>
      </w:r>
    </w:p>
    <w:p w14:paraId="646E85DB">
      <w:pPr>
        <w:spacing w:before="47" w:line="219" w:lineRule="auto"/>
        <w:ind w:left="757"/>
        <w:outlineLvl w:val="0"/>
        <w:rPr>
          <w:rFonts w:hint="eastAsia" w:ascii="宋体" w:hAnsi="宋体" w:eastAsia="宋体" w:cs="宋体"/>
          <w:color w:val="auto"/>
          <w:spacing w:val="-1"/>
          <w:sz w:val="24"/>
          <w:szCs w:val="24"/>
          <w:lang w:eastAsia="zh-CN"/>
          <w14:textOutline w14:w="4356" w14:cap="sq" w14:cmpd="sng" w14:algn="ctr">
            <w14:solidFill>
              <w14:srgbClr w14:val="000000"/>
            </w14:solidFill>
            <w14:prstDash w14:val="solid"/>
            <w14:bevel/>
          </w14:textOutline>
        </w:rPr>
      </w:pPr>
      <w:bookmarkStart w:id="18" w:name="_Toc27956"/>
      <w:bookmarkStart w:id="19" w:name="_Toc16734"/>
      <w:r>
        <w:rPr>
          <w:rFonts w:ascii="宋体" w:hAnsi="宋体" w:eastAsia="宋体" w:cs="宋体"/>
          <w:color w:val="auto"/>
          <w:spacing w:val="-1"/>
          <w:sz w:val="24"/>
          <w:szCs w:val="24"/>
          <w:lang w:eastAsia="zh-CN"/>
          <w14:textOutline w14:w="4356" w14:cap="sq" w14:cmpd="sng" w14:algn="ctr">
            <w14:solidFill>
              <w14:srgbClr w14:val="000000"/>
            </w14:solidFill>
            <w14:prstDash w14:val="solid"/>
            <w14:bevel/>
          </w14:textOutline>
        </w:rPr>
        <w:t>项目编号：</w:t>
      </w:r>
      <w:r>
        <w:rPr>
          <w:rFonts w:hint="eastAsia" w:ascii="宋体" w:hAnsi="宋体" w:eastAsia="宋体" w:cs="宋体"/>
          <w:color w:val="auto"/>
          <w:spacing w:val="-1"/>
          <w:sz w:val="24"/>
          <w:szCs w:val="24"/>
          <w:lang w:eastAsia="zh-CN"/>
          <w14:textOutline w14:w="4356" w14:cap="sq" w14:cmpd="sng" w14:algn="ctr">
            <w14:solidFill>
              <w14:srgbClr w14:val="000000"/>
            </w14:solidFill>
            <w14:prstDash w14:val="solid"/>
            <w14:bevel/>
          </w14:textOutline>
        </w:rPr>
        <w:t>CTZB-2025-009</w:t>
      </w:r>
      <w:bookmarkEnd w:id="18"/>
      <w:bookmarkEnd w:id="19"/>
    </w:p>
    <w:tbl>
      <w:tblPr>
        <w:tblStyle w:val="20"/>
        <w:tblW w:w="935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08"/>
        <w:gridCol w:w="1790"/>
        <w:gridCol w:w="5200"/>
        <w:gridCol w:w="1061"/>
      </w:tblGrid>
      <w:tr w14:paraId="6D67D4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08" w:type="dxa"/>
            <w:tcBorders>
              <w:top w:val="single" w:color="auto" w:sz="4" w:space="0"/>
              <w:bottom w:val="single" w:color="auto" w:sz="4" w:space="0"/>
              <w:right w:val="single" w:color="auto" w:sz="4" w:space="0"/>
            </w:tcBorders>
            <w:noWrap w:val="0"/>
            <w:vAlign w:val="center"/>
          </w:tcPr>
          <w:p w14:paraId="5A21957E">
            <w:pPr>
              <w:spacing w:line="360" w:lineRule="auto"/>
              <w:jc w:val="center"/>
              <w:rPr>
                <w:rFonts w:hint="eastAsia" w:ascii="方正仿宋_GB2312" w:hAnsi="方正仿宋_GB2312" w:eastAsia="方正仿宋_GB2312" w:cs="方正仿宋_GB2312"/>
                <w:b/>
                <w:color w:val="auto"/>
                <w:szCs w:val="21"/>
              </w:rPr>
            </w:pPr>
            <w:r>
              <w:rPr>
                <w:rFonts w:hint="eastAsia" w:ascii="方正仿宋_GB2312" w:hAnsi="方正仿宋_GB2312" w:eastAsia="方正仿宋_GB2312" w:cs="方正仿宋_GB2312"/>
                <w:b/>
                <w:color w:val="auto"/>
                <w:szCs w:val="21"/>
              </w:rPr>
              <w:t>项目</w:t>
            </w:r>
          </w:p>
        </w:tc>
        <w:tc>
          <w:tcPr>
            <w:tcW w:w="1790" w:type="dxa"/>
            <w:tcBorders>
              <w:top w:val="single" w:color="auto" w:sz="4" w:space="0"/>
              <w:bottom w:val="single" w:color="auto" w:sz="4" w:space="0"/>
              <w:right w:val="single" w:color="auto" w:sz="4" w:space="0"/>
            </w:tcBorders>
            <w:noWrap w:val="0"/>
            <w:vAlign w:val="center"/>
          </w:tcPr>
          <w:p w14:paraId="00F95FC9">
            <w:pPr>
              <w:spacing w:line="360" w:lineRule="auto"/>
              <w:jc w:val="center"/>
              <w:rPr>
                <w:rFonts w:hint="eastAsia" w:ascii="方正仿宋_GB2312" w:hAnsi="方正仿宋_GB2312" w:eastAsia="方正仿宋_GB2312" w:cs="方正仿宋_GB2312"/>
                <w:b/>
                <w:color w:val="auto"/>
                <w:szCs w:val="21"/>
              </w:rPr>
            </w:pPr>
            <w:r>
              <w:rPr>
                <w:rFonts w:hint="eastAsia" w:ascii="方正仿宋_GB2312" w:hAnsi="方正仿宋_GB2312" w:eastAsia="方正仿宋_GB2312" w:cs="方正仿宋_GB2312"/>
                <w:b/>
                <w:color w:val="auto"/>
                <w:szCs w:val="21"/>
              </w:rPr>
              <w:t>审查要求</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0CB0BDE5">
            <w:pPr>
              <w:spacing w:line="360" w:lineRule="auto"/>
              <w:jc w:val="center"/>
              <w:rPr>
                <w:rFonts w:hint="eastAsia" w:ascii="方正仿宋_GB2312" w:hAnsi="方正仿宋_GB2312" w:eastAsia="方正仿宋_GB2312" w:cs="方正仿宋_GB2312"/>
                <w:b/>
                <w:color w:val="auto"/>
                <w:szCs w:val="21"/>
              </w:rPr>
            </w:pPr>
            <w:r>
              <w:rPr>
                <w:rFonts w:hint="eastAsia" w:ascii="方正仿宋_GB2312" w:hAnsi="方正仿宋_GB2312" w:eastAsia="方正仿宋_GB2312" w:cs="方正仿宋_GB2312"/>
                <w:b/>
                <w:color w:val="auto"/>
                <w:szCs w:val="21"/>
              </w:rPr>
              <w:t>要求说明</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79827512">
            <w:pPr>
              <w:spacing w:line="360" w:lineRule="auto"/>
              <w:jc w:val="center"/>
              <w:rPr>
                <w:rFonts w:hint="eastAsia" w:ascii="方正仿宋_GB2312" w:hAnsi="方正仿宋_GB2312" w:eastAsia="方正仿宋_GB2312" w:cs="方正仿宋_GB2312"/>
                <w:b/>
                <w:color w:val="auto"/>
                <w:szCs w:val="21"/>
              </w:rPr>
            </w:pPr>
            <w:r>
              <w:rPr>
                <w:rFonts w:hint="eastAsia" w:ascii="方正仿宋_GB2312" w:hAnsi="方正仿宋_GB2312" w:eastAsia="方正仿宋_GB2312" w:cs="方正仿宋_GB2312"/>
                <w:b/>
                <w:color w:val="auto"/>
                <w:szCs w:val="21"/>
              </w:rPr>
              <w:t>是否通过</w:t>
            </w:r>
          </w:p>
        </w:tc>
      </w:tr>
      <w:tr w14:paraId="4ABB9E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restart"/>
            <w:tcBorders>
              <w:top w:val="single" w:color="auto" w:sz="4" w:space="0"/>
              <w:right w:val="single" w:color="auto" w:sz="4" w:space="0"/>
            </w:tcBorders>
            <w:noWrap w:val="0"/>
            <w:vAlign w:val="center"/>
          </w:tcPr>
          <w:p w14:paraId="17DED7E7">
            <w:pPr>
              <w:spacing w:line="360" w:lineRule="auto"/>
              <w:jc w:val="center"/>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资格性检查</w:t>
            </w:r>
          </w:p>
        </w:tc>
        <w:tc>
          <w:tcPr>
            <w:tcW w:w="1790" w:type="dxa"/>
            <w:tcBorders>
              <w:top w:val="single" w:color="auto" w:sz="4" w:space="0"/>
              <w:right w:val="single" w:color="auto" w:sz="4" w:space="0"/>
            </w:tcBorders>
            <w:noWrap w:val="0"/>
            <w:vAlign w:val="center"/>
          </w:tcPr>
          <w:p w14:paraId="328EE8D1">
            <w:pPr>
              <w:spacing w:line="360" w:lineRule="auto"/>
              <w:jc w:val="center"/>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具有独立承担民事责任的能力</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50FE408E">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法人或者其他组织的营业执照等证明文件，自然人的身份证明：</w:t>
            </w:r>
          </w:p>
          <w:p w14:paraId="63C1530E">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lang w:eastAsia="zh-CN"/>
              </w:rPr>
              <w:t>供应商</w:t>
            </w:r>
            <w:r>
              <w:rPr>
                <w:rFonts w:hint="eastAsia" w:ascii="方正仿宋_GB2312" w:hAnsi="方正仿宋_GB2312" w:eastAsia="方正仿宋_GB2312" w:cs="方正仿宋_GB2312"/>
                <w:color w:val="auto"/>
                <w:szCs w:val="21"/>
              </w:rPr>
              <w:t>是企业（包括合伙企业）的，应提供其在工商部门注册的有效“企业法人营业执照”或“营业执照”的复印件；</w:t>
            </w:r>
          </w:p>
          <w:p w14:paraId="005A820D">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lang w:eastAsia="zh-CN"/>
              </w:rPr>
              <w:t>供应商</w:t>
            </w:r>
            <w:r>
              <w:rPr>
                <w:rFonts w:hint="eastAsia" w:ascii="方正仿宋_GB2312" w:hAnsi="方正仿宋_GB2312" w:eastAsia="方正仿宋_GB2312" w:cs="方正仿宋_GB2312"/>
                <w:color w:val="auto"/>
                <w:szCs w:val="21"/>
              </w:rPr>
              <w:t>是事业单位的，应提供其有效的“事业单位法人证书”复印件；</w:t>
            </w:r>
          </w:p>
          <w:p w14:paraId="4C313421">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lang w:eastAsia="zh-CN"/>
              </w:rPr>
              <w:t>供应商</w:t>
            </w:r>
            <w:r>
              <w:rPr>
                <w:rFonts w:hint="eastAsia" w:ascii="方正仿宋_GB2312" w:hAnsi="方正仿宋_GB2312" w:eastAsia="方正仿宋_GB2312" w:cs="方正仿宋_GB2312"/>
                <w:color w:val="auto"/>
                <w:szCs w:val="21"/>
              </w:rPr>
              <w:t>是非企业专业服务机构的，应提供其有效的执业许可证复印件；</w:t>
            </w:r>
          </w:p>
          <w:p w14:paraId="5AFB8174">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lang w:eastAsia="zh-CN"/>
              </w:rPr>
              <w:t>供应商</w:t>
            </w:r>
            <w:r>
              <w:rPr>
                <w:rFonts w:hint="eastAsia" w:ascii="方正仿宋_GB2312" w:hAnsi="方正仿宋_GB2312" w:eastAsia="方正仿宋_GB2312" w:cs="方正仿宋_GB2312"/>
                <w:color w:val="auto"/>
                <w:szCs w:val="21"/>
              </w:rPr>
              <w:t>是个体工商户的，应提供其有效的“个体工商户营业执照”复印件；</w:t>
            </w:r>
          </w:p>
          <w:p w14:paraId="2F0F6709">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lang w:eastAsia="zh-CN"/>
              </w:rPr>
              <w:t>供应商</w:t>
            </w:r>
            <w:r>
              <w:rPr>
                <w:rFonts w:hint="eastAsia" w:ascii="方正仿宋_GB2312" w:hAnsi="方正仿宋_GB2312" w:eastAsia="方正仿宋_GB2312" w:cs="方正仿宋_GB2312"/>
                <w:color w:val="auto"/>
                <w:szCs w:val="21"/>
              </w:rPr>
              <w:t>是自然人的，应提供其有效的自然人身份证明；</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0035241A">
            <w:pPr>
              <w:spacing w:line="360" w:lineRule="auto"/>
              <w:rPr>
                <w:rFonts w:hint="eastAsia" w:ascii="方正仿宋_GB2312" w:hAnsi="方正仿宋_GB2312" w:eastAsia="方正仿宋_GB2312" w:cs="方正仿宋_GB2312"/>
                <w:color w:val="auto"/>
                <w:szCs w:val="21"/>
                <w:highlight w:val="yellow"/>
              </w:rPr>
            </w:pPr>
          </w:p>
          <w:p w14:paraId="1F0E9E47">
            <w:pPr>
              <w:spacing w:line="360" w:lineRule="auto"/>
              <w:rPr>
                <w:rFonts w:hint="eastAsia" w:ascii="方正仿宋_GB2312" w:hAnsi="方正仿宋_GB2312" w:eastAsia="方正仿宋_GB2312" w:cs="方正仿宋_GB2312"/>
                <w:color w:val="auto"/>
                <w:szCs w:val="21"/>
                <w:highlight w:val="yellow"/>
              </w:rPr>
            </w:pPr>
          </w:p>
        </w:tc>
      </w:tr>
      <w:tr w14:paraId="4A8C54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continue"/>
            <w:tcBorders>
              <w:right w:val="single" w:color="auto" w:sz="4" w:space="0"/>
            </w:tcBorders>
            <w:noWrap w:val="0"/>
            <w:vAlign w:val="center"/>
          </w:tcPr>
          <w:p w14:paraId="078961FC">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right w:val="single" w:color="auto" w:sz="4" w:space="0"/>
            </w:tcBorders>
            <w:noWrap w:val="0"/>
            <w:vAlign w:val="center"/>
          </w:tcPr>
          <w:p w14:paraId="322D84F8">
            <w:pPr>
              <w:spacing w:line="360" w:lineRule="auto"/>
              <w:jc w:val="center"/>
              <w:rPr>
                <w:rFonts w:hint="eastAsia" w:ascii="方正仿宋_GB2312" w:hAnsi="方正仿宋_GB2312" w:eastAsia="方正仿宋_GB2312" w:cs="方正仿宋_GB2312"/>
                <w:color w:val="auto"/>
                <w:szCs w:val="21"/>
                <w:highlight w:val="yellow"/>
              </w:rPr>
            </w:pPr>
            <w:r>
              <w:rPr>
                <w:rFonts w:hint="eastAsia" w:ascii="方正仿宋_GB2312" w:hAnsi="方正仿宋_GB2312" w:eastAsia="方正仿宋_GB2312" w:cs="方正仿宋_GB2312"/>
                <w:color w:val="auto"/>
              </w:rPr>
              <w:t>具有良好的商业信誉和健全的财务会计制度</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3F7D0EAA">
            <w:pPr>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rPr>
              <w:t>会计师事务所出具的</w:t>
            </w:r>
            <w:r>
              <w:rPr>
                <w:rFonts w:hint="eastAsia" w:ascii="方正仿宋_GB2312" w:hAnsi="方正仿宋_GB2312" w:eastAsia="方正仿宋_GB2312" w:cs="方正仿宋_GB2312"/>
                <w:color w:val="auto"/>
                <w:lang w:val="en-US" w:eastAsia="zh-CN"/>
              </w:rPr>
              <w:t>2023</w:t>
            </w:r>
            <w:r>
              <w:rPr>
                <w:rFonts w:hint="eastAsia" w:ascii="方正仿宋_GB2312" w:hAnsi="方正仿宋_GB2312" w:eastAsia="方正仿宋_GB2312" w:cs="方正仿宋_GB2312"/>
                <w:color w:val="auto"/>
              </w:rPr>
              <w:t>年度财务审计报告（报告中须包括资产负债表、利润表、现金流量表及财务报表附注）；</w:t>
            </w:r>
          </w:p>
          <w:p w14:paraId="0CD25A26">
            <w:pPr>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rPr>
              <w:t>如果</w:t>
            </w:r>
            <w:r>
              <w:rPr>
                <w:rFonts w:hint="eastAsia" w:ascii="方正仿宋_GB2312" w:hAnsi="方正仿宋_GB2312" w:eastAsia="方正仿宋_GB2312" w:cs="方正仿宋_GB2312"/>
                <w:color w:val="auto"/>
                <w:lang w:eastAsia="zh-CN"/>
              </w:rPr>
              <w:t>供应商</w:t>
            </w:r>
            <w:r>
              <w:rPr>
                <w:rFonts w:hint="eastAsia" w:ascii="方正仿宋_GB2312" w:hAnsi="方正仿宋_GB2312" w:eastAsia="方正仿宋_GB2312" w:cs="方正仿宋_GB2312"/>
                <w:color w:val="auto"/>
              </w:rPr>
              <w:t>为新成立单位，无法提供审计报告，则需提供新企业验资报告复印件并加盖提供报告单位的公章；</w:t>
            </w:r>
          </w:p>
          <w:p w14:paraId="7579BCB2">
            <w:pPr>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rPr>
              <w:t>如</w:t>
            </w:r>
            <w:r>
              <w:rPr>
                <w:rFonts w:hint="eastAsia" w:ascii="方正仿宋_GB2312" w:hAnsi="方正仿宋_GB2312" w:eastAsia="方正仿宋_GB2312" w:cs="方正仿宋_GB2312"/>
                <w:color w:val="auto"/>
                <w:lang w:eastAsia="zh-CN"/>
              </w:rPr>
              <w:t>供应商</w:t>
            </w:r>
            <w:r>
              <w:rPr>
                <w:rFonts w:hint="eastAsia" w:ascii="方正仿宋_GB2312" w:hAnsi="方正仿宋_GB2312" w:eastAsia="方正仿宋_GB2312" w:cs="方正仿宋_GB2312"/>
                <w:color w:val="auto"/>
              </w:rPr>
              <w:t>无法提供上年度审计报告或新企业验资报告，则需提供开户银行出具的资信证明并附基本户开户许可证；</w:t>
            </w:r>
          </w:p>
          <w:p w14:paraId="66DBEA88">
            <w:pPr>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rPr>
              <w:t>银行资信证明可提供原件，也可提供银行在开标日前十二个月内开具资信证明的复印件。银行资信证明的抬头可以与采购人或采购代理机构名称不同。</w:t>
            </w:r>
          </w:p>
          <w:p w14:paraId="57D363EC">
            <w:pPr>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rPr>
              <w:t>银行资信证明应能说明该</w:t>
            </w:r>
            <w:r>
              <w:rPr>
                <w:rFonts w:hint="eastAsia" w:ascii="方正仿宋_GB2312" w:hAnsi="方正仿宋_GB2312" w:eastAsia="方正仿宋_GB2312" w:cs="方正仿宋_GB2312"/>
                <w:color w:val="auto"/>
                <w:lang w:eastAsia="zh-CN"/>
              </w:rPr>
              <w:t>供应商</w:t>
            </w:r>
            <w:r>
              <w:rPr>
                <w:rFonts w:hint="eastAsia" w:ascii="方正仿宋_GB2312" w:hAnsi="方正仿宋_GB2312" w:eastAsia="方正仿宋_GB2312" w:cs="方正仿宋_GB2312"/>
                <w:color w:val="auto"/>
              </w:rPr>
              <w:t>与银行之间业务往来正常，无不良记录，企业信誉良好等。银行出具的存款证明不能作为银行资信证明。</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68D298D4">
            <w:pPr>
              <w:spacing w:line="360" w:lineRule="auto"/>
              <w:rPr>
                <w:rFonts w:hint="eastAsia" w:ascii="方正仿宋_GB2312" w:hAnsi="方正仿宋_GB2312" w:eastAsia="方正仿宋_GB2312" w:cs="方正仿宋_GB2312"/>
                <w:color w:val="auto"/>
                <w:szCs w:val="21"/>
                <w:highlight w:val="yellow"/>
              </w:rPr>
            </w:pPr>
          </w:p>
        </w:tc>
      </w:tr>
      <w:tr w14:paraId="6B2E04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continue"/>
            <w:tcBorders>
              <w:right w:val="single" w:color="auto" w:sz="4" w:space="0"/>
            </w:tcBorders>
            <w:noWrap w:val="0"/>
            <w:vAlign w:val="center"/>
          </w:tcPr>
          <w:p w14:paraId="279490C8">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right w:val="single" w:color="auto" w:sz="4" w:space="0"/>
            </w:tcBorders>
            <w:noWrap w:val="0"/>
            <w:vAlign w:val="center"/>
          </w:tcPr>
          <w:p w14:paraId="39093355">
            <w:pPr>
              <w:spacing w:line="360" w:lineRule="auto"/>
              <w:jc w:val="center"/>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rPr>
              <w:t>有依法缴纳税收的良好记录</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18BC02CB">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lang w:eastAsia="zh-CN"/>
              </w:rPr>
              <w:t>供应商</w:t>
            </w:r>
            <w:r>
              <w:rPr>
                <w:rFonts w:hint="eastAsia" w:ascii="方正仿宋_GB2312" w:hAnsi="方正仿宋_GB2312" w:eastAsia="方正仿宋_GB2312" w:cs="方正仿宋_GB2312"/>
                <w:color w:val="auto"/>
              </w:rPr>
              <w:t>依法缴纳税收的证明材料：本项目投标截止时间前 6 个月内（任意1个月）缴纳税收的凭据（完税证、缴款书、印花税票、银行代扣（代缴）转账凭证等均可）</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EBEF406">
            <w:pPr>
              <w:spacing w:line="360" w:lineRule="auto"/>
              <w:rPr>
                <w:rFonts w:hint="eastAsia" w:ascii="方正仿宋_GB2312" w:hAnsi="方正仿宋_GB2312" w:eastAsia="方正仿宋_GB2312" w:cs="方正仿宋_GB2312"/>
                <w:color w:val="auto"/>
                <w:highlight w:val="yellow"/>
              </w:rPr>
            </w:pPr>
          </w:p>
        </w:tc>
      </w:tr>
      <w:tr w14:paraId="451D88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58" w:hRule="atLeast"/>
          <w:jc w:val="center"/>
        </w:trPr>
        <w:tc>
          <w:tcPr>
            <w:tcW w:w="1308" w:type="dxa"/>
            <w:vMerge w:val="continue"/>
            <w:tcBorders>
              <w:right w:val="single" w:color="auto" w:sz="4" w:space="0"/>
            </w:tcBorders>
            <w:noWrap w:val="0"/>
            <w:vAlign w:val="center"/>
          </w:tcPr>
          <w:p w14:paraId="17EF6B0F">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right w:val="single" w:color="auto" w:sz="4" w:space="0"/>
            </w:tcBorders>
            <w:noWrap w:val="0"/>
            <w:vAlign w:val="center"/>
          </w:tcPr>
          <w:p w14:paraId="55FE4BC4">
            <w:pPr>
              <w:spacing w:line="360" w:lineRule="auto"/>
              <w:jc w:val="center"/>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rPr>
              <w:t>有依法缴纳社会保障资金的良好记录</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5569140C">
            <w:pPr>
              <w:spacing w:line="360" w:lineRule="auto"/>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rPr>
              <w:t>1.</w:t>
            </w:r>
            <w:r>
              <w:rPr>
                <w:rFonts w:hint="eastAsia" w:ascii="方正仿宋_GB2312" w:hAnsi="方正仿宋_GB2312" w:eastAsia="方正仿宋_GB2312" w:cs="方正仿宋_GB2312"/>
                <w:color w:val="auto"/>
                <w:lang w:eastAsia="zh-CN"/>
              </w:rPr>
              <w:t>供应商</w:t>
            </w:r>
            <w:r>
              <w:rPr>
                <w:rFonts w:hint="eastAsia" w:ascii="方正仿宋_GB2312" w:hAnsi="方正仿宋_GB2312" w:eastAsia="方正仿宋_GB2312" w:cs="方正仿宋_GB2312"/>
                <w:color w:val="auto"/>
              </w:rPr>
              <w:t>依法缴纳社会保障资金的证明材料：本项目投标截止时间时间前 6个月内（任意1个月）缴纳社会保险的凭据（专用收据或社会保险交纳清单）；</w:t>
            </w:r>
          </w:p>
          <w:p w14:paraId="3ACCF031">
            <w:pPr>
              <w:spacing w:line="360" w:lineRule="auto"/>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rPr>
              <w:t>2.</w:t>
            </w:r>
            <w:r>
              <w:rPr>
                <w:rFonts w:hint="eastAsia" w:ascii="方正仿宋_GB2312" w:hAnsi="方正仿宋_GB2312" w:eastAsia="方正仿宋_GB2312" w:cs="方正仿宋_GB2312"/>
                <w:color w:val="auto"/>
                <w:lang w:eastAsia="zh-CN"/>
              </w:rPr>
              <w:t>供应商</w:t>
            </w:r>
            <w:r>
              <w:rPr>
                <w:rFonts w:hint="eastAsia" w:ascii="方正仿宋_GB2312" w:hAnsi="方正仿宋_GB2312" w:eastAsia="方正仿宋_GB2312" w:cs="方正仿宋_GB2312"/>
                <w:color w:val="auto"/>
              </w:rPr>
              <w:t>为其他组织或自然人的，也需要提供本项目投标截止时间时间前 6个月内（任意1个月）缴纳社会保险的凭据（专用收据或社会保险交纳清单）。</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435D29F3">
            <w:pPr>
              <w:spacing w:line="360" w:lineRule="auto"/>
              <w:rPr>
                <w:rFonts w:hint="eastAsia" w:ascii="方正仿宋_GB2312" w:hAnsi="方正仿宋_GB2312" w:eastAsia="方正仿宋_GB2312" w:cs="方正仿宋_GB2312"/>
                <w:color w:val="auto"/>
                <w:highlight w:val="yellow"/>
              </w:rPr>
            </w:pPr>
          </w:p>
        </w:tc>
      </w:tr>
      <w:tr w14:paraId="60BF22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restart"/>
            <w:tcBorders>
              <w:top w:val="single" w:color="auto" w:sz="4" w:space="0"/>
              <w:right w:val="single" w:color="auto" w:sz="4" w:space="0"/>
            </w:tcBorders>
            <w:noWrap w:val="0"/>
            <w:vAlign w:val="center"/>
          </w:tcPr>
          <w:p w14:paraId="7ED569CF">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right w:val="single" w:color="auto" w:sz="4" w:space="0"/>
            </w:tcBorders>
            <w:noWrap w:val="0"/>
            <w:vAlign w:val="center"/>
          </w:tcPr>
          <w:p w14:paraId="0E44FA1A">
            <w:pPr>
              <w:spacing w:line="360" w:lineRule="auto"/>
              <w:jc w:val="center"/>
              <w:rPr>
                <w:rFonts w:hint="eastAsia" w:ascii="方正仿宋_GB2312" w:hAnsi="方正仿宋_GB2312" w:eastAsia="方正仿宋_GB2312" w:cs="方正仿宋_GB2312"/>
                <w:color w:val="auto"/>
                <w:highlight w:val="yellow"/>
              </w:rPr>
            </w:pPr>
            <w:r>
              <w:rPr>
                <w:rFonts w:hint="eastAsia" w:ascii="方正仿宋_GB2312" w:hAnsi="方正仿宋_GB2312" w:eastAsia="方正仿宋_GB2312" w:cs="方正仿宋_GB2312"/>
                <w:color w:val="auto"/>
              </w:rPr>
              <w:t>具有履行合同所必需的设备和专业技术能力</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2B9EF91A">
            <w:pPr>
              <w:spacing w:line="360" w:lineRule="auto"/>
              <w:rPr>
                <w:rFonts w:hint="eastAsia" w:ascii="方正仿宋_GB2312" w:hAnsi="方正仿宋_GB2312" w:eastAsia="方正仿宋_GB2312" w:cs="方正仿宋_GB2312"/>
                <w:color w:val="auto"/>
                <w:highlight w:val="yellow"/>
              </w:rPr>
            </w:pPr>
            <w:r>
              <w:rPr>
                <w:rFonts w:hint="eastAsia" w:ascii="方正仿宋_GB2312" w:hAnsi="方正仿宋_GB2312" w:eastAsia="方正仿宋_GB2312" w:cs="方正仿宋_GB2312"/>
                <w:color w:val="auto"/>
                <w:szCs w:val="21"/>
                <w:lang w:eastAsia="zh-CN"/>
              </w:rPr>
              <w:t>供应商</w:t>
            </w:r>
            <w:r>
              <w:rPr>
                <w:rFonts w:hint="eastAsia" w:ascii="方正仿宋_GB2312" w:hAnsi="方正仿宋_GB2312" w:eastAsia="方正仿宋_GB2312" w:cs="方正仿宋_GB2312"/>
                <w:color w:val="auto"/>
                <w:szCs w:val="21"/>
              </w:rPr>
              <w:t>履行合同所必须的设备和专业技术能力的证明材料或声明；</w:t>
            </w:r>
            <w:r>
              <w:rPr>
                <w:rFonts w:hint="eastAsia" w:ascii="方正仿宋_GB2312" w:hAnsi="方正仿宋_GB2312" w:eastAsia="方正仿宋_GB2312" w:cs="方正仿宋_GB2312"/>
                <w:color w:val="auto"/>
                <w:kern w:val="0"/>
                <w:szCs w:val="21"/>
                <w:lang w:eastAsia="zh-CN"/>
              </w:rPr>
              <w:t>（</w:t>
            </w:r>
            <w:r>
              <w:rPr>
                <w:rFonts w:hint="eastAsia" w:ascii="方正仿宋_GB2312" w:hAnsi="方正仿宋_GB2312" w:eastAsia="方正仿宋_GB2312" w:cs="方正仿宋_GB2312"/>
                <w:color w:val="auto"/>
                <w:kern w:val="0"/>
                <w:szCs w:val="21"/>
                <w:lang w:val="en-US" w:eastAsia="zh-CN"/>
              </w:rPr>
              <w:t>提供承诺或证明材料</w:t>
            </w:r>
            <w:r>
              <w:rPr>
                <w:rFonts w:hint="eastAsia" w:ascii="方正仿宋_GB2312" w:hAnsi="方正仿宋_GB2312" w:eastAsia="方正仿宋_GB2312" w:cs="方正仿宋_GB2312"/>
                <w:color w:val="auto"/>
                <w:kern w:val="0"/>
                <w:szCs w:val="21"/>
                <w:lang w:eastAsia="zh-CN"/>
              </w:rPr>
              <w:t>）</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382B2C85">
            <w:pPr>
              <w:spacing w:line="360" w:lineRule="auto"/>
              <w:rPr>
                <w:rFonts w:hint="eastAsia" w:ascii="方正仿宋_GB2312" w:hAnsi="方正仿宋_GB2312" w:eastAsia="方正仿宋_GB2312" w:cs="方正仿宋_GB2312"/>
                <w:color w:val="auto"/>
                <w:highlight w:val="yellow"/>
              </w:rPr>
            </w:pPr>
          </w:p>
        </w:tc>
      </w:tr>
      <w:tr w14:paraId="2051A4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continue"/>
            <w:tcBorders>
              <w:right w:val="single" w:color="auto" w:sz="4" w:space="0"/>
            </w:tcBorders>
            <w:noWrap w:val="0"/>
            <w:vAlign w:val="center"/>
          </w:tcPr>
          <w:p w14:paraId="282DE82F">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right w:val="single" w:color="auto" w:sz="4" w:space="0"/>
            </w:tcBorders>
            <w:noWrap w:val="0"/>
            <w:vAlign w:val="center"/>
          </w:tcPr>
          <w:p w14:paraId="4DF4E0DF">
            <w:pPr>
              <w:pStyle w:val="50"/>
              <w:spacing w:line="360" w:lineRule="auto"/>
              <w:jc w:val="center"/>
              <w:rPr>
                <w:rFonts w:hint="eastAsia" w:ascii="方正仿宋_GB2312" w:hAnsi="方正仿宋_GB2312" w:eastAsia="方正仿宋_GB2312" w:cs="方正仿宋_GB2312"/>
                <w:color w:val="auto"/>
                <w:kern w:val="2"/>
                <w:sz w:val="21"/>
                <w:lang w:val="en-US" w:eastAsia="zh-CN"/>
              </w:rPr>
            </w:pPr>
            <w:r>
              <w:rPr>
                <w:rFonts w:hint="eastAsia" w:ascii="方正仿宋_GB2312" w:hAnsi="方正仿宋_GB2312" w:eastAsia="方正仿宋_GB2312" w:cs="方正仿宋_GB2312"/>
                <w:color w:val="auto"/>
                <w:kern w:val="2"/>
                <w:sz w:val="21"/>
                <w:lang w:val="en-US" w:eastAsia="zh-CN"/>
              </w:rPr>
              <w:t>参加政府采购活动前三年内，在经营活动中没有重大违法记录</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7B772452">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参加政府采购活动前 3 年内在经营活动中没有重大违法记录的书面声明</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B5570AD">
            <w:pPr>
              <w:spacing w:line="360" w:lineRule="auto"/>
              <w:rPr>
                <w:rFonts w:hint="eastAsia" w:ascii="方正仿宋_GB2312" w:hAnsi="方正仿宋_GB2312" w:eastAsia="方正仿宋_GB2312" w:cs="方正仿宋_GB2312"/>
                <w:color w:val="auto"/>
                <w:szCs w:val="21"/>
                <w:highlight w:val="yellow"/>
              </w:rPr>
            </w:pPr>
          </w:p>
        </w:tc>
      </w:tr>
      <w:tr w14:paraId="45556C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continue"/>
            <w:tcBorders>
              <w:right w:val="single" w:color="auto" w:sz="4" w:space="0"/>
            </w:tcBorders>
            <w:noWrap w:val="0"/>
            <w:vAlign w:val="center"/>
          </w:tcPr>
          <w:p w14:paraId="2E6CF67C">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bottom w:val="single" w:color="auto" w:sz="4" w:space="0"/>
              <w:right w:val="single" w:color="auto" w:sz="4" w:space="0"/>
            </w:tcBorders>
            <w:noWrap w:val="0"/>
            <w:vAlign w:val="center"/>
          </w:tcPr>
          <w:p w14:paraId="6B6FEB65">
            <w:pPr>
              <w:spacing w:line="360" w:lineRule="auto"/>
              <w:jc w:val="center"/>
              <w:rPr>
                <w:rFonts w:hint="eastAsia" w:ascii="方正仿宋_GB2312" w:hAnsi="方正仿宋_GB2312" w:eastAsia="方正仿宋_GB2312" w:cs="方正仿宋_GB2312"/>
                <w:color w:val="auto"/>
                <w:szCs w:val="21"/>
                <w:lang w:eastAsia="zh-CN"/>
              </w:rPr>
            </w:pPr>
            <w:r>
              <w:rPr>
                <w:rFonts w:hint="eastAsia" w:ascii="方正仿宋_GB2312" w:hAnsi="方正仿宋_GB2312" w:eastAsia="方正仿宋_GB2312" w:cs="方正仿宋_GB2312"/>
                <w:color w:val="auto"/>
                <w:kern w:val="0"/>
                <w:szCs w:val="21"/>
                <w:lang w:eastAsia="zh-CN"/>
              </w:rPr>
              <w:t>供应商</w:t>
            </w:r>
            <w:r>
              <w:rPr>
                <w:rFonts w:hint="eastAsia" w:ascii="方正仿宋_GB2312" w:hAnsi="方正仿宋_GB2312" w:eastAsia="方正仿宋_GB2312" w:cs="方正仿宋_GB2312"/>
                <w:color w:val="auto"/>
                <w:kern w:val="0"/>
                <w:szCs w:val="21"/>
              </w:rPr>
              <w:t>不存在第二章投标须知3.2项（1）-（3）规定</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5A04A991">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（l）与采购人、代理机构存在利害关系。</w:t>
            </w:r>
          </w:p>
          <w:p w14:paraId="7715B286">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（2）单位负责人为同一人或者存在直接控股、管理关系的不同</w:t>
            </w:r>
            <w:r>
              <w:rPr>
                <w:rFonts w:hint="eastAsia" w:ascii="方正仿宋_GB2312" w:hAnsi="方正仿宋_GB2312" w:eastAsia="方正仿宋_GB2312" w:cs="方正仿宋_GB2312"/>
                <w:color w:val="auto"/>
                <w:szCs w:val="21"/>
                <w:lang w:eastAsia="zh-CN"/>
              </w:rPr>
              <w:t>供应商</w:t>
            </w:r>
            <w:r>
              <w:rPr>
                <w:rFonts w:hint="eastAsia" w:ascii="方正仿宋_GB2312" w:hAnsi="方正仿宋_GB2312" w:eastAsia="方正仿宋_GB2312" w:cs="方正仿宋_GB2312"/>
                <w:color w:val="auto"/>
                <w:szCs w:val="21"/>
              </w:rPr>
              <w:t>，不得参加同一合同项下的政府采购活动。</w:t>
            </w:r>
          </w:p>
          <w:p w14:paraId="412B60F2">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（3）除单一来源采购项目外，为采购项目提供整体设计、规范编制或者项目管理、监理、检测等服务的</w:t>
            </w:r>
            <w:r>
              <w:rPr>
                <w:rFonts w:hint="eastAsia" w:ascii="方正仿宋_GB2312" w:hAnsi="方正仿宋_GB2312" w:eastAsia="方正仿宋_GB2312" w:cs="方正仿宋_GB2312"/>
                <w:color w:val="auto"/>
                <w:szCs w:val="21"/>
                <w:lang w:eastAsia="zh-CN"/>
              </w:rPr>
              <w:t>供应商</w:t>
            </w:r>
            <w:r>
              <w:rPr>
                <w:rFonts w:hint="eastAsia" w:ascii="方正仿宋_GB2312" w:hAnsi="方正仿宋_GB2312" w:eastAsia="方正仿宋_GB2312" w:cs="方正仿宋_GB2312"/>
                <w:color w:val="auto"/>
                <w:szCs w:val="21"/>
              </w:rPr>
              <w:t>，不得再参加该采购项目的其他采购活动。</w:t>
            </w:r>
          </w:p>
          <w:p w14:paraId="5F5C7CDD">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kern w:val="0"/>
                <w:szCs w:val="21"/>
                <w:lang w:eastAsia="zh-CN"/>
              </w:rPr>
              <w:t>（</w:t>
            </w:r>
            <w:r>
              <w:rPr>
                <w:rFonts w:hint="eastAsia" w:ascii="方正仿宋_GB2312" w:hAnsi="方正仿宋_GB2312" w:eastAsia="方正仿宋_GB2312" w:cs="方正仿宋_GB2312"/>
                <w:color w:val="auto"/>
                <w:kern w:val="0"/>
                <w:szCs w:val="21"/>
                <w:lang w:val="en-US" w:eastAsia="zh-CN"/>
              </w:rPr>
              <w:t>自拟格式承诺或提供证明材料</w:t>
            </w:r>
            <w:r>
              <w:rPr>
                <w:rFonts w:hint="eastAsia" w:ascii="方正仿宋_GB2312" w:hAnsi="方正仿宋_GB2312" w:eastAsia="方正仿宋_GB2312" w:cs="方正仿宋_GB2312"/>
                <w:color w:val="auto"/>
                <w:kern w:val="0"/>
                <w:szCs w:val="21"/>
                <w:lang w:eastAsia="zh-CN"/>
              </w:rPr>
              <w:t>）</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6BCD1048">
            <w:pPr>
              <w:spacing w:line="360" w:lineRule="auto"/>
              <w:rPr>
                <w:rFonts w:hint="eastAsia" w:ascii="方正仿宋_GB2312" w:hAnsi="方正仿宋_GB2312" w:eastAsia="方正仿宋_GB2312" w:cs="方正仿宋_GB2312"/>
                <w:color w:val="auto"/>
                <w:szCs w:val="21"/>
                <w:highlight w:val="yellow"/>
              </w:rPr>
            </w:pPr>
          </w:p>
        </w:tc>
      </w:tr>
      <w:tr w14:paraId="6B22FB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continue"/>
            <w:tcBorders>
              <w:right w:val="single" w:color="auto" w:sz="4" w:space="0"/>
            </w:tcBorders>
            <w:noWrap w:val="0"/>
            <w:vAlign w:val="center"/>
          </w:tcPr>
          <w:p w14:paraId="7821F122">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bottom w:val="single" w:color="auto" w:sz="4" w:space="0"/>
              <w:right w:val="single" w:color="auto" w:sz="4" w:space="0"/>
            </w:tcBorders>
            <w:noWrap w:val="0"/>
            <w:vAlign w:val="center"/>
          </w:tcPr>
          <w:p w14:paraId="11361053">
            <w:pPr>
              <w:spacing w:line="360" w:lineRule="auto"/>
              <w:jc w:val="center"/>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法律、行政法规规定的其他条件</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63B7AD14">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具备法律、行政法规规定的其他条件</w:t>
            </w:r>
            <w:r>
              <w:rPr>
                <w:rFonts w:hint="eastAsia" w:ascii="方正仿宋_GB2312" w:hAnsi="方正仿宋_GB2312" w:eastAsia="方正仿宋_GB2312" w:cs="方正仿宋_GB2312"/>
                <w:color w:val="auto"/>
                <w:kern w:val="0"/>
                <w:szCs w:val="21"/>
                <w:lang w:eastAsia="zh-CN"/>
              </w:rPr>
              <w:t>（</w:t>
            </w:r>
            <w:r>
              <w:rPr>
                <w:rFonts w:hint="eastAsia" w:ascii="方正仿宋_GB2312" w:hAnsi="方正仿宋_GB2312" w:eastAsia="方正仿宋_GB2312" w:cs="方正仿宋_GB2312"/>
                <w:color w:val="auto"/>
                <w:kern w:val="0"/>
                <w:szCs w:val="21"/>
                <w:lang w:val="en-US" w:eastAsia="zh-CN"/>
              </w:rPr>
              <w:t>自拟格式承诺或提供证明材料</w:t>
            </w:r>
            <w:r>
              <w:rPr>
                <w:rFonts w:hint="eastAsia" w:ascii="方正仿宋_GB2312" w:hAnsi="方正仿宋_GB2312" w:eastAsia="方正仿宋_GB2312" w:cs="方正仿宋_GB2312"/>
                <w:color w:val="auto"/>
                <w:kern w:val="0"/>
                <w:szCs w:val="21"/>
                <w:lang w:eastAsia="zh-CN"/>
              </w:rPr>
              <w:t>）</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3C202C53">
            <w:pPr>
              <w:spacing w:line="360" w:lineRule="auto"/>
              <w:rPr>
                <w:rFonts w:hint="eastAsia" w:ascii="方正仿宋_GB2312" w:hAnsi="方正仿宋_GB2312" w:eastAsia="方正仿宋_GB2312" w:cs="方正仿宋_GB2312"/>
                <w:color w:val="auto"/>
                <w:szCs w:val="21"/>
                <w:highlight w:val="yellow"/>
              </w:rPr>
            </w:pPr>
          </w:p>
        </w:tc>
      </w:tr>
      <w:tr w14:paraId="26B34A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08" w:type="dxa"/>
            <w:tcBorders>
              <w:top w:val="single" w:color="auto" w:sz="4" w:space="0"/>
              <w:bottom w:val="single" w:color="auto" w:sz="4" w:space="0"/>
              <w:right w:val="single" w:color="auto" w:sz="4" w:space="0"/>
            </w:tcBorders>
            <w:noWrap w:val="0"/>
            <w:vAlign w:val="center"/>
          </w:tcPr>
          <w:p w14:paraId="5F461B16">
            <w:pPr>
              <w:spacing w:line="360" w:lineRule="auto"/>
              <w:jc w:val="center"/>
              <w:rPr>
                <w:rFonts w:hint="eastAsia" w:ascii="方正仿宋_GB2312" w:hAnsi="方正仿宋_GB2312" w:eastAsia="方正仿宋_GB2312" w:cs="方正仿宋_GB2312"/>
                <w:b/>
                <w:color w:val="auto"/>
                <w:szCs w:val="21"/>
              </w:rPr>
            </w:pPr>
            <w:r>
              <w:rPr>
                <w:rFonts w:hint="eastAsia" w:ascii="方正仿宋_GB2312" w:hAnsi="方正仿宋_GB2312" w:eastAsia="方正仿宋_GB2312" w:cs="方正仿宋_GB2312"/>
                <w:b/>
                <w:color w:val="auto"/>
                <w:szCs w:val="21"/>
              </w:rPr>
              <w:t>项目</w:t>
            </w:r>
          </w:p>
        </w:tc>
        <w:tc>
          <w:tcPr>
            <w:tcW w:w="1790" w:type="dxa"/>
            <w:tcBorders>
              <w:top w:val="single" w:color="auto" w:sz="4" w:space="0"/>
              <w:bottom w:val="single" w:color="auto" w:sz="4" w:space="0"/>
              <w:right w:val="single" w:color="auto" w:sz="4" w:space="0"/>
            </w:tcBorders>
            <w:noWrap w:val="0"/>
            <w:vAlign w:val="center"/>
          </w:tcPr>
          <w:p w14:paraId="3D138166">
            <w:pPr>
              <w:spacing w:line="360" w:lineRule="auto"/>
              <w:jc w:val="center"/>
              <w:rPr>
                <w:rFonts w:hint="eastAsia" w:ascii="方正仿宋_GB2312" w:hAnsi="方正仿宋_GB2312" w:eastAsia="方正仿宋_GB2312" w:cs="方正仿宋_GB2312"/>
                <w:b/>
                <w:color w:val="auto"/>
                <w:szCs w:val="21"/>
              </w:rPr>
            </w:pPr>
            <w:r>
              <w:rPr>
                <w:rFonts w:hint="eastAsia" w:ascii="方正仿宋_GB2312" w:hAnsi="方正仿宋_GB2312" w:eastAsia="方正仿宋_GB2312" w:cs="方正仿宋_GB2312"/>
                <w:b/>
                <w:color w:val="auto"/>
                <w:szCs w:val="21"/>
              </w:rPr>
              <w:t>审查要求</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1D648D8A">
            <w:pPr>
              <w:spacing w:line="360" w:lineRule="auto"/>
              <w:jc w:val="center"/>
              <w:rPr>
                <w:rFonts w:hint="eastAsia" w:ascii="方正仿宋_GB2312" w:hAnsi="方正仿宋_GB2312" w:eastAsia="方正仿宋_GB2312" w:cs="方正仿宋_GB2312"/>
                <w:b/>
                <w:color w:val="auto"/>
                <w:szCs w:val="21"/>
              </w:rPr>
            </w:pPr>
            <w:r>
              <w:rPr>
                <w:rFonts w:hint="eastAsia" w:ascii="方正仿宋_GB2312" w:hAnsi="方正仿宋_GB2312" w:eastAsia="方正仿宋_GB2312" w:cs="方正仿宋_GB2312"/>
                <w:b/>
                <w:color w:val="auto"/>
                <w:szCs w:val="21"/>
              </w:rPr>
              <w:t>要求说明</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1D132077">
            <w:pPr>
              <w:spacing w:line="360" w:lineRule="auto"/>
              <w:jc w:val="center"/>
              <w:rPr>
                <w:rFonts w:hint="eastAsia" w:ascii="方正仿宋_GB2312" w:hAnsi="方正仿宋_GB2312" w:eastAsia="方正仿宋_GB2312" w:cs="方正仿宋_GB2312"/>
                <w:b/>
                <w:color w:val="auto"/>
                <w:szCs w:val="21"/>
              </w:rPr>
            </w:pPr>
            <w:r>
              <w:rPr>
                <w:rFonts w:hint="eastAsia" w:ascii="方正仿宋_GB2312" w:hAnsi="方正仿宋_GB2312" w:eastAsia="方正仿宋_GB2312" w:cs="方正仿宋_GB2312"/>
                <w:b/>
                <w:color w:val="auto"/>
                <w:szCs w:val="21"/>
              </w:rPr>
              <w:t>是否通过</w:t>
            </w:r>
          </w:p>
        </w:tc>
      </w:tr>
      <w:tr w14:paraId="3AE166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restart"/>
            <w:tcBorders>
              <w:top w:val="single" w:color="auto" w:sz="4" w:space="0"/>
              <w:right w:val="single" w:color="auto" w:sz="4" w:space="0"/>
            </w:tcBorders>
            <w:noWrap w:val="0"/>
            <w:vAlign w:val="center"/>
          </w:tcPr>
          <w:p w14:paraId="5D54A133">
            <w:pPr>
              <w:spacing w:line="360" w:lineRule="auto"/>
              <w:jc w:val="center"/>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资格性检查</w:t>
            </w:r>
          </w:p>
        </w:tc>
        <w:tc>
          <w:tcPr>
            <w:tcW w:w="1790" w:type="dxa"/>
            <w:tcBorders>
              <w:top w:val="single" w:color="auto" w:sz="4" w:space="0"/>
              <w:right w:val="single" w:color="auto" w:sz="4" w:space="0"/>
            </w:tcBorders>
            <w:noWrap w:val="0"/>
            <w:vAlign w:val="center"/>
          </w:tcPr>
          <w:p w14:paraId="594969C4">
            <w:pPr>
              <w:spacing w:line="360" w:lineRule="auto"/>
              <w:jc w:val="center"/>
              <w:rPr>
                <w:rFonts w:hint="eastAsia" w:ascii="方正仿宋_GB2312" w:hAnsi="方正仿宋_GB2312" w:eastAsia="方正仿宋_GB2312" w:cs="方正仿宋_GB2312"/>
                <w:color w:val="auto"/>
                <w:szCs w:val="21"/>
              </w:rPr>
            </w:pPr>
          </w:p>
        </w:tc>
        <w:tc>
          <w:tcPr>
            <w:tcW w:w="5200" w:type="dxa"/>
            <w:tcBorders>
              <w:top w:val="single" w:color="auto" w:sz="4" w:space="0"/>
              <w:left w:val="single" w:color="auto" w:sz="4" w:space="0"/>
              <w:bottom w:val="single" w:color="auto" w:sz="4" w:space="0"/>
              <w:right w:val="single" w:color="auto" w:sz="4" w:space="0"/>
            </w:tcBorders>
            <w:noWrap w:val="0"/>
            <w:vAlign w:val="center"/>
          </w:tcPr>
          <w:p w14:paraId="631C06F7">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rPr>
              <w:t>间前6个月内（任意1个月）缴纳税收的凭据（完税证、缴款书、印花税票、银行代扣（代缴）转账凭证等均可）</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53605D6">
            <w:pPr>
              <w:spacing w:line="360" w:lineRule="auto"/>
              <w:rPr>
                <w:rFonts w:hint="eastAsia" w:ascii="方正仿宋_GB2312" w:hAnsi="方正仿宋_GB2312" w:eastAsia="方正仿宋_GB2312" w:cs="方正仿宋_GB2312"/>
                <w:color w:val="auto"/>
                <w:szCs w:val="21"/>
                <w:highlight w:val="yellow"/>
              </w:rPr>
            </w:pPr>
          </w:p>
        </w:tc>
      </w:tr>
      <w:tr w14:paraId="7A48ED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53" w:hRule="atLeast"/>
          <w:jc w:val="center"/>
        </w:trPr>
        <w:tc>
          <w:tcPr>
            <w:tcW w:w="1308" w:type="dxa"/>
            <w:vMerge w:val="continue"/>
            <w:tcBorders>
              <w:right w:val="single" w:color="auto" w:sz="4" w:space="0"/>
            </w:tcBorders>
            <w:noWrap w:val="0"/>
            <w:vAlign w:val="center"/>
          </w:tcPr>
          <w:p w14:paraId="3A7A88A4">
            <w:pPr>
              <w:spacing w:line="360" w:lineRule="auto"/>
              <w:jc w:val="center"/>
              <w:rPr>
                <w:rFonts w:hint="eastAsia" w:ascii="方正仿宋_GB2312" w:hAnsi="方正仿宋_GB2312" w:eastAsia="方正仿宋_GB2312" w:cs="方正仿宋_GB2312"/>
                <w:color w:val="auto"/>
                <w:szCs w:val="21"/>
              </w:rPr>
            </w:pPr>
          </w:p>
        </w:tc>
        <w:tc>
          <w:tcPr>
            <w:tcW w:w="1790" w:type="dxa"/>
            <w:tcBorders>
              <w:top w:val="single" w:color="auto" w:sz="4" w:space="0"/>
              <w:right w:val="single" w:color="auto" w:sz="4" w:space="0"/>
            </w:tcBorders>
            <w:noWrap w:val="0"/>
            <w:vAlign w:val="center"/>
          </w:tcPr>
          <w:p w14:paraId="010852A7">
            <w:pPr>
              <w:rPr>
                <w:rFonts w:hint="eastAsia" w:ascii="仿宋" w:hAnsi="仿宋" w:eastAsia="仿宋" w:cs="仿宋"/>
              </w:rPr>
            </w:pPr>
            <w:r>
              <w:rPr>
                <w:rFonts w:hint="eastAsia" w:ascii="仿宋" w:hAnsi="仿宋" w:eastAsia="仿宋" w:cs="仿宋"/>
              </w:rPr>
              <w:t>本项目为专门面向中小企业采购的项目，供应商应为中小微企业、监狱企业、残疾人福利性单位。</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11F2E137">
            <w:pPr>
              <w:rPr>
                <w:rFonts w:hint="eastAsia" w:ascii="仿宋" w:hAnsi="仿宋" w:eastAsia="仿宋" w:cs="仿宋"/>
              </w:rPr>
            </w:pPr>
            <w:r>
              <w:rPr>
                <w:rFonts w:hint="eastAsia" w:ascii="仿宋" w:hAnsi="仿宋" w:eastAsia="仿宋" w:cs="仿宋"/>
              </w:rPr>
              <w:t>请根据要求单独上传《中小企业声明函》。格式以采购文件要求为准。</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4717E76">
            <w:pPr>
              <w:spacing w:line="360" w:lineRule="auto"/>
              <w:rPr>
                <w:rFonts w:hint="eastAsia" w:ascii="方正仿宋_GB2312" w:hAnsi="方正仿宋_GB2312" w:eastAsia="方正仿宋_GB2312" w:cs="方正仿宋_GB2312"/>
                <w:color w:val="auto"/>
                <w:szCs w:val="21"/>
                <w:highlight w:val="yellow"/>
              </w:rPr>
            </w:pPr>
          </w:p>
        </w:tc>
      </w:tr>
      <w:tr w14:paraId="064C57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66" w:hRule="atLeast"/>
          <w:jc w:val="center"/>
        </w:trPr>
        <w:tc>
          <w:tcPr>
            <w:tcW w:w="1308" w:type="dxa"/>
            <w:vMerge w:val="continue"/>
            <w:tcBorders>
              <w:right w:val="single" w:color="auto" w:sz="4" w:space="0"/>
            </w:tcBorders>
            <w:noWrap w:val="0"/>
            <w:vAlign w:val="center"/>
          </w:tcPr>
          <w:p w14:paraId="47100FC3">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right w:val="single" w:color="auto" w:sz="4" w:space="0"/>
            </w:tcBorders>
            <w:noWrap w:val="0"/>
            <w:vAlign w:val="center"/>
          </w:tcPr>
          <w:p w14:paraId="2707475F">
            <w:pPr>
              <w:spacing w:line="360" w:lineRule="auto"/>
              <w:jc w:val="center"/>
              <w:rPr>
                <w:rFonts w:hint="eastAsia" w:ascii="方正仿宋_GB2312" w:hAnsi="方正仿宋_GB2312" w:eastAsia="方正仿宋_GB2312" w:cs="方正仿宋_GB2312"/>
                <w:color w:val="auto"/>
                <w:szCs w:val="21"/>
                <w:highlight w:val="yellow"/>
              </w:rPr>
            </w:pPr>
            <w:r>
              <w:rPr>
                <w:rFonts w:hint="eastAsia" w:ascii="方正仿宋_GB2312" w:hAnsi="方正仿宋_GB2312" w:eastAsia="方正仿宋_GB2312" w:cs="方正仿宋_GB2312"/>
                <w:color w:val="auto"/>
              </w:rPr>
              <w:t>有依法缴纳社会保障资金的良好记录</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4020A632">
            <w:pPr>
              <w:spacing w:line="360" w:lineRule="auto"/>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rPr>
              <w:t>1.</w:t>
            </w:r>
            <w:r>
              <w:rPr>
                <w:rFonts w:hint="eastAsia" w:ascii="方正仿宋_GB2312" w:hAnsi="方正仿宋_GB2312" w:eastAsia="方正仿宋_GB2312" w:cs="方正仿宋_GB2312"/>
                <w:color w:val="auto"/>
                <w:lang w:eastAsia="zh-CN"/>
              </w:rPr>
              <w:t>供应商</w:t>
            </w:r>
            <w:r>
              <w:rPr>
                <w:rFonts w:hint="eastAsia" w:ascii="方正仿宋_GB2312" w:hAnsi="方正仿宋_GB2312" w:eastAsia="方正仿宋_GB2312" w:cs="方正仿宋_GB2312"/>
                <w:color w:val="auto"/>
              </w:rPr>
              <w:t>依法缴纳社会保障资金的证明材料：本项目投标截止时间时间前 6个月内（任意1个月）缴纳社会保险的凭据（专用收据或社会保险交纳清单）；</w:t>
            </w:r>
          </w:p>
          <w:p w14:paraId="7B749EF8">
            <w:pPr>
              <w:spacing w:line="360" w:lineRule="auto"/>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rPr>
              <w:t>2.</w:t>
            </w:r>
            <w:r>
              <w:rPr>
                <w:rFonts w:hint="eastAsia" w:ascii="方正仿宋_GB2312" w:hAnsi="方正仿宋_GB2312" w:eastAsia="方正仿宋_GB2312" w:cs="方正仿宋_GB2312"/>
                <w:color w:val="auto"/>
                <w:lang w:eastAsia="zh-CN"/>
              </w:rPr>
              <w:t>供应商</w:t>
            </w:r>
            <w:r>
              <w:rPr>
                <w:rFonts w:hint="eastAsia" w:ascii="方正仿宋_GB2312" w:hAnsi="方正仿宋_GB2312" w:eastAsia="方正仿宋_GB2312" w:cs="方正仿宋_GB2312"/>
                <w:color w:val="auto"/>
              </w:rPr>
              <w:t>为其他组织或自然人的，也需要提供本项目投标截止时间时间前 6个月内（任意1个月）缴纳社会保险的凭据（专用收据或社会保险交纳清单）。</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119F024">
            <w:pPr>
              <w:spacing w:line="360" w:lineRule="auto"/>
              <w:rPr>
                <w:rFonts w:hint="eastAsia" w:ascii="方正仿宋_GB2312" w:hAnsi="方正仿宋_GB2312" w:eastAsia="方正仿宋_GB2312" w:cs="方正仿宋_GB2312"/>
                <w:color w:val="auto"/>
                <w:szCs w:val="21"/>
                <w:highlight w:val="yellow"/>
              </w:rPr>
            </w:pPr>
          </w:p>
        </w:tc>
      </w:tr>
      <w:tr w14:paraId="41E5A4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79" w:hRule="atLeast"/>
          <w:jc w:val="center"/>
        </w:trPr>
        <w:tc>
          <w:tcPr>
            <w:tcW w:w="1308" w:type="dxa"/>
            <w:vMerge w:val="continue"/>
            <w:tcBorders>
              <w:right w:val="single" w:color="auto" w:sz="4" w:space="0"/>
            </w:tcBorders>
            <w:noWrap w:val="0"/>
            <w:vAlign w:val="center"/>
          </w:tcPr>
          <w:p w14:paraId="53557B6B">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right w:val="single" w:color="auto" w:sz="4" w:space="0"/>
            </w:tcBorders>
            <w:noWrap w:val="0"/>
            <w:vAlign w:val="center"/>
          </w:tcPr>
          <w:p w14:paraId="096D3A57">
            <w:pPr>
              <w:spacing w:line="360" w:lineRule="auto"/>
              <w:jc w:val="center"/>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rPr>
              <w:t>具有履行合同所必需的设备和专业技术能力</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78F6BC1C">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lang w:eastAsia="zh-CN"/>
              </w:rPr>
              <w:t>供应商</w:t>
            </w:r>
            <w:r>
              <w:rPr>
                <w:rFonts w:hint="eastAsia" w:ascii="方正仿宋_GB2312" w:hAnsi="方正仿宋_GB2312" w:eastAsia="方正仿宋_GB2312" w:cs="方正仿宋_GB2312"/>
                <w:color w:val="auto"/>
                <w:szCs w:val="21"/>
              </w:rPr>
              <w:t>履行合同所必须的设备和专业技术能力的证明材料或声明；</w:t>
            </w:r>
            <w:r>
              <w:rPr>
                <w:rFonts w:hint="eastAsia" w:ascii="方正仿宋_GB2312" w:hAnsi="方正仿宋_GB2312" w:eastAsia="方正仿宋_GB2312" w:cs="方正仿宋_GB2312"/>
                <w:color w:val="auto"/>
                <w:kern w:val="0"/>
                <w:szCs w:val="21"/>
                <w:lang w:eastAsia="zh-CN"/>
              </w:rPr>
              <w:t>（</w:t>
            </w:r>
            <w:r>
              <w:rPr>
                <w:rFonts w:hint="eastAsia" w:ascii="方正仿宋_GB2312" w:hAnsi="方正仿宋_GB2312" w:eastAsia="方正仿宋_GB2312" w:cs="方正仿宋_GB2312"/>
                <w:color w:val="auto"/>
                <w:kern w:val="0"/>
                <w:szCs w:val="21"/>
                <w:lang w:val="en-US" w:eastAsia="zh-CN"/>
              </w:rPr>
              <w:t>提供承诺或证明材料</w:t>
            </w:r>
            <w:r>
              <w:rPr>
                <w:rFonts w:hint="eastAsia" w:ascii="方正仿宋_GB2312" w:hAnsi="方正仿宋_GB2312" w:eastAsia="方正仿宋_GB2312" w:cs="方正仿宋_GB2312"/>
                <w:color w:val="auto"/>
                <w:kern w:val="0"/>
                <w:szCs w:val="21"/>
                <w:lang w:eastAsia="zh-CN"/>
              </w:rPr>
              <w:t>）</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ACBAE63">
            <w:pPr>
              <w:spacing w:line="360" w:lineRule="auto"/>
              <w:rPr>
                <w:rFonts w:hint="eastAsia" w:ascii="方正仿宋_GB2312" w:hAnsi="方正仿宋_GB2312" w:eastAsia="方正仿宋_GB2312" w:cs="方正仿宋_GB2312"/>
                <w:color w:val="auto"/>
                <w:highlight w:val="yellow"/>
              </w:rPr>
            </w:pPr>
          </w:p>
        </w:tc>
      </w:tr>
      <w:tr w14:paraId="7F341A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69" w:hRule="atLeast"/>
          <w:jc w:val="center"/>
        </w:trPr>
        <w:tc>
          <w:tcPr>
            <w:tcW w:w="1308" w:type="dxa"/>
            <w:vMerge w:val="continue"/>
            <w:tcBorders>
              <w:right w:val="single" w:color="auto" w:sz="4" w:space="0"/>
            </w:tcBorders>
            <w:noWrap w:val="0"/>
            <w:vAlign w:val="center"/>
          </w:tcPr>
          <w:p w14:paraId="5254E370">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right w:val="single" w:color="auto" w:sz="4" w:space="0"/>
            </w:tcBorders>
            <w:noWrap w:val="0"/>
            <w:vAlign w:val="center"/>
          </w:tcPr>
          <w:p w14:paraId="589CB9B5">
            <w:pPr>
              <w:pStyle w:val="50"/>
              <w:spacing w:line="360" w:lineRule="auto"/>
              <w:jc w:val="center"/>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kern w:val="2"/>
                <w:sz w:val="21"/>
                <w:lang w:val="en-US" w:eastAsia="zh-CN"/>
              </w:rPr>
              <w:t>参加政府采购活动前三年内，在经营活动中没有重大违法记录</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4EB5C625">
            <w:pPr>
              <w:spacing w:line="360" w:lineRule="auto"/>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参加政府采购活动前 3 年内在经营活动中没有重大违法记录的书面声明</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0983821C">
            <w:pPr>
              <w:spacing w:line="360" w:lineRule="auto"/>
              <w:rPr>
                <w:rFonts w:hint="eastAsia" w:ascii="方正仿宋_GB2312" w:hAnsi="方正仿宋_GB2312" w:eastAsia="方正仿宋_GB2312" w:cs="方正仿宋_GB2312"/>
                <w:color w:val="auto"/>
                <w:highlight w:val="yellow"/>
              </w:rPr>
            </w:pPr>
          </w:p>
          <w:p w14:paraId="7FF51B7D">
            <w:pPr>
              <w:spacing w:line="360" w:lineRule="auto"/>
              <w:rPr>
                <w:rFonts w:hint="eastAsia" w:ascii="方正仿宋_GB2312" w:hAnsi="方正仿宋_GB2312" w:eastAsia="方正仿宋_GB2312" w:cs="方正仿宋_GB2312"/>
                <w:color w:val="auto"/>
                <w:highlight w:val="yellow"/>
              </w:rPr>
            </w:pPr>
          </w:p>
          <w:p w14:paraId="28E71A06">
            <w:pPr>
              <w:spacing w:line="360" w:lineRule="auto"/>
              <w:rPr>
                <w:rFonts w:hint="eastAsia" w:ascii="方正仿宋_GB2312" w:hAnsi="方正仿宋_GB2312" w:eastAsia="方正仿宋_GB2312" w:cs="方正仿宋_GB2312"/>
                <w:color w:val="auto"/>
                <w:highlight w:val="yellow"/>
              </w:rPr>
            </w:pPr>
          </w:p>
          <w:p w14:paraId="4ECD8B61">
            <w:pPr>
              <w:spacing w:line="360" w:lineRule="auto"/>
              <w:rPr>
                <w:rFonts w:hint="eastAsia" w:ascii="方正仿宋_GB2312" w:hAnsi="方正仿宋_GB2312" w:eastAsia="方正仿宋_GB2312" w:cs="方正仿宋_GB2312"/>
                <w:color w:val="auto"/>
                <w:highlight w:val="yellow"/>
              </w:rPr>
            </w:pPr>
          </w:p>
          <w:p w14:paraId="77D4E6B7">
            <w:pPr>
              <w:spacing w:line="360" w:lineRule="auto"/>
              <w:rPr>
                <w:rFonts w:hint="eastAsia" w:ascii="方正仿宋_GB2312" w:hAnsi="方正仿宋_GB2312" w:eastAsia="方正仿宋_GB2312" w:cs="方正仿宋_GB2312"/>
                <w:color w:val="auto"/>
                <w:highlight w:val="yellow"/>
              </w:rPr>
            </w:pPr>
          </w:p>
          <w:p w14:paraId="669C449C">
            <w:pPr>
              <w:spacing w:line="360" w:lineRule="auto"/>
              <w:rPr>
                <w:rFonts w:hint="eastAsia" w:ascii="方正仿宋_GB2312" w:hAnsi="方正仿宋_GB2312" w:eastAsia="方正仿宋_GB2312" w:cs="方正仿宋_GB2312"/>
                <w:color w:val="auto"/>
                <w:highlight w:val="yellow"/>
              </w:rPr>
            </w:pPr>
          </w:p>
          <w:p w14:paraId="38994683">
            <w:pPr>
              <w:spacing w:line="360" w:lineRule="auto"/>
              <w:rPr>
                <w:rFonts w:hint="eastAsia" w:ascii="方正仿宋_GB2312" w:hAnsi="方正仿宋_GB2312" w:eastAsia="方正仿宋_GB2312" w:cs="方正仿宋_GB2312"/>
                <w:color w:val="auto"/>
                <w:highlight w:val="yellow"/>
              </w:rPr>
            </w:pPr>
          </w:p>
          <w:p w14:paraId="48DD5CA0">
            <w:pPr>
              <w:spacing w:line="360" w:lineRule="auto"/>
              <w:rPr>
                <w:rFonts w:hint="eastAsia" w:ascii="方正仿宋_GB2312" w:hAnsi="方正仿宋_GB2312" w:eastAsia="方正仿宋_GB2312" w:cs="方正仿宋_GB2312"/>
                <w:color w:val="auto"/>
                <w:highlight w:val="yellow"/>
              </w:rPr>
            </w:pPr>
          </w:p>
          <w:p w14:paraId="13E71D6B">
            <w:pPr>
              <w:spacing w:line="360" w:lineRule="auto"/>
              <w:rPr>
                <w:rFonts w:hint="eastAsia" w:ascii="方正仿宋_GB2312" w:hAnsi="方正仿宋_GB2312" w:eastAsia="方正仿宋_GB2312" w:cs="方正仿宋_GB2312"/>
                <w:color w:val="auto"/>
                <w:highlight w:val="yellow"/>
              </w:rPr>
            </w:pPr>
          </w:p>
          <w:p w14:paraId="4DD3D6E7">
            <w:pPr>
              <w:spacing w:line="360" w:lineRule="auto"/>
              <w:rPr>
                <w:rFonts w:hint="eastAsia" w:ascii="方正仿宋_GB2312" w:hAnsi="方正仿宋_GB2312" w:eastAsia="方正仿宋_GB2312" w:cs="方正仿宋_GB2312"/>
                <w:color w:val="auto"/>
                <w:highlight w:val="yellow"/>
              </w:rPr>
            </w:pPr>
          </w:p>
          <w:p w14:paraId="4EA32EF5">
            <w:pPr>
              <w:spacing w:line="360" w:lineRule="auto"/>
              <w:rPr>
                <w:rFonts w:hint="eastAsia" w:ascii="方正仿宋_GB2312" w:hAnsi="方正仿宋_GB2312" w:eastAsia="方正仿宋_GB2312" w:cs="方正仿宋_GB2312"/>
                <w:color w:val="auto"/>
                <w:highlight w:val="yellow"/>
              </w:rPr>
            </w:pPr>
          </w:p>
          <w:p w14:paraId="678AAF3D">
            <w:pPr>
              <w:spacing w:line="360" w:lineRule="auto"/>
              <w:rPr>
                <w:rFonts w:hint="eastAsia" w:ascii="方正仿宋_GB2312" w:hAnsi="方正仿宋_GB2312" w:eastAsia="方正仿宋_GB2312" w:cs="方正仿宋_GB2312"/>
                <w:color w:val="auto"/>
                <w:highlight w:val="yellow"/>
              </w:rPr>
            </w:pPr>
          </w:p>
        </w:tc>
      </w:tr>
      <w:tr w14:paraId="16674A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36" w:hRule="atLeast"/>
          <w:jc w:val="center"/>
        </w:trPr>
        <w:tc>
          <w:tcPr>
            <w:tcW w:w="1308" w:type="dxa"/>
            <w:vMerge w:val="continue"/>
            <w:tcBorders>
              <w:right w:val="single" w:color="auto" w:sz="4" w:space="0"/>
            </w:tcBorders>
            <w:noWrap w:val="0"/>
            <w:vAlign w:val="center"/>
          </w:tcPr>
          <w:p w14:paraId="03273BDE">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right w:val="single" w:color="auto" w:sz="4" w:space="0"/>
            </w:tcBorders>
            <w:noWrap w:val="0"/>
            <w:vAlign w:val="center"/>
          </w:tcPr>
          <w:p w14:paraId="5974F1F6">
            <w:pPr>
              <w:spacing w:line="360" w:lineRule="auto"/>
              <w:jc w:val="center"/>
              <w:rPr>
                <w:rFonts w:hint="eastAsia" w:ascii="方正仿宋_GB2312" w:hAnsi="方正仿宋_GB2312" w:eastAsia="方正仿宋_GB2312" w:cs="方正仿宋_GB2312"/>
                <w:color w:val="auto"/>
                <w:kern w:val="2"/>
                <w:sz w:val="21"/>
                <w:lang w:val="en-US" w:eastAsia="zh-CN"/>
              </w:rPr>
            </w:pPr>
            <w:r>
              <w:rPr>
                <w:rFonts w:hint="eastAsia" w:ascii="方正仿宋_GB2312" w:hAnsi="方正仿宋_GB2312" w:eastAsia="方正仿宋_GB2312" w:cs="方正仿宋_GB2312"/>
                <w:color w:val="auto"/>
                <w:kern w:val="0"/>
                <w:szCs w:val="21"/>
                <w:lang w:eastAsia="zh-CN"/>
              </w:rPr>
              <w:t>供应商</w:t>
            </w:r>
            <w:r>
              <w:rPr>
                <w:rFonts w:hint="eastAsia" w:ascii="方正仿宋_GB2312" w:hAnsi="方正仿宋_GB2312" w:eastAsia="方正仿宋_GB2312" w:cs="方正仿宋_GB2312"/>
                <w:color w:val="auto"/>
                <w:kern w:val="0"/>
                <w:szCs w:val="21"/>
              </w:rPr>
              <w:t>不存在第二章投标须知3.2项（1）-（3）规定</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1044EE97">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（l）与采购人、代理机构存在利害关系。</w:t>
            </w:r>
          </w:p>
          <w:p w14:paraId="4217C170">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（2）单位负责人为同一人或者存在直接控股、管理关系的不同</w:t>
            </w:r>
            <w:r>
              <w:rPr>
                <w:rFonts w:hint="eastAsia" w:ascii="方正仿宋_GB2312" w:hAnsi="方正仿宋_GB2312" w:eastAsia="方正仿宋_GB2312" w:cs="方正仿宋_GB2312"/>
                <w:color w:val="auto"/>
                <w:szCs w:val="21"/>
                <w:lang w:eastAsia="zh-CN"/>
              </w:rPr>
              <w:t>供应商</w:t>
            </w:r>
            <w:r>
              <w:rPr>
                <w:rFonts w:hint="eastAsia" w:ascii="方正仿宋_GB2312" w:hAnsi="方正仿宋_GB2312" w:eastAsia="方正仿宋_GB2312" w:cs="方正仿宋_GB2312"/>
                <w:color w:val="auto"/>
                <w:szCs w:val="21"/>
              </w:rPr>
              <w:t>，不得参加同一合同项下的政府采购活动。</w:t>
            </w:r>
          </w:p>
          <w:p w14:paraId="2D837B24">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（3）除单一来源采购项目外，为采购项目提供整体设计、规范编制或者项目管理、监理、检测等服务的</w:t>
            </w:r>
            <w:r>
              <w:rPr>
                <w:rFonts w:hint="eastAsia" w:ascii="方正仿宋_GB2312" w:hAnsi="方正仿宋_GB2312" w:eastAsia="方正仿宋_GB2312" w:cs="方正仿宋_GB2312"/>
                <w:color w:val="auto"/>
                <w:szCs w:val="21"/>
                <w:lang w:eastAsia="zh-CN"/>
              </w:rPr>
              <w:t>供应商</w:t>
            </w:r>
            <w:r>
              <w:rPr>
                <w:rFonts w:hint="eastAsia" w:ascii="方正仿宋_GB2312" w:hAnsi="方正仿宋_GB2312" w:eastAsia="方正仿宋_GB2312" w:cs="方正仿宋_GB2312"/>
                <w:color w:val="auto"/>
                <w:szCs w:val="21"/>
              </w:rPr>
              <w:t>，不得再参加该采购项目的其他采购活动。</w:t>
            </w:r>
          </w:p>
          <w:p w14:paraId="10C3635E">
            <w:pPr>
              <w:spacing w:line="24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kern w:val="0"/>
                <w:szCs w:val="21"/>
                <w:lang w:eastAsia="zh-CN"/>
              </w:rPr>
              <w:t>（</w:t>
            </w:r>
            <w:r>
              <w:rPr>
                <w:rFonts w:hint="eastAsia" w:ascii="方正仿宋_GB2312" w:hAnsi="方正仿宋_GB2312" w:eastAsia="方正仿宋_GB2312" w:cs="方正仿宋_GB2312"/>
                <w:color w:val="auto"/>
                <w:kern w:val="0"/>
                <w:szCs w:val="21"/>
                <w:lang w:val="en-US" w:eastAsia="zh-CN"/>
              </w:rPr>
              <w:t>自拟格式承诺或提供证明材料</w:t>
            </w:r>
            <w:r>
              <w:rPr>
                <w:rFonts w:hint="eastAsia" w:ascii="方正仿宋_GB2312" w:hAnsi="方正仿宋_GB2312" w:eastAsia="方正仿宋_GB2312" w:cs="方正仿宋_GB2312"/>
                <w:color w:val="auto"/>
                <w:kern w:val="0"/>
                <w:szCs w:val="21"/>
                <w:lang w:eastAsia="zh-CN"/>
              </w:rPr>
              <w:t>）</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2E13F12C">
            <w:pPr>
              <w:spacing w:line="360" w:lineRule="auto"/>
              <w:rPr>
                <w:rFonts w:hint="eastAsia" w:ascii="方正仿宋_GB2312" w:hAnsi="方正仿宋_GB2312" w:eastAsia="方正仿宋_GB2312" w:cs="方正仿宋_GB2312"/>
                <w:color w:val="auto"/>
                <w:highlight w:val="yellow"/>
              </w:rPr>
            </w:pPr>
          </w:p>
        </w:tc>
      </w:tr>
      <w:tr w14:paraId="4EF151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95" w:hRule="atLeast"/>
          <w:jc w:val="center"/>
        </w:trPr>
        <w:tc>
          <w:tcPr>
            <w:tcW w:w="1308" w:type="dxa"/>
            <w:tcBorders>
              <w:right w:val="single" w:color="auto" w:sz="4" w:space="0"/>
            </w:tcBorders>
            <w:noWrap w:val="0"/>
            <w:vAlign w:val="center"/>
          </w:tcPr>
          <w:p w14:paraId="731F1D4D">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right w:val="single" w:color="auto" w:sz="4" w:space="0"/>
            </w:tcBorders>
            <w:noWrap w:val="0"/>
            <w:vAlign w:val="center"/>
          </w:tcPr>
          <w:p w14:paraId="77D7C38A">
            <w:pPr>
              <w:spacing w:line="360" w:lineRule="auto"/>
              <w:jc w:val="center"/>
              <w:rPr>
                <w:rFonts w:hint="eastAsia" w:ascii="方正仿宋_GB2312" w:hAnsi="方正仿宋_GB2312" w:eastAsia="方正仿宋_GB2312" w:cs="方正仿宋_GB2312"/>
                <w:color w:val="auto"/>
                <w:kern w:val="0"/>
                <w:szCs w:val="21"/>
                <w:lang w:eastAsia="zh-CN"/>
              </w:rPr>
            </w:pPr>
          </w:p>
        </w:tc>
        <w:tc>
          <w:tcPr>
            <w:tcW w:w="5200" w:type="dxa"/>
            <w:tcBorders>
              <w:top w:val="single" w:color="auto" w:sz="4" w:space="0"/>
              <w:left w:val="single" w:color="auto" w:sz="4" w:space="0"/>
              <w:bottom w:val="single" w:color="auto" w:sz="4" w:space="0"/>
              <w:right w:val="single" w:color="auto" w:sz="4" w:space="0"/>
            </w:tcBorders>
            <w:noWrap w:val="0"/>
            <w:vAlign w:val="center"/>
          </w:tcPr>
          <w:p w14:paraId="0A26767E">
            <w:pPr>
              <w:spacing w:line="360" w:lineRule="auto"/>
              <w:rPr>
                <w:rFonts w:hint="eastAsia" w:ascii="方正仿宋_GB2312" w:hAnsi="方正仿宋_GB2312" w:eastAsia="方正仿宋_GB2312" w:cs="方正仿宋_GB2312"/>
                <w:color w:val="auto"/>
                <w:kern w:val="0"/>
                <w:szCs w:val="21"/>
                <w:lang w:eastAsia="zh-CN"/>
              </w:rPr>
            </w:pP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1761818">
            <w:pPr>
              <w:spacing w:line="360" w:lineRule="auto"/>
              <w:rPr>
                <w:rFonts w:hint="eastAsia" w:ascii="方正仿宋_GB2312" w:hAnsi="方正仿宋_GB2312" w:eastAsia="方正仿宋_GB2312" w:cs="方正仿宋_GB2312"/>
                <w:color w:val="auto"/>
                <w:highlight w:val="yellow"/>
              </w:rPr>
            </w:pPr>
          </w:p>
        </w:tc>
      </w:tr>
      <w:tr w14:paraId="0A1CFE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95" w:hRule="atLeast"/>
          <w:jc w:val="center"/>
        </w:trPr>
        <w:tc>
          <w:tcPr>
            <w:tcW w:w="1308" w:type="dxa"/>
            <w:tcBorders>
              <w:right w:val="single" w:color="auto" w:sz="4" w:space="0"/>
            </w:tcBorders>
            <w:noWrap w:val="0"/>
            <w:vAlign w:val="center"/>
          </w:tcPr>
          <w:p w14:paraId="26DAF1D1">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right w:val="single" w:color="auto" w:sz="4" w:space="0"/>
            </w:tcBorders>
            <w:noWrap w:val="0"/>
            <w:vAlign w:val="center"/>
          </w:tcPr>
          <w:p w14:paraId="1CDC5E52">
            <w:pPr>
              <w:spacing w:line="360" w:lineRule="auto"/>
              <w:jc w:val="center"/>
              <w:rPr>
                <w:rFonts w:hint="eastAsia" w:ascii="方正仿宋_GB2312" w:hAnsi="方正仿宋_GB2312" w:eastAsia="方正仿宋_GB2312" w:cs="方正仿宋_GB2312"/>
                <w:color w:val="auto"/>
                <w:kern w:val="0"/>
                <w:szCs w:val="21"/>
                <w:lang w:eastAsia="zh-CN"/>
              </w:rPr>
            </w:pPr>
          </w:p>
        </w:tc>
        <w:tc>
          <w:tcPr>
            <w:tcW w:w="5200" w:type="dxa"/>
            <w:tcBorders>
              <w:top w:val="single" w:color="auto" w:sz="4" w:space="0"/>
              <w:left w:val="single" w:color="auto" w:sz="4" w:space="0"/>
              <w:bottom w:val="single" w:color="auto" w:sz="4" w:space="0"/>
              <w:right w:val="single" w:color="auto" w:sz="4" w:space="0"/>
            </w:tcBorders>
            <w:noWrap w:val="0"/>
            <w:vAlign w:val="center"/>
          </w:tcPr>
          <w:p w14:paraId="3CE12BDD">
            <w:pPr>
              <w:spacing w:line="360" w:lineRule="auto"/>
              <w:rPr>
                <w:rFonts w:hint="eastAsia" w:ascii="方正仿宋_GB2312" w:hAnsi="方正仿宋_GB2312" w:eastAsia="方正仿宋_GB2312" w:cs="方正仿宋_GB2312"/>
                <w:color w:val="auto"/>
                <w:kern w:val="0"/>
                <w:szCs w:val="21"/>
                <w:lang w:eastAsia="zh-CN"/>
              </w:rPr>
            </w:pPr>
          </w:p>
        </w:tc>
        <w:tc>
          <w:tcPr>
            <w:tcW w:w="1061" w:type="dxa"/>
            <w:tcBorders>
              <w:top w:val="single" w:color="auto" w:sz="4" w:space="0"/>
              <w:left w:val="single" w:color="auto" w:sz="4" w:space="0"/>
              <w:bottom w:val="single" w:color="auto" w:sz="4" w:space="0"/>
              <w:right w:val="single" w:color="auto" w:sz="4" w:space="0"/>
            </w:tcBorders>
            <w:noWrap w:val="0"/>
            <w:vAlign w:val="center"/>
          </w:tcPr>
          <w:p w14:paraId="1D312B81">
            <w:pPr>
              <w:spacing w:line="360" w:lineRule="auto"/>
              <w:rPr>
                <w:rFonts w:hint="eastAsia" w:ascii="方正仿宋_GB2312" w:hAnsi="方正仿宋_GB2312" w:eastAsia="方正仿宋_GB2312" w:cs="方正仿宋_GB2312"/>
                <w:color w:val="auto"/>
                <w:highlight w:val="yellow"/>
              </w:rPr>
            </w:pPr>
          </w:p>
        </w:tc>
      </w:tr>
      <w:tr w14:paraId="60022C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restart"/>
            <w:tcBorders>
              <w:top w:val="single" w:color="auto" w:sz="4" w:space="0"/>
              <w:right w:val="single" w:color="auto" w:sz="4" w:space="0"/>
            </w:tcBorders>
            <w:noWrap w:val="0"/>
            <w:vAlign w:val="center"/>
          </w:tcPr>
          <w:p w14:paraId="1F159EFE">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right w:val="single" w:color="auto" w:sz="4" w:space="0"/>
            </w:tcBorders>
            <w:noWrap w:val="0"/>
            <w:vAlign w:val="center"/>
          </w:tcPr>
          <w:p w14:paraId="06C27A39">
            <w:pPr>
              <w:spacing w:line="360" w:lineRule="auto"/>
              <w:jc w:val="center"/>
              <w:rPr>
                <w:rFonts w:hint="eastAsia" w:ascii="方正仿宋_GB2312" w:hAnsi="方正仿宋_GB2312" w:eastAsia="方正仿宋_GB2312" w:cs="方正仿宋_GB2312"/>
                <w:color w:val="auto"/>
                <w:highlight w:val="yellow"/>
              </w:rPr>
            </w:pPr>
          </w:p>
        </w:tc>
        <w:tc>
          <w:tcPr>
            <w:tcW w:w="5200" w:type="dxa"/>
            <w:tcBorders>
              <w:top w:val="single" w:color="auto" w:sz="4" w:space="0"/>
              <w:left w:val="single" w:color="auto" w:sz="4" w:space="0"/>
              <w:bottom w:val="single" w:color="auto" w:sz="4" w:space="0"/>
              <w:right w:val="single" w:color="auto" w:sz="4" w:space="0"/>
            </w:tcBorders>
            <w:noWrap w:val="0"/>
            <w:vAlign w:val="center"/>
          </w:tcPr>
          <w:p w14:paraId="461E553E">
            <w:pPr>
              <w:spacing w:line="360" w:lineRule="auto"/>
              <w:rPr>
                <w:rFonts w:hint="eastAsia" w:ascii="方正仿宋_GB2312" w:hAnsi="方正仿宋_GB2312" w:eastAsia="方正仿宋_GB2312" w:cs="方正仿宋_GB2312"/>
                <w:color w:val="auto"/>
                <w:highlight w:val="yellow"/>
              </w:rPr>
            </w:pPr>
          </w:p>
        </w:tc>
        <w:tc>
          <w:tcPr>
            <w:tcW w:w="1061" w:type="dxa"/>
            <w:tcBorders>
              <w:top w:val="single" w:color="auto" w:sz="4" w:space="0"/>
              <w:left w:val="single" w:color="auto" w:sz="4" w:space="0"/>
              <w:bottom w:val="single" w:color="auto" w:sz="4" w:space="0"/>
              <w:right w:val="single" w:color="auto" w:sz="4" w:space="0"/>
            </w:tcBorders>
            <w:noWrap w:val="0"/>
            <w:vAlign w:val="center"/>
          </w:tcPr>
          <w:p w14:paraId="69C48384">
            <w:pPr>
              <w:spacing w:line="360" w:lineRule="auto"/>
              <w:rPr>
                <w:rFonts w:hint="eastAsia" w:ascii="方正仿宋_GB2312" w:hAnsi="方正仿宋_GB2312" w:eastAsia="方正仿宋_GB2312" w:cs="方正仿宋_GB2312"/>
                <w:color w:val="auto"/>
                <w:highlight w:val="yellow"/>
              </w:rPr>
            </w:pPr>
          </w:p>
        </w:tc>
      </w:tr>
      <w:tr w14:paraId="0905B9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continue"/>
            <w:tcBorders>
              <w:right w:val="single" w:color="auto" w:sz="4" w:space="0"/>
            </w:tcBorders>
            <w:noWrap w:val="0"/>
            <w:vAlign w:val="center"/>
          </w:tcPr>
          <w:p w14:paraId="1CCE36ED">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right w:val="single" w:color="auto" w:sz="4" w:space="0"/>
            </w:tcBorders>
            <w:noWrap w:val="0"/>
            <w:vAlign w:val="center"/>
          </w:tcPr>
          <w:p w14:paraId="1FB4637B">
            <w:pPr>
              <w:pStyle w:val="50"/>
              <w:spacing w:line="360" w:lineRule="auto"/>
              <w:jc w:val="center"/>
              <w:rPr>
                <w:rFonts w:hint="eastAsia" w:ascii="方正仿宋_GB2312" w:hAnsi="方正仿宋_GB2312" w:eastAsia="方正仿宋_GB2312" w:cs="方正仿宋_GB2312"/>
                <w:color w:val="auto"/>
                <w:kern w:val="2"/>
                <w:sz w:val="21"/>
                <w:lang w:val="en-US" w:eastAsia="zh-CN"/>
              </w:rPr>
            </w:pPr>
            <w:r>
              <w:rPr>
                <w:rFonts w:hint="eastAsia" w:ascii="方正仿宋_GB2312" w:hAnsi="方正仿宋_GB2312" w:eastAsia="方正仿宋_GB2312" w:cs="方正仿宋_GB2312"/>
                <w:color w:val="auto"/>
                <w:kern w:val="2"/>
                <w:sz w:val="21"/>
                <w:lang w:val="en-US" w:eastAsia="zh-CN"/>
              </w:rPr>
              <w:t>参加政府采购活动前三年内，在经营活动中没有重大违法记录</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69715971">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参加政府采购活动前 3 年内在经营活动中没有重大违法记录的书面声明</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4221A476">
            <w:pPr>
              <w:spacing w:line="360" w:lineRule="auto"/>
              <w:rPr>
                <w:rFonts w:hint="eastAsia" w:ascii="方正仿宋_GB2312" w:hAnsi="方正仿宋_GB2312" w:eastAsia="方正仿宋_GB2312" w:cs="方正仿宋_GB2312"/>
                <w:color w:val="auto"/>
                <w:szCs w:val="21"/>
                <w:highlight w:val="yellow"/>
              </w:rPr>
            </w:pPr>
          </w:p>
        </w:tc>
      </w:tr>
      <w:tr w14:paraId="5AEDD7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79" w:hRule="atLeast"/>
          <w:jc w:val="center"/>
        </w:trPr>
        <w:tc>
          <w:tcPr>
            <w:tcW w:w="1308" w:type="dxa"/>
            <w:vMerge w:val="continue"/>
            <w:tcBorders>
              <w:right w:val="single" w:color="auto" w:sz="4" w:space="0"/>
            </w:tcBorders>
            <w:noWrap w:val="0"/>
            <w:vAlign w:val="center"/>
          </w:tcPr>
          <w:p w14:paraId="21945FAA">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bottom w:val="single" w:color="auto" w:sz="4" w:space="0"/>
              <w:right w:val="single" w:color="auto" w:sz="4" w:space="0"/>
            </w:tcBorders>
            <w:noWrap w:val="0"/>
            <w:vAlign w:val="center"/>
          </w:tcPr>
          <w:p w14:paraId="7F07AEC8">
            <w:pPr>
              <w:spacing w:line="360" w:lineRule="auto"/>
              <w:jc w:val="center"/>
              <w:rPr>
                <w:rFonts w:hint="eastAsia" w:ascii="方正仿宋_GB2312" w:hAnsi="方正仿宋_GB2312" w:eastAsia="方正仿宋_GB2312" w:cs="方正仿宋_GB2312"/>
                <w:color w:val="auto"/>
                <w:szCs w:val="21"/>
                <w:lang w:eastAsia="zh-CN"/>
              </w:rPr>
            </w:pPr>
            <w:r>
              <w:rPr>
                <w:rFonts w:hint="eastAsia" w:ascii="方正仿宋_GB2312" w:hAnsi="方正仿宋_GB2312" w:eastAsia="方正仿宋_GB2312" w:cs="方正仿宋_GB2312"/>
                <w:color w:val="auto"/>
                <w:kern w:val="0"/>
                <w:szCs w:val="21"/>
                <w:lang w:eastAsia="zh-CN"/>
              </w:rPr>
              <w:t>供应商</w:t>
            </w:r>
            <w:r>
              <w:rPr>
                <w:rFonts w:hint="eastAsia" w:ascii="方正仿宋_GB2312" w:hAnsi="方正仿宋_GB2312" w:eastAsia="方正仿宋_GB2312" w:cs="方正仿宋_GB2312"/>
                <w:color w:val="auto"/>
                <w:kern w:val="0"/>
                <w:szCs w:val="21"/>
              </w:rPr>
              <w:t>不存在第二章投标须知3.2项（1）-（3）规定</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0FFDAA4B">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（l）与采购人、代理机构存在利害关系。</w:t>
            </w:r>
          </w:p>
          <w:p w14:paraId="7857752C">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（2）单位负责人为同一人或者存在直接控股、管理关系的不同</w:t>
            </w:r>
            <w:r>
              <w:rPr>
                <w:rFonts w:hint="eastAsia" w:ascii="方正仿宋_GB2312" w:hAnsi="方正仿宋_GB2312" w:eastAsia="方正仿宋_GB2312" w:cs="方正仿宋_GB2312"/>
                <w:color w:val="auto"/>
                <w:szCs w:val="21"/>
                <w:lang w:eastAsia="zh-CN"/>
              </w:rPr>
              <w:t>供应商</w:t>
            </w:r>
            <w:r>
              <w:rPr>
                <w:rFonts w:hint="eastAsia" w:ascii="方正仿宋_GB2312" w:hAnsi="方正仿宋_GB2312" w:eastAsia="方正仿宋_GB2312" w:cs="方正仿宋_GB2312"/>
                <w:color w:val="auto"/>
                <w:szCs w:val="21"/>
              </w:rPr>
              <w:t>，不得参加同一合同项下的政府采购活动。</w:t>
            </w:r>
          </w:p>
          <w:p w14:paraId="6F7FE0B5">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（3）除单一来源采购项目外，为采购项目提供整体设</w:t>
            </w:r>
          </w:p>
          <w:p w14:paraId="34E76B5F">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计、规范编制或者项目管理、监理、检测等服务的</w:t>
            </w:r>
            <w:r>
              <w:rPr>
                <w:rFonts w:hint="eastAsia" w:ascii="方正仿宋_GB2312" w:hAnsi="方正仿宋_GB2312" w:eastAsia="方正仿宋_GB2312" w:cs="方正仿宋_GB2312"/>
                <w:color w:val="auto"/>
                <w:szCs w:val="21"/>
                <w:lang w:eastAsia="zh-CN"/>
              </w:rPr>
              <w:t>供应商</w:t>
            </w:r>
            <w:r>
              <w:rPr>
                <w:rFonts w:hint="eastAsia" w:ascii="方正仿宋_GB2312" w:hAnsi="方正仿宋_GB2312" w:eastAsia="方正仿宋_GB2312" w:cs="方正仿宋_GB2312"/>
                <w:color w:val="auto"/>
                <w:szCs w:val="21"/>
              </w:rPr>
              <w:t>，不得再参加该采购项目的其他采购活动。</w:t>
            </w:r>
          </w:p>
          <w:p w14:paraId="46794C93">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kern w:val="0"/>
                <w:szCs w:val="21"/>
                <w:lang w:eastAsia="zh-CN"/>
              </w:rPr>
              <w:t>（</w:t>
            </w:r>
            <w:r>
              <w:rPr>
                <w:rFonts w:hint="eastAsia" w:ascii="方正仿宋_GB2312" w:hAnsi="方正仿宋_GB2312" w:eastAsia="方正仿宋_GB2312" w:cs="方正仿宋_GB2312"/>
                <w:color w:val="auto"/>
                <w:kern w:val="0"/>
                <w:szCs w:val="21"/>
                <w:lang w:val="en-US" w:eastAsia="zh-CN"/>
              </w:rPr>
              <w:t>自拟格式承诺或提供证明材料</w:t>
            </w:r>
            <w:r>
              <w:rPr>
                <w:rFonts w:hint="eastAsia" w:ascii="方正仿宋_GB2312" w:hAnsi="方正仿宋_GB2312" w:eastAsia="方正仿宋_GB2312" w:cs="方正仿宋_GB2312"/>
                <w:color w:val="auto"/>
                <w:kern w:val="0"/>
                <w:szCs w:val="21"/>
                <w:lang w:eastAsia="zh-CN"/>
              </w:rPr>
              <w:t>）</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53FA1D35">
            <w:pPr>
              <w:spacing w:line="360" w:lineRule="auto"/>
              <w:rPr>
                <w:rFonts w:hint="eastAsia" w:ascii="方正仿宋_GB2312" w:hAnsi="方正仿宋_GB2312" w:eastAsia="方正仿宋_GB2312" w:cs="方正仿宋_GB2312"/>
                <w:color w:val="auto"/>
                <w:szCs w:val="21"/>
                <w:highlight w:val="yellow"/>
              </w:rPr>
            </w:pPr>
          </w:p>
        </w:tc>
      </w:tr>
      <w:tr w14:paraId="213CB9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1308" w:type="dxa"/>
            <w:vMerge w:val="continue"/>
            <w:tcBorders>
              <w:right w:val="single" w:color="auto" w:sz="4" w:space="0"/>
            </w:tcBorders>
            <w:noWrap w:val="0"/>
            <w:vAlign w:val="center"/>
          </w:tcPr>
          <w:p w14:paraId="2B4A01E1">
            <w:pPr>
              <w:spacing w:line="360" w:lineRule="auto"/>
              <w:jc w:val="center"/>
              <w:rPr>
                <w:rFonts w:hint="eastAsia" w:ascii="方正仿宋_GB2312" w:hAnsi="方正仿宋_GB2312" w:eastAsia="方正仿宋_GB2312" w:cs="方正仿宋_GB2312"/>
                <w:color w:val="auto"/>
                <w:szCs w:val="21"/>
                <w:highlight w:val="yellow"/>
              </w:rPr>
            </w:pPr>
          </w:p>
        </w:tc>
        <w:tc>
          <w:tcPr>
            <w:tcW w:w="1790" w:type="dxa"/>
            <w:tcBorders>
              <w:top w:val="single" w:color="auto" w:sz="4" w:space="0"/>
              <w:bottom w:val="single" w:color="auto" w:sz="4" w:space="0"/>
              <w:right w:val="single" w:color="auto" w:sz="4" w:space="0"/>
            </w:tcBorders>
            <w:noWrap w:val="0"/>
            <w:vAlign w:val="center"/>
          </w:tcPr>
          <w:p w14:paraId="36895295">
            <w:pPr>
              <w:spacing w:line="360" w:lineRule="auto"/>
              <w:jc w:val="center"/>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法律、行政法规规定的其他条件</w:t>
            </w:r>
          </w:p>
        </w:tc>
        <w:tc>
          <w:tcPr>
            <w:tcW w:w="5200" w:type="dxa"/>
            <w:tcBorders>
              <w:top w:val="single" w:color="auto" w:sz="4" w:space="0"/>
              <w:left w:val="single" w:color="auto" w:sz="4" w:space="0"/>
              <w:bottom w:val="single" w:color="auto" w:sz="4" w:space="0"/>
              <w:right w:val="single" w:color="auto" w:sz="4" w:space="0"/>
            </w:tcBorders>
            <w:noWrap w:val="0"/>
            <w:vAlign w:val="center"/>
          </w:tcPr>
          <w:p w14:paraId="21231F05">
            <w:pPr>
              <w:spacing w:line="360" w:lineRule="auto"/>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具备法律、行政法规规定的其他条件</w:t>
            </w:r>
            <w:r>
              <w:rPr>
                <w:rFonts w:hint="eastAsia" w:ascii="方正仿宋_GB2312" w:hAnsi="方正仿宋_GB2312" w:eastAsia="方正仿宋_GB2312" w:cs="方正仿宋_GB2312"/>
                <w:color w:val="auto"/>
                <w:kern w:val="0"/>
                <w:szCs w:val="21"/>
                <w:lang w:eastAsia="zh-CN"/>
              </w:rPr>
              <w:t>（</w:t>
            </w:r>
            <w:r>
              <w:rPr>
                <w:rFonts w:hint="eastAsia" w:ascii="方正仿宋_GB2312" w:hAnsi="方正仿宋_GB2312" w:eastAsia="方正仿宋_GB2312" w:cs="方正仿宋_GB2312"/>
                <w:color w:val="auto"/>
                <w:kern w:val="0"/>
                <w:szCs w:val="21"/>
                <w:lang w:val="en-US" w:eastAsia="zh-CN"/>
              </w:rPr>
              <w:t>自拟格式承诺或提供证明材料</w:t>
            </w:r>
            <w:r>
              <w:rPr>
                <w:rFonts w:hint="eastAsia" w:ascii="方正仿宋_GB2312" w:hAnsi="方正仿宋_GB2312" w:eastAsia="方正仿宋_GB2312" w:cs="方正仿宋_GB2312"/>
                <w:color w:val="auto"/>
                <w:kern w:val="0"/>
                <w:szCs w:val="21"/>
                <w:lang w:eastAsia="zh-CN"/>
              </w:rPr>
              <w:t>）</w:t>
            </w:r>
          </w:p>
        </w:tc>
        <w:tc>
          <w:tcPr>
            <w:tcW w:w="1061" w:type="dxa"/>
            <w:tcBorders>
              <w:top w:val="single" w:color="auto" w:sz="4" w:space="0"/>
              <w:left w:val="single" w:color="auto" w:sz="4" w:space="0"/>
              <w:bottom w:val="single" w:color="auto" w:sz="4" w:space="0"/>
              <w:right w:val="single" w:color="auto" w:sz="4" w:space="0"/>
            </w:tcBorders>
            <w:noWrap w:val="0"/>
            <w:vAlign w:val="center"/>
          </w:tcPr>
          <w:p w14:paraId="42C35BDB">
            <w:pPr>
              <w:spacing w:line="360" w:lineRule="auto"/>
              <w:rPr>
                <w:rFonts w:hint="eastAsia" w:ascii="方正仿宋_GB2312" w:hAnsi="方正仿宋_GB2312" w:eastAsia="方正仿宋_GB2312" w:cs="方正仿宋_GB2312"/>
                <w:color w:val="auto"/>
                <w:szCs w:val="21"/>
                <w:highlight w:val="yellow"/>
              </w:rPr>
            </w:pPr>
          </w:p>
        </w:tc>
      </w:tr>
    </w:tbl>
    <w:p w14:paraId="7155E3F2">
      <w:pPr>
        <w:keepNext/>
        <w:keepLines w:val="0"/>
        <w:pageBreakBefore w:val="0"/>
        <w:widowControl w:val="0"/>
        <w:kinsoku w:val="0"/>
        <w:wordWrap/>
        <w:overflowPunct/>
        <w:topLinePunct w:val="0"/>
        <w:autoSpaceDE w:val="0"/>
        <w:autoSpaceDN w:val="0"/>
        <w:bidi w:val="0"/>
        <w:adjustRightInd w:val="0"/>
        <w:snapToGrid w:val="0"/>
        <w:spacing w:before="47" w:line="219" w:lineRule="auto"/>
        <w:ind w:left="757"/>
        <w:textAlignment w:val="baseline"/>
        <w:rPr>
          <w:rFonts w:hint="eastAsia" w:ascii="宋体" w:hAnsi="宋体" w:eastAsia="宋体" w:cs="宋体"/>
          <w:color w:val="auto"/>
          <w:spacing w:val="-1"/>
          <w:sz w:val="24"/>
          <w:szCs w:val="24"/>
          <w:lang w:eastAsia="zh-CN"/>
          <w14:textOutline w14:w="4356" w14:cap="sq" w14:cmpd="sng" w14:algn="ctr">
            <w14:solidFill>
              <w14:srgbClr w14:val="000000"/>
            </w14:solidFill>
            <w14:prstDash w14:val="solid"/>
            <w14:bevel/>
          </w14:textOutline>
        </w:rPr>
      </w:pPr>
    </w:p>
    <w:p w14:paraId="70A5A599">
      <w:pPr>
        <w:bidi w:val="0"/>
        <w:rPr>
          <w:rFonts w:hint="eastAsia"/>
          <w:color w:val="auto"/>
          <w:lang w:eastAsia="zh-CN"/>
        </w:rPr>
      </w:pPr>
    </w:p>
    <w:p w14:paraId="65651671">
      <w:pPr>
        <w:keepNext w:val="0"/>
        <w:keepLines w:val="0"/>
        <w:pageBreakBefore w:val="0"/>
        <w:widowControl w:val="0"/>
        <w:kinsoku w:val="0"/>
        <w:wordWrap/>
        <w:overflowPunct/>
        <w:topLinePunct w:val="0"/>
        <w:autoSpaceDE w:val="0"/>
        <w:autoSpaceDN w:val="0"/>
        <w:bidi w:val="0"/>
        <w:adjustRightInd w:val="0"/>
        <w:snapToGrid w:val="0"/>
        <w:jc w:val="left"/>
        <w:textAlignment w:val="baseline"/>
        <w:rPr>
          <w:rFonts w:hint="eastAsia"/>
          <w:color w:val="auto"/>
          <w:lang w:eastAsia="zh-CN"/>
        </w:rPr>
      </w:pPr>
    </w:p>
    <w:p w14:paraId="20F5AD70">
      <w:pPr>
        <w:keepNext w:val="0"/>
        <w:keepLines/>
        <w:pageBreakBefore w:val="0"/>
        <w:widowControl w:val="0"/>
        <w:kinsoku w:val="0"/>
        <w:wordWrap/>
        <w:overflowPunct/>
        <w:topLinePunct w:val="0"/>
        <w:autoSpaceDE w:val="0"/>
        <w:autoSpaceDN w:val="0"/>
        <w:bidi w:val="0"/>
        <w:adjustRightInd w:val="0"/>
        <w:snapToGrid w:val="0"/>
        <w:jc w:val="left"/>
        <w:textAlignment w:val="baseline"/>
        <w:rPr>
          <w:rFonts w:hint="eastAsia"/>
          <w:color w:val="auto"/>
          <w:lang w:eastAsia="zh-CN"/>
        </w:rPr>
      </w:pPr>
    </w:p>
    <w:p w14:paraId="3279316C">
      <w:pPr>
        <w:spacing w:beforeAutospacing="0" w:line="240" w:lineRule="auto"/>
        <w:ind w:left="0"/>
        <w:rPr>
          <w:rFonts w:hint="eastAsia" w:ascii="宋体" w:hAnsi="宋体" w:eastAsia="宋体" w:cs="宋体"/>
          <w:color w:val="auto"/>
          <w:spacing w:val="-1"/>
          <w:sz w:val="24"/>
          <w:szCs w:val="24"/>
          <w:lang w:eastAsia="zh-CN"/>
          <w14:textOutline w14:w="4356" w14:cap="sq" w14:cmpd="sng" w14:algn="ctr">
            <w14:solidFill>
              <w14:srgbClr w14:val="000000"/>
            </w14:solidFill>
            <w14:prstDash w14:val="solid"/>
            <w14:bevel/>
          </w14:textOutline>
        </w:rPr>
      </w:pPr>
    </w:p>
    <w:p w14:paraId="1189B5F6">
      <w:pPr>
        <w:spacing w:before="47" w:line="219" w:lineRule="auto"/>
        <w:ind w:left="757"/>
        <w:rPr>
          <w:rFonts w:hint="eastAsia" w:ascii="宋体" w:hAnsi="宋体" w:eastAsia="宋体" w:cs="宋体"/>
          <w:color w:val="auto"/>
          <w:spacing w:val="-1"/>
          <w:sz w:val="24"/>
          <w:szCs w:val="24"/>
          <w:lang w:eastAsia="zh-CN"/>
          <w14:textOutline w14:w="4356" w14:cap="sq" w14:cmpd="sng" w14:algn="ctr">
            <w14:solidFill>
              <w14:srgbClr w14:val="000000"/>
            </w14:solidFill>
            <w14:prstDash w14:val="solid"/>
            <w14:bevel/>
          </w14:textOutline>
        </w:rPr>
      </w:pPr>
    </w:p>
    <w:p w14:paraId="0D04CCBE">
      <w:pPr>
        <w:pStyle w:val="8"/>
        <w:spacing w:line="14" w:lineRule="auto"/>
        <w:rPr>
          <w:color w:val="auto"/>
          <w:sz w:val="2"/>
          <w:szCs w:val="2"/>
          <w:lang w:eastAsia="zh-CN"/>
        </w:rPr>
      </w:pPr>
    </w:p>
    <w:p w14:paraId="1F7BA69C">
      <w:pPr>
        <w:pStyle w:val="8"/>
        <w:spacing w:line="14" w:lineRule="auto"/>
        <w:rPr>
          <w:color w:val="auto"/>
          <w:sz w:val="2"/>
          <w:szCs w:val="2"/>
          <w:lang w:eastAsia="zh-CN"/>
        </w:rPr>
      </w:pPr>
    </w:p>
    <w:p w14:paraId="01854AAE">
      <w:pPr>
        <w:pStyle w:val="8"/>
        <w:spacing w:line="14" w:lineRule="auto"/>
        <w:rPr>
          <w:rFonts w:hint="eastAsia" w:ascii="宋体" w:hAnsi="宋体" w:eastAsia="宋体" w:cs="宋体"/>
          <w:color w:val="auto"/>
          <w:spacing w:val="-8"/>
          <w:sz w:val="24"/>
          <w:szCs w:val="24"/>
          <w:lang w:eastAsia="zh-CN"/>
          <w14:textOutline w14:w="4356" w14:cap="sq" w14:cmpd="sng" w14:algn="ctr">
            <w14:solidFill>
              <w14:srgbClr w14:val="000000"/>
            </w14:solidFill>
            <w14:prstDash w14:val="solid"/>
            <w14:bevel/>
          </w14:textOutline>
        </w:rPr>
      </w:pPr>
      <w:r>
        <w:rPr>
          <w:color w:val="auto"/>
          <w:sz w:val="2"/>
          <w:szCs w:val="2"/>
          <w:lang w:eastAsia="zh-CN"/>
        </w:rPr>
        <w:br w:type="column"/>
      </w:r>
      <w:r>
        <w:rPr>
          <w:rFonts w:hint="eastAsia" w:ascii="宋体" w:hAnsi="宋体" w:eastAsia="宋体" w:cs="宋体"/>
          <w:color w:val="auto"/>
          <w:spacing w:val="-8"/>
          <w:sz w:val="24"/>
          <w:szCs w:val="24"/>
          <w:lang w:eastAsia="zh-CN"/>
          <w14:textOutline w14:w="4356" w14:cap="sq" w14:cmpd="sng" w14:algn="ctr">
            <w14:solidFill>
              <w14:srgbClr w14:val="000000"/>
            </w14:solidFill>
            <w14:prstDash w14:val="solid"/>
            <w14:bevel/>
          </w14:textOutline>
        </w:rPr>
        <w:t xml:space="preserve"> </w:t>
      </w:r>
    </w:p>
    <w:tbl>
      <w:tblPr>
        <w:tblStyle w:val="20"/>
        <w:tblpPr w:leftFromText="180" w:rightFromText="180" w:vertAnchor="text" w:horzAnchor="page" w:tblpX="1591" w:tblpY="366"/>
        <w:tblOverlap w:val="never"/>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4"/>
        <w:gridCol w:w="1768"/>
        <w:gridCol w:w="5588"/>
        <w:gridCol w:w="846"/>
      </w:tblGrid>
      <w:tr w14:paraId="7E1742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tcBorders>
              <w:top w:val="single" w:color="auto" w:sz="4" w:space="0"/>
              <w:bottom w:val="single" w:color="auto" w:sz="4" w:space="0"/>
              <w:right w:val="single" w:color="auto" w:sz="4" w:space="0"/>
            </w:tcBorders>
            <w:noWrap w:val="0"/>
            <w:vAlign w:val="center"/>
          </w:tcPr>
          <w:p w14:paraId="740A2CB9">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b/>
                <w:color w:val="auto"/>
                <w:szCs w:val="21"/>
              </w:rPr>
            </w:pPr>
            <w:r>
              <w:rPr>
                <w:rFonts w:hint="eastAsia" w:ascii="方正仿宋_GB2312" w:hAnsi="方正仿宋_GB2312" w:eastAsia="方正仿宋_GB2312" w:cs="方正仿宋_GB2312"/>
                <w:b/>
                <w:color w:val="auto"/>
                <w:szCs w:val="21"/>
              </w:rPr>
              <w:t>项目</w:t>
            </w:r>
          </w:p>
        </w:tc>
        <w:tc>
          <w:tcPr>
            <w:tcW w:w="1768" w:type="dxa"/>
            <w:tcBorders>
              <w:top w:val="single" w:color="auto" w:sz="4" w:space="0"/>
              <w:bottom w:val="single" w:color="auto" w:sz="4" w:space="0"/>
              <w:right w:val="single" w:color="auto" w:sz="4" w:space="0"/>
            </w:tcBorders>
            <w:noWrap w:val="0"/>
            <w:vAlign w:val="center"/>
          </w:tcPr>
          <w:p w14:paraId="0EB26F48">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b/>
                <w:color w:val="auto"/>
                <w:szCs w:val="21"/>
              </w:rPr>
            </w:pPr>
            <w:r>
              <w:rPr>
                <w:rFonts w:hint="eastAsia" w:ascii="方正仿宋_GB2312" w:hAnsi="方正仿宋_GB2312" w:eastAsia="方正仿宋_GB2312" w:cs="方正仿宋_GB2312"/>
                <w:b/>
                <w:color w:val="auto"/>
                <w:szCs w:val="21"/>
              </w:rPr>
              <w:t>审查要求</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0FC46FB9">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b/>
                <w:color w:val="auto"/>
                <w:szCs w:val="21"/>
              </w:rPr>
            </w:pPr>
            <w:r>
              <w:rPr>
                <w:rFonts w:hint="eastAsia" w:ascii="方正仿宋_GB2312" w:hAnsi="方正仿宋_GB2312" w:eastAsia="方正仿宋_GB2312" w:cs="方正仿宋_GB2312"/>
                <w:b/>
                <w:color w:val="auto"/>
                <w:szCs w:val="21"/>
              </w:rPr>
              <w:t>要求说明</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06E87CA0">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b/>
                <w:color w:val="auto"/>
                <w:szCs w:val="21"/>
              </w:rPr>
            </w:pPr>
            <w:r>
              <w:rPr>
                <w:rFonts w:hint="eastAsia" w:ascii="方正仿宋_GB2312" w:hAnsi="方正仿宋_GB2312" w:eastAsia="方正仿宋_GB2312" w:cs="方正仿宋_GB2312"/>
                <w:b/>
                <w:color w:val="auto"/>
                <w:szCs w:val="21"/>
              </w:rPr>
              <w:t>是否通过</w:t>
            </w:r>
          </w:p>
        </w:tc>
      </w:tr>
      <w:tr w14:paraId="37C211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tcBorders>
              <w:top w:val="single" w:color="auto" w:sz="4" w:space="0"/>
              <w:bottom w:val="single" w:color="auto" w:sz="4" w:space="0"/>
              <w:right w:val="single" w:color="auto" w:sz="4" w:space="0"/>
            </w:tcBorders>
            <w:noWrap w:val="0"/>
            <w:vAlign w:val="center"/>
          </w:tcPr>
          <w:p w14:paraId="50DA6895">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szCs w:val="21"/>
              </w:rPr>
            </w:pPr>
          </w:p>
        </w:tc>
        <w:tc>
          <w:tcPr>
            <w:tcW w:w="1768" w:type="dxa"/>
            <w:tcBorders>
              <w:top w:val="single" w:color="auto" w:sz="4" w:space="0"/>
              <w:right w:val="single" w:color="auto" w:sz="4" w:space="0"/>
            </w:tcBorders>
            <w:noWrap w:val="0"/>
            <w:vAlign w:val="center"/>
          </w:tcPr>
          <w:p w14:paraId="343664EE">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法律、行政法规规定的其他条件</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3EF4ACCD">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具备法律、行政法规规定的其他条件</w:t>
            </w:r>
            <w:r>
              <w:rPr>
                <w:rFonts w:hint="eastAsia" w:ascii="方正仿宋_GB2312" w:hAnsi="方正仿宋_GB2312" w:eastAsia="方正仿宋_GB2312" w:cs="方正仿宋_GB2312"/>
                <w:color w:val="auto"/>
                <w:kern w:val="0"/>
                <w:szCs w:val="21"/>
                <w:lang w:eastAsia="zh-CN"/>
              </w:rPr>
              <w:t>（</w:t>
            </w:r>
            <w:r>
              <w:rPr>
                <w:rFonts w:hint="eastAsia" w:ascii="方正仿宋_GB2312" w:hAnsi="方正仿宋_GB2312" w:eastAsia="方正仿宋_GB2312" w:cs="方正仿宋_GB2312"/>
                <w:color w:val="auto"/>
                <w:kern w:val="0"/>
                <w:szCs w:val="21"/>
                <w:lang w:val="en-US" w:eastAsia="zh-CN"/>
              </w:rPr>
              <w:t>自拟格式承诺或提供证明材料</w:t>
            </w:r>
            <w:r>
              <w:rPr>
                <w:rFonts w:hint="eastAsia" w:ascii="方正仿宋_GB2312" w:hAnsi="方正仿宋_GB2312" w:eastAsia="方正仿宋_GB2312" w:cs="方正仿宋_GB2312"/>
                <w:color w:val="auto"/>
                <w:kern w:val="0"/>
                <w:szCs w:val="21"/>
                <w:lang w:eastAsia="zh-CN"/>
              </w:rPr>
              <w:t>）</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4FDA973C">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szCs w:val="21"/>
                <w:highlight w:val="yellow"/>
              </w:rPr>
            </w:pPr>
          </w:p>
        </w:tc>
      </w:tr>
      <w:tr w14:paraId="22C188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restart"/>
            <w:tcBorders>
              <w:top w:val="single" w:color="auto" w:sz="4" w:space="0"/>
              <w:right w:val="single" w:color="auto" w:sz="4" w:space="0"/>
            </w:tcBorders>
            <w:noWrap w:val="0"/>
            <w:vAlign w:val="center"/>
          </w:tcPr>
          <w:p w14:paraId="1B250AE0">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szCs w:val="21"/>
                <w:highlight w:val="yellow"/>
              </w:rPr>
            </w:pPr>
            <w:r>
              <w:rPr>
                <w:rFonts w:hint="eastAsia" w:ascii="方正仿宋_GB2312" w:hAnsi="方正仿宋_GB2312" w:eastAsia="方正仿宋_GB2312" w:cs="方正仿宋_GB2312"/>
                <w:color w:val="auto"/>
                <w:szCs w:val="21"/>
              </w:rPr>
              <w:t>符合性检查</w:t>
            </w:r>
          </w:p>
        </w:tc>
        <w:tc>
          <w:tcPr>
            <w:tcW w:w="1768" w:type="dxa"/>
            <w:tcBorders>
              <w:top w:val="single" w:color="auto" w:sz="4" w:space="0"/>
              <w:bottom w:val="single" w:color="auto" w:sz="4" w:space="0"/>
              <w:right w:val="single" w:color="auto" w:sz="4" w:space="0"/>
            </w:tcBorders>
            <w:noWrap w:val="0"/>
            <w:vAlign w:val="center"/>
          </w:tcPr>
          <w:p w14:paraId="31C08ED7">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lang w:eastAsia="zh-CN"/>
              </w:rPr>
              <w:t>供应商</w:t>
            </w:r>
            <w:r>
              <w:rPr>
                <w:rFonts w:hint="eastAsia" w:ascii="方正仿宋_GB2312" w:hAnsi="方正仿宋_GB2312" w:eastAsia="方正仿宋_GB2312" w:cs="方正仿宋_GB2312"/>
                <w:color w:val="auto"/>
              </w:rPr>
              <w:t>名称</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283C33FA">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rPr>
              <w:t>是否与营业执照、资质证书一致</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68F74207">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highlight w:val="yellow"/>
              </w:rPr>
            </w:pPr>
          </w:p>
        </w:tc>
      </w:tr>
      <w:tr w14:paraId="476805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right w:val="single" w:color="auto" w:sz="4" w:space="0"/>
            </w:tcBorders>
            <w:noWrap w:val="0"/>
            <w:vAlign w:val="center"/>
          </w:tcPr>
          <w:p w14:paraId="6BB098E0">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szCs w:val="21"/>
              </w:rPr>
            </w:pPr>
          </w:p>
        </w:tc>
        <w:tc>
          <w:tcPr>
            <w:tcW w:w="1768" w:type="dxa"/>
            <w:tcBorders>
              <w:top w:val="single" w:color="auto" w:sz="4" w:space="0"/>
              <w:bottom w:val="single" w:color="auto" w:sz="4" w:space="0"/>
              <w:right w:val="single" w:color="auto" w:sz="4" w:space="0"/>
            </w:tcBorders>
            <w:noWrap w:val="0"/>
            <w:vAlign w:val="center"/>
          </w:tcPr>
          <w:p w14:paraId="4ACF612B">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授权</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3BBF8B68">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提供法定代表人授权委托书或提供法定代表人身份证明</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343C65C1">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highlight w:val="yellow"/>
              </w:rPr>
            </w:pPr>
          </w:p>
        </w:tc>
      </w:tr>
      <w:tr w14:paraId="75B66E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right w:val="single" w:color="auto" w:sz="4" w:space="0"/>
            </w:tcBorders>
            <w:noWrap w:val="0"/>
            <w:vAlign w:val="center"/>
          </w:tcPr>
          <w:p w14:paraId="5B460857">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szCs w:val="21"/>
              </w:rPr>
            </w:pPr>
          </w:p>
        </w:tc>
        <w:tc>
          <w:tcPr>
            <w:tcW w:w="1768" w:type="dxa"/>
            <w:tcBorders>
              <w:top w:val="single" w:color="auto" w:sz="4" w:space="0"/>
              <w:bottom w:val="single" w:color="auto" w:sz="4" w:space="0"/>
              <w:right w:val="single" w:color="auto" w:sz="4" w:space="0"/>
            </w:tcBorders>
            <w:noWrap w:val="0"/>
            <w:vAlign w:val="center"/>
          </w:tcPr>
          <w:p w14:paraId="05DEB32C">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投标文件签署</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1927A09D">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投标文件</w:t>
            </w:r>
            <w:r>
              <w:rPr>
                <w:rFonts w:hint="eastAsia" w:ascii="方正仿宋_GB2312" w:hAnsi="方正仿宋_GB2312" w:eastAsia="方正仿宋_GB2312" w:cs="方正仿宋_GB2312"/>
                <w:color w:val="auto"/>
                <w:szCs w:val="21"/>
                <w:lang w:val="en-US" w:eastAsia="zh-CN"/>
              </w:rPr>
              <w:t>按规定签字盖章、且签字</w:t>
            </w:r>
            <w:r>
              <w:rPr>
                <w:rFonts w:hint="eastAsia" w:ascii="方正仿宋_GB2312" w:hAnsi="方正仿宋_GB2312" w:eastAsia="方正仿宋_GB2312" w:cs="方正仿宋_GB2312"/>
                <w:color w:val="auto"/>
                <w:szCs w:val="21"/>
              </w:rPr>
              <w:t>盖章齐全</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37C769FA">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highlight w:val="yellow"/>
              </w:rPr>
            </w:pPr>
          </w:p>
        </w:tc>
      </w:tr>
      <w:tr w14:paraId="0A4E17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right w:val="single" w:color="auto" w:sz="4" w:space="0"/>
            </w:tcBorders>
            <w:noWrap w:val="0"/>
            <w:vAlign w:val="center"/>
          </w:tcPr>
          <w:p w14:paraId="395A6A81">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szCs w:val="21"/>
              </w:rPr>
            </w:pPr>
          </w:p>
        </w:tc>
        <w:tc>
          <w:tcPr>
            <w:tcW w:w="1768" w:type="dxa"/>
            <w:tcBorders>
              <w:top w:val="single" w:color="auto" w:sz="4" w:space="0"/>
              <w:bottom w:val="single" w:color="auto" w:sz="4" w:space="0"/>
              <w:right w:val="single" w:color="auto" w:sz="4" w:space="0"/>
            </w:tcBorders>
            <w:noWrap w:val="0"/>
            <w:vAlign w:val="center"/>
          </w:tcPr>
          <w:p w14:paraId="2E4FEB4D">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投标保证金</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6F902E0D">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按规定交纳投标保证金</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21C70A05">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highlight w:val="yellow"/>
              </w:rPr>
            </w:pPr>
          </w:p>
        </w:tc>
      </w:tr>
      <w:tr w14:paraId="215807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right w:val="single" w:color="auto" w:sz="4" w:space="0"/>
            </w:tcBorders>
            <w:noWrap w:val="0"/>
            <w:vAlign w:val="center"/>
          </w:tcPr>
          <w:p w14:paraId="087FE1F6">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szCs w:val="21"/>
              </w:rPr>
            </w:pPr>
          </w:p>
        </w:tc>
        <w:tc>
          <w:tcPr>
            <w:tcW w:w="1768" w:type="dxa"/>
            <w:tcBorders>
              <w:top w:val="single" w:color="auto" w:sz="4" w:space="0"/>
              <w:bottom w:val="single" w:color="auto" w:sz="4" w:space="0"/>
              <w:right w:val="single" w:color="auto" w:sz="4" w:space="0"/>
            </w:tcBorders>
            <w:noWrap w:val="0"/>
            <w:vAlign w:val="center"/>
          </w:tcPr>
          <w:p w14:paraId="3E92310B">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投标有效期</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013FC367">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投标文件承诺投标有效期满足招标文件要求</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3BAB403E">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highlight w:val="yellow"/>
              </w:rPr>
            </w:pPr>
          </w:p>
        </w:tc>
      </w:tr>
      <w:tr w14:paraId="5A3B3F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right w:val="single" w:color="auto" w:sz="4" w:space="0"/>
            </w:tcBorders>
            <w:noWrap w:val="0"/>
            <w:vAlign w:val="center"/>
          </w:tcPr>
          <w:p w14:paraId="172944CB">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szCs w:val="21"/>
              </w:rPr>
            </w:pPr>
          </w:p>
        </w:tc>
        <w:tc>
          <w:tcPr>
            <w:tcW w:w="1768" w:type="dxa"/>
            <w:tcBorders>
              <w:top w:val="single" w:color="auto" w:sz="4" w:space="0"/>
              <w:bottom w:val="single" w:color="auto" w:sz="4" w:space="0"/>
              <w:right w:val="single" w:color="auto" w:sz="4" w:space="0"/>
            </w:tcBorders>
            <w:noWrap w:val="0"/>
            <w:vAlign w:val="center"/>
          </w:tcPr>
          <w:p w14:paraId="302A20A4">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lang w:val="en-US" w:eastAsia="zh-CN"/>
              </w:rPr>
              <w:t>实质性要求</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76B53F72">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投标文件不符合招标文件实质性要求的;</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44962367">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highlight w:val="yellow"/>
              </w:rPr>
            </w:pPr>
          </w:p>
        </w:tc>
      </w:tr>
      <w:tr w14:paraId="3FD786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right w:val="single" w:color="auto" w:sz="4" w:space="0"/>
            </w:tcBorders>
            <w:noWrap w:val="0"/>
            <w:vAlign w:val="center"/>
          </w:tcPr>
          <w:p w14:paraId="6343F16D">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szCs w:val="21"/>
              </w:rPr>
            </w:pPr>
          </w:p>
        </w:tc>
        <w:tc>
          <w:tcPr>
            <w:tcW w:w="1768" w:type="dxa"/>
            <w:tcBorders>
              <w:top w:val="single" w:color="auto" w:sz="4" w:space="0"/>
              <w:bottom w:val="single" w:color="auto" w:sz="4" w:space="0"/>
              <w:right w:val="single" w:color="auto" w:sz="4" w:space="0"/>
            </w:tcBorders>
            <w:noWrap w:val="0"/>
            <w:vAlign w:val="center"/>
          </w:tcPr>
          <w:p w14:paraId="4EA1C9AF">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合同履约期限</w:t>
            </w:r>
            <w:r>
              <w:rPr>
                <w:rFonts w:hint="eastAsia" w:ascii="方正仿宋_GB2312" w:hAnsi="方正仿宋_GB2312" w:eastAsia="方正仿宋_GB2312" w:cs="方正仿宋_GB2312"/>
                <w:color w:val="auto"/>
                <w:szCs w:val="21"/>
                <w:lang w:eastAsia="zh-CN"/>
              </w:rPr>
              <w:t>、</w:t>
            </w:r>
            <w:r>
              <w:rPr>
                <w:rFonts w:hint="eastAsia" w:ascii="方正仿宋_GB2312" w:hAnsi="方正仿宋_GB2312" w:eastAsia="方正仿宋_GB2312" w:cs="方正仿宋_GB2312"/>
                <w:color w:val="auto"/>
                <w:szCs w:val="21"/>
              </w:rPr>
              <w:t>质保期</w:t>
            </w:r>
            <w:r>
              <w:rPr>
                <w:rFonts w:hint="eastAsia" w:ascii="方正仿宋_GB2312" w:hAnsi="方正仿宋_GB2312" w:eastAsia="方正仿宋_GB2312" w:cs="方正仿宋_GB2312"/>
                <w:color w:val="auto"/>
                <w:szCs w:val="21"/>
                <w:lang w:eastAsia="zh-CN"/>
              </w:rPr>
              <w:t>、</w:t>
            </w:r>
            <w:r>
              <w:rPr>
                <w:rFonts w:hint="eastAsia" w:ascii="方正仿宋_GB2312" w:hAnsi="方正仿宋_GB2312" w:eastAsia="方正仿宋_GB2312" w:cs="方正仿宋_GB2312"/>
                <w:color w:val="auto"/>
                <w:szCs w:val="21"/>
                <w:lang w:val="en-US" w:eastAsia="zh-CN"/>
              </w:rPr>
              <w:t>付款方式</w:t>
            </w:r>
            <w:r>
              <w:rPr>
                <w:rFonts w:hint="eastAsia" w:ascii="方正仿宋_GB2312" w:hAnsi="方正仿宋_GB2312" w:eastAsia="方正仿宋_GB2312" w:cs="方正仿宋_GB2312"/>
                <w:color w:val="auto"/>
                <w:szCs w:val="21"/>
              </w:rPr>
              <w:t>等商务条款</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3B334A6D">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投标文件承诺合同履约期限、质保期、付款方式满足招标文件要求</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1B4B5617">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highlight w:val="yellow"/>
              </w:rPr>
            </w:pPr>
          </w:p>
        </w:tc>
      </w:tr>
      <w:tr w14:paraId="5F3F7F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right w:val="single" w:color="auto" w:sz="4" w:space="0"/>
            </w:tcBorders>
            <w:noWrap w:val="0"/>
            <w:vAlign w:val="center"/>
          </w:tcPr>
          <w:p w14:paraId="3E407566">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szCs w:val="21"/>
              </w:rPr>
            </w:pPr>
          </w:p>
        </w:tc>
        <w:tc>
          <w:tcPr>
            <w:tcW w:w="1768" w:type="dxa"/>
            <w:tcBorders>
              <w:top w:val="single" w:color="auto" w:sz="4" w:space="0"/>
              <w:bottom w:val="single" w:color="auto" w:sz="4" w:space="0"/>
              <w:right w:val="single" w:color="auto" w:sz="4" w:space="0"/>
            </w:tcBorders>
            <w:noWrap w:val="0"/>
            <w:vAlign w:val="center"/>
          </w:tcPr>
          <w:p w14:paraId="5C454894">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报价唯一性</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0921E196">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报价具有唯一性，报价未超过招标文件中规定的预算总金额或者最高限价的；本项目不接受选择性报价，对于出现的政采云平台开标唱标环节经投标</w:t>
            </w:r>
            <w:r>
              <w:rPr>
                <w:rFonts w:hint="eastAsia" w:ascii="方正仿宋_GB2312" w:hAnsi="方正仿宋_GB2312" w:eastAsia="方正仿宋_GB2312" w:cs="方正仿宋_GB2312"/>
                <w:color w:val="auto"/>
                <w:szCs w:val="21"/>
                <w:lang w:eastAsia="zh-CN"/>
              </w:rPr>
              <w:t>供应商</w:t>
            </w:r>
            <w:r>
              <w:rPr>
                <w:rFonts w:hint="eastAsia" w:ascii="方正仿宋_GB2312" w:hAnsi="方正仿宋_GB2312" w:eastAsia="方正仿宋_GB2312" w:cs="方正仿宋_GB2312"/>
                <w:color w:val="auto"/>
                <w:szCs w:val="21"/>
              </w:rPr>
              <w:t>确认的投标报价与投标文件中开标一览表的报价不一致的现象，视作选择性报价，将被作为无效投标处理。</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5E1C8C36">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highlight w:val="yellow"/>
              </w:rPr>
            </w:pPr>
          </w:p>
        </w:tc>
      </w:tr>
      <w:tr w14:paraId="1FCD78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4" w:type="dxa"/>
            <w:vMerge w:val="continue"/>
            <w:tcBorders>
              <w:bottom w:val="single" w:color="auto" w:sz="4" w:space="0"/>
              <w:right w:val="single" w:color="auto" w:sz="4" w:space="0"/>
            </w:tcBorders>
            <w:noWrap w:val="0"/>
            <w:vAlign w:val="center"/>
          </w:tcPr>
          <w:p w14:paraId="5CB3ECDB">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szCs w:val="21"/>
              </w:rPr>
            </w:pPr>
          </w:p>
        </w:tc>
        <w:tc>
          <w:tcPr>
            <w:tcW w:w="1768" w:type="dxa"/>
            <w:tcBorders>
              <w:top w:val="single" w:color="auto" w:sz="4" w:space="0"/>
              <w:right w:val="single" w:color="auto" w:sz="4" w:space="0"/>
            </w:tcBorders>
            <w:noWrap w:val="0"/>
            <w:vAlign w:val="center"/>
          </w:tcPr>
          <w:p w14:paraId="6CC37023">
            <w:pPr>
              <w:keepNext w:val="0"/>
              <w:keepLines w:val="0"/>
              <w:pageBreakBefore w:val="0"/>
              <w:widowControl/>
              <w:kinsoku w:val="0"/>
              <w:wordWrap/>
              <w:overflowPunct w:val="0"/>
              <w:topLinePunct w:val="0"/>
              <w:autoSpaceDE w:val="0"/>
              <w:autoSpaceDN w:val="0"/>
              <w:bidi w:val="0"/>
              <w:adjustRightInd w:val="0"/>
              <w:snapToGrid w:val="0"/>
              <w:spacing w:line="360" w:lineRule="auto"/>
              <w:jc w:val="center"/>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其他</w:t>
            </w:r>
          </w:p>
        </w:tc>
        <w:tc>
          <w:tcPr>
            <w:tcW w:w="5588" w:type="dxa"/>
            <w:tcBorders>
              <w:top w:val="single" w:color="auto" w:sz="4" w:space="0"/>
              <w:left w:val="single" w:color="auto" w:sz="4" w:space="0"/>
              <w:bottom w:val="single" w:color="auto" w:sz="4" w:space="0"/>
              <w:right w:val="single" w:color="auto" w:sz="4" w:space="0"/>
            </w:tcBorders>
            <w:noWrap w:val="0"/>
            <w:vAlign w:val="center"/>
          </w:tcPr>
          <w:p w14:paraId="1C970691">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1、投标文件未附有采购人不能接受的条件或不符合招标文件的其他要求</w:t>
            </w:r>
          </w:p>
          <w:p w14:paraId="343C8EF8">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2、符合国家、行业技术标准的要求</w:t>
            </w:r>
          </w:p>
          <w:p w14:paraId="76411554">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szCs w:val="21"/>
              </w:rPr>
            </w:pPr>
            <w:r>
              <w:rPr>
                <w:rFonts w:hint="eastAsia" w:ascii="方正仿宋_GB2312" w:hAnsi="方正仿宋_GB2312" w:eastAsia="方正仿宋_GB2312" w:cs="方正仿宋_GB2312"/>
                <w:color w:val="auto"/>
                <w:szCs w:val="21"/>
              </w:rPr>
              <w:t>3、未发现串通投标</w:t>
            </w:r>
          </w:p>
          <w:p w14:paraId="05A2E58D">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rPr>
            </w:pPr>
            <w:r>
              <w:rPr>
                <w:rFonts w:hint="eastAsia" w:ascii="方正仿宋_GB2312" w:hAnsi="方正仿宋_GB2312" w:eastAsia="方正仿宋_GB2312" w:cs="方正仿宋_GB2312"/>
                <w:color w:val="auto"/>
                <w:szCs w:val="21"/>
              </w:rPr>
              <w:t>4、不属于法律、法规、规章规定无效投标的其他情形。</w:t>
            </w:r>
          </w:p>
        </w:tc>
        <w:tc>
          <w:tcPr>
            <w:tcW w:w="846" w:type="dxa"/>
            <w:tcBorders>
              <w:top w:val="single" w:color="auto" w:sz="4" w:space="0"/>
              <w:left w:val="single" w:color="auto" w:sz="4" w:space="0"/>
              <w:bottom w:val="single" w:color="auto" w:sz="4" w:space="0"/>
              <w:right w:val="single" w:color="auto" w:sz="4" w:space="0"/>
            </w:tcBorders>
            <w:noWrap w:val="0"/>
            <w:vAlign w:val="center"/>
          </w:tcPr>
          <w:p w14:paraId="1FDF56A0">
            <w:pPr>
              <w:keepNext w:val="0"/>
              <w:keepLines w:val="0"/>
              <w:pageBreakBefore w:val="0"/>
              <w:widowControl/>
              <w:kinsoku w:val="0"/>
              <w:wordWrap/>
              <w:overflowPunct w:val="0"/>
              <w:topLinePunct w:val="0"/>
              <w:autoSpaceDE w:val="0"/>
              <w:autoSpaceDN w:val="0"/>
              <w:bidi w:val="0"/>
              <w:adjustRightInd w:val="0"/>
              <w:snapToGrid w:val="0"/>
              <w:spacing w:line="360" w:lineRule="auto"/>
              <w:textAlignment w:val="baseline"/>
              <w:rPr>
                <w:rFonts w:hint="eastAsia" w:ascii="方正仿宋_GB2312" w:hAnsi="方正仿宋_GB2312" w:eastAsia="方正仿宋_GB2312" w:cs="方正仿宋_GB2312"/>
                <w:color w:val="auto"/>
                <w:highlight w:val="yellow"/>
              </w:rPr>
            </w:pPr>
          </w:p>
        </w:tc>
      </w:tr>
    </w:tbl>
    <w:p w14:paraId="3944854D">
      <w:pPr>
        <w:rPr>
          <w:lang w:eastAsia="zh-CN"/>
        </w:rPr>
        <w:sectPr>
          <w:type w:val="continuous"/>
          <w:pgSz w:w="12240" w:h="15840"/>
          <w:pgMar w:top="1440" w:right="1080" w:bottom="1440" w:left="1080" w:header="1233" w:footer="1081" w:gutter="0"/>
          <w:pgBorders>
            <w:top w:val="none" w:sz="0" w:space="0"/>
            <w:left w:val="none" w:sz="0" w:space="0"/>
            <w:bottom w:val="none" w:sz="0" w:space="0"/>
            <w:right w:val="none" w:sz="0" w:space="0"/>
          </w:pgBorders>
          <w:pgNumType w:fmt="decimal"/>
          <w:cols w:equalWidth="0" w:num="2">
            <w:col w:w="11065" w:space="100"/>
            <w:col w:w="3780"/>
          </w:cols>
        </w:sectPr>
      </w:pPr>
    </w:p>
    <w:p w14:paraId="215DF766">
      <w:pPr>
        <w:spacing w:before="76" w:line="259" w:lineRule="auto"/>
        <w:ind w:right="777"/>
        <w:rPr>
          <w:rFonts w:ascii="黑体" w:hAnsi="黑体" w:eastAsia="黑体" w:cs="黑体"/>
          <w:color w:val="auto"/>
          <w:sz w:val="20"/>
          <w:szCs w:val="20"/>
          <w:lang w:eastAsia="zh-CN"/>
        </w:rPr>
      </w:pPr>
      <w:r>
        <w:rPr>
          <w:rFonts w:ascii="黑体" w:hAnsi="黑体" w:eastAsia="黑体" w:cs="黑体"/>
          <w:color w:val="auto"/>
          <w:spacing w:val="8"/>
          <w:sz w:val="20"/>
          <w:szCs w:val="20"/>
          <w:lang w:eastAsia="zh-CN"/>
          <w14:textOutline w14:w="3797" w14:cap="sq" w14:cmpd="sng" w14:algn="ctr">
            <w14:solidFill>
              <w14:srgbClr w14:val="000000"/>
            </w14:solidFill>
            <w14:prstDash w14:val="solid"/>
            <w14:bevel/>
          </w14:textOutline>
        </w:rPr>
        <w:t>注：评标委员会对投标资格类文件按评审标准对上述内容评审，满足要求的在对应的框内打“</w:t>
      </w:r>
      <w:r>
        <w:rPr>
          <w:rFonts w:ascii="黑体" w:hAnsi="黑体" w:eastAsia="黑体" w:cs="黑体"/>
          <w:color w:val="auto"/>
          <w:spacing w:val="-29"/>
          <w:sz w:val="20"/>
          <w:szCs w:val="20"/>
          <w:lang w:eastAsia="zh-CN"/>
        </w:rPr>
        <w:t xml:space="preserve"> </w:t>
      </w:r>
      <w:r>
        <w:rPr>
          <w:rFonts w:ascii="黑体" w:hAnsi="黑体" w:eastAsia="黑体" w:cs="黑体"/>
          <w:color w:val="auto"/>
          <w:spacing w:val="8"/>
          <w:sz w:val="20"/>
          <w:szCs w:val="20"/>
          <w:lang w:eastAsia="zh-CN"/>
          <w14:textOutline w14:w="3797" w14:cap="sq" w14:cmpd="sng" w14:algn="ctr">
            <w14:solidFill>
              <w14:srgbClr w14:val="000000"/>
            </w14:solidFill>
            <w14:prstDash w14:val="solid"/>
            <w14:bevel/>
          </w14:textOutline>
        </w:rPr>
        <w:t>√</w:t>
      </w:r>
      <w:r>
        <w:rPr>
          <w:rFonts w:ascii="黑体" w:hAnsi="黑体" w:eastAsia="黑体" w:cs="黑体"/>
          <w:color w:val="auto"/>
          <w:spacing w:val="-80"/>
          <w:sz w:val="20"/>
          <w:szCs w:val="20"/>
          <w:lang w:eastAsia="zh-CN"/>
        </w:rPr>
        <w:t xml:space="preserve"> </w:t>
      </w:r>
      <w:r>
        <w:rPr>
          <w:rFonts w:ascii="黑体" w:hAnsi="黑体" w:eastAsia="黑体" w:cs="黑体"/>
          <w:color w:val="auto"/>
          <w:spacing w:val="8"/>
          <w:sz w:val="20"/>
          <w:szCs w:val="20"/>
          <w:lang w:eastAsia="zh-CN"/>
          <w14:textOutline w14:w="3797" w14:cap="sq" w14:cmpd="sng" w14:algn="ctr">
            <w14:solidFill>
              <w14:srgbClr w14:val="000000"/>
            </w14:solidFill>
            <w14:prstDash w14:val="solid"/>
            <w14:bevel/>
          </w14:textOutline>
        </w:rPr>
        <w:t>”</w:t>
      </w:r>
      <w:r>
        <w:rPr>
          <w:rFonts w:ascii="黑体" w:hAnsi="黑体" w:eastAsia="黑体" w:cs="黑体"/>
          <w:color w:val="auto"/>
          <w:spacing w:val="-75"/>
          <w:sz w:val="20"/>
          <w:szCs w:val="20"/>
          <w:lang w:eastAsia="zh-CN"/>
        </w:rPr>
        <w:t xml:space="preserve"> </w:t>
      </w:r>
      <w:r>
        <w:rPr>
          <w:rFonts w:ascii="黑体" w:hAnsi="黑体" w:eastAsia="黑体" w:cs="黑体"/>
          <w:color w:val="auto"/>
          <w:spacing w:val="8"/>
          <w:sz w:val="20"/>
          <w:szCs w:val="20"/>
          <w:lang w:eastAsia="zh-CN"/>
          <w14:textOutline w14:w="3797" w14:cap="sq" w14:cmpd="sng" w14:algn="ctr">
            <w14:solidFill>
              <w14:srgbClr w14:val="000000"/>
            </w14:solidFill>
            <w14:prstDash w14:val="solid"/>
            <w14:bevel/>
          </w14:textOutline>
        </w:rPr>
        <w:t>,</w:t>
      </w:r>
      <w:r>
        <w:rPr>
          <w:rFonts w:ascii="黑体" w:hAnsi="黑体" w:eastAsia="黑体" w:cs="黑体"/>
          <w:color w:val="auto"/>
          <w:spacing w:val="66"/>
          <w:sz w:val="20"/>
          <w:szCs w:val="20"/>
          <w:lang w:eastAsia="zh-CN"/>
        </w:rPr>
        <w:t xml:space="preserve"> </w:t>
      </w:r>
      <w:r>
        <w:rPr>
          <w:rFonts w:ascii="黑体" w:hAnsi="黑体" w:eastAsia="黑体" w:cs="黑体"/>
          <w:color w:val="auto"/>
          <w:spacing w:val="8"/>
          <w:sz w:val="20"/>
          <w:szCs w:val="20"/>
          <w:lang w:eastAsia="zh-CN"/>
          <w14:textOutline w14:w="3797" w14:cap="sq" w14:cmpd="sng" w14:algn="ctr">
            <w14:solidFill>
              <w14:srgbClr w14:val="000000"/>
            </w14:solidFill>
            <w14:prstDash w14:val="solid"/>
            <w14:bevel/>
          </w14:textOutline>
        </w:rPr>
        <w:t>不满足要求的在对应的框内打“</w:t>
      </w:r>
      <w:r>
        <w:rPr>
          <w:rFonts w:ascii="黑体" w:hAnsi="黑体" w:eastAsia="黑体" w:cs="黑体"/>
          <w:color w:val="auto"/>
          <w:spacing w:val="-56"/>
          <w:sz w:val="20"/>
          <w:szCs w:val="20"/>
          <w:lang w:eastAsia="zh-CN"/>
        </w:rPr>
        <w:t xml:space="preserve"> </w:t>
      </w:r>
      <w:r>
        <w:rPr>
          <w:rFonts w:ascii="黑体" w:hAnsi="黑体" w:eastAsia="黑体" w:cs="黑体"/>
          <w:color w:val="auto"/>
          <w:spacing w:val="8"/>
          <w:sz w:val="20"/>
          <w:szCs w:val="20"/>
          <w:lang w:eastAsia="zh-CN"/>
          <w14:textOutline w14:w="3797" w14:cap="sq" w14:cmpd="sng" w14:algn="ctr">
            <w14:solidFill>
              <w14:srgbClr w14:val="000000"/>
            </w14:solidFill>
            <w14:prstDash w14:val="solid"/>
            <w14:bevel/>
          </w14:textOutline>
        </w:rPr>
        <w:t>×”。</w:t>
      </w:r>
      <w:r>
        <w:rPr>
          <w:rFonts w:ascii="黑体" w:hAnsi="黑体" w:eastAsia="黑体" w:cs="黑体"/>
          <w:color w:val="auto"/>
          <w:sz w:val="20"/>
          <w:szCs w:val="20"/>
          <w:lang w:eastAsia="zh-CN"/>
        </w:rPr>
        <w:t xml:space="preserve"> </w:t>
      </w:r>
      <w:r>
        <w:rPr>
          <w:rFonts w:ascii="黑体" w:hAnsi="黑体" w:eastAsia="黑体" w:cs="黑体"/>
          <w:color w:val="auto"/>
          <w:spacing w:val="9"/>
          <w:sz w:val="20"/>
          <w:szCs w:val="20"/>
          <w:lang w:eastAsia="zh-CN"/>
          <w14:textOutline w14:w="3797" w14:cap="sq" w14:cmpd="sng" w14:algn="ctr">
            <w14:solidFill>
              <w14:srgbClr w14:val="000000"/>
            </w14:solidFill>
            <w14:prstDash w14:val="solid"/>
            <w14:bevel/>
          </w14:textOutline>
        </w:rPr>
        <w:t>对可以进入详评的投标人，在该投标人所对应的“是否通过评审“</w:t>
      </w:r>
      <w:r>
        <w:rPr>
          <w:rFonts w:ascii="黑体" w:hAnsi="黑体" w:eastAsia="黑体" w:cs="黑体"/>
          <w:color w:val="auto"/>
          <w:spacing w:val="8"/>
          <w:sz w:val="20"/>
          <w:szCs w:val="20"/>
          <w:lang w:eastAsia="zh-CN"/>
          <w14:textOutline w14:w="3797" w14:cap="sq" w14:cmpd="sng" w14:algn="ctr">
            <w14:solidFill>
              <w14:srgbClr w14:val="000000"/>
            </w14:solidFill>
            <w14:prstDash w14:val="solid"/>
            <w14:bevel/>
          </w14:textOutline>
        </w:rPr>
        <w:t>栏中打“</w:t>
      </w:r>
      <w:r>
        <w:rPr>
          <w:rFonts w:ascii="黑体" w:hAnsi="黑体" w:eastAsia="黑体" w:cs="黑体"/>
          <w:color w:val="auto"/>
          <w:spacing w:val="-40"/>
          <w:sz w:val="20"/>
          <w:szCs w:val="20"/>
          <w:lang w:eastAsia="zh-CN"/>
        </w:rPr>
        <w:t xml:space="preserve"> </w:t>
      </w:r>
      <w:r>
        <w:rPr>
          <w:rFonts w:ascii="黑体" w:hAnsi="黑体" w:eastAsia="黑体" w:cs="黑体"/>
          <w:color w:val="auto"/>
          <w:spacing w:val="8"/>
          <w:sz w:val="20"/>
          <w:szCs w:val="20"/>
          <w:lang w:eastAsia="zh-CN"/>
          <w14:textOutline w14:w="3797" w14:cap="sq" w14:cmpd="sng" w14:algn="ctr">
            <w14:solidFill>
              <w14:srgbClr w14:val="000000"/>
            </w14:solidFill>
            <w14:prstDash w14:val="solid"/>
            <w14:bevel/>
          </w14:textOutline>
        </w:rPr>
        <w:t>√</w:t>
      </w:r>
      <w:r>
        <w:rPr>
          <w:rFonts w:ascii="黑体" w:hAnsi="黑体" w:eastAsia="黑体" w:cs="黑体"/>
          <w:color w:val="auto"/>
          <w:spacing w:val="-80"/>
          <w:sz w:val="20"/>
          <w:szCs w:val="20"/>
          <w:lang w:eastAsia="zh-CN"/>
        </w:rPr>
        <w:t xml:space="preserve"> </w:t>
      </w:r>
      <w:r>
        <w:rPr>
          <w:rFonts w:ascii="黑体" w:hAnsi="黑体" w:eastAsia="黑体" w:cs="黑体"/>
          <w:color w:val="auto"/>
          <w:spacing w:val="8"/>
          <w:sz w:val="20"/>
          <w:szCs w:val="20"/>
          <w:lang w:eastAsia="zh-CN"/>
          <w14:textOutline w14:w="3797" w14:cap="sq" w14:cmpd="sng" w14:algn="ctr">
            <w14:solidFill>
              <w14:srgbClr w14:val="000000"/>
            </w14:solidFill>
            <w14:prstDash w14:val="solid"/>
            <w14:bevel/>
          </w14:textOutline>
        </w:rPr>
        <w:t>”。</w:t>
      </w:r>
    </w:p>
    <w:p w14:paraId="7A2EAA4F">
      <w:pPr>
        <w:pStyle w:val="8"/>
        <w:spacing w:line="247" w:lineRule="auto"/>
        <w:rPr>
          <w:color w:val="auto"/>
          <w:lang w:eastAsia="zh-CN"/>
        </w:rPr>
      </w:pPr>
    </w:p>
    <w:p w14:paraId="37663ECB">
      <w:pPr>
        <w:pStyle w:val="8"/>
        <w:spacing w:line="247" w:lineRule="auto"/>
        <w:rPr>
          <w:color w:val="auto"/>
          <w:lang w:eastAsia="zh-CN"/>
        </w:rPr>
      </w:pPr>
    </w:p>
    <w:p w14:paraId="0CD919B3">
      <w:pPr>
        <w:pStyle w:val="8"/>
        <w:spacing w:line="247" w:lineRule="auto"/>
        <w:rPr>
          <w:color w:val="auto"/>
          <w:lang w:eastAsia="zh-CN"/>
        </w:rPr>
      </w:pPr>
    </w:p>
    <w:p w14:paraId="27749C20">
      <w:pPr>
        <w:pStyle w:val="8"/>
        <w:spacing w:line="247" w:lineRule="auto"/>
        <w:rPr>
          <w:color w:val="auto"/>
          <w:lang w:eastAsia="zh-CN"/>
        </w:rPr>
      </w:pPr>
    </w:p>
    <w:p w14:paraId="630173DD">
      <w:pPr>
        <w:pStyle w:val="8"/>
        <w:spacing w:line="247" w:lineRule="auto"/>
        <w:rPr>
          <w:color w:val="auto"/>
          <w:lang w:eastAsia="zh-CN"/>
        </w:rPr>
      </w:pPr>
    </w:p>
    <w:p w14:paraId="78AD2960">
      <w:pPr>
        <w:pStyle w:val="8"/>
        <w:spacing w:line="247" w:lineRule="auto"/>
        <w:rPr>
          <w:color w:val="auto"/>
          <w:lang w:eastAsia="zh-CN"/>
        </w:rPr>
      </w:pPr>
    </w:p>
    <w:p w14:paraId="37F68451">
      <w:pPr>
        <w:pStyle w:val="8"/>
        <w:spacing w:line="247" w:lineRule="auto"/>
        <w:rPr>
          <w:color w:val="auto"/>
          <w:lang w:eastAsia="zh-CN"/>
        </w:rPr>
      </w:pPr>
    </w:p>
    <w:p w14:paraId="00FB7E55">
      <w:pPr>
        <w:pStyle w:val="8"/>
        <w:spacing w:line="247" w:lineRule="auto"/>
        <w:rPr>
          <w:color w:val="auto"/>
          <w:lang w:eastAsia="zh-CN"/>
        </w:rPr>
      </w:pPr>
    </w:p>
    <w:p w14:paraId="7E630F4B">
      <w:pPr>
        <w:pStyle w:val="8"/>
        <w:spacing w:line="247" w:lineRule="auto"/>
        <w:rPr>
          <w:color w:val="auto"/>
          <w:lang w:eastAsia="zh-CN"/>
        </w:rPr>
      </w:pPr>
    </w:p>
    <w:p w14:paraId="69A65BEA">
      <w:pPr>
        <w:pStyle w:val="8"/>
        <w:spacing w:line="247" w:lineRule="auto"/>
        <w:rPr>
          <w:color w:val="auto"/>
          <w:lang w:eastAsia="zh-CN"/>
        </w:rPr>
      </w:pPr>
    </w:p>
    <w:p w14:paraId="52D68559">
      <w:pPr>
        <w:pStyle w:val="8"/>
        <w:spacing w:line="247" w:lineRule="auto"/>
        <w:rPr>
          <w:color w:val="auto"/>
          <w:lang w:eastAsia="zh-CN"/>
        </w:rPr>
      </w:pPr>
    </w:p>
    <w:p w14:paraId="651E1C96">
      <w:pPr>
        <w:pStyle w:val="8"/>
        <w:spacing w:line="247" w:lineRule="auto"/>
        <w:rPr>
          <w:color w:val="auto"/>
          <w:lang w:eastAsia="zh-CN"/>
        </w:rPr>
      </w:pPr>
    </w:p>
    <w:p w14:paraId="6F782D7F">
      <w:pPr>
        <w:pStyle w:val="8"/>
        <w:spacing w:line="247" w:lineRule="auto"/>
        <w:rPr>
          <w:color w:val="auto"/>
          <w:lang w:eastAsia="zh-CN"/>
        </w:rPr>
      </w:pPr>
    </w:p>
    <w:p w14:paraId="01B204C5">
      <w:pPr>
        <w:pStyle w:val="8"/>
        <w:spacing w:line="247" w:lineRule="auto"/>
        <w:rPr>
          <w:color w:val="auto"/>
          <w:lang w:eastAsia="zh-CN"/>
        </w:rPr>
      </w:pPr>
    </w:p>
    <w:p w14:paraId="40D16C58">
      <w:pPr>
        <w:pStyle w:val="8"/>
        <w:spacing w:line="247" w:lineRule="auto"/>
        <w:rPr>
          <w:color w:val="auto"/>
          <w:lang w:eastAsia="zh-CN"/>
        </w:rPr>
      </w:pPr>
    </w:p>
    <w:p w14:paraId="0288793C">
      <w:pPr>
        <w:pStyle w:val="8"/>
        <w:spacing w:line="248" w:lineRule="auto"/>
        <w:rPr>
          <w:color w:val="auto"/>
          <w:lang w:eastAsia="zh-CN"/>
        </w:rPr>
      </w:pPr>
    </w:p>
    <w:p w14:paraId="13E64AEB">
      <w:pPr>
        <w:pStyle w:val="8"/>
        <w:spacing w:line="248" w:lineRule="auto"/>
        <w:rPr>
          <w:color w:val="auto"/>
          <w:lang w:eastAsia="zh-CN"/>
        </w:rPr>
      </w:pPr>
    </w:p>
    <w:p w14:paraId="6A4510B7">
      <w:pPr>
        <w:pStyle w:val="8"/>
        <w:spacing w:line="248" w:lineRule="auto"/>
        <w:rPr>
          <w:color w:val="auto"/>
          <w:lang w:eastAsia="zh-CN"/>
        </w:rPr>
      </w:pPr>
    </w:p>
    <w:p w14:paraId="60E19761">
      <w:pPr>
        <w:pStyle w:val="8"/>
        <w:spacing w:line="248" w:lineRule="auto"/>
        <w:rPr>
          <w:color w:val="auto"/>
          <w:lang w:eastAsia="zh-CN"/>
        </w:rPr>
      </w:pPr>
    </w:p>
    <w:p w14:paraId="785D8206">
      <w:pPr>
        <w:pStyle w:val="8"/>
        <w:spacing w:line="248" w:lineRule="auto"/>
        <w:rPr>
          <w:color w:val="auto"/>
          <w:lang w:eastAsia="zh-CN"/>
        </w:rPr>
      </w:pPr>
    </w:p>
    <w:p w14:paraId="7ACDE5FF">
      <w:pPr>
        <w:pStyle w:val="8"/>
        <w:spacing w:line="248" w:lineRule="auto"/>
        <w:rPr>
          <w:color w:val="auto"/>
          <w:lang w:eastAsia="zh-CN"/>
        </w:rPr>
      </w:pPr>
    </w:p>
    <w:p w14:paraId="2BB8744B">
      <w:pPr>
        <w:pStyle w:val="8"/>
        <w:spacing w:line="248" w:lineRule="auto"/>
        <w:rPr>
          <w:color w:val="auto"/>
          <w:lang w:eastAsia="zh-CN"/>
        </w:rPr>
      </w:pPr>
    </w:p>
    <w:p w14:paraId="6F980F5C">
      <w:pPr>
        <w:pStyle w:val="2"/>
        <w:bidi w:val="0"/>
        <w:rPr>
          <w:lang w:eastAsia="zh-CN"/>
        </w:rPr>
      </w:pPr>
      <w:bookmarkStart w:id="20" w:name="_Toc664"/>
      <w:bookmarkStart w:id="21" w:name="_Toc22364"/>
      <w:r>
        <w:rPr>
          <w:lang w:eastAsia="zh-CN"/>
        </w:rPr>
        <w:t>第四章 合同附件格式及条款</w:t>
      </w:r>
      <w:bookmarkEnd w:id="20"/>
      <w:bookmarkEnd w:id="21"/>
    </w:p>
    <w:p w14:paraId="23A31A24">
      <w:pPr>
        <w:spacing w:line="225" w:lineRule="auto"/>
        <w:rPr>
          <w:rFonts w:ascii="黑体" w:hAnsi="黑体" w:eastAsia="黑体" w:cs="黑体"/>
          <w:color w:val="auto"/>
          <w:sz w:val="43"/>
          <w:szCs w:val="43"/>
          <w:lang w:eastAsia="zh-CN"/>
        </w:rPr>
        <w:sectPr>
          <w:headerReference r:id="rId24" w:type="default"/>
          <w:footerReference r:id="rId25" w:type="default"/>
          <w:pgSz w:w="12240" w:h="15840"/>
          <w:pgMar w:top="1440" w:right="1080" w:bottom="1440" w:left="1080" w:header="1233" w:footer="1081" w:gutter="0"/>
          <w:pgBorders>
            <w:top w:val="none" w:sz="0" w:space="0"/>
            <w:left w:val="none" w:sz="0" w:space="0"/>
            <w:bottom w:val="none" w:sz="0" w:space="0"/>
            <w:right w:val="none" w:sz="0" w:space="0"/>
          </w:pgBorders>
          <w:pgNumType w:fmt="decimal"/>
          <w:cols w:space="720" w:num="1"/>
        </w:sectPr>
      </w:pPr>
    </w:p>
    <w:p w14:paraId="114803B4">
      <w:pPr>
        <w:spacing w:line="480" w:lineRule="auto"/>
        <w:jc w:val="center"/>
        <w:rPr>
          <w:rFonts w:hint="eastAsia" w:ascii="宋体" w:hAnsi="宋体"/>
          <w:b/>
          <w:color w:val="auto"/>
          <w:sz w:val="44"/>
          <w:szCs w:val="44"/>
          <w:highlight w:val="none"/>
        </w:rPr>
      </w:pPr>
    </w:p>
    <w:p w14:paraId="11D66654">
      <w:pPr>
        <w:spacing w:line="480" w:lineRule="auto"/>
        <w:jc w:val="center"/>
        <w:rPr>
          <w:rFonts w:ascii="宋体" w:hAnsi="宋体"/>
          <w:b/>
          <w:color w:val="auto"/>
          <w:sz w:val="44"/>
          <w:szCs w:val="44"/>
          <w:highlight w:val="none"/>
        </w:rPr>
      </w:pPr>
      <w:r>
        <w:rPr>
          <w:rFonts w:hint="eastAsia" w:ascii="宋体" w:hAnsi="宋体"/>
          <w:b/>
          <w:color w:val="auto"/>
          <w:sz w:val="44"/>
          <w:szCs w:val="44"/>
          <w:highlight w:val="none"/>
        </w:rPr>
        <w:t>政府采购合同</w:t>
      </w:r>
    </w:p>
    <w:p w14:paraId="0F3C4424">
      <w:pPr>
        <w:spacing w:line="480" w:lineRule="auto"/>
        <w:jc w:val="center"/>
        <w:rPr>
          <w:rFonts w:ascii="宋体" w:hAnsi="宋体"/>
          <w:b/>
          <w:color w:val="auto"/>
          <w:sz w:val="24"/>
          <w:highlight w:val="none"/>
        </w:rPr>
      </w:pPr>
      <w:r>
        <w:rPr>
          <w:rFonts w:hint="eastAsia" w:ascii="宋体" w:hAnsi="宋体"/>
          <w:b/>
          <w:color w:val="auto"/>
          <w:sz w:val="24"/>
          <w:highlight w:val="none"/>
        </w:rPr>
        <w:t>（服务类）</w:t>
      </w:r>
    </w:p>
    <w:p w14:paraId="75348AFB">
      <w:pPr>
        <w:pStyle w:val="44"/>
        <w:ind w:firstLine="0"/>
        <w:rPr>
          <w:rFonts w:hAnsi="宋体"/>
          <w:color w:val="auto"/>
          <w:szCs w:val="24"/>
          <w:highlight w:val="none"/>
        </w:rPr>
      </w:pPr>
    </w:p>
    <w:p w14:paraId="0B115927">
      <w:pPr>
        <w:pStyle w:val="44"/>
        <w:ind w:firstLine="0"/>
        <w:rPr>
          <w:rFonts w:hAnsi="宋体"/>
          <w:color w:val="auto"/>
          <w:szCs w:val="24"/>
          <w:highlight w:val="none"/>
        </w:rPr>
      </w:pPr>
    </w:p>
    <w:p w14:paraId="274D018D">
      <w:pPr>
        <w:pStyle w:val="44"/>
        <w:ind w:firstLine="0"/>
        <w:rPr>
          <w:rFonts w:hAnsi="宋体"/>
          <w:color w:val="auto"/>
          <w:szCs w:val="24"/>
          <w:highlight w:val="none"/>
        </w:rPr>
      </w:pPr>
    </w:p>
    <w:p w14:paraId="5B41FB96">
      <w:pPr>
        <w:pStyle w:val="44"/>
        <w:ind w:firstLine="0"/>
        <w:jc w:val="center"/>
        <w:rPr>
          <w:rFonts w:hAnsi="宋体"/>
          <w:b/>
          <w:color w:val="auto"/>
          <w:szCs w:val="24"/>
          <w:highlight w:val="none"/>
        </w:rPr>
      </w:pPr>
      <w:r>
        <w:rPr>
          <w:rFonts w:hint="eastAsia" w:hAnsi="宋体"/>
          <w:b/>
          <w:color w:val="auto"/>
          <w:szCs w:val="24"/>
          <w:highlight w:val="none"/>
        </w:rPr>
        <w:t>第一部分</w:t>
      </w:r>
      <w:r>
        <w:rPr>
          <w:rFonts w:hAnsi="宋体"/>
          <w:b/>
          <w:color w:val="auto"/>
          <w:szCs w:val="24"/>
          <w:highlight w:val="none"/>
        </w:rPr>
        <w:t xml:space="preserve"> </w:t>
      </w:r>
      <w:r>
        <w:rPr>
          <w:rFonts w:hint="eastAsia" w:hAnsi="宋体"/>
          <w:b/>
          <w:color w:val="auto"/>
          <w:szCs w:val="24"/>
          <w:highlight w:val="none"/>
        </w:rPr>
        <w:t>合同书</w:t>
      </w:r>
    </w:p>
    <w:p w14:paraId="04BA5673">
      <w:pPr>
        <w:pStyle w:val="44"/>
        <w:ind w:firstLine="0"/>
        <w:rPr>
          <w:rFonts w:hAnsi="宋体"/>
          <w:color w:val="auto"/>
          <w:szCs w:val="24"/>
          <w:highlight w:val="none"/>
        </w:rPr>
      </w:pPr>
    </w:p>
    <w:p w14:paraId="2FF89777">
      <w:pPr>
        <w:pStyle w:val="44"/>
        <w:ind w:firstLine="0"/>
        <w:rPr>
          <w:rFonts w:hAnsi="宋体"/>
          <w:color w:val="auto"/>
          <w:szCs w:val="24"/>
          <w:highlight w:val="none"/>
        </w:rPr>
      </w:pPr>
    </w:p>
    <w:p w14:paraId="0E2E97DA">
      <w:pPr>
        <w:spacing w:before="120" w:line="22" w:lineRule="atLeast"/>
        <w:rPr>
          <w:rFonts w:ascii="宋体" w:hAnsi="宋体"/>
          <w:color w:val="auto"/>
          <w:sz w:val="24"/>
          <w:highlight w:val="none"/>
        </w:rPr>
      </w:pPr>
    </w:p>
    <w:p w14:paraId="05A41AE9">
      <w:pPr>
        <w:spacing w:before="120" w:line="22" w:lineRule="atLeast"/>
        <w:ind w:left="960"/>
        <w:rPr>
          <w:rFonts w:ascii="宋体" w:hAnsi="宋体"/>
          <w:color w:val="auto"/>
          <w:sz w:val="24"/>
          <w:highlight w:val="none"/>
        </w:rPr>
      </w:pPr>
      <w:r>
        <w:rPr>
          <w:rFonts w:hint="eastAsia" w:ascii="宋体" w:hAnsi="宋体"/>
          <w:color w:val="auto"/>
          <w:sz w:val="24"/>
          <w:highlight w:val="none"/>
        </w:rPr>
        <w:t>项目名称：</w:t>
      </w:r>
      <w:r>
        <w:rPr>
          <w:rFonts w:ascii="宋体" w:hAnsi="宋体"/>
          <w:color w:val="auto"/>
          <w:sz w:val="24"/>
          <w:highlight w:val="none"/>
          <w:u w:val="single"/>
        </w:rPr>
        <w:t xml:space="preserve">                                   </w:t>
      </w:r>
    </w:p>
    <w:p w14:paraId="41F55180">
      <w:pPr>
        <w:pStyle w:val="45"/>
        <w:spacing w:before="120" w:line="22" w:lineRule="atLeast"/>
        <w:rPr>
          <w:rFonts w:ascii="宋体" w:hAnsi="宋体" w:eastAsia="宋体"/>
          <w:color w:val="auto"/>
          <w:szCs w:val="24"/>
          <w:highlight w:val="none"/>
        </w:rPr>
      </w:pPr>
    </w:p>
    <w:p w14:paraId="293CE139">
      <w:pPr>
        <w:pStyle w:val="45"/>
        <w:spacing w:before="120" w:line="22" w:lineRule="atLeast"/>
        <w:rPr>
          <w:rFonts w:ascii="宋体" w:hAnsi="宋体" w:eastAsia="宋体"/>
          <w:color w:val="auto"/>
          <w:szCs w:val="24"/>
          <w:highlight w:val="none"/>
        </w:rPr>
      </w:pPr>
    </w:p>
    <w:p w14:paraId="2E91FAFD">
      <w:pPr>
        <w:rPr>
          <w:rFonts w:ascii="宋体" w:hAnsi="宋体"/>
          <w:color w:val="auto"/>
          <w:highlight w:val="none"/>
        </w:rPr>
      </w:pPr>
    </w:p>
    <w:p w14:paraId="07115A28">
      <w:pPr>
        <w:spacing w:before="120" w:line="22" w:lineRule="atLeast"/>
        <w:ind w:left="960"/>
        <w:rPr>
          <w:rFonts w:ascii="宋体" w:hAnsi="宋体"/>
          <w:color w:val="auto"/>
          <w:sz w:val="24"/>
          <w:highlight w:val="none"/>
          <w:u w:val="single"/>
        </w:rPr>
      </w:pPr>
      <w:r>
        <w:rPr>
          <w:rFonts w:hint="eastAsia" w:ascii="宋体" w:hAnsi="宋体"/>
          <w:color w:val="auto"/>
          <w:sz w:val="24"/>
          <w:highlight w:val="none"/>
        </w:rPr>
        <w:t>甲方：</w:t>
      </w:r>
      <w:r>
        <w:rPr>
          <w:rFonts w:ascii="宋体" w:hAnsi="宋体"/>
          <w:color w:val="auto"/>
          <w:sz w:val="24"/>
          <w:highlight w:val="none"/>
          <w:u w:val="single"/>
        </w:rPr>
        <w:t xml:space="preserve">                                       </w:t>
      </w:r>
    </w:p>
    <w:p w14:paraId="7BB79D11">
      <w:pPr>
        <w:spacing w:before="120" w:line="22" w:lineRule="atLeast"/>
        <w:rPr>
          <w:rFonts w:ascii="宋体" w:hAnsi="宋体"/>
          <w:color w:val="auto"/>
          <w:sz w:val="24"/>
          <w:highlight w:val="none"/>
        </w:rPr>
      </w:pPr>
    </w:p>
    <w:p w14:paraId="6CDB241C">
      <w:pPr>
        <w:spacing w:before="120" w:line="22" w:lineRule="atLeast"/>
        <w:ind w:left="960"/>
        <w:rPr>
          <w:rFonts w:ascii="宋体" w:hAnsi="宋体"/>
          <w:color w:val="auto"/>
          <w:sz w:val="24"/>
          <w:highlight w:val="none"/>
          <w:u w:val="single"/>
        </w:rPr>
      </w:pPr>
      <w:r>
        <w:rPr>
          <w:rFonts w:hint="eastAsia" w:ascii="宋体" w:hAnsi="宋体"/>
          <w:color w:val="auto"/>
          <w:sz w:val="24"/>
          <w:highlight w:val="none"/>
        </w:rPr>
        <w:t>乙方：</w:t>
      </w:r>
      <w:r>
        <w:rPr>
          <w:rFonts w:ascii="宋体" w:hAnsi="宋体"/>
          <w:color w:val="auto"/>
          <w:sz w:val="24"/>
          <w:highlight w:val="none"/>
          <w:u w:val="single"/>
        </w:rPr>
        <w:t xml:space="preserve">                                       </w:t>
      </w:r>
    </w:p>
    <w:p w14:paraId="748CF322">
      <w:pPr>
        <w:spacing w:before="120" w:line="22" w:lineRule="atLeast"/>
        <w:rPr>
          <w:rFonts w:ascii="宋体" w:hAnsi="宋体"/>
          <w:color w:val="auto"/>
          <w:sz w:val="24"/>
          <w:highlight w:val="none"/>
        </w:rPr>
      </w:pPr>
    </w:p>
    <w:p w14:paraId="42B00193">
      <w:pPr>
        <w:spacing w:before="120" w:line="22" w:lineRule="atLeast"/>
        <w:ind w:firstLine="960" w:firstLineChars="400"/>
        <w:rPr>
          <w:rFonts w:ascii="宋体" w:hAnsi="宋体"/>
          <w:color w:val="auto"/>
          <w:sz w:val="24"/>
          <w:highlight w:val="none"/>
          <w:u w:val="single"/>
        </w:rPr>
      </w:pPr>
      <w:r>
        <w:rPr>
          <w:rFonts w:hint="eastAsia" w:ascii="宋体" w:hAnsi="宋体"/>
          <w:color w:val="auto"/>
          <w:sz w:val="24"/>
          <w:highlight w:val="none"/>
        </w:rPr>
        <w:t>签订地：</w:t>
      </w:r>
      <w:r>
        <w:rPr>
          <w:rFonts w:ascii="宋体" w:hAnsi="宋体"/>
          <w:color w:val="auto"/>
          <w:sz w:val="24"/>
          <w:highlight w:val="none"/>
          <w:u w:val="single"/>
        </w:rPr>
        <w:t xml:space="preserve">                                     </w:t>
      </w:r>
    </w:p>
    <w:p w14:paraId="231F3128">
      <w:pPr>
        <w:spacing w:before="120" w:line="22" w:lineRule="atLeast"/>
        <w:rPr>
          <w:rFonts w:ascii="宋体" w:hAnsi="宋体"/>
          <w:color w:val="auto"/>
          <w:sz w:val="24"/>
          <w:highlight w:val="none"/>
        </w:rPr>
      </w:pPr>
    </w:p>
    <w:p w14:paraId="5EDD210F">
      <w:pPr>
        <w:spacing w:before="120" w:line="22" w:lineRule="atLeast"/>
        <w:ind w:firstLine="960" w:firstLineChars="400"/>
        <w:rPr>
          <w:rFonts w:ascii="宋体" w:hAnsi="宋体"/>
          <w:color w:val="auto"/>
          <w:sz w:val="24"/>
          <w:highlight w:val="none"/>
          <w:u w:val="single"/>
        </w:rPr>
      </w:pPr>
      <w:r>
        <w:rPr>
          <w:rFonts w:hint="eastAsia" w:ascii="宋体" w:hAnsi="宋体"/>
          <w:color w:val="auto"/>
          <w:sz w:val="24"/>
          <w:highlight w:val="none"/>
        </w:rPr>
        <w:t>签订日期：</w:t>
      </w:r>
      <w:r>
        <w:rPr>
          <w:rFonts w:ascii="宋体" w:hAnsi="宋体"/>
          <w:color w:val="auto"/>
          <w:sz w:val="24"/>
          <w:highlight w:val="none"/>
          <w:u w:val="single"/>
        </w:rPr>
        <w:t xml:space="preserve">               </w:t>
      </w:r>
      <w:r>
        <w:rPr>
          <w:rFonts w:hint="eastAsia" w:ascii="宋体" w:hAnsi="宋体"/>
          <w:color w:val="auto"/>
          <w:sz w:val="24"/>
          <w:highlight w:val="none"/>
        </w:rPr>
        <w:t>年</w:t>
      </w:r>
      <w:r>
        <w:rPr>
          <w:rFonts w:ascii="宋体" w:hAnsi="宋体"/>
          <w:color w:val="auto"/>
          <w:sz w:val="24"/>
          <w:highlight w:val="none"/>
          <w:u w:val="single"/>
        </w:rPr>
        <w:t xml:space="preserve">       </w:t>
      </w:r>
      <w:r>
        <w:rPr>
          <w:rFonts w:hint="eastAsia" w:ascii="宋体" w:hAnsi="宋体"/>
          <w:color w:val="auto"/>
          <w:sz w:val="24"/>
          <w:highlight w:val="none"/>
        </w:rPr>
        <w:t>月</w:t>
      </w:r>
      <w:r>
        <w:rPr>
          <w:rFonts w:ascii="宋体" w:hAnsi="宋体"/>
          <w:color w:val="auto"/>
          <w:sz w:val="24"/>
          <w:highlight w:val="none"/>
          <w:u w:val="single"/>
        </w:rPr>
        <w:t xml:space="preserve">       </w:t>
      </w:r>
      <w:r>
        <w:rPr>
          <w:rFonts w:hint="eastAsia" w:ascii="宋体" w:hAnsi="宋体"/>
          <w:color w:val="auto"/>
          <w:sz w:val="24"/>
          <w:highlight w:val="none"/>
        </w:rPr>
        <w:t>日</w:t>
      </w:r>
    </w:p>
    <w:p w14:paraId="22BA414F">
      <w:pPr>
        <w:autoSpaceDE w:val="0"/>
        <w:autoSpaceDN w:val="0"/>
        <w:adjustRightInd w:val="0"/>
        <w:spacing w:line="600" w:lineRule="exact"/>
        <w:ind w:firstLine="640"/>
        <w:jc w:val="center"/>
        <w:rPr>
          <w:rFonts w:ascii="宋体" w:hAnsi="宋体"/>
          <w:color w:val="auto"/>
          <w:sz w:val="24"/>
          <w:highlight w:val="none"/>
        </w:rPr>
        <w:sectPr>
          <w:headerReference r:id="rId28" w:type="first"/>
          <w:footerReference r:id="rId31" w:type="first"/>
          <w:headerReference r:id="rId26" w:type="default"/>
          <w:footerReference r:id="rId29" w:type="default"/>
          <w:headerReference r:id="rId27" w:type="even"/>
          <w:footerReference r:id="rId30" w:type="even"/>
          <w:pgSz w:w="11907" w:h="16840"/>
          <w:pgMar w:top="1440" w:right="1080" w:bottom="1440" w:left="1080" w:header="851" w:footer="851" w:gutter="0"/>
          <w:pgBorders>
            <w:top w:val="none" w:sz="0" w:space="0"/>
            <w:left w:val="none" w:sz="0" w:space="0"/>
            <w:bottom w:val="none" w:sz="0" w:space="0"/>
            <w:right w:val="none" w:sz="0" w:space="0"/>
          </w:pgBorders>
          <w:cols w:space="720" w:num="1"/>
          <w:docGrid w:linePitch="462" w:charSpace="0"/>
        </w:sectPr>
      </w:pPr>
    </w:p>
    <w:p w14:paraId="5DEB1F9F">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u w:val="single"/>
          <w:lang w:val="zh-CN"/>
        </w:rPr>
        <w:t xml:space="preserve">        </w:t>
      </w:r>
      <w:r>
        <w:rPr>
          <w:rFonts w:hint="eastAsia" w:ascii="宋体" w:hAnsi="宋体" w:eastAsia="宋体" w:cs="宋体"/>
          <w:color w:val="auto"/>
          <w:sz w:val="20"/>
          <w:szCs w:val="20"/>
          <w:highlight w:val="none"/>
          <w:lang w:val="zh-CN"/>
        </w:rPr>
        <w:t>年</w:t>
      </w:r>
      <w:r>
        <w:rPr>
          <w:rFonts w:hint="eastAsia" w:ascii="宋体" w:hAnsi="宋体" w:eastAsia="宋体" w:cs="宋体"/>
          <w:color w:val="auto"/>
          <w:sz w:val="20"/>
          <w:szCs w:val="20"/>
          <w:highlight w:val="none"/>
          <w:u w:val="single"/>
          <w:lang w:val="zh-CN"/>
        </w:rPr>
        <w:t xml:space="preserve">    </w:t>
      </w:r>
      <w:r>
        <w:rPr>
          <w:rFonts w:hint="eastAsia" w:ascii="宋体" w:hAnsi="宋体" w:eastAsia="宋体" w:cs="宋体"/>
          <w:color w:val="auto"/>
          <w:sz w:val="20"/>
          <w:szCs w:val="20"/>
          <w:highlight w:val="none"/>
          <w:lang w:val="zh-CN"/>
        </w:rPr>
        <w:t>月</w:t>
      </w:r>
      <w:r>
        <w:rPr>
          <w:rFonts w:hint="eastAsia" w:ascii="宋体" w:hAnsi="宋体" w:eastAsia="宋体" w:cs="宋体"/>
          <w:color w:val="auto"/>
          <w:sz w:val="20"/>
          <w:szCs w:val="20"/>
          <w:highlight w:val="none"/>
          <w:u w:val="single"/>
          <w:lang w:val="zh-CN"/>
        </w:rPr>
        <w:t xml:space="preserve">    </w:t>
      </w:r>
      <w:r>
        <w:rPr>
          <w:rFonts w:hint="eastAsia" w:ascii="宋体" w:hAnsi="宋体" w:eastAsia="宋体" w:cs="宋体"/>
          <w:color w:val="auto"/>
          <w:sz w:val="20"/>
          <w:szCs w:val="20"/>
          <w:highlight w:val="none"/>
          <w:lang w:val="zh-CN"/>
        </w:rPr>
        <w:t>日</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u w:val="single"/>
        </w:rPr>
        <w:t xml:space="preserve">   （采购人名称）   </w:t>
      </w:r>
      <w:r>
        <w:rPr>
          <w:rFonts w:hint="eastAsia" w:ascii="宋体" w:hAnsi="宋体" w:eastAsia="宋体" w:cs="宋体"/>
          <w:color w:val="auto"/>
          <w:sz w:val="20"/>
          <w:szCs w:val="20"/>
          <w:highlight w:val="none"/>
        </w:rPr>
        <w:t>以</w:t>
      </w:r>
      <w:r>
        <w:rPr>
          <w:rFonts w:hint="eastAsia" w:ascii="宋体" w:hAnsi="宋体" w:eastAsia="宋体" w:cs="宋体"/>
          <w:color w:val="auto"/>
          <w:sz w:val="20"/>
          <w:szCs w:val="20"/>
          <w:highlight w:val="none"/>
          <w:u w:val="single"/>
        </w:rPr>
        <w:t xml:space="preserve">   （政府采购方式）  </w:t>
      </w:r>
      <w:r>
        <w:rPr>
          <w:rFonts w:hint="eastAsia" w:ascii="宋体" w:hAnsi="宋体" w:eastAsia="宋体" w:cs="宋体"/>
          <w:color w:val="auto"/>
          <w:sz w:val="20"/>
          <w:szCs w:val="20"/>
          <w:highlight w:val="none"/>
        </w:rPr>
        <w:t>对</w:t>
      </w:r>
      <w:r>
        <w:rPr>
          <w:rFonts w:hint="eastAsia" w:ascii="宋体" w:hAnsi="宋体" w:eastAsia="宋体" w:cs="宋体"/>
          <w:color w:val="auto"/>
          <w:sz w:val="20"/>
          <w:szCs w:val="20"/>
          <w:highlight w:val="none"/>
          <w:u w:val="single"/>
        </w:rPr>
        <w:t xml:space="preserve">   （同前页项目名称）   </w:t>
      </w:r>
      <w:r>
        <w:rPr>
          <w:rFonts w:hint="eastAsia" w:ascii="宋体" w:hAnsi="宋体" w:eastAsia="宋体" w:cs="宋体"/>
          <w:color w:val="auto"/>
          <w:sz w:val="20"/>
          <w:szCs w:val="20"/>
          <w:highlight w:val="none"/>
        </w:rPr>
        <w:t>项目进行了采购。经</w:t>
      </w:r>
      <w:r>
        <w:rPr>
          <w:rFonts w:hint="eastAsia" w:ascii="宋体" w:hAnsi="宋体" w:eastAsia="宋体" w:cs="宋体"/>
          <w:color w:val="auto"/>
          <w:sz w:val="20"/>
          <w:szCs w:val="20"/>
          <w:highlight w:val="none"/>
          <w:u w:val="single"/>
        </w:rPr>
        <w:t xml:space="preserve">   （相关评定主体名称）   </w:t>
      </w:r>
      <w:r>
        <w:rPr>
          <w:rFonts w:hint="eastAsia" w:ascii="宋体" w:hAnsi="宋体" w:eastAsia="宋体" w:cs="宋体"/>
          <w:color w:val="auto"/>
          <w:sz w:val="20"/>
          <w:szCs w:val="20"/>
          <w:highlight w:val="none"/>
        </w:rPr>
        <w:t>评定，</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u w:val="single"/>
          <w:lang w:eastAsia="zh-CN"/>
        </w:rPr>
        <w:t>中标服务商</w:t>
      </w:r>
      <w:r>
        <w:rPr>
          <w:rFonts w:hint="eastAsia" w:ascii="宋体" w:hAnsi="宋体" w:eastAsia="宋体" w:cs="宋体"/>
          <w:color w:val="auto"/>
          <w:sz w:val="20"/>
          <w:szCs w:val="20"/>
          <w:highlight w:val="none"/>
          <w:u w:val="single"/>
        </w:rPr>
        <w:t xml:space="preserve">名称） </w:t>
      </w:r>
      <w:r>
        <w:rPr>
          <w:rFonts w:hint="eastAsia" w:ascii="宋体" w:hAnsi="宋体" w:eastAsia="宋体" w:cs="宋体"/>
          <w:color w:val="auto"/>
          <w:sz w:val="20"/>
          <w:szCs w:val="20"/>
          <w:highlight w:val="none"/>
        </w:rPr>
        <w:t>为该项目</w:t>
      </w:r>
      <w:r>
        <w:rPr>
          <w:rFonts w:hint="eastAsia" w:ascii="宋体" w:hAnsi="宋体" w:eastAsia="宋体" w:cs="宋体"/>
          <w:color w:val="auto"/>
          <w:sz w:val="20"/>
          <w:szCs w:val="20"/>
          <w:highlight w:val="none"/>
          <w:lang w:eastAsia="zh-CN"/>
        </w:rPr>
        <w:t>中标服务商</w:t>
      </w:r>
      <w:r>
        <w:rPr>
          <w:rFonts w:hint="eastAsia" w:ascii="宋体" w:hAnsi="宋体" w:eastAsia="宋体" w:cs="宋体"/>
          <w:color w:val="auto"/>
          <w:sz w:val="20"/>
          <w:szCs w:val="20"/>
          <w:highlight w:val="none"/>
        </w:rPr>
        <w:t>。现于成交通知书发出之日起三十日内，按照采购文件确定的事项签订本合同。</w:t>
      </w:r>
    </w:p>
    <w:p w14:paraId="221CCAC1">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0"/>
          <w:szCs w:val="20"/>
          <w:highlight w:val="none"/>
          <w:u w:val="single"/>
        </w:rPr>
        <w:t xml:space="preserve">   （采购人名称）   </w:t>
      </w:r>
      <w:r>
        <w:rPr>
          <w:rFonts w:hint="eastAsia" w:ascii="宋体" w:hAnsi="宋体" w:eastAsia="宋体" w:cs="宋体"/>
          <w:color w:val="auto"/>
          <w:sz w:val="20"/>
          <w:szCs w:val="20"/>
          <w:highlight w:val="none"/>
          <w:lang w:val="zh-CN"/>
        </w:rPr>
        <w:t>(以下简称：甲方)和</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u w:val="single"/>
          <w:lang w:eastAsia="zh-CN"/>
        </w:rPr>
        <w:t>中标服务商</w:t>
      </w:r>
      <w:r>
        <w:rPr>
          <w:rFonts w:hint="eastAsia" w:ascii="宋体" w:hAnsi="宋体" w:eastAsia="宋体" w:cs="宋体"/>
          <w:color w:val="auto"/>
          <w:sz w:val="20"/>
          <w:szCs w:val="20"/>
          <w:highlight w:val="none"/>
          <w:u w:val="single"/>
        </w:rPr>
        <w:t xml:space="preserve">名称）   </w:t>
      </w:r>
      <w:r>
        <w:rPr>
          <w:rFonts w:hint="eastAsia" w:ascii="宋体" w:hAnsi="宋体" w:eastAsia="宋体" w:cs="宋体"/>
          <w:color w:val="auto"/>
          <w:sz w:val="20"/>
          <w:szCs w:val="20"/>
          <w:highlight w:val="none"/>
          <w:lang w:val="zh-CN"/>
        </w:rPr>
        <w:t>(以下简称：乙方)协商一致，约定以下合同</w:t>
      </w:r>
      <w:r>
        <w:rPr>
          <w:rFonts w:hint="eastAsia" w:ascii="宋体" w:hAnsi="宋体" w:eastAsia="宋体" w:cs="宋体"/>
          <w:color w:val="auto"/>
          <w:sz w:val="20"/>
          <w:szCs w:val="20"/>
          <w:highlight w:val="none"/>
        </w:rPr>
        <w:t>条款，以兹共同遵守、全面履行。</w:t>
      </w:r>
    </w:p>
    <w:p w14:paraId="2082FDB5">
      <w:pPr>
        <w:spacing w:line="560" w:lineRule="exact"/>
        <w:ind w:firstLine="402" w:firstLineChars="200"/>
        <w:outlineLvl w:val="0"/>
        <w:rPr>
          <w:rFonts w:hint="eastAsia" w:ascii="宋体" w:hAnsi="宋体" w:eastAsia="宋体" w:cs="宋体"/>
          <w:color w:val="auto"/>
          <w:sz w:val="20"/>
          <w:szCs w:val="20"/>
          <w:highlight w:val="none"/>
        </w:rPr>
      </w:pPr>
      <w:bookmarkStart w:id="22" w:name="_Toc22967"/>
      <w:bookmarkStart w:id="23" w:name="_Toc20421"/>
      <w:bookmarkStart w:id="24" w:name="_Toc19273"/>
      <w:bookmarkStart w:id="25" w:name="_Toc3762"/>
      <w:bookmarkStart w:id="26" w:name="_Toc15367"/>
      <w:bookmarkStart w:id="27" w:name="_Toc7084"/>
      <w:bookmarkStart w:id="28" w:name="_Toc22167"/>
      <w:bookmarkStart w:id="29" w:name="_Toc28855"/>
      <w:bookmarkStart w:id="30" w:name="_Toc8403"/>
      <w:r>
        <w:rPr>
          <w:rFonts w:hint="eastAsia" w:ascii="宋体" w:hAnsi="宋体" w:eastAsia="宋体" w:cs="宋体"/>
          <w:b/>
          <w:color w:val="auto"/>
          <w:sz w:val="20"/>
          <w:szCs w:val="20"/>
          <w:highlight w:val="none"/>
        </w:rPr>
        <w:t>1.1 合同组成部分</w:t>
      </w:r>
      <w:bookmarkEnd w:id="22"/>
      <w:bookmarkEnd w:id="23"/>
      <w:bookmarkEnd w:id="24"/>
      <w:bookmarkEnd w:id="25"/>
      <w:bookmarkEnd w:id="26"/>
      <w:bookmarkEnd w:id="27"/>
      <w:bookmarkEnd w:id="28"/>
      <w:bookmarkEnd w:id="29"/>
      <w:bookmarkEnd w:id="30"/>
    </w:p>
    <w:p w14:paraId="7E9C0E26">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543E7C7">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1.1.1 本合同及其补充合同、变更协议；</w:t>
      </w:r>
    </w:p>
    <w:p w14:paraId="207E683F">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1.1.2 成交通知书；</w:t>
      </w:r>
    </w:p>
    <w:p w14:paraId="34E60BE3">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1.1.3 响应文件（含澄清或者说明文件）；</w:t>
      </w:r>
    </w:p>
    <w:p w14:paraId="701FCB8D">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1.1.4 采购文件（含澄清或者修改文件）；</w:t>
      </w:r>
    </w:p>
    <w:p w14:paraId="21EF42E0">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1.1.5 其他相关采购文件。</w:t>
      </w:r>
    </w:p>
    <w:p w14:paraId="0E1DDEDD">
      <w:pPr>
        <w:spacing w:line="560" w:lineRule="exact"/>
        <w:ind w:firstLine="402" w:firstLineChars="200"/>
        <w:outlineLvl w:val="0"/>
        <w:rPr>
          <w:rFonts w:hint="eastAsia" w:ascii="宋体" w:hAnsi="宋体" w:eastAsia="宋体" w:cs="宋体"/>
          <w:b/>
          <w:color w:val="auto"/>
          <w:sz w:val="20"/>
          <w:szCs w:val="20"/>
          <w:highlight w:val="none"/>
        </w:rPr>
      </w:pPr>
      <w:bookmarkStart w:id="31" w:name="_Toc28678"/>
      <w:bookmarkStart w:id="32" w:name="_Toc12823"/>
      <w:bookmarkStart w:id="33" w:name="_Toc2918"/>
      <w:bookmarkStart w:id="34" w:name="_Toc18585"/>
      <w:bookmarkStart w:id="35" w:name="_Toc22185"/>
      <w:bookmarkStart w:id="36" w:name="_Toc28132"/>
      <w:bookmarkStart w:id="37" w:name="_Toc6311"/>
      <w:bookmarkStart w:id="38" w:name="_Toc18633"/>
      <w:bookmarkStart w:id="39" w:name="_Toc6773"/>
      <w:r>
        <w:rPr>
          <w:rFonts w:hint="eastAsia" w:ascii="宋体" w:hAnsi="宋体" w:eastAsia="宋体" w:cs="宋体"/>
          <w:b/>
          <w:color w:val="auto"/>
          <w:sz w:val="20"/>
          <w:szCs w:val="20"/>
          <w:highlight w:val="none"/>
        </w:rPr>
        <w:t>1.2 标的</w:t>
      </w:r>
      <w:bookmarkEnd w:id="31"/>
      <w:bookmarkEnd w:id="32"/>
      <w:bookmarkEnd w:id="33"/>
      <w:bookmarkEnd w:id="34"/>
      <w:bookmarkEnd w:id="35"/>
      <w:bookmarkEnd w:id="36"/>
      <w:bookmarkEnd w:id="37"/>
      <w:bookmarkEnd w:id="38"/>
      <w:bookmarkEnd w:id="39"/>
    </w:p>
    <w:p w14:paraId="2BCDFBE6">
      <w:pPr>
        <w:spacing w:line="560" w:lineRule="exact"/>
        <w:ind w:firstLine="400" w:firstLineChars="200"/>
        <w:rPr>
          <w:rFonts w:hint="eastAsia" w:ascii="宋体" w:hAnsi="宋体" w:eastAsia="宋体" w:cs="宋体"/>
          <w:color w:val="auto"/>
          <w:sz w:val="20"/>
          <w:szCs w:val="20"/>
          <w:highlight w:val="none"/>
          <w:u w:val="single"/>
        </w:rPr>
      </w:pPr>
      <w:r>
        <w:rPr>
          <w:rFonts w:hint="eastAsia" w:ascii="宋体" w:hAnsi="宋体" w:eastAsia="宋体" w:cs="宋体"/>
          <w:color w:val="auto"/>
          <w:sz w:val="20"/>
          <w:szCs w:val="20"/>
          <w:highlight w:val="none"/>
        </w:rPr>
        <w:t>1.2.1 标的名称：</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w:t>
      </w:r>
    </w:p>
    <w:p w14:paraId="3D2B0407">
      <w:pPr>
        <w:spacing w:line="560" w:lineRule="exact"/>
        <w:ind w:firstLine="400" w:firstLineChars="200"/>
        <w:rPr>
          <w:rFonts w:hint="eastAsia" w:ascii="宋体" w:hAnsi="宋体" w:eastAsia="宋体" w:cs="宋体"/>
          <w:color w:val="auto"/>
          <w:sz w:val="20"/>
          <w:szCs w:val="20"/>
          <w:highlight w:val="none"/>
          <w:u w:val="single"/>
        </w:rPr>
      </w:pPr>
      <w:r>
        <w:rPr>
          <w:rFonts w:hint="eastAsia" w:ascii="宋体" w:hAnsi="宋体" w:eastAsia="宋体" w:cs="宋体"/>
          <w:color w:val="auto"/>
          <w:sz w:val="20"/>
          <w:szCs w:val="20"/>
          <w:highlight w:val="none"/>
        </w:rPr>
        <w:t>1.2.2 标的数量：</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w:t>
      </w:r>
    </w:p>
    <w:p w14:paraId="27094364">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1.2.3 标的质量：</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w:t>
      </w:r>
    </w:p>
    <w:p w14:paraId="5721A47B">
      <w:pPr>
        <w:spacing w:line="560" w:lineRule="exact"/>
        <w:ind w:firstLine="402" w:firstLineChars="200"/>
        <w:outlineLvl w:val="0"/>
        <w:rPr>
          <w:rFonts w:hint="eastAsia" w:ascii="宋体" w:hAnsi="宋体" w:eastAsia="宋体" w:cs="宋体"/>
          <w:b/>
          <w:color w:val="auto"/>
          <w:sz w:val="20"/>
          <w:szCs w:val="20"/>
          <w:highlight w:val="none"/>
        </w:rPr>
      </w:pPr>
      <w:bookmarkStart w:id="40" w:name="_Toc5635"/>
      <w:bookmarkStart w:id="41" w:name="_Toc3624"/>
      <w:bookmarkStart w:id="42" w:name="_Toc21124"/>
      <w:bookmarkStart w:id="43" w:name="_Toc1386"/>
      <w:bookmarkStart w:id="44" w:name="_Toc16432"/>
      <w:bookmarkStart w:id="45" w:name="_Toc4929"/>
      <w:bookmarkStart w:id="46" w:name="_Toc13918"/>
      <w:bookmarkStart w:id="47" w:name="_Toc13698"/>
      <w:bookmarkStart w:id="48" w:name="_Toc16822"/>
      <w:r>
        <w:rPr>
          <w:rFonts w:hint="eastAsia" w:ascii="宋体" w:hAnsi="宋体" w:eastAsia="宋体" w:cs="宋体"/>
          <w:b/>
          <w:color w:val="auto"/>
          <w:sz w:val="20"/>
          <w:szCs w:val="20"/>
          <w:highlight w:val="none"/>
        </w:rPr>
        <w:t>1.3 价款</w:t>
      </w:r>
      <w:bookmarkEnd w:id="40"/>
      <w:bookmarkEnd w:id="41"/>
      <w:bookmarkEnd w:id="42"/>
      <w:bookmarkEnd w:id="43"/>
      <w:bookmarkEnd w:id="44"/>
      <w:bookmarkEnd w:id="45"/>
      <w:bookmarkEnd w:id="46"/>
      <w:bookmarkEnd w:id="47"/>
      <w:bookmarkEnd w:id="48"/>
    </w:p>
    <w:p w14:paraId="648697CB">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本合同总价为：￥</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元（大写：</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元人民币）。</w:t>
      </w:r>
    </w:p>
    <w:p w14:paraId="226FD5C0">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分项价格：</w:t>
      </w:r>
    </w:p>
    <w:p w14:paraId="24D7391D">
      <w:pPr>
        <w:pStyle w:val="6"/>
        <w:rPr>
          <w:rFonts w:hint="eastAsia"/>
          <w:color w:val="auto"/>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2966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154BFCB">
            <w:pPr>
              <w:pStyle w:val="46"/>
              <w:spacing w:line="560" w:lineRule="exact"/>
              <w:jc w:val="center"/>
              <w:rPr>
                <w:rFonts w:hint="eastAsia" w:ascii="宋体" w:hAnsi="宋体" w:eastAsia="宋体" w:cs="宋体"/>
                <w:color w:val="auto"/>
                <w:kern w:val="2"/>
                <w:sz w:val="20"/>
                <w:szCs w:val="20"/>
                <w:highlight w:val="none"/>
                <w:lang w:val="en-US" w:eastAsia="zh-CN"/>
              </w:rPr>
            </w:pPr>
            <w:r>
              <w:rPr>
                <w:rFonts w:hint="eastAsia" w:ascii="宋体" w:hAnsi="宋体" w:eastAsia="宋体" w:cs="宋体"/>
                <w:color w:val="auto"/>
                <w:kern w:val="2"/>
                <w:sz w:val="20"/>
                <w:szCs w:val="20"/>
                <w:highlight w:val="none"/>
                <w:lang w:val="en-US" w:eastAsia="zh-CN"/>
              </w:rPr>
              <w:t>序号</w:t>
            </w:r>
          </w:p>
        </w:tc>
        <w:tc>
          <w:tcPr>
            <w:tcW w:w="3402" w:type="dxa"/>
            <w:noWrap w:val="0"/>
            <w:vAlign w:val="center"/>
          </w:tcPr>
          <w:p w14:paraId="4E8E8280">
            <w:pPr>
              <w:pStyle w:val="46"/>
              <w:spacing w:line="560" w:lineRule="exact"/>
              <w:ind w:firstLine="200"/>
              <w:jc w:val="center"/>
              <w:rPr>
                <w:rFonts w:hint="eastAsia" w:ascii="宋体" w:hAnsi="宋体" w:eastAsia="宋体" w:cs="宋体"/>
                <w:color w:val="auto"/>
                <w:kern w:val="2"/>
                <w:sz w:val="20"/>
                <w:szCs w:val="20"/>
                <w:highlight w:val="none"/>
                <w:lang w:val="en-US" w:eastAsia="zh-CN"/>
              </w:rPr>
            </w:pPr>
            <w:r>
              <w:rPr>
                <w:rFonts w:hint="eastAsia" w:ascii="宋体" w:hAnsi="宋体" w:eastAsia="宋体" w:cs="宋体"/>
                <w:color w:val="auto"/>
                <w:kern w:val="2"/>
                <w:sz w:val="20"/>
                <w:szCs w:val="20"/>
                <w:highlight w:val="none"/>
                <w:lang w:val="en-US" w:eastAsia="zh-CN"/>
              </w:rPr>
              <w:t>分项名称</w:t>
            </w:r>
          </w:p>
        </w:tc>
        <w:tc>
          <w:tcPr>
            <w:tcW w:w="2552" w:type="dxa"/>
            <w:noWrap w:val="0"/>
            <w:vAlign w:val="center"/>
          </w:tcPr>
          <w:p w14:paraId="622138FC">
            <w:pPr>
              <w:pStyle w:val="46"/>
              <w:spacing w:line="560" w:lineRule="exact"/>
              <w:jc w:val="center"/>
              <w:rPr>
                <w:rFonts w:hint="eastAsia" w:ascii="宋体" w:hAnsi="宋体" w:eastAsia="宋体" w:cs="宋体"/>
                <w:color w:val="auto"/>
                <w:kern w:val="2"/>
                <w:sz w:val="20"/>
                <w:szCs w:val="20"/>
                <w:highlight w:val="none"/>
                <w:lang w:val="en-US" w:eastAsia="zh-CN"/>
              </w:rPr>
            </w:pPr>
            <w:r>
              <w:rPr>
                <w:rFonts w:hint="eastAsia" w:ascii="宋体" w:hAnsi="宋体" w:eastAsia="宋体" w:cs="宋体"/>
                <w:color w:val="auto"/>
                <w:kern w:val="2"/>
                <w:sz w:val="20"/>
                <w:szCs w:val="20"/>
                <w:highlight w:val="none"/>
                <w:lang w:val="en-US" w:eastAsia="zh-CN"/>
              </w:rPr>
              <w:t>分项价格</w:t>
            </w:r>
          </w:p>
        </w:tc>
      </w:tr>
      <w:tr w14:paraId="0724F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2DC619B">
            <w:pPr>
              <w:pStyle w:val="46"/>
              <w:spacing w:line="560" w:lineRule="exact"/>
              <w:ind w:firstLine="200"/>
              <w:jc w:val="center"/>
              <w:rPr>
                <w:rFonts w:hint="eastAsia" w:ascii="宋体" w:hAnsi="宋体" w:eastAsia="宋体" w:cs="宋体"/>
                <w:color w:val="auto"/>
                <w:kern w:val="2"/>
                <w:sz w:val="20"/>
                <w:szCs w:val="20"/>
                <w:highlight w:val="none"/>
                <w:lang w:val="en-US" w:eastAsia="zh-CN"/>
              </w:rPr>
            </w:pPr>
          </w:p>
        </w:tc>
        <w:tc>
          <w:tcPr>
            <w:tcW w:w="3402" w:type="dxa"/>
            <w:noWrap w:val="0"/>
            <w:vAlign w:val="center"/>
          </w:tcPr>
          <w:p w14:paraId="513BCCF9">
            <w:pPr>
              <w:pStyle w:val="46"/>
              <w:spacing w:line="560" w:lineRule="exact"/>
              <w:ind w:firstLine="200"/>
              <w:jc w:val="center"/>
              <w:rPr>
                <w:rFonts w:hint="eastAsia" w:ascii="宋体" w:hAnsi="宋体" w:eastAsia="宋体" w:cs="宋体"/>
                <w:color w:val="auto"/>
                <w:kern w:val="2"/>
                <w:sz w:val="20"/>
                <w:szCs w:val="20"/>
                <w:highlight w:val="none"/>
                <w:lang w:val="en-US" w:eastAsia="zh-CN"/>
              </w:rPr>
            </w:pPr>
          </w:p>
        </w:tc>
        <w:tc>
          <w:tcPr>
            <w:tcW w:w="2552" w:type="dxa"/>
            <w:noWrap w:val="0"/>
            <w:vAlign w:val="center"/>
          </w:tcPr>
          <w:p w14:paraId="25089EA6">
            <w:pPr>
              <w:pStyle w:val="46"/>
              <w:spacing w:line="560" w:lineRule="exact"/>
              <w:ind w:firstLine="200"/>
              <w:jc w:val="center"/>
              <w:rPr>
                <w:rFonts w:hint="eastAsia" w:ascii="宋体" w:hAnsi="宋体" w:eastAsia="宋体" w:cs="宋体"/>
                <w:color w:val="auto"/>
                <w:kern w:val="2"/>
                <w:sz w:val="20"/>
                <w:szCs w:val="20"/>
                <w:highlight w:val="none"/>
                <w:lang w:val="en-US" w:eastAsia="zh-CN"/>
              </w:rPr>
            </w:pPr>
          </w:p>
        </w:tc>
      </w:tr>
      <w:tr w14:paraId="1E83D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81CCF7C">
            <w:pPr>
              <w:pStyle w:val="46"/>
              <w:spacing w:line="560" w:lineRule="exact"/>
              <w:ind w:firstLine="200"/>
              <w:jc w:val="center"/>
              <w:rPr>
                <w:rFonts w:hint="eastAsia" w:ascii="宋体" w:hAnsi="宋体" w:eastAsia="宋体" w:cs="宋体"/>
                <w:color w:val="auto"/>
                <w:kern w:val="2"/>
                <w:sz w:val="20"/>
                <w:szCs w:val="20"/>
                <w:highlight w:val="none"/>
                <w:lang w:val="en-US" w:eastAsia="zh-CN"/>
              </w:rPr>
            </w:pPr>
          </w:p>
        </w:tc>
        <w:tc>
          <w:tcPr>
            <w:tcW w:w="3402" w:type="dxa"/>
            <w:noWrap w:val="0"/>
            <w:vAlign w:val="center"/>
          </w:tcPr>
          <w:p w14:paraId="40DF34AC">
            <w:pPr>
              <w:pStyle w:val="46"/>
              <w:spacing w:line="560" w:lineRule="exact"/>
              <w:ind w:firstLine="200"/>
              <w:jc w:val="center"/>
              <w:rPr>
                <w:rFonts w:hint="eastAsia" w:ascii="宋体" w:hAnsi="宋体" w:eastAsia="宋体" w:cs="宋体"/>
                <w:color w:val="auto"/>
                <w:kern w:val="2"/>
                <w:sz w:val="20"/>
                <w:szCs w:val="20"/>
                <w:highlight w:val="none"/>
                <w:lang w:val="en-US" w:eastAsia="zh-CN"/>
              </w:rPr>
            </w:pPr>
          </w:p>
        </w:tc>
        <w:tc>
          <w:tcPr>
            <w:tcW w:w="2552" w:type="dxa"/>
            <w:noWrap w:val="0"/>
            <w:vAlign w:val="center"/>
          </w:tcPr>
          <w:p w14:paraId="7D3F6644">
            <w:pPr>
              <w:pStyle w:val="46"/>
              <w:spacing w:line="560" w:lineRule="exact"/>
              <w:ind w:firstLine="200"/>
              <w:jc w:val="center"/>
              <w:rPr>
                <w:rFonts w:hint="eastAsia" w:ascii="宋体" w:hAnsi="宋体" w:eastAsia="宋体" w:cs="宋体"/>
                <w:color w:val="auto"/>
                <w:kern w:val="2"/>
                <w:sz w:val="20"/>
                <w:szCs w:val="20"/>
                <w:highlight w:val="none"/>
                <w:lang w:val="en-US" w:eastAsia="zh-CN"/>
              </w:rPr>
            </w:pPr>
          </w:p>
        </w:tc>
      </w:tr>
      <w:tr w14:paraId="0BF38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DD79692">
            <w:pPr>
              <w:pStyle w:val="46"/>
              <w:spacing w:line="560" w:lineRule="exact"/>
              <w:ind w:firstLine="200"/>
              <w:jc w:val="center"/>
              <w:rPr>
                <w:rFonts w:hint="eastAsia" w:ascii="宋体" w:hAnsi="宋体" w:eastAsia="宋体" w:cs="宋体"/>
                <w:color w:val="auto"/>
                <w:kern w:val="2"/>
                <w:sz w:val="20"/>
                <w:szCs w:val="20"/>
                <w:highlight w:val="none"/>
                <w:lang w:val="en-US" w:eastAsia="zh-CN"/>
              </w:rPr>
            </w:pPr>
          </w:p>
        </w:tc>
        <w:tc>
          <w:tcPr>
            <w:tcW w:w="3402" w:type="dxa"/>
            <w:noWrap w:val="0"/>
            <w:vAlign w:val="center"/>
          </w:tcPr>
          <w:p w14:paraId="5CE7B4BF">
            <w:pPr>
              <w:pStyle w:val="46"/>
              <w:spacing w:line="560" w:lineRule="exact"/>
              <w:ind w:firstLine="200"/>
              <w:jc w:val="center"/>
              <w:rPr>
                <w:rFonts w:hint="eastAsia" w:ascii="宋体" w:hAnsi="宋体" w:eastAsia="宋体" w:cs="宋体"/>
                <w:color w:val="auto"/>
                <w:kern w:val="2"/>
                <w:sz w:val="20"/>
                <w:szCs w:val="20"/>
                <w:highlight w:val="none"/>
                <w:lang w:val="en-US" w:eastAsia="zh-CN"/>
              </w:rPr>
            </w:pPr>
          </w:p>
        </w:tc>
        <w:tc>
          <w:tcPr>
            <w:tcW w:w="2552" w:type="dxa"/>
            <w:noWrap w:val="0"/>
            <w:vAlign w:val="center"/>
          </w:tcPr>
          <w:p w14:paraId="31665B25">
            <w:pPr>
              <w:pStyle w:val="46"/>
              <w:spacing w:line="560" w:lineRule="exact"/>
              <w:ind w:firstLine="200"/>
              <w:jc w:val="center"/>
              <w:rPr>
                <w:rFonts w:hint="eastAsia" w:ascii="宋体" w:hAnsi="宋体" w:eastAsia="宋体" w:cs="宋体"/>
                <w:color w:val="auto"/>
                <w:kern w:val="2"/>
                <w:sz w:val="20"/>
                <w:szCs w:val="20"/>
                <w:highlight w:val="none"/>
                <w:lang w:val="en-US" w:eastAsia="zh-CN"/>
              </w:rPr>
            </w:pPr>
          </w:p>
        </w:tc>
      </w:tr>
      <w:tr w14:paraId="3F21A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D6CBDE2">
            <w:pPr>
              <w:pStyle w:val="46"/>
              <w:spacing w:line="560" w:lineRule="exact"/>
              <w:ind w:firstLine="200"/>
              <w:jc w:val="center"/>
              <w:rPr>
                <w:rFonts w:hint="eastAsia" w:ascii="宋体" w:hAnsi="宋体" w:eastAsia="宋体" w:cs="宋体"/>
                <w:color w:val="auto"/>
                <w:kern w:val="2"/>
                <w:sz w:val="20"/>
                <w:szCs w:val="20"/>
                <w:highlight w:val="none"/>
                <w:lang w:val="en-US" w:eastAsia="zh-CN"/>
              </w:rPr>
            </w:pPr>
          </w:p>
        </w:tc>
        <w:tc>
          <w:tcPr>
            <w:tcW w:w="3402" w:type="dxa"/>
            <w:noWrap w:val="0"/>
            <w:vAlign w:val="center"/>
          </w:tcPr>
          <w:p w14:paraId="7BC05BA9">
            <w:pPr>
              <w:pStyle w:val="46"/>
              <w:spacing w:line="560" w:lineRule="exact"/>
              <w:ind w:firstLine="200"/>
              <w:jc w:val="center"/>
              <w:rPr>
                <w:rFonts w:hint="eastAsia" w:ascii="宋体" w:hAnsi="宋体" w:eastAsia="宋体" w:cs="宋体"/>
                <w:color w:val="auto"/>
                <w:kern w:val="2"/>
                <w:sz w:val="20"/>
                <w:szCs w:val="20"/>
                <w:highlight w:val="none"/>
                <w:lang w:val="en-US" w:eastAsia="zh-CN"/>
              </w:rPr>
            </w:pPr>
          </w:p>
        </w:tc>
        <w:tc>
          <w:tcPr>
            <w:tcW w:w="2552" w:type="dxa"/>
            <w:noWrap w:val="0"/>
            <w:vAlign w:val="center"/>
          </w:tcPr>
          <w:p w14:paraId="07FF3B96">
            <w:pPr>
              <w:pStyle w:val="46"/>
              <w:spacing w:line="560" w:lineRule="exact"/>
              <w:ind w:firstLine="200"/>
              <w:jc w:val="center"/>
              <w:rPr>
                <w:rFonts w:hint="eastAsia" w:ascii="宋体" w:hAnsi="宋体" w:eastAsia="宋体" w:cs="宋体"/>
                <w:color w:val="auto"/>
                <w:kern w:val="2"/>
                <w:sz w:val="20"/>
                <w:szCs w:val="20"/>
                <w:highlight w:val="none"/>
                <w:lang w:val="en-US" w:eastAsia="zh-CN"/>
              </w:rPr>
            </w:pPr>
          </w:p>
        </w:tc>
      </w:tr>
      <w:tr w14:paraId="50AC5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52D6F704">
            <w:pPr>
              <w:pStyle w:val="46"/>
              <w:spacing w:line="560" w:lineRule="exact"/>
              <w:ind w:firstLine="200"/>
              <w:jc w:val="center"/>
              <w:rPr>
                <w:rFonts w:hint="eastAsia" w:ascii="宋体" w:hAnsi="宋体" w:eastAsia="宋体" w:cs="宋体"/>
                <w:color w:val="auto"/>
                <w:kern w:val="2"/>
                <w:sz w:val="20"/>
                <w:szCs w:val="20"/>
                <w:highlight w:val="none"/>
                <w:lang w:val="en-US" w:eastAsia="zh-CN"/>
              </w:rPr>
            </w:pPr>
            <w:r>
              <w:rPr>
                <w:rFonts w:hint="eastAsia" w:ascii="宋体" w:hAnsi="宋体" w:eastAsia="宋体" w:cs="宋体"/>
                <w:color w:val="auto"/>
                <w:kern w:val="2"/>
                <w:sz w:val="20"/>
                <w:szCs w:val="20"/>
                <w:highlight w:val="none"/>
                <w:lang w:val="en-US" w:eastAsia="zh-CN"/>
              </w:rPr>
              <w:t>总价</w:t>
            </w:r>
          </w:p>
        </w:tc>
        <w:tc>
          <w:tcPr>
            <w:tcW w:w="2552" w:type="dxa"/>
            <w:noWrap w:val="0"/>
            <w:vAlign w:val="center"/>
          </w:tcPr>
          <w:p w14:paraId="10291276">
            <w:pPr>
              <w:pStyle w:val="46"/>
              <w:spacing w:line="560" w:lineRule="exact"/>
              <w:ind w:firstLine="200"/>
              <w:jc w:val="center"/>
              <w:rPr>
                <w:rFonts w:hint="eastAsia" w:ascii="宋体" w:hAnsi="宋体" w:eastAsia="宋体" w:cs="宋体"/>
                <w:color w:val="auto"/>
                <w:kern w:val="2"/>
                <w:sz w:val="20"/>
                <w:szCs w:val="20"/>
                <w:highlight w:val="none"/>
                <w:lang w:val="en-US" w:eastAsia="zh-CN"/>
              </w:rPr>
            </w:pPr>
          </w:p>
        </w:tc>
      </w:tr>
    </w:tbl>
    <w:p w14:paraId="09A9775C">
      <w:pPr>
        <w:spacing w:line="560" w:lineRule="exact"/>
        <w:ind w:firstLine="402" w:firstLineChars="200"/>
        <w:outlineLvl w:val="0"/>
        <w:rPr>
          <w:rFonts w:hint="eastAsia" w:ascii="宋体" w:hAnsi="宋体" w:eastAsia="宋体" w:cs="宋体"/>
          <w:b/>
          <w:color w:val="auto"/>
          <w:sz w:val="20"/>
          <w:szCs w:val="20"/>
          <w:highlight w:val="none"/>
        </w:rPr>
      </w:pPr>
      <w:bookmarkStart w:id="49" w:name="_Toc30506"/>
      <w:bookmarkStart w:id="50" w:name="_Toc30158"/>
      <w:bookmarkStart w:id="51" w:name="_Toc16658"/>
      <w:bookmarkStart w:id="52" w:name="_Toc14993"/>
      <w:bookmarkStart w:id="53" w:name="_Toc3654"/>
      <w:bookmarkStart w:id="54" w:name="_Toc8444"/>
      <w:bookmarkStart w:id="55" w:name="_Toc13411"/>
      <w:bookmarkStart w:id="56" w:name="_Toc25448"/>
      <w:bookmarkStart w:id="57" w:name="_Toc26916"/>
      <w:r>
        <w:rPr>
          <w:rFonts w:hint="eastAsia" w:ascii="宋体" w:hAnsi="宋体" w:eastAsia="宋体" w:cs="宋体"/>
          <w:b/>
          <w:color w:val="auto"/>
          <w:sz w:val="20"/>
          <w:szCs w:val="20"/>
          <w:highlight w:val="none"/>
        </w:rPr>
        <w:t>1.4 付款方式和发票开具方式</w:t>
      </w:r>
      <w:bookmarkEnd w:id="49"/>
      <w:bookmarkEnd w:id="50"/>
      <w:bookmarkEnd w:id="51"/>
      <w:bookmarkEnd w:id="52"/>
      <w:bookmarkEnd w:id="53"/>
      <w:bookmarkEnd w:id="54"/>
      <w:bookmarkEnd w:id="55"/>
      <w:bookmarkEnd w:id="56"/>
      <w:bookmarkEnd w:id="57"/>
    </w:p>
    <w:p w14:paraId="38E12EC0">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1.4.1付款方式：</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w:t>
      </w:r>
    </w:p>
    <w:p w14:paraId="157E2DE8">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1.4.2 发票开具方式：</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w:t>
      </w:r>
    </w:p>
    <w:p w14:paraId="617DD95B">
      <w:pPr>
        <w:spacing w:line="560" w:lineRule="exact"/>
        <w:ind w:firstLine="402" w:firstLineChars="200"/>
        <w:outlineLvl w:val="0"/>
        <w:rPr>
          <w:rFonts w:hint="eastAsia" w:ascii="宋体" w:hAnsi="宋体" w:eastAsia="宋体" w:cs="宋体"/>
          <w:b/>
          <w:color w:val="auto"/>
          <w:sz w:val="20"/>
          <w:szCs w:val="20"/>
          <w:highlight w:val="none"/>
        </w:rPr>
      </w:pPr>
      <w:bookmarkStart w:id="58" w:name="_Toc16378"/>
      <w:bookmarkStart w:id="59" w:name="_Toc28950"/>
      <w:bookmarkStart w:id="60" w:name="_Toc3625"/>
      <w:bookmarkStart w:id="61" w:name="_Toc11108"/>
      <w:bookmarkStart w:id="62" w:name="_Toc10841"/>
      <w:bookmarkStart w:id="63" w:name="_Toc31421"/>
      <w:bookmarkStart w:id="64" w:name="_Toc8772"/>
      <w:bookmarkStart w:id="65" w:name="_Toc446"/>
      <w:bookmarkStart w:id="66" w:name="_Toc4760"/>
      <w:r>
        <w:rPr>
          <w:rFonts w:hint="eastAsia" w:ascii="宋体" w:hAnsi="宋体" w:eastAsia="宋体" w:cs="宋体"/>
          <w:b/>
          <w:color w:val="auto"/>
          <w:sz w:val="20"/>
          <w:szCs w:val="20"/>
          <w:highlight w:val="none"/>
        </w:rPr>
        <w:t>1.5 履行期限、地点和方式</w:t>
      </w:r>
      <w:bookmarkEnd w:id="58"/>
      <w:bookmarkEnd w:id="59"/>
      <w:bookmarkEnd w:id="60"/>
      <w:bookmarkEnd w:id="61"/>
      <w:bookmarkEnd w:id="62"/>
      <w:bookmarkEnd w:id="63"/>
      <w:bookmarkEnd w:id="64"/>
      <w:bookmarkEnd w:id="65"/>
      <w:bookmarkEnd w:id="66"/>
    </w:p>
    <w:p w14:paraId="199E459B">
      <w:pPr>
        <w:spacing w:line="560" w:lineRule="exact"/>
        <w:ind w:firstLine="400" w:firstLineChars="200"/>
        <w:rPr>
          <w:rFonts w:hint="eastAsia" w:ascii="宋体" w:hAnsi="宋体" w:eastAsia="宋体" w:cs="宋体"/>
          <w:color w:val="auto"/>
          <w:sz w:val="20"/>
          <w:szCs w:val="20"/>
          <w:highlight w:val="none"/>
          <w:u w:val="single"/>
        </w:rPr>
      </w:pPr>
      <w:r>
        <w:rPr>
          <w:rFonts w:hint="eastAsia" w:ascii="宋体" w:hAnsi="宋体" w:eastAsia="宋体" w:cs="宋体"/>
          <w:color w:val="auto"/>
          <w:sz w:val="20"/>
          <w:szCs w:val="20"/>
          <w:highlight w:val="none"/>
        </w:rPr>
        <w:t>1.5.1 履行期限：</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w:t>
      </w:r>
    </w:p>
    <w:p w14:paraId="2064C22D">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1.5.2 履行地点：</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w:t>
      </w:r>
    </w:p>
    <w:p w14:paraId="0B926A38">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1.5.3 履行方式：</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w:t>
      </w:r>
    </w:p>
    <w:p w14:paraId="3CCE7E5D">
      <w:pPr>
        <w:spacing w:line="560" w:lineRule="exact"/>
        <w:ind w:firstLine="402" w:firstLineChars="200"/>
        <w:outlineLvl w:val="0"/>
        <w:rPr>
          <w:rFonts w:hint="eastAsia" w:ascii="宋体" w:hAnsi="宋体" w:eastAsia="宋体" w:cs="宋体"/>
          <w:color w:val="auto"/>
          <w:sz w:val="20"/>
          <w:szCs w:val="20"/>
          <w:highlight w:val="none"/>
          <w:u w:val="single"/>
        </w:rPr>
      </w:pPr>
      <w:bookmarkStart w:id="67" w:name="_Toc5698"/>
      <w:bookmarkStart w:id="68" w:name="_Toc1840"/>
      <w:bookmarkStart w:id="69" w:name="_Toc24662"/>
      <w:bookmarkStart w:id="70" w:name="_Toc25034"/>
      <w:bookmarkStart w:id="71" w:name="_Toc8586"/>
      <w:bookmarkStart w:id="72" w:name="_Toc3079"/>
      <w:bookmarkStart w:id="73" w:name="_Toc30547"/>
      <w:bookmarkStart w:id="74" w:name="_Toc2375"/>
      <w:bookmarkStart w:id="75" w:name="_Toc620"/>
      <w:r>
        <w:rPr>
          <w:rFonts w:hint="eastAsia" w:ascii="宋体" w:hAnsi="宋体" w:eastAsia="宋体" w:cs="宋体"/>
          <w:b/>
          <w:color w:val="auto"/>
          <w:sz w:val="20"/>
          <w:szCs w:val="20"/>
          <w:highlight w:val="none"/>
        </w:rPr>
        <w:t>1.6 违约责任</w:t>
      </w:r>
      <w:bookmarkEnd w:id="67"/>
      <w:bookmarkEnd w:id="68"/>
      <w:bookmarkEnd w:id="69"/>
      <w:bookmarkEnd w:id="70"/>
      <w:bookmarkEnd w:id="71"/>
      <w:bookmarkEnd w:id="72"/>
      <w:bookmarkEnd w:id="73"/>
      <w:bookmarkEnd w:id="74"/>
      <w:bookmarkEnd w:id="75"/>
    </w:p>
    <w:p w14:paraId="7FF5C1BA">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1.6.1 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%计算，最高限额为本合同总价的</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%；迟延履行的违约金计算数额达到前述最高限额之日起，甲方有权在要求乙方支付违约金的同时，书面通知乙方解除本合同；</w:t>
      </w:r>
    </w:p>
    <w:p w14:paraId="6416E471">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1.6.2 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%计算，最高限额为本合同总价的</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%；迟延付款的违约金计算数额达到前述最高限额之日起，乙方有权在要求甲方支付违约金的同时，书面通知甲方解除本合同；</w:t>
      </w:r>
    </w:p>
    <w:p w14:paraId="70DD8364">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35C1DD77">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4D7FF47C">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4CCBBEE1">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1.6.6 如果出现政府采购监督管理部门在处理投诉事项期间，书面通知甲方暂停采购活动的情形，或者询问或质疑事项可能影响成交结果的，导致甲方中止履行合同的情形，均不视为甲方违约。</w:t>
      </w:r>
    </w:p>
    <w:p w14:paraId="1C3BBC22">
      <w:pPr>
        <w:spacing w:line="560" w:lineRule="exact"/>
        <w:ind w:firstLine="402" w:firstLineChars="200"/>
        <w:outlineLvl w:val="0"/>
        <w:rPr>
          <w:rFonts w:hint="eastAsia" w:ascii="宋体" w:hAnsi="宋体" w:eastAsia="宋体" w:cs="宋体"/>
          <w:b/>
          <w:color w:val="auto"/>
          <w:sz w:val="20"/>
          <w:szCs w:val="20"/>
          <w:highlight w:val="none"/>
        </w:rPr>
      </w:pPr>
      <w:bookmarkStart w:id="76" w:name="_Toc30329"/>
      <w:bookmarkStart w:id="77" w:name="_Toc26807"/>
      <w:bookmarkStart w:id="78" w:name="_Toc12364"/>
      <w:bookmarkStart w:id="79" w:name="_Toc10038"/>
      <w:bookmarkStart w:id="80" w:name="_Toc32454"/>
      <w:bookmarkStart w:id="81" w:name="_Toc2739"/>
      <w:bookmarkStart w:id="82" w:name="_Toc20825"/>
      <w:bookmarkStart w:id="83" w:name="_Toc18683"/>
      <w:bookmarkStart w:id="84" w:name="_Toc9497"/>
      <w:r>
        <w:rPr>
          <w:rFonts w:hint="eastAsia" w:ascii="宋体" w:hAnsi="宋体" w:eastAsia="宋体" w:cs="宋体"/>
          <w:b/>
          <w:color w:val="auto"/>
          <w:sz w:val="20"/>
          <w:szCs w:val="20"/>
          <w:highlight w:val="none"/>
        </w:rPr>
        <w:t>1.7 合同争议的解决</w:t>
      </w:r>
      <w:bookmarkEnd w:id="76"/>
      <w:bookmarkEnd w:id="77"/>
      <w:bookmarkEnd w:id="78"/>
      <w:bookmarkEnd w:id="79"/>
      <w:bookmarkEnd w:id="80"/>
      <w:bookmarkEnd w:id="81"/>
      <w:bookmarkEnd w:id="82"/>
      <w:bookmarkEnd w:id="83"/>
      <w:bookmarkEnd w:id="84"/>
    </w:p>
    <w:p w14:paraId="6E3B2C92">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本合同履行过程中发生的任何争议，双方当事人均可通过和解或者调解解决；不愿和解、调解或者和解、调解不成的，可以选择下列第</w:t>
      </w:r>
      <w:r>
        <w:rPr>
          <w:rFonts w:hint="eastAsia" w:ascii="宋体" w:hAnsi="宋体" w:eastAsia="宋体" w:cs="宋体"/>
          <w:color w:val="auto"/>
          <w:sz w:val="20"/>
          <w:szCs w:val="20"/>
          <w:highlight w:val="none"/>
          <w:u w:val="single"/>
        </w:rPr>
        <w:t xml:space="preserve"> 2 </w:t>
      </w:r>
      <w:r>
        <w:rPr>
          <w:rFonts w:hint="eastAsia" w:ascii="宋体" w:hAnsi="宋体" w:eastAsia="宋体" w:cs="宋体"/>
          <w:color w:val="auto"/>
          <w:sz w:val="20"/>
          <w:szCs w:val="20"/>
          <w:highlight w:val="none"/>
        </w:rPr>
        <w:t>种方式解决：</w:t>
      </w:r>
    </w:p>
    <w:p w14:paraId="43F42CE6">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1.7.1 将争议提交</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仲裁委员会依申请仲裁时其现行有效的仲裁规则裁决；</w:t>
      </w:r>
    </w:p>
    <w:p w14:paraId="3CB529DB">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1.7.2 向</w:t>
      </w:r>
      <w:r>
        <w:rPr>
          <w:rFonts w:hint="eastAsia" w:ascii="宋体" w:hAnsi="宋体" w:eastAsia="宋体" w:cs="宋体"/>
          <w:color w:val="auto"/>
          <w:sz w:val="20"/>
          <w:szCs w:val="20"/>
          <w:highlight w:val="none"/>
          <w:u w:val="single"/>
        </w:rPr>
        <w:t xml:space="preserve">  合同履行地    </w:t>
      </w:r>
      <w:r>
        <w:rPr>
          <w:rFonts w:hint="eastAsia" w:ascii="宋体" w:hAnsi="宋体" w:eastAsia="宋体" w:cs="宋体"/>
          <w:color w:val="auto"/>
          <w:sz w:val="20"/>
          <w:szCs w:val="20"/>
          <w:highlight w:val="none"/>
        </w:rPr>
        <w:t>人民法院起诉。</w:t>
      </w:r>
    </w:p>
    <w:p w14:paraId="5041F4CA">
      <w:pPr>
        <w:spacing w:line="560" w:lineRule="exact"/>
        <w:ind w:firstLine="402" w:firstLineChars="200"/>
        <w:outlineLvl w:val="0"/>
        <w:rPr>
          <w:rFonts w:hint="eastAsia" w:ascii="宋体" w:hAnsi="宋体" w:eastAsia="宋体" w:cs="宋体"/>
          <w:b/>
          <w:color w:val="auto"/>
          <w:sz w:val="20"/>
          <w:szCs w:val="20"/>
          <w:highlight w:val="none"/>
        </w:rPr>
      </w:pPr>
      <w:bookmarkStart w:id="85" w:name="_Toc22181"/>
      <w:bookmarkStart w:id="86" w:name="_Toc23784"/>
      <w:bookmarkStart w:id="87" w:name="_Toc298"/>
      <w:bookmarkStart w:id="88" w:name="_Toc4289"/>
      <w:bookmarkStart w:id="89" w:name="_Toc16417"/>
      <w:bookmarkStart w:id="90" w:name="_Toc25568"/>
      <w:bookmarkStart w:id="91" w:name="_Toc26227"/>
      <w:bookmarkStart w:id="92" w:name="_Toc15827"/>
      <w:bookmarkStart w:id="93" w:name="_Toc12273"/>
      <w:r>
        <w:rPr>
          <w:rFonts w:hint="eastAsia" w:ascii="宋体" w:hAnsi="宋体" w:eastAsia="宋体" w:cs="宋体"/>
          <w:b/>
          <w:color w:val="auto"/>
          <w:sz w:val="20"/>
          <w:szCs w:val="20"/>
          <w:highlight w:val="none"/>
        </w:rPr>
        <w:t>1.8 合同生效</w:t>
      </w:r>
      <w:bookmarkEnd w:id="85"/>
      <w:bookmarkEnd w:id="86"/>
      <w:bookmarkEnd w:id="87"/>
      <w:bookmarkEnd w:id="88"/>
      <w:bookmarkEnd w:id="89"/>
      <w:bookmarkEnd w:id="90"/>
      <w:bookmarkEnd w:id="91"/>
      <w:bookmarkEnd w:id="92"/>
      <w:bookmarkEnd w:id="93"/>
    </w:p>
    <w:p w14:paraId="71647B7F">
      <w:pPr>
        <w:spacing w:line="560" w:lineRule="exact"/>
        <w:ind w:firstLine="400" w:firstLineChars="200"/>
        <w:rPr>
          <w:rFonts w:hint="eastAsia" w:ascii="宋体" w:hAnsi="宋体" w:eastAsia="宋体" w:cs="宋体"/>
          <w:b/>
          <w:color w:val="auto"/>
          <w:sz w:val="20"/>
          <w:szCs w:val="20"/>
          <w:highlight w:val="none"/>
        </w:rPr>
      </w:pPr>
      <w:r>
        <w:rPr>
          <w:rFonts w:hint="eastAsia" w:ascii="宋体" w:hAnsi="宋体" w:eastAsia="宋体" w:cs="宋体"/>
          <w:color w:val="auto"/>
          <w:sz w:val="20"/>
          <w:szCs w:val="20"/>
          <w:highlight w:val="none"/>
        </w:rPr>
        <w:t>本合同自双方当事人盖章或者签字时生效。</w:t>
      </w:r>
    </w:p>
    <w:p w14:paraId="5B2767A5">
      <w:pPr>
        <w:autoSpaceDE w:val="0"/>
        <w:autoSpaceDN w:val="0"/>
        <w:adjustRightInd w:val="0"/>
        <w:spacing w:line="560" w:lineRule="exact"/>
        <w:rPr>
          <w:rFonts w:hint="eastAsia" w:ascii="宋体" w:hAnsi="宋体" w:eastAsia="宋体" w:cs="宋体"/>
          <w:color w:val="auto"/>
          <w:sz w:val="20"/>
          <w:szCs w:val="20"/>
          <w:highlight w:val="yellow"/>
          <w:lang w:val="zh-CN"/>
        </w:rPr>
      </w:pPr>
    </w:p>
    <w:p w14:paraId="79017007">
      <w:pPr>
        <w:autoSpaceDE w:val="0"/>
        <w:autoSpaceDN w:val="0"/>
        <w:adjustRightInd w:val="0"/>
        <w:spacing w:line="560" w:lineRule="exact"/>
        <w:rPr>
          <w:rFonts w:hint="eastAsia" w:ascii="宋体" w:hAnsi="宋体" w:eastAsia="宋体" w:cs="宋体"/>
          <w:color w:val="auto"/>
          <w:sz w:val="20"/>
          <w:szCs w:val="20"/>
          <w:highlight w:val="yellow"/>
          <w:lang w:val="zh-CN"/>
        </w:rPr>
      </w:pPr>
    </w:p>
    <w:p w14:paraId="55CDD1F1">
      <w:pPr>
        <w:autoSpaceDE w:val="0"/>
        <w:autoSpaceDN w:val="0"/>
        <w:adjustRightInd w:val="0"/>
        <w:spacing w:line="560" w:lineRule="exact"/>
        <w:rPr>
          <w:rFonts w:hint="eastAsia" w:ascii="宋体" w:hAnsi="宋体" w:eastAsia="宋体" w:cs="宋体"/>
          <w:color w:val="auto"/>
          <w:sz w:val="20"/>
          <w:szCs w:val="20"/>
          <w:highlight w:val="yellow"/>
          <w:lang w:val="zh-CN"/>
        </w:rPr>
      </w:pPr>
    </w:p>
    <w:p w14:paraId="455307DF">
      <w:pPr>
        <w:autoSpaceDE w:val="0"/>
        <w:autoSpaceDN w:val="0"/>
        <w:adjustRightInd w:val="0"/>
        <w:spacing w:line="560" w:lineRule="exact"/>
        <w:rPr>
          <w:rFonts w:hint="eastAsia" w:ascii="宋体" w:hAnsi="宋体" w:eastAsia="宋体" w:cs="宋体"/>
          <w:color w:val="auto"/>
          <w:sz w:val="20"/>
          <w:szCs w:val="20"/>
          <w:highlight w:val="yellow"/>
          <w:lang w:val="zh-CN"/>
        </w:rPr>
      </w:pPr>
    </w:p>
    <w:p w14:paraId="6A4C4BEE">
      <w:pPr>
        <w:autoSpaceDE w:val="0"/>
        <w:autoSpaceDN w:val="0"/>
        <w:adjustRightInd w:val="0"/>
        <w:spacing w:line="560" w:lineRule="exact"/>
        <w:rPr>
          <w:rFonts w:hint="eastAsia" w:ascii="宋体" w:hAnsi="宋体" w:eastAsia="宋体" w:cs="宋体"/>
          <w:color w:val="auto"/>
          <w:sz w:val="20"/>
          <w:szCs w:val="20"/>
          <w:highlight w:val="none"/>
          <w:lang w:val="zh-CN"/>
        </w:rPr>
      </w:pPr>
      <w:r>
        <w:rPr>
          <w:rFonts w:hint="eastAsia" w:ascii="宋体" w:hAnsi="宋体" w:eastAsia="宋体" w:cs="宋体"/>
          <w:b/>
          <w:color w:val="auto"/>
          <w:sz w:val="20"/>
          <w:szCs w:val="20"/>
          <w:highlight w:val="none"/>
          <w:lang w:val="zh-CN"/>
        </w:rPr>
        <w:t>甲方</w:t>
      </w:r>
      <w:r>
        <w:rPr>
          <w:rFonts w:hint="eastAsia" w:ascii="宋体" w:hAnsi="宋体" w:eastAsia="宋体" w:cs="宋体"/>
          <w:color w:val="auto"/>
          <w:sz w:val="20"/>
          <w:szCs w:val="20"/>
          <w:highlight w:val="none"/>
          <w:lang w:val="zh-CN"/>
        </w:rPr>
        <w:t xml:space="preserve">：                             </w:t>
      </w:r>
      <w:r>
        <w:rPr>
          <w:rFonts w:hint="eastAsia" w:ascii="宋体" w:hAnsi="宋体" w:eastAsia="宋体" w:cs="宋体"/>
          <w:b/>
          <w:color w:val="auto"/>
          <w:sz w:val="20"/>
          <w:szCs w:val="20"/>
          <w:highlight w:val="none"/>
          <w:lang w:val="zh-CN"/>
        </w:rPr>
        <w:t xml:space="preserve">      乙方</w:t>
      </w:r>
      <w:r>
        <w:rPr>
          <w:rFonts w:hint="eastAsia" w:ascii="宋体" w:hAnsi="宋体" w:eastAsia="宋体" w:cs="宋体"/>
          <w:color w:val="auto"/>
          <w:sz w:val="20"/>
          <w:szCs w:val="20"/>
          <w:highlight w:val="none"/>
          <w:lang w:val="zh-CN"/>
        </w:rPr>
        <w:t>：</w:t>
      </w:r>
    </w:p>
    <w:p w14:paraId="74B4D3EC">
      <w:pPr>
        <w:autoSpaceDE w:val="0"/>
        <w:autoSpaceDN w:val="0"/>
        <w:adjustRightInd w:val="0"/>
        <w:spacing w:line="560" w:lineRule="exact"/>
        <w:rPr>
          <w:rFonts w:hint="eastAsia" w:ascii="宋体" w:hAnsi="宋体" w:eastAsia="宋体" w:cs="宋体"/>
          <w:color w:val="auto"/>
          <w:sz w:val="20"/>
          <w:szCs w:val="20"/>
          <w:highlight w:val="none"/>
          <w:lang w:val="zh-CN"/>
        </w:rPr>
      </w:pPr>
      <w:r>
        <w:rPr>
          <w:rFonts w:hint="eastAsia" w:ascii="宋体" w:hAnsi="宋体" w:eastAsia="宋体" w:cs="宋体"/>
          <w:color w:val="auto"/>
          <w:sz w:val="20"/>
          <w:szCs w:val="20"/>
          <w:highlight w:val="none"/>
          <w:lang w:val="zh-CN"/>
        </w:rPr>
        <w:t>统一社会信用代码：                        统一社会信用代码或身份证号码：</w:t>
      </w:r>
    </w:p>
    <w:p w14:paraId="5F45A09B">
      <w:pPr>
        <w:autoSpaceDE w:val="0"/>
        <w:autoSpaceDN w:val="0"/>
        <w:adjustRightInd w:val="0"/>
        <w:spacing w:line="560" w:lineRule="exact"/>
        <w:rPr>
          <w:rFonts w:hint="eastAsia" w:ascii="宋体" w:hAnsi="宋体" w:eastAsia="宋体" w:cs="宋体"/>
          <w:color w:val="auto"/>
          <w:sz w:val="20"/>
          <w:szCs w:val="20"/>
          <w:highlight w:val="none"/>
          <w:lang w:val="zh-CN"/>
        </w:rPr>
      </w:pPr>
    </w:p>
    <w:p w14:paraId="660E71A3">
      <w:pPr>
        <w:autoSpaceDE w:val="0"/>
        <w:autoSpaceDN w:val="0"/>
        <w:adjustRightInd w:val="0"/>
        <w:spacing w:line="560" w:lineRule="exact"/>
        <w:rPr>
          <w:rFonts w:hint="eastAsia" w:ascii="宋体" w:hAnsi="宋体" w:eastAsia="宋体" w:cs="宋体"/>
          <w:color w:val="auto"/>
          <w:sz w:val="20"/>
          <w:szCs w:val="20"/>
          <w:highlight w:val="none"/>
          <w:lang w:val="zh-CN"/>
        </w:rPr>
      </w:pPr>
      <w:r>
        <w:rPr>
          <w:rFonts w:hint="eastAsia" w:ascii="宋体" w:hAnsi="宋体" w:eastAsia="宋体" w:cs="宋体"/>
          <w:color w:val="auto"/>
          <w:sz w:val="20"/>
          <w:szCs w:val="20"/>
          <w:highlight w:val="none"/>
          <w:lang w:val="zh-CN"/>
        </w:rPr>
        <w:t>住所：                                   住所：</w:t>
      </w:r>
    </w:p>
    <w:p w14:paraId="2526E4B7">
      <w:pPr>
        <w:autoSpaceDE w:val="0"/>
        <w:autoSpaceDN w:val="0"/>
        <w:adjustRightInd w:val="0"/>
        <w:spacing w:line="560" w:lineRule="exact"/>
        <w:rPr>
          <w:rFonts w:hint="eastAsia" w:ascii="宋体" w:hAnsi="宋体" w:eastAsia="宋体" w:cs="宋体"/>
          <w:color w:val="auto"/>
          <w:sz w:val="20"/>
          <w:szCs w:val="20"/>
          <w:highlight w:val="none"/>
          <w:lang w:val="zh-CN"/>
        </w:rPr>
      </w:pPr>
      <w:r>
        <w:rPr>
          <w:rFonts w:hint="eastAsia" w:ascii="宋体" w:hAnsi="宋体" w:eastAsia="宋体" w:cs="宋体"/>
          <w:color w:val="auto"/>
          <w:sz w:val="20"/>
          <w:szCs w:val="20"/>
          <w:highlight w:val="none"/>
          <w:lang w:val="zh-CN"/>
        </w:rPr>
        <w:t>法定代表人或                             法定代表人</w:t>
      </w:r>
    </w:p>
    <w:p w14:paraId="0853B0C9">
      <w:pPr>
        <w:autoSpaceDE w:val="0"/>
        <w:autoSpaceDN w:val="0"/>
        <w:adjustRightInd w:val="0"/>
        <w:spacing w:line="560" w:lineRule="exact"/>
        <w:rPr>
          <w:rFonts w:hint="eastAsia" w:ascii="宋体" w:hAnsi="宋体" w:eastAsia="宋体" w:cs="宋体"/>
          <w:color w:val="auto"/>
          <w:sz w:val="20"/>
          <w:szCs w:val="20"/>
          <w:highlight w:val="none"/>
          <w:lang w:val="zh-CN"/>
        </w:rPr>
      </w:pPr>
      <w:r>
        <w:rPr>
          <w:rFonts w:hint="eastAsia" w:ascii="宋体" w:hAnsi="宋体" w:eastAsia="宋体" w:cs="宋体"/>
          <w:color w:val="auto"/>
          <w:sz w:val="20"/>
          <w:szCs w:val="20"/>
          <w:highlight w:val="none"/>
          <w:lang w:val="zh-CN"/>
        </w:rPr>
        <w:t xml:space="preserve">授权代表（签字）：                        或授权代表（签字）: </w:t>
      </w:r>
    </w:p>
    <w:p w14:paraId="2D028E15">
      <w:pPr>
        <w:autoSpaceDE w:val="0"/>
        <w:autoSpaceDN w:val="0"/>
        <w:adjustRightInd w:val="0"/>
        <w:spacing w:line="560" w:lineRule="exact"/>
        <w:rPr>
          <w:rFonts w:hint="eastAsia" w:ascii="宋体" w:hAnsi="宋体" w:eastAsia="宋体" w:cs="宋体"/>
          <w:color w:val="auto"/>
          <w:sz w:val="20"/>
          <w:szCs w:val="20"/>
          <w:highlight w:val="none"/>
          <w:lang w:val="zh-CN"/>
        </w:rPr>
      </w:pPr>
      <w:r>
        <w:rPr>
          <w:rFonts w:hint="eastAsia" w:ascii="宋体" w:hAnsi="宋体" w:eastAsia="宋体" w:cs="宋体"/>
          <w:color w:val="auto"/>
          <w:sz w:val="20"/>
          <w:szCs w:val="20"/>
          <w:highlight w:val="none"/>
          <w:lang w:val="zh-CN"/>
        </w:rPr>
        <w:t>联系人：                                 联系人：</w:t>
      </w:r>
    </w:p>
    <w:p w14:paraId="227F52AB">
      <w:pPr>
        <w:autoSpaceDE w:val="0"/>
        <w:autoSpaceDN w:val="0"/>
        <w:adjustRightInd w:val="0"/>
        <w:spacing w:line="560" w:lineRule="exact"/>
        <w:rPr>
          <w:rFonts w:hint="eastAsia" w:ascii="宋体" w:hAnsi="宋体" w:eastAsia="宋体" w:cs="宋体"/>
          <w:color w:val="auto"/>
          <w:sz w:val="20"/>
          <w:szCs w:val="20"/>
          <w:highlight w:val="none"/>
          <w:lang w:val="zh-CN"/>
        </w:rPr>
      </w:pPr>
      <w:r>
        <w:rPr>
          <w:rFonts w:hint="eastAsia" w:ascii="宋体" w:hAnsi="宋体" w:eastAsia="宋体" w:cs="宋体"/>
          <w:color w:val="auto"/>
          <w:sz w:val="20"/>
          <w:szCs w:val="20"/>
          <w:highlight w:val="none"/>
          <w:lang w:val="zh-CN"/>
        </w:rPr>
        <w:t>约定送达地址：                           约定送达地址：</w:t>
      </w:r>
    </w:p>
    <w:p w14:paraId="7733D6A8">
      <w:pPr>
        <w:autoSpaceDE w:val="0"/>
        <w:autoSpaceDN w:val="0"/>
        <w:adjustRightInd w:val="0"/>
        <w:spacing w:line="560" w:lineRule="exact"/>
        <w:rPr>
          <w:rFonts w:hint="eastAsia" w:ascii="宋体" w:hAnsi="宋体" w:eastAsia="宋体" w:cs="宋体"/>
          <w:color w:val="auto"/>
          <w:sz w:val="20"/>
          <w:szCs w:val="20"/>
          <w:highlight w:val="none"/>
          <w:lang w:val="zh-CN"/>
        </w:rPr>
      </w:pPr>
      <w:r>
        <w:rPr>
          <w:rFonts w:hint="eastAsia" w:ascii="宋体" w:hAnsi="宋体" w:eastAsia="宋体" w:cs="宋体"/>
          <w:color w:val="auto"/>
          <w:sz w:val="20"/>
          <w:szCs w:val="20"/>
          <w:highlight w:val="none"/>
          <w:lang w:val="zh-CN"/>
        </w:rPr>
        <w:t>邮政编码：                               邮政编码：</w:t>
      </w:r>
    </w:p>
    <w:p w14:paraId="5B5A8949">
      <w:pPr>
        <w:autoSpaceDE w:val="0"/>
        <w:autoSpaceDN w:val="0"/>
        <w:adjustRightInd w:val="0"/>
        <w:spacing w:line="560" w:lineRule="exact"/>
        <w:rPr>
          <w:rFonts w:hint="eastAsia" w:ascii="宋体" w:hAnsi="宋体" w:eastAsia="宋体" w:cs="宋体"/>
          <w:color w:val="auto"/>
          <w:sz w:val="20"/>
          <w:szCs w:val="20"/>
          <w:highlight w:val="none"/>
          <w:lang w:val="zh-CN"/>
        </w:rPr>
      </w:pPr>
      <w:r>
        <w:rPr>
          <w:rFonts w:hint="eastAsia" w:ascii="宋体" w:hAnsi="宋体" w:eastAsia="宋体" w:cs="宋体"/>
          <w:color w:val="auto"/>
          <w:sz w:val="20"/>
          <w:szCs w:val="20"/>
          <w:highlight w:val="none"/>
          <w:lang w:val="zh-CN"/>
        </w:rPr>
        <w:t xml:space="preserve">电话:                                    电话: </w:t>
      </w:r>
    </w:p>
    <w:p w14:paraId="5EC097BC">
      <w:pPr>
        <w:autoSpaceDE w:val="0"/>
        <w:autoSpaceDN w:val="0"/>
        <w:adjustRightInd w:val="0"/>
        <w:spacing w:line="560" w:lineRule="exact"/>
        <w:rPr>
          <w:rFonts w:hint="eastAsia" w:ascii="宋体" w:hAnsi="宋体" w:eastAsia="宋体" w:cs="宋体"/>
          <w:color w:val="auto"/>
          <w:sz w:val="20"/>
          <w:szCs w:val="20"/>
          <w:highlight w:val="none"/>
          <w:lang w:val="zh-CN"/>
        </w:rPr>
      </w:pPr>
      <w:r>
        <w:rPr>
          <w:rFonts w:hint="eastAsia" w:ascii="宋体" w:hAnsi="宋体" w:eastAsia="宋体" w:cs="宋体"/>
          <w:color w:val="auto"/>
          <w:sz w:val="20"/>
          <w:szCs w:val="20"/>
          <w:highlight w:val="none"/>
          <w:lang w:val="zh-CN"/>
        </w:rPr>
        <w:t>传真:                                    传真:</w:t>
      </w:r>
    </w:p>
    <w:p w14:paraId="333D4A29">
      <w:pPr>
        <w:autoSpaceDE w:val="0"/>
        <w:autoSpaceDN w:val="0"/>
        <w:adjustRightInd w:val="0"/>
        <w:spacing w:line="560" w:lineRule="exact"/>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zh-CN"/>
        </w:rPr>
        <w:t>电子邮箱：                               电子邮箱：</w:t>
      </w:r>
    </w:p>
    <w:p w14:paraId="296143D3">
      <w:pPr>
        <w:autoSpaceDE w:val="0"/>
        <w:autoSpaceDN w:val="0"/>
        <w:adjustRightInd w:val="0"/>
        <w:spacing w:line="560" w:lineRule="exact"/>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 xml:space="preserve">开户银行：                               开户银行： </w:t>
      </w:r>
    </w:p>
    <w:p w14:paraId="438506D1">
      <w:pPr>
        <w:autoSpaceDE w:val="0"/>
        <w:autoSpaceDN w:val="0"/>
        <w:adjustRightInd w:val="0"/>
        <w:spacing w:line="560" w:lineRule="exact"/>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 xml:space="preserve">开户名称：                               开户名称： </w:t>
      </w:r>
    </w:p>
    <w:p w14:paraId="51E503E8">
      <w:pPr>
        <w:autoSpaceDE w:val="0"/>
        <w:autoSpaceDN w:val="0"/>
        <w:adjustRightInd w:val="0"/>
        <w:spacing w:line="560" w:lineRule="exact"/>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开户账号：</w:t>
      </w:r>
      <w:r>
        <w:rPr>
          <w:rFonts w:hint="eastAsia" w:ascii="宋体" w:hAnsi="宋体" w:eastAsia="宋体" w:cs="宋体"/>
          <w:color w:val="auto"/>
          <w:sz w:val="20"/>
          <w:szCs w:val="20"/>
          <w:highlight w:val="none"/>
          <w:lang w:val="zh-CN"/>
        </w:rPr>
        <w:t xml:space="preserve">                               </w:t>
      </w:r>
      <w:r>
        <w:rPr>
          <w:rFonts w:hint="eastAsia" w:ascii="宋体" w:hAnsi="宋体" w:eastAsia="宋体" w:cs="宋体"/>
          <w:color w:val="auto"/>
          <w:sz w:val="20"/>
          <w:szCs w:val="20"/>
          <w:highlight w:val="none"/>
        </w:rPr>
        <w:t>开户账号：</w:t>
      </w:r>
    </w:p>
    <w:p w14:paraId="5DE37AEB">
      <w:pPr>
        <w:widowControl/>
        <w:spacing w:line="560" w:lineRule="exact"/>
        <w:jc w:val="left"/>
        <w:rPr>
          <w:rFonts w:hint="eastAsia" w:ascii="宋体" w:hAnsi="宋体" w:eastAsia="宋体" w:cs="宋体"/>
          <w:b/>
          <w:color w:val="auto"/>
          <w:sz w:val="20"/>
          <w:szCs w:val="20"/>
          <w:highlight w:val="none"/>
        </w:rPr>
      </w:pPr>
      <w:bookmarkStart w:id="94" w:name="_Toc331685783"/>
    </w:p>
    <w:p w14:paraId="0F903BD3">
      <w:pPr>
        <w:widowControl/>
        <w:spacing w:line="560" w:lineRule="exact"/>
        <w:jc w:val="left"/>
        <w:rPr>
          <w:rFonts w:hint="eastAsia" w:ascii="宋体" w:hAnsi="宋体" w:eastAsia="宋体" w:cs="宋体"/>
          <w:b/>
          <w:color w:val="auto"/>
          <w:sz w:val="20"/>
          <w:szCs w:val="20"/>
          <w:highlight w:val="none"/>
        </w:rPr>
      </w:pPr>
    </w:p>
    <w:p w14:paraId="41FC0479">
      <w:pPr>
        <w:widowControl/>
        <w:spacing w:line="560" w:lineRule="exact"/>
        <w:jc w:val="left"/>
        <w:rPr>
          <w:rFonts w:hint="eastAsia" w:ascii="宋体" w:hAnsi="宋体" w:eastAsia="宋体" w:cs="宋体"/>
          <w:b/>
          <w:color w:val="auto"/>
          <w:kern w:val="0"/>
          <w:sz w:val="20"/>
          <w:szCs w:val="20"/>
          <w:highlight w:val="none"/>
        </w:rPr>
      </w:pPr>
    </w:p>
    <w:p w14:paraId="27BE2AF1">
      <w:pPr>
        <w:widowControl/>
        <w:spacing w:line="560" w:lineRule="exact"/>
        <w:jc w:val="left"/>
        <w:rPr>
          <w:rFonts w:hint="eastAsia" w:ascii="宋体" w:hAnsi="宋体" w:eastAsia="宋体" w:cs="宋体"/>
          <w:b/>
          <w:color w:val="auto"/>
          <w:kern w:val="0"/>
          <w:sz w:val="20"/>
          <w:szCs w:val="20"/>
          <w:highlight w:val="yellow"/>
        </w:rPr>
      </w:pPr>
    </w:p>
    <w:p w14:paraId="7826B661">
      <w:pPr>
        <w:widowControl/>
        <w:spacing w:line="560" w:lineRule="exact"/>
        <w:jc w:val="left"/>
        <w:rPr>
          <w:rFonts w:hint="eastAsia" w:ascii="宋体" w:hAnsi="宋体" w:eastAsia="宋体" w:cs="宋体"/>
          <w:b/>
          <w:color w:val="auto"/>
          <w:kern w:val="0"/>
          <w:sz w:val="20"/>
          <w:szCs w:val="20"/>
          <w:highlight w:val="yellow"/>
        </w:rPr>
      </w:pPr>
    </w:p>
    <w:p w14:paraId="6D6E0738">
      <w:pPr>
        <w:widowControl/>
        <w:spacing w:line="560" w:lineRule="exact"/>
        <w:jc w:val="left"/>
        <w:rPr>
          <w:rFonts w:hint="eastAsia" w:ascii="宋体" w:hAnsi="宋体" w:eastAsia="宋体" w:cs="宋体"/>
          <w:b/>
          <w:color w:val="auto"/>
          <w:kern w:val="0"/>
          <w:sz w:val="20"/>
          <w:szCs w:val="20"/>
          <w:highlight w:val="yellow"/>
        </w:rPr>
      </w:pPr>
    </w:p>
    <w:p w14:paraId="7FD1DBC2">
      <w:pPr>
        <w:widowControl/>
        <w:spacing w:line="560" w:lineRule="exact"/>
        <w:jc w:val="left"/>
        <w:rPr>
          <w:rFonts w:hint="eastAsia" w:ascii="宋体" w:hAnsi="宋体" w:eastAsia="宋体" w:cs="宋体"/>
          <w:b/>
          <w:color w:val="auto"/>
          <w:kern w:val="0"/>
          <w:sz w:val="20"/>
          <w:szCs w:val="20"/>
          <w:highlight w:val="yellow"/>
        </w:rPr>
      </w:pPr>
    </w:p>
    <w:p w14:paraId="06FFAC4B">
      <w:pPr>
        <w:widowControl/>
        <w:spacing w:line="560" w:lineRule="exact"/>
        <w:jc w:val="left"/>
        <w:rPr>
          <w:rFonts w:hint="eastAsia" w:ascii="宋体" w:hAnsi="宋体" w:eastAsia="宋体" w:cs="宋体"/>
          <w:b/>
          <w:color w:val="auto"/>
          <w:kern w:val="0"/>
          <w:sz w:val="20"/>
          <w:szCs w:val="20"/>
          <w:highlight w:val="yellow"/>
        </w:rPr>
      </w:pPr>
    </w:p>
    <w:p w14:paraId="07F9F5F0">
      <w:pPr>
        <w:pStyle w:val="44"/>
        <w:spacing w:line="560" w:lineRule="exact"/>
        <w:ind w:firstLine="200"/>
        <w:jc w:val="center"/>
        <w:rPr>
          <w:rFonts w:hint="eastAsia" w:ascii="宋体" w:hAnsi="宋体" w:eastAsia="宋体" w:cs="宋体"/>
          <w:b/>
          <w:color w:val="auto"/>
          <w:sz w:val="20"/>
          <w:szCs w:val="20"/>
          <w:highlight w:val="none"/>
        </w:rPr>
      </w:pPr>
      <w:r>
        <w:rPr>
          <w:rFonts w:hint="eastAsia" w:ascii="宋体" w:hAnsi="宋体" w:eastAsia="宋体" w:cs="宋体"/>
          <w:b/>
          <w:color w:val="auto"/>
          <w:sz w:val="20"/>
          <w:szCs w:val="20"/>
          <w:highlight w:val="none"/>
        </w:rPr>
        <w:t>第二部分 合同一般条款</w:t>
      </w:r>
      <w:bookmarkEnd w:id="94"/>
    </w:p>
    <w:p w14:paraId="0600ADE4">
      <w:pPr>
        <w:spacing w:line="560" w:lineRule="exact"/>
        <w:ind w:firstLine="402" w:firstLineChars="200"/>
        <w:outlineLvl w:val="0"/>
        <w:rPr>
          <w:rFonts w:hint="eastAsia" w:ascii="宋体" w:hAnsi="宋体" w:eastAsia="宋体" w:cs="宋体"/>
          <w:b/>
          <w:color w:val="auto"/>
          <w:sz w:val="20"/>
          <w:szCs w:val="20"/>
          <w:highlight w:val="none"/>
        </w:rPr>
      </w:pPr>
      <w:bookmarkStart w:id="95" w:name="_Ref467378404"/>
      <w:bookmarkStart w:id="96" w:name="_Toc9527"/>
      <w:bookmarkStart w:id="97" w:name="_Ref467379101"/>
      <w:bookmarkStart w:id="98" w:name="_Ref467378499"/>
      <w:bookmarkStart w:id="99" w:name="_Ref467378463"/>
      <w:bookmarkStart w:id="100" w:name="_Toc14021"/>
      <w:bookmarkStart w:id="101" w:name="_Toc487900349"/>
      <w:bookmarkStart w:id="102" w:name="_Toc13926"/>
      <w:bookmarkStart w:id="103" w:name="_Ref467379094"/>
      <w:bookmarkStart w:id="104" w:name="_Toc259093669"/>
      <w:bookmarkStart w:id="105" w:name="_Ref467379205"/>
      <w:bookmarkStart w:id="106" w:name="_Toc279701240"/>
      <w:bookmarkStart w:id="107" w:name="_Ref467379109"/>
      <w:bookmarkStart w:id="108" w:name="_Ref467379214"/>
      <w:bookmarkStart w:id="109" w:name="_Toc30993"/>
      <w:bookmarkStart w:id="110" w:name="_Toc19680"/>
      <w:bookmarkStart w:id="111" w:name="_Ref467379195"/>
      <w:bookmarkStart w:id="112" w:name="_Toc31494"/>
      <w:bookmarkStart w:id="113" w:name="_Toc5228"/>
      <w:bookmarkStart w:id="114" w:name="_Ref467379225"/>
      <w:bookmarkStart w:id="115" w:name="_Toc25079"/>
      <w:bookmarkStart w:id="116" w:name="_Toc31297"/>
      <w:r>
        <w:rPr>
          <w:rFonts w:hint="eastAsia" w:ascii="宋体" w:hAnsi="宋体" w:eastAsia="宋体" w:cs="宋体"/>
          <w:b/>
          <w:color w:val="auto"/>
          <w:sz w:val="20"/>
          <w:szCs w:val="20"/>
          <w:highlight w:val="none"/>
        </w:rPr>
        <w:t>2.1 定义</w:t>
      </w:r>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p>
    <w:p w14:paraId="6881BCEB">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本合同中的下列词语应按以下内容进行解释：</w:t>
      </w:r>
    </w:p>
    <w:p w14:paraId="4001A396">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2.1.1 “合同”系指采购人和</w:t>
      </w:r>
      <w:r>
        <w:rPr>
          <w:rFonts w:hint="eastAsia" w:ascii="宋体" w:hAnsi="宋体" w:eastAsia="宋体" w:cs="宋体"/>
          <w:color w:val="auto"/>
          <w:sz w:val="20"/>
          <w:szCs w:val="20"/>
          <w:highlight w:val="none"/>
          <w:lang w:eastAsia="zh-CN"/>
        </w:rPr>
        <w:t>中标服务商</w:t>
      </w:r>
      <w:r>
        <w:rPr>
          <w:rFonts w:hint="eastAsia" w:ascii="宋体" w:hAnsi="宋体" w:eastAsia="宋体" w:cs="宋体"/>
          <w:color w:val="auto"/>
          <w:sz w:val="20"/>
          <w:szCs w:val="20"/>
          <w:highlight w:val="none"/>
        </w:rPr>
        <w:t>签订的载明双方当事人所达成的协议，并包括所有的附件、附录和构成合同的其他文件。</w:t>
      </w:r>
    </w:p>
    <w:p w14:paraId="52E001F7">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2.1.2 “合同价”系指根据合同约定，</w:t>
      </w:r>
      <w:r>
        <w:rPr>
          <w:rFonts w:hint="eastAsia" w:ascii="宋体" w:hAnsi="宋体" w:eastAsia="宋体" w:cs="宋体"/>
          <w:color w:val="auto"/>
          <w:sz w:val="20"/>
          <w:szCs w:val="20"/>
          <w:highlight w:val="none"/>
          <w:lang w:eastAsia="zh-CN"/>
        </w:rPr>
        <w:t>中标服务商</w:t>
      </w:r>
      <w:r>
        <w:rPr>
          <w:rFonts w:hint="eastAsia" w:ascii="宋体" w:hAnsi="宋体" w:eastAsia="宋体" w:cs="宋体"/>
          <w:color w:val="auto"/>
          <w:sz w:val="20"/>
          <w:szCs w:val="20"/>
          <w:highlight w:val="none"/>
        </w:rPr>
        <w:t>在完全履行合同义务后，采购人应支付给</w:t>
      </w:r>
      <w:r>
        <w:rPr>
          <w:rFonts w:hint="eastAsia" w:ascii="宋体" w:hAnsi="宋体" w:eastAsia="宋体" w:cs="宋体"/>
          <w:color w:val="auto"/>
          <w:sz w:val="20"/>
          <w:szCs w:val="20"/>
          <w:highlight w:val="none"/>
          <w:lang w:eastAsia="zh-CN"/>
        </w:rPr>
        <w:t>中标服务商</w:t>
      </w:r>
      <w:r>
        <w:rPr>
          <w:rFonts w:hint="eastAsia" w:ascii="宋体" w:hAnsi="宋体" w:eastAsia="宋体" w:cs="宋体"/>
          <w:color w:val="auto"/>
          <w:sz w:val="20"/>
          <w:szCs w:val="20"/>
          <w:highlight w:val="none"/>
        </w:rPr>
        <w:t>的价格。</w:t>
      </w:r>
    </w:p>
    <w:p w14:paraId="44E1B8D3">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2.1.3 “服务”系指</w:t>
      </w:r>
      <w:r>
        <w:rPr>
          <w:rFonts w:hint="eastAsia" w:ascii="宋体" w:hAnsi="宋体" w:eastAsia="宋体" w:cs="宋体"/>
          <w:color w:val="auto"/>
          <w:sz w:val="20"/>
          <w:szCs w:val="20"/>
          <w:highlight w:val="none"/>
          <w:lang w:eastAsia="zh-CN"/>
        </w:rPr>
        <w:t>中标服务商</w:t>
      </w:r>
      <w:r>
        <w:rPr>
          <w:rFonts w:hint="eastAsia" w:ascii="宋体" w:hAnsi="宋体" w:eastAsia="宋体" w:cs="宋体"/>
          <w:color w:val="auto"/>
          <w:sz w:val="20"/>
          <w:szCs w:val="20"/>
          <w:highlight w:val="none"/>
        </w:rPr>
        <w:t>根据合同约定应向采购人履行的除货物和工程以外的其他政府采购对象，包括采购人自身需要的服务和向社会公众提供的公共服务。</w:t>
      </w:r>
    </w:p>
    <w:p w14:paraId="27B6E4DE">
      <w:pPr>
        <w:spacing w:line="560" w:lineRule="exact"/>
        <w:ind w:firstLine="400" w:firstLineChars="200"/>
        <w:rPr>
          <w:rFonts w:hint="eastAsia" w:ascii="宋体" w:hAnsi="宋体" w:eastAsia="宋体" w:cs="宋体"/>
          <w:color w:val="auto"/>
          <w:sz w:val="20"/>
          <w:szCs w:val="20"/>
          <w:highlight w:val="none"/>
        </w:rPr>
      </w:pPr>
      <w:bookmarkStart w:id="117" w:name="_Ref467378840"/>
      <w:r>
        <w:rPr>
          <w:rFonts w:hint="eastAsia" w:ascii="宋体" w:hAnsi="宋体" w:eastAsia="宋体" w:cs="宋体"/>
          <w:color w:val="auto"/>
          <w:sz w:val="20"/>
          <w:szCs w:val="20"/>
          <w:highlight w:val="none"/>
        </w:rPr>
        <w:t>2.1.4 “甲方”系指与</w:t>
      </w:r>
      <w:r>
        <w:rPr>
          <w:rFonts w:hint="eastAsia" w:ascii="宋体" w:hAnsi="宋体" w:eastAsia="宋体" w:cs="宋体"/>
          <w:color w:val="auto"/>
          <w:sz w:val="20"/>
          <w:szCs w:val="20"/>
          <w:highlight w:val="none"/>
          <w:lang w:eastAsia="zh-CN"/>
        </w:rPr>
        <w:t>中标服务商</w:t>
      </w:r>
      <w:r>
        <w:rPr>
          <w:rFonts w:hint="eastAsia" w:ascii="宋体" w:hAnsi="宋体" w:eastAsia="宋体" w:cs="宋体"/>
          <w:color w:val="auto"/>
          <w:sz w:val="20"/>
          <w:szCs w:val="20"/>
          <w:highlight w:val="none"/>
        </w:rPr>
        <w:t>签署合同的采购人</w:t>
      </w:r>
      <w:bookmarkEnd w:id="117"/>
      <w:r>
        <w:rPr>
          <w:rFonts w:hint="eastAsia" w:ascii="宋体" w:hAnsi="宋体" w:eastAsia="宋体" w:cs="宋体"/>
          <w:color w:val="auto"/>
          <w:sz w:val="20"/>
          <w:szCs w:val="20"/>
          <w:highlight w:val="none"/>
        </w:rPr>
        <w:t>；采购人委托采购代理机构代表其与乙方签订合同的，采购人的授权委托书作为合同附件。</w:t>
      </w:r>
    </w:p>
    <w:p w14:paraId="18876AA1">
      <w:pPr>
        <w:spacing w:line="560" w:lineRule="exact"/>
        <w:ind w:firstLine="400" w:firstLineChars="200"/>
        <w:rPr>
          <w:rFonts w:hint="eastAsia" w:ascii="宋体" w:hAnsi="宋体" w:eastAsia="宋体" w:cs="宋体"/>
          <w:color w:val="auto"/>
          <w:sz w:val="20"/>
          <w:szCs w:val="20"/>
          <w:highlight w:val="none"/>
        </w:rPr>
      </w:pPr>
      <w:bookmarkStart w:id="118" w:name="_Ref467379400"/>
      <w:r>
        <w:rPr>
          <w:rFonts w:hint="eastAsia" w:ascii="宋体" w:hAnsi="宋体" w:eastAsia="宋体" w:cs="宋体"/>
          <w:color w:val="auto"/>
          <w:sz w:val="20"/>
          <w:szCs w:val="20"/>
          <w:highlight w:val="none"/>
        </w:rPr>
        <w:t>2.1.5 “乙方”系指根据合同约定提供服务的</w:t>
      </w:r>
      <w:bookmarkEnd w:id="118"/>
      <w:r>
        <w:rPr>
          <w:rFonts w:hint="eastAsia" w:ascii="宋体" w:hAnsi="宋体" w:eastAsia="宋体" w:cs="宋体"/>
          <w:color w:val="auto"/>
          <w:sz w:val="20"/>
          <w:szCs w:val="20"/>
          <w:highlight w:val="none"/>
          <w:lang w:eastAsia="zh-CN"/>
        </w:rPr>
        <w:t>中标服务商</w:t>
      </w:r>
      <w:r>
        <w:rPr>
          <w:rFonts w:hint="eastAsia" w:ascii="宋体" w:hAnsi="宋体" w:eastAsia="宋体" w:cs="宋体"/>
          <w:color w:val="auto"/>
          <w:sz w:val="20"/>
          <w:szCs w:val="20"/>
          <w:highlight w:val="none"/>
        </w:rPr>
        <w:t>；两个以上的自然人、法人或者其他组织组成一个联合体，以一个服务商的身份共同参加政府采购的，联合体各方均应为乙方或者与乙方相同地位的合同当事人，并就合同约定的事项对甲方承担连带责任。</w:t>
      </w:r>
    </w:p>
    <w:p w14:paraId="08ED57FF">
      <w:pPr>
        <w:spacing w:line="560" w:lineRule="exact"/>
        <w:ind w:firstLine="400" w:firstLineChars="200"/>
        <w:rPr>
          <w:rFonts w:hint="eastAsia" w:ascii="宋体" w:hAnsi="宋体" w:eastAsia="宋体" w:cs="宋体"/>
          <w:color w:val="auto"/>
          <w:sz w:val="20"/>
          <w:szCs w:val="20"/>
          <w:highlight w:val="none"/>
        </w:rPr>
      </w:pPr>
      <w:bookmarkStart w:id="119" w:name="_Ref467379436"/>
      <w:r>
        <w:rPr>
          <w:rFonts w:hint="eastAsia" w:ascii="宋体" w:hAnsi="宋体" w:eastAsia="宋体" w:cs="宋体"/>
          <w:color w:val="auto"/>
          <w:sz w:val="20"/>
          <w:szCs w:val="20"/>
          <w:highlight w:val="none"/>
        </w:rPr>
        <w:t>2.1.6 “现场”系指合同约定提供服务的地点。</w:t>
      </w:r>
      <w:bookmarkEnd w:id="119"/>
    </w:p>
    <w:p w14:paraId="1D8802A8">
      <w:pPr>
        <w:spacing w:line="560" w:lineRule="exact"/>
        <w:ind w:firstLine="402" w:firstLineChars="200"/>
        <w:outlineLvl w:val="0"/>
        <w:rPr>
          <w:rFonts w:hint="eastAsia" w:ascii="宋体" w:hAnsi="宋体" w:eastAsia="宋体" w:cs="宋体"/>
          <w:b/>
          <w:color w:val="auto"/>
          <w:sz w:val="20"/>
          <w:szCs w:val="20"/>
          <w:highlight w:val="none"/>
        </w:rPr>
      </w:pPr>
      <w:bookmarkStart w:id="120" w:name="_Toc19539"/>
      <w:bookmarkStart w:id="121" w:name="_Toc12895"/>
      <w:bookmarkStart w:id="122" w:name="_Toc31402"/>
      <w:bookmarkStart w:id="123" w:name="_Toc16752"/>
      <w:bookmarkStart w:id="124" w:name="_Toc259093670"/>
      <w:bookmarkStart w:id="125" w:name="_Toc3769"/>
      <w:bookmarkStart w:id="126" w:name="_Toc487900350"/>
      <w:bookmarkStart w:id="127" w:name="_Toc5929"/>
      <w:bookmarkStart w:id="128" w:name="_Toc13989"/>
      <w:bookmarkStart w:id="129" w:name="_Toc3062"/>
      <w:bookmarkStart w:id="130" w:name="_Toc279701241"/>
      <w:bookmarkStart w:id="131" w:name="_Toc23289"/>
      <w:r>
        <w:rPr>
          <w:rFonts w:hint="eastAsia" w:ascii="宋体" w:hAnsi="宋体" w:eastAsia="宋体" w:cs="宋体"/>
          <w:b/>
          <w:color w:val="auto"/>
          <w:sz w:val="20"/>
          <w:szCs w:val="20"/>
          <w:highlight w:val="none"/>
        </w:rPr>
        <w:t>2.2 技术规范</w:t>
      </w:r>
      <w:bookmarkEnd w:id="120"/>
      <w:bookmarkEnd w:id="121"/>
      <w:bookmarkEnd w:id="122"/>
      <w:bookmarkEnd w:id="123"/>
      <w:bookmarkEnd w:id="124"/>
      <w:bookmarkEnd w:id="125"/>
      <w:bookmarkEnd w:id="126"/>
      <w:bookmarkEnd w:id="127"/>
      <w:bookmarkEnd w:id="128"/>
      <w:bookmarkEnd w:id="129"/>
      <w:bookmarkEnd w:id="130"/>
      <w:bookmarkEnd w:id="131"/>
    </w:p>
    <w:p w14:paraId="15CB1379">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2E2596C">
      <w:pPr>
        <w:spacing w:line="560" w:lineRule="exact"/>
        <w:ind w:firstLine="402" w:firstLineChars="200"/>
        <w:outlineLvl w:val="0"/>
        <w:rPr>
          <w:rFonts w:hint="eastAsia" w:ascii="宋体" w:hAnsi="宋体" w:eastAsia="宋体" w:cs="宋体"/>
          <w:b/>
          <w:color w:val="auto"/>
          <w:sz w:val="20"/>
          <w:szCs w:val="20"/>
          <w:highlight w:val="none"/>
        </w:rPr>
      </w:pPr>
      <w:bookmarkStart w:id="132" w:name="_Toc259093671"/>
      <w:bookmarkStart w:id="133" w:name="_Toc9161"/>
      <w:bookmarkStart w:id="134" w:name="_Toc4133"/>
      <w:bookmarkStart w:id="135" w:name="_Toc29048"/>
      <w:bookmarkStart w:id="136" w:name="_Toc2488"/>
      <w:bookmarkStart w:id="137" w:name="_Toc12412"/>
      <w:bookmarkStart w:id="138" w:name="_Toc7846"/>
      <w:bookmarkStart w:id="139" w:name="_Toc27945"/>
      <w:bookmarkStart w:id="140" w:name="_Toc279701242"/>
      <w:bookmarkStart w:id="141" w:name="_Toc23117"/>
      <w:bookmarkStart w:id="142" w:name="_Toc487900351"/>
      <w:bookmarkStart w:id="143" w:name="_Toc13673"/>
      <w:r>
        <w:rPr>
          <w:rFonts w:hint="eastAsia" w:ascii="宋体" w:hAnsi="宋体" w:eastAsia="宋体" w:cs="宋体"/>
          <w:b/>
          <w:color w:val="auto"/>
          <w:sz w:val="20"/>
          <w:szCs w:val="20"/>
          <w:highlight w:val="none"/>
        </w:rPr>
        <w:t>2.3 知识产权</w:t>
      </w:r>
      <w:bookmarkEnd w:id="132"/>
      <w:bookmarkEnd w:id="133"/>
      <w:bookmarkEnd w:id="134"/>
      <w:bookmarkEnd w:id="135"/>
      <w:bookmarkEnd w:id="136"/>
      <w:bookmarkEnd w:id="137"/>
      <w:bookmarkEnd w:id="138"/>
      <w:bookmarkEnd w:id="139"/>
      <w:bookmarkEnd w:id="140"/>
      <w:bookmarkEnd w:id="141"/>
      <w:bookmarkEnd w:id="142"/>
      <w:bookmarkEnd w:id="143"/>
    </w:p>
    <w:p w14:paraId="3F72EF32">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5A6BE130">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2.3.2 合同涉及技术成果的归属和收益的分成办法的，详见</w:t>
      </w:r>
      <w:r>
        <w:rPr>
          <w:rFonts w:hint="eastAsia" w:ascii="宋体" w:hAnsi="宋体" w:eastAsia="宋体" w:cs="宋体"/>
          <w:b/>
          <w:i/>
          <w:color w:val="auto"/>
          <w:sz w:val="20"/>
          <w:szCs w:val="20"/>
          <w:highlight w:val="none"/>
          <w:u w:val="single"/>
        </w:rPr>
        <w:t>合同专用条款</w:t>
      </w:r>
      <w:r>
        <w:rPr>
          <w:rFonts w:hint="eastAsia" w:ascii="宋体" w:hAnsi="宋体" w:eastAsia="宋体" w:cs="宋体"/>
          <w:color w:val="auto"/>
          <w:sz w:val="20"/>
          <w:szCs w:val="20"/>
          <w:highlight w:val="none"/>
        </w:rPr>
        <w:t>。</w:t>
      </w:r>
    </w:p>
    <w:p w14:paraId="3B525E61">
      <w:pPr>
        <w:spacing w:line="560" w:lineRule="exact"/>
        <w:ind w:firstLine="402" w:firstLineChars="200"/>
        <w:rPr>
          <w:rFonts w:hint="eastAsia" w:ascii="宋体" w:hAnsi="宋体" w:eastAsia="宋体" w:cs="宋体"/>
          <w:b/>
          <w:color w:val="auto"/>
          <w:sz w:val="20"/>
          <w:szCs w:val="20"/>
          <w:highlight w:val="none"/>
        </w:rPr>
      </w:pPr>
      <w:r>
        <w:rPr>
          <w:rFonts w:hint="eastAsia" w:ascii="宋体" w:hAnsi="宋体" w:eastAsia="宋体" w:cs="宋体"/>
          <w:b/>
          <w:color w:val="auto"/>
          <w:sz w:val="20"/>
          <w:szCs w:val="20"/>
          <w:highlight w:val="none"/>
        </w:rPr>
        <w:t>2.4 履约检查和问题反馈</w:t>
      </w:r>
    </w:p>
    <w:p w14:paraId="61D8F38D">
      <w:pPr>
        <w:spacing w:line="560" w:lineRule="exact"/>
        <w:ind w:firstLine="400" w:firstLineChars="200"/>
        <w:rPr>
          <w:rFonts w:hint="eastAsia" w:ascii="宋体" w:hAnsi="宋体" w:eastAsia="宋体" w:cs="宋体"/>
          <w:color w:val="auto"/>
          <w:sz w:val="20"/>
          <w:szCs w:val="20"/>
          <w:highlight w:val="none"/>
        </w:rPr>
      </w:pPr>
      <w:bookmarkStart w:id="144" w:name="_Ref467379657"/>
      <w:r>
        <w:rPr>
          <w:rFonts w:hint="eastAsia" w:ascii="宋体" w:hAnsi="宋体" w:eastAsia="宋体" w:cs="宋体"/>
          <w:color w:val="auto"/>
          <w:sz w:val="20"/>
          <w:szCs w:val="20"/>
          <w:highlight w:val="none"/>
        </w:rPr>
        <w:t>2.4.1</w:t>
      </w:r>
      <w:bookmarkEnd w:id="144"/>
      <w:bookmarkStart w:id="145" w:name="_Toc186431854"/>
      <w:bookmarkStart w:id="146" w:name="_Toc487900357"/>
      <w:bookmarkStart w:id="147" w:name="_Ref467379807"/>
      <w:bookmarkStart w:id="148" w:name="_Ref467379793"/>
      <w:bookmarkStart w:id="149" w:name="_Toc259093676"/>
      <w:bookmarkStart w:id="150" w:name="_Toc279701247"/>
      <w:r>
        <w:rPr>
          <w:rFonts w:hint="eastAsia" w:ascii="宋体" w:hAnsi="宋体" w:eastAsia="宋体" w:cs="宋体"/>
          <w:color w:val="auto"/>
          <w:sz w:val="20"/>
          <w:szCs w:val="20"/>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14:paraId="53ABFC0E">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2.4.2 合同履行期间，甲方有权将履行过程中出现的问题反馈给乙方，双方当事人应以书面形式约定需要完善和改进的内容</w:t>
      </w:r>
      <w:bookmarkEnd w:id="145"/>
      <w:bookmarkStart w:id="151" w:name="_Toc186431855"/>
      <w:r>
        <w:rPr>
          <w:rFonts w:hint="eastAsia" w:ascii="宋体" w:hAnsi="宋体" w:eastAsia="宋体" w:cs="宋体"/>
          <w:color w:val="auto"/>
          <w:sz w:val="20"/>
          <w:szCs w:val="20"/>
          <w:highlight w:val="none"/>
        </w:rPr>
        <w:t>。</w:t>
      </w:r>
    </w:p>
    <w:bookmarkEnd w:id="151"/>
    <w:p w14:paraId="601A1E15">
      <w:pPr>
        <w:spacing w:line="560" w:lineRule="exact"/>
        <w:ind w:firstLine="402" w:firstLineChars="200"/>
        <w:outlineLvl w:val="0"/>
        <w:rPr>
          <w:rFonts w:hint="eastAsia" w:ascii="宋体" w:hAnsi="宋体" w:eastAsia="宋体" w:cs="宋体"/>
          <w:b/>
          <w:color w:val="auto"/>
          <w:sz w:val="20"/>
          <w:szCs w:val="20"/>
          <w:highlight w:val="none"/>
        </w:rPr>
      </w:pPr>
      <w:bookmarkStart w:id="152" w:name="_Toc26555"/>
      <w:bookmarkStart w:id="153" w:name="_Toc32670"/>
      <w:bookmarkStart w:id="154" w:name="_Toc8526"/>
      <w:bookmarkStart w:id="155" w:name="_Toc14682"/>
      <w:bookmarkStart w:id="156" w:name="_Toc15447"/>
      <w:bookmarkStart w:id="157" w:name="_Toc31233"/>
      <w:bookmarkStart w:id="158" w:name="_Toc28874"/>
      <w:bookmarkStart w:id="159" w:name="_Toc18638"/>
      <w:bookmarkStart w:id="160" w:name="_Toc22011"/>
      <w:r>
        <w:rPr>
          <w:rFonts w:hint="eastAsia" w:ascii="宋体" w:hAnsi="宋体" w:eastAsia="宋体" w:cs="宋体"/>
          <w:b/>
          <w:color w:val="auto"/>
          <w:sz w:val="20"/>
          <w:szCs w:val="20"/>
          <w:highlight w:val="none"/>
        </w:rPr>
        <w:t>2.5 结算方式和付款条件</w:t>
      </w:r>
      <w:bookmarkEnd w:id="146"/>
      <w:bookmarkEnd w:id="147"/>
      <w:bookmarkEnd w:id="148"/>
      <w:bookmarkEnd w:id="149"/>
      <w:bookmarkEnd w:id="150"/>
      <w:bookmarkEnd w:id="152"/>
      <w:bookmarkEnd w:id="153"/>
      <w:bookmarkEnd w:id="154"/>
      <w:bookmarkEnd w:id="155"/>
      <w:bookmarkEnd w:id="156"/>
      <w:bookmarkEnd w:id="157"/>
      <w:bookmarkEnd w:id="158"/>
      <w:bookmarkEnd w:id="159"/>
      <w:bookmarkEnd w:id="160"/>
    </w:p>
    <w:p w14:paraId="77646185">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详见</w:t>
      </w:r>
      <w:r>
        <w:rPr>
          <w:rFonts w:hint="eastAsia" w:ascii="宋体" w:hAnsi="宋体" w:eastAsia="宋体" w:cs="宋体"/>
          <w:b/>
          <w:i/>
          <w:color w:val="auto"/>
          <w:sz w:val="20"/>
          <w:szCs w:val="20"/>
          <w:highlight w:val="none"/>
          <w:u w:val="single"/>
        </w:rPr>
        <w:t>合同专用条款</w:t>
      </w:r>
      <w:r>
        <w:rPr>
          <w:rFonts w:hint="eastAsia" w:ascii="宋体" w:hAnsi="宋体" w:eastAsia="宋体" w:cs="宋体"/>
          <w:color w:val="auto"/>
          <w:sz w:val="20"/>
          <w:szCs w:val="20"/>
          <w:highlight w:val="none"/>
        </w:rPr>
        <w:t>。</w:t>
      </w:r>
    </w:p>
    <w:p w14:paraId="19A4EC5D">
      <w:pPr>
        <w:spacing w:line="560" w:lineRule="exact"/>
        <w:ind w:firstLine="402" w:firstLineChars="200"/>
        <w:outlineLvl w:val="0"/>
        <w:rPr>
          <w:rFonts w:hint="eastAsia" w:ascii="宋体" w:hAnsi="宋体" w:eastAsia="宋体" w:cs="宋体"/>
          <w:b/>
          <w:color w:val="auto"/>
          <w:sz w:val="20"/>
          <w:szCs w:val="20"/>
          <w:highlight w:val="none"/>
        </w:rPr>
      </w:pPr>
      <w:bookmarkStart w:id="161" w:name="_Toc259093677"/>
      <w:bookmarkStart w:id="162" w:name="_Ref467379852"/>
      <w:bookmarkStart w:id="163" w:name="_Toc279701248"/>
      <w:bookmarkStart w:id="164" w:name="_Ref467379863"/>
      <w:bookmarkStart w:id="165" w:name="_Ref467379923"/>
      <w:bookmarkStart w:id="166" w:name="_Toc487900358"/>
      <w:bookmarkStart w:id="167" w:name="_Toc19340"/>
      <w:bookmarkStart w:id="168" w:name="_Toc13467"/>
      <w:bookmarkStart w:id="169" w:name="_Toc32750"/>
      <w:bookmarkStart w:id="170" w:name="_Toc30507"/>
      <w:bookmarkStart w:id="171" w:name="_Toc22679"/>
      <w:bookmarkStart w:id="172" w:name="_Toc18990"/>
      <w:bookmarkStart w:id="173" w:name="_Toc16163"/>
      <w:bookmarkStart w:id="174" w:name="_Toc13154"/>
      <w:bookmarkStart w:id="175" w:name="_Toc30594"/>
      <w:r>
        <w:rPr>
          <w:rFonts w:hint="eastAsia" w:ascii="宋体" w:hAnsi="宋体" w:eastAsia="宋体" w:cs="宋体"/>
          <w:b/>
          <w:color w:val="auto"/>
          <w:sz w:val="20"/>
          <w:szCs w:val="20"/>
          <w:highlight w:val="none"/>
        </w:rPr>
        <w:t>2.6 技术资料</w:t>
      </w:r>
      <w:bookmarkEnd w:id="161"/>
      <w:bookmarkEnd w:id="162"/>
      <w:bookmarkEnd w:id="163"/>
      <w:bookmarkEnd w:id="164"/>
      <w:bookmarkEnd w:id="165"/>
      <w:bookmarkEnd w:id="166"/>
      <w:r>
        <w:rPr>
          <w:rFonts w:hint="eastAsia" w:ascii="宋体" w:hAnsi="宋体" w:eastAsia="宋体" w:cs="宋体"/>
          <w:b/>
          <w:color w:val="auto"/>
          <w:sz w:val="20"/>
          <w:szCs w:val="20"/>
          <w:highlight w:val="none"/>
        </w:rPr>
        <w:t>和保密义务</w:t>
      </w:r>
      <w:bookmarkEnd w:id="167"/>
      <w:bookmarkEnd w:id="168"/>
      <w:bookmarkEnd w:id="169"/>
      <w:bookmarkEnd w:id="170"/>
      <w:bookmarkEnd w:id="171"/>
      <w:bookmarkEnd w:id="172"/>
      <w:bookmarkEnd w:id="173"/>
      <w:bookmarkEnd w:id="174"/>
      <w:bookmarkEnd w:id="175"/>
    </w:p>
    <w:p w14:paraId="65395F89">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2.6.1 乙方有权依据合同约定和项目需要，向甲方了解有关情况，调阅有关资料等，甲方应予积极配合；</w:t>
      </w:r>
    </w:p>
    <w:p w14:paraId="1DA53780">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2.6.2 乙方有义务妥善保管和保护由甲方提供的前款信息和资料等；</w:t>
      </w:r>
    </w:p>
    <w:p w14:paraId="7CD83CAE">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AC1FA2C">
      <w:pPr>
        <w:spacing w:line="560" w:lineRule="exact"/>
        <w:ind w:firstLine="402" w:firstLineChars="200"/>
        <w:outlineLvl w:val="0"/>
        <w:rPr>
          <w:rFonts w:hint="eastAsia" w:ascii="宋体" w:hAnsi="宋体" w:eastAsia="宋体" w:cs="宋体"/>
          <w:b/>
          <w:color w:val="auto"/>
          <w:sz w:val="20"/>
          <w:szCs w:val="20"/>
          <w:highlight w:val="none"/>
        </w:rPr>
      </w:pPr>
      <w:bookmarkStart w:id="176" w:name="_Toc13922"/>
      <w:bookmarkStart w:id="177" w:name="_Toc11289"/>
      <w:bookmarkStart w:id="178" w:name="_Toc19069"/>
      <w:bookmarkStart w:id="179" w:name="_Toc1791"/>
      <w:bookmarkStart w:id="180" w:name="_Toc5407"/>
      <w:bookmarkStart w:id="181" w:name="_Toc487900362"/>
      <w:bookmarkStart w:id="182" w:name="_Toc279701252"/>
      <w:bookmarkStart w:id="183" w:name="_Toc259093681"/>
      <w:r>
        <w:rPr>
          <w:rFonts w:hint="eastAsia" w:ascii="宋体" w:hAnsi="宋体" w:eastAsia="宋体" w:cs="宋体"/>
          <w:b/>
          <w:color w:val="auto"/>
          <w:sz w:val="20"/>
          <w:szCs w:val="20"/>
          <w:highlight w:val="none"/>
        </w:rPr>
        <w:t>2.7 质量保证</w:t>
      </w:r>
      <w:bookmarkEnd w:id="176"/>
      <w:bookmarkEnd w:id="177"/>
      <w:bookmarkEnd w:id="178"/>
      <w:bookmarkEnd w:id="179"/>
      <w:bookmarkEnd w:id="180"/>
    </w:p>
    <w:p w14:paraId="4B0D2105">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2.7.1 乙方应建立和完善履行合同的内部质量保证体系，并提供相关内部规章制度给甲方，以便甲方进行监督检查；</w:t>
      </w:r>
    </w:p>
    <w:p w14:paraId="0B2BF0D6">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2.7.2 乙方应保证履行合同的人员数量和素质、软件和硬件设备的配置、场地、环境和设施等满足全面履行合同的要求，并应接受甲方的监督检查。</w:t>
      </w:r>
    </w:p>
    <w:p w14:paraId="431851F3">
      <w:pPr>
        <w:spacing w:line="560" w:lineRule="exact"/>
        <w:ind w:firstLine="402" w:firstLineChars="200"/>
        <w:outlineLvl w:val="0"/>
        <w:rPr>
          <w:rFonts w:hint="eastAsia" w:ascii="宋体" w:hAnsi="宋体" w:eastAsia="宋体" w:cs="宋体"/>
          <w:b/>
          <w:color w:val="auto"/>
          <w:sz w:val="20"/>
          <w:szCs w:val="20"/>
          <w:highlight w:val="none"/>
        </w:rPr>
      </w:pPr>
      <w:bookmarkStart w:id="184" w:name="_Toc10064"/>
      <w:bookmarkStart w:id="185" w:name="_Toc690"/>
      <w:bookmarkStart w:id="186" w:name="_Toc22267"/>
      <w:bookmarkStart w:id="187" w:name="_Toc22568"/>
      <w:bookmarkStart w:id="188" w:name="_Toc22632"/>
      <w:r>
        <w:rPr>
          <w:rFonts w:hint="eastAsia" w:ascii="宋体" w:hAnsi="宋体" w:eastAsia="宋体" w:cs="宋体"/>
          <w:b/>
          <w:color w:val="auto"/>
          <w:sz w:val="20"/>
          <w:szCs w:val="20"/>
          <w:highlight w:val="none"/>
        </w:rPr>
        <w:t>2.8 延迟</w:t>
      </w:r>
      <w:bookmarkEnd w:id="181"/>
      <w:bookmarkEnd w:id="182"/>
      <w:bookmarkEnd w:id="183"/>
      <w:r>
        <w:rPr>
          <w:rFonts w:hint="eastAsia" w:ascii="宋体" w:hAnsi="宋体" w:eastAsia="宋体" w:cs="宋体"/>
          <w:b/>
          <w:color w:val="auto"/>
          <w:sz w:val="20"/>
          <w:szCs w:val="20"/>
          <w:highlight w:val="none"/>
        </w:rPr>
        <w:t>履行</w:t>
      </w:r>
      <w:bookmarkEnd w:id="184"/>
      <w:bookmarkEnd w:id="185"/>
      <w:bookmarkEnd w:id="186"/>
      <w:bookmarkEnd w:id="187"/>
      <w:bookmarkEnd w:id="188"/>
    </w:p>
    <w:p w14:paraId="6CCEF19D">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54B10C98">
      <w:pPr>
        <w:spacing w:line="560" w:lineRule="exact"/>
        <w:ind w:firstLine="402" w:firstLineChars="200"/>
        <w:outlineLvl w:val="0"/>
        <w:rPr>
          <w:rFonts w:hint="eastAsia" w:ascii="宋体" w:hAnsi="宋体" w:eastAsia="宋体" w:cs="宋体"/>
          <w:b/>
          <w:color w:val="auto"/>
          <w:sz w:val="20"/>
          <w:szCs w:val="20"/>
          <w:highlight w:val="none"/>
        </w:rPr>
      </w:pPr>
      <w:bookmarkStart w:id="189" w:name="_Toc26680"/>
      <w:bookmarkStart w:id="190" w:name="_Toc27891"/>
      <w:bookmarkStart w:id="191" w:name="_Toc13903"/>
      <w:bookmarkStart w:id="192" w:name="_Toc23558"/>
      <w:bookmarkStart w:id="193" w:name="_Toc10611"/>
      <w:bookmarkStart w:id="194" w:name="_Toc279701254"/>
      <w:bookmarkStart w:id="195" w:name="_Ref467378121"/>
      <w:bookmarkStart w:id="196" w:name="_Toc259093683"/>
      <w:bookmarkStart w:id="197" w:name="_Toc487900364"/>
      <w:r>
        <w:rPr>
          <w:rFonts w:hint="eastAsia" w:ascii="宋体" w:hAnsi="宋体" w:eastAsia="宋体" w:cs="宋体"/>
          <w:b/>
          <w:color w:val="auto"/>
          <w:sz w:val="20"/>
          <w:szCs w:val="20"/>
          <w:highlight w:val="none"/>
        </w:rPr>
        <w:t>2.9 合同变更</w:t>
      </w:r>
      <w:bookmarkEnd w:id="189"/>
      <w:bookmarkEnd w:id="190"/>
      <w:bookmarkEnd w:id="191"/>
      <w:bookmarkEnd w:id="192"/>
      <w:bookmarkEnd w:id="193"/>
    </w:p>
    <w:p w14:paraId="67F69B72">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2.9.1 双方当事人协商一致，可以签订书面补充合同的形式变更合同，但不得违背采购文件确定的事项，且如果系追加与合同标的相同的服务的，那么所有补充合同的采购金额不得超过原合同价的10%；</w:t>
      </w:r>
    </w:p>
    <w:p w14:paraId="47ECD885">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2.9.2 合同继续履行将损害国家利益和社会公共利益的，双方当事人应当以书面形式变更合同。有过错的一方应当承担赔偿责任，双方当事人都有过错的，各自承担相应的责任。</w:t>
      </w:r>
      <w:bookmarkStart w:id="198" w:name="_Toc487900369"/>
      <w:bookmarkStart w:id="199" w:name="_Toc279701259"/>
      <w:bookmarkStart w:id="200" w:name="_Toc259093688"/>
    </w:p>
    <w:p w14:paraId="1EB075A2">
      <w:pPr>
        <w:spacing w:line="560" w:lineRule="exact"/>
        <w:ind w:firstLine="402" w:firstLineChars="200"/>
        <w:outlineLvl w:val="0"/>
        <w:rPr>
          <w:rFonts w:hint="eastAsia" w:ascii="宋体" w:hAnsi="宋体" w:eastAsia="宋体" w:cs="宋体"/>
          <w:b/>
          <w:color w:val="auto"/>
          <w:sz w:val="20"/>
          <w:szCs w:val="20"/>
          <w:highlight w:val="none"/>
        </w:rPr>
      </w:pPr>
      <w:bookmarkStart w:id="201" w:name="_Toc42"/>
      <w:bookmarkStart w:id="202" w:name="_Toc10663"/>
      <w:bookmarkStart w:id="203" w:name="_Toc23368"/>
      <w:bookmarkStart w:id="204" w:name="_Toc12147"/>
      <w:bookmarkStart w:id="205" w:name="_Toc10001"/>
      <w:bookmarkStart w:id="206" w:name="_Toc26689"/>
      <w:bookmarkStart w:id="207" w:name="_Toc21830"/>
      <w:bookmarkStart w:id="208" w:name="_Toc18816"/>
      <w:bookmarkStart w:id="209" w:name="_Toc11810"/>
      <w:r>
        <w:rPr>
          <w:rFonts w:hint="eastAsia" w:ascii="宋体" w:hAnsi="宋体" w:eastAsia="宋体" w:cs="宋体"/>
          <w:b/>
          <w:color w:val="auto"/>
          <w:sz w:val="20"/>
          <w:szCs w:val="20"/>
          <w:highlight w:val="none"/>
        </w:rPr>
        <w:t>2.10 合同转让</w:t>
      </w:r>
      <w:bookmarkEnd w:id="198"/>
      <w:bookmarkEnd w:id="199"/>
      <w:bookmarkEnd w:id="200"/>
      <w:r>
        <w:rPr>
          <w:rFonts w:hint="eastAsia" w:ascii="宋体" w:hAnsi="宋体" w:eastAsia="宋体" w:cs="宋体"/>
          <w:b/>
          <w:color w:val="auto"/>
          <w:sz w:val="20"/>
          <w:szCs w:val="20"/>
          <w:highlight w:val="none"/>
        </w:rPr>
        <w:t>和分包</w:t>
      </w:r>
      <w:bookmarkEnd w:id="201"/>
      <w:bookmarkEnd w:id="202"/>
      <w:bookmarkEnd w:id="203"/>
      <w:bookmarkEnd w:id="204"/>
      <w:bookmarkEnd w:id="205"/>
      <w:bookmarkEnd w:id="206"/>
      <w:bookmarkEnd w:id="207"/>
      <w:bookmarkEnd w:id="208"/>
      <w:bookmarkEnd w:id="209"/>
    </w:p>
    <w:p w14:paraId="508F8164">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服务商就分包项目向甲方承担连带责任。</w:t>
      </w:r>
    </w:p>
    <w:p w14:paraId="3359D6CC">
      <w:pPr>
        <w:spacing w:line="560" w:lineRule="exact"/>
        <w:ind w:firstLine="402" w:firstLineChars="200"/>
        <w:outlineLvl w:val="0"/>
        <w:rPr>
          <w:rFonts w:hint="eastAsia" w:ascii="宋体" w:hAnsi="宋体" w:eastAsia="宋体" w:cs="宋体"/>
          <w:b/>
          <w:color w:val="auto"/>
          <w:sz w:val="20"/>
          <w:szCs w:val="20"/>
          <w:highlight w:val="none"/>
        </w:rPr>
      </w:pPr>
      <w:bookmarkStart w:id="210" w:name="_Toc14791"/>
      <w:bookmarkStart w:id="211" w:name="_Toc26633"/>
      <w:bookmarkStart w:id="212" w:name="_Toc32494"/>
      <w:bookmarkStart w:id="213" w:name="_Toc18098"/>
      <w:bookmarkStart w:id="214" w:name="_Toc25571"/>
      <w:bookmarkStart w:id="215" w:name="_Toc4720"/>
      <w:bookmarkStart w:id="216" w:name="_Toc18761"/>
      <w:bookmarkStart w:id="217" w:name="_Toc14371"/>
      <w:bookmarkStart w:id="218" w:name="_Toc22571"/>
      <w:r>
        <w:rPr>
          <w:rFonts w:hint="eastAsia" w:ascii="宋体" w:hAnsi="宋体" w:eastAsia="宋体" w:cs="宋体"/>
          <w:b/>
          <w:color w:val="auto"/>
          <w:sz w:val="20"/>
          <w:szCs w:val="20"/>
          <w:highlight w:val="none"/>
        </w:rPr>
        <w:t>2.11 不可抗力</w:t>
      </w:r>
      <w:bookmarkEnd w:id="210"/>
      <w:bookmarkEnd w:id="211"/>
      <w:bookmarkEnd w:id="212"/>
      <w:bookmarkEnd w:id="213"/>
      <w:bookmarkEnd w:id="214"/>
      <w:bookmarkEnd w:id="215"/>
      <w:bookmarkEnd w:id="216"/>
      <w:bookmarkEnd w:id="217"/>
      <w:bookmarkEnd w:id="218"/>
    </w:p>
    <w:p w14:paraId="36171466">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2.11.1如果任何一方遭遇法律规定的不可抗力，致使合同履行受阻时，履行合同的期限应予延长，延长的期限应相当于不可抗力所影响的时间；</w:t>
      </w:r>
    </w:p>
    <w:p w14:paraId="0E155630">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2.11.2 因不可抗力致使不能实现合同目的的，当事人可以解除合同；</w:t>
      </w:r>
    </w:p>
    <w:p w14:paraId="24267193">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2.11.3 因不可抗力致使合同有变更必要的，双方当事人应在</w:t>
      </w:r>
      <w:r>
        <w:rPr>
          <w:rFonts w:hint="eastAsia" w:ascii="宋体" w:hAnsi="宋体" w:eastAsia="宋体" w:cs="宋体"/>
          <w:b/>
          <w:i/>
          <w:color w:val="auto"/>
          <w:sz w:val="20"/>
          <w:szCs w:val="20"/>
          <w:highlight w:val="none"/>
          <w:u w:val="single"/>
        </w:rPr>
        <w:t>合同专用条款</w:t>
      </w:r>
      <w:r>
        <w:rPr>
          <w:rFonts w:hint="eastAsia" w:ascii="宋体" w:hAnsi="宋体" w:eastAsia="宋体" w:cs="宋体"/>
          <w:color w:val="auto"/>
          <w:sz w:val="20"/>
          <w:szCs w:val="20"/>
          <w:highlight w:val="none"/>
        </w:rPr>
        <w:t>约定时间内以书面形式变更合同；</w:t>
      </w:r>
    </w:p>
    <w:p w14:paraId="58ABB463">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2.11.4受不可抗力影响的一方在不可抗力发生后，应在</w:t>
      </w:r>
      <w:r>
        <w:rPr>
          <w:rFonts w:hint="eastAsia" w:ascii="宋体" w:hAnsi="宋体" w:eastAsia="宋体" w:cs="宋体"/>
          <w:b/>
          <w:i/>
          <w:color w:val="auto"/>
          <w:sz w:val="20"/>
          <w:szCs w:val="20"/>
          <w:highlight w:val="none"/>
          <w:u w:val="single"/>
        </w:rPr>
        <w:t>合同专用条款</w:t>
      </w:r>
      <w:r>
        <w:rPr>
          <w:rFonts w:hint="eastAsia" w:ascii="宋体" w:hAnsi="宋体" w:eastAsia="宋体" w:cs="宋体"/>
          <w:color w:val="auto"/>
          <w:sz w:val="20"/>
          <w:szCs w:val="20"/>
          <w:highlight w:val="none"/>
        </w:rPr>
        <w:t>约定时间内以书面形式通知对方当事人，并在</w:t>
      </w:r>
      <w:r>
        <w:rPr>
          <w:rFonts w:hint="eastAsia" w:ascii="宋体" w:hAnsi="宋体" w:eastAsia="宋体" w:cs="宋体"/>
          <w:b/>
          <w:i/>
          <w:color w:val="auto"/>
          <w:sz w:val="20"/>
          <w:szCs w:val="20"/>
          <w:highlight w:val="none"/>
          <w:u w:val="single"/>
        </w:rPr>
        <w:t>合同专用条款</w:t>
      </w:r>
      <w:r>
        <w:rPr>
          <w:rFonts w:hint="eastAsia" w:ascii="宋体" w:hAnsi="宋体" w:eastAsia="宋体" w:cs="宋体"/>
          <w:color w:val="auto"/>
          <w:sz w:val="20"/>
          <w:szCs w:val="20"/>
          <w:highlight w:val="none"/>
        </w:rPr>
        <w:t>约定时间内，将有关部门出具的证明文件送达对方当事人。</w:t>
      </w:r>
    </w:p>
    <w:p w14:paraId="19EF12C5">
      <w:pPr>
        <w:spacing w:line="560" w:lineRule="exact"/>
        <w:ind w:firstLine="402" w:firstLineChars="200"/>
        <w:outlineLvl w:val="0"/>
        <w:rPr>
          <w:rFonts w:hint="eastAsia" w:ascii="宋体" w:hAnsi="宋体" w:eastAsia="宋体" w:cs="宋体"/>
          <w:b/>
          <w:color w:val="auto"/>
          <w:sz w:val="20"/>
          <w:szCs w:val="20"/>
          <w:highlight w:val="none"/>
        </w:rPr>
      </w:pPr>
      <w:bookmarkStart w:id="219" w:name="_Toc3638"/>
      <w:bookmarkStart w:id="220" w:name="_Toc1647"/>
      <w:bookmarkStart w:id="221" w:name="_Toc23854"/>
      <w:bookmarkStart w:id="222" w:name="_Toc279701255"/>
      <w:bookmarkStart w:id="223" w:name="_Toc32580"/>
      <w:bookmarkStart w:id="224" w:name="_Toc487900365"/>
      <w:bookmarkStart w:id="225" w:name="_Toc11175"/>
      <w:bookmarkStart w:id="226" w:name="_Toc14115"/>
      <w:bookmarkStart w:id="227" w:name="_Toc24465"/>
      <w:bookmarkStart w:id="228" w:name="_Toc19977"/>
      <w:bookmarkStart w:id="229" w:name="_Toc259093684"/>
      <w:bookmarkStart w:id="230" w:name="_Toc25783"/>
      <w:r>
        <w:rPr>
          <w:rFonts w:hint="eastAsia" w:ascii="宋体" w:hAnsi="宋体" w:eastAsia="宋体" w:cs="宋体"/>
          <w:b/>
          <w:color w:val="auto"/>
          <w:sz w:val="20"/>
          <w:szCs w:val="20"/>
          <w:highlight w:val="none"/>
        </w:rPr>
        <w:t>2.12 税费</w:t>
      </w:r>
      <w:bookmarkEnd w:id="219"/>
      <w:bookmarkEnd w:id="220"/>
      <w:bookmarkEnd w:id="221"/>
      <w:bookmarkEnd w:id="222"/>
      <w:bookmarkEnd w:id="223"/>
      <w:bookmarkEnd w:id="224"/>
      <w:bookmarkEnd w:id="225"/>
      <w:bookmarkEnd w:id="226"/>
      <w:bookmarkEnd w:id="227"/>
      <w:bookmarkEnd w:id="228"/>
      <w:bookmarkEnd w:id="229"/>
      <w:bookmarkEnd w:id="230"/>
    </w:p>
    <w:p w14:paraId="52ACDEB4">
      <w:pPr>
        <w:spacing w:line="5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与合同有关的一切税费，均按照中华人民共和国法律的相关规定缴纳。</w:t>
      </w:r>
    </w:p>
    <w:p w14:paraId="1A17A632">
      <w:pPr>
        <w:spacing w:line="560" w:lineRule="exact"/>
        <w:ind w:firstLine="402" w:firstLineChars="200"/>
        <w:outlineLvl w:val="0"/>
        <w:rPr>
          <w:rFonts w:hint="eastAsia" w:ascii="宋体" w:hAnsi="宋体" w:eastAsia="宋体" w:cs="宋体"/>
          <w:b/>
          <w:color w:val="auto"/>
          <w:sz w:val="20"/>
          <w:szCs w:val="20"/>
          <w:highlight w:val="none"/>
        </w:rPr>
      </w:pPr>
      <w:bookmarkStart w:id="231" w:name="_Toc30105"/>
      <w:bookmarkStart w:id="232" w:name="_Toc21342"/>
      <w:bookmarkStart w:id="233" w:name="_Toc25525"/>
      <w:bookmarkStart w:id="234" w:name="_Toc26647"/>
      <w:bookmarkStart w:id="235" w:name="_Toc14047"/>
      <w:bookmarkStart w:id="236" w:name="_Toc487900368"/>
      <w:bookmarkStart w:id="237" w:name="_Toc6733"/>
      <w:bookmarkStart w:id="238" w:name="_Toc279701258"/>
      <w:bookmarkStart w:id="239" w:name="_Toc7315"/>
      <w:bookmarkStart w:id="240" w:name="_Toc259093687"/>
      <w:bookmarkStart w:id="241" w:name="_Toc14814"/>
      <w:bookmarkStart w:id="242" w:name="_Toc26883"/>
      <w:r>
        <w:rPr>
          <w:rFonts w:hint="eastAsia" w:ascii="宋体" w:hAnsi="宋体" w:eastAsia="宋体" w:cs="宋体"/>
          <w:b/>
          <w:color w:val="auto"/>
          <w:sz w:val="20"/>
          <w:szCs w:val="20"/>
          <w:highlight w:val="none"/>
        </w:rPr>
        <w:t>2.13 乙方破产</w:t>
      </w:r>
      <w:bookmarkEnd w:id="231"/>
      <w:bookmarkEnd w:id="232"/>
      <w:bookmarkEnd w:id="233"/>
      <w:bookmarkEnd w:id="234"/>
      <w:bookmarkEnd w:id="235"/>
      <w:bookmarkEnd w:id="236"/>
      <w:bookmarkEnd w:id="237"/>
      <w:bookmarkEnd w:id="238"/>
      <w:bookmarkEnd w:id="239"/>
      <w:bookmarkEnd w:id="240"/>
      <w:bookmarkEnd w:id="241"/>
      <w:bookmarkEnd w:id="242"/>
    </w:p>
    <w:p w14:paraId="417C35D3">
      <w:pPr>
        <w:spacing w:line="52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373C297">
      <w:pPr>
        <w:spacing w:line="520" w:lineRule="exact"/>
        <w:ind w:firstLine="402" w:firstLineChars="200"/>
        <w:outlineLvl w:val="0"/>
        <w:rPr>
          <w:rFonts w:hint="eastAsia" w:ascii="宋体" w:hAnsi="宋体" w:eastAsia="宋体" w:cs="宋体"/>
          <w:b/>
          <w:color w:val="auto"/>
          <w:sz w:val="20"/>
          <w:szCs w:val="20"/>
          <w:highlight w:val="none"/>
        </w:rPr>
      </w:pPr>
      <w:bookmarkStart w:id="243" w:name="_Toc2016"/>
      <w:bookmarkStart w:id="244" w:name="_Toc1123"/>
      <w:bookmarkStart w:id="245" w:name="_Toc29214"/>
      <w:bookmarkStart w:id="246" w:name="_Toc11790"/>
      <w:bookmarkStart w:id="247" w:name="_Toc23323"/>
      <w:bookmarkStart w:id="248" w:name="_Toc20772"/>
      <w:bookmarkStart w:id="249" w:name="_Toc26156"/>
      <w:r>
        <w:rPr>
          <w:rFonts w:hint="eastAsia" w:ascii="宋体" w:hAnsi="宋体" w:eastAsia="宋体" w:cs="宋体"/>
          <w:b/>
          <w:color w:val="auto"/>
          <w:sz w:val="20"/>
          <w:szCs w:val="20"/>
          <w:highlight w:val="none"/>
        </w:rPr>
        <w:t>2.14 合同中止、终止</w:t>
      </w:r>
      <w:bookmarkEnd w:id="243"/>
      <w:bookmarkEnd w:id="244"/>
      <w:bookmarkEnd w:id="245"/>
      <w:bookmarkEnd w:id="246"/>
      <w:bookmarkEnd w:id="247"/>
      <w:bookmarkEnd w:id="248"/>
      <w:bookmarkEnd w:id="249"/>
    </w:p>
    <w:p w14:paraId="76410499">
      <w:pPr>
        <w:spacing w:line="52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2.14.1 双方当事人不得擅自中止或者终止合同；</w:t>
      </w:r>
    </w:p>
    <w:p w14:paraId="2C06DFCD">
      <w:pPr>
        <w:spacing w:line="52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2.14.2合同继续履行将损害国家利益和社会公共利益的，双方当事人应当中止或者终止合同。有过错的一方应当承担赔偿责任，双方当事人都有过错的，各自承担相应的责任。</w:t>
      </w:r>
    </w:p>
    <w:p w14:paraId="39E88710">
      <w:pPr>
        <w:spacing w:line="520" w:lineRule="exact"/>
        <w:ind w:firstLine="402" w:firstLineChars="200"/>
        <w:outlineLvl w:val="0"/>
        <w:rPr>
          <w:rFonts w:hint="eastAsia" w:ascii="宋体" w:hAnsi="宋体" w:eastAsia="宋体" w:cs="宋体"/>
          <w:b/>
          <w:color w:val="auto"/>
          <w:sz w:val="20"/>
          <w:szCs w:val="20"/>
          <w:highlight w:val="none"/>
        </w:rPr>
      </w:pPr>
      <w:bookmarkStart w:id="250" w:name="_Toc29379"/>
      <w:bookmarkStart w:id="251" w:name="_Toc10917"/>
      <w:bookmarkStart w:id="252" w:name="_Toc5380"/>
      <w:bookmarkStart w:id="253" w:name="_Toc14525"/>
      <w:bookmarkStart w:id="254" w:name="_Toc1969"/>
      <w:bookmarkStart w:id="255" w:name="_Toc17363"/>
      <w:bookmarkStart w:id="256" w:name="_Toc8773"/>
      <w:r>
        <w:rPr>
          <w:rFonts w:hint="eastAsia" w:ascii="宋体" w:hAnsi="宋体" w:eastAsia="宋体" w:cs="宋体"/>
          <w:b/>
          <w:color w:val="auto"/>
          <w:sz w:val="20"/>
          <w:szCs w:val="20"/>
          <w:highlight w:val="none"/>
        </w:rPr>
        <w:t>2.15 检验和验收</w:t>
      </w:r>
      <w:bookmarkEnd w:id="250"/>
      <w:bookmarkEnd w:id="251"/>
      <w:bookmarkEnd w:id="252"/>
      <w:bookmarkEnd w:id="253"/>
      <w:bookmarkEnd w:id="254"/>
      <w:bookmarkEnd w:id="255"/>
      <w:bookmarkEnd w:id="256"/>
    </w:p>
    <w:p w14:paraId="4EE7BA1A">
      <w:pPr>
        <w:tabs>
          <w:tab w:val="left" w:pos="360"/>
          <w:tab w:val="left" w:pos="540"/>
          <w:tab w:val="left" w:pos="1080"/>
        </w:tabs>
        <w:spacing w:line="52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2.15.1 乙方按照</w:t>
      </w:r>
      <w:r>
        <w:rPr>
          <w:rFonts w:hint="eastAsia" w:ascii="宋体" w:hAnsi="宋体" w:eastAsia="宋体" w:cs="宋体"/>
          <w:b/>
          <w:i/>
          <w:color w:val="auto"/>
          <w:sz w:val="20"/>
          <w:szCs w:val="20"/>
          <w:highlight w:val="none"/>
          <w:u w:val="single"/>
        </w:rPr>
        <w:t>合同专用条款</w:t>
      </w:r>
      <w:r>
        <w:rPr>
          <w:rFonts w:hint="eastAsia" w:ascii="宋体" w:hAnsi="宋体" w:eastAsia="宋体" w:cs="宋体"/>
          <w:color w:val="auto"/>
          <w:sz w:val="20"/>
          <w:szCs w:val="20"/>
          <w:highlight w:val="none"/>
        </w:rPr>
        <w:t>的约定，定期提交服务报告，甲方按照</w:t>
      </w:r>
      <w:r>
        <w:rPr>
          <w:rFonts w:hint="eastAsia" w:ascii="宋体" w:hAnsi="宋体" w:eastAsia="宋体" w:cs="宋体"/>
          <w:b/>
          <w:i/>
          <w:color w:val="auto"/>
          <w:sz w:val="20"/>
          <w:szCs w:val="20"/>
          <w:highlight w:val="none"/>
          <w:u w:val="single"/>
        </w:rPr>
        <w:t>合同专用条款</w:t>
      </w:r>
      <w:r>
        <w:rPr>
          <w:rFonts w:hint="eastAsia" w:ascii="宋体" w:hAnsi="宋体" w:eastAsia="宋体" w:cs="宋体"/>
          <w:color w:val="auto"/>
          <w:sz w:val="20"/>
          <w:szCs w:val="20"/>
          <w:highlight w:val="none"/>
        </w:rPr>
        <w:t>的约定进行定期验收；</w:t>
      </w:r>
    </w:p>
    <w:p w14:paraId="3970C406">
      <w:pPr>
        <w:tabs>
          <w:tab w:val="left" w:pos="360"/>
          <w:tab w:val="left" w:pos="540"/>
          <w:tab w:val="left" w:pos="1080"/>
        </w:tabs>
        <w:spacing w:line="52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A4040E3">
      <w:pPr>
        <w:tabs>
          <w:tab w:val="left" w:pos="360"/>
          <w:tab w:val="left" w:pos="540"/>
          <w:tab w:val="left" w:pos="1080"/>
        </w:tabs>
        <w:spacing w:line="52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2.15.3 检验和验收标准、程序等具体内容以及前述验收书的效力详见</w:t>
      </w:r>
      <w:r>
        <w:rPr>
          <w:rFonts w:hint="eastAsia" w:ascii="宋体" w:hAnsi="宋体" w:eastAsia="宋体" w:cs="宋体"/>
          <w:b/>
          <w:i/>
          <w:color w:val="auto"/>
          <w:sz w:val="20"/>
          <w:szCs w:val="20"/>
          <w:highlight w:val="none"/>
          <w:u w:val="single"/>
        </w:rPr>
        <w:t>合同专用条款</w:t>
      </w:r>
      <w:r>
        <w:rPr>
          <w:rFonts w:hint="eastAsia" w:ascii="宋体" w:hAnsi="宋体" w:eastAsia="宋体" w:cs="宋体"/>
          <w:i/>
          <w:color w:val="auto"/>
          <w:sz w:val="20"/>
          <w:szCs w:val="20"/>
          <w:highlight w:val="none"/>
        </w:rPr>
        <w:t>。</w:t>
      </w:r>
    </w:p>
    <w:bookmarkEnd w:id="194"/>
    <w:bookmarkEnd w:id="195"/>
    <w:bookmarkEnd w:id="196"/>
    <w:bookmarkEnd w:id="197"/>
    <w:p w14:paraId="3C416B2B">
      <w:pPr>
        <w:spacing w:line="520" w:lineRule="exact"/>
        <w:ind w:firstLine="402" w:firstLineChars="200"/>
        <w:outlineLvl w:val="0"/>
        <w:rPr>
          <w:rFonts w:hint="eastAsia" w:ascii="宋体" w:hAnsi="宋体" w:eastAsia="宋体" w:cs="宋体"/>
          <w:b/>
          <w:color w:val="auto"/>
          <w:sz w:val="20"/>
          <w:szCs w:val="20"/>
          <w:highlight w:val="none"/>
        </w:rPr>
      </w:pPr>
      <w:bookmarkStart w:id="257" w:name="_Toc487900371"/>
      <w:bookmarkStart w:id="258" w:name="_Toc279701261"/>
      <w:bookmarkStart w:id="259" w:name="_Toc259093690"/>
      <w:bookmarkStart w:id="260" w:name="_Toc9808"/>
      <w:bookmarkStart w:id="261" w:name="_Toc31892"/>
      <w:bookmarkStart w:id="262" w:name="_Toc1359"/>
      <w:bookmarkStart w:id="263" w:name="_Toc12666"/>
      <w:bookmarkStart w:id="264" w:name="_Toc20345"/>
      <w:bookmarkStart w:id="265" w:name="_Toc25198"/>
      <w:bookmarkStart w:id="266" w:name="_Toc1927"/>
      <w:bookmarkStart w:id="267" w:name="_Toc25264"/>
      <w:bookmarkStart w:id="268" w:name="_Toc2308"/>
      <w:r>
        <w:rPr>
          <w:rFonts w:hint="eastAsia" w:ascii="宋体" w:hAnsi="宋体" w:eastAsia="宋体" w:cs="宋体"/>
          <w:b/>
          <w:color w:val="auto"/>
          <w:sz w:val="20"/>
          <w:szCs w:val="20"/>
          <w:highlight w:val="none"/>
        </w:rPr>
        <w:t>2.16 通知</w:t>
      </w:r>
      <w:bookmarkEnd w:id="257"/>
      <w:bookmarkEnd w:id="258"/>
      <w:bookmarkEnd w:id="259"/>
      <w:r>
        <w:rPr>
          <w:rFonts w:hint="eastAsia" w:ascii="宋体" w:hAnsi="宋体" w:eastAsia="宋体" w:cs="宋体"/>
          <w:b/>
          <w:color w:val="auto"/>
          <w:sz w:val="20"/>
          <w:szCs w:val="20"/>
          <w:highlight w:val="none"/>
        </w:rPr>
        <w:t>和送达</w:t>
      </w:r>
      <w:bookmarkEnd w:id="260"/>
      <w:bookmarkEnd w:id="261"/>
      <w:bookmarkEnd w:id="262"/>
      <w:bookmarkEnd w:id="263"/>
      <w:bookmarkEnd w:id="264"/>
      <w:bookmarkEnd w:id="265"/>
      <w:bookmarkEnd w:id="266"/>
      <w:bookmarkEnd w:id="267"/>
      <w:bookmarkEnd w:id="268"/>
    </w:p>
    <w:p w14:paraId="17E5DE55">
      <w:pPr>
        <w:spacing w:line="520" w:lineRule="exact"/>
        <w:ind w:firstLine="400" w:firstLineChars="200"/>
        <w:rPr>
          <w:rFonts w:hint="eastAsia" w:ascii="宋体" w:hAnsi="宋体" w:eastAsia="宋体" w:cs="宋体"/>
          <w:color w:val="auto"/>
          <w:sz w:val="20"/>
          <w:szCs w:val="20"/>
          <w:highlight w:val="none"/>
        </w:rPr>
      </w:pPr>
      <w:bookmarkStart w:id="269" w:name="_Toc7073"/>
      <w:bookmarkStart w:id="270" w:name="_Toc29220"/>
      <w:bookmarkStart w:id="271" w:name="_Toc259093691"/>
      <w:bookmarkStart w:id="272" w:name="_Toc487900372"/>
      <w:bookmarkStart w:id="273" w:name="_Toc279701262"/>
      <w:r>
        <w:rPr>
          <w:rFonts w:hint="eastAsia" w:ascii="宋体" w:hAnsi="宋体" w:eastAsia="宋体" w:cs="宋体"/>
          <w:color w:val="auto"/>
          <w:sz w:val="20"/>
          <w:szCs w:val="20"/>
          <w:highlight w:val="none"/>
        </w:rPr>
        <w:t>2.16.1 任何一方因履行合同而以合同第一部分尾部所列明的</w:t>
      </w:r>
      <w:r>
        <w:rPr>
          <w:rFonts w:hint="eastAsia" w:ascii="宋体" w:hAnsi="宋体" w:eastAsia="宋体" w:cs="宋体"/>
          <w:color w:val="auto"/>
          <w:sz w:val="20"/>
          <w:szCs w:val="20"/>
          <w:highlight w:val="none"/>
          <w:u w:val="single"/>
        </w:rPr>
        <w:t>合同履行地</w:t>
      </w:r>
      <w:r>
        <w:rPr>
          <w:rFonts w:hint="eastAsia" w:ascii="宋体" w:hAnsi="宋体" w:eastAsia="宋体" w:cs="宋体"/>
          <w:color w:val="auto"/>
          <w:sz w:val="20"/>
          <w:szCs w:val="20"/>
          <w:highlight w:val="none"/>
        </w:rPr>
        <w:t>发出的所有通知、文件、材料，均视为已向对方当事人送达；任何一方变更上述送达方式或者地址的，应于</w:t>
      </w:r>
      <w:r>
        <w:rPr>
          <w:rFonts w:hint="eastAsia" w:ascii="宋体" w:hAnsi="宋体" w:eastAsia="宋体" w:cs="宋体"/>
          <w:color w:val="auto"/>
          <w:sz w:val="20"/>
          <w:szCs w:val="20"/>
          <w:highlight w:val="none"/>
          <w:u w:val="single"/>
        </w:rPr>
        <w:t xml:space="preserve"> 7 </w:t>
      </w:r>
      <w:r>
        <w:rPr>
          <w:rFonts w:hint="eastAsia" w:ascii="宋体" w:hAnsi="宋体" w:eastAsia="宋体" w:cs="宋体"/>
          <w:color w:val="auto"/>
          <w:sz w:val="20"/>
          <w:szCs w:val="20"/>
          <w:highlight w:val="none"/>
        </w:rPr>
        <w:t>个工作日内书面通知对方当事人，在对方当事人收到有关变更通知之前，变更前的约定送达方式或者地址仍视为有效。</w:t>
      </w:r>
      <w:bookmarkEnd w:id="269"/>
      <w:bookmarkEnd w:id="270"/>
    </w:p>
    <w:p w14:paraId="030D8073">
      <w:pPr>
        <w:spacing w:line="520" w:lineRule="exact"/>
        <w:ind w:firstLine="400" w:firstLineChars="200"/>
        <w:rPr>
          <w:rFonts w:hint="eastAsia" w:ascii="宋体" w:hAnsi="宋体" w:eastAsia="宋体" w:cs="宋体"/>
          <w:color w:val="auto"/>
          <w:sz w:val="20"/>
          <w:szCs w:val="20"/>
          <w:highlight w:val="none"/>
        </w:rPr>
      </w:pPr>
      <w:bookmarkStart w:id="274" w:name="_Toc27674"/>
      <w:bookmarkStart w:id="275" w:name="_Toc18401"/>
      <w:r>
        <w:rPr>
          <w:rFonts w:hint="eastAsia" w:ascii="宋体" w:hAnsi="宋体" w:eastAsia="宋体" w:cs="宋体"/>
          <w:color w:val="auto"/>
          <w:sz w:val="20"/>
          <w:szCs w:val="20"/>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74"/>
      <w:bookmarkEnd w:id="275"/>
    </w:p>
    <w:bookmarkEnd w:id="271"/>
    <w:bookmarkEnd w:id="272"/>
    <w:bookmarkEnd w:id="273"/>
    <w:p w14:paraId="0A54E6DF">
      <w:pPr>
        <w:spacing w:line="520" w:lineRule="exact"/>
        <w:ind w:firstLine="402" w:firstLineChars="200"/>
        <w:outlineLvl w:val="0"/>
        <w:rPr>
          <w:rFonts w:hint="eastAsia" w:ascii="宋体" w:hAnsi="宋体" w:eastAsia="宋体" w:cs="宋体"/>
          <w:b/>
          <w:color w:val="auto"/>
          <w:sz w:val="20"/>
          <w:szCs w:val="20"/>
          <w:highlight w:val="none"/>
        </w:rPr>
      </w:pPr>
      <w:bookmarkStart w:id="276" w:name="_Toc28906"/>
      <w:bookmarkStart w:id="277" w:name="_Toc12254"/>
      <w:bookmarkStart w:id="278" w:name="_Toc27778"/>
      <w:bookmarkStart w:id="279" w:name="_Toc1978"/>
      <w:bookmarkStart w:id="280" w:name="_Toc5324"/>
      <w:bookmarkStart w:id="281" w:name="_Toc5063"/>
      <w:bookmarkStart w:id="282" w:name="_Toc259093692"/>
      <w:bookmarkStart w:id="283" w:name="_Toc20808"/>
      <w:bookmarkStart w:id="284" w:name="_Toc487900373"/>
      <w:bookmarkStart w:id="285" w:name="_Toc12415"/>
      <w:bookmarkStart w:id="286" w:name="_Toc27644"/>
      <w:bookmarkStart w:id="287" w:name="_Toc279701263"/>
      <w:r>
        <w:rPr>
          <w:rFonts w:hint="eastAsia" w:ascii="宋体" w:hAnsi="宋体" w:eastAsia="宋体" w:cs="宋体"/>
          <w:b/>
          <w:color w:val="auto"/>
          <w:sz w:val="20"/>
          <w:szCs w:val="20"/>
          <w:highlight w:val="none"/>
        </w:rPr>
        <w:t>2.17 合同使用的文字和适用的法律</w:t>
      </w:r>
      <w:bookmarkEnd w:id="276"/>
      <w:bookmarkEnd w:id="277"/>
      <w:bookmarkEnd w:id="278"/>
      <w:bookmarkEnd w:id="279"/>
      <w:bookmarkEnd w:id="280"/>
      <w:bookmarkEnd w:id="281"/>
      <w:bookmarkEnd w:id="282"/>
      <w:bookmarkEnd w:id="283"/>
      <w:bookmarkEnd w:id="284"/>
      <w:bookmarkEnd w:id="285"/>
      <w:bookmarkEnd w:id="286"/>
      <w:bookmarkEnd w:id="287"/>
    </w:p>
    <w:p w14:paraId="2E1085C7">
      <w:pPr>
        <w:spacing w:line="4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2.17.1 合同使用汉语书就、变更和解释；</w:t>
      </w:r>
    </w:p>
    <w:p w14:paraId="6EE3A7B2">
      <w:pPr>
        <w:spacing w:line="460" w:lineRule="exact"/>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2.17.2 合同适用中华人民共和国法律。</w:t>
      </w:r>
    </w:p>
    <w:p w14:paraId="274EC695">
      <w:pPr>
        <w:adjustRightInd w:val="0"/>
        <w:snapToGrid w:val="0"/>
        <w:spacing w:line="520" w:lineRule="exact"/>
        <w:ind w:firstLine="400" w:firstLineChars="199"/>
        <w:rPr>
          <w:rFonts w:hint="eastAsia" w:ascii="宋体" w:hAnsi="宋体" w:eastAsia="宋体" w:cs="宋体"/>
          <w:b/>
          <w:color w:val="auto"/>
          <w:sz w:val="20"/>
          <w:szCs w:val="20"/>
          <w:highlight w:val="yellow"/>
        </w:rPr>
      </w:pPr>
      <w:r>
        <w:rPr>
          <w:rFonts w:hint="eastAsia" w:ascii="宋体" w:hAnsi="宋体" w:eastAsia="宋体" w:cs="宋体"/>
          <w:b/>
          <w:color w:val="auto"/>
          <w:sz w:val="20"/>
          <w:szCs w:val="20"/>
          <w:highlight w:val="none"/>
        </w:rPr>
        <w:t>2.18本合同未尽事宜，见政府采购合同专用条款。</w:t>
      </w:r>
    </w:p>
    <w:p w14:paraId="3744F392">
      <w:pPr>
        <w:numPr>
          <w:ilvl w:val="0"/>
          <w:numId w:val="2"/>
        </w:numPr>
        <w:spacing w:line="360" w:lineRule="auto"/>
        <w:ind w:left="3360" w:leftChars="0" w:firstLineChars="0"/>
        <w:jc w:val="left"/>
        <w:outlineLvl w:val="1"/>
        <w:rPr>
          <w:rFonts w:hint="eastAsia" w:ascii="宋体" w:hAnsi="宋体"/>
          <w:b/>
          <w:color w:val="auto"/>
          <w:sz w:val="28"/>
          <w:szCs w:val="28"/>
          <w:highlight w:val="none"/>
        </w:rPr>
      </w:pPr>
      <w:r>
        <w:rPr>
          <w:rFonts w:ascii="宋体" w:hAnsi="宋体"/>
          <w:b/>
          <w:color w:val="auto"/>
          <w:szCs w:val="21"/>
          <w:highlight w:val="yellow"/>
        </w:rPr>
        <w:br w:type="page"/>
      </w:r>
      <w:bookmarkStart w:id="288" w:name="_Toc474770916"/>
      <w:bookmarkStart w:id="289" w:name="_Toc6889"/>
      <w:bookmarkStart w:id="290" w:name="_Toc12262"/>
      <w:bookmarkStart w:id="291" w:name="_Toc446500166"/>
      <w:r>
        <w:rPr>
          <w:rFonts w:hint="eastAsia" w:ascii="宋体" w:hAnsi="宋体"/>
          <w:b/>
          <w:color w:val="auto"/>
          <w:sz w:val="28"/>
          <w:szCs w:val="28"/>
          <w:highlight w:val="none"/>
        </w:rPr>
        <w:t>政府采购合同专用条款</w:t>
      </w:r>
      <w:bookmarkEnd w:id="288"/>
      <w:bookmarkEnd w:id="289"/>
      <w:bookmarkEnd w:id="290"/>
      <w:bookmarkEnd w:id="291"/>
    </w:p>
    <w:p w14:paraId="4850705B">
      <w:pPr>
        <w:pStyle w:val="8"/>
        <w:rPr>
          <w:rFonts w:hint="eastAsia"/>
          <w:color w:val="auto"/>
          <w:highlight w:val="none"/>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1984"/>
        <w:gridCol w:w="5245"/>
      </w:tblGrid>
      <w:tr w14:paraId="3D0BC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1101" w:type="dxa"/>
            <w:noWrap w:val="0"/>
            <w:vAlign w:val="center"/>
          </w:tcPr>
          <w:p w14:paraId="18E4F07A">
            <w:pPr>
              <w:pStyle w:val="47"/>
              <w:snapToGrid w:val="0"/>
              <w:spacing w:line="400" w:lineRule="exact"/>
              <w:jc w:val="center"/>
              <w:rPr>
                <w:rFonts w:hint="eastAsia" w:ascii="宋体" w:hAnsi="宋体" w:eastAsia="宋体" w:cs="宋体"/>
                <w:b/>
                <w:bCs/>
                <w:color w:val="auto"/>
                <w:kern w:val="2"/>
                <w:sz w:val="20"/>
                <w:szCs w:val="20"/>
                <w:highlight w:val="none"/>
              </w:rPr>
            </w:pPr>
            <w:r>
              <w:rPr>
                <w:rFonts w:hint="eastAsia" w:ascii="宋体" w:hAnsi="宋体" w:eastAsia="宋体" w:cs="宋体"/>
                <w:b/>
                <w:color w:val="auto"/>
                <w:kern w:val="2"/>
                <w:sz w:val="20"/>
                <w:szCs w:val="20"/>
                <w:highlight w:val="none"/>
              </w:rPr>
              <w:t>序号</w:t>
            </w:r>
          </w:p>
        </w:tc>
        <w:tc>
          <w:tcPr>
            <w:tcW w:w="1984" w:type="dxa"/>
            <w:noWrap w:val="0"/>
            <w:vAlign w:val="center"/>
          </w:tcPr>
          <w:p w14:paraId="4EDFFB2F">
            <w:pPr>
              <w:pStyle w:val="47"/>
              <w:snapToGrid w:val="0"/>
              <w:spacing w:line="400" w:lineRule="exact"/>
              <w:jc w:val="center"/>
              <w:rPr>
                <w:rFonts w:hint="eastAsia" w:ascii="宋体" w:hAnsi="宋体" w:eastAsia="宋体" w:cs="宋体"/>
                <w:b/>
                <w:bCs/>
                <w:color w:val="auto"/>
                <w:kern w:val="2"/>
                <w:sz w:val="20"/>
                <w:szCs w:val="20"/>
                <w:highlight w:val="none"/>
              </w:rPr>
            </w:pPr>
            <w:r>
              <w:rPr>
                <w:rFonts w:hint="eastAsia" w:ascii="宋体" w:hAnsi="宋体" w:eastAsia="宋体" w:cs="宋体"/>
                <w:b/>
                <w:color w:val="auto"/>
                <w:kern w:val="2"/>
                <w:sz w:val="20"/>
                <w:szCs w:val="20"/>
                <w:highlight w:val="none"/>
              </w:rPr>
              <w:t>条款名称</w:t>
            </w:r>
          </w:p>
        </w:tc>
        <w:tc>
          <w:tcPr>
            <w:tcW w:w="5245" w:type="dxa"/>
            <w:noWrap w:val="0"/>
            <w:vAlign w:val="center"/>
          </w:tcPr>
          <w:p w14:paraId="207B12AE">
            <w:pPr>
              <w:pStyle w:val="48"/>
              <w:tabs>
                <w:tab w:val="left" w:pos="2466"/>
                <w:tab w:val="left" w:pos="5464"/>
              </w:tabs>
              <w:adjustRightInd w:val="0"/>
              <w:snapToGrid w:val="0"/>
              <w:spacing w:line="400" w:lineRule="exact"/>
              <w:ind w:left="108"/>
              <w:jc w:val="center"/>
              <w:rPr>
                <w:rFonts w:hint="eastAsia" w:ascii="宋体" w:hAnsi="宋体" w:eastAsia="宋体" w:cs="宋体"/>
                <w:color w:val="auto"/>
                <w:sz w:val="20"/>
                <w:szCs w:val="20"/>
                <w:highlight w:val="none"/>
              </w:rPr>
            </w:pPr>
            <w:r>
              <w:rPr>
                <w:rFonts w:hint="eastAsia" w:ascii="宋体" w:hAnsi="宋体" w:eastAsia="宋体" w:cs="宋体"/>
                <w:b/>
                <w:color w:val="auto"/>
                <w:sz w:val="20"/>
                <w:szCs w:val="20"/>
                <w:highlight w:val="none"/>
              </w:rPr>
              <w:t>编列内容规定</w:t>
            </w:r>
          </w:p>
        </w:tc>
      </w:tr>
      <w:tr w14:paraId="6F9F8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jc w:val="center"/>
        </w:trPr>
        <w:tc>
          <w:tcPr>
            <w:tcW w:w="1101" w:type="dxa"/>
            <w:noWrap w:val="0"/>
            <w:vAlign w:val="center"/>
          </w:tcPr>
          <w:p w14:paraId="26CD276B">
            <w:pPr>
              <w:pStyle w:val="47"/>
              <w:snapToGrid w:val="0"/>
              <w:spacing w:line="400" w:lineRule="exact"/>
              <w:jc w:val="center"/>
              <w:rPr>
                <w:rFonts w:hint="eastAsia" w:ascii="宋体" w:hAnsi="宋体" w:eastAsia="宋体" w:cs="宋体"/>
                <w:b/>
                <w:bCs/>
                <w:color w:val="auto"/>
                <w:kern w:val="2"/>
                <w:sz w:val="20"/>
                <w:szCs w:val="20"/>
                <w:highlight w:val="none"/>
              </w:rPr>
            </w:pPr>
            <w:r>
              <w:rPr>
                <w:rFonts w:hint="eastAsia" w:ascii="宋体" w:hAnsi="宋体" w:eastAsia="宋体" w:cs="宋体"/>
                <w:color w:val="auto"/>
                <w:kern w:val="2"/>
                <w:sz w:val="20"/>
                <w:szCs w:val="20"/>
                <w:highlight w:val="none"/>
              </w:rPr>
              <w:t>1</w:t>
            </w:r>
          </w:p>
        </w:tc>
        <w:tc>
          <w:tcPr>
            <w:tcW w:w="1984" w:type="dxa"/>
            <w:noWrap w:val="0"/>
            <w:vAlign w:val="center"/>
          </w:tcPr>
          <w:p w14:paraId="1C568C67">
            <w:pPr>
              <w:pStyle w:val="47"/>
              <w:snapToGrid w:val="0"/>
              <w:spacing w:line="400" w:lineRule="exact"/>
              <w:jc w:val="center"/>
              <w:rPr>
                <w:rFonts w:hint="eastAsia" w:ascii="宋体" w:hAnsi="宋体" w:eastAsia="宋体" w:cs="宋体"/>
                <w:b/>
                <w:bCs/>
                <w:color w:val="auto"/>
                <w:kern w:val="2"/>
                <w:sz w:val="20"/>
                <w:szCs w:val="20"/>
                <w:highlight w:val="none"/>
              </w:rPr>
            </w:pPr>
            <w:r>
              <w:rPr>
                <w:rFonts w:hint="eastAsia" w:ascii="宋体" w:hAnsi="宋体" w:eastAsia="宋体" w:cs="宋体"/>
                <w:color w:val="auto"/>
                <w:kern w:val="2"/>
                <w:sz w:val="20"/>
                <w:szCs w:val="20"/>
                <w:highlight w:val="none"/>
              </w:rPr>
              <w:t>项目地点</w:t>
            </w:r>
          </w:p>
        </w:tc>
        <w:tc>
          <w:tcPr>
            <w:tcW w:w="5245" w:type="dxa"/>
            <w:noWrap w:val="0"/>
            <w:vAlign w:val="center"/>
          </w:tcPr>
          <w:p w14:paraId="2338730A">
            <w:pPr>
              <w:widowControl/>
              <w:spacing w:line="300" w:lineRule="exact"/>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采购人指定地点</w:t>
            </w:r>
          </w:p>
        </w:tc>
      </w:tr>
      <w:tr w14:paraId="668B0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exact"/>
          <w:jc w:val="center"/>
        </w:trPr>
        <w:tc>
          <w:tcPr>
            <w:tcW w:w="1101" w:type="dxa"/>
            <w:noWrap w:val="0"/>
            <w:vAlign w:val="center"/>
          </w:tcPr>
          <w:p w14:paraId="2D3DB7C3">
            <w:pPr>
              <w:pStyle w:val="47"/>
              <w:snapToGrid w:val="0"/>
              <w:spacing w:line="400" w:lineRule="exact"/>
              <w:jc w:val="center"/>
              <w:rPr>
                <w:rFonts w:hint="eastAsia" w:ascii="宋体" w:hAnsi="宋体" w:eastAsia="宋体" w:cs="宋体"/>
                <w:color w:val="auto"/>
                <w:kern w:val="2"/>
                <w:sz w:val="20"/>
                <w:szCs w:val="20"/>
                <w:highlight w:val="none"/>
              </w:rPr>
            </w:pPr>
            <w:r>
              <w:rPr>
                <w:rFonts w:hint="eastAsia" w:ascii="宋体" w:hAnsi="宋体" w:eastAsia="宋体" w:cs="宋体"/>
                <w:color w:val="auto"/>
                <w:kern w:val="2"/>
                <w:sz w:val="20"/>
                <w:szCs w:val="20"/>
                <w:highlight w:val="none"/>
              </w:rPr>
              <w:t>2</w:t>
            </w:r>
          </w:p>
        </w:tc>
        <w:tc>
          <w:tcPr>
            <w:tcW w:w="1984" w:type="dxa"/>
            <w:noWrap w:val="0"/>
            <w:vAlign w:val="center"/>
          </w:tcPr>
          <w:p w14:paraId="6372849E">
            <w:pPr>
              <w:pStyle w:val="47"/>
              <w:snapToGrid w:val="0"/>
              <w:spacing w:line="400" w:lineRule="exact"/>
              <w:jc w:val="center"/>
              <w:rPr>
                <w:rFonts w:hint="eastAsia" w:ascii="宋体" w:hAnsi="宋体" w:eastAsia="宋体" w:cs="宋体"/>
                <w:color w:val="auto"/>
                <w:kern w:val="2"/>
                <w:sz w:val="20"/>
                <w:szCs w:val="20"/>
                <w:highlight w:val="none"/>
              </w:rPr>
            </w:pPr>
            <w:r>
              <w:rPr>
                <w:rFonts w:hint="eastAsia" w:ascii="宋体" w:hAnsi="宋体" w:eastAsia="宋体" w:cs="宋体"/>
                <w:color w:val="auto"/>
                <w:kern w:val="2"/>
                <w:sz w:val="20"/>
                <w:szCs w:val="20"/>
                <w:highlight w:val="none"/>
              </w:rPr>
              <w:t>合同履约期限</w:t>
            </w:r>
          </w:p>
        </w:tc>
        <w:tc>
          <w:tcPr>
            <w:tcW w:w="5245" w:type="dxa"/>
            <w:noWrap w:val="0"/>
            <w:vAlign w:val="center"/>
          </w:tcPr>
          <w:p w14:paraId="439E3AC7">
            <w:pPr>
              <w:spacing w:line="360" w:lineRule="auto"/>
              <w:jc w:val="left"/>
              <w:rPr>
                <w:rFonts w:hint="eastAsia" w:ascii="宋体" w:hAnsi="宋体" w:eastAsia="宋体" w:cs="宋体"/>
                <w:color w:val="auto"/>
                <w:kern w:val="0"/>
                <w:sz w:val="20"/>
                <w:szCs w:val="20"/>
                <w:highlight w:val="none"/>
              </w:rPr>
            </w:pPr>
            <w:r>
              <w:rPr>
                <w:rFonts w:hint="eastAsia" w:ascii="宋体" w:hAnsi="宋体" w:eastAsia="宋体" w:cs="宋体"/>
                <w:snapToGrid/>
                <w:color w:val="auto"/>
                <w:spacing w:val="8"/>
                <w:kern w:val="2"/>
                <w:sz w:val="20"/>
                <w:szCs w:val="20"/>
                <w:lang w:val="en-US" w:eastAsia="zh-CN" w:bidi="ar-SA"/>
              </w:rPr>
              <w:t>合同签订后2个月内完成项目交付使用</w:t>
            </w:r>
          </w:p>
        </w:tc>
      </w:tr>
      <w:tr w14:paraId="3212D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7" w:hRule="exact"/>
          <w:jc w:val="center"/>
        </w:trPr>
        <w:tc>
          <w:tcPr>
            <w:tcW w:w="1101" w:type="dxa"/>
            <w:noWrap w:val="0"/>
            <w:vAlign w:val="center"/>
          </w:tcPr>
          <w:p w14:paraId="2FE6882C">
            <w:pPr>
              <w:pStyle w:val="47"/>
              <w:snapToGrid w:val="0"/>
              <w:spacing w:line="400" w:lineRule="exact"/>
              <w:jc w:val="center"/>
              <w:rPr>
                <w:rFonts w:hint="eastAsia" w:ascii="宋体" w:hAnsi="宋体" w:eastAsia="宋体" w:cs="宋体"/>
                <w:color w:val="auto"/>
                <w:kern w:val="2"/>
                <w:sz w:val="20"/>
                <w:szCs w:val="20"/>
                <w:highlight w:val="none"/>
              </w:rPr>
            </w:pPr>
            <w:r>
              <w:rPr>
                <w:rFonts w:hint="eastAsia" w:ascii="宋体" w:hAnsi="宋体" w:eastAsia="宋体" w:cs="宋体"/>
                <w:color w:val="auto"/>
                <w:kern w:val="2"/>
                <w:sz w:val="20"/>
                <w:szCs w:val="20"/>
                <w:highlight w:val="none"/>
              </w:rPr>
              <w:t>3</w:t>
            </w:r>
          </w:p>
        </w:tc>
        <w:tc>
          <w:tcPr>
            <w:tcW w:w="1984" w:type="dxa"/>
            <w:noWrap w:val="0"/>
            <w:vAlign w:val="center"/>
          </w:tcPr>
          <w:p w14:paraId="51C46EED">
            <w:pPr>
              <w:pStyle w:val="47"/>
              <w:snapToGrid w:val="0"/>
              <w:spacing w:line="400" w:lineRule="exact"/>
              <w:jc w:val="center"/>
              <w:rPr>
                <w:rFonts w:hint="eastAsia" w:ascii="宋体" w:hAnsi="宋体" w:eastAsia="宋体" w:cs="宋体"/>
                <w:color w:val="auto"/>
                <w:kern w:val="2"/>
                <w:sz w:val="20"/>
                <w:szCs w:val="20"/>
                <w:highlight w:val="none"/>
              </w:rPr>
            </w:pPr>
            <w:r>
              <w:rPr>
                <w:rFonts w:hint="eastAsia" w:ascii="宋体" w:hAnsi="宋体" w:eastAsia="宋体" w:cs="宋体"/>
                <w:color w:val="auto"/>
                <w:kern w:val="2"/>
                <w:sz w:val="20"/>
                <w:szCs w:val="20"/>
                <w:highlight w:val="none"/>
              </w:rPr>
              <w:t>付款方式</w:t>
            </w:r>
          </w:p>
        </w:tc>
        <w:tc>
          <w:tcPr>
            <w:tcW w:w="5245" w:type="dxa"/>
            <w:noWrap w:val="0"/>
            <w:vAlign w:val="center"/>
          </w:tcPr>
          <w:p w14:paraId="0495A1F8">
            <w:pPr>
              <w:spacing w:line="360" w:lineRule="auto"/>
              <w:jc w:val="left"/>
              <w:rPr>
                <w:rFonts w:hint="eastAsia" w:ascii="宋体" w:hAnsi="宋体" w:eastAsia="宋体" w:cs="宋体"/>
                <w:color w:val="auto"/>
                <w:sz w:val="20"/>
                <w:szCs w:val="20"/>
                <w:highlight w:val="yellow"/>
              </w:rPr>
            </w:pPr>
            <w:r>
              <w:rPr>
                <w:rFonts w:hint="eastAsia" w:ascii="宋体" w:hAnsi="宋体" w:eastAsia="宋体" w:cs="宋体"/>
                <w:snapToGrid/>
                <w:color w:val="auto"/>
                <w:spacing w:val="8"/>
                <w:kern w:val="2"/>
                <w:sz w:val="20"/>
                <w:szCs w:val="20"/>
                <w:lang w:val="en-US" w:eastAsia="zh-CN" w:bidi="ar-SA"/>
              </w:rPr>
              <w:t>采购合同签订后，甲方支付30％作为预付款，乙方按合同约定供货。供货完成并安装调试完毕支付30％；设备验收合格后，甲方支付给乙方合同总价的30%资金；验收合格后设备稳定运行使用满一年后支付到合同总价的100%资金（无息）。</w:t>
            </w:r>
          </w:p>
        </w:tc>
      </w:tr>
      <w:tr w14:paraId="69EE9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exact"/>
          <w:jc w:val="center"/>
        </w:trPr>
        <w:tc>
          <w:tcPr>
            <w:tcW w:w="1101" w:type="dxa"/>
            <w:noWrap w:val="0"/>
            <w:vAlign w:val="center"/>
          </w:tcPr>
          <w:p w14:paraId="076E0F8F">
            <w:pPr>
              <w:pStyle w:val="47"/>
              <w:snapToGrid w:val="0"/>
              <w:spacing w:line="400" w:lineRule="exact"/>
              <w:jc w:val="center"/>
              <w:rPr>
                <w:rFonts w:hint="eastAsia" w:ascii="宋体" w:hAnsi="宋体" w:eastAsia="宋体" w:cs="宋体"/>
                <w:color w:val="auto"/>
                <w:kern w:val="2"/>
                <w:sz w:val="20"/>
                <w:szCs w:val="20"/>
                <w:highlight w:val="none"/>
              </w:rPr>
            </w:pPr>
            <w:r>
              <w:rPr>
                <w:rFonts w:hint="eastAsia" w:ascii="宋体" w:hAnsi="宋体" w:eastAsia="宋体" w:cs="宋体"/>
                <w:color w:val="auto"/>
                <w:kern w:val="2"/>
                <w:sz w:val="20"/>
                <w:szCs w:val="20"/>
                <w:highlight w:val="none"/>
              </w:rPr>
              <w:t>4</w:t>
            </w:r>
          </w:p>
        </w:tc>
        <w:tc>
          <w:tcPr>
            <w:tcW w:w="1984" w:type="dxa"/>
            <w:noWrap w:val="0"/>
            <w:vAlign w:val="center"/>
          </w:tcPr>
          <w:p w14:paraId="04CC6758">
            <w:pPr>
              <w:pStyle w:val="47"/>
              <w:snapToGrid w:val="0"/>
              <w:spacing w:line="400" w:lineRule="exact"/>
              <w:jc w:val="center"/>
              <w:rPr>
                <w:rFonts w:hint="eastAsia" w:ascii="宋体" w:hAnsi="宋体" w:eastAsia="宋体" w:cs="宋体"/>
                <w:color w:val="auto"/>
                <w:kern w:val="2"/>
                <w:sz w:val="20"/>
                <w:szCs w:val="20"/>
                <w:highlight w:val="none"/>
                <w:lang w:val="en-US" w:eastAsia="zh-CN" w:bidi="ar-SA"/>
              </w:rPr>
            </w:pPr>
            <w:r>
              <w:rPr>
                <w:rFonts w:hint="eastAsia" w:ascii="宋体" w:hAnsi="宋体" w:eastAsia="宋体" w:cs="宋体"/>
                <w:color w:val="auto"/>
                <w:kern w:val="2"/>
                <w:sz w:val="20"/>
                <w:szCs w:val="20"/>
                <w:highlight w:val="none"/>
              </w:rPr>
              <w:t>解决争议的方式</w:t>
            </w:r>
          </w:p>
        </w:tc>
        <w:tc>
          <w:tcPr>
            <w:tcW w:w="5245" w:type="dxa"/>
            <w:noWrap w:val="0"/>
            <w:vAlign w:val="center"/>
          </w:tcPr>
          <w:p w14:paraId="54C1677A">
            <w:pPr>
              <w:pStyle w:val="47"/>
              <w:snapToGrid w:val="0"/>
              <w:spacing w:line="400" w:lineRule="exact"/>
              <w:rPr>
                <w:rFonts w:hint="eastAsia" w:ascii="宋体" w:hAnsi="宋体" w:eastAsia="宋体" w:cs="宋体"/>
                <w:color w:val="auto"/>
                <w:kern w:val="2"/>
                <w:sz w:val="20"/>
                <w:szCs w:val="20"/>
                <w:highlight w:val="none"/>
                <w:lang w:val="en-US" w:eastAsia="zh-CN" w:bidi="ar-SA"/>
              </w:rPr>
            </w:pPr>
            <w:r>
              <w:rPr>
                <w:rFonts w:hint="eastAsia" w:ascii="宋体" w:hAnsi="宋体" w:eastAsia="宋体" w:cs="宋体"/>
                <w:color w:val="auto"/>
                <w:kern w:val="2"/>
                <w:sz w:val="20"/>
                <w:szCs w:val="20"/>
                <w:highlight w:val="none"/>
              </w:rPr>
              <w:t>向甲方所在地人民法院提起诉讼</w:t>
            </w:r>
          </w:p>
        </w:tc>
      </w:tr>
      <w:tr w14:paraId="3CCD4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jc w:val="center"/>
        </w:trPr>
        <w:tc>
          <w:tcPr>
            <w:tcW w:w="1101" w:type="dxa"/>
            <w:noWrap w:val="0"/>
            <w:vAlign w:val="center"/>
          </w:tcPr>
          <w:p w14:paraId="43A6CFEC">
            <w:pPr>
              <w:pStyle w:val="47"/>
              <w:snapToGrid w:val="0"/>
              <w:spacing w:line="400" w:lineRule="exact"/>
              <w:jc w:val="center"/>
              <w:rPr>
                <w:rFonts w:hint="eastAsia" w:ascii="宋体" w:hAnsi="宋体" w:eastAsia="宋体" w:cs="宋体"/>
                <w:color w:val="auto"/>
                <w:kern w:val="2"/>
                <w:sz w:val="20"/>
                <w:szCs w:val="20"/>
                <w:highlight w:val="none"/>
              </w:rPr>
            </w:pPr>
            <w:r>
              <w:rPr>
                <w:rFonts w:hint="eastAsia" w:ascii="宋体" w:hAnsi="宋体" w:eastAsia="宋体" w:cs="宋体"/>
                <w:color w:val="auto"/>
                <w:kern w:val="2"/>
                <w:sz w:val="20"/>
                <w:szCs w:val="20"/>
                <w:highlight w:val="none"/>
              </w:rPr>
              <w:t>5</w:t>
            </w:r>
          </w:p>
        </w:tc>
        <w:tc>
          <w:tcPr>
            <w:tcW w:w="1984" w:type="dxa"/>
            <w:noWrap w:val="0"/>
            <w:vAlign w:val="center"/>
          </w:tcPr>
          <w:p w14:paraId="76DE5DF3">
            <w:pPr>
              <w:pStyle w:val="47"/>
              <w:snapToGrid w:val="0"/>
              <w:spacing w:line="400" w:lineRule="exact"/>
              <w:jc w:val="center"/>
              <w:rPr>
                <w:rFonts w:hint="eastAsia" w:ascii="宋体" w:hAnsi="宋体" w:eastAsia="宋体" w:cs="宋体"/>
                <w:color w:val="auto"/>
                <w:kern w:val="2"/>
                <w:sz w:val="20"/>
                <w:szCs w:val="20"/>
                <w:highlight w:val="none"/>
                <w:lang w:val="en-US" w:eastAsia="zh-CN" w:bidi="ar-SA"/>
              </w:rPr>
            </w:pPr>
            <w:r>
              <w:rPr>
                <w:rFonts w:hint="eastAsia" w:ascii="宋体" w:hAnsi="宋体" w:eastAsia="宋体" w:cs="宋体"/>
                <w:color w:val="auto"/>
                <w:kern w:val="2"/>
                <w:sz w:val="20"/>
                <w:szCs w:val="20"/>
                <w:highlight w:val="none"/>
              </w:rPr>
              <w:t>合同未尽事项</w:t>
            </w:r>
          </w:p>
        </w:tc>
        <w:tc>
          <w:tcPr>
            <w:tcW w:w="5245" w:type="dxa"/>
            <w:noWrap w:val="0"/>
            <w:vAlign w:val="center"/>
          </w:tcPr>
          <w:p w14:paraId="1BFDD1FA">
            <w:pPr>
              <w:pStyle w:val="47"/>
              <w:snapToGrid w:val="0"/>
              <w:spacing w:line="400" w:lineRule="exact"/>
              <w:rPr>
                <w:rFonts w:hint="eastAsia" w:ascii="宋体" w:hAnsi="宋体" w:eastAsia="宋体" w:cs="宋体"/>
                <w:color w:val="auto"/>
                <w:kern w:val="2"/>
                <w:sz w:val="20"/>
                <w:szCs w:val="20"/>
                <w:highlight w:val="none"/>
                <w:lang w:val="en-US" w:eastAsia="zh-CN" w:bidi="ar-SA"/>
              </w:rPr>
            </w:pPr>
            <w:r>
              <w:rPr>
                <w:rFonts w:hint="eastAsia" w:ascii="宋体" w:hAnsi="宋体" w:eastAsia="宋体" w:cs="宋体"/>
                <w:color w:val="auto"/>
                <w:kern w:val="2"/>
                <w:sz w:val="20"/>
                <w:szCs w:val="20"/>
                <w:highlight w:val="none"/>
              </w:rPr>
              <w:t>双方协商</w:t>
            </w:r>
          </w:p>
        </w:tc>
      </w:tr>
      <w:tr w14:paraId="35E0D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exact"/>
          <w:jc w:val="center"/>
        </w:trPr>
        <w:tc>
          <w:tcPr>
            <w:tcW w:w="1101" w:type="dxa"/>
            <w:noWrap w:val="0"/>
            <w:vAlign w:val="center"/>
          </w:tcPr>
          <w:p w14:paraId="3B0290B0">
            <w:pPr>
              <w:pStyle w:val="47"/>
              <w:snapToGrid w:val="0"/>
              <w:spacing w:line="400" w:lineRule="exact"/>
              <w:jc w:val="center"/>
              <w:rPr>
                <w:rFonts w:hint="eastAsia" w:ascii="宋体" w:hAnsi="宋体" w:eastAsia="宋体" w:cs="宋体"/>
                <w:color w:val="auto"/>
                <w:kern w:val="2"/>
                <w:sz w:val="20"/>
                <w:szCs w:val="20"/>
                <w:highlight w:val="none"/>
              </w:rPr>
            </w:pPr>
            <w:r>
              <w:rPr>
                <w:rFonts w:hint="eastAsia" w:ascii="宋体" w:hAnsi="宋体" w:eastAsia="宋体" w:cs="宋体"/>
                <w:color w:val="auto"/>
                <w:kern w:val="2"/>
                <w:sz w:val="20"/>
                <w:szCs w:val="20"/>
                <w:highlight w:val="none"/>
              </w:rPr>
              <w:t>6</w:t>
            </w:r>
          </w:p>
        </w:tc>
        <w:tc>
          <w:tcPr>
            <w:tcW w:w="1984" w:type="dxa"/>
            <w:noWrap w:val="0"/>
            <w:vAlign w:val="center"/>
          </w:tcPr>
          <w:p w14:paraId="18332BC0">
            <w:pPr>
              <w:pStyle w:val="8"/>
              <w:snapToGrid w:val="0"/>
              <w:spacing w:line="400" w:lineRule="exact"/>
              <w:jc w:val="center"/>
              <w:rPr>
                <w:rFonts w:hint="eastAsia" w:ascii="宋体" w:hAnsi="宋体" w:eastAsia="宋体" w:cs="宋体"/>
                <w:color w:val="auto"/>
                <w:kern w:val="2"/>
                <w:sz w:val="20"/>
                <w:szCs w:val="20"/>
                <w:highlight w:val="none"/>
                <w:lang w:val="en-US" w:eastAsia="zh-CN" w:bidi="ar-SA"/>
              </w:rPr>
            </w:pPr>
            <w:r>
              <w:rPr>
                <w:rFonts w:hint="eastAsia" w:ascii="宋体" w:hAnsi="宋体" w:eastAsia="宋体" w:cs="宋体"/>
                <w:color w:val="auto"/>
                <w:sz w:val="20"/>
                <w:szCs w:val="20"/>
                <w:highlight w:val="none"/>
              </w:rPr>
              <w:t>服务响应</w:t>
            </w:r>
          </w:p>
        </w:tc>
        <w:tc>
          <w:tcPr>
            <w:tcW w:w="5245" w:type="dxa"/>
            <w:noWrap w:val="0"/>
            <w:vAlign w:val="center"/>
          </w:tcPr>
          <w:p w14:paraId="545C31A2">
            <w:pPr>
              <w:pStyle w:val="8"/>
              <w:snapToGrid w:val="0"/>
              <w:spacing w:after="0" w:line="340" w:lineRule="exact"/>
              <w:rPr>
                <w:rFonts w:hint="eastAsia" w:ascii="宋体" w:hAnsi="宋体" w:eastAsia="宋体" w:cs="宋体"/>
                <w:color w:val="auto"/>
                <w:kern w:val="2"/>
                <w:sz w:val="20"/>
                <w:szCs w:val="20"/>
                <w:lang w:val="en-US" w:eastAsia="zh-CN" w:bidi="ar-SA"/>
              </w:rPr>
            </w:pPr>
            <w:r>
              <w:rPr>
                <w:rFonts w:hint="eastAsia" w:ascii="宋体" w:hAnsi="宋体" w:eastAsia="宋体" w:cs="宋体"/>
                <w:color w:val="auto"/>
                <w:sz w:val="20"/>
                <w:szCs w:val="20"/>
                <w:lang w:eastAsia="zh-CN"/>
              </w:rPr>
              <w:t>中标</w:t>
            </w:r>
            <w:r>
              <w:rPr>
                <w:rFonts w:hint="eastAsia" w:ascii="宋体" w:hAnsi="宋体" w:eastAsia="宋体" w:cs="宋体"/>
                <w:color w:val="auto"/>
                <w:sz w:val="20"/>
                <w:szCs w:val="20"/>
              </w:rPr>
              <w:t>服务商应提供服务级别7×24（即每周7个工作日，每天24小时）全天技术支持服务，并根据采购人的需要提供现场支持服务，具体服务时间详见采购需求。</w:t>
            </w:r>
          </w:p>
        </w:tc>
      </w:tr>
    </w:tbl>
    <w:p w14:paraId="3DB2EC5D">
      <w:pPr>
        <w:pStyle w:val="8"/>
        <w:spacing w:line="247" w:lineRule="auto"/>
        <w:rPr>
          <w:color w:val="auto"/>
          <w:lang w:eastAsia="zh-CN"/>
        </w:rPr>
      </w:pPr>
    </w:p>
    <w:p w14:paraId="76F51281">
      <w:pPr>
        <w:pStyle w:val="8"/>
        <w:spacing w:line="247" w:lineRule="auto"/>
        <w:rPr>
          <w:color w:val="auto"/>
          <w:lang w:eastAsia="zh-CN"/>
        </w:rPr>
      </w:pPr>
    </w:p>
    <w:p w14:paraId="4AA88AF8">
      <w:pPr>
        <w:pStyle w:val="8"/>
        <w:spacing w:line="247" w:lineRule="auto"/>
        <w:rPr>
          <w:color w:val="auto"/>
          <w:lang w:eastAsia="zh-CN"/>
        </w:rPr>
      </w:pPr>
    </w:p>
    <w:p w14:paraId="541F75CE">
      <w:pPr>
        <w:pStyle w:val="8"/>
        <w:spacing w:line="247" w:lineRule="auto"/>
        <w:rPr>
          <w:color w:val="auto"/>
          <w:lang w:eastAsia="zh-CN"/>
        </w:rPr>
      </w:pPr>
    </w:p>
    <w:p w14:paraId="35F5BB79">
      <w:pPr>
        <w:pStyle w:val="8"/>
        <w:spacing w:line="247" w:lineRule="auto"/>
        <w:rPr>
          <w:color w:val="auto"/>
          <w:lang w:eastAsia="zh-CN"/>
        </w:rPr>
      </w:pPr>
    </w:p>
    <w:p w14:paraId="4C6F3DF2">
      <w:pPr>
        <w:pStyle w:val="8"/>
        <w:spacing w:line="247" w:lineRule="auto"/>
        <w:rPr>
          <w:color w:val="auto"/>
          <w:lang w:eastAsia="zh-CN"/>
        </w:rPr>
      </w:pPr>
    </w:p>
    <w:p w14:paraId="78BECA0F">
      <w:pPr>
        <w:spacing w:line="226" w:lineRule="auto"/>
        <w:rPr>
          <w:rFonts w:ascii="宋体" w:hAnsi="宋体" w:eastAsia="宋体" w:cs="宋体"/>
          <w:color w:val="auto"/>
          <w:sz w:val="20"/>
          <w:szCs w:val="20"/>
          <w:lang w:eastAsia="zh-CN"/>
        </w:rPr>
        <w:sectPr>
          <w:headerReference r:id="rId32" w:type="default"/>
          <w:footerReference r:id="rId33" w:type="default"/>
          <w:pgSz w:w="12240" w:h="15840"/>
          <w:pgMar w:top="1440" w:right="1080" w:bottom="1440" w:left="1080" w:header="1233" w:footer="362" w:gutter="0"/>
          <w:pgBorders>
            <w:top w:val="none" w:sz="0" w:space="0"/>
            <w:left w:val="none" w:sz="0" w:space="0"/>
            <w:bottom w:val="none" w:sz="0" w:space="0"/>
            <w:right w:val="none" w:sz="0" w:space="0"/>
          </w:pgBorders>
          <w:pgNumType w:fmt="decimal"/>
          <w:cols w:space="720" w:num="1"/>
        </w:sectPr>
      </w:pPr>
    </w:p>
    <w:p w14:paraId="329AA7F2">
      <w:pPr>
        <w:pStyle w:val="2"/>
        <w:bidi w:val="0"/>
      </w:pPr>
      <w:bookmarkStart w:id="292" w:name="_Toc31460"/>
      <w:bookmarkStart w:id="293" w:name="_Toc8981"/>
      <w:bookmarkStart w:id="294" w:name="_Toc14895"/>
      <w:r>
        <w:rPr>
          <w:lang w:eastAsia="zh-CN"/>
        </w:rPr>
        <w:t>第</w:t>
      </w:r>
      <w:r>
        <w:rPr>
          <w:rFonts w:hint="eastAsia"/>
          <w:lang w:val="en-US" w:eastAsia="zh-CN"/>
        </w:rPr>
        <w:t>五</w:t>
      </w:r>
      <w:r>
        <w:rPr>
          <w:lang w:eastAsia="zh-CN"/>
        </w:rPr>
        <w:t xml:space="preserve">章 </w:t>
      </w:r>
      <w:r>
        <w:rPr>
          <w:rFonts w:hint="eastAsia"/>
          <w:lang w:eastAsia="zh-CN"/>
        </w:rPr>
        <w:t>采购需求</w:t>
      </w:r>
      <w:bookmarkEnd w:id="292"/>
      <w:r>
        <w:rPr>
          <w:rFonts w:hint="eastAsia"/>
          <w:lang w:eastAsia="zh-CN"/>
        </w:rPr>
        <w:t>及技术要求</w:t>
      </w:r>
      <w:bookmarkEnd w:id="293"/>
      <w:bookmarkEnd w:id="294"/>
    </w:p>
    <w:tbl>
      <w:tblPr>
        <w:tblStyle w:val="20"/>
        <w:tblW w:w="1029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17"/>
        <w:gridCol w:w="1265"/>
        <w:gridCol w:w="6363"/>
        <w:gridCol w:w="517"/>
        <w:gridCol w:w="1116"/>
        <w:gridCol w:w="518"/>
      </w:tblGrid>
      <w:tr w14:paraId="7F9FBB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29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0BFB3">
            <w:pPr>
              <w:keepNext w:val="0"/>
              <w:keepLines w:val="0"/>
              <w:widowControl/>
              <w:suppressLineNumbers w:val="0"/>
              <w:jc w:val="left"/>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一、微模块化整体机房系统配置</w:t>
            </w:r>
          </w:p>
        </w:tc>
      </w:tr>
      <w:tr w14:paraId="725C77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29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AF6C4">
            <w:pPr>
              <w:keepNext w:val="0"/>
              <w:keepLines w:val="0"/>
              <w:widowControl/>
              <w:suppressLineNumbers w:val="0"/>
              <w:jc w:val="left"/>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1.1微模块化机房设备：</w:t>
            </w:r>
          </w:p>
        </w:tc>
      </w:tr>
      <w:tr w14:paraId="5B5B19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9D541">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序号</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7E2FB">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产品名称</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D4019">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型号规格</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CA11F">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数量</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2CE37">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单位</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B9E76">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备注</w:t>
            </w:r>
          </w:p>
        </w:tc>
      </w:tr>
      <w:tr w14:paraId="4B8C0D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1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AC66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2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91A3A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核心机房标准服务器机柜系统</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A8EF8E">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1、机柜支持19英寸标准的服务器、存储及网络设备安装，尺寸：600mm×1200mm×2000mm；机柜自带2条PDU输出端口数量：20*GB 10A+4*GB 16A</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★2、机柜采用1.0mm～2.0mm厚高强度A级优质碳素冷轧钢板和镀锌板，机柜静态承载能力需通过不小于2400kg测试，并提供测试报告；</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★3、按照YD5083-2005《电信设备抗地震性能检测规范》要求，机柜需带载590kg测试连续通过8、9级烈度结构抗地震考核，并提供第三方权威机构测试报告；</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4、服务器机柜、网络布线柜、配电柜、空调结构架构统一，工程界面统一，方便安装维护；</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5、机柜内部应设置不小于4根安装立柱，用于安装设备和固定层板。安装立柱能够前后移动调节。</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6、具有防静电手腕插座设计，满足安全维护的要求；</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7、机柜采用系列化的工程安装孔，可配合工程安装支架在防静电地板安装；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★8、为保证一致性和整体交付质量，密封通道件、UPS、精密空调、机柜、管理系统等核心部件要求使用同一品牌出具厂家证明函</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F092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22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888FF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restart"/>
            <w:tcBorders>
              <w:top w:val="single" w:color="000000" w:sz="4" w:space="0"/>
              <w:left w:val="single" w:color="000000" w:sz="4" w:space="0"/>
              <w:bottom w:val="nil"/>
              <w:right w:val="single" w:color="000000" w:sz="4" w:space="0"/>
            </w:tcBorders>
            <w:shd w:val="clear" w:color="auto" w:fill="auto"/>
            <w:vAlign w:val="center"/>
          </w:tcPr>
          <w:p w14:paraId="352F5EA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微模块机柜系统</w:t>
            </w:r>
          </w:p>
        </w:tc>
      </w:tr>
      <w:tr w14:paraId="3ACBA7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1"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B5BA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w:t>
            </w:r>
          </w:p>
        </w:tc>
        <w:tc>
          <w:tcPr>
            <w:tcW w:w="12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D12F23">
            <w:pPr>
              <w:keepNext w:val="0"/>
              <w:keepLines w:val="0"/>
              <w:widowControl/>
              <w:suppressLineNumbers w:val="0"/>
              <w:jc w:val="center"/>
              <w:textAlignment w:val="bottom"/>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机柜侧板</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80FC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机柜侧门板-用于1200mm深,2000mm高机柜-M机柜专用</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9DEE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23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C6A3B2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nil"/>
              <w:right w:val="single" w:color="000000" w:sz="4" w:space="0"/>
            </w:tcBorders>
            <w:shd w:val="clear" w:color="auto" w:fill="auto"/>
            <w:vAlign w:val="center"/>
          </w:tcPr>
          <w:p w14:paraId="347BCBC4">
            <w:pPr>
              <w:jc w:val="center"/>
              <w:rPr>
                <w:rFonts w:hint="eastAsia" w:ascii="新宋体" w:hAnsi="新宋体" w:eastAsia="新宋体" w:cs="新宋体"/>
                <w:i w:val="0"/>
                <w:iCs w:val="0"/>
                <w:color w:val="000000"/>
                <w:sz w:val="20"/>
                <w:szCs w:val="20"/>
                <w:u w:val="none"/>
              </w:rPr>
            </w:pPr>
          </w:p>
        </w:tc>
      </w:tr>
      <w:tr w14:paraId="7E84AC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53"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BF51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w:t>
            </w:r>
          </w:p>
        </w:tc>
        <w:tc>
          <w:tcPr>
            <w:tcW w:w="12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36BFB5">
            <w:pPr>
              <w:keepNext w:val="0"/>
              <w:keepLines w:val="0"/>
              <w:widowControl/>
              <w:suppressLineNumbers w:val="0"/>
              <w:jc w:val="center"/>
              <w:textAlignment w:val="bottom"/>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理线托盘</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F527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理线托盘-1U-从机柜正面向后理线,带毛刷</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FA590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73FB5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块</w:t>
            </w:r>
          </w:p>
        </w:tc>
        <w:tc>
          <w:tcPr>
            <w:tcW w:w="518" w:type="dxa"/>
            <w:vMerge w:val="continue"/>
            <w:tcBorders>
              <w:top w:val="single" w:color="000000" w:sz="4" w:space="0"/>
              <w:left w:val="single" w:color="000000" w:sz="4" w:space="0"/>
              <w:bottom w:val="nil"/>
              <w:right w:val="single" w:color="000000" w:sz="4" w:space="0"/>
            </w:tcBorders>
            <w:shd w:val="clear" w:color="auto" w:fill="auto"/>
            <w:vAlign w:val="center"/>
          </w:tcPr>
          <w:p w14:paraId="6EC091DA">
            <w:pPr>
              <w:jc w:val="center"/>
              <w:rPr>
                <w:rFonts w:hint="eastAsia" w:ascii="新宋体" w:hAnsi="新宋体" w:eastAsia="新宋体" w:cs="新宋体"/>
                <w:i w:val="0"/>
                <w:iCs w:val="0"/>
                <w:color w:val="000000"/>
                <w:sz w:val="20"/>
                <w:szCs w:val="20"/>
                <w:u w:val="none"/>
              </w:rPr>
            </w:pPr>
          </w:p>
        </w:tc>
      </w:tr>
      <w:tr w14:paraId="0A279D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4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6E5B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B201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恒温恒湿精密空调</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9A0C11">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1、精密空调室内机应由高效直流变频压缩机、蒸发器、EC风机、控制器、电子膨胀阀、油分 、轻载除湿组件 ，视液镜、干燥过滤器等主要部件组成。尺寸：600*1200*2000，制冷量不低于46KW。</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★2.单台精密空调总冷量≥46kw，显冷量≥46kw，风量≥9000m3/h，加热量≥6kw，加湿量≥3kg/h，提供相关证明材料。</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3、控制器：不低于7英寸LCD触摸真彩屏</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4、精密空调在环境温度为45℃时，制冷量降额应不大于10%，采用EC风机。</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5、制冷剂：采用环保高效的制冷剂</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★6、室外机框架应采用全铝结构， 具有良好的刚性和防腐性能，适应恶劣环；列间精密空调可以实现最低10%的IT负载及95%以上室内高湿度的情况下的稳定除湿功能，降低高湿环境下数据中心低载运行的IT设备结露风险，并提供第三方检测报告证明。</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7、精密空调机组应标配防雷器，室内外机防雷器规格均需要大于6kA。</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★8、为保证机房绿色节能，降低机房PUE，行级空调应采用先进可靠的技术手段（内外机联动、多台空调智能群控等）实现制冷系统能耗降低，并可提供证第三方报告等证明材料。</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★9、精密空调应该具备冷媒检测功能， 行级空调需能提供冷媒容量预警功能，对冷媒容量进行自动检测并能提供泄漏状态告警，预防由于冷媒泄露导致的空调宕机。提供相关检测报告。</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10、为达到节能的效果，空调EER值要求不小于3.3。</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11、机组压缩机和干燥过滤器需可支持免动火原地维护，降低维护难度，降低维护时间。</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★12、为降低机房能耗，配置加湿功能的机组，应采用节能型湿膜加湿器，并能够提供第三方测试报告。</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13、具备访问日志回溯功能，可显示用户登陆及设置修改历史，最多可存储200条历史记录信息。</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14、机组主控模块可直接进行插拔式维护 ，实现快速维护。</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15、机组弱电供电单元需采用辅源模块供电，辅源模块可直接进行插拔式维护 ，降低维护工作量。</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★16、为保证一致性和整体交付质量，密封通道件、UPS、精密空调、机柜、管理系统等核心部件要求使用同一品牌出具厂家证明函</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★17、提供智能温控产品软件著作权相关证明文件</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★18、为保证数据中心的安全可信，温控产品需符合《网络安全审查办法》要求，提供公安部门出具的社会公共安全产品认证证书复印件，并可在国家市场监督管理总局相应平台可查询，提供官网链接及截图</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7785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2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EC013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1E6A8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温控系统</w:t>
            </w:r>
          </w:p>
        </w:tc>
      </w:tr>
      <w:tr w14:paraId="11D29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C563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FD09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单冷精密空调</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A3EB36">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1、精密空调室内机应由高效直流变频压缩机、蒸发器、EC风机、控制器、电子膨胀阀、油分 、轻载除湿组件 ，视液镜、干燥过滤器等主要部件组成。尺寸：600*1200*2000，制冷量不低于46KW。</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★2.单台精密空调总冷量≥46kw，显冷量≥46kw，风量≥9000m3/h提供相关证明材料。</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3、控制器：不低于7英寸LCD触摸真彩屏</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4、精密空调在环境温度为45℃时，制冷量降额应不大于10%，采用EC风机。</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5、制冷剂：采用环保高效的制冷剂</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★6、室外机框架应采用全铝结构， 具有良好的刚性和防腐性能，适应恶劣环；列间精密空调可以实现最低10%的IT负载及95%以上室内高湿度的情况下的稳定除湿功能，降低高湿环境下数据中心低载运行的IT设备结露风险，并提供第三方检测报告证明。</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7、精密空调机组应标配防雷器，室内外机防雷器规格均需要大于6kA。</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★8、为保证机房绿色节能，降低机房PUE，行级空调应采用先进可靠的技术手段（内外机联动、多台空调智能群控等）实现制冷系统能耗降低，并可提供证第三方报告等证明材料。</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★9、精密空调应该具备冷媒检测功能， 行级空调需能提供冷媒容量预警功能，对冷媒容量进行自动检测并能提供泄漏状态告警，预防由于冷媒泄露导致的空调宕机。提供相关检测报告。</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10、为达到节能的效果，空调EER值要求不小于3.3。</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11、机组压缩机和干燥过滤器需可支持免动火原地维护，降低维护难度，降低维护时间。</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★12、为降低机房能耗，配置加湿功能的机组，应采用节能型湿膜加湿器，并能够提供第三方测试报告。</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13、具备访问日志回溯功能，可显示用户登陆及设置修改历史，最多可存储200条历史记录信息。</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14、机组主控模块可直接进行插拔式维护 ，实现快速维护。</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15、机组弱电供电单元需采用辅源模块供电，辅源模块可直接进行插拔式维护 ，降低维护工作量。</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★16、为保证一致性和整体交付质量，密封通道件、UPS、精密空调、机柜、管理系统等核心部件要求使用同一品牌出具厂家证明函</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★17、提供智能温控产品软件著作权相关证明文件</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★18、为保证数据中心的安全可信，温控产品需符合《网络安全审查办法》要求，提供公安部门出具的社会公共安全产品认证证书复印件，并可在国家市场监督管理总局相应平台可查询，提供官网链接及截图</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8CEA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820CD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3A21A4">
            <w:pPr>
              <w:jc w:val="center"/>
              <w:rPr>
                <w:rFonts w:hint="eastAsia" w:ascii="新宋体" w:hAnsi="新宋体" w:eastAsia="新宋体" w:cs="新宋体"/>
                <w:i w:val="0"/>
                <w:iCs w:val="0"/>
                <w:color w:val="000000"/>
                <w:sz w:val="20"/>
                <w:szCs w:val="20"/>
                <w:u w:val="none"/>
              </w:rPr>
            </w:pPr>
          </w:p>
        </w:tc>
      </w:tr>
      <w:tr w14:paraId="2262CA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8CDA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B2F1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低温组件</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B57E45">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1.低温组件采用冷凝压力自控制系统，保证整机在室外环境–40℃的低温下均可安全可靠的运行。</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1B2D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3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EF5BE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9F9755">
            <w:pPr>
              <w:jc w:val="center"/>
              <w:rPr>
                <w:rFonts w:hint="eastAsia" w:ascii="新宋体" w:hAnsi="新宋体" w:eastAsia="新宋体" w:cs="新宋体"/>
                <w:i w:val="0"/>
                <w:iCs w:val="0"/>
                <w:color w:val="000000"/>
                <w:sz w:val="20"/>
                <w:szCs w:val="20"/>
                <w:u w:val="none"/>
              </w:rPr>
            </w:pPr>
          </w:p>
        </w:tc>
      </w:tr>
      <w:tr w14:paraId="38576C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5BA3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7</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2F53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铜管</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9B9C52">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液管 φ16；气管 φ22  R410专用铜管 含直接 弯头 集油弯等。</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CA99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120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F7B96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米</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2AFF79">
            <w:pPr>
              <w:jc w:val="center"/>
              <w:rPr>
                <w:rFonts w:hint="eastAsia" w:ascii="新宋体" w:hAnsi="新宋体" w:eastAsia="新宋体" w:cs="新宋体"/>
                <w:i w:val="0"/>
                <w:iCs w:val="0"/>
                <w:color w:val="000000"/>
                <w:sz w:val="20"/>
                <w:szCs w:val="20"/>
                <w:u w:val="none"/>
              </w:rPr>
            </w:pPr>
          </w:p>
        </w:tc>
      </w:tr>
      <w:tr w14:paraId="717731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B121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8</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A379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冷媒</w:t>
            </w:r>
          </w:p>
        </w:tc>
        <w:tc>
          <w:tcPr>
            <w:tcW w:w="636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479B03">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R410A 10升/瓶</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BB82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14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D0E2E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瓶</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59D4E9">
            <w:pPr>
              <w:jc w:val="center"/>
              <w:rPr>
                <w:rFonts w:hint="eastAsia" w:ascii="新宋体" w:hAnsi="新宋体" w:eastAsia="新宋体" w:cs="新宋体"/>
                <w:i w:val="0"/>
                <w:iCs w:val="0"/>
                <w:color w:val="000000"/>
                <w:sz w:val="20"/>
                <w:szCs w:val="20"/>
                <w:u w:val="none"/>
              </w:rPr>
            </w:pPr>
          </w:p>
        </w:tc>
      </w:tr>
      <w:tr w14:paraId="6C4903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CF69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9</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582D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安装辅材</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34467B">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含穿墙、打洞、焊丝、保温套、扎带、氧气、乙炔、氮气、空调给排水 等</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BDF4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FF82B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批</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4755B2">
            <w:pPr>
              <w:jc w:val="center"/>
              <w:rPr>
                <w:rFonts w:hint="eastAsia" w:ascii="新宋体" w:hAnsi="新宋体" w:eastAsia="新宋体" w:cs="新宋体"/>
                <w:i w:val="0"/>
                <w:iCs w:val="0"/>
                <w:color w:val="000000"/>
                <w:sz w:val="20"/>
                <w:szCs w:val="20"/>
                <w:u w:val="none"/>
              </w:rPr>
            </w:pPr>
          </w:p>
        </w:tc>
      </w:tr>
      <w:tr w14:paraId="5CAF5B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31FE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10</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9306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空调底座</w:t>
            </w:r>
          </w:p>
        </w:tc>
        <w:tc>
          <w:tcPr>
            <w:tcW w:w="636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C66A5F">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国标50</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DE0C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24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81769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平方</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29165D">
            <w:pPr>
              <w:jc w:val="center"/>
              <w:rPr>
                <w:rFonts w:hint="eastAsia" w:ascii="新宋体" w:hAnsi="新宋体" w:eastAsia="新宋体" w:cs="新宋体"/>
                <w:i w:val="0"/>
                <w:iCs w:val="0"/>
                <w:color w:val="000000"/>
                <w:sz w:val="20"/>
                <w:szCs w:val="20"/>
                <w:u w:val="none"/>
              </w:rPr>
            </w:pPr>
          </w:p>
        </w:tc>
      </w:tr>
      <w:tr w14:paraId="0F4B26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67F9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11</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FFC5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市电配电柜</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05AF54">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630A ATS双路切换开关，3P630A*2输入  3P630A总输出 含指示灯及多功能仪表   GBL柜体 可接入动环系统</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BE68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6D59C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restart"/>
            <w:tcBorders>
              <w:top w:val="nil"/>
              <w:left w:val="single" w:color="000000" w:sz="4" w:space="0"/>
              <w:bottom w:val="single" w:color="000000" w:sz="4" w:space="0"/>
              <w:right w:val="single" w:color="000000" w:sz="4" w:space="0"/>
            </w:tcBorders>
            <w:shd w:val="clear" w:color="auto" w:fill="auto"/>
            <w:vAlign w:val="center"/>
          </w:tcPr>
          <w:p w14:paraId="3CB92F8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配电系统</w:t>
            </w:r>
          </w:p>
        </w:tc>
      </w:tr>
      <w:tr w14:paraId="623E1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B87F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12</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EA2A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UPS输入柜</w:t>
            </w:r>
          </w:p>
        </w:tc>
        <w:tc>
          <w:tcPr>
            <w:tcW w:w="636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4F974C">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3P630A输入，输出400A3P*2，3P63A*1,4P100AB级防雷，指示灯，多功能仪表 可接入动环系统</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D533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1A6EB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continue"/>
            <w:tcBorders>
              <w:top w:val="nil"/>
              <w:left w:val="single" w:color="000000" w:sz="4" w:space="0"/>
              <w:bottom w:val="single" w:color="000000" w:sz="4" w:space="0"/>
              <w:right w:val="single" w:color="000000" w:sz="4" w:space="0"/>
            </w:tcBorders>
            <w:shd w:val="clear" w:color="auto" w:fill="auto"/>
            <w:vAlign w:val="center"/>
          </w:tcPr>
          <w:p w14:paraId="2AA3F588">
            <w:pPr>
              <w:jc w:val="center"/>
              <w:rPr>
                <w:rFonts w:hint="eastAsia" w:ascii="新宋体" w:hAnsi="新宋体" w:eastAsia="新宋体" w:cs="新宋体"/>
                <w:i w:val="0"/>
                <w:iCs w:val="0"/>
                <w:color w:val="000000"/>
                <w:sz w:val="20"/>
                <w:szCs w:val="20"/>
                <w:u w:val="none"/>
              </w:rPr>
            </w:pPr>
          </w:p>
        </w:tc>
      </w:tr>
      <w:tr w14:paraId="270147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1DAC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13</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9C3B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核心机房一体化UPS机柜</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78030E">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1.为保障微模块数据中心简单易维护、可靠性高和高效节地，应将UPS电源、IT配电、空调配电、照明配电、MCCB总开关、UPS输入配电和UPS输出配电集成于一个柜体中。</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2.UPS应采用高频模块化UPS，单台主机机框容量≥120kVA，本期单台UPS总功率容量≥120kVA，单功率模块不小于30KVA，模块高度不大于2U,提供产品宣传彩页或厂商技术承诺函并加盖厂商鲜章。</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UPS要求为全模块化设计，包括功率模块、旁路模块、控制模块等都支持在线热拔插，以提供最高级别的可用性、可维护性。UPS应采用集中控制的逻辑，集中控制单元需要1+1冗余，通讯总线也应有冗余，保障无单点故障。</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4.为避免UPS静态旁路出现不均流及工作模式切换不一致的风险，要求UPS采用集中静态旁路模块设计（静态旁路容量不小于UPS单机最大容量），其故障不影响UPS系统输出。</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5.功率模块的风扇有冗错设计,并且风扇故障时应发出声光告警，提供风扇告警截图。</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6.UPS输入电气指标：输入电压范围为310Vac~485Vac，输入频率范围为40Hz~70Hz，输入功率因数&gt;0.99（满载），输入电流失真 THDi&lt;3%（满载)。</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7.UPS输出电气指标：输出电压380Vac±1%（线电压），输出频率50±0.5Hz，输出电压波形畸变率&lt;3%(100%线性载），输出功率因数为1（即额定容量*1kW/kVA=额定容量），逆变过载能力125%负载10min后转旁路</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8.市电与电池转换时间为0ms、旁路逆变转换时间为0ms。</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★9.市电模式运行下，系统效率≥96%（30%负载），≥95%（50%负载），提供泰尔报告。</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在环境温度正常情况下(40℃以内)，输入电压和电池电压正常时，能100%的由逆变器连续输出满载功率给负载使用。</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10.支持锂电、铅酸电池备电方式。铅酸电池电压支持360Vdc~528Vdc可调，具有定期对电池组进行自动浮充、均充转换、自动温度补偿、电池组放电及记录功能。</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11.主路断路器应采用塑壳断路器（分段能力不低于36kA），支路断路器应采用微型断路器（分段能力不低于6kA）。</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12.输入开关单路MCCB：400A 配电输出分路不少于：IT负载配置不少于2套24路40A/1P开关，空调配置不少于8路63A/3P开关，照明配置不少于3路10A/1P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13.UPS应设置尺寸≥6英寸的LCD显示屏，应具备RS485、FE、干接点接口。</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14.应具备支路电流(A)、有功功率（kW），负载率(%)、电能(kWh)、温度(℃)、开关状态。</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★15.按照YD5083-2005《电信设备抗地震性能检测规范》要求，通过不低于9烈度抗震检验，所投系列产品具备“CNAS”标识的第三方机构出具的检验报告复印件。</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★16.UPS系统应满足网络安全要求，通过网络安全认证，提供第三方机构产品社会公共安全认证证书复印件。</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★17、本项目设备功能方面，加强数据中心信息数据安全可靠，要求所投产品需具有国家权威机构颁发的国家 CTEAS 售后服务体系完善度七星认证证书；</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1、本项目需提供厂家原厂授权及售后服务承诺函；提供产品EMC报告、泰尔认证证书、CQC报告、彩页、RoHS,REACH and WEEE报告，同时提供厂家厂家需提供TL9000质量管理体系认证证书、ISO14001环境管理体系认证证书、ISO45001职业健康安全管理体系认证证书、ISO20000信息技术服务管理体系证书、ISO22301业务连续性证书复印件、ISO50001能源管理体系认证证书、CNAS证书。</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5CB4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4380F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nil"/>
              <w:left w:val="single" w:color="000000" w:sz="4" w:space="0"/>
              <w:bottom w:val="single" w:color="000000" w:sz="4" w:space="0"/>
              <w:right w:val="single" w:color="000000" w:sz="4" w:space="0"/>
            </w:tcBorders>
            <w:shd w:val="clear" w:color="auto" w:fill="auto"/>
            <w:vAlign w:val="center"/>
          </w:tcPr>
          <w:p w14:paraId="557E48EA">
            <w:pPr>
              <w:jc w:val="center"/>
              <w:rPr>
                <w:rFonts w:hint="eastAsia" w:ascii="新宋体" w:hAnsi="新宋体" w:eastAsia="新宋体" w:cs="新宋体"/>
                <w:i w:val="0"/>
                <w:iCs w:val="0"/>
                <w:color w:val="000000"/>
                <w:sz w:val="20"/>
                <w:szCs w:val="20"/>
                <w:u w:val="none"/>
              </w:rPr>
            </w:pPr>
          </w:p>
        </w:tc>
      </w:tr>
      <w:tr w14:paraId="734DD7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98"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E2E7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14</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3BE0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功率模块</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FDB17C">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功率模块≥30KVA，高度2U，支持热插拔</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5054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4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59983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nil"/>
              <w:left w:val="single" w:color="000000" w:sz="4" w:space="0"/>
              <w:bottom w:val="single" w:color="000000" w:sz="4" w:space="0"/>
              <w:right w:val="single" w:color="000000" w:sz="4" w:space="0"/>
            </w:tcBorders>
            <w:shd w:val="clear" w:color="auto" w:fill="auto"/>
            <w:vAlign w:val="center"/>
          </w:tcPr>
          <w:p w14:paraId="32E43314">
            <w:pPr>
              <w:jc w:val="center"/>
              <w:rPr>
                <w:rFonts w:hint="eastAsia" w:ascii="新宋体" w:hAnsi="新宋体" w:eastAsia="新宋体" w:cs="新宋体"/>
                <w:i w:val="0"/>
                <w:iCs w:val="0"/>
                <w:color w:val="000000"/>
                <w:sz w:val="20"/>
                <w:szCs w:val="20"/>
                <w:u w:val="none"/>
              </w:rPr>
            </w:pPr>
          </w:p>
        </w:tc>
      </w:tr>
      <w:tr w14:paraId="2D1EF2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99"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5EC5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15</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EFCB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蓄电池</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DABD3F">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1.铅酸蓄电池电池容量：12V200AH。电池为10hr电池，标称额定容量为200ah</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2.蓄电池产品工作温度：－15～+45℃；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3.产品外观要求：蓄电池标志清晰，外观不得有变形、漏液、裂纹及污迹。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★4.容量保存率：在温度为25℃时蓄电池静置28天后，容量保存率不低于该电池实际容量（25℃时的C10）的96%，需提供该系列产品的第三方检测报告。</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5.过度放电能力：经过C10容量实验并已达到额定容量值的蓄电池，在其输出端与一个外电阻连接，其阻值应满足使单体电池电压2V/单体、放电电流1.0I10的条件，蓄电池在环境温度为25±5℃条件中保持30d。30d过度放电结束后，立即用厂家规定的均充电压（限流2.0I10）充电48h，然后再按进行C10容量试验，其容量恢复值应≥100%，需提供该系列产品的第三方检测报告。</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6.低温敏感性：达到额定容量值的蓄电池，经完全充电后，在25℃±5℃环境中，以I10电流放电至终止电压，蓄电池不经再充电置于－18℃±2℃的低温室（箱）中静置72h，再在室温下开路静置24h，在25℃±5℃环境中以Uflo电压（限流0.2C10）连续充电168h。蓄电池进行10h率容量试验，此时测得的容量修正值应≥0.99C10。外观应无破裂、过度膨胀及槽、盖分离现象，需提供该系列产品的第三方检测报告。</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★7.再充电性能：达到额定容量值的蓄电池，经完全充电后，在25℃±2℃环境中，以I10电流放电至终止电压，将所得的容量值修正至25℃容量Ca。 放电后蓄电池静置1h，以Uflo电压（限流0.2 C10）进行再充电24h，然后以I10电流放电至终止电压，将所得的容量值修正至25℃容量Ca24h。 计算蓄电池再充电能力因素Rbf24h=100%*Ca24h/Ca，Rbf24h应≥90%，需提供该系列产品的第三方检测报告。</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8.防酸雾性能：蓄电池在正常工作中应无酸雾逸出。</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9.防爆性能：蓄电池在充电过程中遇有明火内部不应引爆。</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10.封口剂性能：采用封口剂蓄电池，在温度-30℃～+65℃之间，封口剂不应有裂纹与溢流现象。</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11.密封反应效率：蓄电池密封反应效率应不低于99%，需提供该系列产品的第三方检测报告。</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12.安全阀：安全阀应具有自动开启和自动关闭的功能。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13.AGM蓄电池安全阀开阀压力范围：10～35kPa，闭阀压力范围：10～30kPa，需提供第三方检测报告。</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14.投标时需提供厂家授权书、售后服务承诺函。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15. 蓄电池产品及其抗震加固应符合《电信设备抗地震性能检测规范》（YD 5083-2005）及《通信用电源设备抗地震性能检测规范》（YD 5096-2005）或《通信用电源设备抗地震性能检测规范》（YD/T 5096-2016）相关条款的规定。请投标人以附件形式提供投标产品的抗震认证证书及相应的检测报告的电子版文档。</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★16、为保证蓄电池安全可靠，需提供产品的生产企业参与制定与投标产品相关的国际、国家行业标准的证明材料（含标准级别、标准号、颁布年月和标准归口单位）。</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★17.电池厂家须出具：</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 营业执照     2、CE认证  3、泰尔认证   4、产品检验报告 5、电池回收资质   6、专利证书    7、CNAS证书。</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8E86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80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E4C62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节</w:t>
            </w:r>
          </w:p>
        </w:tc>
        <w:tc>
          <w:tcPr>
            <w:tcW w:w="518" w:type="dxa"/>
            <w:vMerge w:val="continue"/>
            <w:tcBorders>
              <w:top w:val="nil"/>
              <w:left w:val="single" w:color="000000" w:sz="4" w:space="0"/>
              <w:bottom w:val="single" w:color="000000" w:sz="4" w:space="0"/>
              <w:right w:val="single" w:color="000000" w:sz="4" w:space="0"/>
            </w:tcBorders>
            <w:shd w:val="clear" w:color="auto" w:fill="auto"/>
            <w:vAlign w:val="center"/>
          </w:tcPr>
          <w:p w14:paraId="48907CC1">
            <w:pPr>
              <w:jc w:val="center"/>
              <w:rPr>
                <w:rFonts w:hint="eastAsia" w:ascii="新宋体" w:hAnsi="新宋体" w:eastAsia="新宋体" w:cs="新宋体"/>
                <w:i w:val="0"/>
                <w:iCs w:val="0"/>
                <w:color w:val="000000"/>
                <w:sz w:val="20"/>
                <w:szCs w:val="20"/>
                <w:u w:val="none"/>
              </w:rPr>
            </w:pPr>
          </w:p>
        </w:tc>
      </w:tr>
      <w:tr w14:paraId="3109F1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E9FA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16</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F728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蓄电池架</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FF9C99">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A40尺寸1350*1200*1600mm，每层10只，共4层；含电池开关及连接线缆</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A39A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2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70000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nil"/>
              <w:left w:val="single" w:color="000000" w:sz="4" w:space="0"/>
              <w:bottom w:val="single" w:color="000000" w:sz="4" w:space="0"/>
              <w:right w:val="single" w:color="000000" w:sz="4" w:space="0"/>
            </w:tcBorders>
            <w:shd w:val="clear" w:color="auto" w:fill="auto"/>
            <w:vAlign w:val="center"/>
          </w:tcPr>
          <w:p w14:paraId="249F0D92">
            <w:pPr>
              <w:jc w:val="center"/>
              <w:rPr>
                <w:rFonts w:hint="eastAsia" w:ascii="新宋体" w:hAnsi="新宋体" w:eastAsia="新宋体" w:cs="新宋体"/>
                <w:i w:val="0"/>
                <w:iCs w:val="0"/>
                <w:color w:val="000000"/>
                <w:sz w:val="20"/>
                <w:szCs w:val="20"/>
                <w:u w:val="none"/>
              </w:rPr>
            </w:pPr>
          </w:p>
        </w:tc>
      </w:tr>
      <w:tr w14:paraId="6DC4CC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A168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17</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9077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10#工字钢</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48E45B">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国标64KG，电池承重</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327B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36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C19EC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米</w:t>
            </w:r>
          </w:p>
        </w:tc>
        <w:tc>
          <w:tcPr>
            <w:tcW w:w="518" w:type="dxa"/>
            <w:vMerge w:val="continue"/>
            <w:tcBorders>
              <w:top w:val="nil"/>
              <w:left w:val="single" w:color="000000" w:sz="4" w:space="0"/>
              <w:bottom w:val="single" w:color="000000" w:sz="4" w:space="0"/>
              <w:right w:val="single" w:color="000000" w:sz="4" w:space="0"/>
            </w:tcBorders>
            <w:shd w:val="clear" w:color="auto" w:fill="auto"/>
            <w:vAlign w:val="center"/>
          </w:tcPr>
          <w:p w14:paraId="5F74A603">
            <w:pPr>
              <w:jc w:val="center"/>
              <w:rPr>
                <w:rFonts w:hint="eastAsia" w:ascii="新宋体" w:hAnsi="新宋体" w:eastAsia="新宋体" w:cs="新宋体"/>
                <w:i w:val="0"/>
                <w:iCs w:val="0"/>
                <w:color w:val="000000"/>
                <w:sz w:val="20"/>
                <w:szCs w:val="20"/>
                <w:u w:val="none"/>
              </w:rPr>
            </w:pPr>
          </w:p>
        </w:tc>
      </w:tr>
      <w:tr w14:paraId="74337E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4B22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18</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6478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电池连接铜排</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09F925">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40*5*260</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63FF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80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DDF03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nil"/>
              <w:left w:val="single" w:color="000000" w:sz="4" w:space="0"/>
              <w:bottom w:val="single" w:color="000000" w:sz="4" w:space="0"/>
              <w:right w:val="single" w:color="000000" w:sz="4" w:space="0"/>
            </w:tcBorders>
            <w:shd w:val="clear" w:color="auto" w:fill="auto"/>
            <w:vAlign w:val="center"/>
          </w:tcPr>
          <w:p w14:paraId="6BE9FFC2">
            <w:pPr>
              <w:jc w:val="center"/>
              <w:rPr>
                <w:rFonts w:hint="eastAsia" w:ascii="新宋体" w:hAnsi="新宋体" w:eastAsia="新宋体" w:cs="新宋体"/>
                <w:i w:val="0"/>
                <w:iCs w:val="0"/>
                <w:color w:val="000000"/>
                <w:sz w:val="20"/>
                <w:szCs w:val="20"/>
                <w:u w:val="none"/>
              </w:rPr>
            </w:pPr>
          </w:p>
        </w:tc>
      </w:tr>
      <w:tr w14:paraId="5B81F9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5C2E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19</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E302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蓄电池汇流箱</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B817A8">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电池汇流箱3P/400A*2</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234D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25FD3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nil"/>
              <w:left w:val="single" w:color="000000" w:sz="4" w:space="0"/>
              <w:bottom w:val="single" w:color="000000" w:sz="4" w:space="0"/>
              <w:right w:val="single" w:color="000000" w:sz="4" w:space="0"/>
            </w:tcBorders>
            <w:shd w:val="clear" w:color="auto" w:fill="auto"/>
            <w:vAlign w:val="center"/>
          </w:tcPr>
          <w:p w14:paraId="4EB4B2CA">
            <w:pPr>
              <w:jc w:val="center"/>
              <w:rPr>
                <w:rFonts w:hint="eastAsia" w:ascii="新宋体" w:hAnsi="新宋体" w:eastAsia="新宋体" w:cs="新宋体"/>
                <w:i w:val="0"/>
                <w:iCs w:val="0"/>
                <w:color w:val="000000"/>
                <w:sz w:val="20"/>
                <w:szCs w:val="20"/>
                <w:u w:val="none"/>
              </w:rPr>
            </w:pPr>
          </w:p>
        </w:tc>
      </w:tr>
      <w:tr w14:paraId="636D25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3139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20</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A3B7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控制天窗</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CE6B3C">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用于600mm宽机柜1200mm宽密封通道顶部密封       </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1C1F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3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C55D4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个</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4092B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密封通道系统</w:t>
            </w:r>
          </w:p>
        </w:tc>
      </w:tr>
      <w:tr w14:paraId="10443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8FA7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21</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449F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二合一天窗</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093790">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1、天窗应采用覆膜钢化玻璃材质，厚度不小于5mm。</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★2、天窗玻璃面积占比应保证不小于90%，玻璃材质透光率应不小于90%，并提供相关透光率及全景天窗实物图片。</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3、活动型天窗要求通过电磁锁控制打开(断电开启)，须达到无间断级联方式控制。</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4、活动型天窗应在接收到火灾告警信号时，控制电磁锁掉电开启天窗，同时发出声光报警信号，并将告警信号上传至机房管理系统。21A 600宽全玻璃天窗二包一-用于1200mm密封通道</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0EB9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5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70BC3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C228A1">
            <w:pPr>
              <w:jc w:val="center"/>
              <w:rPr>
                <w:rFonts w:hint="eastAsia" w:ascii="新宋体" w:hAnsi="新宋体" w:eastAsia="新宋体" w:cs="新宋体"/>
                <w:i w:val="0"/>
                <w:iCs w:val="0"/>
                <w:color w:val="000000"/>
                <w:sz w:val="20"/>
                <w:szCs w:val="20"/>
                <w:u w:val="none"/>
              </w:rPr>
            </w:pPr>
          </w:p>
        </w:tc>
      </w:tr>
      <w:tr w14:paraId="66649D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AF95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22</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8425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自动平移门</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D42D18">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1、通道门高度2.0m；</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2、通道端门需采用自动平移门设计，并与门禁联动，门禁识别通过后可自动开启；</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3、电动门应设置缓冲装置，保证在门的开合过程中不会由于快速关闭而碰撞损坏；</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4、通道门框架结构应采用高强度A级优质碳素冷轧型材，其型材厚度应不小于1.5mm，保证门框结构的整体强度；</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5、通道门板整块钢化玻璃材质的，其钢化玻璃厚度应不小于8mm，以保证门板强度。</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D407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2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D63EC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B10276">
            <w:pPr>
              <w:jc w:val="center"/>
              <w:rPr>
                <w:rFonts w:hint="eastAsia" w:ascii="新宋体" w:hAnsi="新宋体" w:eastAsia="新宋体" w:cs="新宋体"/>
                <w:i w:val="0"/>
                <w:iCs w:val="0"/>
                <w:color w:val="000000"/>
                <w:sz w:val="20"/>
                <w:szCs w:val="20"/>
                <w:u w:val="none"/>
              </w:rPr>
            </w:pPr>
          </w:p>
        </w:tc>
      </w:tr>
      <w:tr w14:paraId="4CE5DA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839C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23</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5B48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双开推拉门大屏门盒</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4530A9">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大屏前门盒支持智慧屏安装</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2D4A4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0CE32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4D70DE">
            <w:pPr>
              <w:jc w:val="center"/>
              <w:rPr>
                <w:rFonts w:hint="eastAsia" w:ascii="新宋体" w:hAnsi="新宋体" w:eastAsia="新宋体" w:cs="新宋体"/>
                <w:i w:val="0"/>
                <w:iCs w:val="0"/>
                <w:color w:val="000000"/>
                <w:sz w:val="20"/>
                <w:szCs w:val="20"/>
                <w:u w:val="none"/>
              </w:rPr>
            </w:pPr>
          </w:p>
        </w:tc>
      </w:tr>
      <w:tr w14:paraId="0DDE4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EDDF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24</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7D86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双开推拉门大屏门盒</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4CF431">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大屏后门盒不支持智慧屏安装</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E109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628718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958053">
            <w:pPr>
              <w:jc w:val="center"/>
              <w:rPr>
                <w:rFonts w:hint="eastAsia" w:ascii="新宋体" w:hAnsi="新宋体" w:eastAsia="新宋体" w:cs="新宋体"/>
                <w:i w:val="0"/>
                <w:iCs w:val="0"/>
                <w:color w:val="000000"/>
                <w:sz w:val="20"/>
                <w:szCs w:val="20"/>
                <w:u w:val="none"/>
              </w:rPr>
            </w:pPr>
          </w:p>
        </w:tc>
      </w:tr>
      <w:tr w14:paraId="42AFFD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8869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25</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3240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100深围框</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03FEC0">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100mm深围框-适用于1100mm深柜体补齐到1200mm深场景，配合一体化UPS柜使用</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1BEF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26A0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3E5F7C">
            <w:pPr>
              <w:jc w:val="center"/>
              <w:rPr>
                <w:rFonts w:hint="eastAsia" w:ascii="新宋体" w:hAnsi="新宋体" w:eastAsia="新宋体" w:cs="新宋体"/>
                <w:i w:val="0"/>
                <w:iCs w:val="0"/>
                <w:color w:val="000000"/>
                <w:sz w:val="20"/>
                <w:szCs w:val="20"/>
                <w:u w:val="none"/>
              </w:rPr>
            </w:pPr>
          </w:p>
        </w:tc>
      </w:tr>
      <w:tr w14:paraId="43349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DD48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26</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ED45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2m高机柜下封板</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F9343B">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前后封板-用于600mm宽机柜-每2台机柜配置1pcs-M机柜专用</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F067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2 </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0B91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B986A0">
            <w:pPr>
              <w:jc w:val="center"/>
              <w:rPr>
                <w:rFonts w:hint="eastAsia" w:ascii="新宋体" w:hAnsi="新宋体" w:eastAsia="新宋体" w:cs="新宋体"/>
                <w:i w:val="0"/>
                <w:iCs w:val="0"/>
                <w:color w:val="000000"/>
                <w:sz w:val="20"/>
                <w:szCs w:val="20"/>
                <w:u w:val="none"/>
              </w:rPr>
            </w:pPr>
          </w:p>
        </w:tc>
      </w:tr>
      <w:tr w14:paraId="1D5118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435B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27</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F2A2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600宽线槽</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CD3A29">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1、走线槽具有信号线和电源线隔离设计，应支持模块化设计、去工程化安装特性；</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2、为保证走线装置的牢固性和耐用性，应采用高强度优质碳素冷轧钢板材质，厚度为不小于1.5mm，具有强弱电明显标示。</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F45CA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13 </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0DAB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ECB2B3">
            <w:pPr>
              <w:jc w:val="center"/>
              <w:rPr>
                <w:rFonts w:hint="eastAsia" w:ascii="新宋体" w:hAnsi="新宋体" w:eastAsia="新宋体" w:cs="新宋体"/>
                <w:i w:val="0"/>
                <w:iCs w:val="0"/>
                <w:color w:val="000000"/>
                <w:sz w:val="20"/>
                <w:szCs w:val="20"/>
                <w:u w:val="none"/>
              </w:rPr>
            </w:pPr>
          </w:p>
        </w:tc>
      </w:tr>
      <w:tr w14:paraId="15A0FA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38D9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28</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19EA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600宽顶围板</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31AA28">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用于通道顶部围挡，上沿与通道端门门盒平齐</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05D2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13 </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773C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0D3970">
            <w:pPr>
              <w:jc w:val="center"/>
              <w:rPr>
                <w:rFonts w:hint="eastAsia" w:ascii="新宋体" w:hAnsi="新宋体" w:eastAsia="新宋体" w:cs="新宋体"/>
                <w:i w:val="0"/>
                <w:iCs w:val="0"/>
                <w:color w:val="000000"/>
                <w:sz w:val="20"/>
                <w:szCs w:val="20"/>
                <w:u w:val="none"/>
              </w:rPr>
            </w:pPr>
          </w:p>
        </w:tc>
      </w:tr>
      <w:tr w14:paraId="633F85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B5BB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29</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D50A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门框格栅灯带</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B2B24A">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门框采用告警联动指示灯，需保证至少有4种颜色，且具备四种颜色指示灯灯光与告警指示联动功能，在微模块产生告警后可与灯光进行联动。能够与紧急告警、重要告警、一般告警、提示告警进行联动；</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BD14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2 </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8D55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2FB3EB">
            <w:pPr>
              <w:jc w:val="center"/>
              <w:rPr>
                <w:rFonts w:hint="eastAsia" w:ascii="新宋体" w:hAnsi="新宋体" w:eastAsia="新宋体" w:cs="新宋体"/>
                <w:i w:val="0"/>
                <w:iCs w:val="0"/>
                <w:color w:val="000000"/>
                <w:sz w:val="20"/>
                <w:szCs w:val="20"/>
                <w:u w:val="none"/>
              </w:rPr>
            </w:pPr>
          </w:p>
        </w:tc>
      </w:tr>
      <w:tr w14:paraId="7969B0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A676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30</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2BD4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LED地脚灯</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FC6C24">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配置LED蓝光氛围灯，氛围灯安装与机柜底部前沿与地板的间隙处。</w:t>
            </w:r>
          </w:p>
        </w:tc>
        <w:tc>
          <w:tcPr>
            <w:tcW w:w="5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FFDD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EFF8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E1DA59">
            <w:pPr>
              <w:jc w:val="center"/>
              <w:rPr>
                <w:rFonts w:hint="eastAsia" w:ascii="新宋体" w:hAnsi="新宋体" w:eastAsia="新宋体" w:cs="新宋体"/>
                <w:i w:val="0"/>
                <w:iCs w:val="0"/>
                <w:color w:val="000000"/>
                <w:sz w:val="20"/>
                <w:szCs w:val="20"/>
                <w:u w:val="none"/>
              </w:rPr>
            </w:pPr>
          </w:p>
        </w:tc>
      </w:tr>
      <w:tr w14:paraId="744C4B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9"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3C06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31</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8BB3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通道控制器</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12B37">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1.微模块应设置控制器，用以连接网管系统与下级监控设备；能将微模块内的精密空调、配电、天窗执行器、门禁执行器、烟感、温湿度、水浸、声光告警等设备的信号统一采集。</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管理系统通信总线具备容错能力，单点故障应不影响其他设备；管理系统电源总线应具有热备份，具备支持热插拔，在线更换功能，提供具备“CNAS”标识的第三方机构出具的检验报告复印件（加盖厂商鲜章）。</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3.支持PAD访问，在APP上查看当前告警、设备参数。</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4.应设置不小于40寸触摸大屏，智能特性直观展示，降低运维难度；本地大屏采用内嵌式一体安装方式，保证与微模块整体美观度。提供产品宣传彩页或产品白皮书并加盖厂商鲜章。</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5.大屏可直观展示智能微模块监控状态（如电量、冷量、告警、环境温湿度等）、配电链路、制冷链路等信息。</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6.为提升监控系统可靠性，智能节点信号传输和传感器供电全部采用POE总线环网方式。</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7.智能温控管理，通过机柜温度和能耗变化，驱动空调智能调控，实现节能减排。</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8.智能联动管理，出现火情时，微模块能控制天窗自动翻转、通道门打开、空调自动停止运行。</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9.支持生成与微模块匹配的平面视图，包括精密配电柜（或UPS柜）、空调、机柜、温湿度、摄像头显示；支持在平面图上直观显示温湿度、漏水监测、烟雾传感器实时状态监测和告警；支持通过点击平面视图中的精密配电柜（或UPS柜）、空调、温湿度等设备，可查看该设备的实时运行详细参数。</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10.支持与第三方网管对接，实现多场景的集中管理。</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11.微模块控制器硬件要求：高度≤1U，机架式安装，系统内存≥512M，Flash存储≥1GB+64MB存储空间；支持2路WAN接口，2路LAN接口，100Mbps通讯速率；预留4路RS485接口，通讯速率默认9600bps；支持5路AI/DI接口；干接点触点容量20W，最大允许接入电压60V DC，额定电流500mA；支持4G、3G通讯，提供一个SIM卡插槽。提供宣传彩页加盖鲜章。</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12.设备应具备供电全链路显示功能：从微模块的总输入到IT机柜的PDU，整个配电拓扑展示、开关状态、能量流图、设备故障状态、支路对应关系、关键信号参数（电压、电流、温度等），提供具备“CNAS”标识的第三方机构出具的检验报告复印件（加盖厂商鲜章）。</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13.设备应具备制冷链路显示功能：1）显示整个微模块的温湿度状态、风道示意显示、冷媒流动显示、通道内外温湿度、室外温度、空调进出风温度、机柜温度；2）可以显示空调单机的制冷链路、状态（制冷、制热、加湿、除湿）、关键部件的状态和参数、风道冷媒流动状态。提供具备“CNAS”标识的第三方机构出具的检验报告复印件（加盖厂商鲜章）。</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★14.微模块控制器（或能源控制中心）满足网络安全要求，通过网络安全认证，提供第三方机构产品社会公共安全认证证书复印件，并加盖原厂鲜章。</w:t>
            </w:r>
          </w:p>
        </w:tc>
        <w:tc>
          <w:tcPr>
            <w:tcW w:w="5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E444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864B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41FCA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机房通道管理系统</w:t>
            </w:r>
          </w:p>
        </w:tc>
      </w:tr>
      <w:tr w14:paraId="70F566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9B8A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32</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8D60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智能插座</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3A28AF">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1、输入电压48VDC；</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2、输出至少4个POE接口，负责供电及数据传输。</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BAE3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6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1E487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212A58">
            <w:pPr>
              <w:jc w:val="center"/>
              <w:rPr>
                <w:rFonts w:hint="eastAsia" w:ascii="新宋体" w:hAnsi="新宋体" w:eastAsia="新宋体" w:cs="新宋体"/>
                <w:i w:val="0"/>
                <w:iCs w:val="0"/>
                <w:color w:val="000000"/>
                <w:sz w:val="20"/>
                <w:szCs w:val="20"/>
                <w:u w:val="none"/>
              </w:rPr>
            </w:pPr>
          </w:p>
        </w:tc>
      </w:tr>
      <w:tr w14:paraId="7D3C9C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675A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33</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5E36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显示屏</w:t>
            </w:r>
          </w:p>
        </w:tc>
        <w:tc>
          <w:tcPr>
            <w:tcW w:w="636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AF99F1">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不小于43寸触摸显示屏含本地管理软件</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44AB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A2A03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661951">
            <w:pPr>
              <w:jc w:val="center"/>
              <w:rPr>
                <w:rFonts w:hint="eastAsia" w:ascii="新宋体" w:hAnsi="新宋体" w:eastAsia="新宋体" w:cs="新宋体"/>
                <w:i w:val="0"/>
                <w:iCs w:val="0"/>
                <w:color w:val="000000"/>
                <w:sz w:val="20"/>
                <w:szCs w:val="20"/>
                <w:u w:val="none"/>
              </w:rPr>
            </w:pPr>
          </w:p>
        </w:tc>
      </w:tr>
      <w:tr w14:paraId="202E29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C040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34</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4A0E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电磁锁</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29065A">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天窗磁力锁吸附力不小于8KG (可吸附起表面平整10KG物体)，磁力满足天窗正常使用要求。</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DE27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6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538DF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CABFC3">
            <w:pPr>
              <w:jc w:val="center"/>
              <w:rPr>
                <w:rFonts w:hint="eastAsia" w:ascii="新宋体" w:hAnsi="新宋体" w:eastAsia="新宋体" w:cs="新宋体"/>
                <w:i w:val="0"/>
                <w:iCs w:val="0"/>
                <w:color w:val="000000"/>
                <w:sz w:val="20"/>
                <w:szCs w:val="20"/>
                <w:u w:val="none"/>
              </w:rPr>
            </w:pPr>
          </w:p>
        </w:tc>
      </w:tr>
      <w:tr w14:paraId="52221E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1F05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35</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A184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智能微模块执行器</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80D467">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智能微模块执行器含天窗控制与通道照明控制。</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D6B7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7DD1A5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910709">
            <w:pPr>
              <w:jc w:val="center"/>
              <w:rPr>
                <w:rFonts w:hint="eastAsia" w:ascii="新宋体" w:hAnsi="新宋体" w:eastAsia="新宋体" w:cs="新宋体"/>
                <w:i w:val="0"/>
                <w:iCs w:val="0"/>
                <w:color w:val="000000"/>
                <w:sz w:val="20"/>
                <w:szCs w:val="20"/>
                <w:u w:val="none"/>
              </w:rPr>
            </w:pPr>
          </w:p>
        </w:tc>
      </w:tr>
      <w:tr w14:paraId="7151BB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F22B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36</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24F1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LED灯</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34D146">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1、LED灯管；</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2、通道照明亮度不小于300LUX；</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B822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28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1CDDC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77203B">
            <w:pPr>
              <w:jc w:val="center"/>
              <w:rPr>
                <w:rFonts w:hint="eastAsia" w:ascii="新宋体" w:hAnsi="新宋体" w:eastAsia="新宋体" w:cs="新宋体"/>
                <w:i w:val="0"/>
                <w:iCs w:val="0"/>
                <w:color w:val="000000"/>
                <w:sz w:val="20"/>
                <w:szCs w:val="20"/>
                <w:u w:val="none"/>
              </w:rPr>
            </w:pPr>
          </w:p>
        </w:tc>
      </w:tr>
      <w:tr w14:paraId="4F034A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C675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37</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BC31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通道门禁</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0FB3C3">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门禁系统应支持指纹、密码、IC卡的权限设置，同时磁力锁的吸合能力应不小于280KG</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9DA3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7A648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057D73">
            <w:pPr>
              <w:jc w:val="center"/>
              <w:rPr>
                <w:rFonts w:hint="eastAsia" w:ascii="新宋体" w:hAnsi="新宋体" w:eastAsia="新宋体" w:cs="新宋体"/>
                <w:i w:val="0"/>
                <w:iCs w:val="0"/>
                <w:color w:val="000000"/>
                <w:sz w:val="20"/>
                <w:szCs w:val="20"/>
                <w:u w:val="none"/>
              </w:rPr>
            </w:pPr>
          </w:p>
        </w:tc>
      </w:tr>
      <w:tr w14:paraId="4D7F13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60A6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38</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2691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多功能传感器</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930FCE">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集成烟雾传感器、红外传感器和温湿度传感器于一体的多参数检测传感器，支持通过FE、无线通信接入到数据采集器；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1、集成烟雾传感器、红外传感器和温湿度传感器于一体的多参数检测传感器，支持通过FE、无线通信接入到数据采集器；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2、温度监测范围–40℃～80℃，精度 ≤ ±0.5℃（0～50℃）；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3、湿度监测范围0～100% RH，精度 ≤ ±5% RH；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4、红外监测范围不少于100°，有效距离不少于8m；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5、烟雾监测符合Ul217号标准，测试值每英尺3.2%微弱灰，烟感探测器可报警，具备烟感测试按钮，可进行模拟烟感测试；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6、支持POE供电，支持电子标签功能，支持无线通信。</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2196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3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E10C3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69E849">
            <w:pPr>
              <w:jc w:val="center"/>
              <w:rPr>
                <w:rFonts w:hint="eastAsia" w:ascii="新宋体" w:hAnsi="新宋体" w:eastAsia="新宋体" w:cs="新宋体"/>
                <w:i w:val="0"/>
                <w:iCs w:val="0"/>
                <w:color w:val="000000"/>
                <w:sz w:val="20"/>
                <w:szCs w:val="20"/>
                <w:u w:val="none"/>
              </w:rPr>
            </w:pPr>
          </w:p>
        </w:tc>
      </w:tr>
      <w:tr w14:paraId="4450BE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BFDC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39</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166E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非定位式水浸传感器</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B00A85">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1、绝缘电阻&gt; 500MΩ；</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2、支持快接端子连接，支持灵活延长，最长延长至50m，支持声音报警</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2298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2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37549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E6755D">
            <w:pPr>
              <w:jc w:val="center"/>
              <w:rPr>
                <w:rFonts w:hint="eastAsia" w:ascii="新宋体" w:hAnsi="新宋体" w:eastAsia="新宋体" w:cs="新宋体"/>
                <w:i w:val="0"/>
                <w:iCs w:val="0"/>
                <w:color w:val="000000"/>
                <w:sz w:val="20"/>
                <w:szCs w:val="20"/>
                <w:u w:val="none"/>
              </w:rPr>
            </w:pPr>
          </w:p>
        </w:tc>
      </w:tr>
      <w:tr w14:paraId="5930F0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1953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40</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42B9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水浸传感器检测绳</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E27D82">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长度5m，定位监测</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2FB1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2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0E616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条</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540693">
            <w:pPr>
              <w:jc w:val="center"/>
              <w:rPr>
                <w:rFonts w:hint="eastAsia" w:ascii="新宋体" w:hAnsi="新宋体" w:eastAsia="新宋体" w:cs="新宋体"/>
                <w:i w:val="0"/>
                <w:iCs w:val="0"/>
                <w:color w:val="000000"/>
                <w:sz w:val="20"/>
                <w:szCs w:val="20"/>
                <w:u w:val="none"/>
              </w:rPr>
            </w:pPr>
          </w:p>
        </w:tc>
      </w:tr>
      <w:tr w14:paraId="39F646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7E73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41</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83F8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温湿度传感器</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0FBBD6">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1、测温范围–20℃～+70℃；</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2、工作电压：10V DC～16V DC</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B583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3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F8BA6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ED4CB1">
            <w:pPr>
              <w:jc w:val="center"/>
              <w:rPr>
                <w:rFonts w:hint="eastAsia" w:ascii="新宋体" w:hAnsi="新宋体" w:eastAsia="新宋体" w:cs="新宋体"/>
                <w:i w:val="0"/>
                <w:iCs w:val="0"/>
                <w:color w:val="000000"/>
                <w:sz w:val="20"/>
                <w:szCs w:val="20"/>
                <w:u w:val="none"/>
              </w:rPr>
            </w:pPr>
          </w:p>
        </w:tc>
      </w:tr>
      <w:tr w14:paraId="790DB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6160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42</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AC6C0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监控线缆</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98D556">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微模块之间连接通信线缆</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7D184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FA6D9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批</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BCCC4A">
            <w:pPr>
              <w:jc w:val="center"/>
              <w:rPr>
                <w:rFonts w:hint="eastAsia" w:ascii="新宋体" w:hAnsi="新宋体" w:eastAsia="新宋体" w:cs="新宋体"/>
                <w:i w:val="0"/>
                <w:iCs w:val="0"/>
                <w:color w:val="000000"/>
                <w:sz w:val="20"/>
                <w:szCs w:val="20"/>
                <w:u w:val="none"/>
              </w:rPr>
            </w:pPr>
          </w:p>
        </w:tc>
      </w:tr>
      <w:tr w14:paraId="41D95D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1256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43</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5499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通道摄像机</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AE1AB0">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1、图像传感器：1/3"  200万像素逐行扫描CMOS以上；2、支持最低照度：0.1Lux @(F1.2，AGC ON)， 0 Lux with IR；3、支持红外照射距离≥20米;4、自动（ICR）/彩色/黑白/定时/报警触发；5、支持RJ45 10M/100M以太网口接入，支持POE供电；</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BEFC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2 </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D99A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226386">
            <w:pPr>
              <w:jc w:val="center"/>
              <w:rPr>
                <w:rFonts w:hint="eastAsia" w:ascii="新宋体" w:hAnsi="新宋体" w:eastAsia="新宋体" w:cs="新宋体"/>
                <w:i w:val="0"/>
                <w:iCs w:val="0"/>
                <w:color w:val="000000"/>
                <w:sz w:val="20"/>
                <w:szCs w:val="20"/>
                <w:u w:val="none"/>
              </w:rPr>
            </w:pPr>
          </w:p>
        </w:tc>
      </w:tr>
      <w:tr w14:paraId="197FB1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B6E4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44</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4BCA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蜂鸣器</w:t>
            </w:r>
          </w:p>
        </w:tc>
        <w:tc>
          <w:tcPr>
            <w:tcW w:w="636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0750FC">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1、输入电压：9-16VDC</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2、防护等级:IP50</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CFA3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897E9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A04A97">
            <w:pPr>
              <w:jc w:val="center"/>
              <w:rPr>
                <w:rFonts w:hint="eastAsia" w:ascii="新宋体" w:hAnsi="新宋体" w:eastAsia="新宋体" w:cs="新宋体"/>
                <w:i w:val="0"/>
                <w:iCs w:val="0"/>
                <w:color w:val="000000"/>
                <w:sz w:val="20"/>
                <w:szCs w:val="20"/>
                <w:u w:val="none"/>
              </w:rPr>
            </w:pPr>
          </w:p>
        </w:tc>
      </w:tr>
      <w:tr w14:paraId="5FACFD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DD4C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45</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902B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网络设备</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3E2D9">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网络设备-交换机-24个10/100/1000Base-T以太网端口，满足POE供电和数据传输</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F1B2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17D0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restart"/>
            <w:tcBorders>
              <w:top w:val="single" w:color="000000" w:sz="4" w:space="0"/>
              <w:left w:val="single" w:color="000000" w:sz="4" w:space="0"/>
              <w:bottom w:val="nil"/>
              <w:right w:val="single" w:color="000000" w:sz="4" w:space="0"/>
            </w:tcBorders>
            <w:shd w:val="clear" w:color="auto" w:fill="auto"/>
            <w:vAlign w:val="center"/>
          </w:tcPr>
          <w:p w14:paraId="08118E4B">
            <w:pPr>
              <w:keepNext w:val="0"/>
              <w:keepLines w:val="0"/>
              <w:widowControl/>
              <w:suppressLineNumbers w:val="0"/>
              <w:jc w:val="center"/>
              <w:textAlignment w:val="center"/>
              <w:rPr>
                <w:rFonts w:hint="eastAsia" w:ascii="新宋体" w:hAnsi="新宋体" w:eastAsia="新宋体" w:cs="新宋体"/>
                <w:i w:val="0"/>
                <w:iCs w:val="0"/>
                <w:color w:val="000000"/>
                <w:kern w:val="0"/>
                <w:sz w:val="20"/>
                <w:szCs w:val="20"/>
                <w:u w:val="none"/>
                <w:lang w:val="en-US" w:eastAsia="zh-CN" w:bidi="ar"/>
              </w:rPr>
            </w:pPr>
            <w:r>
              <w:rPr>
                <w:rFonts w:hint="eastAsia" w:ascii="新宋体" w:hAnsi="新宋体" w:eastAsia="新宋体" w:cs="新宋体"/>
                <w:i w:val="0"/>
                <w:iCs w:val="0"/>
                <w:color w:val="000000"/>
                <w:kern w:val="0"/>
                <w:sz w:val="20"/>
                <w:szCs w:val="20"/>
                <w:u w:val="none"/>
                <w:lang w:val="en-US" w:eastAsia="zh-CN" w:bidi="ar"/>
              </w:rPr>
              <w:t>基础设施管理系统</w:t>
            </w:r>
          </w:p>
          <w:p w14:paraId="4014674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及组态软件升级</w:t>
            </w:r>
          </w:p>
        </w:tc>
      </w:tr>
      <w:tr w14:paraId="0164C7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2CF3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46</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03F7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机房摄像头</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494D3">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200万像素半球型摄像机</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591F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4 </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7BC4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nil"/>
              <w:right w:val="single" w:color="000000" w:sz="4" w:space="0"/>
            </w:tcBorders>
            <w:shd w:val="clear" w:color="auto" w:fill="auto"/>
            <w:vAlign w:val="center"/>
          </w:tcPr>
          <w:p w14:paraId="14F19B85">
            <w:pPr>
              <w:jc w:val="center"/>
              <w:rPr>
                <w:rFonts w:hint="eastAsia" w:ascii="新宋体" w:hAnsi="新宋体" w:eastAsia="新宋体" w:cs="新宋体"/>
                <w:i w:val="0"/>
                <w:iCs w:val="0"/>
                <w:color w:val="000000"/>
                <w:sz w:val="20"/>
                <w:szCs w:val="20"/>
                <w:u w:val="none"/>
              </w:rPr>
            </w:pPr>
          </w:p>
        </w:tc>
      </w:tr>
      <w:tr w14:paraId="56AD65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90C4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47</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072A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扩展模块</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403D8">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8路RS485/AI/DI复用端口</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F7CB7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66AA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continue"/>
            <w:tcBorders>
              <w:top w:val="single" w:color="000000" w:sz="4" w:space="0"/>
              <w:left w:val="single" w:color="000000" w:sz="4" w:space="0"/>
              <w:bottom w:val="nil"/>
              <w:right w:val="single" w:color="000000" w:sz="4" w:space="0"/>
            </w:tcBorders>
            <w:shd w:val="clear" w:color="auto" w:fill="auto"/>
            <w:vAlign w:val="center"/>
          </w:tcPr>
          <w:p w14:paraId="276AF1C4">
            <w:pPr>
              <w:jc w:val="center"/>
              <w:rPr>
                <w:rFonts w:hint="eastAsia" w:ascii="新宋体" w:hAnsi="新宋体" w:eastAsia="新宋体" w:cs="新宋体"/>
                <w:i w:val="0"/>
                <w:iCs w:val="0"/>
                <w:color w:val="000000"/>
                <w:sz w:val="20"/>
                <w:szCs w:val="20"/>
                <w:u w:val="none"/>
              </w:rPr>
            </w:pPr>
          </w:p>
        </w:tc>
      </w:tr>
      <w:tr w14:paraId="511C29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C832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48</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6360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非定位式水浸传感器</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11344">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1、绝缘电阻&gt; 500MΩ；</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2、支持快接端子连接，支持灵活延长，最长延长至50m，支持声音报警</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82A4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C10C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nil"/>
              <w:right w:val="single" w:color="000000" w:sz="4" w:space="0"/>
            </w:tcBorders>
            <w:shd w:val="clear" w:color="auto" w:fill="auto"/>
            <w:vAlign w:val="center"/>
          </w:tcPr>
          <w:p w14:paraId="36826E01">
            <w:pPr>
              <w:jc w:val="center"/>
              <w:rPr>
                <w:rFonts w:hint="eastAsia" w:ascii="新宋体" w:hAnsi="新宋体" w:eastAsia="新宋体" w:cs="新宋体"/>
                <w:i w:val="0"/>
                <w:iCs w:val="0"/>
                <w:color w:val="000000"/>
                <w:sz w:val="20"/>
                <w:szCs w:val="20"/>
                <w:u w:val="none"/>
              </w:rPr>
            </w:pPr>
          </w:p>
        </w:tc>
      </w:tr>
      <w:tr w14:paraId="0B5462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2A99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49</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3D26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水浸传感器检测绳</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CB5D7">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长度5m，定位监测</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E144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241E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nil"/>
              <w:right w:val="single" w:color="000000" w:sz="4" w:space="0"/>
            </w:tcBorders>
            <w:shd w:val="clear" w:color="auto" w:fill="auto"/>
            <w:vAlign w:val="center"/>
          </w:tcPr>
          <w:p w14:paraId="3BAC05F8">
            <w:pPr>
              <w:jc w:val="center"/>
              <w:rPr>
                <w:rFonts w:hint="eastAsia" w:ascii="新宋体" w:hAnsi="新宋体" w:eastAsia="新宋体" w:cs="新宋体"/>
                <w:i w:val="0"/>
                <w:iCs w:val="0"/>
                <w:color w:val="000000"/>
                <w:sz w:val="20"/>
                <w:szCs w:val="20"/>
                <w:u w:val="none"/>
              </w:rPr>
            </w:pPr>
          </w:p>
        </w:tc>
      </w:tr>
      <w:tr w14:paraId="5C5253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C1F9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50</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E3C5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温湿度传感器</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1E22A">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1、测温范围–20℃～+70℃；</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2、工作电压：10V DC～16V DC</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3878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4 </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D852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nil"/>
              <w:right w:val="single" w:color="000000" w:sz="4" w:space="0"/>
            </w:tcBorders>
            <w:shd w:val="clear" w:color="auto" w:fill="auto"/>
            <w:vAlign w:val="center"/>
          </w:tcPr>
          <w:p w14:paraId="51A197BF">
            <w:pPr>
              <w:jc w:val="center"/>
              <w:rPr>
                <w:rFonts w:hint="eastAsia" w:ascii="新宋体" w:hAnsi="新宋体" w:eastAsia="新宋体" w:cs="新宋体"/>
                <w:i w:val="0"/>
                <w:iCs w:val="0"/>
                <w:color w:val="000000"/>
                <w:sz w:val="20"/>
                <w:szCs w:val="20"/>
                <w:u w:val="none"/>
              </w:rPr>
            </w:pPr>
          </w:p>
        </w:tc>
      </w:tr>
      <w:tr w14:paraId="24FDDD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7D8B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51</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E007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烟感</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A8F15">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传感器-感烟探测器-12VDC-支持常开或常闭触点</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68EC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4 </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4169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nil"/>
              <w:right w:val="single" w:color="000000" w:sz="4" w:space="0"/>
            </w:tcBorders>
            <w:shd w:val="clear" w:color="auto" w:fill="auto"/>
            <w:vAlign w:val="center"/>
          </w:tcPr>
          <w:p w14:paraId="3568E3DB">
            <w:pPr>
              <w:jc w:val="center"/>
              <w:rPr>
                <w:rFonts w:hint="eastAsia" w:ascii="新宋体" w:hAnsi="新宋体" w:eastAsia="新宋体" w:cs="新宋体"/>
                <w:i w:val="0"/>
                <w:iCs w:val="0"/>
                <w:color w:val="000000"/>
                <w:sz w:val="20"/>
                <w:szCs w:val="20"/>
                <w:u w:val="none"/>
              </w:rPr>
            </w:pPr>
          </w:p>
        </w:tc>
      </w:tr>
      <w:tr w14:paraId="631C32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4"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BFF32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52</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CC08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基础软件授权</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9AA51">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基础软件-中小型DC基础软件平台-附赠100智能节点接入和100柜智能运营license</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57B5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F505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项</w:t>
            </w:r>
          </w:p>
        </w:tc>
        <w:tc>
          <w:tcPr>
            <w:tcW w:w="518" w:type="dxa"/>
            <w:vMerge w:val="continue"/>
            <w:tcBorders>
              <w:top w:val="single" w:color="000000" w:sz="4" w:space="0"/>
              <w:left w:val="single" w:color="000000" w:sz="4" w:space="0"/>
              <w:bottom w:val="nil"/>
              <w:right w:val="single" w:color="000000" w:sz="4" w:space="0"/>
            </w:tcBorders>
            <w:shd w:val="clear" w:color="auto" w:fill="auto"/>
            <w:vAlign w:val="center"/>
          </w:tcPr>
          <w:p w14:paraId="7243F692">
            <w:pPr>
              <w:jc w:val="center"/>
              <w:rPr>
                <w:rFonts w:hint="eastAsia" w:ascii="新宋体" w:hAnsi="新宋体" w:eastAsia="新宋体" w:cs="新宋体"/>
                <w:i w:val="0"/>
                <w:iCs w:val="0"/>
                <w:color w:val="000000"/>
                <w:sz w:val="20"/>
                <w:szCs w:val="20"/>
                <w:u w:val="none"/>
              </w:rPr>
            </w:pPr>
          </w:p>
        </w:tc>
      </w:tr>
      <w:tr w14:paraId="6766E7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4"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4B7D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53</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744D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基础运维授权</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C167D">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基础运维授权-50机柜-License</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EAC5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1818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项</w:t>
            </w:r>
          </w:p>
        </w:tc>
        <w:tc>
          <w:tcPr>
            <w:tcW w:w="518" w:type="dxa"/>
            <w:vMerge w:val="continue"/>
            <w:tcBorders>
              <w:top w:val="single" w:color="000000" w:sz="4" w:space="0"/>
              <w:left w:val="single" w:color="000000" w:sz="4" w:space="0"/>
              <w:bottom w:val="nil"/>
              <w:right w:val="single" w:color="000000" w:sz="4" w:space="0"/>
            </w:tcBorders>
            <w:shd w:val="clear" w:color="auto" w:fill="auto"/>
            <w:vAlign w:val="center"/>
          </w:tcPr>
          <w:p w14:paraId="1344653C">
            <w:pPr>
              <w:jc w:val="center"/>
              <w:rPr>
                <w:rFonts w:hint="eastAsia" w:ascii="新宋体" w:hAnsi="新宋体" w:eastAsia="新宋体" w:cs="新宋体"/>
                <w:i w:val="0"/>
                <w:iCs w:val="0"/>
                <w:color w:val="000000"/>
                <w:sz w:val="20"/>
                <w:szCs w:val="20"/>
                <w:u w:val="none"/>
              </w:rPr>
            </w:pPr>
          </w:p>
        </w:tc>
      </w:tr>
      <w:tr w14:paraId="01AE6F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32"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3721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54</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02BC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收敛模块</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275F4">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收敛模块可以从TA模块中逐个读取电压、内阻、温度值，并进行分析处理与显示.包含1套收敛模块安装套件；1根交流电源线；每组电池配8米四芯电话线，7米两芯电源线。 （每台UPS或并机的多台UPS配1个,最多六组电池配1个）</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1、在线监测每节电池的电压、每节电池的负极温度、每节电池的内阻；电池组组压、 充放电电流、环境温度；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2、硬件设备应由收敛模块与电池监测模块组成，每个电池监测模块监测一节电池电压、</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  内阻与负极温度，电池监测模块应无需外部供电。硬件系统应可监测总电池数为960</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  节，一个收敛模块可管理六组电池，每组为300节。</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3、电池监测模块正常工作时，从电池上的吸收电流必须小于80mW (12V或6V电池)或</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30 mW (2V电池)。</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4、硬件设备必须具备自动获取每节电池的基准内阻值并固化功能，通过自动内阻横向</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   与纵向分析比较来判断电池的好坏。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5、硬件设备必须带LCD显示与设置按键，带RS485口、网络口，必须同时支</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   持MODBUS/RTU、MODBUS/TCP、SNMP、TCP/IP协议，应带有报警干接点。</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6、具备电池热失控、单体内阻、单体电压、电池负极温度、组压、充放电</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   电流、 环境温度超限时自动告警，告警阀值可设置。告警发生时设备发出告警声音，</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   红色告警灯亮，干接点闭合，可通过设备查询具体告警内容。</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9、所有线缆及设备外壳必须阻燃。</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10、产品必须通过第三方机构的EMC检测和UL、CE、ROSH认证。</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F94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BC1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B268F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电池监测</w:t>
            </w:r>
          </w:p>
        </w:tc>
      </w:tr>
      <w:tr w14:paraId="0AB293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4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F4B6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55</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0E1A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单电池监测模块</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060F9">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监测12V电池每节电池电压、内阻、温度。包含1个单电池监测模块H3G-TA-12；1根长度250mm TA测试线；1根长度300mm TA通信线。 （一节电池配一个）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测量范围：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单体电压：1.5～2.5V，±0.1%；9～15V，±0.1%</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单体电池内阻：50～65535uΩ，±2%(重复精度)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电池负极温度：-5℃～+99.9℃，±1℃   </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1447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208</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757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C1CD9C">
            <w:pPr>
              <w:jc w:val="center"/>
              <w:rPr>
                <w:rFonts w:hint="eastAsia" w:ascii="新宋体" w:hAnsi="新宋体" w:eastAsia="新宋体" w:cs="新宋体"/>
                <w:i w:val="0"/>
                <w:iCs w:val="0"/>
                <w:color w:val="000000"/>
                <w:sz w:val="20"/>
                <w:szCs w:val="20"/>
                <w:u w:val="none"/>
              </w:rPr>
            </w:pPr>
          </w:p>
        </w:tc>
      </w:tr>
      <w:tr w14:paraId="29AEBF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8C65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56</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2384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TC模块</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C5490">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监测每组电池充放电电流和环境温度。包含1个500A TC模块带线。（一组电池配一个）  </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083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10F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0B22BC">
            <w:pPr>
              <w:jc w:val="center"/>
              <w:rPr>
                <w:rFonts w:hint="eastAsia" w:ascii="新宋体" w:hAnsi="新宋体" w:eastAsia="新宋体" w:cs="新宋体"/>
                <w:i w:val="0"/>
                <w:iCs w:val="0"/>
                <w:color w:val="000000"/>
                <w:sz w:val="20"/>
                <w:szCs w:val="20"/>
                <w:u w:val="none"/>
              </w:rPr>
            </w:pPr>
          </w:p>
        </w:tc>
      </w:tr>
      <w:tr w14:paraId="34A24E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9C59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57</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54E9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电流互感器</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435DD">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500A 配合TC模块测每组电流，内径为40.5mm。（一组电池配一个）</w:t>
            </w:r>
          </w:p>
        </w:tc>
        <w:tc>
          <w:tcPr>
            <w:tcW w:w="517" w:type="dxa"/>
            <w:tcBorders>
              <w:top w:val="single" w:color="000000" w:sz="4" w:space="0"/>
              <w:left w:val="single" w:color="000000" w:sz="4" w:space="0"/>
              <w:bottom w:val="nil"/>
              <w:right w:val="single" w:color="000000" w:sz="4" w:space="0"/>
            </w:tcBorders>
            <w:shd w:val="clear" w:color="auto" w:fill="auto"/>
            <w:noWrap/>
            <w:vAlign w:val="center"/>
          </w:tcPr>
          <w:p w14:paraId="57F97C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7D0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52B9A9">
            <w:pPr>
              <w:jc w:val="center"/>
              <w:rPr>
                <w:rFonts w:hint="eastAsia" w:ascii="新宋体" w:hAnsi="新宋体" w:eastAsia="新宋体" w:cs="新宋体"/>
                <w:i w:val="0"/>
                <w:iCs w:val="0"/>
                <w:color w:val="000000"/>
                <w:sz w:val="20"/>
                <w:szCs w:val="20"/>
                <w:u w:val="none"/>
              </w:rPr>
            </w:pPr>
          </w:p>
        </w:tc>
      </w:tr>
      <w:tr w14:paraId="312D3E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B97E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58</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3D3D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机房独立门禁</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8FF36">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独立门禁，含主机（人脸识别密码7英寸，液晶触摸显示屏，屏幕比例9：16，屏幕分辨率600*1024；</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采用200万宽动态双目摄像头，面部识别距离0.5~2米，支持照片视频防假，支持远程视频预览；）、门磁锁、出门按钮和线缆；要求：知名品牌、具有人脸识别功能；</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DCB9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6 </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9A42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restart"/>
            <w:tcBorders>
              <w:top w:val="nil"/>
              <w:left w:val="single" w:color="000000" w:sz="4" w:space="0"/>
              <w:bottom w:val="nil"/>
              <w:right w:val="single" w:color="000000" w:sz="4" w:space="0"/>
            </w:tcBorders>
            <w:shd w:val="clear" w:color="auto" w:fill="auto"/>
            <w:vAlign w:val="center"/>
          </w:tcPr>
          <w:p w14:paraId="69B6BC4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智能联动管理系统</w:t>
            </w:r>
          </w:p>
        </w:tc>
      </w:tr>
      <w:tr w14:paraId="76043F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EDCC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59</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8C2A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智能开关</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A9C08">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参数要求：产品尺寸86 x 86 x 33.5mm；额定参数：220V~50Hz；无线连接：低功耗蓝牙(Mesh)；额定负载：白炽灯&lt;2200W(总路数)节能灯、LED灯、荧光灯≤400W(总路数)；负载种类μ:具有微间隙结构的继电器；执行标准：GB/T 16915.2-2012；要求：具备物联网及wifi互联功能，可连接物联网关实现联动，可实现手机端管理；</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EEC8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13</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B72B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个</w:t>
            </w:r>
          </w:p>
        </w:tc>
        <w:tc>
          <w:tcPr>
            <w:tcW w:w="518" w:type="dxa"/>
            <w:vMerge w:val="continue"/>
            <w:tcBorders>
              <w:top w:val="nil"/>
              <w:left w:val="single" w:color="000000" w:sz="4" w:space="0"/>
              <w:bottom w:val="nil"/>
              <w:right w:val="single" w:color="000000" w:sz="4" w:space="0"/>
            </w:tcBorders>
            <w:shd w:val="clear" w:color="auto" w:fill="auto"/>
            <w:vAlign w:val="center"/>
          </w:tcPr>
          <w:p w14:paraId="40836AC1">
            <w:pPr>
              <w:jc w:val="center"/>
              <w:rPr>
                <w:rFonts w:hint="eastAsia" w:ascii="新宋体" w:hAnsi="新宋体" w:eastAsia="新宋体" w:cs="新宋体"/>
                <w:i w:val="0"/>
                <w:iCs w:val="0"/>
                <w:color w:val="000000"/>
                <w:sz w:val="20"/>
                <w:szCs w:val="20"/>
                <w:u w:val="none"/>
              </w:rPr>
            </w:pPr>
          </w:p>
        </w:tc>
      </w:tr>
      <w:tr w14:paraId="1399C3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9009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60</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B661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无线智能开关</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471C7">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产品名称：智能无线开关(双开)；产品尺寸：86 x 86 x 11mm；无线连接：蓝牙5.0版本；电池类型：CR2450；执行标准：GB 4943.1-2022；要求：具备物联网及wifi互联功能，可连接物联网关实现联动，可实现手机端管理；</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41F2E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CCAA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个</w:t>
            </w:r>
          </w:p>
        </w:tc>
        <w:tc>
          <w:tcPr>
            <w:tcW w:w="518" w:type="dxa"/>
            <w:vMerge w:val="continue"/>
            <w:tcBorders>
              <w:top w:val="nil"/>
              <w:left w:val="single" w:color="000000" w:sz="4" w:space="0"/>
              <w:bottom w:val="nil"/>
              <w:right w:val="single" w:color="000000" w:sz="4" w:space="0"/>
            </w:tcBorders>
            <w:shd w:val="clear" w:color="auto" w:fill="auto"/>
            <w:vAlign w:val="center"/>
          </w:tcPr>
          <w:p w14:paraId="7E7FCEE6">
            <w:pPr>
              <w:jc w:val="center"/>
              <w:rPr>
                <w:rFonts w:hint="eastAsia" w:ascii="新宋体" w:hAnsi="新宋体" w:eastAsia="新宋体" w:cs="新宋体"/>
                <w:i w:val="0"/>
                <w:iCs w:val="0"/>
                <w:color w:val="000000"/>
                <w:sz w:val="20"/>
                <w:szCs w:val="20"/>
                <w:u w:val="none"/>
              </w:rPr>
            </w:pPr>
          </w:p>
        </w:tc>
      </w:tr>
      <w:tr w14:paraId="6BACFD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506A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61</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8D3D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智能控制屏</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687DB">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1、具备物联网联动系统，一屏控制所接入的智能设备</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2、超广角摄像头不低于115°，支持视频对讲，人脸追踪及远程监控查看功能</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3、WiFi+蓝牙+红外连接，要求：具备物联网及wifi互联功能，可连接物联网关实现联动，可实现手机端管理；</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5444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3381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continue"/>
            <w:tcBorders>
              <w:top w:val="nil"/>
              <w:left w:val="single" w:color="000000" w:sz="4" w:space="0"/>
              <w:bottom w:val="nil"/>
              <w:right w:val="single" w:color="000000" w:sz="4" w:space="0"/>
            </w:tcBorders>
            <w:shd w:val="clear" w:color="auto" w:fill="auto"/>
            <w:vAlign w:val="center"/>
          </w:tcPr>
          <w:p w14:paraId="49D88CB2">
            <w:pPr>
              <w:jc w:val="center"/>
              <w:rPr>
                <w:rFonts w:hint="eastAsia" w:ascii="新宋体" w:hAnsi="新宋体" w:eastAsia="新宋体" w:cs="新宋体"/>
                <w:i w:val="0"/>
                <w:iCs w:val="0"/>
                <w:color w:val="000000"/>
                <w:sz w:val="20"/>
                <w:szCs w:val="20"/>
                <w:u w:val="none"/>
              </w:rPr>
            </w:pPr>
          </w:p>
        </w:tc>
      </w:tr>
      <w:tr w14:paraId="474C2D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ABD5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62</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B5E4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中枢网关</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CF8A4">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物联网中枢网关；有线连接：10/100Mbps 自适应网口1个；无线连接：Wi-FiIEEE 802.11a/b/g/n/ac 2.4GHz/5GHz，蓝牙 5.0；要求：具备物联网及wifi互联功能，可连接物联网关实现联动，可实现手机端管理；</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87C5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A555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continue"/>
            <w:tcBorders>
              <w:top w:val="nil"/>
              <w:left w:val="single" w:color="000000" w:sz="4" w:space="0"/>
              <w:bottom w:val="nil"/>
              <w:right w:val="single" w:color="000000" w:sz="4" w:space="0"/>
            </w:tcBorders>
            <w:shd w:val="clear" w:color="auto" w:fill="auto"/>
            <w:vAlign w:val="center"/>
          </w:tcPr>
          <w:p w14:paraId="0A286B97">
            <w:pPr>
              <w:jc w:val="center"/>
              <w:rPr>
                <w:rFonts w:hint="eastAsia" w:ascii="新宋体" w:hAnsi="新宋体" w:eastAsia="新宋体" w:cs="新宋体"/>
                <w:i w:val="0"/>
                <w:iCs w:val="0"/>
                <w:color w:val="000000"/>
                <w:sz w:val="20"/>
                <w:szCs w:val="20"/>
                <w:u w:val="none"/>
              </w:rPr>
            </w:pPr>
          </w:p>
        </w:tc>
      </w:tr>
      <w:tr w14:paraId="593B6A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8E7E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63</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948C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智能门锁</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F3443">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锁芯安全级别：C级；具备3D结构光人脸识别开锁、指纹识别开锁、前置猫眼摄像头、门内可视高清屏、NFC开锁、蓝牙开锁功能：蓝牙5.0、Wi-FiIEEE802.11b/g/n 2.4GHz、NFC；供电方式：4节5号电池(规格:1.5V电池)，5000mAh锂电池(规格:7.4V)，Type-C应急供电(5V=--0.5A)；产品安全级别：B级(GA 374-2019)；执行标准：GB 21556-2008(4.10)、GA 374-2019；要求：具备物联网及wifi互联功能，可连接物联网关实现联动，可实现手机端管理；；</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73C5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C078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continue"/>
            <w:tcBorders>
              <w:top w:val="nil"/>
              <w:left w:val="single" w:color="000000" w:sz="4" w:space="0"/>
              <w:bottom w:val="nil"/>
              <w:right w:val="single" w:color="000000" w:sz="4" w:space="0"/>
            </w:tcBorders>
            <w:shd w:val="clear" w:color="auto" w:fill="auto"/>
            <w:vAlign w:val="center"/>
          </w:tcPr>
          <w:p w14:paraId="58612493">
            <w:pPr>
              <w:jc w:val="center"/>
              <w:rPr>
                <w:rFonts w:hint="eastAsia" w:ascii="新宋体" w:hAnsi="新宋体" w:eastAsia="新宋体" w:cs="新宋体"/>
                <w:i w:val="0"/>
                <w:iCs w:val="0"/>
                <w:color w:val="000000"/>
                <w:sz w:val="20"/>
                <w:szCs w:val="20"/>
                <w:u w:val="none"/>
              </w:rPr>
            </w:pPr>
          </w:p>
        </w:tc>
      </w:tr>
      <w:tr w14:paraId="467E4B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015F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64</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44C1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中央空调</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9A54C">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制冷类型:冷暖；匹数:6匹 一拖四；能效等级:超一级能效；APF(GB 21454-2021)：5.70；制冷量(W):14100；制冷功率(W：)3600；制热量(W)：16000；制热功率(W):3720；补气增焓:支持；室外噪音dB(A)：55；控制面板:4个独立管理控制面板；</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6F74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DB13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nil"/>
              <w:left w:val="single" w:color="000000" w:sz="4" w:space="0"/>
              <w:bottom w:val="nil"/>
              <w:right w:val="single" w:color="000000" w:sz="4" w:space="0"/>
            </w:tcBorders>
            <w:shd w:val="clear" w:color="auto" w:fill="auto"/>
            <w:vAlign w:val="center"/>
          </w:tcPr>
          <w:p w14:paraId="204A4CFD">
            <w:pPr>
              <w:jc w:val="center"/>
              <w:rPr>
                <w:rFonts w:hint="eastAsia" w:ascii="新宋体" w:hAnsi="新宋体" w:eastAsia="新宋体" w:cs="新宋体"/>
                <w:i w:val="0"/>
                <w:iCs w:val="0"/>
                <w:color w:val="000000"/>
                <w:sz w:val="20"/>
                <w:szCs w:val="20"/>
                <w:u w:val="none"/>
              </w:rPr>
            </w:pPr>
          </w:p>
        </w:tc>
      </w:tr>
      <w:tr w14:paraId="4F76B6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ACFB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65</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82B3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督导服务</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70440">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厂家认证工程师调试、督导</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8492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1 </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4E49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项</w:t>
            </w:r>
          </w:p>
        </w:tc>
        <w:tc>
          <w:tcPr>
            <w:tcW w:w="518" w:type="dxa"/>
            <w:tcBorders>
              <w:top w:val="nil"/>
              <w:left w:val="single" w:color="000000" w:sz="4" w:space="0"/>
              <w:bottom w:val="nil"/>
              <w:right w:val="single" w:color="000000" w:sz="4" w:space="0"/>
            </w:tcBorders>
            <w:shd w:val="clear" w:color="auto" w:fill="auto"/>
            <w:vAlign w:val="center"/>
          </w:tcPr>
          <w:p w14:paraId="40E1CDD5">
            <w:pPr>
              <w:jc w:val="center"/>
              <w:rPr>
                <w:rFonts w:hint="eastAsia" w:ascii="新宋体" w:hAnsi="新宋体" w:eastAsia="新宋体" w:cs="新宋体"/>
                <w:i w:val="0"/>
                <w:iCs w:val="0"/>
                <w:color w:val="000000"/>
                <w:sz w:val="20"/>
                <w:szCs w:val="20"/>
                <w:u w:val="none"/>
              </w:rPr>
            </w:pPr>
          </w:p>
        </w:tc>
      </w:tr>
      <w:tr w14:paraId="658DC8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29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4205E">
            <w:pPr>
              <w:keepNext w:val="0"/>
              <w:keepLines w:val="0"/>
              <w:widowControl/>
              <w:suppressLineNumbers w:val="0"/>
              <w:jc w:val="left"/>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二、机房内部净化及其它系统配置：</w:t>
            </w:r>
          </w:p>
        </w:tc>
      </w:tr>
      <w:tr w14:paraId="7C158D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29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5CCBB">
            <w:pPr>
              <w:keepNext w:val="0"/>
              <w:keepLines w:val="0"/>
              <w:widowControl/>
              <w:suppressLineNumbers w:val="0"/>
              <w:jc w:val="left"/>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1、净化系统</w:t>
            </w:r>
          </w:p>
        </w:tc>
      </w:tr>
      <w:tr w14:paraId="6CBD17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AAFF0">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序号</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78606">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产品名称</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A72CF">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型号规格</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EA625">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数量</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51E1D">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单位</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29AF3">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备注</w:t>
            </w:r>
          </w:p>
        </w:tc>
      </w:tr>
      <w:tr w14:paraId="4AEB64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1702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DAED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拆除</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35471">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原建筑墙拆除，</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5A63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46</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EBA5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m³</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4EF6E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p>
        </w:tc>
      </w:tr>
      <w:tr w14:paraId="7DB525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EA65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790C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垃圾清运</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421BB">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施工过程产生的建筑及设备包装垃圾搬、运，大于5公里</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2555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BFE9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项</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204BD2">
            <w:pPr>
              <w:jc w:val="center"/>
              <w:rPr>
                <w:rFonts w:hint="eastAsia" w:ascii="新宋体" w:hAnsi="新宋体" w:eastAsia="新宋体" w:cs="新宋体"/>
                <w:i w:val="0"/>
                <w:iCs w:val="0"/>
                <w:color w:val="000000"/>
                <w:sz w:val="20"/>
                <w:szCs w:val="20"/>
                <w:u w:val="none"/>
              </w:rPr>
            </w:pPr>
          </w:p>
        </w:tc>
      </w:tr>
      <w:tr w14:paraId="3A6261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8F67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36D9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实体墙</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823B4">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新建隔墙：轻质砌块材料：蒸压加气块；规格：600*240*200mm。遵循国家标准：加气混凝土砌块的砌筑必须严格遵守国家标准《砌体工程施工质量验收规范》的要求。   隔墙门框，采用10#方钢立柱加固、两面抹灰；</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CFEE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158</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E43D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54B0F9">
            <w:pPr>
              <w:jc w:val="center"/>
              <w:rPr>
                <w:rFonts w:hint="eastAsia" w:ascii="新宋体" w:hAnsi="新宋体" w:eastAsia="新宋体" w:cs="新宋体"/>
                <w:i w:val="0"/>
                <w:iCs w:val="0"/>
                <w:color w:val="000000"/>
                <w:sz w:val="20"/>
                <w:szCs w:val="20"/>
                <w:u w:val="none"/>
              </w:rPr>
            </w:pPr>
          </w:p>
        </w:tc>
      </w:tr>
      <w:tr w14:paraId="3A2841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D82E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36EA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全钢抗静电地板</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B0443">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规格要求：600*600*40； 陶瓷面防静电地板；系统电阻：耗散静电型1.0*10^6 Ω-1.0*10^10 Ω；机械性能：1、集中载荷Q=2950N；2、均布载荷Q=12500N/㎡；3、极限集中载荷Q≥8850N；支架厚度：上托≥3mm，下托≥2mm，横梁壁厚≥1.0mm；上层板基采用优质 SPCC1D 硬质合金冷轧钢板，板基表面采用静电喷塑，钢板厚度为0.7mm；下层板基采用 ST14 拉伸板， 经拉伸后点焊成形，外表 （下层板基）经磷化后进行静电喷塑处理，钢板厚度为0.6mm；成型后钢板壳内腔填充优质国标 425 号发泡水泥；完成版面100mm；包含调节螺丝、阶梯踏步制作、防尘垫；具有检测报告、合格证；</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37B5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315</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51BF4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w:t>
            </w:r>
          </w:p>
        </w:tc>
        <w:tc>
          <w:tcPr>
            <w:tcW w:w="518" w:type="dxa"/>
            <w:vMerge w:val="restart"/>
            <w:tcBorders>
              <w:top w:val="single" w:color="000000" w:sz="4" w:space="0"/>
              <w:left w:val="single" w:color="000000" w:sz="4" w:space="0"/>
              <w:bottom w:val="nil"/>
              <w:right w:val="single" w:color="000000" w:sz="4" w:space="0"/>
            </w:tcBorders>
            <w:shd w:val="clear" w:color="auto" w:fill="auto"/>
            <w:vAlign w:val="center"/>
          </w:tcPr>
          <w:p w14:paraId="51528E22">
            <w:pPr>
              <w:keepNext w:val="0"/>
              <w:keepLines w:val="0"/>
              <w:widowControl/>
              <w:suppressLineNumbers w:val="0"/>
              <w:jc w:val="center"/>
              <w:textAlignment w:val="center"/>
              <w:rPr>
                <w:rFonts w:hint="default" w:ascii="新宋体" w:hAnsi="新宋体" w:eastAsia="新宋体" w:cs="新宋体"/>
                <w:i w:val="0"/>
                <w:iCs w:val="0"/>
                <w:color w:val="000000"/>
                <w:sz w:val="20"/>
                <w:szCs w:val="20"/>
                <w:u w:val="none"/>
                <w:lang w:val="en-US"/>
              </w:rPr>
            </w:pPr>
          </w:p>
        </w:tc>
      </w:tr>
      <w:tr w14:paraId="0DAE70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7DEB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8F40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地面防尘漆</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E23E6">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（1）速干时间短；</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（2）与基层结合牢固，无裂纹，无气泡，无脱落现象；</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（3）配方比例：防尘漆5+固化剂1+稀料1；</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AE9A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315</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15B2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w:t>
            </w:r>
          </w:p>
        </w:tc>
        <w:tc>
          <w:tcPr>
            <w:tcW w:w="518" w:type="dxa"/>
            <w:vMerge w:val="continue"/>
            <w:tcBorders>
              <w:top w:val="single" w:color="000000" w:sz="4" w:space="0"/>
              <w:left w:val="single" w:color="000000" w:sz="4" w:space="0"/>
              <w:bottom w:val="nil"/>
              <w:right w:val="single" w:color="000000" w:sz="4" w:space="0"/>
            </w:tcBorders>
            <w:shd w:val="clear" w:color="auto" w:fill="auto"/>
            <w:vAlign w:val="center"/>
          </w:tcPr>
          <w:p w14:paraId="1AE83AA6">
            <w:pPr>
              <w:jc w:val="center"/>
              <w:rPr>
                <w:rFonts w:hint="eastAsia" w:ascii="新宋体" w:hAnsi="新宋体" w:eastAsia="新宋体" w:cs="新宋体"/>
                <w:i w:val="0"/>
                <w:iCs w:val="0"/>
                <w:color w:val="000000"/>
                <w:sz w:val="20"/>
                <w:szCs w:val="20"/>
                <w:u w:val="none"/>
              </w:rPr>
            </w:pPr>
          </w:p>
        </w:tc>
      </w:tr>
      <w:tr w14:paraId="58EA70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D881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C273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踢脚线</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1133E">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100*1.0mm 黑拉丝不锈钢 含高密度衬板和胶</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A20A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94</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286F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vMerge w:val="continue"/>
            <w:tcBorders>
              <w:top w:val="single" w:color="000000" w:sz="4" w:space="0"/>
              <w:left w:val="single" w:color="000000" w:sz="4" w:space="0"/>
              <w:bottom w:val="nil"/>
              <w:right w:val="single" w:color="000000" w:sz="4" w:space="0"/>
            </w:tcBorders>
            <w:shd w:val="clear" w:color="auto" w:fill="auto"/>
            <w:vAlign w:val="center"/>
          </w:tcPr>
          <w:p w14:paraId="53028C50">
            <w:pPr>
              <w:jc w:val="center"/>
              <w:rPr>
                <w:rFonts w:hint="eastAsia" w:ascii="新宋体" w:hAnsi="新宋体" w:eastAsia="新宋体" w:cs="新宋体"/>
                <w:i w:val="0"/>
                <w:iCs w:val="0"/>
                <w:color w:val="000000"/>
                <w:sz w:val="20"/>
                <w:szCs w:val="20"/>
                <w:u w:val="none"/>
              </w:rPr>
            </w:pPr>
          </w:p>
        </w:tc>
      </w:tr>
      <w:tr w14:paraId="38A931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CF43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7</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16BD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房门防水处理</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77CF4">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门口砌防水堰。800*800*50mm</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32DD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5723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处</w:t>
            </w:r>
          </w:p>
        </w:tc>
        <w:tc>
          <w:tcPr>
            <w:tcW w:w="518" w:type="dxa"/>
            <w:vMerge w:val="continue"/>
            <w:tcBorders>
              <w:top w:val="single" w:color="000000" w:sz="4" w:space="0"/>
              <w:left w:val="single" w:color="000000" w:sz="4" w:space="0"/>
              <w:bottom w:val="nil"/>
              <w:right w:val="single" w:color="000000" w:sz="4" w:space="0"/>
            </w:tcBorders>
            <w:shd w:val="clear" w:color="auto" w:fill="auto"/>
            <w:vAlign w:val="center"/>
          </w:tcPr>
          <w:p w14:paraId="52AC3877">
            <w:pPr>
              <w:jc w:val="center"/>
              <w:rPr>
                <w:rFonts w:hint="eastAsia" w:ascii="新宋体" w:hAnsi="新宋体" w:eastAsia="新宋体" w:cs="新宋体"/>
                <w:i w:val="0"/>
                <w:iCs w:val="0"/>
                <w:color w:val="000000"/>
                <w:sz w:val="20"/>
                <w:szCs w:val="20"/>
                <w:u w:val="none"/>
              </w:rPr>
            </w:pPr>
          </w:p>
        </w:tc>
      </w:tr>
      <w:tr w14:paraId="7A8644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A96B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8</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47EE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微孔金属铝天花板</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2A113">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600*600*0.8 微孔铝板 含防尘膜；</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1、具有防尘、防火、防潮、吸音、降低电磁干扰、美观和易于拆装；</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2、采用一次冲压成型，不采用间歇式翻折工艺加工；误差≤20um；</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3、标准板采用1522的孔型；孔径为1.8mm；附着力达到0级；</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4、漆膜硬度大于HB；耐冲击性大于4N.M；</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5、耐酸性，在2%的盐酸溶液里浸泡24H无变化；</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6、耐碱性24H无变化；耐油性24H无变化；</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7、产品通过GB8624-2012《建筑材料及制品燃烧性能分级》A2级检验；</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7905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564</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DF36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2E5B87">
            <w:pPr>
              <w:keepNext w:val="0"/>
              <w:keepLines w:val="0"/>
              <w:widowControl/>
              <w:suppressLineNumbers w:val="0"/>
              <w:jc w:val="center"/>
              <w:textAlignment w:val="center"/>
              <w:rPr>
                <w:rFonts w:hint="default" w:ascii="新宋体" w:hAnsi="新宋体" w:eastAsia="新宋体" w:cs="新宋体"/>
                <w:i w:val="0"/>
                <w:iCs w:val="0"/>
                <w:color w:val="000000"/>
                <w:sz w:val="20"/>
                <w:szCs w:val="20"/>
                <w:u w:val="none"/>
                <w:lang w:val="en-US"/>
              </w:rPr>
            </w:pPr>
          </w:p>
        </w:tc>
      </w:tr>
      <w:tr w14:paraId="0DA8C3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B4C3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9</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99B4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轻钢龙骨</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77AB2">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Style w:val="29"/>
                <w:lang w:val="en-US" w:eastAsia="zh-CN" w:bidi="ar"/>
              </w:rPr>
              <w:t>技术要求：龙骨外形平整、棱角清晰，切口无毛刺或变形。镀锌层无起皮、起瘤、脱落等缺陷，无影响使用的腐蚀、损伤、麻点。规格：DC50*19mm、 DU38*12mm。</w:t>
            </w:r>
            <w:r>
              <w:rPr>
                <w:rStyle w:val="29"/>
                <w:lang w:val="en-US" w:eastAsia="zh-CN" w:bidi="ar"/>
              </w:rPr>
              <w:br w:type="textWrapping"/>
            </w:r>
            <w:r>
              <w:rPr>
                <w:rStyle w:val="29"/>
                <w:lang w:val="en-US" w:eastAsia="zh-CN" w:bidi="ar"/>
              </w:rPr>
              <w:t>1、端面尺寸偏差：A≤0.5mm；B≤1.0mm；</w:t>
            </w:r>
            <w:r>
              <w:rPr>
                <w:rStyle w:val="29"/>
                <w:lang w:val="en-US" w:eastAsia="zh-CN" w:bidi="ar"/>
              </w:rPr>
              <w:br w:type="textWrapping"/>
            </w:r>
            <w:r>
              <w:rPr>
                <w:rStyle w:val="29"/>
                <w:lang w:val="en-US" w:eastAsia="zh-CN" w:bidi="ar"/>
              </w:rPr>
              <w:t>2、侧面平直度：≤1.5/1000mm；</w:t>
            </w:r>
            <w:r>
              <w:rPr>
                <w:rStyle w:val="29"/>
                <w:lang w:val="en-US" w:eastAsia="zh-CN" w:bidi="ar"/>
              </w:rPr>
              <w:br w:type="textWrapping"/>
            </w:r>
            <w:r>
              <w:rPr>
                <w:rStyle w:val="29"/>
                <w:lang w:val="en-US" w:eastAsia="zh-CN" w:bidi="ar"/>
              </w:rPr>
              <w:t>3、底面平直度：≤1.5/1000mm；</w:t>
            </w:r>
            <w:r>
              <w:rPr>
                <w:rStyle w:val="29"/>
                <w:lang w:val="en-US" w:eastAsia="zh-CN" w:bidi="ar"/>
              </w:rPr>
              <w:br w:type="textWrapping"/>
            </w:r>
            <w:r>
              <w:rPr>
                <w:rStyle w:val="29"/>
                <w:lang w:val="en-US" w:eastAsia="zh-CN" w:bidi="ar"/>
              </w:rPr>
              <w:t>4、双面镀锌层厚度：≥14μm；</w:t>
            </w:r>
            <w:r>
              <w:rPr>
                <w:rStyle w:val="29"/>
                <w:lang w:val="en-US" w:eastAsia="zh-CN" w:bidi="ar"/>
              </w:rPr>
              <w:br w:type="textWrapping"/>
            </w:r>
            <w:r>
              <w:rPr>
                <w:rStyle w:val="29"/>
                <w:lang w:val="en-US" w:eastAsia="zh-CN" w:bidi="ar"/>
              </w:rPr>
              <w:t>5、双面镀锌量：≥100g/m</w:t>
            </w:r>
            <w:r>
              <w:rPr>
                <w:rStyle w:val="51"/>
                <w:lang w:val="en-US" w:eastAsia="zh-CN" w:bidi="ar"/>
              </w:rPr>
              <w:t>2</w:t>
            </w:r>
            <w:r>
              <w:rPr>
                <w:rStyle w:val="29"/>
                <w:lang w:val="en-US" w:eastAsia="zh-CN" w:bidi="ar"/>
              </w:rPr>
              <w:t>；</w:t>
            </w:r>
            <w:r>
              <w:rPr>
                <w:rStyle w:val="29"/>
                <w:lang w:val="en-US" w:eastAsia="zh-CN" w:bidi="ar"/>
              </w:rPr>
              <w:br w:type="textWrapping"/>
            </w:r>
            <w:r>
              <w:rPr>
                <w:rStyle w:val="29"/>
                <w:lang w:val="en-US" w:eastAsia="zh-CN" w:bidi="ar"/>
              </w:rPr>
              <w:t>6、加载挠度：≤4.0mm；</w:t>
            </w:r>
            <w:r>
              <w:rPr>
                <w:rStyle w:val="29"/>
                <w:lang w:val="en-US" w:eastAsia="zh-CN" w:bidi="ar"/>
              </w:rPr>
              <w:br w:type="textWrapping"/>
            </w:r>
            <w:r>
              <w:rPr>
                <w:rStyle w:val="29"/>
                <w:lang w:val="en-US" w:eastAsia="zh-CN" w:bidi="ar"/>
              </w:rPr>
              <w:t>7、残余变形量：≤1.0mm；</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AE24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564</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19C4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ACA390">
            <w:pPr>
              <w:jc w:val="center"/>
              <w:rPr>
                <w:rFonts w:hint="eastAsia" w:ascii="新宋体" w:hAnsi="新宋体" w:eastAsia="新宋体" w:cs="新宋体"/>
                <w:i w:val="0"/>
                <w:iCs w:val="0"/>
                <w:color w:val="000000"/>
                <w:sz w:val="20"/>
                <w:szCs w:val="20"/>
                <w:u w:val="none"/>
              </w:rPr>
            </w:pPr>
          </w:p>
        </w:tc>
      </w:tr>
      <w:tr w14:paraId="66CB17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2C84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10</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DAC6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顶面防尘漆</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D73EF">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（1）速干时间短；</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（2）与基层结合牢固，无裂纹，无气泡，无脱落现象；</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（3）配方比例：防尘漆5+固化剂1+稀料1；</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09FD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510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8F61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198653">
            <w:pPr>
              <w:jc w:val="center"/>
              <w:rPr>
                <w:rFonts w:hint="eastAsia" w:ascii="新宋体" w:hAnsi="新宋体" w:eastAsia="新宋体" w:cs="新宋体"/>
                <w:i w:val="0"/>
                <w:iCs w:val="0"/>
                <w:color w:val="000000"/>
                <w:sz w:val="20"/>
                <w:szCs w:val="20"/>
                <w:u w:val="none"/>
              </w:rPr>
            </w:pPr>
          </w:p>
        </w:tc>
      </w:tr>
      <w:tr w14:paraId="465E48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51D5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11</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2B84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机房专用彩钢板</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42C7B">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防火等级A级；满足机房建设A类材料标准。（含阴角阳角压条配件）；</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(1)烤漆金属钢板基材为热熔镀锌钢板厚度0.6mm，误差不超过20 um，正面烤漆厚度不小于20um，背面烤漆厚度不小于12um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(2)烤漆金属墙板，主材标准宽度：1200mm，高度有3000mm；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(3)烤漆金属墙板两边采用U型边槽，可以缓冲热胀冷缩的压力，确保安装后板面的平整度；</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(4)满足以下实验要求：</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  阿艾力生实验：表膜不发生龟裂、剥离；</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  180°弯曲实验：表膜不龟裂；</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  耐酸碱性：在24小时内，以5%的烧碱或浓度的硫酸浸泡，表面不起泡；</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  冲击实验：在直径为12.7mm。冲击力为200㎏.CM／m垂球打击下，表膜不龟裂、胶带粘贴不脱漆；</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5  耐溶性测试：以MEK擦拭100次，不掉漆；</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6  耐沸水性：以沸水90℃以上煮沸2小时，表面不起泡；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7  保护膜厚度：不小于0.05mm；</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具有：1.抗屏蔽要求：依据GB/T 30142-2013检测，对30-3000MHz频率电磁波的屏蔽效能达到80dB以上。</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2.环保性能：通过GB18584-2001检测，金属面夹芯板满足甲醛释放量不超标合格。具有检验报告、合格证。</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99A4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449</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0D64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BCCC30">
            <w:pPr>
              <w:keepNext w:val="0"/>
              <w:keepLines w:val="0"/>
              <w:widowControl/>
              <w:suppressLineNumbers w:val="0"/>
              <w:jc w:val="center"/>
              <w:textAlignment w:val="center"/>
              <w:rPr>
                <w:rFonts w:hint="default" w:ascii="新宋体" w:hAnsi="新宋体" w:eastAsia="新宋体" w:cs="新宋体"/>
                <w:i w:val="0"/>
                <w:iCs w:val="0"/>
                <w:color w:val="000000"/>
                <w:sz w:val="20"/>
                <w:szCs w:val="20"/>
                <w:u w:val="none"/>
                <w:lang w:val="en-US"/>
              </w:rPr>
            </w:pPr>
          </w:p>
        </w:tc>
      </w:tr>
      <w:tr w14:paraId="3FE586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E531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12</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C813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支架</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75859">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75加厚轻钢龙骨支架制作彩钢板底层，含隔热岩棉；</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1、C75天地龙骨，厚度≥0.6MM；U38穿心龙骨， 厚度≥1.2MM；</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2、C75龙骨，600MM间距；</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3、隔热岩棉≥50MM；</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7B9B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449</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F4BF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446FC2">
            <w:pPr>
              <w:jc w:val="center"/>
              <w:rPr>
                <w:rFonts w:hint="eastAsia" w:ascii="新宋体" w:hAnsi="新宋体" w:eastAsia="新宋体" w:cs="新宋体"/>
                <w:i w:val="0"/>
                <w:iCs w:val="0"/>
                <w:color w:val="000000"/>
                <w:sz w:val="20"/>
                <w:szCs w:val="20"/>
                <w:u w:val="none"/>
              </w:rPr>
            </w:pPr>
          </w:p>
        </w:tc>
      </w:tr>
      <w:tr w14:paraId="393DC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CE54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13</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67EF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墙面粉刷</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4C9EB">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非彩钢板墙面乳粉刷：水泥、腻子找平，墙面乳胶漆粉刷。乳胶漆特性 （1）以水为分散介质，无有机溶剂，环保安全；</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（2）透气性好；</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（3）耐水性好；</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（4）干燥速度快。在25°C时，30分钟内表面即可干燥，120分钟左右就可以完全干燥。</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（5）耐碱性好。涂于呈碱性的新抹灰的墙和天棚及混凝土墙面，不返粘，不易变色；</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（6）色彩柔和，漆膜坚硬，表面平整无光，观感舒适，色彩明快而柔和。颜色附着力强，是粉刷墙面和天棚的理想涂料。</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70FC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942</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E5D7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472706">
            <w:pPr>
              <w:jc w:val="center"/>
              <w:rPr>
                <w:rFonts w:hint="eastAsia" w:ascii="新宋体" w:hAnsi="新宋体" w:eastAsia="新宋体" w:cs="新宋体"/>
                <w:i w:val="0"/>
                <w:iCs w:val="0"/>
                <w:color w:val="000000"/>
                <w:sz w:val="20"/>
                <w:szCs w:val="20"/>
                <w:u w:val="none"/>
              </w:rPr>
            </w:pPr>
          </w:p>
        </w:tc>
      </w:tr>
      <w:tr w14:paraId="15A4BF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88CB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14</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DE52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墙面处理粉刷</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847A7">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 xml:space="preserve">彩钢板底层墙面、柱面刷防尘漆粉刷：水泥、腻子找平，墙面防尘漆粉刷。防尘漆特性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（1）速干时间短；</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（2）与基层结合牢固，无裂纹，无气泡，无脱落现象；</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（3）配方比例：防尘漆5+固化剂1+稀料1；</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C205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472</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D08E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1FBEA9">
            <w:pPr>
              <w:jc w:val="center"/>
              <w:rPr>
                <w:rFonts w:hint="eastAsia" w:ascii="新宋体" w:hAnsi="新宋体" w:eastAsia="新宋体" w:cs="新宋体"/>
                <w:i w:val="0"/>
                <w:iCs w:val="0"/>
                <w:color w:val="000000"/>
                <w:sz w:val="20"/>
                <w:szCs w:val="20"/>
                <w:u w:val="none"/>
              </w:rPr>
            </w:pPr>
          </w:p>
        </w:tc>
      </w:tr>
      <w:tr w14:paraId="5D87FB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92C6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15</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7CB0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防火防盗门</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3EB6F">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甲级防火加防盗锁门1500*2300mm （双开门）；执行标准：GB12955-2008《防火门》；耐火隔热性、耐火完整性≥1.20h；厚度≥75mm；具备消防检测认证、合格证；</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C7D0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7</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6B87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樘</w:t>
            </w:r>
          </w:p>
        </w:tc>
        <w:tc>
          <w:tcPr>
            <w:tcW w:w="518" w:type="dxa"/>
            <w:vMerge w:val="restart"/>
            <w:tcBorders>
              <w:top w:val="nil"/>
              <w:left w:val="single" w:color="000000" w:sz="4" w:space="0"/>
              <w:bottom w:val="single" w:color="000000" w:sz="4" w:space="0"/>
              <w:right w:val="single" w:color="000000" w:sz="4" w:space="0"/>
            </w:tcBorders>
            <w:shd w:val="clear" w:color="auto" w:fill="auto"/>
            <w:vAlign w:val="center"/>
          </w:tcPr>
          <w:p w14:paraId="6F35206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p>
        </w:tc>
      </w:tr>
      <w:tr w14:paraId="01B97C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F729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16</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DB4D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防火防盗门</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66700">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甲级防火加防盗锁门1400*2000mm （双开门）；执行标准：GB12955-2008《防火门》；耐火隔热性、耐火完整性≥1.20h；厚度≥76mm；具备消防检测认证、合格证；</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1B7C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B196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樘</w:t>
            </w:r>
          </w:p>
        </w:tc>
        <w:tc>
          <w:tcPr>
            <w:tcW w:w="518" w:type="dxa"/>
            <w:vMerge w:val="continue"/>
            <w:tcBorders>
              <w:top w:val="nil"/>
              <w:left w:val="single" w:color="000000" w:sz="4" w:space="0"/>
              <w:bottom w:val="single" w:color="000000" w:sz="4" w:space="0"/>
              <w:right w:val="single" w:color="000000" w:sz="4" w:space="0"/>
            </w:tcBorders>
            <w:shd w:val="clear" w:color="auto" w:fill="auto"/>
            <w:vAlign w:val="center"/>
          </w:tcPr>
          <w:p w14:paraId="50A8AE50">
            <w:pPr>
              <w:jc w:val="center"/>
              <w:rPr>
                <w:rFonts w:hint="eastAsia" w:ascii="新宋体" w:hAnsi="新宋体" w:eastAsia="新宋体" w:cs="新宋体"/>
                <w:i w:val="0"/>
                <w:iCs w:val="0"/>
                <w:color w:val="000000"/>
                <w:sz w:val="20"/>
                <w:szCs w:val="20"/>
                <w:u w:val="none"/>
              </w:rPr>
            </w:pPr>
          </w:p>
        </w:tc>
      </w:tr>
      <w:tr w14:paraId="0C66A1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59B2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17</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E895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防火防盗门</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9A2A3">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甲级防火加防盗锁门1200*2300mm （子母门）；执行标准：GB12955-2008《防火门》；耐火隔热性、耐火完整性≥1.20h；厚度≥76mm；具备消防检测认证、合格证；</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E94C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BCA6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樘</w:t>
            </w:r>
          </w:p>
        </w:tc>
        <w:tc>
          <w:tcPr>
            <w:tcW w:w="518" w:type="dxa"/>
            <w:vMerge w:val="continue"/>
            <w:tcBorders>
              <w:top w:val="nil"/>
              <w:left w:val="single" w:color="000000" w:sz="4" w:space="0"/>
              <w:bottom w:val="single" w:color="000000" w:sz="4" w:space="0"/>
              <w:right w:val="single" w:color="000000" w:sz="4" w:space="0"/>
            </w:tcBorders>
            <w:shd w:val="clear" w:color="auto" w:fill="auto"/>
            <w:vAlign w:val="center"/>
          </w:tcPr>
          <w:p w14:paraId="2E2C609A">
            <w:pPr>
              <w:jc w:val="center"/>
              <w:rPr>
                <w:rFonts w:hint="eastAsia" w:ascii="新宋体" w:hAnsi="新宋体" w:eastAsia="新宋体" w:cs="新宋体"/>
                <w:i w:val="0"/>
                <w:iCs w:val="0"/>
                <w:color w:val="000000"/>
                <w:sz w:val="20"/>
                <w:szCs w:val="20"/>
                <w:u w:val="none"/>
              </w:rPr>
            </w:pPr>
          </w:p>
        </w:tc>
      </w:tr>
      <w:tr w14:paraId="71F57A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144B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19</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0159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窗延处理</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2CC6A">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人造大理石大于300mm,小于600mm；柜体采用生态板，柜门成品，含五金。</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B049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24</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A979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vMerge w:val="continue"/>
            <w:tcBorders>
              <w:top w:val="nil"/>
              <w:left w:val="single" w:color="000000" w:sz="4" w:space="0"/>
              <w:bottom w:val="single" w:color="000000" w:sz="4" w:space="0"/>
              <w:right w:val="single" w:color="000000" w:sz="4" w:space="0"/>
            </w:tcBorders>
            <w:shd w:val="clear" w:color="auto" w:fill="auto"/>
            <w:vAlign w:val="center"/>
          </w:tcPr>
          <w:p w14:paraId="2F83B021">
            <w:pPr>
              <w:jc w:val="center"/>
              <w:rPr>
                <w:rFonts w:hint="eastAsia" w:ascii="新宋体" w:hAnsi="新宋体" w:eastAsia="新宋体" w:cs="新宋体"/>
                <w:i w:val="0"/>
                <w:iCs w:val="0"/>
                <w:color w:val="000000"/>
                <w:sz w:val="20"/>
                <w:szCs w:val="20"/>
                <w:u w:val="none"/>
              </w:rPr>
            </w:pPr>
          </w:p>
        </w:tc>
      </w:tr>
      <w:tr w14:paraId="49A33D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EEF7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20</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4F8A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窗户封堵</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536B88">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数据中心和配电区窗户密封处理，贴磨砂玻璃纸。苯板保温处理、石膏板封面、中间填充保温棉、缝隙处理、粉刷</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3DC1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64</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503F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w:t>
            </w:r>
          </w:p>
        </w:tc>
        <w:tc>
          <w:tcPr>
            <w:tcW w:w="518" w:type="dxa"/>
            <w:vMerge w:val="continue"/>
            <w:tcBorders>
              <w:top w:val="nil"/>
              <w:left w:val="single" w:color="000000" w:sz="4" w:space="0"/>
              <w:bottom w:val="single" w:color="000000" w:sz="4" w:space="0"/>
              <w:right w:val="single" w:color="000000" w:sz="4" w:space="0"/>
            </w:tcBorders>
            <w:shd w:val="clear" w:color="auto" w:fill="auto"/>
            <w:vAlign w:val="center"/>
          </w:tcPr>
          <w:p w14:paraId="067B6864">
            <w:pPr>
              <w:jc w:val="center"/>
              <w:rPr>
                <w:rFonts w:hint="eastAsia" w:ascii="新宋体" w:hAnsi="新宋体" w:eastAsia="新宋体" w:cs="新宋体"/>
                <w:i w:val="0"/>
                <w:iCs w:val="0"/>
                <w:color w:val="000000"/>
                <w:sz w:val="20"/>
                <w:szCs w:val="20"/>
                <w:u w:val="none"/>
              </w:rPr>
            </w:pPr>
          </w:p>
        </w:tc>
      </w:tr>
      <w:tr w14:paraId="43CAAE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F0CF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21</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9642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面光灯</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58B4F">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Style w:val="29"/>
                <w:lang w:val="en-US" w:eastAsia="zh-CN" w:bidi="ar"/>
              </w:rPr>
              <w:t>600*600 LED嵌入式面光灯；光效</w:t>
            </w:r>
            <w:r>
              <w:rPr>
                <w:rStyle w:val="52"/>
                <w:lang w:val="en-US" w:eastAsia="zh-CN" w:bidi="ar"/>
              </w:rPr>
              <w:t>≥</w:t>
            </w:r>
            <w:r>
              <w:rPr>
                <w:rStyle w:val="29"/>
                <w:lang w:val="en-US" w:eastAsia="zh-CN" w:bidi="ar"/>
              </w:rPr>
              <w:t>36LM/W；色温:5700K；额定电压: 220V~50Hz；输入电流:0.165A；功率因数:0.95；额定功率:36W(36x1W/LED摸块)</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D3E9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118</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C4B8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94E1D5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p>
        </w:tc>
      </w:tr>
      <w:tr w14:paraId="53A6DE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EB5E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22</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7A14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安全出口</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18787">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LED荧光灯；应急工作表面亮度:50cd/m2~300cd/m2；外壳防护等级:IP30；额定工作频率:50Hz；光源名称和参数:LED DC2.7-2.9V0.06W应急时间:90min；主电功耗:3W；执行标准:GB17945-2010</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6178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A4C9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80F1B6">
            <w:pPr>
              <w:jc w:val="center"/>
              <w:rPr>
                <w:rFonts w:hint="eastAsia" w:ascii="新宋体" w:hAnsi="新宋体" w:eastAsia="新宋体" w:cs="新宋体"/>
                <w:i w:val="0"/>
                <w:iCs w:val="0"/>
                <w:color w:val="000000"/>
                <w:sz w:val="20"/>
                <w:szCs w:val="20"/>
                <w:u w:val="none"/>
              </w:rPr>
            </w:pPr>
          </w:p>
        </w:tc>
      </w:tr>
      <w:tr w14:paraId="28242A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1C7B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23</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E0E4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应急照明</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79ABE">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自带电源型应急灯：外壳防护等级:IP30；额定工作频率:50Hz；应急输出光通量:50Im；光源名称和参数:LED DC3.0V 0.5W；应急时间:90min； 主电功耗:3W；执行标准:GB17945-2010</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A357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17</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7E34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D222B3">
            <w:pPr>
              <w:jc w:val="center"/>
              <w:rPr>
                <w:rFonts w:hint="eastAsia" w:ascii="新宋体" w:hAnsi="新宋体" w:eastAsia="新宋体" w:cs="新宋体"/>
                <w:i w:val="0"/>
                <w:iCs w:val="0"/>
                <w:color w:val="000000"/>
                <w:sz w:val="20"/>
                <w:szCs w:val="20"/>
                <w:u w:val="none"/>
              </w:rPr>
            </w:pPr>
          </w:p>
        </w:tc>
      </w:tr>
      <w:tr w14:paraId="3643B8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B9AF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24</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4FBD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金属穿线管</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95136">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JDG25金属照明线管</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A8BE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120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4435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根</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1BB5DC">
            <w:pPr>
              <w:jc w:val="center"/>
              <w:rPr>
                <w:rFonts w:hint="eastAsia" w:ascii="新宋体" w:hAnsi="新宋体" w:eastAsia="新宋体" w:cs="新宋体"/>
                <w:i w:val="0"/>
                <w:iCs w:val="0"/>
                <w:color w:val="000000"/>
                <w:sz w:val="20"/>
                <w:szCs w:val="20"/>
                <w:u w:val="none"/>
              </w:rPr>
            </w:pPr>
          </w:p>
        </w:tc>
      </w:tr>
      <w:tr w14:paraId="3674A8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4A6E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25</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C57A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出线盒等</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F9305">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86型（含盖板、包塑金属软管、直接、索姆等）</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DA37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B6A0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批</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58F813">
            <w:pPr>
              <w:jc w:val="center"/>
              <w:rPr>
                <w:rFonts w:hint="eastAsia" w:ascii="新宋体" w:hAnsi="新宋体" w:eastAsia="新宋体" w:cs="新宋体"/>
                <w:i w:val="0"/>
                <w:iCs w:val="0"/>
                <w:color w:val="000000"/>
                <w:sz w:val="20"/>
                <w:szCs w:val="20"/>
                <w:u w:val="none"/>
              </w:rPr>
            </w:pPr>
          </w:p>
        </w:tc>
      </w:tr>
      <w:tr w14:paraId="67AE9B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8C67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26</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D479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铜芯线</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9D227">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ZR-BV2.5 ㎡ 照明红、绿、黄绿双色</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7C0A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26</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06241">
            <w:pPr>
              <w:keepNext w:val="0"/>
              <w:keepLines w:val="0"/>
              <w:widowControl/>
              <w:suppressLineNumbers w:val="0"/>
              <w:jc w:val="center"/>
              <w:textAlignment w:val="center"/>
              <w:rPr>
                <w:rFonts w:hint="eastAsia" w:ascii="新宋体" w:hAnsi="新宋体" w:eastAsia="新宋体" w:cs="新宋体"/>
                <w:i w:val="0"/>
                <w:iCs w:val="0"/>
                <w:color w:val="000000"/>
                <w:kern w:val="0"/>
                <w:sz w:val="20"/>
                <w:szCs w:val="20"/>
                <w:u w:val="none"/>
                <w:lang w:val="en-US" w:eastAsia="zh-CN" w:bidi="ar"/>
              </w:rPr>
            </w:pPr>
            <w:r>
              <w:rPr>
                <w:rFonts w:hint="eastAsia" w:ascii="新宋体" w:hAnsi="新宋体" w:eastAsia="新宋体" w:cs="新宋体"/>
                <w:i w:val="0"/>
                <w:iCs w:val="0"/>
                <w:color w:val="000000"/>
                <w:kern w:val="0"/>
                <w:sz w:val="20"/>
                <w:szCs w:val="20"/>
                <w:u w:val="none"/>
                <w:lang w:val="en-US" w:eastAsia="zh-CN" w:bidi="ar"/>
              </w:rPr>
              <w:t>卷</w:t>
            </w:r>
          </w:p>
          <w:p w14:paraId="2A4229E0">
            <w:pPr>
              <w:keepNext w:val="0"/>
              <w:keepLines w:val="0"/>
              <w:widowControl/>
              <w:suppressLineNumbers w:val="0"/>
              <w:jc w:val="center"/>
              <w:textAlignment w:val="center"/>
              <w:rPr>
                <w:rFonts w:hint="eastAsia" w:ascii="新宋体" w:hAnsi="新宋体" w:eastAsia="新宋体" w:cs="新宋体"/>
                <w:i w:val="0"/>
                <w:iCs w:val="0"/>
                <w:color w:val="auto"/>
                <w:kern w:val="0"/>
                <w:sz w:val="20"/>
                <w:szCs w:val="20"/>
                <w:u w:val="none"/>
                <w:lang w:val="en-US" w:eastAsia="zh-CN" w:bidi="ar"/>
              </w:rPr>
            </w:pPr>
            <w:r>
              <w:rPr>
                <w:rFonts w:hint="eastAsia" w:ascii="新宋体" w:hAnsi="新宋体" w:eastAsia="新宋体" w:cs="新宋体"/>
                <w:i w:val="0"/>
                <w:iCs w:val="0"/>
                <w:color w:val="000000"/>
                <w:kern w:val="0"/>
                <w:sz w:val="20"/>
                <w:szCs w:val="20"/>
                <w:u w:val="none"/>
                <w:lang w:val="en-US" w:eastAsia="zh-CN" w:bidi="ar"/>
              </w:rPr>
              <w:t>（</w:t>
            </w:r>
            <w:r>
              <w:rPr>
                <w:rFonts w:hint="eastAsia" w:ascii="新宋体" w:hAnsi="新宋体" w:eastAsia="新宋体" w:cs="新宋体"/>
                <w:i w:val="0"/>
                <w:iCs w:val="0"/>
                <w:color w:val="auto"/>
                <w:kern w:val="0"/>
                <w:sz w:val="20"/>
                <w:szCs w:val="20"/>
                <w:u w:val="none"/>
                <w:lang w:val="en-US" w:eastAsia="zh-CN" w:bidi="ar"/>
              </w:rPr>
              <w:t>备注：</w:t>
            </w:r>
          </w:p>
          <w:p w14:paraId="7579F0C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auto"/>
                <w:kern w:val="0"/>
                <w:sz w:val="20"/>
                <w:szCs w:val="20"/>
                <w:u w:val="none"/>
                <w:lang w:val="en-US" w:eastAsia="zh-CN" w:bidi="ar"/>
              </w:rPr>
              <w:t>每卷≥100m）</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64FBE0">
            <w:pPr>
              <w:jc w:val="center"/>
              <w:rPr>
                <w:rFonts w:hint="eastAsia" w:ascii="新宋体" w:hAnsi="新宋体" w:eastAsia="新宋体" w:cs="新宋体"/>
                <w:i w:val="0"/>
                <w:iCs w:val="0"/>
                <w:color w:val="000000"/>
                <w:sz w:val="20"/>
                <w:szCs w:val="20"/>
                <w:u w:val="none"/>
              </w:rPr>
            </w:pPr>
          </w:p>
        </w:tc>
      </w:tr>
      <w:tr w14:paraId="1E675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9039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27</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6DEA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安装辅材等</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AD20C">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G25镀锌钢管暗配弯头、全丝吊杆、膨胀栓、防水胶带、铆钉、铝合金压边条等</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C154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A1D5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批</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BF145D">
            <w:pPr>
              <w:jc w:val="center"/>
              <w:rPr>
                <w:rFonts w:hint="eastAsia" w:ascii="新宋体" w:hAnsi="新宋体" w:eastAsia="新宋体" w:cs="新宋体"/>
                <w:i w:val="0"/>
                <w:iCs w:val="0"/>
                <w:color w:val="000000"/>
                <w:sz w:val="20"/>
                <w:szCs w:val="20"/>
                <w:u w:val="none"/>
              </w:rPr>
            </w:pPr>
          </w:p>
        </w:tc>
      </w:tr>
      <w:tr w14:paraId="012353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778" w:type="dxa"/>
            <w:gridSpan w:val="5"/>
            <w:tcBorders>
              <w:top w:val="single" w:color="000000" w:sz="4" w:space="0"/>
              <w:left w:val="single" w:color="000000" w:sz="4" w:space="0"/>
              <w:bottom w:val="single" w:color="000000" w:sz="4" w:space="0"/>
              <w:right w:val="nil"/>
            </w:tcBorders>
            <w:shd w:val="clear" w:color="auto" w:fill="auto"/>
            <w:noWrap/>
            <w:vAlign w:val="center"/>
          </w:tcPr>
          <w:p w14:paraId="103F5B99">
            <w:pPr>
              <w:keepNext w:val="0"/>
              <w:keepLines w:val="0"/>
              <w:widowControl/>
              <w:suppressLineNumbers w:val="0"/>
              <w:jc w:val="left"/>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2、机房动力配电系统</w:t>
            </w:r>
          </w:p>
        </w:tc>
        <w:tc>
          <w:tcPr>
            <w:tcW w:w="518" w:type="dxa"/>
            <w:tcBorders>
              <w:top w:val="nil"/>
              <w:left w:val="nil"/>
              <w:bottom w:val="nil"/>
              <w:right w:val="nil"/>
            </w:tcBorders>
            <w:shd w:val="clear" w:color="auto" w:fill="FFFFFF"/>
            <w:noWrap/>
            <w:vAlign w:val="center"/>
          </w:tcPr>
          <w:p w14:paraId="1E87AA78">
            <w:pPr>
              <w:rPr>
                <w:rFonts w:hint="eastAsia" w:ascii="新宋体" w:hAnsi="新宋体" w:eastAsia="新宋体" w:cs="新宋体"/>
                <w:i w:val="0"/>
                <w:iCs w:val="0"/>
                <w:color w:val="000000"/>
                <w:sz w:val="20"/>
                <w:szCs w:val="20"/>
                <w:u w:val="none"/>
              </w:rPr>
            </w:pPr>
          </w:p>
        </w:tc>
      </w:tr>
      <w:tr w14:paraId="68DB38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E4686">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序号</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A8512">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产品名称</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5DD78">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型号规格</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DB02D">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数量</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CE82C">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单位</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B42B3">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备注</w:t>
            </w:r>
          </w:p>
        </w:tc>
      </w:tr>
      <w:tr w14:paraId="3ADFC0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FABA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6E75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网格桥架</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D2C67">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采用CM100*200*3000mm专用网格上走线桥架（强电和弱电分开敷设）</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707C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66</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22E6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5D392">
            <w:pPr>
              <w:jc w:val="right"/>
              <w:rPr>
                <w:rFonts w:hint="eastAsia" w:ascii="新宋体" w:hAnsi="新宋体" w:eastAsia="新宋体" w:cs="新宋体"/>
                <w:b/>
                <w:bCs/>
                <w:i w:val="0"/>
                <w:iCs w:val="0"/>
                <w:color w:val="000000"/>
                <w:sz w:val="20"/>
                <w:szCs w:val="20"/>
                <w:u w:val="none"/>
              </w:rPr>
            </w:pPr>
          </w:p>
        </w:tc>
      </w:tr>
      <w:tr w14:paraId="5CCC26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02E9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1D8E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桥架配件</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D49FC">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上走线桥架配件（100地装支架、卡扣、出线板、转弯加强条、固线器底座、铝合金固线器、Ω横档、）</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54EC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48F3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批</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8F966">
            <w:pPr>
              <w:jc w:val="right"/>
              <w:rPr>
                <w:rFonts w:hint="eastAsia" w:ascii="新宋体" w:hAnsi="新宋体" w:eastAsia="新宋体" w:cs="新宋体"/>
                <w:b/>
                <w:bCs/>
                <w:i w:val="0"/>
                <w:iCs w:val="0"/>
                <w:color w:val="000000"/>
                <w:sz w:val="20"/>
                <w:szCs w:val="20"/>
                <w:u w:val="none"/>
              </w:rPr>
            </w:pPr>
          </w:p>
        </w:tc>
      </w:tr>
      <w:tr w14:paraId="68B43F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E027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654D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光纤槽道</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F0893">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规格：≥240*100mm，高阻燃、抗冲击、不开裂</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C181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24</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9753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B4497">
            <w:pPr>
              <w:jc w:val="right"/>
              <w:rPr>
                <w:rFonts w:hint="eastAsia" w:ascii="新宋体" w:hAnsi="新宋体" w:eastAsia="新宋体" w:cs="新宋体"/>
                <w:b/>
                <w:bCs/>
                <w:i w:val="0"/>
                <w:iCs w:val="0"/>
                <w:color w:val="000000"/>
                <w:sz w:val="20"/>
                <w:szCs w:val="20"/>
                <w:u w:val="none"/>
              </w:rPr>
            </w:pPr>
          </w:p>
        </w:tc>
      </w:tr>
      <w:tr w14:paraId="4C41A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7656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81D9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光纤槽道配件</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34348">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240连接件、水平弯、吊件、出线口、水平三通、下坡弯、封头板等</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37B2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17A0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批</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0823C">
            <w:pPr>
              <w:jc w:val="right"/>
              <w:rPr>
                <w:rFonts w:hint="eastAsia" w:ascii="新宋体" w:hAnsi="新宋体" w:eastAsia="新宋体" w:cs="新宋体"/>
                <w:b/>
                <w:bCs/>
                <w:i w:val="0"/>
                <w:iCs w:val="0"/>
                <w:color w:val="000000"/>
                <w:sz w:val="20"/>
                <w:szCs w:val="20"/>
                <w:u w:val="none"/>
              </w:rPr>
            </w:pPr>
          </w:p>
        </w:tc>
      </w:tr>
      <w:tr w14:paraId="1F3582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8E6B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6C43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机柜供电电缆</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D58B9">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ZR-RVV3*6（精密配电柜至各IT柜双独立供电）</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C1CD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600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1DDB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61902">
            <w:pPr>
              <w:jc w:val="right"/>
              <w:rPr>
                <w:rFonts w:hint="eastAsia" w:ascii="新宋体" w:hAnsi="新宋体" w:eastAsia="新宋体" w:cs="新宋体"/>
                <w:b/>
                <w:bCs/>
                <w:i w:val="0"/>
                <w:iCs w:val="0"/>
                <w:color w:val="000000"/>
                <w:sz w:val="20"/>
                <w:szCs w:val="20"/>
                <w:u w:val="none"/>
              </w:rPr>
            </w:pPr>
          </w:p>
        </w:tc>
      </w:tr>
      <w:tr w14:paraId="287016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4C43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33AA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主电缆</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9F40F">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ZR-YJV-4*240+1*120）mm^2 2根（一进一出）</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18E1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CB9D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8BF8C">
            <w:pPr>
              <w:jc w:val="right"/>
              <w:rPr>
                <w:rFonts w:hint="eastAsia" w:ascii="新宋体" w:hAnsi="新宋体" w:eastAsia="新宋体" w:cs="新宋体"/>
                <w:b/>
                <w:bCs/>
                <w:i w:val="0"/>
                <w:iCs w:val="0"/>
                <w:color w:val="000000"/>
                <w:sz w:val="20"/>
                <w:szCs w:val="20"/>
                <w:u w:val="none"/>
              </w:rPr>
            </w:pPr>
          </w:p>
        </w:tc>
      </w:tr>
      <w:tr w14:paraId="6C7969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3BE9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F4B5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UPS输入柜接入线缆</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B0AED">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ZR-YJV-(4x150+1x70)mm^2-黑 2根一股（一进一出）</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73CA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CF88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FFF7C">
            <w:pPr>
              <w:jc w:val="right"/>
              <w:rPr>
                <w:rFonts w:hint="eastAsia" w:ascii="新宋体" w:hAnsi="新宋体" w:eastAsia="新宋体" w:cs="新宋体"/>
                <w:b/>
                <w:bCs/>
                <w:i w:val="0"/>
                <w:iCs w:val="0"/>
                <w:color w:val="000000"/>
                <w:sz w:val="20"/>
                <w:szCs w:val="20"/>
                <w:u w:val="none"/>
              </w:rPr>
            </w:pPr>
          </w:p>
        </w:tc>
      </w:tr>
      <w:tr w14:paraId="40CD59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1C5D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229F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UPS输入柜至UPS线缆</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F0562">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ZR-YJV-(4x150+1x70)mm^2-黑 2根一股</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971F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80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74A3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81B187">
            <w:pPr>
              <w:jc w:val="right"/>
              <w:rPr>
                <w:rFonts w:hint="eastAsia" w:ascii="新宋体" w:hAnsi="新宋体" w:eastAsia="新宋体" w:cs="新宋体"/>
                <w:b/>
                <w:bCs/>
                <w:i w:val="0"/>
                <w:iCs w:val="0"/>
                <w:color w:val="000000"/>
                <w:sz w:val="20"/>
                <w:szCs w:val="20"/>
                <w:u w:val="none"/>
              </w:rPr>
            </w:pPr>
          </w:p>
        </w:tc>
      </w:tr>
      <w:tr w14:paraId="1CDE13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2EDC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7</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A21F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UPS至汇流箱</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83F83">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ZR-BVR120   2根一股</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8C2B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160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9ABF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BFFFA">
            <w:pPr>
              <w:jc w:val="right"/>
              <w:rPr>
                <w:rFonts w:hint="eastAsia" w:ascii="新宋体" w:hAnsi="新宋体" w:eastAsia="新宋体" w:cs="新宋体"/>
                <w:b/>
                <w:bCs/>
                <w:i w:val="0"/>
                <w:iCs w:val="0"/>
                <w:color w:val="000000"/>
                <w:sz w:val="20"/>
                <w:szCs w:val="20"/>
                <w:u w:val="none"/>
              </w:rPr>
            </w:pPr>
          </w:p>
        </w:tc>
      </w:tr>
      <w:tr w14:paraId="701758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BD95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8</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B207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汇流箱至电池组线缆</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D27EA">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ZR-BVR70     2根一股</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C3E0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200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A6C9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4C02F">
            <w:pPr>
              <w:jc w:val="right"/>
              <w:rPr>
                <w:rFonts w:hint="eastAsia" w:ascii="新宋体" w:hAnsi="新宋体" w:eastAsia="新宋体" w:cs="新宋体"/>
                <w:b/>
                <w:bCs/>
                <w:i w:val="0"/>
                <w:iCs w:val="0"/>
                <w:color w:val="000000"/>
                <w:sz w:val="20"/>
                <w:szCs w:val="20"/>
                <w:u w:val="none"/>
              </w:rPr>
            </w:pPr>
          </w:p>
        </w:tc>
      </w:tr>
      <w:tr w14:paraId="51512E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F474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9</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7BF3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空调信号线</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37787">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3x1.5mm黑 屏蔽型电缆</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74EA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245</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7C1A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C1921">
            <w:pPr>
              <w:jc w:val="right"/>
              <w:rPr>
                <w:rFonts w:hint="eastAsia" w:ascii="新宋体" w:hAnsi="新宋体" w:eastAsia="新宋体" w:cs="新宋体"/>
                <w:b/>
                <w:bCs/>
                <w:i w:val="0"/>
                <w:iCs w:val="0"/>
                <w:color w:val="000000"/>
                <w:sz w:val="20"/>
                <w:szCs w:val="20"/>
                <w:u w:val="none"/>
              </w:rPr>
            </w:pPr>
          </w:p>
        </w:tc>
      </w:tr>
      <w:tr w14:paraId="205393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3BDC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10</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C307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空调室外机电缆</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5584B">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ZR-RVV-7x2.5mm</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36A6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210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EEC4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10610">
            <w:pPr>
              <w:jc w:val="right"/>
              <w:rPr>
                <w:rFonts w:hint="eastAsia" w:ascii="新宋体" w:hAnsi="新宋体" w:eastAsia="新宋体" w:cs="新宋体"/>
                <w:b/>
                <w:bCs/>
                <w:i w:val="0"/>
                <w:iCs w:val="0"/>
                <w:color w:val="000000"/>
                <w:sz w:val="20"/>
                <w:szCs w:val="20"/>
                <w:u w:val="none"/>
              </w:rPr>
            </w:pPr>
          </w:p>
        </w:tc>
      </w:tr>
      <w:tr w14:paraId="35B7DE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3DC6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11</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E29A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空调电缆</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F639B">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ZR-RVV5*10（配电柜至空调6路）</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13BC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120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E3F1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3F72F">
            <w:pPr>
              <w:jc w:val="right"/>
              <w:rPr>
                <w:rFonts w:hint="eastAsia" w:ascii="新宋体" w:hAnsi="新宋体" w:eastAsia="新宋体" w:cs="新宋体"/>
                <w:b/>
                <w:bCs/>
                <w:i w:val="0"/>
                <w:iCs w:val="0"/>
                <w:color w:val="000000"/>
                <w:sz w:val="20"/>
                <w:szCs w:val="20"/>
                <w:u w:val="none"/>
              </w:rPr>
            </w:pPr>
          </w:p>
        </w:tc>
      </w:tr>
      <w:tr w14:paraId="53EA7A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9940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12</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6A15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普通空调电缆</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7FABB">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ZR-RVV5*6（配电柜至7台空调）</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4BC4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310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C498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29669">
            <w:pPr>
              <w:jc w:val="right"/>
              <w:rPr>
                <w:rFonts w:hint="eastAsia" w:ascii="新宋体" w:hAnsi="新宋体" w:eastAsia="新宋体" w:cs="新宋体"/>
                <w:b/>
                <w:bCs/>
                <w:i w:val="0"/>
                <w:iCs w:val="0"/>
                <w:color w:val="000000"/>
                <w:sz w:val="20"/>
                <w:szCs w:val="20"/>
                <w:u w:val="none"/>
              </w:rPr>
            </w:pPr>
          </w:p>
        </w:tc>
      </w:tr>
      <w:tr w14:paraId="7CA81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EEE8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13</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9C35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空调室外机电缆</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B9A86">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ZR-RVV3*6（配电柜至7台空调）</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E039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350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C459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71E6B">
            <w:pPr>
              <w:jc w:val="right"/>
              <w:rPr>
                <w:rFonts w:hint="eastAsia" w:ascii="新宋体" w:hAnsi="新宋体" w:eastAsia="新宋体" w:cs="新宋体"/>
                <w:b/>
                <w:bCs/>
                <w:i w:val="0"/>
                <w:iCs w:val="0"/>
                <w:color w:val="000000"/>
                <w:sz w:val="20"/>
                <w:szCs w:val="20"/>
                <w:u w:val="none"/>
              </w:rPr>
            </w:pPr>
          </w:p>
        </w:tc>
      </w:tr>
      <w:tr w14:paraId="5C5696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43BE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14</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033F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机柜接地电缆</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16350">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BVR16黄绿</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1B00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100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4524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m</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623C3">
            <w:pPr>
              <w:jc w:val="right"/>
              <w:rPr>
                <w:rFonts w:hint="eastAsia" w:ascii="新宋体" w:hAnsi="新宋体" w:eastAsia="新宋体" w:cs="新宋体"/>
                <w:b/>
                <w:bCs/>
                <w:i w:val="0"/>
                <w:iCs w:val="0"/>
                <w:color w:val="000000"/>
                <w:sz w:val="20"/>
                <w:szCs w:val="20"/>
                <w:u w:val="none"/>
              </w:rPr>
            </w:pPr>
          </w:p>
        </w:tc>
      </w:tr>
      <w:tr w14:paraId="4E1179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059C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15</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1DDE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安装辅材</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9558D">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单线冷压端子、裸压端子镀锡、绝缘胶布、色带等</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096E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F663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批</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E82C8">
            <w:pPr>
              <w:jc w:val="right"/>
              <w:rPr>
                <w:rFonts w:hint="eastAsia" w:ascii="新宋体" w:hAnsi="新宋体" w:eastAsia="新宋体" w:cs="新宋体"/>
                <w:b/>
                <w:bCs/>
                <w:i w:val="0"/>
                <w:iCs w:val="0"/>
                <w:color w:val="000000"/>
                <w:sz w:val="20"/>
                <w:szCs w:val="20"/>
                <w:u w:val="none"/>
              </w:rPr>
            </w:pPr>
          </w:p>
        </w:tc>
      </w:tr>
      <w:tr w14:paraId="2A52E9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0E85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16</w:t>
            </w:r>
          </w:p>
        </w:tc>
        <w:tc>
          <w:tcPr>
            <w:tcW w:w="12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5E1D52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散力架</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8AE68">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机柜下50角钢焊接 含防腐处理</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3BA1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64</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CFA1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个</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5BF95">
            <w:pPr>
              <w:jc w:val="right"/>
              <w:rPr>
                <w:rFonts w:hint="eastAsia" w:ascii="新宋体" w:hAnsi="新宋体" w:eastAsia="新宋体" w:cs="新宋体"/>
                <w:b/>
                <w:bCs/>
                <w:i w:val="0"/>
                <w:iCs w:val="0"/>
                <w:color w:val="000000"/>
                <w:sz w:val="20"/>
                <w:szCs w:val="20"/>
                <w:u w:val="none"/>
              </w:rPr>
            </w:pPr>
          </w:p>
        </w:tc>
      </w:tr>
      <w:tr w14:paraId="772F9A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778" w:type="dxa"/>
            <w:gridSpan w:val="5"/>
            <w:tcBorders>
              <w:top w:val="single" w:color="000000" w:sz="4" w:space="0"/>
              <w:left w:val="single" w:color="000000" w:sz="4" w:space="0"/>
              <w:bottom w:val="single" w:color="000000" w:sz="4" w:space="0"/>
              <w:right w:val="nil"/>
            </w:tcBorders>
            <w:shd w:val="clear" w:color="auto" w:fill="auto"/>
            <w:noWrap/>
            <w:vAlign w:val="center"/>
          </w:tcPr>
          <w:p w14:paraId="69B26112">
            <w:pPr>
              <w:keepNext w:val="0"/>
              <w:keepLines w:val="0"/>
              <w:widowControl/>
              <w:suppressLineNumbers w:val="0"/>
              <w:jc w:val="left"/>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3、新风系统</w:t>
            </w:r>
          </w:p>
        </w:tc>
        <w:tc>
          <w:tcPr>
            <w:tcW w:w="518" w:type="dxa"/>
            <w:tcBorders>
              <w:top w:val="nil"/>
              <w:left w:val="nil"/>
              <w:bottom w:val="nil"/>
              <w:right w:val="nil"/>
            </w:tcBorders>
            <w:shd w:val="clear" w:color="auto" w:fill="FFFFFF"/>
            <w:noWrap/>
            <w:vAlign w:val="center"/>
          </w:tcPr>
          <w:p w14:paraId="708F1D54">
            <w:pPr>
              <w:rPr>
                <w:rFonts w:hint="eastAsia" w:ascii="新宋体" w:hAnsi="新宋体" w:eastAsia="新宋体" w:cs="新宋体"/>
                <w:i w:val="0"/>
                <w:iCs w:val="0"/>
                <w:color w:val="000000"/>
                <w:sz w:val="20"/>
                <w:szCs w:val="20"/>
                <w:u w:val="none"/>
              </w:rPr>
            </w:pPr>
          </w:p>
        </w:tc>
      </w:tr>
      <w:tr w14:paraId="2CB27F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7640B">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序号</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FCBC4">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产品名称</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DF9D44">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型号规格</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39EBB">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数量</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B5737">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单位</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F66C8">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备注</w:t>
            </w:r>
          </w:p>
        </w:tc>
      </w:tr>
      <w:tr w14:paraId="12F08C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5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5CA1E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B99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新风机（含控制）</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7597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风量≥800M3/H，3速选择；亚高效过滤，墙面控制盒</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253B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EFB3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8C3D5">
            <w:pPr>
              <w:jc w:val="right"/>
              <w:rPr>
                <w:rFonts w:hint="eastAsia" w:ascii="新宋体" w:hAnsi="新宋体" w:eastAsia="新宋体" w:cs="新宋体"/>
                <w:b/>
                <w:bCs/>
                <w:i w:val="0"/>
                <w:iCs w:val="0"/>
                <w:color w:val="000000"/>
                <w:sz w:val="20"/>
                <w:szCs w:val="20"/>
                <w:u w:val="none"/>
              </w:rPr>
            </w:pPr>
          </w:p>
        </w:tc>
      </w:tr>
      <w:tr w14:paraId="3ACEF9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8CA67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0E0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管道</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83DB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含出风口、软连接、吊杆、防震垫</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3A0C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48</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6FB6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米</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68D80">
            <w:pPr>
              <w:jc w:val="right"/>
              <w:rPr>
                <w:rFonts w:hint="eastAsia" w:ascii="新宋体" w:hAnsi="新宋体" w:eastAsia="新宋体" w:cs="新宋体"/>
                <w:b/>
                <w:bCs/>
                <w:i w:val="0"/>
                <w:iCs w:val="0"/>
                <w:color w:val="000000"/>
                <w:sz w:val="20"/>
                <w:szCs w:val="20"/>
                <w:u w:val="none"/>
              </w:rPr>
            </w:pPr>
          </w:p>
        </w:tc>
      </w:tr>
      <w:tr w14:paraId="54EA37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F511B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355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百叶窗</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C40E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铝制≥300*300</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3B9F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8</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735F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个</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9C110">
            <w:pPr>
              <w:jc w:val="right"/>
              <w:rPr>
                <w:rFonts w:hint="eastAsia" w:ascii="新宋体" w:hAnsi="新宋体" w:eastAsia="新宋体" w:cs="新宋体"/>
                <w:b/>
                <w:bCs/>
                <w:i w:val="0"/>
                <w:iCs w:val="0"/>
                <w:color w:val="000000"/>
                <w:sz w:val="20"/>
                <w:szCs w:val="20"/>
                <w:u w:val="none"/>
              </w:rPr>
            </w:pPr>
          </w:p>
        </w:tc>
      </w:tr>
      <w:tr w14:paraId="7599A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2FCED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A1E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泄压装置</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EC0F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0.25-YL</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AD00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90F5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A43B6">
            <w:pPr>
              <w:jc w:val="right"/>
              <w:rPr>
                <w:rFonts w:hint="eastAsia" w:ascii="新宋体" w:hAnsi="新宋体" w:eastAsia="新宋体" w:cs="新宋体"/>
                <w:b/>
                <w:bCs/>
                <w:i w:val="0"/>
                <w:iCs w:val="0"/>
                <w:color w:val="000000"/>
                <w:sz w:val="20"/>
                <w:szCs w:val="20"/>
                <w:u w:val="none"/>
              </w:rPr>
            </w:pPr>
          </w:p>
        </w:tc>
      </w:tr>
      <w:tr w14:paraId="501D0C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0ACC1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F97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精密空调</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4CE8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电池间房间级精密空调 室内机 制冷量7.5kW 风冷型 上前送风 单冷型 (室外机工作温度&gt; -20°以上室外温度)</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E6DD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337A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6F6E8">
            <w:pPr>
              <w:jc w:val="right"/>
              <w:rPr>
                <w:rFonts w:hint="eastAsia" w:ascii="新宋体" w:hAnsi="新宋体" w:eastAsia="新宋体" w:cs="新宋体"/>
                <w:b/>
                <w:bCs/>
                <w:i w:val="0"/>
                <w:iCs w:val="0"/>
                <w:color w:val="000000"/>
                <w:sz w:val="20"/>
                <w:szCs w:val="20"/>
                <w:u w:val="none"/>
              </w:rPr>
            </w:pPr>
          </w:p>
        </w:tc>
      </w:tr>
      <w:tr w14:paraId="2F3080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11E37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7</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0B7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安装辅材</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E904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铜管延长、保温、支架</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CB9D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BF41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批</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FC814">
            <w:pPr>
              <w:jc w:val="right"/>
              <w:rPr>
                <w:rFonts w:hint="eastAsia" w:ascii="新宋体" w:hAnsi="新宋体" w:eastAsia="新宋体" w:cs="新宋体"/>
                <w:b/>
                <w:bCs/>
                <w:i w:val="0"/>
                <w:iCs w:val="0"/>
                <w:color w:val="000000"/>
                <w:sz w:val="20"/>
                <w:szCs w:val="20"/>
                <w:u w:val="none"/>
              </w:rPr>
            </w:pPr>
          </w:p>
        </w:tc>
      </w:tr>
      <w:tr w14:paraId="2C6D81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9778" w:type="dxa"/>
            <w:gridSpan w:val="5"/>
            <w:tcBorders>
              <w:top w:val="single" w:color="000000" w:sz="4" w:space="0"/>
              <w:left w:val="single" w:color="000000" w:sz="4" w:space="0"/>
              <w:bottom w:val="single" w:color="000000" w:sz="4" w:space="0"/>
              <w:right w:val="nil"/>
            </w:tcBorders>
            <w:shd w:val="clear" w:color="auto" w:fill="auto"/>
            <w:noWrap/>
            <w:vAlign w:val="center"/>
          </w:tcPr>
          <w:p w14:paraId="0F73F631">
            <w:pPr>
              <w:keepNext w:val="0"/>
              <w:keepLines w:val="0"/>
              <w:widowControl/>
              <w:suppressLineNumbers w:val="0"/>
              <w:jc w:val="left"/>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4、室外接地、静电地网及等电位</w:t>
            </w:r>
          </w:p>
        </w:tc>
        <w:tc>
          <w:tcPr>
            <w:tcW w:w="518" w:type="dxa"/>
            <w:tcBorders>
              <w:top w:val="nil"/>
              <w:left w:val="nil"/>
              <w:bottom w:val="nil"/>
              <w:right w:val="single" w:color="000000" w:sz="4" w:space="0"/>
            </w:tcBorders>
            <w:shd w:val="clear" w:color="auto" w:fill="auto"/>
            <w:noWrap/>
            <w:vAlign w:val="center"/>
          </w:tcPr>
          <w:p w14:paraId="7D33BB17">
            <w:pPr>
              <w:jc w:val="right"/>
              <w:rPr>
                <w:rFonts w:hint="eastAsia" w:ascii="新宋体" w:hAnsi="新宋体" w:eastAsia="新宋体" w:cs="新宋体"/>
                <w:i w:val="0"/>
                <w:iCs w:val="0"/>
                <w:color w:val="000000"/>
                <w:sz w:val="20"/>
                <w:szCs w:val="20"/>
                <w:u w:val="none"/>
              </w:rPr>
            </w:pPr>
          </w:p>
        </w:tc>
      </w:tr>
      <w:tr w14:paraId="680F96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BE526">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序号</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F46A2">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产品名称</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DAD87">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型号规格</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C6E2D">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数量</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DC439">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单位</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AFC11">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备注</w:t>
            </w:r>
          </w:p>
        </w:tc>
      </w:tr>
      <w:tr w14:paraId="20C05C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935F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40A0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铜皮</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1B831">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紫铜≥40mm*0.1mm 自制；600*600田字格铺设；</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73D4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1040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14DD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米</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5374D">
            <w:pPr>
              <w:jc w:val="right"/>
              <w:rPr>
                <w:rFonts w:hint="eastAsia" w:ascii="新宋体" w:hAnsi="新宋体" w:eastAsia="新宋体" w:cs="新宋体"/>
                <w:b/>
                <w:bCs/>
                <w:i w:val="0"/>
                <w:iCs w:val="0"/>
                <w:color w:val="000000"/>
                <w:sz w:val="20"/>
                <w:szCs w:val="20"/>
                <w:u w:val="none"/>
              </w:rPr>
            </w:pPr>
          </w:p>
        </w:tc>
      </w:tr>
      <w:tr w14:paraId="397AC6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D889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A663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铜排</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ECA23">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紫铜≥30mm*3mm</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36E9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96</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A5F2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米</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4B23C">
            <w:pPr>
              <w:jc w:val="right"/>
              <w:rPr>
                <w:rFonts w:hint="eastAsia" w:ascii="新宋体" w:hAnsi="新宋体" w:eastAsia="新宋体" w:cs="新宋体"/>
                <w:b/>
                <w:bCs/>
                <w:i w:val="0"/>
                <w:iCs w:val="0"/>
                <w:color w:val="000000"/>
                <w:sz w:val="20"/>
                <w:szCs w:val="20"/>
                <w:u w:val="none"/>
              </w:rPr>
            </w:pPr>
          </w:p>
        </w:tc>
      </w:tr>
      <w:tr w14:paraId="63423F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1CBE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B1F6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接地上引线</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64503">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电缆≥50平方铜缆 BV50㎡ 连接总接地</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EA6E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200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37BF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米</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CA2EB">
            <w:pPr>
              <w:jc w:val="right"/>
              <w:rPr>
                <w:rFonts w:hint="eastAsia" w:ascii="新宋体" w:hAnsi="新宋体" w:eastAsia="新宋体" w:cs="新宋体"/>
                <w:b/>
                <w:bCs/>
                <w:i w:val="0"/>
                <w:iCs w:val="0"/>
                <w:color w:val="000000"/>
                <w:sz w:val="20"/>
                <w:szCs w:val="20"/>
                <w:u w:val="none"/>
              </w:rPr>
            </w:pPr>
          </w:p>
        </w:tc>
      </w:tr>
      <w:tr w14:paraId="0BEDC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409B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1B1C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等电位处理</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1495F">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含线缆六面多点汇聚</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1C3A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8985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点</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E3855">
            <w:pPr>
              <w:jc w:val="right"/>
              <w:rPr>
                <w:rFonts w:hint="eastAsia" w:ascii="新宋体" w:hAnsi="新宋体" w:eastAsia="新宋体" w:cs="新宋体"/>
                <w:b/>
                <w:bCs/>
                <w:i w:val="0"/>
                <w:iCs w:val="0"/>
                <w:color w:val="000000"/>
                <w:sz w:val="20"/>
                <w:szCs w:val="20"/>
                <w:u w:val="none"/>
              </w:rPr>
            </w:pPr>
          </w:p>
        </w:tc>
      </w:tr>
      <w:tr w14:paraId="30C583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F32C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8DE9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接地模块</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A1F74">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模块≥400*500*60MM接地专用模块</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8466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8</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838C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组</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62A46">
            <w:pPr>
              <w:jc w:val="right"/>
              <w:rPr>
                <w:rFonts w:hint="eastAsia" w:ascii="新宋体" w:hAnsi="新宋体" w:eastAsia="新宋体" w:cs="新宋体"/>
                <w:b/>
                <w:bCs/>
                <w:i w:val="0"/>
                <w:iCs w:val="0"/>
                <w:color w:val="000000"/>
                <w:sz w:val="20"/>
                <w:szCs w:val="20"/>
                <w:u w:val="none"/>
              </w:rPr>
            </w:pPr>
          </w:p>
        </w:tc>
      </w:tr>
      <w:tr w14:paraId="583D49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B20B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7</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0079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接地汇流排箱</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11C36">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TD28等电位箱</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E38F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3149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个</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B81A8">
            <w:pPr>
              <w:jc w:val="right"/>
              <w:rPr>
                <w:rFonts w:hint="eastAsia" w:ascii="新宋体" w:hAnsi="新宋体" w:eastAsia="新宋体" w:cs="新宋体"/>
                <w:b/>
                <w:bCs/>
                <w:i w:val="0"/>
                <w:iCs w:val="0"/>
                <w:color w:val="000000"/>
                <w:sz w:val="20"/>
                <w:szCs w:val="20"/>
                <w:u w:val="none"/>
              </w:rPr>
            </w:pPr>
          </w:p>
        </w:tc>
      </w:tr>
      <w:tr w14:paraId="5EE6EF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1A76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8</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5A6F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降阻剂</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1C7AA">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40公斤/袋</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3557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16</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B572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袋</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A90FD">
            <w:pPr>
              <w:jc w:val="right"/>
              <w:rPr>
                <w:rFonts w:hint="eastAsia" w:ascii="新宋体" w:hAnsi="新宋体" w:eastAsia="新宋体" w:cs="新宋体"/>
                <w:b/>
                <w:bCs/>
                <w:i w:val="0"/>
                <w:iCs w:val="0"/>
                <w:color w:val="000000"/>
                <w:sz w:val="20"/>
                <w:szCs w:val="20"/>
                <w:u w:val="none"/>
              </w:rPr>
            </w:pPr>
          </w:p>
        </w:tc>
      </w:tr>
      <w:tr w14:paraId="269F8B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50E3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9</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6D6C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防腐剂</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DACC8">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20公斤/桶</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8443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BCA6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桶</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07632">
            <w:pPr>
              <w:jc w:val="right"/>
              <w:rPr>
                <w:rFonts w:hint="eastAsia" w:ascii="新宋体" w:hAnsi="新宋体" w:eastAsia="新宋体" w:cs="新宋体"/>
                <w:b/>
                <w:bCs/>
                <w:i w:val="0"/>
                <w:iCs w:val="0"/>
                <w:color w:val="000000"/>
                <w:sz w:val="20"/>
                <w:szCs w:val="20"/>
                <w:u w:val="none"/>
              </w:rPr>
            </w:pPr>
          </w:p>
        </w:tc>
      </w:tr>
      <w:tr w14:paraId="19C5B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2023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10</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6951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地极连接扁铁</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D24B3">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40*4 热镀</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E618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48</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F4E0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米</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8D856">
            <w:pPr>
              <w:jc w:val="right"/>
              <w:rPr>
                <w:rFonts w:hint="eastAsia" w:ascii="新宋体" w:hAnsi="新宋体" w:eastAsia="新宋体" w:cs="新宋体"/>
                <w:b/>
                <w:bCs/>
                <w:i w:val="0"/>
                <w:iCs w:val="0"/>
                <w:color w:val="000000"/>
                <w:sz w:val="20"/>
                <w:szCs w:val="20"/>
                <w:u w:val="none"/>
              </w:rPr>
            </w:pPr>
          </w:p>
        </w:tc>
      </w:tr>
      <w:tr w14:paraId="7AE637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640E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11</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1FB2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模块沟开挖、恢复</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F78F1">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挖沟≥0.8*2.5M</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0E15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32</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F27E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米</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2169D">
            <w:pPr>
              <w:jc w:val="right"/>
              <w:rPr>
                <w:rFonts w:hint="eastAsia" w:ascii="新宋体" w:hAnsi="新宋体" w:eastAsia="新宋体" w:cs="新宋体"/>
                <w:b/>
                <w:bCs/>
                <w:i w:val="0"/>
                <w:iCs w:val="0"/>
                <w:color w:val="000000"/>
                <w:sz w:val="20"/>
                <w:szCs w:val="20"/>
                <w:u w:val="none"/>
              </w:rPr>
            </w:pPr>
          </w:p>
        </w:tc>
      </w:tr>
      <w:tr w14:paraId="34442A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54F6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12</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FF61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模块安装</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B605B">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包括焊接</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F03F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8</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26B4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组</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A71DF">
            <w:pPr>
              <w:jc w:val="right"/>
              <w:rPr>
                <w:rFonts w:hint="eastAsia" w:ascii="新宋体" w:hAnsi="新宋体" w:eastAsia="新宋体" w:cs="新宋体"/>
                <w:b/>
                <w:bCs/>
                <w:i w:val="0"/>
                <w:iCs w:val="0"/>
                <w:color w:val="000000"/>
                <w:sz w:val="20"/>
                <w:szCs w:val="20"/>
                <w:u w:val="none"/>
              </w:rPr>
            </w:pPr>
          </w:p>
        </w:tc>
      </w:tr>
      <w:tr w14:paraId="281375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776C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13</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B801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辅材</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FFA41">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铜鼻子、焊锡、焊条、绝缘胶带</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D67F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7FE2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批</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CFBD1">
            <w:pPr>
              <w:jc w:val="right"/>
              <w:rPr>
                <w:rFonts w:hint="eastAsia" w:ascii="新宋体" w:hAnsi="新宋体" w:eastAsia="新宋体" w:cs="新宋体"/>
                <w:b/>
                <w:bCs/>
                <w:i w:val="0"/>
                <w:iCs w:val="0"/>
                <w:color w:val="000000"/>
                <w:sz w:val="20"/>
                <w:szCs w:val="20"/>
                <w:u w:val="none"/>
              </w:rPr>
            </w:pPr>
          </w:p>
        </w:tc>
      </w:tr>
      <w:tr w14:paraId="4726BE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778" w:type="dxa"/>
            <w:gridSpan w:val="5"/>
            <w:tcBorders>
              <w:top w:val="single" w:color="000000" w:sz="4" w:space="0"/>
              <w:left w:val="single" w:color="000000" w:sz="4" w:space="0"/>
              <w:bottom w:val="single" w:color="000000" w:sz="4" w:space="0"/>
              <w:right w:val="nil"/>
            </w:tcBorders>
            <w:shd w:val="clear" w:color="auto" w:fill="auto"/>
            <w:noWrap/>
            <w:vAlign w:val="center"/>
          </w:tcPr>
          <w:p w14:paraId="4394E97D">
            <w:pPr>
              <w:keepNext w:val="0"/>
              <w:keepLines w:val="0"/>
              <w:widowControl/>
              <w:suppressLineNumbers w:val="0"/>
              <w:jc w:val="left"/>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5、消防系统</w:t>
            </w:r>
          </w:p>
        </w:tc>
        <w:tc>
          <w:tcPr>
            <w:tcW w:w="518" w:type="dxa"/>
            <w:tcBorders>
              <w:top w:val="nil"/>
              <w:left w:val="nil"/>
              <w:bottom w:val="nil"/>
              <w:right w:val="single" w:color="000000" w:sz="4" w:space="0"/>
            </w:tcBorders>
            <w:shd w:val="clear" w:color="auto" w:fill="auto"/>
            <w:noWrap/>
            <w:vAlign w:val="center"/>
          </w:tcPr>
          <w:p w14:paraId="7CF2283F">
            <w:pPr>
              <w:jc w:val="right"/>
              <w:rPr>
                <w:rFonts w:hint="eastAsia" w:ascii="新宋体" w:hAnsi="新宋体" w:eastAsia="新宋体" w:cs="新宋体"/>
                <w:i w:val="0"/>
                <w:iCs w:val="0"/>
                <w:color w:val="000000"/>
                <w:sz w:val="20"/>
                <w:szCs w:val="20"/>
                <w:u w:val="none"/>
              </w:rPr>
            </w:pPr>
          </w:p>
        </w:tc>
      </w:tr>
      <w:tr w14:paraId="4C0012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4255D">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序号</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470B0">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产品名称</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F6CB4">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型号规格</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8D44E">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数量</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74BA9">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单位</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407FC">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备注</w:t>
            </w:r>
          </w:p>
        </w:tc>
      </w:tr>
      <w:tr w14:paraId="136343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ED1E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C81D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灭火装置</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F0023">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柜式七氟丙烷灭火装置双瓶组150升：GQQ150/2.5</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1、灭火剂贮存压力(20℃时)：2.5MPa</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2、灭火剂喷射时间：≤10S</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3、启动延迟设定：0-30s可调</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4、适用环境温度：0℃-50℃</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5、工作电源：DC24V.1.5A</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6、启动方式：自动控制、手动控制</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7、箱体表面处理：喷塑</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4763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5220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套</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04597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p>
        </w:tc>
      </w:tr>
      <w:tr w14:paraId="4AB1AE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DFDF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6B3E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点型感烟火灾探测器</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7926C">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感烟探测器：</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1、电子编码，二线制总线，无极性</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2、具有溢水孔防水设计</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3、指示灯360°可见，结构牢固，高空跌落无损坏</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4、自动补偿功能，对于一定程度上因为外部环境（温度、湿度、灰尘、静电等）因素的变化而引起的性能漂移，可自动进行补偿</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5、准确判断24小时内发生的慢性火灾</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6、低功耗，有效降低系统的负荷</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C2B4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E0971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只</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1EF93B">
            <w:pPr>
              <w:jc w:val="center"/>
              <w:rPr>
                <w:rFonts w:hint="eastAsia" w:ascii="新宋体" w:hAnsi="新宋体" w:eastAsia="新宋体" w:cs="新宋体"/>
                <w:i w:val="0"/>
                <w:iCs w:val="0"/>
                <w:color w:val="000000"/>
                <w:sz w:val="20"/>
                <w:szCs w:val="20"/>
                <w:u w:val="none"/>
              </w:rPr>
            </w:pPr>
          </w:p>
        </w:tc>
      </w:tr>
      <w:tr w14:paraId="2C2AED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7BF0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7B6C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点型感温火灾探测器</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12B16">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感温探测器：</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1、电子编码，二线制总线，无极性</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2、具有溢水孔防水设计</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3、指示灯360°可见，结构牢固，高空跌落无损坏低功耗，有效降低系统的负荷</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4、采用高质量热敏电阻器</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5、软硬件滤波，抗干扰能力强</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81C5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2118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只</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1998A9">
            <w:pPr>
              <w:jc w:val="center"/>
              <w:rPr>
                <w:rFonts w:hint="eastAsia" w:ascii="新宋体" w:hAnsi="新宋体" w:eastAsia="新宋体" w:cs="新宋体"/>
                <w:i w:val="0"/>
                <w:iCs w:val="0"/>
                <w:color w:val="000000"/>
                <w:sz w:val="20"/>
                <w:szCs w:val="20"/>
                <w:u w:val="none"/>
              </w:rPr>
            </w:pPr>
          </w:p>
        </w:tc>
      </w:tr>
      <w:tr w14:paraId="0646B1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F830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0D22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指示灯</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DEB81">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气体释放灯：</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1、电子编码，二线制总线，无极性</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2、显示醒目，寿命长，功耗低</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F978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ADAB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只</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BAC111">
            <w:pPr>
              <w:jc w:val="center"/>
              <w:rPr>
                <w:rFonts w:hint="eastAsia" w:ascii="新宋体" w:hAnsi="新宋体" w:eastAsia="新宋体" w:cs="新宋体"/>
                <w:i w:val="0"/>
                <w:iCs w:val="0"/>
                <w:color w:val="000000"/>
                <w:sz w:val="20"/>
                <w:szCs w:val="20"/>
                <w:u w:val="none"/>
              </w:rPr>
            </w:pPr>
          </w:p>
        </w:tc>
      </w:tr>
      <w:tr w14:paraId="564B01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D5CD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3787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按钮</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D175F">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紧急启停按钮：</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1、电子编码，二线制总线，无极性</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2、软硬件滤波，抗干扰能力强</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3、灌胶密封防护工艺，超强防水</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39E7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F7CB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只</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B55167">
            <w:pPr>
              <w:jc w:val="center"/>
              <w:rPr>
                <w:rFonts w:hint="eastAsia" w:ascii="新宋体" w:hAnsi="新宋体" w:eastAsia="新宋体" w:cs="新宋体"/>
                <w:i w:val="0"/>
                <w:iCs w:val="0"/>
                <w:color w:val="000000"/>
                <w:sz w:val="20"/>
                <w:szCs w:val="20"/>
                <w:u w:val="none"/>
              </w:rPr>
            </w:pPr>
          </w:p>
        </w:tc>
      </w:tr>
      <w:tr w14:paraId="78CACC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F4EC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7</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296E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报警器</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4079E">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声光报警器：</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1、电子编码，与报警控制器采用二总线和电源线无极性连接</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2、多只高亮LED作为光源，显示醒目，寿命长，功耗低</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3、报警声音渐进式增大</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D984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1F3D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只</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9F3E38">
            <w:pPr>
              <w:jc w:val="center"/>
              <w:rPr>
                <w:rFonts w:hint="eastAsia" w:ascii="新宋体" w:hAnsi="新宋体" w:eastAsia="新宋体" w:cs="新宋体"/>
                <w:i w:val="0"/>
                <w:iCs w:val="0"/>
                <w:color w:val="000000"/>
                <w:sz w:val="20"/>
                <w:szCs w:val="20"/>
                <w:u w:val="none"/>
              </w:rPr>
            </w:pPr>
          </w:p>
        </w:tc>
      </w:tr>
      <w:tr w14:paraId="23A46E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218A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8</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7910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模块</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AAF0C">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分区输入和输出信号模块：</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1、电子编码，二线制总线，无极性</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2、总线端与监视信号输入端完全隔离设计</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3、具有短线检测功能</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4、软硬件滤波，抗干扰能力强</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C8D4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2F03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只</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9A5CC4">
            <w:pPr>
              <w:jc w:val="center"/>
              <w:rPr>
                <w:rFonts w:hint="eastAsia" w:ascii="新宋体" w:hAnsi="新宋体" w:eastAsia="新宋体" w:cs="新宋体"/>
                <w:i w:val="0"/>
                <w:iCs w:val="0"/>
                <w:color w:val="000000"/>
                <w:sz w:val="20"/>
                <w:szCs w:val="20"/>
                <w:u w:val="none"/>
              </w:rPr>
            </w:pPr>
          </w:p>
        </w:tc>
      </w:tr>
      <w:tr w14:paraId="1B76D0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48BB7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9</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1F66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控制器</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A8582">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三区气体灭火控制器：</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1、最大可控制4个气体保护区，每区最大100个总线前端设备</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2、控制1、2、3、4区可选，配置灵活，可靠性高</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3、全液晶显示</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4、具有火灾监控与气体灭火双重功能</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5、模块式开关电源</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D7541">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883F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台</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BB9F72">
            <w:pPr>
              <w:jc w:val="center"/>
              <w:rPr>
                <w:rFonts w:hint="eastAsia" w:ascii="新宋体" w:hAnsi="新宋体" w:eastAsia="新宋体" w:cs="新宋体"/>
                <w:i w:val="0"/>
                <w:iCs w:val="0"/>
                <w:color w:val="000000"/>
                <w:sz w:val="20"/>
                <w:szCs w:val="20"/>
                <w:u w:val="none"/>
              </w:rPr>
            </w:pPr>
          </w:p>
        </w:tc>
      </w:tr>
      <w:tr w14:paraId="302BE0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7A70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10</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C7C7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消防专用线</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C201F">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ZR-RVS2*1.5消防专用电源线、信号线</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6B71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8</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E1B3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卷</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7149CC">
            <w:pPr>
              <w:jc w:val="center"/>
              <w:rPr>
                <w:rFonts w:hint="eastAsia" w:ascii="新宋体" w:hAnsi="新宋体" w:eastAsia="新宋体" w:cs="新宋体"/>
                <w:i w:val="0"/>
                <w:iCs w:val="0"/>
                <w:color w:val="000000"/>
                <w:sz w:val="20"/>
                <w:szCs w:val="20"/>
                <w:u w:val="none"/>
              </w:rPr>
            </w:pPr>
          </w:p>
        </w:tc>
      </w:tr>
      <w:tr w14:paraId="21B555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7DA4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11</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18FC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金属穿线管</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F9227">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JDG25金属管：</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1、外径25mm</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2、壁厚≥1.45</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3、弯曲无开裂</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4、无过度变形</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B9D3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50</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F285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根</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71AF7C">
            <w:pPr>
              <w:jc w:val="center"/>
              <w:rPr>
                <w:rFonts w:hint="eastAsia" w:ascii="新宋体" w:hAnsi="新宋体" w:eastAsia="新宋体" w:cs="新宋体"/>
                <w:i w:val="0"/>
                <w:iCs w:val="0"/>
                <w:color w:val="000000"/>
                <w:sz w:val="20"/>
                <w:szCs w:val="20"/>
                <w:u w:val="none"/>
              </w:rPr>
            </w:pPr>
          </w:p>
        </w:tc>
      </w:tr>
      <w:tr w14:paraId="49A362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235D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12</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ADFD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出线盒等辅材</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69B3E">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86型（含盖板、包塑金属软管、直接、索姆等）</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81F0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9064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批</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EAD7E2">
            <w:pPr>
              <w:jc w:val="center"/>
              <w:rPr>
                <w:rFonts w:hint="eastAsia" w:ascii="新宋体" w:hAnsi="新宋体" w:eastAsia="新宋体" w:cs="新宋体"/>
                <w:i w:val="0"/>
                <w:iCs w:val="0"/>
                <w:color w:val="000000"/>
                <w:sz w:val="20"/>
                <w:szCs w:val="20"/>
                <w:u w:val="none"/>
              </w:rPr>
            </w:pPr>
          </w:p>
        </w:tc>
      </w:tr>
      <w:tr w14:paraId="018A9E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067E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13</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F4BE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空气呼吸机</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868B3">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消防过滤式自救呼吸器：</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 xml:space="preserve">1、型号：TZL-30 </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2、具有3C认证；</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3、作为个人防护器材，用于对人员的呼吸器官，眼睛及面部皮肤提供有效防护。</w:t>
            </w:r>
            <w:r>
              <w:rPr>
                <w:rFonts w:hint="eastAsia" w:ascii="新宋体" w:hAnsi="新宋体" w:eastAsia="新宋体" w:cs="新宋体"/>
                <w:i w:val="0"/>
                <w:iCs w:val="0"/>
                <w:color w:val="000000"/>
                <w:kern w:val="0"/>
                <w:sz w:val="20"/>
                <w:szCs w:val="20"/>
                <w:u w:val="none"/>
                <w:lang w:val="en-US" w:eastAsia="zh-CN" w:bidi="ar"/>
              </w:rPr>
              <w:br w:type="textWrapping"/>
            </w:r>
            <w:r>
              <w:rPr>
                <w:rFonts w:hint="eastAsia" w:ascii="新宋体" w:hAnsi="新宋体" w:eastAsia="新宋体" w:cs="新宋体"/>
                <w:i w:val="0"/>
                <w:iCs w:val="0"/>
                <w:color w:val="000000"/>
                <w:kern w:val="0"/>
                <w:sz w:val="20"/>
                <w:szCs w:val="20"/>
                <w:u w:val="none"/>
                <w:lang w:val="en-US" w:eastAsia="zh-CN" w:bidi="ar"/>
              </w:rPr>
              <w:t>4、面具由面罩，导气 管和滤毒罐组成，面罩可直接与滤毒罐连接使用，或者用导气管与滤毒罐连接使用。</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60E7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D4A00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个</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68784A">
            <w:pPr>
              <w:jc w:val="center"/>
              <w:rPr>
                <w:rFonts w:hint="eastAsia" w:ascii="新宋体" w:hAnsi="新宋体" w:eastAsia="新宋体" w:cs="新宋体"/>
                <w:i w:val="0"/>
                <w:iCs w:val="0"/>
                <w:color w:val="000000"/>
                <w:sz w:val="20"/>
                <w:szCs w:val="20"/>
                <w:u w:val="none"/>
              </w:rPr>
            </w:pPr>
          </w:p>
        </w:tc>
      </w:tr>
      <w:tr w14:paraId="5E6EAD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DF85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14</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A049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手持灭火器</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47F86">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水基型4升/瓶环保灭火器</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1C76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8</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C34C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瓶</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B0C869">
            <w:pPr>
              <w:jc w:val="center"/>
              <w:rPr>
                <w:rFonts w:hint="eastAsia" w:ascii="新宋体" w:hAnsi="新宋体" w:eastAsia="新宋体" w:cs="新宋体"/>
                <w:i w:val="0"/>
                <w:iCs w:val="0"/>
                <w:color w:val="000000"/>
                <w:sz w:val="20"/>
                <w:szCs w:val="20"/>
                <w:u w:val="none"/>
              </w:rPr>
            </w:pPr>
          </w:p>
        </w:tc>
      </w:tr>
      <w:tr w14:paraId="24F0D6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9BEF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15</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F08D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设备调试</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CC031">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厂家认证工程师调试</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D73B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55768">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项</w:t>
            </w:r>
          </w:p>
        </w:tc>
        <w:tc>
          <w:tcPr>
            <w:tcW w:w="518" w:type="dxa"/>
            <w:tcBorders>
              <w:top w:val="nil"/>
              <w:left w:val="single" w:color="000000" w:sz="4" w:space="0"/>
              <w:bottom w:val="single" w:color="000000" w:sz="4" w:space="0"/>
              <w:right w:val="single" w:color="000000" w:sz="4" w:space="0"/>
            </w:tcBorders>
            <w:shd w:val="clear" w:color="auto" w:fill="auto"/>
            <w:vAlign w:val="center"/>
          </w:tcPr>
          <w:p w14:paraId="5EA90853">
            <w:pPr>
              <w:jc w:val="center"/>
              <w:rPr>
                <w:rFonts w:hint="eastAsia" w:ascii="新宋体" w:hAnsi="新宋体" w:eastAsia="新宋体" w:cs="新宋体"/>
                <w:i w:val="0"/>
                <w:iCs w:val="0"/>
                <w:color w:val="000000"/>
                <w:sz w:val="20"/>
                <w:szCs w:val="20"/>
                <w:u w:val="none"/>
              </w:rPr>
            </w:pPr>
          </w:p>
        </w:tc>
      </w:tr>
      <w:tr w14:paraId="32AC58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778" w:type="dxa"/>
            <w:gridSpan w:val="5"/>
            <w:tcBorders>
              <w:top w:val="single" w:color="000000" w:sz="4" w:space="0"/>
              <w:left w:val="single" w:color="000000" w:sz="4" w:space="0"/>
              <w:bottom w:val="single" w:color="000000" w:sz="4" w:space="0"/>
              <w:right w:val="nil"/>
            </w:tcBorders>
            <w:shd w:val="clear" w:color="auto" w:fill="auto"/>
            <w:noWrap/>
            <w:vAlign w:val="center"/>
          </w:tcPr>
          <w:p w14:paraId="1DDEEF27">
            <w:pPr>
              <w:keepNext w:val="0"/>
              <w:keepLines w:val="0"/>
              <w:widowControl/>
              <w:suppressLineNumbers w:val="0"/>
              <w:jc w:val="left"/>
              <w:textAlignment w:val="center"/>
              <w:rPr>
                <w:rFonts w:hint="default" w:ascii="新宋体" w:hAnsi="新宋体" w:eastAsia="新宋体" w:cs="新宋体"/>
                <w:b/>
                <w:bCs/>
                <w:i w:val="0"/>
                <w:iCs w:val="0"/>
                <w:color w:val="000000"/>
                <w:sz w:val="20"/>
                <w:szCs w:val="20"/>
                <w:u w:val="none"/>
                <w:lang w:val="en-US"/>
              </w:rPr>
            </w:pPr>
            <w:r>
              <w:rPr>
                <w:rFonts w:hint="eastAsia" w:ascii="新宋体" w:hAnsi="新宋体" w:eastAsia="新宋体" w:cs="新宋体"/>
                <w:b/>
                <w:bCs/>
                <w:i w:val="0"/>
                <w:iCs w:val="0"/>
                <w:color w:val="000000"/>
                <w:kern w:val="0"/>
                <w:sz w:val="20"/>
                <w:szCs w:val="20"/>
                <w:u w:val="none"/>
                <w:lang w:val="en-US" w:eastAsia="zh-CN" w:bidi="ar"/>
              </w:rPr>
              <w:t>6、系统迁移服务</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94380">
            <w:pPr>
              <w:jc w:val="left"/>
              <w:rPr>
                <w:rFonts w:hint="eastAsia" w:ascii="新宋体" w:hAnsi="新宋体" w:eastAsia="新宋体" w:cs="新宋体"/>
                <w:b/>
                <w:bCs/>
                <w:i w:val="0"/>
                <w:iCs w:val="0"/>
                <w:color w:val="000000"/>
                <w:sz w:val="20"/>
                <w:szCs w:val="20"/>
                <w:u w:val="none"/>
              </w:rPr>
            </w:pPr>
          </w:p>
        </w:tc>
      </w:tr>
      <w:tr w14:paraId="724E0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E603C">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序号</w:t>
            </w: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1E999">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产品名称</w:t>
            </w:r>
          </w:p>
        </w:tc>
        <w:tc>
          <w:tcPr>
            <w:tcW w:w="6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04560">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型号规格</w:t>
            </w:r>
          </w:p>
        </w:tc>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C9F82">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数量</w:t>
            </w:r>
          </w:p>
        </w:tc>
        <w:tc>
          <w:tcPr>
            <w:tcW w:w="11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734B1">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单位</w:t>
            </w:r>
          </w:p>
        </w:tc>
        <w:tc>
          <w:tcPr>
            <w:tcW w:w="5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23A6F">
            <w:pPr>
              <w:keepNext w:val="0"/>
              <w:keepLines w:val="0"/>
              <w:widowControl/>
              <w:suppressLineNumbers w:val="0"/>
              <w:jc w:val="center"/>
              <w:textAlignment w:val="center"/>
              <w:rPr>
                <w:rFonts w:hint="eastAsia" w:ascii="新宋体" w:hAnsi="新宋体" w:eastAsia="新宋体" w:cs="新宋体"/>
                <w:b/>
                <w:bCs/>
                <w:i w:val="0"/>
                <w:iCs w:val="0"/>
                <w:color w:val="000000"/>
                <w:sz w:val="20"/>
                <w:szCs w:val="20"/>
                <w:u w:val="none"/>
              </w:rPr>
            </w:pPr>
            <w:r>
              <w:rPr>
                <w:rFonts w:hint="eastAsia" w:ascii="新宋体" w:hAnsi="新宋体" w:eastAsia="新宋体" w:cs="新宋体"/>
                <w:b/>
                <w:bCs/>
                <w:i w:val="0"/>
                <w:iCs w:val="0"/>
                <w:color w:val="000000"/>
                <w:kern w:val="0"/>
                <w:sz w:val="20"/>
                <w:szCs w:val="20"/>
                <w:u w:val="none"/>
                <w:lang w:val="en-US" w:eastAsia="zh-CN" w:bidi="ar"/>
              </w:rPr>
              <w:t>备注</w:t>
            </w:r>
          </w:p>
        </w:tc>
      </w:tr>
      <w:tr w14:paraId="24D9C0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7E17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B751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原机房机柜拆除搬迁</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398CA">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22台机柜拆除(含列头柜及模组周边装饰件、冷风通道、端门、灯组、动力配件柜、动环组件、通讯组件等)、搬运、除尘；要求：须现场勘察后按照原厂拆装标准规范及流程安全拆卸,所有紧固件需分类存储并做好标记，运输过程中必须使用木质底盘或托架进行移动；拆装过程中若出现运损、划伤、磕碰、掉漆需赔偿同等型号规格产品,并出检测报告。</w:t>
            </w:r>
          </w:p>
        </w:tc>
        <w:tc>
          <w:tcPr>
            <w:tcW w:w="5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011C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9242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项</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19BD9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搬迁</w:t>
            </w:r>
          </w:p>
        </w:tc>
      </w:tr>
      <w:tr w14:paraId="0FCA2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2E5DF">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1F60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原空调拆除搬迁</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0B260">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9台空调(含外机和高低压管路及电力、通讯线缆)拆除（3台20匹行级空调、1台10匹房间级精密空调、1台5匹空调、1台2匹空调、3台3匹空调迁移）、砸墙、吊车、搬运；须现场勘察后按照原厂拆装标准规范及流程安全拆卸；拆装过程中若出现运损、划伤、磕碰需赔偿同等型号规格产品,并出检测报告。其中行级空调及精密空调需持有原厂安装资质的人员进行拆卸，行级和精密空调需要使用木质底盘或托架进行移动，运输过程中不可放倒倾斜角度不可大于15度；</w:t>
            </w:r>
          </w:p>
        </w:tc>
        <w:tc>
          <w:tcPr>
            <w:tcW w:w="5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1AEB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EE75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项</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2222AF">
            <w:pPr>
              <w:jc w:val="center"/>
              <w:rPr>
                <w:rFonts w:hint="eastAsia" w:ascii="新宋体" w:hAnsi="新宋体" w:eastAsia="新宋体" w:cs="新宋体"/>
                <w:i w:val="0"/>
                <w:iCs w:val="0"/>
                <w:color w:val="000000"/>
                <w:sz w:val="20"/>
                <w:szCs w:val="20"/>
                <w:u w:val="none"/>
              </w:rPr>
            </w:pPr>
          </w:p>
        </w:tc>
      </w:tr>
      <w:tr w14:paraId="63821D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5424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3</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19FD2">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原电池拆除搬迁</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71ACA">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台精密配电柜、128节电池拆除、搬运；要求：须现场勘察后按照原厂拆装标准规范及流程安全拆卸；拆装过程中若出现运损、划伤、磕碰、漏液需赔偿同等型号规格产品，并出检测报告，拆卸后同时对每节电池进行健康检测。</w:t>
            </w:r>
          </w:p>
        </w:tc>
        <w:tc>
          <w:tcPr>
            <w:tcW w:w="5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768D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4638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项</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C4B1AE">
            <w:pPr>
              <w:jc w:val="center"/>
              <w:rPr>
                <w:rFonts w:hint="eastAsia" w:ascii="新宋体" w:hAnsi="新宋体" w:eastAsia="新宋体" w:cs="新宋体"/>
                <w:i w:val="0"/>
                <w:iCs w:val="0"/>
                <w:color w:val="000000"/>
                <w:sz w:val="20"/>
                <w:szCs w:val="20"/>
                <w:u w:val="none"/>
              </w:rPr>
            </w:pPr>
          </w:p>
        </w:tc>
      </w:tr>
      <w:tr w14:paraId="5730D7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2A747">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4</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5DFA0">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机柜安装</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2D376">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22台机柜安装(含列头柜及模组周边装饰件、冷风通道、端门、灯组、动力配件柜、动环组件、通讯组件等)包括散力架制作、线槽、配套桥架安装等；须现场勘察后按照原厂安装标准规范及流程标准化安装,所有紧固件按照分类存及标记和严格执行安装手册中的扭矩的进行安装复原，安装过程中若出现损坏、划伤、磕碰需赔偿同等型号规格产品,安装后并出具检测报告。</w:t>
            </w:r>
          </w:p>
        </w:tc>
        <w:tc>
          <w:tcPr>
            <w:tcW w:w="5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F9AE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87D9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项</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CE4C06">
            <w:pPr>
              <w:jc w:val="center"/>
              <w:rPr>
                <w:rFonts w:hint="eastAsia" w:ascii="新宋体" w:hAnsi="新宋体" w:eastAsia="新宋体" w:cs="新宋体"/>
                <w:i w:val="0"/>
                <w:iCs w:val="0"/>
                <w:color w:val="000000"/>
                <w:sz w:val="20"/>
                <w:szCs w:val="20"/>
                <w:u w:val="none"/>
              </w:rPr>
            </w:pPr>
          </w:p>
        </w:tc>
      </w:tr>
      <w:tr w14:paraId="41AB3B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0EF43">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5</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038FB9">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空调安装</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C75FC">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9台空调(含外机和全新高低压管路及电力、通讯线缆)安装（3台20匹行级空调、1台10匹房间级精密空调、1台5匹空调、1台2匹空调、3台3匹空调安装）含吊车运输、安装。包括室外散力架制作，铜管（350米）、9台空调按照原厂产品手册所需加注的冷媒量进行新冷媒的注入(R410A 冷媒（行级空调和精密空调用）R22(5P空调）R32(2匹空调、3匹空调）、上下水管、保温套材料和安装；要求：其中行级空调及精密空调需持有原厂安装资质的人员进行安装，安装过程中若出现运损、划伤、磕碰需赔偿同等型号规格产品，并出安装检测报告；</w:t>
            </w:r>
          </w:p>
        </w:tc>
        <w:tc>
          <w:tcPr>
            <w:tcW w:w="5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8D3A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29F9E">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项</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346F55">
            <w:pPr>
              <w:jc w:val="center"/>
              <w:rPr>
                <w:rFonts w:hint="eastAsia" w:ascii="新宋体" w:hAnsi="新宋体" w:eastAsia="新宋体" w:cs="新宋体"/>
                <w:i w:val="0"/>
                <w:iCs w:val="0"/>
                <w:color w:val="000000"/>
                <w:sz w:val="20"/>
                <w:szCs w:val="20"/>
                <w:u w:val="none"/>
              </w:rPr>
            </w:pPr>
          </w:p>
        </w:tc>
      </w:tr>
      <w:tr w14:paraId="7DB8BE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54134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6</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6F466">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电池安装</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F0F7A">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1台精密配电柜、128节电池安装(含全新电池正负极级联跳线)，包括全新散力架制作，ZR-BVR120电缆60米 ；要求：须现场勘察后按照原厂安装标准规范及流程复原安装；安装过程中若出现运损、划伤、漏液需赔偿同等型号规格产品；安装后出具电池安装检测报告。</w:t>
            </w:r>
          </w:p>
        </w:tc>
        <w:tc>
          <w:tcPr>
            <w:tcW w:w="5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7F7CD">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20DE4">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项</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780F3A">
            <w:pPr>
              <w:jc w:val="center"/>
              <w:rPr>
                <w:rFonts w:hint="eastAsia" w:ascii="新宋体" w:hAnsi="新宋体" w:eastAsia="新宋体" w:cs="新宋体"/>
                <w:i w:val="0"/>
                <w:iCs w:val="0"/>
                <w:color w:val="000000"/>
                <w:sz w:val="20"/>
                <w:szCs w:val="20"/>
                <w:u w:val="none"/>
              </w:rPr>
            </w:pPr>
          </w:p>
        </w:tc>
      </w:tr>
      <w:tr w14:paraId="4841EB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5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51CC5">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7</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ED75C">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其他IT设备</w:t>
            </w:r>
          </w:p>
        </w:tc>
        <w:tc>
          <w:tcPr>
            <w:tcW w:w="6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56AE5">
            <w:pPr>
              <w:keepNext w:val="0"/>
              <w:keepLines w:val="0"/>
              <w:widowControl/>
              <w:suppressLineNumbers w:val="0"/>
              <w:jc w:val="left"/>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机房服务器、存储设备、网络安全设备、网络交换设备、门禁、监控、消防拆、运、装等系统集成；要求：须现场勘察后按照原厂安装标准规范及流程复原安装，熟悉原机房设备安装流程，所有网络设备迁移前需制定详细网络割接方案，网络设备接口需进行详细的标记跳线走向等，同时根据新旧设备做到双院区网络互通；服务器迁移需要按照新旧设备制定详细的业务无中断迁移方案，整个业务迁移过程中各类数据库及所有应用必须做到保障业务连续性无中断迁移，同时对安装硬件涉及的光缆及电缆进行标准化综合布线，所有线缆必须打标签，完成搬迁集成后，所有设备必须运行正常，损坏、划伤、运损需赔偿同等型号规格产品。</w:t>
            </w:r>
          </w:p>
        </w:tc>
        <w:tc>
          <w:tcPr>
            <w:tcW w:w="5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4F9AB">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1</w:t>
            </w:r>
          </w:p>
        </w:tc>
        <w:tc>
          <w:tcPr>
            <w:tcW w:w="11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CB86A">
            <w:pPr>
              <w:keepNext w:val="0"/>
              <w:keepLines w:val="0"/>
              <w:widowControl/>
              <w:suppressLineNumbers w:val="0"/>
              <w:jc w:val="center"/>
              <w:textAlignment w:val="center"/>
              <w:rPr>
                <w:rFonts w:hint="eastAsia" w:ascii="新宋体" w:hAnsi="新宋体" w:eastAsia="新宋体" w:cs="新宋体"/>
                <w:i w:val="0"/>
                <w:iCs w:val="0"/>
                <w:color w:val="000000"/>
                <w:sz w:val="20"/>
                <w:szCs w:val="20"/>
                <w:u w:val="none"/>
              </w:rPr>
            </w:pPr>
            <w:r>
              <w:rPr>
                <w:rFonts w:hint="eastAsia" w:ascii="新宋体" w:hAnsi="新宋体" w:eastAsia="新宋体" w:cs="新宋体"/>
                <w:i w:val="0"/>
                <w:iCs w:val="0"/>
                <w:color w:val="000000"/>
                <w:kern w:val="0"/>
                <w:sz w:val="20"/>
                <w:szCs w:val="20"/>
                <w:u w:val="none"/>
                <w:lang w:val="en-US" w:eastAsia="zh-CN" w:bidi="ar"/>
              </w:rPr>
              <w:t>项</w:t>
            </w: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662D9F">
            <w:pPr>
              <w:jc w:val="center"/>
              <w:rPr>
                <w:rFonts w:hint="eastAsia" w:ascii="新宋体" w:hAnsi="新宋体" w:eastAsia="新宋体" w:cs="新宋体"/>
                <w:i w:val="0"/>
                <w:iCs w:val="0"/>
                <w:color w:val="000000"/>
                <w:sz w:val="20"/>
                <w:szCs w:val="20"/>
                <w:u w:val="none"/>
              </w:rPr>
            </w:pPr>
          </w:p>
        </w:tc>
      </w:tr>
    </w:tbl>
    <w:p w14:paraId="0A339CF8">
      <w:pPr>
        <w:numPr>
          <w:ilvl w:val="0"/>
          <w:numId w:val="0"/>
        </w:numPr>
        <w:kinsoku w:val="0"/>
        <w:autoSpaceDE w:val="0"/>
        <w:autoSpaceDN w:val="0"/>
        <w:adjustRightInd w:val="0"/>
        <w:snapToGrid w:val="0"/>
        <w:spacing w:line="360" w:lineRule="auto"/>
        <w:jc w:val="both"/>
        <w:textAlignment w:val="baseline"/>
        <w:outlineLvl w:val="9"/>
        <w:rPr>
          <w:rFonts w:hint="eastAsia" w:ascii="宋体" w:hAnsi="宋体" w:eastAsia="宋体"/>
          <w:b/>
          <w:color w:val="auto"/>
          <w:sz w:val="32"/>
          <w:szCs w:val="32"/>
          <w:lang w:val="en-US" w:eastAsia="zh-CN"/>
        </w:rPr>
      </w:pPr>
    </w:p>
    <w:p w14:paraId="354E6D48">
      <w:pPr>
        <w:numPr>
          <w:ilvl w:val="0"/>
          <w:numId w:val="0"/>
        </w:numPr>
        <w:kinsoku w:val="0"/>
        <w:autoSpaceDE w:val="0"/>
        <w:autoSpaceDN w:val="0"/>
        <w:adjustRightInd w:val="0"/>
        <w:snapToGrid w:val="0"/>
        <w:spacing w:line="360" w:lineRule="auto"/>
        <w:jc w:val="both"/>
        <w:textAlignment w:val="baseline"/>
        <w:outlineLvl w:val="9"/>
        <w:rPr>
          <w:rFonts w:hint="eastAsia" w:ascii="宋体" w:hAnsi="宋体" w:eastAsia="宋体"/>
          <w:b/>
          <w:color w:val="auto"/>
          <w:sz w:val="32"/>
          <w:szCs w:val="32"/>
          <w:lang w:eastAsia="zh-CN"/>
        </w:rPr>
      </w:pPr>
      <w:r>
        <w:rPr>
          <w:rFonts w:hint="eastAsia" w:ascii="宋体" w:hAnsi="宋体" w:eastAsia="宋体"/>
          <w:b/>
          <w:color w:val="auto"/>
          <w:sz w:val="32"/>
          <w:szCs w:val="32"/>
          <w:lang w:val="en-US" w:eastAsia="zh-CN"/>
        </w:rPr>
        <w:t>注意：以上所有软硬件整体质保三年。</w:t>
      </w:r>
    </w:p>
    <w:p w14:paraId="27B53398">
      <w:pPr>
        <w:numPr>
          <w:ilvl w:val="0"/>
          <w:numId w:val="0"/>
        </w:numPr>
        <w:kinsoku w:val="0"/>
        <w:autoSpaceDE w:val="0"/>
        <w:autoSpaceDN w:val="0"/>
        <w:adjustRightInd w:val="0"/>
        <w:snapToGrid w:val="0"/>
        <w:spacing w:line="360" w:lineRule="auto"/>
        <w:jc w:val="center"/>
        <w:textAlignment w:val="baseline"/>
        <w:outlineLvl w:val="9"/>
        <w:rPr>
          <w:rFonts w:hint="eastAsia" w:ascii="宋体" w:hAnsi="宋体" w:eastAsia="宋体"/>
          <w:b/>
          <w:color w:val="auto"/>
          <w:sz w:val="32"/>
          <w:szCs w:val="32"/>
          <w:lang w:eastAsia="zh-CN"/>
        </w:rPr>
        <w:sectPr>
          <w:headerReference r:id="rId34" w:type="default"/>
          <w:footerReference r:id="rId35" w:type="default"/>
          <w:pgSz w:w="12240" w:h="15840"/>
          <w:pgMar w:top="1440" w:right="1080" w:bottom="1440" w:left="1080" w:header="1233" w:footer="362" w:gutter="0"/>
          <w:pgBorders>
            <w:top w:val="none" w:sz="0" w:space="0"/>
            <w:left w:val="none" w:sz="0" w:space="0"/>
            <w:bottom w:val="none" w:sz="0" w:space="0"/>
            <w:right w:val="none" w:sz="0" w:space="0"/>
          </w:pgBorders>
          <w:pgNumType w:fmt="decimal"/>
          <w:cols w:space="720" w:num="1"/>
        </w:sectPr>
      </w:pPr>
    </w:p>
    <w:p w14:paraId="40B73BF6">
      <w:pPr>
        <w:pStyle w:val="2"/>
        <w:bidi w:val="0"/>
        <w:rPr>
          <w:lang w:eastAsia="zh-CN"/>
        </w:rPr>
      </w:pPr>
      <w:bookmarkStart w:id="295" w:name="_Toc15824"/>
      <w:r>
        <w:rPr>
          <w:lang w:eastAsia="zh-CN"/>
        </w:rPr>
        <w:t>第六章  技术标准及要求</w:t>
      </w:r>
      <w:bookmarkEnd w:id="295"/>
    </w:p>
    <w:p w14:paraId="463F3A83">
      <w:pPr>
        <w:spacing w:line="225" w:lineRule="auto"/>
        <w:rPr>
          <w:rFonts w:ascii="黑体" w:hAnsi="黑体" w:eastAsia="黑体" w:cs="黑体"/>
          <w:color w:val="auto"/>
          <w:sz w:val="43"/>
          <w:szCs w:val="43"/>
          <w:lang w:eastAsia="zh-CN"/>
        </w:rPr>
        <w:sectPr>
          <w:headerReference r:id="rId36" w:type="default"/>
          <w:footerReference r:id="rId37" w:type="default"/>
          <w:pgSz w:w="12240" w:h="15840"/>
          <w:pgMar w:top="1440" w:right="1080" w:bottom="1440" w:left="1080" w:header="1233" w:footer="362" w:gutter="0"/>
          <w:pgBorders>
            <w:top w:val="none" w:sz="0" w:space="0"/>
            <w:left w:val="none" w:sz="0" w:space="0"/>
            <w:bottom w:val="none" w:sz="0" w:space="0"/>
            <w:right w:val="none" w:sz="0" w:space="0"/>
          </w:pgBorders>
          <w:pgNumType w:fmt="decimal"/>
          <w:cols w:space="720" w:num="1"/>
        </w:sectPr>
      </w:pPr>
    </w:p>
    <w:p w14:paraId="2C7A41D8">
      <w:pPr>
        <w:spacing w:before="78" w:line="222" w:lineRule="auto"/>
        <w:ind w:left="4220"/>
        <w:rPr>
          <w:rFonts w:ascii="黑体" w:hAnsi="黑体" w:eastAsia="黑体" w:cs="黑体"/>
          <w:color w:val="auto"/>
          <w:sz w:val="28"/>
          <w:szCs w:val="28"/>
          <w:lang w:eastAsia="zh-CN"/>
        </w:rPr>
      </w:pPr>
      <w:r>
        <w:rPr>
          <w:rFonts w:ascii="Tahoma" w:hAnsi="Tahoma" w:eastAsia="Tahoma" w:cs="Tahoma"/>
          <w:b/>
          <w:bCs/>
          <w:color w:val="auto"/>
          <w:spacing w:val="-11"/>
          <w:sz w:val="28"/>
          <w:szCs w:val="28"/>
          <w:lang w:eastAsia="zh-CN"/>
        </w:rPr>
        <w:t>1</w:t>
      </w:r>
      <w:r>
        <w:rPr>
          <w:rFonts w:ascii="Tahoma" w:hAnsi="Tahoma" w:eastAsia="Tahoma" w:cs="Tahoma"/>
          <w:b/>
          <w:bCs/>
          <w:color w:val="auto"/>
          <w:spacing w:val="-41"/>
          <w:sz w:val="28"/>
          <w:szCs w:val="28"/>
          <w:lang w:eastAsia="zh-CN"/>
        </w:rPr>
        <w:t xml:space="preserve"> </w:t>
      </w:r>
      <w:r>
        <w:rPr>
          <w:rFonts w:ascii="黑体" w:hAnsi="黑体" w:eastAsia="黑体" w:cs="黑体"/>
          <w:color w:val="auto"/>
          <w:spacing w:val="-11"/>
          <w:sz w:val="28"/>
          <w:szCs w:val="28"/>
          <w:lang w:eastAsia="zh-CN"/>
          <w14:textOutline w14:w="5105" w14:cap="sq" w14:cmpd="sng" w14:algn="ctr">
            <w14:solidFill>
              <w14:srgbClr w14:val="000000"/>
            </w14:solidFill>
            <w14:prstDash w14:val="solid"/>
            <w14:bevel/>
          </w14:textOutline>
        </w:rPr>
        <w:t>、一般规定</w:t>
      </w:r>
    </w:p>
    <w:p w14:paraId="44DD6B07">
      <w:pPr>
        <w:spacing w:before="54" w:line="360" w:lineRule="auto"/>
        <w:ind w:left="18"/>
        <w:rPr>
          <w:rFonts w:ascii="宋体" w:hAnsi="宋体" w:eastAsia="宋体" w:cs="宋体"/>
          <w:color w:val="auto"/>
          <w:sz w:val="20"/>
          <w:szCs w:val="20"/>
          <w:lang w:eastAsia="zh-CN"/>
        </w:rPr>
      </w:pPr>
      <w:r>
        <w:rPr>
          <w:rFonts w:ascii="Tahoma" w:hAnsi="Tahoma" w:eastAsia="Tahoma" w:cs="Tahoma"/>
          <w:b/>
          <w:bCs/>
          <w:color w:val="auto"/>
          <w:spacing w:val="2"/>
          <w:sz w:val="20"/>
          <w:szCs w:val="20"/>
          <w:lang w:eastAsia="zh-CN"/>
        </w:rPr>
        <w:t>1.1</w:t>
      </w:r>
      <w:r>
        <w:rPr>
          <w:rFonts w:ascii="Tahoma" w:hAnsi="Tahoma" w:eastAsia="Tahoma" w:cs="Tahoma"/>
          <w:b/>
          <w:bCs/>
          <w:color w:val="auto"/>
          <w:spacing w:val="-28"/>
          <w:sz w:val="20"/>
          <w:szCs w:val="20"/>
          <w:lang w:eastAsia="zh-CN"/>
        </w:rPr>
        <w:t xml:space="preserve"> </w:t>
      </w:r>
      <w:r>
        <w:rPr>
          <w:rFonts w:ascii="宋体" w:hAnsi="宋体" w:eastAsia="宋体" w:cs="宋体"/>
          <w:color w:val="auto"/>
          <w:spacing w:val="2"/>
          <w:sz w:val="20"/>
          <w:szCs w:val="20"/>
          <w:lang w:eastAsia="zh-CN"/>
          <w14:textOutline w14:w="3797" w14:cap="sq" w14:cmpd="sng" w14:algn="ctr">
            <w14:solidFill>
              <w14:srgbClr w14:val="000000"/>
            </w14:solidFill>
            <w14:prstDash w14:val="solid"/>
            <w14:bevel/>
          </w14:textOutline>
        </w:rPr>
        <w:t>、供方责任</w:t>
      </w:r>
    </w:p>
    <w:p w14:paraId="33E584EA">
      <w:pPr>
        <w:spacing w:before="116" w:line="360" w:lineRule="auto"/>
        <w:ind w:left="6" w:right="70" w:firstLine="221"/>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（1）</w:t>
      </w:r>
      <w:r>
        <w:rPr>
          <w:rFonts w:hint="eastAsia" w:ascii="宋体" w:hAnsi="宋体" w:eastAsia="宋体" w:cs="宋体"/>
          <w:color w:val="auto"/>
          <w:spacing w:val="9"/>
          <w:sz w:val="20"/>
          <w:szCs w:val="20"/>
          <w:lang w:val="en-US" w:eastAsia="zh-CN"/>
        </w:rPr>
        <w:t>供应方</w:t>
      </w:r>
      <w:r>
        <w:rPr>
          <w:rFonts w:hint="eastAsia" w:ascii="宋体" w:hAnsi="宋体" w:eastAsia="宋体" w:cs="宋体"/>
          <w:color w:val="auto"/>
          <w:spacing w:val="9"/>
          <w:sz w:val="20"/>
          <w:szCs w:val="20"/>
          <w:lang w:eastAsia="zh-CN"/>
        </w:rPr>
        <w:t>应保证其提供的服务不受任何第三方提出的侵犯其著作权、商标权、专利权等知识产权方面的起诉；如果任何第三方提出侵权指控，那么乙方须与该第三方交涉并承担由此发生的一切责任、费用和赔偿</w:t>
      </w:r>
      <w:r>
        <w:rPr>
          <w:rFonts w:ascii="宋体" w:hAnsi="宋体" w:eastAsia="宋体" w:cs="宋体"/>
          <w:color w:val="auto"/>
          <w:spacing w:val="9"/>
          <w:sz w:val="20"/>
          <w:szCs w:val="20"/>
          <w:lang w:eastAsia="zh-CN"/>
        </w:rPr>
        <w:t>。</w:t>
      </w:r>
    </w:p>
    <w:p w14:paraId="605854DC">
      <w:pPr>
        <w:spacing w:before="94" w:line="360" w:lineRule="auto"/>
        <w:ind w:left="228"/>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2</w:t>
      </w:r>
      <w:r>
        <w:rPr>
          <w:rFonts w:ascii="宋体" w:hAnsi="宋体" w:eastAsia="宋体" w:cs="宋体"/>
          <w:color w:val="auto"/>
          <w:spacing w:val="9"/>
          <w:sz w:val="20"/>
          <w:szCs w:val="20"/>
          <w:lang w:eastAsia="zh-CN"/>
        </w:rPr>
        <w:t>）供方应负责</w:t>
      </w:r>
      <w:r>
        <w:rPr>
          <w:rFonts w:hint="eastAsia" w:ascii="宋体" w:hAnsi="宋体" w:eastAsia="宋体" w:cs="宋体"/>
          <w:color w:val="auto"/>
          <w:spacing w:val="9"/>
          <w:sz w:val="20"/>
          <w:szCs w:val="20"/>
          <w:lang w:val="en-US" w:eastAsia="zh-CN"/>
        </w:rPr>
        <w:t>产品</w:t>
      </w:r>
      <w:r>
        <w:rPr>
          <w:rFonts w:ascii="宋体" w:hAnsi="宋体" w:eastAsia="宋体" w:cs="宋体"/>
          <w:color w:val="auto"/>
          <w:spacing w:val="9"/>
          <w:sz w:val="20"/>
          <w:szCs w:val="20"/>
          <w:lang w:eastAsia="zh-CN"/>
        </w:rPr>
        <w:t>达到要求的各项功能、技术性能、</w:t>
      </w:r>
      <w:r>
        <w:rPr>
          <w:rFonts w:ascii="宋体" w:hAnsi="宋体" w:eastAsia="宋体" w:cs="宋体"/>
          <w:color w:val="auto"/>
          <w:spacing w:val="8"/>
          <w:sz w:val="20"/>
          <w:szCs w:val="20"/>
          <w:lang w:eastAsia="zh-CN"/>
        </w:rPr>
        <w:t>指标和参数。</w:t>
      </w:r>
    </w:p>
    <w:p w14:paraId="5BF5B8B6">
      <w:pPr>
        <w:spacing w:before="116" w:line="360" w:lineRule="auto"/>
        <w:ind w:left="6" w:right="70" w:firstLine="221"/>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3</w:t>
      </w:r>
      <w:r>
        <w:rPr>
          <w:rFonts w:ascii="宋体" w:hAnsi="宋体" w:eastAsia="宋体" w:cs="宋体"/>
          <w:color w:val="auto"/>
          <w:spacing w:val="9"/>
          <w:sz w:val="20"/>
          <w:szCs w:val="20"/>
          <w:lang w:eastAsia="zh-CN"/>
        </w:rPr>
        <w:t>）供方提供的</w:t>
      </w:r>
      <w:r>
        <w:rPr>
          <w:rFonts w:hint="eastAsia" w:ascii="宋体" w:hAnsi="宋体" w:eastAsia="宋体" w:cs="宋体"/>
          <w:color w:val="auto"/>
          <w:spacing w:val="9"/>
          <w:sz w:val="20"/>
          <w:szCs w:val="20"/>
          <w:lang w:val="en-US" w:eastAsia="zh-CN"/>
        </w:rPr>
        <w:t>产品</w:t>
      </w:r>
      <w:r>
        <w:rPr>
          <w:rFonts w:ascii="宋体" w:hAnsi="宋体" w:eastAsia="宋体" w:cs="宋体"/>
          <w:color w:val="auto"/>
          <w:spacing w:val="9"/>
          <w:sz w:val="20"/>
          <w:szCs w:val="20"/>
          <w:lang w:eastAsia="zh-CN"/>
        </w:rPr>
        <w:t>必须符合国家、或行业的相关的规范规定的技术要求、质量标准，并</w:t>
      </w:r>
      <w:r>
        <w:rPr>
          <w:rFonts w:ascii="宋体" w:hAnsi="宋体" w:eastAsia="宋体" w:cs="宋体"/>
          <w:color w:val="auto"/>
          <w:spacing w:val="8"/>
          <w:sz w:val="20"/>
          <w:szCs w:val="20"/>
          <w:lang w:eastAsia="zh-CN"/>
        </w:rPr>
        <w:t>承担缺陷责任与保修责任。</w:t>
      </w:r>
    </w:p>
    <w:p w14:paraId="79CB00FA">
      <w:pPr>
        <w:spacing w:before="92" w:line="360" w:lineRule="auto"/>
        <w:ind w:left="11" w:right="70" w:firstLine="217"/>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4</w:t>
      </w:r>
      <w:r>
        <w:rPr>
          <w:rFonts w:ascii="宋体" w:hAnsi="宋体" w:eastAsia="宋体" w:cs="宋体"/>
          <w:color w:val="auto"/>
          <w:spacing w:val="9"/>
          <w:sz w:val="20"/>
          <w:szCs w:val="20"/>
          <w:lang w:eastAsia="zh-CN"/>
        </w:rPr>
        <w:t>）</w:t>
      </w:r>
      <w:r>
        <w:rPr>
          <w:rFonts w:hint="eastAsia" w:ascii="宋体" w:hAnsi="宋体" w:eastAsia="宋体" w:cs="宋体"/>
          <w:color w:val="auto"/>
          <w:spacing w:val="9"/>
          <w:sz w:val="20"/>
          <w:szCs w:val="20"/>
          <w:lang w:val="en-US" w:eastAsia="zh-CN"/>
        </w:rPr>
        <w:t>所供产品</w:t>
      </w:r>
      <w:r>
        <w:rPr>
          <w:rFonts w:ascii="宋体" w:hAnsi="宋体" w:eastAsia="宋体" w:cs="宋体"/>
          <w:color w:val="auto"/>
          <w:spacing w:val="9"/>
          <w:sz w:val="20"/>
          <w:szCs w:val="20"/>
          <w:lang w:eastAsia="zh-CN"/>
        </w:rPr>
        <w:t>应取得国家有关的强制性认证、质量体系认证、具备有关部门批准的生产（经验、销售）许可证</w:t>
      </w:r>
      <w:r>
        <w:rPr>
          <w:rFonts w:ascii="宋体" w:hAnsi="宋体" w:eastAsia="宋体" w:cs="宋体"/>
          <w:color w:val="auto"/>
          <w:spacing w:val="7"/>
          <w:sz w:val="20"/>
          <w:szCs w:val="20"/>
          <w:lang w:eastAsia="zh-CN"/>
        </w:rPr>
        <w:t>书、质量合格证书等。</w:t>
      </w:r>
    </w:p>
    <w:p w14:paraId="424D4A86">
      <w:pPr>
        <w:spacing w:before="93" w:line="360" w:lineRule="auto"/>
        <w:ind w:left="7" w:right="73" w:firstLine="220"/>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5</w:t>
      </w:r>
      <w:r>
        <w:rPr>
          <w:rFonts w:ascii="宋体" w:hAnsi="宋体" w:eastAsia="宋体" w:cs="宋体"/>
          <w:color w:val="auto"/>
          <w:spacing w:val="9"/>
          <w:sz w:val="20"/>
          <w:szCs w:val="20"/>
          <w:lang w:eastAsia="zh-CN"/>
        </w:rPr>
        <w:t>）所供产品的各项功能指标和参数应符合验收标准，需方有权委托中国境内有资格的单位或机构（权威</w:t>
      </w:r>
      <w:r>
        <w:rPr>
          <w:rFonts w:ascii="宋体" w:hAnsi="宋体" w:eastAsia="宋体" w:cs="宋体"/>
          <w:color w:val="auto"/>
          <w:spacing w:val="7"/>
          <w:sz w:val="20"/>
          <w:szCs w:val="20"/>
          <w:lang w:eastAsia="zh-CN"/>
        </w:rPr>
        <w:t xml:space="preserve"> </w:t>
      </w:r>
      <w:r>
        <w:rPr>
          <w:rFonts w:ascii="宋体" w:hAnsi="宋体" w:eastAsia="宋体" w:cs="宋体"/>
          <w:color w:val="auto"/>
          <w:spacing w:val="12"/>
          <w:sz w:val="20"/>
          <w:szCs w:val="20"/>
          <w:lang w:eastAsia="zh-CN"/>
        </w:rPr>
        <w:t>专家）对设备的性能、指标进行检测或校核。以确定是否符合国家或行业的有关质量标准及要求</w:t>
      </w:r>
      <w:r>
        <w:rPr>
          <w:rFonts w:ascii="宋体" w:hAnsi="宋体" w:eastAsia="宋体" w:cs="宋体"/>
          <w:color w:val="auto"/>
          <w:spacing w:val="11"/>
          <w:sz w:val="20"/>
          <w:szCs w:val="20"/>
          <w:lang w:eastAsia="zh-CN"/>
        </w:rPr>
        <w:t>，其检测费</w:t>
      </w:r>
      <w:r>
        <w:rPr>
          <w:rFonts w:ascii="宋体" w:hAnsi="宋体" w:eastAsia="宋体" w:cs="宋体"/>
          <w:color w:val="auto"/>
          <w:sz w:val="20"/>
          <w:szCs w:val="20"/>
          <w:lang w:eastAsia="zh-CN"/>
        </w:rPr>
        <w:t xml:space="preserve"> </w:t>
      </w:r>
      <w:r>
        <w:rPr>
          <w:rFonts w:ascii="宋体" w:hAnsi="宋体" w:eastAsia="宋体" w:cs="宋体"/>
          <w:color w:val="auto"/>
          <w:spacing w:val="7"/>
          <w:sz w:val="20"/>
          <w:szCs w:val="20"/>
          <w:lang w:eastAsia="zh-CN"/>
        </w:rPr>
        <w:t>用由</w:t>
      </w: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承担。</w:t>
      </w:r>
    </w:p>
    <w:p w14:paraId="79123D80">
      <w:pPr>
        <w:spacing w:before="91" w:line="360" w:lineRule="auto"/>
        <w:ind w:left="8" w:right="73" w:firstLine="219"/>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6</w:t>
      </w:r>
      <w:r>
        <w:rPr>
          <w:rFonts w:ascii="宋体" w:hAnsi="宋体" w:eastAsia="宋体" w:cs="宋体"/>
          <w:color w:val="auto"/>
          <w:spacing w:val="8"/>
          <w:sz w:val="20"/>
          <w:szCs w:val="20"/>
          <w:lang w:eastAsia="zh-CN"/>
        </w:rPr>
        <w:t>）</w:t>
      </w:r>
      <w:r>
        <w:rPr>
          <w:rFonts w:hint="eastAsia" w:ascii="宋体" w:hAnsi="宋体" w:eastAsia="宋体" w:cs="宋体"/>
          <w:color w:val="auto"/>
          <w:spacing w:val="8"/>
          <w:sz w:val="20"/>
          <w:szCs w:val="20"/>
          <w:lang w:val="en-US" w:eastAsia="zh-CN"/>
        </w:rPr>
        <w:t>供应方</w:t>
      </w:r>
      <w:r>
        <w:rPr>
          <w:rFonts w:ascii="宋体" w:hAnsi="宋体" w:eastAsia="宋体" w:cs="宋体"/>
          <w:color w:val="auto"/>
          <w:spacing w:val="9"/>
          <w:sz w:val="20"/>
          <w:szCs w:val="20"/>
          <w:lang w:eastAsia="zh-CN"/>
        </w:rPr>
        <w:t>提供的</w:t>
      </w:r>
      <w:r>
        <w:rPr>
          <w:rFonts w:hint="eastAsia" w:ascii="宋体" w:hAnsi="宋体" w:eastAsia="宋体" w:cs="宋体"/>
          <w:color w:val="auto"/>
          <w:spacing w:val="9"/>
          <w:sz w:val="20"/>
          <w:szCs w:val="20"/>
          <w:lang w:val="en-US" w:eastAsia="zh-CN"/>
        </w:rPr>
        <w:t>产品</w:t>
      </w:r>
      <w:r>
        <w:rPr>
          <w:rFonts w:ascii="宋体" w:hAnsi="宋体" w:eastAsia="宋体" w:cs="宋体"/>
          <w:color w:val="auto"/>
          <w:spacing w:val="9"/>
          <w:sz w:val="20"/>
          <w:szCs w:val="20"/>
          <w:lang w:eastAsia="zh-CN"/>
        </w:rPr>
        <w:t>必须采用的是最成熟、最先进和可靠的技术，一旦发现采用的技</w:t>
      </w:r>
      <w:r>
        <w:rPr>
          <w:rFonts w:ascii="宋体" w:hAnsi="宋体" w:eastAsia="宋体" w:cs="宋体"/>
          <w:color w:val="auto"/>
          <w:spacing w:val="8"/>
          <w:sz w:val="20"/>
          <w:szCs w:val="20"/>
          <w:lang w:eastAsia="zh-CN"/>
        </w:rPr>
        <w:t>术（或配置）</w:t>
      </w:r>
      <w:r>
        <w:rPr>
          <w:rFonts w:ascii="宋体" w:hAnsi="宋体" w:eastAsia="宋体" w:cs="宋体"/>
          <w:color w:val="auto"/>
          <w:spacing w:val="-46"/>
          <w:sz w:val="20"/>
          <w:szCs w:val="20"/>
          <w:lang w:eastAsia="zh-CN"/>
        </w:rPr>
        <w:t xml:space="preserve"> </w:t>
      </w:r>
      <w:r>
        <w:rPr>
          <w:rFonts w:ascii="宋体" w:hAnsi="宋体" w:eastAsia="宋体" w:cs="宋体"/>
          <w:color w:val="auto"/>
          <w:spacing w:val="8"/>
          <w:sz w:val="20"/>
          <w:szCs w:val="20"/>
          <w:lang w:eastAsia="zh-CN"/>
        </w:rPr>
        <w:t>已被淘汰或即将被淘汰，由此而引起的一切法律、经济责任将由供方承担。</w:t>
      </w:r>
    </w:p>
    <w:p w14:paraId="23D86127">
      <w:pPr>
        <w:spacing w:before="95" w:line="360" w:lineRule="auto"/>
        <w:ind w:left="18"/>
        <w:rPr>
          <w:rFonts w:ascii="宋体" w:hAnsi="宋体" w:eastAsia="宋体" w:cs="宋体"/>
          <w:color w:val="auto"/>
          <w:sz w:val="20"/>
          <w:szCs w:val="20"/>
          <w:lang w:eastAsia="zh-CN"/>
        </w:rPr>
      </w:pPr>
      <w:r>
        <w:rPr>
          <w:rFonts w:ascii="Tahoma" w:hAnsi="Tahoma" w:eastAsia="Tahoma" w:cs="Tahoma"/>
          <w:b/>
          <w:bCs/>
          <w:color w:val="auto"/>
          <w:spacing w:val="7"/>
          <w:sz w:val="20"/>
          <w:szCs w:val="20"/>
          <w:lang w:eastAsia="zh-CN"/>
        </w:rPr>
        <w:t>1.2</w:t>
      </w:r>
      <w:r>
        <w:rPr>
          <w:rFonts w:ascii="Tahoma" w:hAnsi="Tahoma" w:eastAsia="Tahoma" w:cs="Tahoma"/>
          <w:b/>
          <w:bCs/>
          <w:color w:val="auto"/>
          <w:spacing w:val="-23"/>
          <w:sz w:val="20"/>
          <w:szCs w:val="20"/>
          <w:lang w:eastAsia="zh-CN"/>
        </w:rPr>
        <w:t xml:space="preserve"> </w:t>
      </w:r>
      <w:r>
        <w:rPr>
          <w:rFonts w:ascii="宋体" w:hAnsi="宋体" w:eastAsia="宋体" w:cs="宋体"/>
          <w:color w:val="auto"/>
          <w:spacing w:val="7"/>
          <w:sz w:val="20"/>
          <w:szCs w:val="20"/>
          <w:lang w:eastAsia="zh-CN"/>
          <w14:textOutline w14:w="3797" w14:cap="sq" w14:cmpd="sng" w14:algn="ctr">
            <w14:solidFill>
              <w14:srgbClr w14:val="000000"/>
            </w14:solidFill>
            <w14:prstDash w14:val="solid"/>
            <w14:bevel/>
          </w14:textOutline>
        </w:rPr>
        <w:t>、交货（调试、验收、移交）期</w:t>
      </w:r>
    </w:p>
    <w:p w14:paraId="133DF61A">
      <w:pPr>
        <w:spacing w:before="91" w:line="360" w:lineRule="auto"/>
        <w:ind w:left="6" w:right="73" w:firstLine="417"/>
        <w:rPr>
          <w:rFonts w:ascii="宋体" w:hAnsi="宋体" w:eastAsia="宋体" w:cs="宋体"/>
          <w:color w:val="auto"/>
          <w:sz w:val="20"/>
          <w:szCs w:val="20"/>
          <w:lang w:eastAsia="zh-CN"/>
        </w:rPr>
      </w:pPr>
      <w:r>
        <w:rPr>
          <w:rFonts w:hint="eastAsia" w:ascii="宋体" w:hAnsi="宋体" w:eastAsia="宋体" w:cs="宋体"/>
          <w:color w:val="auto"/>
          <w:spacing w:val="8"/>
          <w:sz w:val="20"/>
          <w:szCs w:val="20"/>
          <w:lang w:eastAsia="zh-CN"/>
        </w:rPr>
        <w:t>服务商</w:t>
      </w:r>
      <w:r>
        <w:rPr>
          <w:rFonts w:hint="eastAsia" w:ascii="宋体" w:hAnsi="宋体" w:eastAsia="宋体" w:cs="宋体"/>
          <w:color w:val="auto"/>
          <w:spacing w:val="8"/>
          <w:sz w:val="20"/>
          <w:szCs w:val="20"/>
          <w:lang w:val="en-US" w:eastAsia="zh-CN"/>
        </w:rPr>
        <w:t>必须于</w:t>
      </w:r>
      <w:r>
        <w:rPr>
          <w:rFonts w:hint="eastAsia" w:ascii="宋体" w:hAnsi="宋体" w:eastAsia="宋体" w:cs="宋体"/>
          <w:color w:val="auto"/>
          <w:spacing w:val="8"/>
          <w:sz w:val="20"/>
          <w:szCs w:val="20"/>
          <w:lang w:eastAsia="zh-CN"/>
        </w:rPr>
        <w:t>合同签订后10个月内完成项目前期调研设计、试运行、运营阶段（具体以合同约定为准）</w:t>
      </w:r>
      <w:r>
        <w:rPr>
          <w:rFonts w:ascii="宋体" w:hAnsi="宋体" w:eastAsia="宋体" w:cs="宋体"/>
          <w:color w:val="auto"/>
          <w:spacing w:val="8"/>
          <w:sz w:val="20"/>
          <w:szCs w:val="20"/>
          <w:lang w:eastAsia="zh-CN"/>
        </w:rPr>
        <w:t>，并完成设备或产品的安</w:t>
      </w:r>
      <w:r>
        <w:rPr>
          <w:rFonts w:ascii="宋体" w:hAnsi="宋体" w:eastAsia="宋体" w:cs="宋体"/>
          <w:color w:val="auto"/>
          <w:spacing w:val="7"/>
          <w:sz w:val="20"/>
          <w:szCs w:val="20"/>
          <w:lang w:eastAsia="zh-CN"/>
        </w:rPr>
        <w:t>装、调试、</w:t>
      </w:r>
      <w:r>
        <w:rPr>
          <w:rFonts w:ascii="宋体" w:hAnsi="宋体" w:eastAsia="宋体" w:cs="宋体"/>
          <w:color w:val="auto"/>
          <w:spacing w:val="12"/>
          <w:sz w:val="20"/>
          <w:szCs w:val="20"/>
          <w:lang w:eastAsia="zh-CN"/>
        </w:rPr>
        <w:t>试运行，验收、移交前维护、移交使设备或产品按期投入运行，逾期未交付使用招标人有权取消其</w:t>
      </w:r>
      <w:r>
        <w:rPr>
          <w:rFonts w:ascii="宋体" w:hAnsi="宋体" w:eastAsia="宋体" w:cs="宋体"/>
          <w:color w:val="auto"/>
          <w:spacing w:val="11"/>
          <w:sz w:val="20"/>
          <w:szCs w:val="20"/>
          <w:lang w:eastAsia="zh-CN"/>
        </w:rPr>
        <w:t>中标资格</w:t>
      </w:r>
      <w:r>
        <w:rPr>
          <w:rFonts w:ascii="宋体" w:hAnsi="宋体" w:eastAsia="宋体" w:cs="宋体"/>
          <w:color w:val="auto"/>
          <w:spacing w:val="8"/>
          <w:sz w:val="20"/>
          <w:szCs w:val="20"/>
          <w:lang w:eastAsia="zh-CN"/>
        </w:rPr>
        <w:t>并扣取全部履约保证金</w:t>
      </w:r>
    </w:p>
    <w:p w14:paraId="3E505E61">
      <w:pPr>
        <w:spacing w:before="92" w:line="360" w:lineRule="auto"/>
        <w:ind w:left="18"/>
        <w:rPr>
          <w:rFonts w:ascii="宋体" w:hAnsi="宋体" w:eastAsia="宋体" w:cs="宋体"/>
          <w:color w:val="auto"/>
          <w:sz w:val="20"/>
          <w:szCs w:val="20"/>
          <w:lang w:eastAsia="zh-CN"/>
        </w:rPr>
      </w:pPr>
      <w:r>
        <w:rPr>
          <w:rFonts w:ascii="Tahoma" w:hAnsi="Tahoma" w:eastAsia="Tahoma" w:cs="Tahoma"/>
          <w:b/>
          <w:bCs/>
          <w:color w:val="auto"/>
          <w:spacing w:val="5"/>
          <w:sz w:val="20"/>
          <w:szCs w:val="20"/>
          <w:lang w:eastAsia="zh-CN"/>
        </w:rPr>
        <w:t>1.3</w:t>
      </w:r>
      <w:r>
        <w:rPr>
          <w:rFonts w:ascii="Tahoma" w:hAnsi="Tahoma" w:eastAsia="Tahoma" w:cs="Tahoma"/>
          <w:b/>
          <w:bCs/>
          <w:color w:val="auto"/>
          <w:spacing w:val="-23"/>
          <w:sz w:val="20"/>
          <w:szCs w:val="20"/>
          <w:lang w:eastAsia="zh-CN"/>
        </w:rPr>
        <w:t xml:space="preserve"> </w:t>
      </w:r>
      <w:r>
        <w:rPr>
          <w:rFonts w:ascii="宋体" w:hAnsi="宋体" w:eastAsia="宋体" w:cs="宋体"/>
          <w:color w:val="auto"/>
          <w:spacing w:val="5"/>
          <w:sz w:val="20"/>
          <w:szCs w:val="20"/>
          <w:lang w:eastAsia="zh-CN"/>
          <w14:textOutline w14:w="3797" w14:cap="sq" w14:cmpd="sng" w14:algn="ctr">
            <w14:solidFill>
              <w14:srgbClr w14:val="000000"/>
            </w14:solidFill>
            <w14:prstDash w14:val="solid"/>
            <w14:bevel/>
          </w14:textOutline>
        </w:rPr>
        <w:t>、实施地点：</w:t>
      </w:r>
      <w:r>
        <w:rPr>
          <w:rFonts w:ascii="宋体" w:hAnsi="宋体" w:eastAsia="宋体" w:cs="宋体"/>
          <w:color w:val="auto"/>
          <w:spacing w:val="-53"/>
          <w:sz w:val="20"/>
          <w:szCs w:val="20"/>
          <w:lang w:eastAsia="zh-CN"/>
        </w:rPr>
        <w:t xml:space="preserve"> </w:t>
      </w:r>
      <w:r>
        <w:rPr>
          <w:rFonts w:ascii="宋体" w:hAnsi="宋体" w:eastAsia="宋体" w:cs="宋体"/>
          <w:color w:val="auto"/>
          <w:spacing w:val="5"/>
          <w:sz w:val="20"/>
          <w:szCs w:val="20"/>
          <w:lang w:eastAsia="zh-CN"/>
        </w:rPr>
        <w:t>由</w:t>
      </w:r>
      <w:r>
        <w:rPr>
          <w:rFonts w:hint="eastAsia" w:ascii="宋体" w:hAnsi="宋体" w:eastAsia="宋体" w:cs="宋体"/>
          <w:color w:val="auto"/>
          <w:spacing w:val="5"/>
          <w:sz w:val="20"/>
          <w:szCs w:val="20"/>
          <w:lang w:eastAsia="zh-CN"/>
        </w:rPr>
        <w:t>尼勒克县人民医院</w:t>
      </w:r>
      <w:r>
        <w:rPr>
          <w:rFonts w:ascii="宋体" w:hAnsi="宋体" w:eastAsia="宋体" w:cs="宋体"/>
          <w:color w:val="auto"/>
          <w:spacing w:val="5"/>
          <w:sz w:val="20"/>
          <w:szCs w:val="20"/>
          <w:lang w:eastAsia="zh-CN"/>
        </w:rPr>
        <w:t>指定（项目现场）。</w:t>
      </w:r>
    </w:p>
    <w:p w14:paraId="1A409796">
      <w:pPr>
        <w:spacing w:before="95" w:line="360" w:lineRule="auto"/>
        <w:ind w:left="7" w:right="70" w:firstLine="10"/>
        <w:rPr>
          <w:rFonts w:ascii="宋体" w:hAnsi="宋体" w:eastAsia="宋体" w:cs="宋体"/>
          <w:color w:val="auto"/>
          <w:sz w:val="20"/>
          <w:szCs w:val="20"/>
          <w:lang w:eastAsia="zh-CN"/>
        </w:rPr>
      </w:pPr>
      <w:r>
        <w:rPr>
          <w:rFonts w:ascii="Tahoma" w:hAnsi="Tahoma" w:eastAsia="Tahoma" w:cs="Tahoma"/>
          <w:b/>
          <w:bCs/>
          <w:color w:val="auto"/>
          <w:spacing w:val="8"/>
          <w:sz w:val="20"/>
          <w:szCs w:val="20"/>
          <w:lang w:eastAsia="zh-CN"/>
        </w:rPr>
        <w:t xml:space="preserve">1.4 </w:t>
      </w:r>
      <w:r>
        <w:rPr>
          <w:rFonts w:ascii="宋体" w:hAnsi="宋体" w:eastAsia="宋体" w:cs="宋体"/>
          <w:color w:val="auto"/>
          <w:spacing w:val="8"/>
          <w:sz w:val="20"/>
          <w:szCs w:val="20"/>
          <w:lang w:eastAsia="zh-CN"/>
          <w14:textOutline w14:w="3797" w14:cap="sq" w14:cmpd="sng" w14:algn="ctr">
            <w14:solidFill>
              <w14:srgbClr w14:val="000000"/>
            </w14:solidFill>
            <w14:prstDash w14:val="solid"/>
            <w14:bevel/>
          </w14:textOutline>
        </w:rPr>
        <w:t>采购标的的验收标准：</w:t>
      </w:r>
      <w:r>
        <w:rPr>
          <w:rFonts w:ascii="宋体" w:hAnsi="宋体" w:eastAsia="宋体" w:cs="宋体"/>
          <w:color w:val="auto"/>
          <w:spacing w:val="8"/>
          <w:sz w:val="20"/>
          <w:szCs w:val="20"/>
          <w:lang w:eastAsia="zh-CN"/>
        </w:rPr>
        <w:t>根据</w:t>
      </w:r>
      <w:r>
        <w:rPr>
          <w:rFonts w:ascii="宋体" w:hAnsi="宋体" w:eastAsia="宋体" w:cs="宋体"/>
          <w:color w:val="auto"/>
          <w:spacing w:val="7"/>
          <w:sz w:val="20"/>
          <w:szCs w:val="20"/>
          <w:lang w:eastAsia="zh-CN"/>
        </w:rPr>
        <w:t>国家或行业颁布的最新有关标准及招标文件规定的</w:t>
      </w:r>
      <w:r>
        <w:rPr>
          <w:rFonts w:ascii="宋体" w:hAnsi="宋体" w:eastAsia="宋体" w:cs="宋体"/>
          <w:color w:val="auto"/>
          <w:spacing w:val="8"/>
          <w:sz w:val="20"/>
          <w:szCs w:val="20"/>
          <w:lang w:eastAsia="zh-CN"/>
        </w:rPr>
        <w:t>技术参数、质量要求、性能指标等进行验收。</w:t>
      </w:r>
    </w:p>
    <w:p w14:paraId="4E3F407F">
      <w:pPr>
        <w:spacing w:before="92" w:line="360" w:lineRule="auto"/>
        <w:ind w:left="18"/>
        <w:rPr>
          <w:rFonts w:ascii="宋体" w:hAnsi="宋体" w:eastAsia="宋体" w:cs="宋体"/>
          <w:color w:val="auto"/>
          <w:sz w:val="20"/>
          <w:szCs w:val="20"/>
          <w:lang w:eastAsia="zh-CN"/>
        </w:rPr>
      </w:pPr>
      <w:r>
        <w:rPr>
          <w:rFonts w:ascii="Tahoma" w:hAnsi="Tahoma" w:eastAsia="Tahoma" w:cs="Tahoma"/>
          <w:b/>
          <w:bCs/>
          <w:color w:val="auto"/>
          <w:spacing w:val="5"/>
          <w:sz w:val="20"/>
          <w:szCs w:val="20"/>
          <w:lang w:eastAsia="zh-CN"/>
        </w:rPr>
        <w:t>1.5</w:t>
      </w:r>
      <w:r>
        <w:rPr>
          <w:rFonts w:ascii="Tahoma" w:hAnsi="Tahoma" w:eastAsia="Tahoma" w:cs="Tahoma"/>
          <w:b/>
          <w:bCs/>
          <w:color w:val="auto"/>
          <w:spacing w:val="-27"/>
          <w:sz w:val="20"/>
          <w:szCs w:val="20"/>
          <w:lang w:eastAsia="zh-CN"/>
        </w:rPr>
        <w:t xml:space="preserve"> </w:t>
      </w:r>
      <w:r>
        <w:rPr>
          <w:rFonts w:ascii="宋体" w:hAnsi="宋体" w:eastAsia="宋体" w:cs="宋体"/>
          <w:color w:val="auto"/>
          <w:spacing w:val="5"/>
          <w:sz w:val="20"/>
          <w:szCs w:val="20"/>
          <w:lang w:eastAsia="zh-CN"/>
          <w14:textOutline w14:w="3797" w14:cap="sq" w14:cmpd="sng" w14:algn="ctr">
            <w14:solidFill>
              <w14:srgbClr w14:val="000000"/>
            </w14:solidFill>
            <w14:prstDash w14:val="solid"/>
            <w14:bevel/>
          </w14:textOutline>
        </w:rPr>
        <w:t>、</w:t>
      </w:r>
      <w:r>
        <w:rPr>
          <w:rFonts w:hint="eastAsia" w:ascii="宋体" w:hAnsi="宋体" w:eastAsia="宋体" w:cs="宋体"/>
          <w:color w:val="auto"/>
          <w:spacing w:val="5"/>
          <w:sz w:val="20"/>
          <w:szCs w:val="20"/>
          <w:lang w:eastAsia="zh-CN"/>
          <w14:textOutline w14:w="3797" w14:cap="sq" w14:cmpd="sng" w14:algn="ctr">
            <w14:solidFill>
              <w14:srgbClr w14:val="000000"/>
            </w14:solidFill>
            <w14:prstDash w14:val="solid"/>
            <w14:bevel/>
          </w14:textOutline>
        </w:rPr>
        <w:t>技术资料和保密义务</w:t>
      </w:r>
    </w:p>
    <w:p w14:paraId="1E6651AB">
      <w:pPr>
        <w:spacing w:before="93" w:line="360" w:lineRule="auto"/>
        <w:ind w:left="7" w:right="73" w:firstLine="220"/>
        <w:rPr>
          <w:rFonts w:hint="eastAsia" w:ascii="Tahoma" w:hAnsi="Tahoma" w:eastAsia="Tahoma" w:cs="Tahoma"/>
          <w:color w:val="auto"/>
          <w:spacing w:val="9"/>
          <w:sz w:val="20"/>
          <w:szCs w:val="20"/>
          <w:lang w:eastAsia="zh-CN"/>
        </w:rPr>
      </w:pPr>
      <w:r>
        <w:rPr>
          <w:rFonts w:ascii="Tahoma" w:hAnsi="Tahoma" w:eastAsia="Tahoma" w:cs="Tahoma"/>
          <w:color w:val="auto"/>
          <w:spacing w:val="9"/>
          <w:sz w:val="20"/>
          <w:szCs w:val="20"/>
          <w:lang w:eastAsia="zh-CN"/>
        </w:rPr>
        <w:t>（1）</w:t>
      </w:r>
      <w:r>
        <w:rPr>
          <w:rFonts w:hint="eastAsia" w:ascii="Tahoma" w:hAnsi="Tahoma" w:eastAsia="Tahoma" w:cs="Tahoma"/>
          <w:color w:val="auto"/>
          <w:spacing w:val="9"/>
          <w:sz w:val="20"/>
          <w:szCs w:val="20"/>
          <w:lang w:val="en-US" w:eastAsia="zh-CN"/>
        </w:rPr>
        <w:t>供应方</w:t>
      </w:r>
      <w:r>
        <w:rPr>
          <w:rFonts w:hint="eastAsia" w:ascii="Tahoma" w:hAnsi="Tahoma" w:eastAsia="Tahoma" w:cs="Tahoma"/>
          <w:color w:val="auto"/>
          <w:spacing w:val="9"/>
          <w:sz w:val="20"/>
          <w:szCs w:val="20"/>
          <w:lang w:eastAsia="zh-CN"/>
        </w:rPr>
        <w:t>有权依据合同约定和项目需要，向甲方了解有关情况，调阅有关资料等，甲方应予积极配合；</w:t>
      </w:r>
    </w:p>
    <w:p w14:paraId="55EE81B2">
      <w:pPr>
        <w:spacing w:before="93" w:line="360" w:lineRule="auto"/>
        <w:ind w:left="7" w:right="73" w:firstLine="220"/>
        <w:rPr>
          <w:rFonts w:hint="eastAsia" w:ascii="Tahoma" w:hAnsi="Tahoma" w:eastAsia="Tahoma" w:cs="Tahoma"/>
          <w:color w:val="auto"/>
          <w:spacing w:val="9"/>
          <w:sz w:val="20"/>
          <w:szCs w:val="20"/>
          <w:lang w:eastAsia="zh-CN"/>
        </w:rPr>
      </w:pPr>
      <w:r>
        <w:rPr>
          <w:rFonts w:hint="eastAsia" w:ascii="Tahoma" w:hAnsi="Tahoma" w:eastAsia="Tahoma" w:cs="Tahoma"/>
          <w:color w:val="auto"/>
          <w:spacing w:val="9"/>
          <w:sz w:val="20"/>
          <w:szCs w:val="20"/>
          <w:lang w:eastAsia="zh-CN"/>
        </w:rPr>
        <w:t>（</w:t>
      </w:r>
      <w:r>
        <w:rPr>
          <w:rFonts w:hint="eastAsia" w:ascii="Tahoma" w:hAnsi="Tahoma" w:eastAsia="Tahoma" w:cs="Tahoma"/>
          <w:color w:val="auto"/>
          <w:spacing w:val="9"/>
          <w:sz w:val="20"/>
          <w:szCs w:val="20"/>
          <w:lang w:val="en-US" w:eastAsia="zh-CN"/>
        </w:rPr>
        <w:t>2</w:t>
      </w:r>
      <w:r>
        <w:rPr>
          <w:rFonts w:hint="eastAsia" w:ascii="Tahoma" w:hAnsi="Tahoma" w:eastAsia="Tahoma" w:cs="Tahoma"/>
          <w:color w:val="auto"/>
          <w:spacing w:val="9"/>
          <w:sz w:val="20"/>
          <w:szCs w:val="20"/>
          <w:lang w:eastAsia="zh-CN"/>
        </w:rPr>
        <w:t>）</w:t>
      </w:r>
      <w:r>
        <w:rPr>
          <w:rFonts w:hint="eastAsia" w:ascii="Tahoma" w:hAnsi="Tahoma" w:eastAsia="Tahoma" w:cs="Tahoma"/>
          <w:color w:val="auto"/>
          <w:spacing w:val="9"/>
          <w:sz w:val="20"/>
          <w:szCs w:val="20"/>
          <w:lang w:val="en-US" w:eastAsia="zh-CN"/>
        </w:rPr>
        <w:t>供应方</w:t>
      </w:r>
      <w:r>
        <w:rPr>
          <w:rFonts w:hint="eastAsia" w:ascii="Tahoma" w:hAnsi="Tahoma" w:eastAsia="Tahoma" w:cs="Tahoma"/>
          <w:color w:val="auto"/>
          <w:spacing w:val="9"/>
          <w:sz w:val="20"/>
          <w:szCs w:val="20"/>
          <w:lang w:eastAsia="zh-CN"/>
        </w:rPr>
        <w:t>有义务妥善保管和保护由甲方提供的前款信息和资料等；</w:t>
      </w:r>
    </w:p>
    <w:p w14:paraId="00940FF2">
      <w:pPr>
        <w:spacing w:before="93" w:line="360" w:lineRule="auto"/>
        <w:ind w:left="7" w:right="73" w:firstLine="220"/>
        <w:rPr>
          <w:rFonts w:hint="eastAsia" w:ascii="Tahoma" w:hAnsi="Tahoma" w:eastAsia="Tahoma" w:cs="Tahoma"/>
          <w:color w:val="auto"/>
          <w:spacing w:val="9"/>
          <w:sz w:val="20"/>
          <w:szCs w:val="20"/>
          <w:lang w:eastAsia="zh-CN"/>
        </w:rPr>
      </w:pPr>
      <w:r>
        <w:rPr>
          <w:rFonts w:hint="eastAsia" w:ascii="Tahoma" w:hAnsi="Tahoma" w:eastAsia="Tahoma" w:cs="Tahoma"/>
          <w:color w:val="auto"/>
          <w:spacing w:val="9"/>
          <w:sz w:val="20"/>
          <w:szCs w:val="20"/>
          <w:lang w:eastAsia="zh-CN"/>
        </w:rPr>
        <w:t>（</w:t>
      </w:r>
      <w:r>
        <w:rPr>
          <w:rFonts w:hint="eastAsia" w:ascii="Tahoma" w:hAnsi="Tahoma" w:eastAsia="Tahoma" w:cs="Tahoma"/>
          <w:color w:val="auto"/>
          <w:spacing w:val="9"/>
          <w:sz w:val="20"/>
          <w:szCs w:val="20"/>
          <w:lang w:val="en-US" w:eastAsia="zh-CN"/>
        </w:rPr>
        <w:t>3</w:t>
      </w:r>
      <w:r>
        <w:rPr>
          <w:rFonts w:hint="eastAsia" w:ascii="Tahoma" w:hAnsi="Tahoma" w:eastAsia="Tahoma" w:cs="Tahoma"/>
          <w:color w:val="auto"/>
          <w:spacing w:val="9"/>
          <w:sz w:val="20"/>
          <w:szCs w:val="20"/>
          <w:lang w:eastAsia="zh-CN"/>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835F4F1">
      <w:pPr>
        <w:spacing w:before="91" w:line="360" w:lineRule="auto"/>
        <w:ind w:right="73"/>
        <w:rPr>
          <w:rFonts w:ascii="宋体" w:hAnsi="宋体" w:eastAsia="宋体" w:cs="宋体"/>
          <w:color w:val="auto"/>
          <w:sz w:val="20"/>
          <w:szCs w:val="20"/>
          <w:lang w:eastAsia="zh-CN"/>
        </w:rPr>
      </w:pPr>
      <w:r>
        <w:rPr>
          <w:rFonts w:ascii="Tahoma" w:hAnsi="Tahoma" w:eastAsia="Tahoma" w:cs="Tahoma"/>
          <w:b/>
          <w:bCs/>
          <w:color w:val="auto"/>
          <w:sz w:val="20"/>
          <w:szCs w:val="20"/>
          <w:lang w:eastAsia="zh-CN"/>
        </w:rPr>
        <w:t>1.6</w:t>
      </w:r>
      <w:r>
        <w:rPr>
          <w:rFonts w:ascii="Tahoma" w:hAnsi="Tahoma" w:eastAsia="Tahoma" w:cs="Tahoma"/>
          <w:b/>
          <w:bCs/>
          <w:color w:val="auto"/>
          <w:spacing w:val="-32"/>
          <w:sz w:val="20"/>
          <w:szCs w:val="20"/>
          <w:lang w:eastAsia="zh-CN"/>
        </w:rPr>
        <w:t xml:space="preserve"> </w:t>
      </w:r>
      <w:r>
        <w:rPr>
          <w:rFonts w:ascii="宋体" w:hAnsi="宋体" w:eastAsia="宋体" w:cs="宋体"/>
          <w:color w:val="auto"/>
          <w:sz w:val="20"/>
          <w:szCs w:val="20"/>
          <w:lang w:eastAsia="zh-CN"/>
          <w14:textOutline w14:w="3797" w14:cap="sq" w14:cmpd="sng" w14:algn="ctr">
            <w14:solidFill>
              <w14:srgbClr w14:val="000000"/>
            </w14:solidFill>
            <w14:prstDash w14:val="solid"/>
            <w14:bevel/>
          </w14:textOutline>
        </w:rPr>
        <w:t>、报价</w:t>
      </w:r>
    </w:p>
    <w:p w14:paraId="34F6C89C">
      <w:pPr>
        <w:spacing w:before="96" w:line="360" w:lineRule="auto"/>
        <w:ind w:left="8" w:right="70" w:firstLine="219"/>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1</w:t>
      </w:r>
      <w:r>
        <w:rPr>
          <w:rFonts w:ascii="宋体" w:hAnsi="宋体" w:eastAsia="宋体" w:cs="宋体"/>
          <w:color w:val="auto"/>
          <w:spacing w:val="9"/>
          <w:sz w:val="20"/>
          <w:szCs w:val="20"/>
          <w:lang w:eastAsia="zh-CN"/>
        </w:rPr>
        <w:t>）在技术要求不低于招标文件中要求的条件下，按《</w:t>
      </w:r>
      <w:r>
        <w:rPr>
          <w:rFonts w:hint="eastAsia" w:ascii="宋体" w:hAnsi="宋体" w:eastAsia="宋体" w:cs="宋体"/>
          <w:color w:val="auto"/>
          <w:spacing w:val="9"/>
          <w:sz w:val="20"/>
          <w:szCs w:val="20"/>
          <w:lang w:eastAsia="zh-CN"/>
        </w:rPr>
        <w:t>货物（设备或产品）采购清单</w:t>
      </w:r>
      <w:r>
        <w:rPr>
          <w:rFonts w:ascii="宋体" w:hAnsi="宋体" w:eastAsia="宋体" w:cs="宋体"/>
          <w:color w:val="auto"/>
          <w:spacing w:val="9"/>
          <w:sz w:val="20"/>
          <w:szCs w:val="20"/>
          <w:lang w:eastAsia="zh-CN"/>
        </w:rPr>
        <w:t>》中提供的清</w:t>
      </w:r>
      <w:r>
        <w:rPr>
          <w:rFonts w:ascii="宋体" w:hAnsi="宋体" w:eastAsia="宋体" w:cs="宋体"/>
          <w:color w:val="auto"/>
          <w:spacing w:val="8"/>
          <w:sz w:val="20"/>
          <w:szCs w:val="20"/>
          <w:lang w:eastAsia="zh-CN"/>
        </w:rPr>
        <w:t>单进行报价，报价均采用：人民币报价。</w:t>
      </w:r>
    </w:p>
    <w:p w14:paraId="25B5437B">
      <w:pPr>
        <w:spacing w:before="96" w:line="360" w:lineRule="auto"/>
        <w:ind w:left="6" w:right="73" w:firstLine="221"/>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2</w:t>
      </w:r>
      <w:r>
        <w:rPr>
          <w:rFonts w:ascii="宋体" w:hAnsi="宋体" w:eastAsia="宋体" w:cs="宋体"/>
          <w:color w:val="auto"/>
          <w:spacing w:val="8"/>
          <w:sz w:val="20"/>
          <w:szCs w:val="20"/>
          <w:lang w:eastAsia="zh-CN"/>
        </w:rPr>
        <w:t>）其他费用的处理：招标文件中未列明而</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认为必须列入的费用（如：安装费、配套附件</w:t>
      </w:r>
      <w:r>
        <w:rPr>
          <w:rFonts w:hint="eastAsia" w:ascii="宋体" w:hAnsi="宋体" w:eastAsia="宋体" w:cs="宋体"/>
          <w:color w:val="auto"/>
          <w:spacing w:val="8"/>
          <w:sz w:val="20"/>
          <w:szCs w:val="20"/>
          <w:lang w:eastAsia="zh-CN"/>
        </w:rPr>
        <w:t>、</w:t>
      </w:r>
      <w:r>
        <w:rPr>
          <w:rFonts w:hint="eastAsia" w:ascii="宋体" w:hAnsi="宋体" w:eastAsia="宋体" w:cs="宋体"/>
          <w:color w:val="auto"/>
          <w:spacing w:val="8"/>
          <w:sz w:val="20"/>
          <w:szCs w:val="20"/>
          <w:lang w:val="en-US" w:eastAsia="zh-CN"/>
        </w:rPr>
        <w:t>培训费</w:t>
      </w:r>
      <w:r>
        <w:rPr>
          <w:rFonts w:ascii="宋体" w:hAnsi="宋体" w:eastAsia="宋体" w:cs="宋体"/>
          <w:color w:val="auto"/>
          <w:spacing w:val="8"/>
          <w:sz w:val="20"/>
          <w:szCs w:val="20"/>
          <w:lang w:eastAsia="zh-CN"/>
        </w:rPr>
        <w:t>等）</w:t>
      </w:r>
      <w:r>
        <w:rPr>
          <w:rFonts w:ascii="宋体" w:hAnsi="宋体" w:eastAsia="宋体" w:cs="宋体"/>
          <w:color w:val="auto"/>
          <w:spacing w:val="-46"/>
          <w:sz w:val="20"/>
          <w:szCs w:val="20"/>
          <w:lang w:eastAsia="zh-CN"/>
        </w:rPr>
        <w:t xml:space="preserve"> </w:t>
      </w:r>
      <w:r>
        <w:rPr>
          <w:rFonts w:ascii="宋体" w:hAnsi="宋体" w:eastAsia="宋体" w:cs="宋体"/>
          <w:color w:val="auto"/>
          <w:spacing w:val="8"/>
          <w:sz w:val="20"/>
          <w:szCs w:val="20"/>
          <w:lang w:eastAsia="zh-CN"/>
        </w:rPr>
        <w:t>由</w:t>
      </w:r>
      <w:r>
        <w:rPr>
          <w:rFonts w:hint="eastAsia" w:ascii="宋体" w:hAnsi="宋体" w:eastAsia="宋体" w:cs="宋体"/>
          <w:color w:val="auto"/>
          <w:spacing w:val="8"/>
          <w:sz w:val="20"/>
          <w:szCs w:val="20"/>
          <w:lang w:val="en-US" w:eastAsia="zh-CN"/>
        </w:rPr>
        <w:t>服务商</w:t>
      </w:r>
      <w:r>
        <w:rPr>
          <w:rFonts w:ascii="宋体" w:hAnsi="宋体" w:eastAsia="宋体" w:cs="宋体"/>
          <w:color w:val="auto"/>
          <w:spacing w:val="7"/>
          <w:sz w:val="20"/>
          <w:szCs w:val="20"/>
          <w:lang w:eastAsia="zh-CN"/>
        </w:rPr>
        <w:t>列入报价中。</w:t>
      </w:r>
    </w:p>
    <w:p w14:paraId="68BA81FE">
      <w:pPr>
        <w:spacing w:before="95" w:line="360" w:lineRule="auto"/>
        <w:ind w:left="18"/>
        <w:rPr>
          <w:rFonts w:ascii="宋体" w:hAnsi="宋体" w:eastAsia="宋体" w:cs="宋体"/>
          <w:color w:val="auto"/>
          <w:sz w:val="20"/>
          <w:szCs w:val="20"/>
          <w:lang w:eastAsia="zh-CN"/>
        </w:rPr>
      </w:pPr>
      <w:r>
        <w:rPr>
          <w:rFonts w:ascii="Tahoma" w:hAnsi="Tahoma" w:eastAsia="Tahoma" w:cs="Tahoma"/>
          <w:b/>
          <w:bCs/>
          <w:color w:val="auto"/>
          <w:spacing w:val="5"/>
          <w:sz w:val="20"/>
          <w:szCs w:val="20"/>
          <w:lang w:eastAsia="zh-CN"/>
        </w:rPr>
        <w:t>1.7</w:t>
      </w:r>
      <w:r>
        <w:rPr>
          <w:rFonts w:ascii="Tahoma" w:hAnsi="Tahoma" w:eastAsia="Tahoma" w:cs="Tahoma"/>
          <w:b/>
          <w:bCs/>
          <w:color w:val="auto"/>
          <w:spacing w:val="-34"/>
          <w:sz w:val="20"/>
          <w:szCs w:val="20"/>
          <w:lang w:eastAsia="zh-CN"/>
        </w:rPr>
        <w:t xml:space="preserve"> </w:t>
      </w:r>
      <w:r>
        <w:rPr>
          <w:rFonts w:ascii="宋体" w:hAnsi="宋体" w:eastAsia="宋体" w:cs="宋体"/>
          <w:color w:val="auto"/>
          <w:spacing w:val="5"/>
          <w:sz w:val="20"/>
          <w:szCs w:val="20"/>
          <w:lang w:eastAsia="zh-CN"/>
          <w14:textOutline w14:w="3797" w14:cap="sq" w14:cmpd="sng" w14:algn="ctr">
            <w14:solidFill>
              <w14:srgbClr w14:val="000000"/>
            </w14:solidFill>
            <w14:prstDash w14:val="solid"/>
            <w14:bevel/>
          </w14:textOutline>
        </w:rPr>
        <w:t>、付款方式及比例</w:t>
      </w:r>
    </w:p>
    <w:p w14:paraId="79B7F356">
      <w:pPr>
        <w:spacing w:before="92" w:line="360" w:lineRule="auto"/>
        <w:ind w:left="7" w:right="2" w:firstLine="220"/>
        <w:jc w:val="both"/>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本采购项目合同价款的支付方式为：供方与中标单位签订合同，经批准合同生效后，按合同约定的支付方式进行支付，可能存在延期支付，供方需承担延期支付的风险，敬请各</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注意！</w:t>
      </w:r>
    </w:p>
    <w:p w14:paraId="5A94FAC3">
      <w:pPr>
        <w:spacing w:line="360" w:lineRule="auto"/>
        <w:ind w:left="430"/>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如合同另有约定的，则从其约定。</w:t>
      </w:r>
    </w:p>
    <w:p w14:paraId="072ACCBB">
      <w:pPr>
        <w:spacing w:before="90" w:line="360" w:lineRule="auto"/>
        <w:ind w:left="18"/>
        <w:rPr>
          <w:rFonts w:ascii="宋体" w:hAnsi="宋体" w:eastAsia="宋体" w:cs="宋体"/>
          <w:color w:val="auto"/>
          <w:sz w:val="20"/>
          <w:szCs w:val="20"/>
          <w:lang w:eastAsia="zh-CN"/>
        </w:rPr>
      </w:pPr>
      <w:r>
        <w:rPr>
          <w:rFonts w:ascii="Tahoma" w:hAnsi="Tahoma" w:eastAsia="Tahoma" w:cs="Tahoma"/>
          <w:b/>
          <w:bCs/>
          <w:color w:val="auto"/>
          <w:spacing w:val="2"/>
          <w:sz w:val="20"/>
          <w:szCs w:val="20"/>
          <w:lang w:eastAsia="zh-CN"/>
        </w:rPr>
        <w:t>1.8</w:t>
      </w:r>
      <w:r>
        <w:rPr>
          <w:rFonts w:ascii="Tahoma" w:hAnsi="Tahoma" w:eastAsia="Tahoma" w:cs="Tahoma"/>
          <w:b/>
          <w:bCs/>
          <w:color w:val="auto"/>
          <w:spacing w:val="-28"/>
          <w:sz w:val="20"/>
          <w:szCs w:val="20"/>
          <w:lang w:eastAsia="zh-CN"/>
        </w:rPr>
        <w:t xml:space="preserve"> </w:t>
      </w:r>
      <w:r>
        <w:rPr>
          <w:rFonts w:ascii="宋体" w:hAnsi="宋体" w:eastAsia="宋体" w:cs="宋体"/>
          <w:color w:val="auto"/>
          <w:spacing w:val="2"/>
          <w:sz w:val="20"/>
          <w:szCs w:val="20"/>
          <w:lang w:eastAsia="zh-CN"/>
          <w14:textOutline w14:w="3797" w14:cap="sq" w14:cmpd="sng" w14:algn="ctr">
            <w14:solidFill>
              <w14:srgbClr w14:val="000000"/>
            </w14:solidFill>
            <w14:prstDash w14:val="solid"/>
            <w14:bevel/>
          </w14:textOutline>
        </w:rPr>
        <w:t>、技术文件</w:t>
      </w:r>
    </w:p>
    <w:p w14:paraId="14BE3110">
      <w:pPr>
        <w:spacing w:before="92" w:line="360" w:lineRule="auto"/>
        <w:ind w:left="7" w:right="2" w:firstLine="220"/>
        <w:jc w:val="both"/>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1</w:t>
      </w:r>
      <w:r>
        <w:rPr>
          <w:rFonts w:ascii="宋体" w:hAnsi="宋体" w:eastAsia="宋体" w:cs="宋体"/>
          <w:color w:val="auto"/>
          <w:spacing w:val="9"/>
          <w:sz w:val="20"/>
          <w:szCs w:val="20"/>
          <w:lang w:eastAsia="zh-CN"/>
        </w:rPr>
        <w:t>）为确保供货设备的验收、运行及维护，</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按《通用合同条款》、《专用合同条款》的有关规定，向用户提供完整的使用说明手册、维护保养（各类图纸、光盘</w:t>
      </w:r>
      <w:r>
        <w:rPr>
          <w:rFonts w:ascii="宋体" w:hAnsi="宋体" w:eastAsia="宋体" w:cs="宋体"/>
          <w:color w:val="auto"/>
          <w:spacing w:val="8"/>
          <w:sz w:val="20"/>
          <w:szCs w:val="20"/>
          <w:lang w:eastAsia="zh-CN"/>
        </w:rPr>
        <w:t>，如有密码，则密码开放）等技术文件，</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并对所提供的全部技术资料的准确性和适用性负责。</w:t>
      </w:r>
    </w:p>
    <w:p w14:paraId="43800557">
      <w:pPr>
        <w:spacing w:before="95" w:line="360" w:lineRule="auto"/>
        <w:ind w:left="7" w:right="56" w:firstLine="220"/>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2</w:t>
      </w:r>
      <w:r>
        <w:rPr>
          <w:rFonts w:ascii="宋体" w:hAnsi="宋体" w:eastAsia="宋体" w:cs="宋体"/>
          <w:color w:val="auto"/>
          <w:spacing w:val="9"/>
          <w:sz w:val="20"/>
          <w:szCs w:val="20"/>
          <w:lang w:eastAsia="zh-CN"/>
        </w:rPr>
        <w:t>）供方提供的文件和资料能保证满足购方进行操作、维护的需要。在合同签订后将按购方要求</w:t>
      </w:r>
      <w:r>
        <w:rPr>
          <w:rFonts w:ascii="宋体" w:hAnsi="宋体" w:eastAsia="宋体" w:cs="宋体"/>
          <w:color w:val="auto"/>
          <w:spacing w:val="8"/>
          <w:sz w:val="20"/>
          <w:szCs w:val="20"/>
          <w:lang w:eastAsia="zh-CN"/>
        </w:rPr>
        <w:t>提供所有技术文件和有关技术资料。</w:t>
      </w:r>
    </w:p>
    <w:p w14:paraId="59B65460">
      <w:pPr>
        <w:spacing w:before="93" w:line="360" w:lineRule="auto"/>
        <w:ind w:left="18"/>
        <w:rPr>
          <w:rFonts w:ascii="宋体" w:hAnsi="宋体" w:eastAsia="宋体" w:cs="宋体"/>
          <w:color w:val="auto"/>
          <w:sz w:val="20"/>
          <w:szCs w:val="20"/>
          <w:lang w:eastAsia="zh-CN"/>
        </w:rPr>
      </w:pPr>
      <w:r>
        <w:rPr>
          <w:rFonts w:ascii="Tahoma" w:hAnsi="Tahoma" w:eastAsia="Tahoma" w:cs="Tahoma"/>
          <w:b/>
          <w:bCs/>
          <w:color w:val="auto"/>
          <w:sz w:val="20"/>
          <w:szCs w:val="20"/>
          <w:lang w:eastAsia="zh-CN"/>
        </w:rPr>
        <w:t>1.9</w:t>
      </w:r>
      <w:r>
        <w:rPr>
          <w:rFonts w:ascii="Tahoma" w:hAnsi="Tahoma" w:eastAsia="Tahoma" w:cs="Tahoma"/>
          <w:b/>
          <w:bCs/>
          <w:color w:val="auto"/>
          <w:spacing w:val="-32"/>
          <w:sz w:val="20"/>
          <w:szCs w:val="20"/>
          <w:lang w:eastAsia="zh-CN"/>
        </w:rPr>
        <w:t xml:space="preserve"> </w:t>
      </w:r>
      <w:r>
        <w:rPr>
          <w:rFonts w:ascii="宋体" w:hAnsi="宋体" w:eastAsia="宋体" w:cs="宋体"/>
          <w:color w:val="auto"/>
          <w:sz w:val="20"/>
          <w:szCs w:val="20"/>
          <w:lang w:eastAsia="zh-CN"/>
          <w14:textOutline w14:w="3797" w14:cap="sq" w14:cmpd="sng" w14:algn="ctr">
            <w14:solidFill>
              <w14:srgbClr w14:val="000000"/>
            </w14:solidFill>
            <w14:prstDash w14:val="solid"/>
            <w14:bevel/>
          </w14:textOutline>
        </w:rPr>
        <w:t>、培训</w:t>
      </w:r>
    </w:p>
    <w:p w14:paraId="30D0B536">
      <w:pPr>
        <w:spacing w:before="93" w:line="360" w:lineRule="auto"/>
        <w:ind w:left="7" w:firstLine="220"/>
        <w:rPr>
          <w:rFonts w:ascii="宋体" w:hAnsi="宋体" w:eastAsia="宋体" w:cs="宋体"/>
          <w:color w:val="auto"/>
          <w:sz w:val="20"/>
          <w:szCs w:val="20"/>
          <w:u w:val="none"/>
          <w:lang w:eastAsia="zh-CN"/>
        </w:rPr>
      </w:pPr>
      <w:r>
        <w:rPr>
          <w:rFonts w:ascii="宋体" w:hAnsi="宋体" w:eastAsia="宋体" w:cs="宋体"/>
          <w:color w:val="auto"/>
          <w:spacing w:val="6"/>
          <w:sz w:val="20"/>
          <w:szCs w:val="20"/>
          <w:lang w:eastAsia="zh-CN"/>
        </w:rPr>
        <w:t>（</w:t>
      </w:r>
      <w:r>
        <w:rPr>
          <w:rFonts w:ascii="Tahoma" w:hAnsi="Tahoma" w:eastAsia="Tahoma" w:cs="Tahoma"/>
          <w:color w:val="auto"/>
          <w:spacing w:val="6"/>
          <w:sz w:val="20"/>
          <w:szCs w:val="20"/>
          <w:lang w:eastAsia="zh-CN"/>
        </w:rPr>
        <w:t>1</w:t>
      </w:r>
      <w:r>
        <w:rPr>
          <w:rFonts w:ascii="宋体" w:hAnsi="宋体" w:eastAsia="宋体" w:cs="宋体"/>
          <w:color w:val="auto"/>
          <w:spacing w:val="6"/>
          <w:sz w:val="20"/>
          <w:szCs w:val="20"/>
          <w:lang w:eastAsia="zh-CN"/>
        </w:rPr>
        <w:t>）供方将对采购方提供技术培训，购方技术人员（业务人</w:t>
      </w:r>
      <w:r>
        <w:rPr>
          <w:rFonts w:ascii="宋体" w:hAnsi="宋体" w:eastAsia="宋体" w:cs="宋体"/>
          <w:color w:val="auto"/>
          <w:spacing w:val="6"/>
          <w:sz w:val="20"/>
          <w:szCs w:val="20"/>
          <w:u w:val="none"/>
          <w:lang w:eastAsia="zh-CN"/>
        </w:rPr>
        <w:t>员）在</w:t>
      </w:r>
      <w:r>
        <w:rPr>
          <w:rFonts w:hint="eastAsia" w:ascii="宋体" w:hAnsi="宋体" w:eastAsia="宋体" w:cs="宋体"/>
          <w:color w:val="auto"/>
          <w:spacing w:val="6"/>
          <w:sz w:val="20"/>
          <w:szCs w:val="20"/>
          <w:u w:val="none"/>
          <w:lang w:val="en-US" w:eastAsia="zh-CN"/>
        </w:rPr>
        <w:t>产品</w:t>
      </w:r>
      <w:r>
        <w:rPr>
          <w:rFonts w:ascii="宋体" w:hAnsi="宋体" w:eastAsia="宋体" w:cs="宋体"/>
          <w:color w:val="auto"/>
          <w:spacing w:val="6"/>
          <w:sz w:val="20"/>
          <w:szCs w:val="20"/>
          <w:u w:val="none"/>
          <w:lang w:eastAsia="zh-CN"/>
        </w:rPr>
        <w:t>操作、维护等各方</w:t>
      </w:r>
      <w:r>
        <w:rPr>
          <w:rFonts w:ascii="宋体" w:hAnsi="宋体" w:eastAsia="宋体" w:cs="宋体"/>
          <w:color w:val="auto"/>
          <w:spacing w:val="5"/>
          <w:sz w:val="20"/>
          <w:szCs w:val="20"/>
          <w:u w:val="none"/>
          <w:lang w:eastAsia="zh-CN"/>
        </w:rPr>
        <w:t>面将受到培训，</w:t>
      </w:r>
      <w:r>
        <w:rPr>
          <w:rFonts w:ascii="宋体" w:hAnsi="宋体" w:eastAsia="宋体" w:cs="宋体"/>
          <w:color w:val="auto"/>
          <w:sz w:val="20"/>
          <w:szCs w:val="20"/>
          <w:u w:val="none"/>
          <w:lang w:eastAsia="zh-CN"/>
        </w:rPr>
        <w:t xml:space="preserve"> </w:t>
      </w:r>
      <w:r>
        <w:rPr>
          <w:rFonts w:ascii="宋体" w:hAnsi="宋体" w:eastAsia="宋体" w:cs="宋体"/>
          <w:color w:val="auto"/>
          <w:spacing w:val="7"/>
          <w:sz w:val="20"/>
          <w:szCs w:val="20"/>
          <w:u w:val="none"/>
          <w:lang w:eastAsia="zh-CN"/>
        </w:rPr>
        <w:t>使他们掌握操作、运行、</w:t>
      </w:r>
      <w:r>
        <w:rPr>
          <w:rFonts w:ascii="宋体" w:hAnsi="宋体" w:eastAsia="宋体" w:cs="宋体"/>
          <w:color w:val="auto"/>
          <w:spacing w:val="-45"/>
          <w:sz w:val="20"/>
          <w:szCs w:val="20"/>
          <w:u w:val="none"/>
          <w:lang w:eastAsia="zh-CN"/>
        </w:rPr>
        <w:t xml:space="preserve"> </w:t>
      </w:r>
      <w:r>
        <w:rPr>
          <w:rFonts w:ascii="宋体" w:hAnsi="宋体" w:eastAsia="宋体" w:cs="宋体"/>
          <w:color w:val="auto"/>
          <w:spacing w:val="7"/>
          <w:sz w:val="20"/>
          <w:szCs w:val="20"/>
          <w:u w:val="none"/>
          <w:lang w:eastAsia="zh-CN"/>
        </w:rPr>
        <w:t>日常管理、检查、维护等技能。</w:t>
      </w:r>
    </w:p>
    <w:p w14:paraId="7D84C603">
      <w:pPr>
        <w:spacing w:before="91" w:line="360" w:lineRule="auto"/>
        <w:ind w:left="6" w:right="57" w:firstLine="222"/>
        <w:rPr>
          <w:rFonts w:ascii="宋体" w:hAnsi="宋体" w:eastAsia="宋体" w:cs="宋体"/>
          <w:color w:val="auto"/>
          <w:sz w:val="20"/>
          <w:szCs w:val="20"/>
          <w:lang w:eastAsia="zh-CN"/>
        </w:rPr>
      </w:pPr>
      <w:r>
        <w:rPr>
          <w:rFonts w:ascii="宋体" w:hAnsi="宋体" w:eastAsia="宋体" w:cs="宋体"/>
          <w:color w:val="auto"/>
          <w:spacing w:val="11"/>
          <w:sz w:val="20"/>
          <w:szCs w:val="20"/>
          <w:lang w:eastAsia="zh-CN"/>
        </w:rPr>
        <w:t>（</w:t>
      </w:r>
      <w:r>
        <w:rPr>
          <w:rFonts w:ascii="Tahoma" w:hAnsi="Tahoma" w:eastAsia="Tahoma" w:cs="Tahoma"/>
          <w:color w:val="auto"/>
          <w:spacing w:val="11"/>
          <w:sz w:val="20"/>
          <w:szCs w:val="20"/>
          <w:lang w:eastAsia="zh-CN"/>
        </w:rPr>
        <w:t>2</w:t>
      </w:r>
      <w:r>
        <w:rPr>
          <w:rFonts w:ascii="宋体" w:hAnsi="宋体" w:eastAsia="宋体" w:cs="宋体"/>
          <w:color w:val="auto"/>
          <w:spacing w:val="11"/>
          <w:sz w:val="20"/>
          <w:szCs w:val="20"/>
          <w:lang w:eastAsia="zh-CN"/>
        </w:rPr>
        <w:t>）需方可派相关操作人员或参与日常管理、维护的专业技术人员到我方或现场免费接受</w:t>
      </w:r>
      <w:r>
        <w:rPr>
          <w:rFonts w:ascii="宋体" w:hAnsi="宋体" w:eastAsia="宋体" w:cs="宋体"/>
          <w:color w:val="auto"/>
          <w:spacing w:val="10"/>
          <w:sz w:val="20"/>
          <w:szCs w:val="20"/>
          <w:lang w:eastAsia="zh-CN"/>
        </w:rPr>
        <w:t>培训。</w:t>
      </w:r>
      <w:r>
        <w:rPr>
          <w:rFonts w:ascii="宋体" w:hAnsi="宋体" w:eastAsia="宋体" w:cs="宋体"/>
          <w:color w:val="auto"/>
          <w:sz w:val="20"/>
          <w:szCs w:val="20"/>
          <w:lang w:eastAsia="zh-CN"/>
        </w:rPr>
        <w:t xml:space="preserve"> </w:t>
      </w:r>
      <w:r>
        <w:rPr>
          <w:rFonts w:ascii="宋体" w:hAnsi="宋体" w:eastAsia="宋体" w:cs="宋体"/>
          <w:color w:val="auto"/>
          <w:spacing w:val="12"/>
          <w:sz w:val="20"/>
          <w:szCs w:val="20"/>
          <w:lang w:eastAsia="zh-CN"/>
        </w:rPr>
        <w:t>培训中，购方有关能直接参与</w:t>
      </w:r>
      <w:r>
        <w:rPr>
          <w:rFonts w:hint="eastAsia" w:ascii="宋体" w:hAnsi="宋体" w:eastAsia="宋体" w:cs="宋体"/>
          <w:color w:val="auto"/>
          <w:spacing w:val="12"/>
          <w:sz w:val="20"/>
          <w:szCs w:val="20"/>
          <w:lang w:val="en-US" w:eastAsia="zh-CN"/>
        </w:rPr>
        <w:t>产品</w:t>
      </w:r>
      <w:r>
        <w:rPr>
          <w:rFonts w:ascii="宋体" w:hAnsi="宋体" w:eastAsia="宋体" w:cs="宋体"/>
          <w:color w:val="auto"/>
          <w:spacing w:val="12"/>
          <w:sz w:val="20"/>
          <w:szCs w:val="20"/>
          <w:lang w:eastAsia="zh-CN"/>
        </w:rPr>
        <w:t>操作、运行、维护等工作，熟练掌握供方提供</w:t>
      </w:r>
      <w:r>
        <w:rPr>
          <w:rFonts w:hint="eastAsia" w:ascii="宋体" w:hAnsi="宋体" w:eastAsia="宋体" w:cs="宋体"/>
          <w:color w:val="auto"/>
          <w:spacing w:val="12"/>
          <w:sz w:val="20"/>
          <w:szCs w:val="20"/>
          <w:lang w:val="en-US" w:eastAsia="zh-CN"/>
        </w:rPr>
        <w:t>产品</w:t>
      </w:r>
      <w:r>
        <w:rPr>
          <w:rFonts w:ascii="宋体" w:hAnsi="宋体" w:eastAsia="宋体" w:cs="宋体"/>
          <w:color w:val="auto"/>
          <w:spacing w:val="12"/>
          <w:sz w:val="20"/>
          <w:szCs w:val="20"/>
          <w:lang w:eastAsia="zh-CN"/>
        </w:rPr>
        <w:t>的相关技术</w:t>
      </w:r>
      <w:r>
        <w:rPr>
          <w:rFonts w:ascii="宋体" w:hAnsi="宋体" w:eastAsia="宋体" w:cs="宋体"/>
          <w:color w:val="auto"/>
          <w:spacing w:val="9"/>
          <w:sz w:val="20"/>
          <w:szCs w:val="20"/>
          <w:lang w:eastAsia="zh-CN"/>
        </w:rPr>
        <w:t>。</w:t>
      </w:r>
    </w:p>
    <w:p w14:paraId="179DE089">
      <w:pPr>
        <w:spacing w:before="91" w:line="360" w:lineRule="auto"/>
        <w:ind w:left="18"/>
        <w:rPr>
          <w:rFonts w:ascii="宋体" w:hAnsi="宋体" w:eastAsia="宋体" w:cs="宋体"/>
          <w:color w:val="auto"/>
          <w:sz w:val="20"/>
          <w:szCs w:val="20"/>
          <w:lang w:eastAsia="zh-CN"/>
        </w:rPr>
      </w:pPr>
      <w:r>
        <w:rPr>
          <w:rFonts w:ascii="Tahoma" w:hAnsi="Tahoma" w:eastAsia="Tahoma" w:cs="Tahoma"/>
          <w:b/>
          <w:bCs/>
          <w:color w:val="auto"/>
          <w:spacing w:val="3"/>
          <w:sz w:val="20"/>
          <w:szCs w:val="20"/>
          <w:lang w:eastAsia="zh-CN"/>
        </w:rPr>
        <w:t>1.10</w:t>
      </w:r>
      <w:r>
        <w:rPr>
          <w:rFonts w:ascii="Tahoma" w:hAnsi="Tahoma" w:eastAsia="Tahoma" w:cs="Tahoma"/>
          <w:b/>
          <w:bCs/>
          <w:color w:val="auto"/>
          <w:spacing w:val="-32"/>
          <w:sz w:val="20"/>
          <w:szCs w:val="20"/>
          <w:lang w:eastAsia="zh-CN"/>
        </w:rPr>
        <w:t xml:space="preserve"> </w:t>
      </w:r>
      <w:r>
        <w:rPr>
          <w:rFonts w:ascii="宋体" w:hAnsi="宋体" w:eastAsia="宋体" w:cs="宋体"/>
          <w:color w:val="auto"/>
          <w:spacing w:val="3"/>
          <w:sz w:val="20"/>
          <w:szCs w:val="20"/>
          <w:lang w:eastAsia="zh-CN"/>
          <w14:textOutline w14:w="3797" w14:cap="sq" w14:cmpd="sng" w14:algn="ctr">
            <w14:solidFill>
              <w14:srgbClr w14:val="000000"/>
            </w14:solidFill>
            <w14:prstDash w14:val="solid"/>
            <w14:bevel/>
          </w14:textOutline>
        </w:rPr>
        <w:t>、技术服务</w:t>
      </w:r>
    </w:p>
    <w:p w14:paraId="24508E61">
      <w:pPr>
        <w:spacing w:before="94" w:line="360" w:lineRule="auto"/>
        <w:ind w:left="7" w:right="54" w:firstLine="220"/>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1</w:t>
      </w:r>
      <w:r>
        <w:rPr>
          <w:rFonts w:ascii="宋体" w:hAnsi="宋体" w:eastAsia="宋体" w:cs="宋体"/>
          <w:color w:val="auto"/>
          <w:spacing w:val="9"/>
          <w:sz w:val="20"/>
          <w:szCs w:val="20"/>
          <w:lang w:eastAsia="zh-CN"/>
        </w:rPr>
        <w:t>）为了便于合同</w:t>
      </w:r>
      <w:r>
        <w:rPr>
          <w:rFonts w:hint="eastAsia" w:ascii="宋体" w:hAnsi="宋体" w:eastAsia="宋体" w:cs="宋体"/>
          <w:color w:val="auto"/>
          <w:spacing w:val="9"/>
          <w:sz w:val="20"/>
          <w:szCs w:val="20"/>
          <w:lang w:val="en-US" w:eastAsia="zh-CN"/>
        </w:rPr>
        <w:t>产品</w:t>
      </w:r>
      <w:r>
        <w:rPr>
          <w:rFonts w:ascii="宋体" w:hAnsi="宋体" w:eastAsia="宋体" w:cs="宋体"/>
          <w:color w:val="auto"/>
          <w:spacing w:val="9"/>
          <w:sz w:val="20"/>
          <w:szCs w:val="20"/>
          <w:lang w:eastAsia="zh-CN"/>
        </w:rPr>
        <w:t>的调试和投运，我方将按投标文件的承诺，组成项目管理机构、派出专业技</w:t>
      </w:r>
      <w:r>
        <w:rPr>
          <w:rFonts w:ascii="宋体" w:hAnsi="宋体" w:eastAsia="宋体" w:cs="宋体"/>
          <w:color w:val="auto"/>
          <w:spacing w:val="11"/>
          <w:sz w:val="20"/>
          <w:szCs w:val="20"/>
          <w:lang w:eastAsia="zh-CN"/>
        </w:rPr>
        <w:t>术人员到合同现场进行技术服务。</w:t>
      </w:r>
      <w:r>
        <w:rPr>
          <w:rFonts w:ascii="宋体" w:hAnsi="宋体" w:eastAsia="宋体" w:cs="宋体"/>
          <w:color w:val="auto"/>
          <w:spacing w:val="-55"/>
          <w:sz w:val="20"/>
          <w:szCs w:val="20"/>
          <w:lang w:eastAsia="zh-CN"/>
        </w:rPr>
        <w:t xml:space="preserve"> </w:t>
      </w:r>
      <w:r>
        <w:rPr>
          <w:rFonts w:ascii="宋体" w:hAnsi="宋体" w:eastAsia="宋体" w:cs="宋体"/>
          <w:color w:val="auto"/>
          <w:spacing w:val="11"/>
          <w:sz w:val="20"/>
          <w:szCs w:val="20"/>
          <w:lang w:eastAsia="zh-CN"/>
        </w:rPr>
        <w:t>由我方技术人员负责对设备进行正确调试和检测、试运行，验收、</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移交直至系统设备正常投入运行，全部实现设备技术要求的各项功能。</w:t>
      </w:r>
    </w:p>
    <w:p w14:paraId="3B92FB3E">
      <w:pPr>
        <w:spacing w:before="94" w:line="360" w:lineRule="auto"/>
        <w:ind w:left="7" w:right="54" w:firstLine="220"/>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2</w:t>
      </w:r>
      <w:r>
        <w:rPr>
          <w:rFonts w:ascii="宋体" w:hAnsi="宋体" w:eastAsia="宋体" w:cs="宋体"/>
          <w:color w:val="auto"/>
          <w:spacing w:val="9"/>
          <w:sz w:val="20"/>
          <w:szCs w:val="20"/>
          <w:lang w:eastAsia="zh-CN"/>
        </w:rPr>
        <w:t>）现场履行检验和评价所供系统设备的可靠性、稳定性、可操作性、维护性等情况。</w:t>
      </w:r>
    </w:p>
    <w:p w14:paraId="4F100BC5">
      <w:pPr>
        <w:spacing w:before="94" w:line="360" w:lineRule="auto"/>
        <w:ind w:left="7" w:right="54" w:firstLine="220"/>
        <w:rPr>
          <w:rFonts w:ascii="宋体" w:hAnsi="宋体" w:eastAsia="宋体" w:cs="宋体"/>
          <w:color w:val="auto"/>
          <w:spacing w:val="9"/>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3</w:t>
      </w:r>
      <w:r>
        <w:rPr>
          <w:rFonts w:ascii="宋体" w:hAnsi="宋体" w:eastAsia="宋体" w:cs="宋体"/>
          <w:color w:val="auto"/>
          <w:spacing w:val="9"/>
          <w:sz w:val="20"/>
          <w:szCs w:val="20"/>
          <w:lang w:eastAsia="zh-CN"/>
        </w:rPr>
        <w:t>）参与检测、试运行、验收、移交和设备的投运。</w:t>
      </w:r>
    </w:p>
    <w:p w14:paraId="7B74A091">
      <w:pPr>
        <w:spacing w:before="92" w:line="360" w:lineRule="auto"/>
        <w:ind w:left="11" w:right="54" w:firstLine="217"/>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4</w:t>
      </w:r>
      <w:r>
        <w:rPr>
          <w:rFonts w:ascii="宋体" w:hAnsi="宋体" w:eastAsia="宋体" w:cs="宋体"/>
          <w:color w:val="auto"/>
          <w:spacing w:val="9"/>
          <w:sz w:val="20"/>
          <w:szCs w:val="20"/>
          <w:lang w:eastAsia="zh-CN"/>
        </w:rPr>
        <w:t>）完成</w:t>
      </w:r>
      <w:r>
        <w:rPr>
          <w:rFonts w:hint="eastAsia" w:ascii="宋体" w:hAnsi="宋体" w:eastAsia="宋体" w:cs="宋体"/>
          <w:color w:val="auto"/>
          <w:spacing w:val="9"/>
          <w:sz w:val="20"/>
          <w:szCs w:val="20"/>
          <w:lang w:val="en-US" w:eastAsia="zh-CN"/>
        </w:rPr>
        <w:t>产品</w:t>
      </w:r>
      <w:r>
        <w:rPr>
          <w:rFonts w:ascii="宋体" w:hAnsi="宋体" w:eastAsia="宋体" w:cs="宋体"/>
          <w:color w:val="auto"/>
          <w:spacing w:val="9"/>
          <w:sz w:val="20"/>
          <w:szCs w:val="20"/>
          <w:lang w:eastAsia="zh-CN"/>
        </w:rPr>
        <w:t>的在线调试工作，全部实现</w:t>
      </w:r>
      <w:r>
        <w:rPr>
          <w:rFonts w:hint="eastAsia" w:ascii="宋体" w:hAnsi="宋体" w:eastAsia="宋体" w:cs="宋体"/>
          <w:color w:val="auto"/>
          <w:spacing w:val="9"/>
          <w:sz w:val="20"/>
          <w:szCs w:val="20"/>
          <w:lang w:val="en-US" w:eastAsia="zh-CN"/>
        </w:rPr>
        <w:t>产品</w:t>
      </w:r>
      <w:r>
        <w:rPr>
          <w:rFonts w:ascii="宋体" w:hAnsi="宋体" w:eastAsia="宋体" w:cs="宋体"/>
          <w:color w:val="auto"/>
          <w:spacing w:val="9"/>
          <w:sz w:val="20"/>
          <w:szCs w:val="20"/>
          <w:lang w:eastAsia="zh-CN"/>
        </w:rPr>
        <w:t>的各项功能，解决投运时出现的技术问题，保证</w:t>
      </w:r>
      <w:r>
        <w:rPr>
          <w:rFonts w:hint="eastAsia" w:ascii="宋体" w:hAnsi="宋体" w:eastAsia="宋体" w:cs="宋体"/>
          <w:color w:val="auto"/>
          <w:spacing w:val="9"/>
          <w:sz w:val="20"/>
          <w:szCs w:val="20"/>
          <w:lang w:val="en-US" w:eastAsia="zh-CN"/>
        </w:rPr>
        <w:t>产品</w:t>
      </w:r>
      <w:r>
        <w:rPr>
          <w:rFonts w:ascii="宋体" w:hAnsi="宋体" w:eastAsia="宋体" w:cs="宋体"/>
          <w:color w:val="auto"/>
          <w:spacing w:val="6"/>
          <w:sz w:val="20"/>
          <w:szCs w:val="20"/>
          <w:lang w:eastAsia="zh-CN"/>
        </w:rPr>
        <w:t>正常按期投运。</w:t>
      </w:r>
    </w:p>
    <w:p w14:paraId="143EB25C">
      <w:pPr>
        <w:spacing w:before="94" w:line="360" w:lineRule="auto"/>
        <w:ind w:left="228"/>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5</w:t>
      </w:r>
      <w:r>
        <w:rPr>
          <w:rFonts w:ascii="宋体" w:hAnsi="宋体" w:eastAsia="宋体" w:cs="宋体"/>
          <w:color w:val="auto"/>
          <w:spacing w:val="8"/>
          <w:sz w:val="20"/>
          <w:szCs w:val="20"/>
          <w:lang w:eastAsia="zh-CN"/>
        </w:rPr>
        <w:t>）提供调试和测试所需专业仪器设备。</w:t>
      </w:r>
    </w:p>
    <w:p w14:paraId="2464D959">
      <w:pPr>
        <w:spacing w:before="94" w:line="360" w:lineRule="auto"/>
        <w:ind w:left="6" w:right="56" w:firstLine="221"/>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6</w:t>
      </w:r>
      <w:r>
        <w:rPr>
          <w:rFonts w:ascii="宋体" w:hAnsi="宋体" w:eastAsia="宋体" w:cs="宋体"/>
          <w:color w:val="auto"/>
          <w:spacing w:val="9"/>
          <w:sz w:val="20"/>
          <w:szCs w:val="20"/>
          <w:lang w:eastAsia="zh-CN"/>
        </w:rPr>
        <w:t>）负责解答由购方在合同范围内所提出的技术问题，详细的解释技术要求、图纸、运行、设备性能以及</w:t>
      </w:r>
      <w:r>
        <w:rPr>
          <w:rFonts w:ascii="宋体" w:hAnsi="宋体" w:eastAsia="宋体" w:cs="宋体"/>
          <w:color w:val="auto"/>
          <w:spacing w:val="7"/>
          <w:sz w:val="20"/>
          <w:szCs w:val="20"/>
          <w:lang w:eastAsia="zh-CN"/>
        </w:rPr>
        <w:t xml:space="preserve"> </w:t>
      </w:r>
      <w:r>
        <w:rPr>
          <w:rFonts w:ascii="宋体" w:hAnsi="宋体" w:eastAsia="宋体" w:cs="宋体"/>
          <w:color w:val="auto"/>
          <w:spacing w:val="9"/>
          <w:sz w:val="20"/>
          <w:szCs w:val="20"/>
          <w:lang w:eastAsia="zh-CN"/>
        </w:rPr>
        <w:t>注意事项。为了保证上述系统的正确运行对系统运行进行必要的演示。</w:t>
      </w:r>
    </w:p>
    <w:p w14:paraId="0D263EB7">
      <w:pPr>
        <w:spacing w:before="93" w:line="360" w:lineRule="auto"/>
        <w:ind w:left="18"/>
        <w:rPr>
          <w:rFonts w:ascii="宋体" w:hAnsi="宋体" w:eastAsia="宋体" w:cs="宋体"/>
          <w:color w:val="auto"/>
          <w:sz w:val="20"/>
          <w:szCs w:val="20"/>
          <w:lang w:eastAsia="zh-CN"/>
        </w:rPr>
      </w:pPr>
      <w:r>
        <w:rPr>
          <w:rFonts w:ascii="Tahoma" w:hAnsi="Tahoma" w:eastAsia="Tahoma" w:cs="Tahoma"/>
          <w:b/>
          <w:bCs/>
          <w:color w:val="auto"/>
          <w:spacing w:val="3"/>
          <w:sz w:val="20"/>
          <w:szCs w:val="20"/>
          <w:lang w:eastAsia="zh-CN"/>
        </w:rPr>
        <w:t>1.11</w:t>
      </w:r>
      <w:r>
        <w:rPr>
          <w:rFonts w:ascii="Tahoma" w:hAnsi="Tahoma" w:eastAsia="Tahoma" w:cs="Tahoma"/>
          <w:b/>
          <w:bCs/>
          <w:color w:val="auto"/>
          <w:spacing w:val="-32"/>
          <w:sz w:val="20"/>
          <w:szCs w:val="20"/>
          <w:lang w:eastAsia="zh-CN"/>
        </w:rPr>
        <w:t xml:space="preserve"> </w:t>
      </w:r>
      <w:r>
        <w:rPr>
          <w:rFonts w:ascii="宋体" w:hAnsi="宋体" w:eastAsia="宋体" w:cs="宋体"/>
          <w:color w:val="auto"/>
          <w:spacing w:val="3"/>
          <w:sz w:val="20"/>
          <w:szCs w:val="20"/>
          <w:lang w:eastAsia="zh-CN"/>
          <w14:textOutline w14:w="3797" w14:cap="sq" w14:cmpd="sng" w14:algn="ctr">
            <w14:solidFill>
              <w14:srgbClr w14:val="000000"/>
            </w14:solidFill>
            <w14:prstDash w14:val="solid"/>
            <w14:bevel/>
          </w14:textOutline>
        </w:rPr>
        <w:t>、售后服务</w:t>
      </w:r>
    </w:p>
    <w:p w14:paraId="41CB9C7D">
      <w:pPr>
        <w:spacing w:before="92" w:line="360" w:lineRule="auto"/>
        <w:ind w:left="6" w:right="54" w:firstLine="412"/>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供方必须严格遵守《通用合同条款》、《专用合同条款》和投标</w:t>
      </w:r>
      <w:r>
        <w:rPr>
          <w:rFonts w:ascii="宋体" w:hAnsi="宋体" w:eastAsia="宋体" w:cs="宋体"/>
          <w:color w:val="auto"/>
          <w:spacing w:val="7"/>
          <w:sz w:val="20"/>
          <w:szCs w:val="20"/>
          <w:lang w:eastAsia="zh-CN"/>
        </w:rPr>
        <w:t>文件中的承诺的有关规定为用户提供售后</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服务及其他类似服务，包括：</w:t>
      </w:r>
    </w:p>
    <w:p w14:paraId="0DB9A0ED">
      <w:pPr>
        <w:spacing w:before="94" w:line="360" w:lineRule="auto"/>
        <w:ind w:left="228"/>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1</w:t>
      </w:r>
      <w:r>
        <w:rPr>
          <w:rFonts w:ascii="宋体" w:hAnsi="宋体" w:eastAsia="宋体" w:cs="宋体"/>
          <w:color w:val="auto"/>
          <w:spacing w:val="8"/>
          <w:sz w:val="20"/>
          <w:szCs w:val="20"/>
          <w:lang w:eastAsia="zh-CN"/>
        </w:rPr>
        <w:t>）保证为购方提供优质、快捷的技术服务。</w:t>
      </w:r>
    </w:p>
    <w:p w14:paraId="1FF0208C">
      <w:pPr>
        <w:spacing w:before="93" w:line="360" w:lineRule="auto"/>
        <w:ind w:left="6" w:right="54" w:firstLine="221"/>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2</w:t>
      </w:r>
      <w:r>
        <w:rPr>
          <w:rFonts w:ascii="宋体" w:hAnsi="宋体" w:eastAsia="宋体" w:cs="宋体"/>
          <w:color w:val="auto"/>
          <w:spacing w:val="9"/>
          <w:sz w:val="20"/>
          <w:szCs w:val="20"/>
          <w:lang w:eastAsia="zh-CN"/>
        </w:rPr>
        <w:t xml:space="preserve">）为了确保系统的正常使用及时解答采购方提出的疑问，帮助解决问题，负责对系统的使用提供技术咨 </w:t>
      </w:r>
      <w:r>
        <w:rPr>
          <w:rFonts w:ascii="宋体" w:hAnsi="宋体" w:eastAsia="宋体" w:cs="宋体"/>
          <w:color w:val="auto"/>
          <w:spacing w:val="5"/>
          <w:sz w:val="20"/>
          <w:szCs w:val="20"/>
          <w:lang w:eastAsia="zh-CN"/>
        </w:rPr>
        <w:t>询服务。</w:t>
      </w:r>
    </w:p>
    <w:p w14:paraId="58861DB7">
      <w:pPr>
        <w:spacing w:before="93" w:line="360" w:lineRule="auto"/>
        <w:ind w:left="6" w:right="54" w:firstLine="221"/>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3</w:t>
      </w:r>
      <w:r>
        <w:rPr>
          <w:rFonts w:ascii="宋体" w:hAnsi="宋体" w:eastAsia="宋体" w:cs="宋体"/>
          <w:color w:val="auto"/>
          <w:spacing w:val="9"/>
          <w:sz w:val="20"/>
          <w:szCs w:val="20"/>
          <w:lang w:eastAsia="zh-CN"/>
        </w:rPr>
        <w:t>）</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 xml:space="preserve">应有专业的售后服务机构及技术人员，在满足紧急服务要求范围内，并注明售后服务机构办公 </w:t>
      </w:r>
      <w:r>
        <w:rPr>
          <w:rFonts w:ascii="宋体" w:hAnsi="宋体" w:eastAsia="宋体" w:cs="宋体"/>
          <w:color w:val="auto"/>
          <w:spacing w:val="10"/>
          <w:sz w:val="20"/>
          <w:szCs w:val="20"/>
          <w:lang w:eastAsia="zh-CN"/>
        </w:rPr>
        <w:t>地点及技术维修支持工程师名录和联系方式，提</w:t>
      </w:r>
      <w:r>
        <w:rPr>
          <w:rFonts w:ascii="宋体" w:hAnsi="宋体" w:eastAsia="宋体" w:cs="宋体"/>
          <w:color w:val="auto"/>
          <w:spacing w:val="9"/>
          <w:sz w:val="20"/>
          <w:szCs w:val="20"/>
          <w:lang w:eastAsia="zh-CN"/>
        </w:rPr>
        <w:t>供工程师通过原厂或有关部门维修培训所获证书。</w:t>
      </w:r>
    </w:p>
    <w:p w14:paraId="5F02B68D">
      <w:pPr>
        <w:spacing w:before="96" w:line="360" w:lineRule="auto"/>
        <w:ind w:left="15" w:right="57" w:firstLine="213"/>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4</w:t>
      </w:r>
      <w:r>
        <w:rPr>
          <w:rFonts w:ascii="宋体" w:hAnsi="宋体" w:eastAsia="宋体" w:cs="宋体"/>
          <w:color w:val="auto"/>
          <w:spacing w:val="9"/>
          <w:sz w:val="20"/>
          <w:szCs w:val="20"/>
          <w:lang w:eastAsia="zh-CN"/>
        </w:rPr>
        <w:t>）</w:t>
      </w:r>
      <w:r>
        <w:rPr>
          <w:rFonts w:hint="eastAsia" w:ascii="宋体" w:hAnsi="宋体" w:eastAsia="宋体" w:cs="宋体"/>
          <w:color w:val="auto"/>
          <w:spacing w:val="9"/>
          <w:sz w:val="20"/>
          <w:szCs w:val="20"/>
          <w:lang w:eastAsia="zh-CN"/>
        </w:rPr>
        <w:t>中标服务商应提供服务级别7×24（即每周7个工作日，每天24小时）全天技术支持服务，并根据采购人的需要提供现场支持服务</w:t>
      </w:r>
      <w:r>
        <w:rPr>
          <w:rFonts w:ascii="宋体" w:hAnsi="宋体" w:eastAsia="宋体" w:cs="宋体"/>
          <w:color w:val="auto"/>
          <w:spacing w:val="7"/>
          <w:sz w:val="20"/>
          <w:szCs w:val="20"/>
          <w:lang w:eastAsia="zh-CN"/>
        </w:rPr>
        <w:t>。</w:t>
      </w:r>
    </w:p>
    <w:p w14:paraId="6915F860">
      <w:pPr>
        <w:spacing w:before="93" w:line="360" w:lineRule="auto"/>
        <w:ind w:left="18"/>
        <w:rPr>
          <w:rFonts w:ascii="宋体" w:hAnsi="宋体" w:eastAsia="宋体" w:cs="宋体"/>
          <w:color w:val="auto"/>
          <w:sz w:val="20"/>
          <w:szCs w:val="20"/>
          <w:lang w:eastAsia="zh-CN"/>
        </w:rPr>
      </w:pPr>
      <w:r>
        <w:rPr>
          <w:rFonts w:ascii="Tahoma" w:hAnsi="Tahoma" w:eastAsia="Tahoma" w:cs="Tahoma"/>
          <w:b/>
          <w:bCs/>
          <w:color w:val="auto"/>
          <w:spacing w:val="4"/>
          <w:sz w:val="20"/>
          <w:szCs w:val="20"/>
          <w:lang w:eastAsia="zh-CN"/>
        </w:rPr>
        <w:t>1.12</w:t>
      </w:r>
      <w:r>
        <w:rPr>
          <w:rFonts w:ascii="Tahoma" w:hAnsi="Tahoma" w:eastAsia="Tahoma" w:cs="Tahoma"/>
          <w:b/>
          <w:bCs/>
          <w:color w:val="auto"/>
          <w:spacing w:val="-27"/>
          <w:sz w:val="20"/>
          <w:szCs w:val="20"/>
          <w:lang w:eastAsia="zh-CN"/>
        </w:rPr>
        <w:t xml:space="preserve"> </w:t>
      </w:r>
      <w:r>
        <w:rPr>
          <w:rFonts w:ascii="宋体" w:hAnsi="宋体" w:eastAsia="宋体" w:cs="宋体"/>
          <w:color w:val="auto"/>
          <w:spacing w:val="4"/>
          <w:sz w:val="20"/>
          <w:szCs w:val="20"/>
          <w:lang w:eastAsia="zh-CN"/>
          <w14:textOutline w14:w="3797" w14:cap="sq" w14:cmpd="sng" w14:algn="ctr">
            <w14:solidFill>
              <w14:srgbClr w14:val="000000"/>
            </w14:solidFill>
            <w14:prstDash w14:val="solid"/>
            <w14:bevel/>
          </w14:textOutline>
        </w:rPr>
        <w:t>、产品质量保证</w:t>
      </w:r>
    </w:p>
    <w:p w14:paraId="443796EA">
      <w:pPr>
        <w:spacing w:before="92" w:line="360" w:lineRule="auto"/>
        <w:ind w:left="6" w:right="70" w:firstLine="221"/>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1</w:t>
      </w:r>
      <w:r>
        <w:rPr>
          <w:rFonts w:ascii="宋体" w:hAnsi="宋体" w:eastAsia="宋体" w:cs="宋体"/>
          <w:color w:val="auto"/>
          <w:spacing w:val="9"/>
          <w:sz w:val="20"/>
          <w:szCs w:val="20"/>
          <w:lang w:eastAsia="zh-CN"/>
        </w:rPr>
        <w:t>）</w:t>
      </w:r>
      <w:r>
        <w:rPr>
          <w:rFonts w:hint="eastAsia" w:ascii="宋体" w:hAnsi="宋体" w:eastAsia="宋体" w:cs="宋体"/>
          <w:color w:val="auto"/>
          <w:spacing w:val="9"/>
          <w:sz w:val="20"/>
          <w:szCs w:val="20"/>
          <w:lang w:eastAsia="zh-CN"/>
        </w:rPr>
        <w:t>供应方应建立和完善履行合同的内部质量保证体系，并提供相关内部规章制度给甲方，以便甲方进行监督检查</w:t>
      </w:r>
      <w:r>
        <w:rPr>
          <w:rFonts w:ascii="宋体" w:hAnsi="宋体" w:eastAsia="宋体" w:cs="宋体"/>
          <w:color w:val="auto"/>
          <w:spacing w:val="8"/>
          <w:sz w:val="20"/>
          <w:szCs w:val="20"/>
          <w:lang w:eastAsia="zh-CN"/>
        </w:rPr>
        <w:t>。</w:t>
      </w:r>
    </w:p>
    <w:p w14:paraId="28DABFBE">
      <w:pPr>
        <w:spacing w:before="94" w:line="360" w:lineRule="auto"/>
        <w:ind w:left="228"/>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2</w:t>
      </w:r>
      <w:r>
        <w:rPr>
          <w:rFonts w:ascii="宋体" w:hAnsi="宋体" w:eastAsia="宋体" w:cs="宋体"/>
          <w:color w:val="auto"/>
          <w:spacing w:val="8"/>
          <w:sz w:val="20"/>
          <w:szCs w:val="20"/>
          <w:lang w:eastAsia="zh-CN"/>
        </w:rPr>
        <w:t>）</w:t>
      </w:r>
      <w:r>
        <w:rPr>
          <w:rFonts w:hint="eastAsia" w:ascii="宋体" w:hAnsi="宋体" w:eastAsia="宋体" w:cs="宋体"/>
          <w:color w:val="auto"/>
          <w:spacing w:val="8"/>
          <w:sz w:val="20"/>
          <w:szCs w:val="20"/>
          <w:lang w:eastAsia="zh-CN"/>
        </w:rPr>
        <w:t>供应方应保证履行合同的人员数量和素质、软件和硬件设备的配置、场地、环境和设施等满足全面履行合同的要求，并应接受甲方的监督检查。</w:t>
      </w:r>
    </w:p>
    <w:p w14:paraId="3A55E924">
      <w:pPr>
        <w:spacing w:before="92" w:line="360" w:lineRule="auto"/>
        <w:ind w:left="228"/>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3</w:t>
      </w:r>
      <w:r>
        <w:rPr>
          <w:rFonts w:ascii="宋体" w:hAnsi="宋体" w:eastAsia="宋体" w:cs="宋体"/>
          <w:color w:val="auto"/>
          <w:spacing w:val="8"/>
          <w:sz w:val="20"/>
          <w:szCs w:val="20"/>
          <w:lang w:eastAsia="zh-CN"/>
        </w:rPr>
        <w:t>）严格按照合同要求，确保产品符合需方要求。</w:t>
      </w:r>
    </w:p>
    <w:p w14:paraId="7D8586C1">
      <w:pPr>
        <w:spacing w:before="94" w:line="360" w:lineRule="auto"/>
        <w:ind w:left="6" w:right="70" w:firstLine="222"/>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w:t>
      </w:r>
      <w:r>
        <w:rPr>
          <w:rFonts w:ascii="Tahoma" w:hAnsi="Tahoma" w:eastAsia="Tahoma" w:cs="Tahoma"/>
          <w:color w:val="auto"/>
          <w:spacing w:val="9"/>
          <w:sz w:val="20"/>
          <w:szCs w:val="20"/>
          <w:lang w:eastAsia="zh-CN"/>
        </w:rPr>
        <w:t>4</w:t>
      </w:r>
      <w:r>
        <w:rPr>
          <w:rFonts w:ascii="宋体" w:hAnsi="宋体" w:eastAsia="宋体" w:cs="宋体"/>
          <w:color w:val="auto"/>
          <w:spacing w:val="9"/>
          <w:sz w:val="20"/>
          <w:szCs w:val="20"/>
          <w:lang w:eastAsia="zh-CN"/>
        </w:rPr>
        <w:t>）上述规定是合同不可分割的部分，与合同具有同等法律效力。在本合同实施过程中，按有关规范、规 程、标准严格质量控制，确保提供合格产品及服务。</w:t>
      </w:r>
    </w:p>
    <w:p w14:paraId="04FC4A50">
      <w:pPr>
        <w:pStyle w:val="8"/>
        <w:spacing w:line="360" w:lineRule="auto"/>
        <w:rPr>
          <w:color w:val="auto"/>
          <w:lang w:eastAsia="zh-CN"/>
        </w:rPr>
      </w:pPr>
    </w:p>
    <w:p w14:paraId="6182E587">
      <w:pPr>
        <w:spacing w:before="66" w:line="360" w:lineRule="auto"/>
        <w:ind w:left="9" w:right="73"/>
        <w:rPr>
          <w:rFonts w:ascii="黑体" w:hAnsi="黑体" w:eastAsia="黑体" w:cs="黑体"/>
          <w:color w:val="auto"/>
          <w:sz w:val="20"/>
          <w:szCs w:val="20"/>
          <w:lang w:eastAsia="zh-CN"/>
        </w:rPr>
      </w:pPr>
      <w:r>
        <w:rPr>
          <w:rFonts w:ascii="黑体" w:hAnsi="黑体" w:eastAsia="黑体" w:cs="黑体"/>
          <w:color w:val="auto"/>
          <w:spacing w:val="12"/>
          <w:sz w:val="20"/>
          <w:szCs w:val="20"/>
          <w:lang w:eastAsia="zh-CN"/>
          <w14:textOutline w14:w="3797" w14:cap="sq" w14:cmpd="sng" w14:algn="ctr">
            <w14:solidFill>
              <w14:srgbClr w14:val="000000"/>
            </w14:solidFill>
            <w14:prstDash w14:val="solid"/>
            <w14:bevel/>
          </w14:textOutline>
        </w:rPr>
        <w:t>说明：属于</w:t>
      </w:r>
      <w:r>
        <w:rPr>
          <w:rFonts w:hint="eastAsia" w:ascii="黑体" w:hAnsi="黑体" w:eastAsia="黑体" w:cs="黑体"/>
          <w:color w:val="auto"/>
          <w:spacing w:val="12"/>
          <w:sz w:val="20"/>
          <w:szCs w:val="20"/>
          <w:lang w:eastAsia="zh-CN"/>
          <w14:textOutline w14:w="3797" w14:cap="sq" w14:cmpd="sng" w14:algn="ctr">
            <w14:solidFill>
              <w14:srgbClr w14:val="000000"/>
            </w14:solidFill>
            <w14:prstDash w14:val="solid"/>
            <w14:bevel/>
          </w14:textOutline>
        </w:rPr>
        <w:t>服务商</w:t>
      </w:r>
      <w:r>
        <w:rPr>
          <w:rFonts w:ascii="黑体" w:hAnsi="黑体" w:eastAsia="黑体" w:cs="黑体"/>
          <w:color w:val="auto"/>
          <w:spacing w:val="12"/>
          <w:sz w:val="20"/>
          <w:szCs w:val="20"/>
          <w:lang w:eastAsia="zh-CN"/>
          <w14:textOutline w14:w="3797" w14:cap="sq" w14:cmpd="sng" w14:algn="ctr">
            <w14:solidFill>
              <w14:srgbClr w14:val="000000"/>
            </w14:solidFill>
            <w14:prstDash w14:val="solid"/>
            <w14:bevel/>
          </w14:textOutline>
        </w:rPr>
        <w:t>承诺部分的内容由各</w:t>
      </w:r>
      <w:r>
        <w:rPr>
          <w:rFonts w:hint="eastAsia" w:ascii="黑体" w:hAnsi="黑体" w:eastAsia="黑体" w:cs="黑体"/>
          <w:color w:val="auto"/>
          <w:spacing w:val="12"/>
          <w:sz w:val="20"/>
          <w:szCs w:val="20"/>
          <w:lang w:eastAsia="zh-CN"/>
          <w14:textOutline w14:w="3797" w14:cap="sq" w14:cmpd="sng" w14:algn="ctr">
            <w14:solidFill>
              <w14:srgbClr w14:val="000000"/>
            </w14:solidFill>
            <w14:prstDash w14:val="solid"/>
            <w14:bevel/>
          </w14:textOutline>
        </w:rPr>
        <w:t>服务商</w:t>
      </w:r>
      <w:r>
        <w:rPr>
          <w:rFonts w:ascii="黑体" w:hAnsi="黑体" w:eastAsia="黑体" w:cs="黑体"/>
          <w:color w:val="auto"/>
          <w:spacing w:val="12"/>
          <w:sz w:val="20"/>
          <w:szCs w:val="20"/>
          <w:lang w:eastAsia="zh-CN"/>
          <w14:textOutline w14:w="3797" w14:cap="sq" w14:cmpd="sng" w14:algn="ctr">
            <w14:solidFill>
              <w14:srgbClr w14:val="000000"/>
            </w14:solidFill>
            <w14:prstDash w14:val="solid"/>
            <w14:bevel/>
          </w14:textOutline>
        </w:rPr>
        <w:t>可根据实际需要可以减少或不予采纳（但由</w:t>
      </w:r>
      <w:r>
        <w:rPr>
          <w:rFonts w:ascii="黑体" w:hAnsi="黑体" w:eastAsia="黑体" w:cs="黑体"/>
          <w:color w:val="auto"/>
          <w:spacing w:val="11"/>
          <w:sz w:val="20"/>
          <w:szCs w:val="20"/>
          <w:lang w:eastAsia="zh-CN"/>
          <w14:textOutline w14:w="3797" w14:cap="sq" w14:cmpd="sng" w14:algn="ctr">
            <w14:solidFill>
              <w14:srgbClr w14:val="000000"/>
            </w14:solidFill>
            <w14:prstDash w14:val="solid"/>
            <w14:bevel/>
          </w14:textOutline>
        </w:rPr>
        <w:t>此给</w:t>
      </w:r>
      <w:r>
        <w:rPr>
          <w:rFonts w:hint="eastAsia" w:ascii="黑体" w:hAnsi="黑体" w:eastAsia="黑体" w:cs="黑体"/>
          <w:color w:val="auto"/>
          <w:spacing w:val="11"/>
          <w:sz w:val="20"/>
          <w:szCs w:val="20"/>
          <w:lang w:eastAsia="zh-CN"/>
          <w14:textOutline w14:w="3797" w14:cap="sq" w14:cmpd="sng" w14:algn="ctr">
            <w14:solidFill>
              <w14:srgbClr w14:val="000000"/>
            </w14:solidFill>
            <w14:prstDash w14:val="solid"/>
            <w14:bevel/>
          </w14:textOutline>
        </w:rPr>
        <w:t>服务商</w:t>
      </w:r>
      <w:r>
        <w:rPr>
          <w:rFonts w:ascii="黑体" w:hAnsi="黑体" w:eastAsia="黑体" w:cs="黑体"/>
          <w:color w:val="auto"/>
          <w:spacing w:val="11"/>
          <w:sz w:val="20"/>
          <w:szCs w:val="20"/>
          <w:lang w:eastAsia="zh-CN"/>
          <w14:textOutline w14:w="3797" w14:cap="sq" w14:cmpd="sng" w14:algn="ctr">
            <w14:solidFill>
              <w14:srgbClr w14:val="000000"/>
            </w14:solidFill>
            <w14:prstDash w14:val="solid"/>
            <w14:bevel/>
          </w14:textOutline>
        </w:rPr>
        <w:t>造成的</w:t>
      </w:r>
      <w:r>
        <w:rPr>
          <w:rFonts w:ascii="黑体" w:hAnsi="黑体" w:eastAsia="黑体" w:cs="黑体"/>
          <w:color w:val="auto"/>
          <w:sz w:val="20"/>
          <w:szCs w:val="20"/>
          <w:lang w:eastAsia="zh-CN"/>
        </w:rPr>
        <w:t xml:space="preserve"> </w:t>
      </w:r>
      <w:r>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不利，甚至其投标被拒绝由</w:t>
      </w:r>
      <w:r>
        <w:rPr>
          <w:rFonts w:hint="eastAsia"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服务商</w:t>
      </w:r>
      <w:r>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自行承担</w:t>
      </w:r>
      <w:r>
        <w:rPr>
          <w:rFonts w:ascii="黑体" w:hAnsi="黑体" w:eastAsia="黑体" w:cs="黑体"/>
          <w:color w:val="auto"/>
          <w:spacing w:val="-2"/>
          <w:sz w:val="20"/>
          <w:szCs w:val="20"/>
          <w:lang w:eastAsia="zh-CN"/>
          <w14:textOutline w14:w="3797" w14:cap="sq" w14:cmpd="sng" w14:algn="ctr">
            <w14:solidFill>
              <w14:srgbClr w14:val="000000"/>
            </w14:solidFill>
            <w14:prstDash w14:val="solid"/>
            <w14:bevel/>
          </w14:textOutline>
        </w:rPr>
        <w:t>）</w:t>
      </w:r>
      <w:r>
        <w:rPr>
          <w:rFonts w:ascii="黑体" w:hAnsi="黑体" w:eastAsia="黑体" w:cs="黑体"/>
          <w:color w:val="auto"/>
          <w:spacing w:val="-58"/>
          <w:sz w:val="20"/>
          <w:szCs w:val="20"/>
          <w:lang w:eastAsia="zh-CN"/>
        </w:rPr>
        <w:t xml:space="preserve"> </w:t>
      </w:r>
      <w:r>
        <w:rPr>
          <w:rFonts w:ascii="黑体" w:hAnsi="黑体" w:eastAsia="黑体" w:cs="黑体"/>
          <w:color w:val="auto"/>
          <w:spacing w:val="-2"/>
          <w:sz w:val="20"/>
          <w:szCs w:val="20"/>
          <w:lang w:eastAsia="zh-CN"/>
          <w14:textOutline w14:w="3797" w14:cap="sq" w14:cmpd="sng" w14:algn="ctr">
            <w14:solidFill>
              <w14:srgbClr w14:val="000000"/>
            </w14:solidFill>
            <w14:prstDash w14:val="solid"/>
            <w14:bevel/>
          </w14:textOutline>
        </w:rPr>
        <w:t>，</w:t>
      </w:r>
      <w:r>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也可</w:t>
      </w:r>
      <w:r>
        <w:rPr>
          <w:rFonts w:ascii="黑体" w:hAnsi="黑体" w:eastAsia="黑体" w:cs="黑体"/>
          <w:color w:val="auto"/>
          <w:spacing w:val="9"/>
          <w:sz w:val="20"/>
          <w:szCs w:val="20"/>
          <w:lang w:eastAsia="zh-CN"/>
          <w14:textOutline w14:w="3797" w14:cap="sq" w14:cmpd="sng" w14:algn="ctr">
            <w14:solidFill>
              <w14:srgbClr w14:val="000000"/>
            </w14:solidFill>
            <w14:prstDash w14:val="solid"/>
            <w14:bevel/>
          </w14:textOutline>
        </w:rPr>
        <w:t>以提出更有利于竞争的承诺。</w:t>
      </w:r>
    </w:p>
    <w:p w14:paraId="18EBE808">
      <w:pPr>
        <w:pStyle w:val="8"/>
        <w:spacing w:line="256" w:lineRule="auto"/>
        <w:rPr>
          <w:color w:val="auto"/>
          <w:lang w:eastAsia="zh-CN"/>
        </w:rPr>
      </w:pPr>
    </w:p>
    <w:p w14:paraId="023EAE13">
      <w:pPr>
        <w:pStyle w:val="8"/>
        <w:rPr>
          <w:color w:val="auto"/>
          <w:lang w:eastAsia="zh-CN"/>
        </w:rPr>
      </w:pPr>
    </w:p>
    <w:p w14:paraId="2FCF8BAA">
      <w:pPr>
        <w:pStyle w:val="8"/>
        <w:spacing w:line="257" w:lineRule="auto"/>
        <w:rPr>
          <w:color w:val="auto"/>
          <w:lang w:eastAsia="zh-CN"/>
        </w:rPr>
      </w:pPr>
    </w:p>
    <w:p w14:paraId="36E2F9B1">
      <w:pPr>
        <w:pStyle w:val="8"/>
        <w:spacing w:line="256" w:lineRule="auto"/>
        <w:rPr>
          <w:color w:val="auto"/>
          <w:lang w:eastAsia="zh-CN"/>
        </w:rPr>
      </w:pPr>
    </w:p>
    <w:p w14:paraId="504984A3">
      <w:pPr>
        <w:pStyle w:val="8"/>
        <w:rPr>
          <w:color w:val="auto"/>
          <w:lang w:eastAsia="zh-CN"/>
        </w:rPr>
      </w:pPr>
    </w:p>
    <w:p w14:paraId="1CE47D23">
      <w:pPr>
        <w:pStyle w:val="8"/>
        <w:rPr>
          <w:color w:val="auto"/>
          <w:lang w:eastAsia="zh-CN"/>
        </w:rPr>
      </w:pPr>
    </w:p>
    <w:p w14:paraId="2116B606">
      <w:pPr>
        <w:pStyle w:val="8"/>
        <w:rPr>
          <w:color w:val="auto"/>
          <w:lang w:eastAsia="zh-CN"/>
        </w:rPr>
      </w:pPr>
    </w:p>
    <w:p w14:paraId="6F0B6FB2">
      <w:pPr>
        <w:pStyle w:val="8"/>
        <w:rPr>
          <w:color w:val="auto"/>
          <w:lang w:eastAsia="zh-CN"/>
        </w:rPr>
      </w:pPr>
    </w:p>
    <w:p w14:paraId="5EB9AFC3">
      <w:pPr>
        <w:pStyle w:val="8"/>
        <w:rPr>
          <w:color w:val="auto"/>
          <w:lang w:eastAsia="zh-CN"/>
        </w:rPr>
      </w:pPr>
    </w:p>
    <w:p w14:paraId="7DCE14FA">
      <w:pPr>
        <w:pStyle w:val="8"/>
        <w:rPr>
          <w:color w:val="auto"/>
          <w:lang w:eastAsia="zh-CN"/>
        </w:rPr>
      </w:pPr>
    </w:p>
    <w:p w14:paraId="19B15ABB">
      <w:pPr>
        <w:pStyle w:val="8"/>
        <w:rPr>
          <w:color w:val="auto"/>
          <w:lang w:eastAsia="zh-CN"/>
        </w:rPr>
      </w:pPr>
    </w:p>
    <w:p w14:paraId="3248068C">
      <w:pPr>
        <w:pStyle w:val="8"/>
        <w:rPr>
          <w:color w:val="auto"/>
          <w:lang w:eastAsia="zh-CN"/>
        </w:rPr>
      </w:pPr>
    </w:p>
    <w:p w14:paraId="27262230">
      <w:pPr>
        <w:pStyle w:val="8"/>
        <w:rPr>
          <w:color w:val="auto"/>
          <w:lang w:eastAsia="zh-CN"/>
        </w:rPr>
      </w:pPr>
    </w:p>
    <w:p w14:paraId="5BF0D93F">
      <w:pPr>
        <w:pStyle w:val="8"/>
        <w:rPr>
          <w:color w:val="auto"/>
          <w:lang w:eastAsia="zh-CN"/>
        </w:rPr>
      </w:pPr>
    </w:p>
    <w:p w14:paraId="49CB17A7">
      <w:pPr>
        <w:pStyle w:val="8"/>
        <w:rPr>
          <w:color w:val="auto"/>
          <w:lang w:eastAsia="zh-CN"/>
        </w:rPr>
      </w:pPr>
    </w:p>
    <w:p w14:paraId="147DF390">
      <w:pPr>
        <w:pStyle w:val="8"/>
        <w:rPr>
          <w:color w:val="auto"/>
          <w:lang w:eastAsia="zh-CN"/>
        </w:rPr>
      </w:pPr>
    </w:p>
    <w:p w14:paraId="63C74F54">
      <w:pPr>
        <w:pStyle w:val="8"/>
        <w:rPr>
          <w:color w:val="auto"/>
          <w:lang w:eastAsia="zh-CN"/>
        </w:rPr>
      </w:pPr>
    </w:p>
    <w:p w14:paraId="7C08DF49">
      <w:pPr>
        <w:pStyle w:val="8"/>
        <w:rPr>
          <w:color w:val="auto"/>
          <w:lang w:eastAsia="zh-CN"/>
        </w:rPr>
      </w:pPr>
    </w:p>
    <w:p w14:paraId="66124EEB">
      <w:pPr>
        <w:pStyle w:val="8"/>
        <w:rPr>
          <w:color w:val="auto"/>
          <w:lang w:eastAsia="zh-CN"/>
        </w:rPr>
      </w:pPr>
    </w:p>
    <w:p w14:paraId="473ACEDA">
      <w:pPr>
        <w:pStyle w:val="8"/>
        <w:spacing w:line="241" w:lineRule="auto"/>
        <w:rPr>
          <w:color w:val="auto"/>
          <w:lang w:eastAsia="zh-CN"/>
        </w:rPr>
      </w:pPr>
    </w:p>
    <w:p w14:paraId="58DB7254">
      <w:pPr>
        <w:pStyle w:val="8"/>
        <w:spacing w:line="241" w:lineRule="auto"/>
        <w:rPr>
          <w:color w:val="auto"/>
          <w:lang w:eastAsia="zh-CN"/>
        </w:rPr>
      </w:pPr>
    </w:p>
    <w:p w14:paraId="3F80435D">
      <w:pPr>
        <w:pStyle w:val="8"/>
        <w:spacing w:line="241" w:lineRule="auto"/>
        <w:rPr>
          <w:color w:val="auto"/>
          <w:lang w:eastAsia="zh-CN"/>
        </w:rPr>
      </w:pPr>
    </w:p>
    <w:p w14:paraId="77A9DA41">
      <w:pPr>
        <w:pStyle w:val="8"/>
        <w:spacing w:line="241" w:lineRule="auto"/>
        <w:rPr>
          <w:color w:val="auto"/>
          <w:lang w:eastAsia="zh-CN"/>
        </w:rPr>
      </w:pPr>
    </w:p>
    <w:p w14:paraId="62659CEF">
      <w:pPr>
        <w:pStyle w:val="8"/>
        <w:spacing w:line="241" w:lineRule="auto"/>
        <w:rPr>
          <w:color w:val="auto"/>
          <w:lang w:eastAsia="zh-CN"/>
        </w:rPr>
      </w:pPr>
    </w:p>
    <w:p w14:paraId="793C144E">
      <w:pPr>
        <w:pStyle w:val="8"/>
        <w:spacing w:line="241" w:lineRule="auto"/>
        <w:rPr>
          <w:color w:val="auto"/>
          <w:lang w:eastAsia="zh-CN"/>
        </w:rPr>
      </w:pPr>
    </w:p>
    <w:p w14:paraId="31235DE1">
      <w:pPr>
        <w:pStyle w:val="8"/>
        <w:spacing w:line="241" w:lineRule="auto"/>
        <w:rPr>
          <w:color w:val="auto"/>
          <w:lang w:eastAsia="zh-CN"/>
        </w:rPr>
      </w:pPr>
    </w:p>
    <w:p w14:paraId="51F72E30">
      <w:pPr>
        <w:pStyle w:val="8"/>
        <w:spacing w:line="241" w:lineRule="auto"/>
        <w:rPr>
          <w:color w:val="auto"/>
          <w:lang w:eastAsia="zh-CN"/>
        </w:rPr>
      </w:pPr>
    </w:p>
    <w:p w14:paraId="29A0A182">
      <w:pPr>
        <w:pStyle w:val="8"/>
        <w:spacing w:line="241" w:lineRule="auto"/>
        <w:rPr>
          <w:color w:val="auto"/>
          <w:lang w:eastAsia="zh-CN"/>
        </w:rPr>
      </w:pPr>
    </w:p>
    <w:p w14:paraId="196F7666">
      <w:pPr>
        <w:pStyle w:val="2"/>
        <w:bidi w:val="0"/>
        <w:rPr>
          <w:lang w:eastAsia="zh-CN"/>
        </w:rPr>
      </w:pPr>
      <w:bookmarkStart w:id="296" w:name="_Toc4591"/>
      <w:bookmarkStart w:id="297" w:name="_Toc26974"/>
      <w:r>
        <w:rPr>
          <w:lang w:eastAsia="zh-CN"/>
        </w:rPr>
        <w:t>第七章  投标文件格式</w:t>
      </w:r>
      <w:bookmarkEnd w:id="296"/>
      <w:bookmarkEnd w:id="297"/>
    </w:p>
    <w:p w14:paraId="3A92E9C1">
      <w:pPr>
        <w:spacing w:line="225" w:lineRule="auto"/>
        <w:rPr>
          <w:rFonts w:ascii="黑体" w:hAnsi="黑体" w:eastAsia="黑体" w:cs="黑体"/>
          <w:color w:val="auto"/>
          <w:sz w:val="43"/>
          <w:szCs w:val="43"/>
          <w:lang w:eastAsia="zh-CN"/>
        </w:rPr>
        <w:sectPr>
          <w:headerReference r:id="rId38" w:type="default"/>
          <w:footerReference r:id="rId39" w:type="default"/>
          <w:pgSz w:w="12240" w:h="15840"/>
          <w:pgMar w:top="1440" w:right="1080" w:bottom="1440" w:left="1080" w:header="1233" w:footer="362" w:gutter="0"/>
          <w:pgBorders>
            <w:top w:val="none" w:sz="0" w:space="0"/>
            <w:left w:val="none" w:sz="0" w:space="0"/>
            <w:bottom w:val="none" w:sz="0" w:space="0"/>
            <w:right w:val="none" w:sz="0" w:space="0"/>
          </w:pgBorders>
          <w:pgNumType w:fmt="decimal"/>
          <w:cols w:space="720" w:num="1"/>
        </w:sectPr>
      </w:pPr>
    </w:p>
    <w:p w14:paraId="48327721">
      <w:pPr>
        <w:pStyle w:val="8"/>
        <w:spacing w:line="281" w:lineRule="auto"/>
        <w:rPr>
          <w:color w:val="auto"/>
          <w:lang w:eastAsia="zh-CN"/>
        </w:rPr>
      </w:pPr>
    </w:p>
    <w:p w14:paraId="52785DD3">
      <w:pPr>
        <w:spacing w:before="309" w:line="212" w:lineRule="auto"/>
        <w:jc w:val="center"/>
        <w:rPr>
          <w:rFonts w:ascii="黑体" w:hAnsi="黑体" w:eastAsia="黑体" w:cs="黑体"/>
          <w:color w:val="auto"/>
          <w:spacing w:val="5"/>
          <w:sz w:val="52"/>
          <w:szCs w:val="52"/>
          <w:lang w:eastAsia="zh-CN"/>
          <w14:textOutline w14:w="17437" w14:cap="sq" w14:cmpd="sng" w14:algn="ctr">
            <w14:solidFill>
              <w14:srgbClr w14:val="000000"/>
            </w14:solidFill>
            <w14:prstDash w14:val="solid"/>
            <w14:bevel/>
          </w14:textOutline>
        </w:rPr>
      </w:pPr>
      <w:r>
        <w:rPr>
          <w:rFonts w:hint="eastAsia" w:ascii="黑体" w:hAnsi="黑体" w:eastAsia="黑体" w:cs="黑体"/>
          <w:color w:val="auto"/>
          <w:spacing w:val="5"/>
          <w:sz w:val="52"/>
          <w:szCs w:val="52"/>
          <w:lang w:eastAsia="zh-CN"/>
          <w14:textOutline w14:w="17437" w14:cap="sq" w14:cmpd="sng" w14:algn="ctr">
            <w14:solidFill>
              <w14:srgbClr w14:val="000000"/>
            </w14:solidFill>
            <w14:prstDash w14:val="solid"/>
            <w14:bevel/>
          </w14:textOutline>
        </w:rPr>
        <w:t>尼勒克县人民医院医疗服务能力数字设施标准化建设项目（包1）</w:t>
      </w:r>
    </w:p>
    <w:p w14:paraId="2BA1FC57">
      <w:pPr>
        <w:pStyle w:val="8"/>
        <w:spacing w:line="245" w:lineRule="auto"/>
        <w:rPr>
          <w:color w:val="auto"/>
          <w:lang w:eastAsia="zh-CN"/>
        </w:rPr>
      </w:pPr>
    </w:p>
    <w:p w14:paraId="351BEA1A">
      <w:pPr>
        <w:pStyle w:val="8"/>
        <w:spacing w:line="245" w:lineRule="auto"/>
        <w:rPr>
          <w:color w:val="auto"/>
          <w:lang w:eastAsia="zh-CN"/>
        </w:rPr>
      </w:pPr>
    </w:p>
    <w:p w14:paraId="75979D11">
      <w:pPr>
        <w:pStyle w:val="8"/>
        <w:spacing w:line="245" w:lineRule="auto"/>
        <w:rPr>
          <w:color w:val="auto"/>
          <w:lang w:eastAsia="zh-CN"/>
        </w:rPr>
      </w:pPr>
    </w:p>
    <w:p w14:paraId="1B3A5151">
      <w:pPr>
        <w:pStyle w:val="8"/>
        <w:spacing w:line="245" w:lineRule="auto"/>
        <w:rPr>
          <w:color w:val="auto"/>
          <w:lang w:eastAsia="zh-CN"/>
        </w:rPr>
      </w:pPr>
    </w:p>
    <w:p w14:paraId="0D9973DB">
      <w:pPr>
        <w:pStyle w:val="8"/>
        <w:spacing w:line="245" w:lineRule="auto"/>
        <w:rPr>
          <w:color w:val="auto"/>
          <w:lang w:eastAsia="zh-CN"/>
        </w:rPr>
      </w:pPr>
    </w:p>
    <w:p w14:paraId="69D01AA9">
      <w:pPr>
        <w:pStyle w:val="8"/>
        <w:spacing w:line="245" w:lineRule="auto"/>
        <w:rPr>
          <w:color w:val="auto"/>
          <w:lang w:eastAsia="zh-CN"/>
        </w:rPr>
      </w:pPr>
    </w:p>
    <w:p w14:paraId="79C0D653">
      <w:pPr>
        <w:pStyle w:val="8"/>
        <w:spacing w:line="245" w:lineRule="auto"/>
        <w:rPr>
          <w:color w:val="auto"/>
          <w:lang w:eastAsia="zh-CN"/>
        </w:rPr>
      </w:pPr>
    </w:p>
    <w:p w14:paraId="695C430E">
      <w:pPr>
        <w:pStyle w:val="8"/>
        <w:spacing w:line="245" w:lineRule="auto"/>
        <w:rPr>
          <w:color w:val="auto"/>
          <w:lang w:eastAsia="zh-CN"/>
        </w:rPr>
      </w:pPr>
    </w:p>
    <w:p w14:paraId="7279AF2C">
      <w:pPr>
        <w:pStyle w:val="8"/>
        <w:spacing w:line="245" w:lineRule="auto"/>
        <w:rPr>
          <w:color w:val="auto"/>
          <w:lang w:eastAsia="zh-CN"/>
        </w:rPr>
      </w:pPr>
    </w:p>
    <w:p w14:paraId="493D7F47">
      <w:pPr>
        <w:pStyle w:val="8"/>
        <w:spacing w:line="245" w:lineRule="auto"/>
        <w:rPr>
          <w:color w:val="auto"/>
          <w:lang w:eastAsia="zh-CN"/>
        </w:rPr>
      </w:pPr>
    </w:p>
    <w:p w14:paraId="7BAC4DA7">
      <w:pPr>
        <w:spacing w:before="309" w:line="212" w:lineRule="auto"/>
        <w:ind w:left="3088"/>
        <w:rPr>
          <w:rFonts w:ascii="黑体" w:hAnsi="黑体" w:eastAsia="黑体" w:cs="黑体"/>
          <w:color w:val="auto"/>
          <w:sz w:val="95"/>
          <w:szCs w:val="95"/>
          <w:lang w:eastAsia="zh-CN"/>
        </w:rPr>
      </w:pPr>
      <w:r>
        <w:rPr>
          <w:rFonts w:ascii="黑体" w:hAnsi="黑体" w:eastAsia="黑体" w:cs="黑体"/>
          <w:color w:val="auto"/>
          <w:spacing w:val="5"/>
          <w:sz w:val="95"/>
          <w:szCs w:val="95"/>
          <w:lang w:eastAsia="zh-CN"/>
          <w14:textOutline w14:w="17437" w14:cap="sq" w14:cmpd="sng" w14:algn="ctr">
            <w14:solidFill>
              <w14:srgbClr w14:val="000000"/>
            </w14:solidFill>
            <w14:prstDash w14:val="solid"/>
            <w14:bevel/>
          </w14:textOutline>
        </w:rPr>
        <w:t>投标文件</w:t>
      </w:r>
    </w:p>
    <w:p w14:paraId="0B98BA33">
      <w:pPr>
        <w:spacing w:line="463" w:lineRule="exact"/>
        <w:ind w:left="2092" w:firstLine="966" w:firstLineChars="300"/>
        <w:rPr>
          <w:rFonts w:ascii="黑体" w:hAnsi="黑体" w:eastAsia="黑体" w:cs="黑体"/>
          <w:color w:val="auto"/>
          <w:spacing w:val="6"/>
          <w:position w:val="4"/>
          <w:sz w:val="31"/>
          <w:szCs w:val="31"/>
          <w:lang w:eastAsia="zh-CN"/>
          <w14:textOutline w14:w="5791" w14:cap="sq" w14:cmpd="sng" w14:algn="ctr">
            <w14:solidFill>
              <w14:srgbClr w14:val="000000"/>
            </w14:solidFill>
            <w14:prstDash w14:val="solid"/>
            <w14:bevel/>
          </w14:textOutline>
        </w:rPr>
      </w:pPr>
    </w:p>
    <w:p w14:paraId="105249F7">
      <w:pPr>
        <w:spacing w:line="463" w:lineRule="exact"/>
        <w:ind w:left="2092" w:firstLine="966" w:firstLineChars="300"/>
        <w:rPr>
          <w:rFonts w:ascii="Tahoma" w:hAnsi="Tahoma" w:eastAsia="黑体" w:cs="Tahoma"/>
          <w:color w:val="auto"/>
          <w:sz w:val="31"/>
          <w:szCs w:val="31"/>
          <w:lang w:eastAsia="zh-CN"/>
        </w:rPr>
      </w:pPr>
      <w:r>
        <w:rPr>
          <w:rFonts w:ascii="黑体" w:hAnsi="黑体" w:eastAsia="黑体" w:cs="黑体"/>
          <w:color w:val="auto"/>
          <w:spacing w:val="6"/>
          <w:position w:val="4"/>
          <w:sz w:val="31"/>
          <w:szCs w:val="31"/>
          <w:lang w:eastAsia="zh-CN"/>
          <w14:textOutline w14:w="5791" w14:cap="sq" w14:cmpd="sng" w14:algn="ctr">
            <w14:solidFill>
              <w14:srgbClr w14:val="000000"/>
            </w14:solidFill>
            <w14:prstDash w14:val="solid"/>
            <w14:bevel/>
          </w14:textOutline>
        </w:rPr>
        <w:t>项目编号：</w:t>
      </w:r>
      <w:r>
        <w:rPr>
          <w:rFonts w:hint="eastAsia" w:ascii="Tahoma" w:hAnsi="Tahoma" w:eastAsia="宋体" w:cs="Tahoma"/>
          <w:color w:val="auto"/>
          <w:position w:val="4"/>
          <w:sz w:val="31"/>
          <w:szCs w:val="31"/>
          <w:lang w:eastAsia="zh-CN"/>
        </w:rPr>
        <w:t>CTZB-2025-009</w:t>
      </w:r>
    </w:p>
    <w:p w14:paraId="3183C5DA">
      <w:pPr>
        <w:pStyle w:val="8"/>
        <w:spacing w:line="252" w:lineRule="auto"/>
        <w:rPr>
          <w:color w:val="auto"/>
          <w:lang w:eastAsia="zh-CN"/>
        </w:rPr>
      </w:pPr>
    </w:p>
    <w:p w14:paraId="3CCCCC33">
      <w:pPr>
        <w:pStyle w:val="8"/>
        <w:spacing w:line="252" w:lineRule="auto"/>
        <w:rPr>
          <w:color w:val="auto"/>
          <w:lang w:eastAsia="zh-CN"/>
        </w:rPr>
      </w:pPr>
    </w:p>
    <w:p w14:paraId="3F5F0CF5">
      <w:pPr>
        <w:pStyle w:val="8"/>
        <w:spacing w:line="253" w:lineRule="auto"/>
        <w:rPr>
          <w:color w:val="auto"/>
          <w:lang w:eastAsia="zh-CN"/>
        </w:rPr>
      </w:pPr>
    </w:p>
    <w:p w14:paraId="7F68ECC3">
      <w:pPr>
        <w:pStyle w:val="8"/>
        <w:spacing w:line="253" w:lineRule="auto"/>
        <w:rPr>
          <w:color w:val="auto"/>
          <w:lang w:eastAsia="zh-CN"/>
        </w:rPr>
      </w:pPr>
    </w:p>
    <w:p w14:paraId="00193C20">
      <w:pPr>
        <w:pStyle w:val="8"/>
        <w:spacing w:line="253" w:lineRule="auto"/>
        <w:rPr>
          <w:color w:val="auto"/>
          <w:lang w:eastAsia="zh-CN"/>
        </w:rPr>
      </w:pPr>
    </w:p>
    <w:p w14:paraId="710D8A9E">
      <w:pPr>
        <w:pStyle w:val="8"/>
        <w:spacing w:line="253" w:lineRule="auto"/>
        <w:rPr>
          <w:color w:val="auto"/>
          <w:lang w:eastAsia="zh-CN"/>
        </w:rPr>
      </w:pPr>
    </w:p>
    <w:p w14:paraId="05C3C23A">
      <w:pPr>
        <w:pStyle w:val="8"/>
        <w:spacing w:line="253" w:lineRule="auto"/>
        <w:rPr>
          <w:color w:val="auto"/>
          <w:lang w:eastAsia="zh-CN"/>
        </w:rPr>
      </w:pPr>
    </w:p>
    <w:p w14:paraId="521FD8ED">
      <w:pPr>
        <w:pStyle w:val="8"/>
        <w:spacing w:line="253" w:lineRule="auto"/>
        <w:rPr>
          <w:color w:val="auto"/>
          <w:lang w:eastAsia="zh-CN"/>
        </w:rPr>
      </w:pPr>
    </w:p>
    <w:p w14:paraId="64F8D96D">
      <w:pPr>
        <w:pStyle w:val="8"/>
        <w:spacing w:line="253" w:lineRule="auto"/>
        <w:rPr>
          <w:color w:val="auto"/>
          <w:lang w:eastAsia="zh-CN"/>
        </w:rPr>
      </w:pPr>
    </w:p>
    <w:p w14:paraId="2057DB48">
      <w:pPr>
        <w:pStyle w:val="8"/>
        <w:spacing w:line="253" w:lineRule="auto"/>
        <w:rPr>
          <w:color w:val="auto"/>
          <w:lang w:eastAsia="zh-CN"/>
        </w:rPr>
      </w:pPr>
    </w:p>
    <w:p w14:paraId="17ABE483">
      <w:pPr>
        <w:pStyle w:val="8"/>
        <w:spacing w:line="253" w:lineRule="auto"/>
        <w:rPr>
          <w:color w:val="auto"/>
          <w:lang w:eastAsia="zh-CN"/>
        </w:rPr>
      </w:pPr>
    </w:p>
    <w:p w14:paraId="0071E02C">
      <w:pPr>
        <w:pStyle w:val="8"/>
        <w:spacing w:line="253" w:lineRule="auto"/>
        <w:rPr>
          <w:color w:val="auto"/>
          <w:lang w:eastAsia="zh-CN"/>
        </w:rPr>
      </w:pPr>
    </w:p>
    <w:p w14:paraId="336FD045">
      <w:pPr>
        <w:spacing w:before="98" w:line="221" w:lineRule="auto"/>
        <w:ind w:left="910" w:firstLine="264" w:firstLineChars="100"/>
        <w:rPr>
          <w:rFonts w:ascii="黑体" w:hAnsi="黑体" w:eastAsia="黑体" w:cs="黑体"/>
          <w:color w:val="auto"/>
          <w:sz w:val="30"/>
          <w:szCs w:val="30"/>
          <w:lang w:eastAsia="zh-CN"/>
        </w:rPr>
      </w:pPr>
      <w:r>
        <w:rPr>
          <w:rFonts w:ascii="黑体" w:hAnsi="黑体" w:eastAsia="黑体" w:cs="黑体"/>
          <w:color w:val="auto"/>
          <w:spacing w:val="-18"/>
          <w:sz w:val="30"/>
          <w:szCs w:val="30"/>
          <w:lang w:eastAsia="zh-CN"/>
          <w14:textOutline w14:w="5448" w14:cap="sq" w14:cmpd="sng" w14:algn="ctr">
            <w14:solidFill>
              <w14:srgbClr w14:val="000000"/>
            </w14:solidFill>
            <w14:prstDash w14:val="solid"/>
            <w14:bevel/>
          </w14:textOutline>
        </w:rPr>
        <w:t>项</w:t>
      </w:r>
      <w:r>
        <w:rPr>
          <w:rFonts w:ascii="黑体" w:hAnsi="黑体" w:eastAsia="黑体" w:cs="黑体"/>
          <w:color w:val="auto"/>
          <w:spacing w:val="53"/>
          <w:sz w:val="30"/>
          <w:szCs w:val="30"/>
          <w:lang w:eastAsia="zh-CN"/>
        </w:rPr>
        <w:t xml:space="preserve"> </w:t>
      </w:r>
      <w:r>
        <w:rPr>
          <w:rFonts w:ascii="黑体" w:hAnsi="黑体" w:eastAsia="黑体" w:cs="黑体"/>
          <w:color w:val="auto"/>
          <w:spacing w:val="-18"/>
          <w:sz w:val="30"/>
          <w:szCs w:val="30"/>
          <w:lang w:eastAsia="zh-CN"/>
          <w14:textOutline w14:w="5448" w14:cap="sq" w14:cmpd="sng" w14:algn="ctr">
            <w14:solidFill>
              <w14:srgbClr w14:val="000000"/>
            </w14:solidFill>
            <w14:prstDash w14:val="solid"/>
            <w14:bevel/>
          </w14:textOutline>
        </w:rPr>
        <w:t>目</w:t>
      </w:r>
      <w:r>
        <w:rPr>
          <w:rFonts w:ascii="黑体" w:hAnsi="黑体" w:eastAsia="黑体" w:cs="黑体"/>
          <w:color w:val="auto"/>
          <w:spacing w:val="10"/>
          <w:sz w:val="30"/>
          <w:szCs w:val="30"/>
          <w:lang w:eastAsia="zh-CN"/>
        </w:rPr>
        <w:t xml:space="preserve"> </w:t>
      </w:r>
      <w:r>
        <w:rPr>
          <w:rFonts w:ascii="黑体" w:hAnsi="黑体" w:eastAsia="黑体" w:cs="黑体"/>
          <w:color w:val="auto"/>
          <w:spacing w:val="-18"/>
          <w:sz w:val="30"/>
          <w:szCs w:val="30"/>
          <w:lang w:eastAsia="zh-CN"/>
          <w14:textOutline w14:w="5448" w14:cap="sq" w14:cmpd="sng" w14:algn="ctr">
            <w14:solidFill>
              <w14:srgbClr w14:val="000000"/>
            </w14:solidFill>
            <w14:prstDash w14:val="solid"/>
            <w14:bevel/>
          </w14:textOutline>
        </w:rPr>
        <w:t>编</w:t>
      </w:r>
      <w:r>
        <w:rPr>
          <w:rFonts w:ascii="黑体" w:hAnsi="黑体" w:eastAsia="黑体" w:cs="黑体"/>
          <w:color w:val="auto"/>
          <w:spacing w:val="19"/>
          <w:sz w:val="30"/>
          <w:szCs w:val="30"/>
          <w:lang w:eastAsia="zh-CN"/>
        </w:rPr>
        <w:t xml:space="preserve"> </w:t>
      </w:r>
      <w:r>
        <w:rPr>
          <w:rFonts w:ascii="黑体" w:hAnsi="黑体" w:eastAsia="黑体" w:cs="黑体"/>
          <w:color w:val="auto"/>
          <w:spacing w:val="-18"/>
          <w:sz w:val="30"/>
          <w:szCs w:val="30"/>
          <w:lang w:eastAsia="zh-CN"/>
          <w14:textOutline w14:w="5448" w14:cap="sq" w14:cmpd="sng" w14:algn="ctr">
            <w14:solidFill>
              <w14:srgbClr w14:val="000000"/>
            </w14:solidFill>
            <w14:prstDash w14:val="solid"/>
            <w14:bevel/>
          </w14:textOutline>
        </w:rPr>
        <w:t>号：</w:t>
      </w:r>
      <w:r>
        <w:rPr>
          <w:rFonts w:ascii="黑体" w:hAnsi="黑体" w:eastAsia="黑体" w:cs="黑体"/>
          <w:color w:val="auto"/>
          <w:sz w:val="30"/>
          <w:szCs w:val="30"/>
          <w:u w:val="single"/>
          <w:lang w:eastAsia="zh-CN"/>
        </w:rPr>
        <w:t xml:space="preserve">                                        </w:t>
      </w:r>
    </w:p>
    <w:p w14:paraId="59E11345">
      <w:pPr>
        <w:spacing w:before="224" w:line="222" w:lineRule="auto"/>
        <w:ind w:left="908" w:firstLine="298" w:firstLineChars="100"/>
        <w:rPr>
          <w:rFonts w:ascii="黑体" w:hAnsi="黑体" w:eastAsia="黑体" w:cs="黑体"/>
          <w:color w:val="auto"/>
          <w:sz w:val="30"/>
          <w:szCs w:val="30"/>
          <w:lang w:eastAsia="zh-CN"/>
        </w:rPr>
      </w:pPr>
      <w:r>
        <w:rPr>
          <w:rFonts w:hint="eastAsia" w:ascii="黑体" w:hAnsi="黑体" w:eastAsia="黑体" w:cs="黑体"/>
          <w:color w:val="auto"/>
          <w:spacing w:val="-1"/>
          <w:sz w:val="30"/>
          <w:szCs w:val="30"/>
          <w:lang w:val="en-US" w:eastAsia="zh-CN"/>
          <w14:textOutline w14:w="5448" w14:cap="sq" w14:cmpd="sng" w14:algn="ctr">
            <w14:solidFill>
              <w14:srgbClr w14:val="000000"/>
            </w14:solidFill>
            <w14:prstDash w14:val="solid"/>
            <w14:bevel/>
          </w14:textOutline>
        </w:rPr>
        <w:t>供应商</w:t>
      </w:r>
      <w:r>
        <w:rPr>
          <w:rFonts w:ascii="黑体" w:hAnsi="黑体" w:eastAsia="黑体" w:cs="黑体"/>
          <w:color w:val="auto"/>
          <w:spacing w:val="-1"/>
          <w:sz w:val="30"/>
          <w:szCs w:val="30"/>
          <w:lang w:eastAsia="zh-CN"/>
          <w14:textOutline w14:w="5448" w14:cap="sq" w14:cmpd="sng" w14:algn="ctr">
            <w14:solidFill>
              <w14:srgbClr w14:val="000000"/>
            </w14:solidFill>
            <w14:prstDash w14:val="solid"/>
            <w14:bevel/>
          </w14:textOutline>
        </w:rPr>
        <w:t>名称</w:t>
      </w:r>
      <w:r>
        <w:rPr>
          <w:rFonts w:ascii="黑体" w:hAnsi="黑体" w:eastAsia="黑体" w:cs="黑体"/>
          <w:color w:val="auto"/>
          <w:spacing w:val="-1"/>
          <w:sz w:val="30"/>
          <w:szCs w:val="30"/>
          <w:lang w:eastAsia="zh-CN"/>
        </w:rPr>
        <w:t xml:space="preserve"> </w:t>
      </w:r>
      <w:r>
        <w:rPr>
          <w:rFonts w:ascii="黑体" w:hAnsi="黑体" w:eastAsia="黑体" w:cs="黑体"/>
          <w:color w:val="auto"/>
          <w:spacing w:val="-1"/>
          <w:sz w:val="30"/>
          <w:szCs w:val="30"/>
          <w:lang w:eastAsia="zh-CN"/>
          <w14:textOutline w14:w="5448" w14:cap="sq" w14:cmpd="sng" w14:algn="ctr">
            <w14:solidFill>
              <w14:srgbClr w14:val="000000"/>
            </w14:solidFill>
            <w14:prstDash w14:val="solid"/>
            <w14:bevel/>
          </w14:textOutline>
        </w:rPr>
        <w:t>：</w:t>
      </w:r>
      <w:r>
        <w:rPr>
          <w:rFonts w:ascii="黑体" w:hAnsi="黑体" w:eastAsia="黑体" w:cs="黑体"/>
          <w:color w:val="auto"/>
          <w:sz w:val="30"/>
          <w:szCs w:val="30"/>
          <w:u w:val="single"/>
          <w:lang w:eastAsia="zh-CN"/>
        </w:rPr>
        <w:t xml:space="preserve">                                       </w:t>
      </w:r>
    </w:p>
    <w:p w14:paraId="13B23B99">
      <w:pPr>
        <w:spacing w:before="222" w:line="224" w:lineRule="auto"/>
        <w:ind w:firstLine="1192" w:firstLineChars="400"/>
        <w:rPr>
          <w:rFonts w:ascii="黑体" w:hAnsi="黑体" w:eastAsia="黑体" w:cs="黑体"/>
          <w:color w:val="auto"/>
          <w:sz w:val="30"/>
          <w:szCs w:val="30"/>
          <w:lang w:eastAsia="zh-CN"/>
        </w:rPr>
      </w:pPr>
      <w:r>
        <w:rPr>
          <w:rFonts w:hint="eastAsia" w:ascii="黑体" w:hAnsi="黑体" w:eastAsia="黑体" w:cs="黑体"/>
          <w:color w:val="auto"/>
          <w:spacing w:val="-1"/>
          <w:sz w:val="30"/>
          <w:szCs w:val="30"/>
          <w:lang w:val="en-US" w:eastAsia="zh-CN"/>
          <w14:textOutline w14:w="5448" w14:cap="sq" w14:cmpd="sng" w14:algn="ctr">
            <w14:solidFill>
              <w14:srgbClr w14:val="000000"/>
            </w14:solidFill>
            <w14:prstDash w14:val="solid"/>
            <w14:bevel/>
          </w14:textOutline>
        </w:rPr>
        <w:t>日      期 ：</w:t>
      </w:r>
      <w:r>
        <w:rPr>
          <w:rFonts w:ascii="黑体" w:hAnsi="黑体" w:eastAsia="黑体" w:cs="黑体"/>
          <w:color w:val="auto"/>
          <w:sz w:val="30"/>
          <w:szCs w:val="30"/>
          <w:u w:val="single"/>
          <w:lang w:eastAsia="zh-CN"/>
        </w:rPr>
        <w:t xml:space="preserve">                                        </w:t>
      </w:r>
    </w:p>
    <w:p w14:paraId="368FCB4B">
      <w:pPr>
        <w:spacing w:line="224" w:lineRule="auto"/>
        <w:rPr>
          <w:rFonts w:ascii="黑体" w:hAnsi="黑体" w:eastAsia="黑体" w:cs="黑体"/>
          <w:color w:val="auto"/>
          <w:sz w:val="30"/>
          <w:szCs w:val="30"/>
          <w:lang w:eastAsia="zh-CN"/>
        </w:rPr>
        <w:sectPr>
          <w:footerReference r:id="rId40" w:type="default"/>
          <w:pgSz w:w="12240" w:h="15840"/>
          <w:pgMar w:top="1440" w:right="1080" w:bottom="1440" w:left="1080" w:header="1233" w:footer="362" w:gutter="0"/>
          <w:pgBorders>
            <w:top w:val="none" w:sz="0" w:space="0"/>
            <w:left w:val="none" w:sz="0" w:space="0"/>
            <w:bottom w:val="none" w:sz="0" w:space="0"/>
            <w:right w:val="none" w:sz="0" w:space="0"/>
          </w:pgBorders>
          <w:pgNumType w:fmt="decimal"/>
          <w:cols w:space="720" w:num="1"/>
        </w:sectPr>
      </w:pPr>
    </w:p>
    <w:p w14:paraId="39CB2153">
      <w:pPr>
        <w:spacing w:before="116" w:line="227" w:lineRule="auto"/>
        <w:ind w:left="2910"/>
        <w:rPr>
          <w:rFonts w:ascii="黑体" w:hAnsi="黑体" w:eastAsia="黑体" w:cs="黑体"/>
          <w:color w:val="auto"/>
          <w:sz w:val="31"/>
          <w:szCs w:val="31"/>
          <w:lang w:eastAsia="zh-CN"/>
        </w:rPr>
      </w:pPr>
      <w:r>
        <w:rPr>
          <w:rFonts w:ascii="黑体" w:hAnsi="黑体" w:eastAsia="黑体" w:cs="黑体"/>
          <w:color w:val="auto"/>
          <w:spacing w:val="10"/>
          <w:sz w:val="31"/>
          <w:szCs w:val="31"/>
          <w:lang w:eastAsia="zh-CN"/>
          <w14:textOutline w14:w="5791" w14:cap="sq" w14:cmpd="sng" w14:algn="ctr">
            <w14:solidFill>
              <w14:srgbClr w14:val="000000"/>
            </w14:solidFill>
            <w14:prstDash w14:val="solid"/>
            <w14:bevel/>
          </w14:textOutline>
        </w:rPr>
        <w:t>第一部分、投标主要文件目录</w:t>
      </w:r>
    </w:p>
    <w:p w14:paraId="400E0B80">
      <w:pPr>
        <w:pStyle w:val="8"/>
        <w:spacing w:line="246" w:lineRule="auto"/>
        <w:rPr>
          <w:color w:val="auto"/>
          <w:lang w:eastAsia="zh-CN"/>
        </w:rPr>
      </w:pPr>
    </w:p>
    <w:p w14:paraId="08625479">
      <w:pPr>
        <w:pStyle w:val="8"/>
        <w:spacing w:line="246" w:lineRule="auto"/>
        <w:rPr>
          <w:color w:val="auto"/>
          <w:lang w:eastAsia="zh-CN"/>
        </w:rPr>
      </w:pPr>
    </w:p>
    <w:p w14:paraId="51AE1F98">
      <w:pPr>
        <w:spacing w:before="65" w:line="360" w:lineRule="auto"/>
        <w:ind w:left="17"/>
        <w:rPr>
          <w:rFonts w:ascii="宋体" w:hAnsi="宋体" w:eastAsia="宋体" w:cs="宋体"/>
          <w:color w:val="auto"/>
          <w:sz w:val="20"/>
          <w:szCs w:val="20"/>
          <w:lang w:eastAsia="zh-CN"/>
        </w:rPr>
      </w:pPr>
      <w:r>
        <w:rPr>
          <w:rFonts w:ascii="宋体" w:hAnsi="宋体" w:eastAsia="宋体" w:cs="宋体"/>
          <w:color w:val="auto"/>
          <w:spacing w:val="5"/>
          <w:sz w:val="20"/>
          <w:szCs w:val="20"/>
          <w:lang w:eastAsia="zh-CN"/>
        </w:rPr>
        <w:t>（一）投标函；</w:t>
      </w:r>
    </w:p>
    <w:p w14:paraId="372278F8">
      <w:pPr>
        <w:spacing w:before="151" w:line="360" w:lineRule="auto"/>
        <w:ind w:left="17"/>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（二）开标一览表；</w:t>
      </w:r>
    </w:p>
    <w:p w14:paraId="528AC44C">
      <w:pPr>
        <w:spacing w:before="153" w:line="360" w:lineRule="auto"/>
        <w:ind w:left="17"/>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（三）技术和商务偏离表；</w:t>
      </w:r>
    </w:p>
    <w:p w14:paraId="46B4C25D">
      <w:pPr>
        <w:spacing w:before="153" w:line="360" w:lineRule="auto"/>
        <w:ind w:left="17"/>
        <w:rPr>
          <w:rFonts w:ascii="宋体" w:hAnsi="宋体" w:eastAsia="宋体" w:cs="宋体"/>
          <w:color w:val="auto"/>
          <w:spacing w:val="7"/>
          <w:sz w:val="20"/>
          <w:szCs w:val="20"/>
          <w:lang w:eastAsia="zh-CN"/>
        </w:rPr>
      </w:pPr>
      <w:r>
        <w:rPr>
          <w:rFonts w:ascii="宋体" w:hAnsi="宋体" w:eastAsia="宋体" w:cs="宋体"/>
          <w:color w:val="auto"/>
          <w:spacing w:val="7"/>
          <w:sz w:val="20"/>
          <w:szCs w:val="20"/>
          <w:lang w:eastAsia="zh-CN"/>
        </w:rPr>
        <w:t>（四）</w:t>
      </w:r>
      <w:r>
        <w:rPr>
          <w:rFonts w:hint="eastAsia" w:ascii="宋体" w:hAnsi="宋体" w:eastAsia="宋体" w:cs="宋体"/>
          <w:color w:val="auto"/>
          <w:spacing w:val="7"/>
          <w:sz w:val="20"/>
          <w:szCs w:val="20"/>
          <w:lang w:val="en-US" w:eastAsia="zh-CN"/>
        </w:rPr>
        <w:t>售后服务方案</w:t>
      </w:r>
      <w:r>
        <w:rPr>
          <w:rFonts w:hint="eastAsia" w:ascii="宋体" w:hAnsi="宋体" w:eastAsia="宋体" w:cs="宋体"/>
          <w:color w:val="auto"/>
          <w:spacing w:val="7"/>
          <w:sz w:val="20"/>
          <w:szCs w:val="20"/>
          <w:lang w:eastAsia="zh-CN"/>
        </w:rPr>
        <w:t>、</w:t>
      </w:r>
      <w:r>
        <w:rPr>
          <w:rFonts w:hint="eastAsia" w:ascii="宋体" w:hAnsi="宋体" w:eastAsia="宋体" w:cs="宋体"/>
          <w:color w:val="auto"/>
          <w:spacing w:val="7"/>
          <w:sz w:val="20"/>
          <w:szCs w:val="20"/>
          <w:lang w:val="en-US" w:eastAsia="zh-CN"/>
        </w:rPr>
        <w:t>质保承诺</w:t>
      </w:r>
      <w:r>
        <w:rPr>
          <w:rFonts w:hint="eastAsia" w:ascii="宋体" w:hAnsi="宋体" w:eastAsia="宋体" w:cs="宋体"/>
          <w:color w:val="auto"/>
          <w:spacing w:val="7"/>
          <w:sz w:val="20"/>
          <w:szCs w:val="20"/>
          <w:lang w:eastAsia="zh-CN"/>
        </w:rPr>
        <w:t>、</w:t>
      </w:r>
      <w:r>
        <w:rPr>
          <w:rFonts w:hint="eastAsia" w:ascii="宋体" w:hAnsi="宋体" w:eastAsia="宋体" w:cs="宋体"/>
          <w:color w:val="auto"/>
          <w:spacing w:val="7"/>
          <w:sz w:val="20"/>
          <w:szCs w:val="20"/>
          <w:lang w:val="en-US" w:eastAsia="zh-CN"/>
        </w:rPr>
        <w:t>售后服务方案</w:t>
      </w:r>
      <w:r>
        <w:rPr>
          <w:rFonts w:ascii="宋体" w:hAnsi="宋体" w:eastAsia="宋体" w:cs="宋体"/>
          <w:color w:val="auto"/>
          <w:spacing w:val="7"/>
          <w:sz w:val="20"/>
          <w:szCs w:val="20"/>
          <w:lang w:eastAsia="zh-CN"/>
        </w:rPr>
        <w:t>；</w:t>
      </w:r>
      <w:r>
        <w:rPr>
          <w:rFonts w:hint="eastAsia" w:ascii="宋体" w:hAnsi="宋体" w:eastAsia="宋体" w:cs="宋体"/>
          <w:color w:val="auto"/>
          <w:spacing w:val="7"/>
          <w:sz w:val="20"/>
          <w:szCs w:val="20"/>
          <w:lang w:eastAsia="zh-CN"/>
        </w:rPr>
        <w:t>（</w:t>
      </w:r>
      <w:r>
        <w:rPr>
          <w:rFonts w:hint="eastAsia" w:ascii="宋体" w:hAnsi="宋体" w:eastAsia="宋体" w:cs="宋体"/>
          <w:color w:val="auto"/>
          <w:spacing w:val="7"/>
          <w:sz w:val="20"/>
          <w:szCs w:val="20"/>
          <w:lang w:val="en-US" w:eastAsia="zh-CN"/>
        </w:rPr>
        <w:t>根据评分办法编写</w:t>
      </w:r>
      <w:r>
        <w:rPr>
          <w:rFonts w:hint="eastAsia" w:ascii="宋体" w:hAnsi="宋体" w:eastAsia="宋体" w:cs="宋体"/>
          <w:color w:val="auto"/>
          <w:spacing w:val="7"/>
          <w:sz w:val="20"/>
          <w:szCs w:val="20"/>
          <w:lang w:eastAsia="zh-CN"/>
        </w:rPr>
        <w:t>）</w:t>
      </w:r>
    </w:p>
    <w:p w14:paraId="3A079568">
      <w:pPr>
        <w:spacing w:before="153" w:line="360" w:lineRule="auto"/>
        <w:ind w:left="17"/>
        <w:rPr>
          <w:rFonts w:ascii="宋体" w:hAnsi="宋体" w:eastAsia="宋体" w:cs="宋体"/>
          <w:color w:val="auto"/>
          <w:spacing w:val="7"/>
          <w:sz w:val="20"/>
          <w:szCs w:val="20"/>
          <w:lang w:eastAsia="zh-CN"/>
        </w:rPr>
      </w:pPr>
      <w:r>
        <w:rPr>
          <w:rFonts w:ascii="宋体" w:hAnsi="宋体" w:eastAsia="宋体" w:cs="宋体"/>
          <w:color w:val="auto"/>
          <w:spacing w:val="7"/>
          <w:sz w:val="20"/>
          <w:szCs w:val="20"/>
          <w:lang w:eastAsia="zh-CN"/>
        </w:rPr>
        <w:t>（五）</w:t>
      </w:r>
      <w:r>
        <w:rPr>
          <w:rFonts w:hint="eastAsia" w:ascii="宋体" w:hAnsi="宋体" w:eastAsia="宋体" w:cs="宋体"/>
          <w:color w:val="auto"/>
          <w:spacing w:val="7"/>
          <w:sz w:val="20"/>
          <w:szCs w:val="20"/>
          <w:lang w:eastAsia="zh-CN"/>
        </w:rPr>
        <w:t>服务商需要说明的其他内容及相关文件资料（如产品出厂标准，质量检验、检测报告，产品合格证， 质量管理体系认证，环境管理体系认证等）。</w:t>
      </w:r>
    </w:p>
    <w:p w14:paraId="06A5B0E2">
      <w:pPr>
        <w:spacing w:before="153" w:line="228" w:lineRule="auto"/>
        <w:ind w:left="17"/>
        <w:rPr>
          <w:rFonts w:ascii="宋体" w:hAnsi="宋体" w:eastAsia="宋体" w:cs="宋体"/>
          <w:color w:val="auto"/>
          <w:spacing w:val="7"/>
          <w:sz w:val="20"/>
          <w:szCs w:val="20"/>
          <w:lang w:eastAsia="zh-CN"/>
        </w:rPr>
      </w:pPr>
    </w:p>
    <w:p w14:paraId="47D91162">
      <w:pPr>
        <w:spacing w:line="227" w:lineRule="auto"/>
        <w:rPr>
          <w:rFonts w:ascii="宋体" w:hAnsi="宋体" w:eastAsia="宋体" w:cs="宋体"/>
          <w:color w:val="auto"/>
          <w:sz w:val="20"/>
          <w:szCs w:val="20"/>
          <w:lang w:eastAsia="zh-CN"/>
        </w:rPr>
        <w:sectPr>
          <w:footerReference r:id="rId41" w:type="default"/>
          <w:pgSz w:w="12240" w:h="15840"/>
          <w:pgMar w:top="1440" w:right="1080" w:bottom="1440" w:left="1080" w:header="1233" w:footer="362" w:gutter="0"/>
          <w:pgBorders>
            <w:top w:val="none" w:sz="0" w:space="0"/>
            <w:left w:val="none" w:sz="0" w:space="0"/>
            <w:bottom w:val="none" w:sz="0" w:space="0"/>
            <w:right w:val="none" w:sz="0" w:space="0"/>
          </w:pgBorders>
          <w:pgNumType w:fmt="decimal"/>
          <w:cols w:space="720" w:num="1"/>
        </w:sectPr>
      </w:pPr>
    </w:p>
    <w:p w14:paraId="152DF7F8">
      <w:pPr>
        <w:spacing w:before="78" w:line="223" w:lineRule="auto"/>
        <w:ind w:left="4032"/>
        <w:outlineLvl w:val="0"/>
        <w:rPr>
          <w:rFonts w:ascii="黑体" w:hAnsi="黑体" w:eastAsia="黑体" w:cs="黑体"/>
          <w:color w:val="auto"/>
          <w:sz w:val="28"/>
          <w:szCs w:val="28"/>
          <w:lang w:eastAsia="zh-CN"/>
        </w:rPr>
      </w:pPr>
      <w:bookmarkStart w:id="298" w:name="_Toc23463"/>
      <w:bookmarkStart w:id="299" w:name="_Toc14822"/>
      <w:bookmarkStart w:id="300" w:name="_Toc29089"/>
      <w:r>
        <w:rPr>
          <w:rFonts w:ascii="黑体" w:hAnsi="黑体" w:eastAsia="黑体" w:cs="黑体"/>
          <w:color w:val="auto"/>
          <w:spacing w:val="-4"/>
          <w:sz w:val="28"/>
          <w:szCs w:val="28"/>
          <w:lang w:eastAsia="zh-CN"/>
          <w14:textOutline w14:w="5105" w14:cap="sq" w14:cmpd="sng" w14:algn="ctr">
            <w14:solidFill>
              <w14:srgbClr w14:val="000000"/>
            </w14:solidFill>
            <w14:prstDash w14:val="solid"/>
            <w14:bevel/>
          </w14:textOutline>
        </w:rPr>
        <w:t>（一）、投标函</w:t>
      </w:r>
      <w:bookmarkEnd w:id="298"/>
      <w:bookmarkEnd w:id="299"/>
      <w:bookmarkEnd w:id="300"/>
    </w:p>
    <w:p w14:paraId="17075CDC">
      <w:pPr>
        <w:spacing w:before="193" w:line="227" w:lineRule="auto"/>
        <w:ind w:left="6"/>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致：</w:t>
      </w:r>
      <w:r>
        <w:rPr>
          <w:rFonts w:ascii="宋体" w:hAnsi="宋体" w:eastAsia="宋体" w:cs="宋体"/>
          <w:color w:val="auto"/>
          <w:spacing w:val="6"/>
          <w:sz w:val="20"/>
          <w:szCs w:val="20"/>
          <w:u w:val="single"/>
          <w:lang w:eastAsia="zh-CN"/>
        </w:rPr>
        <w:t xml:space="preserve">        采购人名称</w:t>
      </w:r>
      <w:r>
        <w:rPr>
          <w:rFonts w:ascii="宋体" w:hAnsi="宋体" w:eastAsia="宋体" w:cs="宋体"/>
          <w:color w:val="auto"/>
          <w:spacing w:val="1"/>
          <w:sz w:val="20"/>
          <w:szCs w:val="20"/>
          <w:u w:val="single"/>
          <w:lang w:eastAsia="zh-CN"/>
        </w:rPr>
        <w:t xml:space="preserve">         </w:t>
      </w:r>
    </w:p>
    <w:p w14:paraId="29D5776E">
      <w:pPr>
        <w:spacing w:before="241" w:line="297" w:lineRule="auto"/>
        <w:ind w:left="11" w:right="54" w:firstLine="415"/>
        <w:jc w:val="both"/>
        <w:rPr>
          <w:rFonts w:ascii="宋体" w:hAnsi="宋体" w:eastAsia="宋体" w:cs="宋体"/>
          <w:color w:val="auto"/>
          <w:sz w:val="20"/>
          <w:szCs w:val="20"/>
          <w:lang w:eastAsia="zh-CN"/>
        </w:rPr>
      </w:pPr>
      <w:r>
        <w:rPr>
          <w:rFonts w:ascii="宋体" w:hAnsi="宋体" w:eastAsia="宋体" w:cs="宋体"/>
          <w:color w:val="auto"/>
          <w:spacing w:val="17"/>
          <w:sz w:val="20"/>
          <w:szCs w:val="20"/>
          <w:lang w:eastAsia="zh-CN"/>
        </w:rPr>
        <w:t xml:space="preserve">根据贵方为 </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z w:val="20"/>
          <w:szCs w:val="20"/>
          <w:u w:val="single"/>
          <w:lang w:eastAsia="zh-CN"/>
        </w:rPr>
        <w:t xml:space="preserve">                  </w:t>
      </w:r>
      <w:r>
        <w:rPr>
          <w:rFonts w:ascii="宋体" w:hAnsi="宋体" w:eastAsia="宋体" w:cs="宋体"/>
          <w:color w:val="auto"/>
          <w:spacing w:val="-87"/>
          <w:sz w:val="20"/>
          <w:szCs w:val="20"/>
          <w:lang w:eastAsia="zh-CN"/>
        </w:rPr>
        <w:t xml:space="preserve"> </w:t>
      </w:r>
      <w:r>
        <w:rPr>
          <w:rFonts w:ascii="宋体" w:hAnsi="宋体" w:eastAsia="宋体" w:cs="宋体"/>
          <w:color w:val="auto"/>
          <w:spacing w:val="17"/>
          <w:sz w:val="20"/>
          <w:szCs w:val="20"/>
          <w:lang w:eastAsia="zh-CN"/>
        </w:rPr>
        <w:t>项目的招标公告（项目编</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号）</w:t>
      </w:r>
      <w:r>
        <w:rPr>
          <w:rFonts w:ascii="Tahoma" w:hAnsi="Tahoma" w:eastAsia="Tahoma" w:cs="Tahoma"/>
          <w:color w:val="auto"/>
          <w:spacing w:val="8"/>
          <w:sz w:val="20"/>
          <w:szCs w:val="20"/>
          <w:lang w:eastAsia="zh-CN"/>
        </w:rPr>
        <w:t>:</w:t>
      </w:r>
      <w:r>
        <w:rPr>
          <w:rFonts w:ascii="Tahoma" w:hAnsi="Tahoma" w:eastAsia="Tahoma" w:cs="Tahoma"/>
          <w:color w:val="auto"/>
          <w:spacing w:val="42"/>
          <w:w w:val="101"/>
          <w:sz w:val="20"/>
          <w:szCs w:val="20"/>
          <w:lang w:eastAsia="zh-CN"/>
        </w:rPr>
        <w:t xml:space="preserve"> </w:t>
      </w:r>
      <w:r>
        <w:rPr>
          <w:rFonts w:ascii="Tahoma" w:hAnsi="Tahoma" w:eastAsia="Tahoma" w:cs="Tahoma"/>
          <w:color w:val="auto"/>
          <w:spacing w:val="1"/>
          <w:sz w:val="20"/>
          <w:szCs w:val="20"/>
          <w:u w:val="single"/>
          <w:lang w:eastAsia="zh-CN"/>
        </w:rPr>
        <w:t xml:space="preserve">                                         </w:t>
      </w:r>
      <w:r>
        <w:rPr>
          <w:rFonts w:ascii="Tahoma" w:hAnsi="Tahoma" w:eastAsia="Tahoma" w:cs="Tahoma"/>
          <w:color w:val="auto"/>
          <w:sz w:val="20"/>
          <w:szCs w:val="20"/>
          <w:u w:val="single"/>
          <w:lang w:eastAsia="zh-CN"/>
        </w:rPr>
        <w:t xml:space="preserve">              </w:t>
      </w:r>
      <w:r>
        <w:rPr>
          <w:rFonts w:ascii="Tahoma" w:hAnsi="Tahoma" w:eastAsia="Tahoma" w:cs="Tahoma"/>
          <w:color w:val="auto"/>
          <w:spacing w:val="-35"/>
          <w:sz w:val="20"/>
          <w:szCs w:val="20"/>
          <w:lang w:eastAsia="zh-CN"/>
        </w:rPr>
        <w:t xml:space="preserve"> </w:t>
      </w:r>
      <w:r>
        <w:rPr>
          <w:rFonts w:ascii="宋体" w:hAnsi="宋体" w:eastAsia="宋体" w:cs="宋体"/>
          <w:color w:val="auto"/>
          <w:spacing w:val="8"/>
          <w:sz w:val="20"/>
          <w:szCs w:val="20"/>
          <w:lang w:eastAsia="zh-CN"/>
        </w:rPr>
        <w:t>，本签字代表</w:t>
      </w:r>
      <w:r>
        <w:rPr>
          <w:rFonts w:ascii="宋体" w:hAnsi="宋体" w:eastAsia="宋体" w:cs="宋体"/>
          <w:color w:val="auto"/>
          <w:spacing w:val="8"/>
          <w:sz w:val="20"/>
          <w:szCs w:val="20"/>
          <w:u w:val="single"/>
          <w:lang w:eastAsia="zh-CN"/>
        </w:rPr>
        <w:t xml:space="preserve">    （全名、职务</w:t>
      </w:r>
      <w:r>
        <w:rPr>
          <w:rFonts w:ascii="宋体" w:hAnsi="宋体" w:eastAsia="宋体" w:cs="宋体"/>
          <w:color w:val="auto"/>
          <w:spacing w:val="7"/>
          <w:sz w:val="20"/>
          <w:szCs w:val="20"/>
          <w:u w:val="single"/>
          <w:lang w:eastAsia="zh-CN"/>
        </w:rPr>
        <w:t xml:space="preserve">）    </w:t>
      </w:r>
      <w:r>
        <w:rPr>
          <w:rFonts w:ascii="宋体" w:hAnsi="宋体" w:eastAsia="宋体" w:cs="宋体"/>
          <w:color w:val="auto"/>
          <w:spacing w:val="-88"/>
          <w:sz w:val="20"/>
          <w:szCs w:val="20"/>
          <w:lang w:eastAsia="zh-CN"/>
        </w:rPr>
        <w:t xml:space="preserve"> </w:t>
      </w:r>
      <w:r>
        <w:rPr>
          <w:rFonts w:ascii="宋体" w:hAnsi="宋体" w:eastAsia="宋体" w:cs="宋体"/>
          <w:color w:val="auto"/>
          <w:spacing w:val="7"/>
          <w:sz w:val="20"/>
          <w:szCs w:val="20"/>
          <w:lang w:eastAsia="zh-CN"/>
        </w:rPr>
        <w:t>正式授权并代表投标供应</w:t>
      </w:r>
      <w:r>
        <w:rPr>
          <w:rFonts w:ascii="宋体" w:hAnsi="宋体" w:eastAsia="宋体" w:cs="宋体"/>
          <w:color w:val="auto"/>
          <w:sz w:val="20"/>
          <w:szCs w:val="20"/>
          <w:lang w:eastAsia="zh-CN"/>
        </w:rPr>
        <w:t xml:space="preserve"> </w:t>
      </w:r>
      <w:r>
        <w:rPr>
          <w:rFonts w:ascii="宋体" w:hAnsi="宋体" w:eastAsia="宋体" w:cs="宋体"/>
          <w:color w:val="auto"/>
          <w:spacing w:val="7"/>
          <w:sz w:val="20"/>
          <w:szCs w:val="20"/>
          <w:lang w:eastAsia="zh-CN"/>
        </w:rPr>
        <w:t>商</w:t>
      </w:r>
      <w:r>
        <w:rPr>
          <w:rFonts w:ascii="宋体" w:hAnsi="宋体" w:eastAsia="宋体" w:cs="宋体"/>
          <w:color w:val="auto"/>
          <w:spacing w:val="7"/>
          <w:sz w:val="20"/>
          <w:szCs w:val="20"/>
          <w:u w:val="single"/>
          <w:lang w:eastAsia="zh-CN"/>
        </w:rPr>
        <w:t xml:space="preserve">        （</w:t>
      </w:r>
      <w:r>
        <w:rPr>
          <w:rFonts w:hint="eastAsia" w:ascii="宋体" w:hAnsi="宋体" w:eastAsia="宋体" w:cs="宋体"/>
          <w:color w:val="auto"/>
          <w:spacing w:val="7"/>
          <w:sz w:val="20"/>
          <w:szCs w:val="20"/>
          <w:u w:val="single"/>
          <w:lang w:eastAsia="zh-CN"/>
        </w:rPr>
        <w:t>服务商</w:t>
      </w:r>
      <w:r>
        <w:rPr>
          <w:rFonts w:ascii="宋体" w:hAnsi="宋体" w:eastAsia="宋体" w:cs="宋体"/>
          <w:color w:val="auto"/>
          <w:spacing w:val="7"/>
          <w:sz w:val="20"/>
          <w:szCs w:val="20"/>
          <w:u w:val="single"/>
          <w:lang w:eastAsia="zh-CN"/>
        </w:rPr>
        <w:t xml:space="preserve">名称、地址）         </w:t>
      </w:r>
      <w:r>
        <w:rPr>
          <w:rFonts w:ascii="宋体" w:hAnsi="宋体" w:eastAsia="宋体" w:cs="宋体"/>
          <w:color w:val="auto"/>
          <w:spacing w:val="-76"/>
          <w:sz w:val="20"/>
          <w:szCs w:val="20"/>
          <w:lang w:eastAsia="zh-CN"/>
        </w:rPr>
        <w:t xml:space="preserve"> </w:t>
      </w:r>
      <w:r>
        <w:rPr>
          <w:rFonts w:ascii="宋体" w:hAnsi="宋体" w:eastAsia="宋体" w:cs="宋体"/>
          <w:color w:val="auto"/>
          <w:spacing w:val="7"/>
          <w:sz w:val="20"/>
          <w:szCs w:val="20"/>
          <w:lang w:eastAsia="zh-CN"/>
        </w:rPr>
        <w:t>提交下述文件。</w:t>
      </w:r>
    </w:p>
    <w:p w14:paraId="49A64FA4">
      <w:pPr>
        <w:spacing w:before="115" w:line="228" w:lineRule="auto"/>
        <w:ind w:left="228"/>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w:t>
      </w:r>
      <w:r>
        <w:rPr>
          <w:rFonts w:ascii="Tahoma" w:hAnsi="Tahoma" w:eastAsia="Tahoma" w:cs="Tahoma"/>
          <w:color w:val="auto"/>
          <w:spacing w:val="6"/>
          <w:sz w:val="20"/>
          <w:szCs w:val="20"/>
          <w:lang w:eastAsia="zh-CN"/>
        </w:rPr>
        <w:t>1</w:t>
      </w:r>
      <w:r>
        <w:rPr>
          <w:rFonts w:ascii="宋体" w:hAnsi="宋体" w:eastAsia="宋体" w:cs="宋体"/>
          <w:color w:val="auto"/>
          <w:spacing w:val="6"/>
          <w:sz w:val="20"/>
          <w:szCs w:val="20"/>
          <w:lang w:eastAsia="zh-CN"/>
        </w:rPr>
        <w:t>）开标一览表</w:t>
      </w:r>
    </w:p>
    <w:p w14:paraId="775F7C65">
      <w:pPr>
        <w:spacing w:before="113" w:line="226" w:lineRule="auto"/>
        <w:ind w:left="228"/>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w:t>
      </w:r>
      <w:r>
        <w:rPr>
          <w:rFonts w:ascii="Tahoma" w:hAnsi="Tahoma" w:eastAsia="Tahoma" w:cs="Tahoma"/>
          <w:color w:val="auto"/>
          <w:spacing w:val="6"/>
          <w:sz w:val="20"/>
          <w:szCs w:val="20"/>
          <w:lang w:eastAsia="zh-CN"/>
        </w:rPr>
        <w:t>2</w:t>
      </w:r>
      <w:r>
        <w:rPr>
          <w:rFonts w:ascii="宋体" w:hAnsi="宋体" w:eastAsia="宋体" w:cs="宋体"/>
          <w:color w:val="auto"/>
          <w:spacing w:val="6"/>
          <w:sz w:val="20"/>
          <w:szCs w:val="20"/>
          <w:lang w:eastAsia="zh-CN"/>
        </w:rPr>
        <w:t>）分项报价表</w:t>
      </w:r>
    </w:p>
    <w:p w14:paraId="515A18A7">
      <w:pPr>
        <w:spacing w:before="115" w:line="360" w:lineRule="exact"/>
        <w:ind w:left="228"/>
        <w:rPr>
          <w:rFonts w:ascii="宋体" w:hAnsi="宋体" w:eastAsia="宋体" w:cs="宋体"/>
          <w:color w:val="auto"/>
          <w:sz w:val="20"/>
          <w:szCs w:val="20"/>
          <w:lang w:eastAsia="zh-CN"/>
        </w:rPr>
      </w:pPr>
      <w:r>
        <w:rPr>
          <w:rFonts w:ascii="宋体" w:hAnsi="宋体" w:eastAsia="宋体" w:cs="宋体"/>
          <w:color w:val="auto"/>
          <w:spacing w:val="7"/>
          <w:position w:val="11"/>
          <w:sz w:val="20"/>
          <w:szCs w:val="20"/>
          <w:lang w:eastAsia="zh-CN"/>
        </w:rPr>
        <w:t>（</w:t>
      </w:r>
      <w:r>
        <w:rPr>
          <w:rFonts w:ascii="Tahoma" w:hAnsi="Tahoma" w:eastAsia="Tahoma" w:cs="Tahoma"/>
          <w:color w:val="auto"/>
          <w:spacing w:val="7"/>
          <w:position w:val="11"/>
          <w:sz w:val="20"/>
          <w:szCs w:val="20"/>
          <w:lang w:eastAsia="zh-CN"/>
        </w:rPr>
        <w:t>3</w:t>
      </w:r>
      <w:r>
        <w:rPr>
          <w:rFonts w:ascii="宋体" w:hAnsi="宋体" w:eastAsia="宋体" w:cs="宋体"/>
          <w:color w:val="auto"/>
          <w:spacing w:val="7"/>
          <w:position w:val="11"/>
          <w:sz w:val="20"/>
          <w:szCs w:val="20"/>
          <w:lang w:eastAsia="zh-CN"/>
        </w:rPr>
        <w:t>）货物说明一览表</w:t>
      </w:r>
    </w:p>
    <w:p w14:paraId="2A15FB01">
      <w:pPr>
        <w:spacing w:before="1" w:line="226" w:lineRule="auto"/>
        <w:ind w:left="228"/>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w:t>
      </w:r>
      <w:r>
        <w:rPr>
          <w:rFonts w:ascii="Tahoma" w:hAnsi="Tahoma" w:eastAsia="Tahoma" w:cs="Tahoma"/>
          <w:color w:val="auto"/>
          <w:spacing w:val="7"/>
          <w:sz w:val="20"/>
          <w:szCs w:val="20"/>
          <w:lang w:eastAsia="zh-CN"/>
        </w:rPr>
        <w:t>4</w:t>
      </w:r>
      <w:r>
        <w:rPr>
          <w:rFonts w:ascii="宋体" w:hAnsi="宋体" w:eastAsia="宋体" w:cs="宋体"/>
          <w:color w:val="auto"/>
          <w:spacing w:val="7"/>
          <w:sz w:val="20"/>
          <w:szCs w:val="20"/>
          <w:lang w:eastAsia="zh-CN"/>
        </w:rPr>
        <w:t>）供货范围清单</w:t>
      </w:r>
    </w:p>
    <w:p w14:paraId="107FC8E5">
      <w:pPr>
        <w:spacing w:before="114" w:line="360" w:lineRule="exact"/>
        <w:ind w:left="228"/>
        <w:rPr>
          <w:rFonts w:ascii="宋体" w:hAnsi="宋体" w:eastAsia="宋体" w:cs="宋体"/>
          <w:color w:val="auto"/>
          <w:sz w:val="20"/>
          <w:szCs w:val="20"/>
          <w:lang w:eastAsia="zh-CN"/>
        </w:rPr>
      </w:pPr>
      <w:r>
        <w:rPr>
          <w:rFonts w:ascii="宋体" w:hAnsi="宋体" w:eastAsia="宋体" w:cs="宋体"/>
          <w:color w:val="auto"/>
          <w:spacing w:val="8"/>
          <w:position w:val="11"/>
          <w:sz w:val="20"/>
          <w:szCs w:val="20"/>
          <w:lang w:eastAsia="zh-CN"/>
        </w:rPr>
        <w:t>（</w:t>
      </w:r>
      <w:r>
        <w:rPr>
          <w:rFonts w:ascii="Tahoma" w:hAnsi="Tahoma" w:eastAsia="Tahoma" w:cs="Tahoma"/>
          <w:color w:val="auto"/>
          <w:spacing w:val="8"/>
          <w:position w:val="11"/>
          <w:sz w:val="20"/>
          <w:szCs w:val="20"/>
          <w:lang w:eastAsia="zh-CN"/>
        </w:rPr>
        <w:t>5</w:t>
      </w:r>
      <w:r>
        <w:rPr>
          <w:rFonts w:ascii="宋体" w:hAnsi="宋体" w:eastAsia="宋体" w:cs="宋体"/>
          <w:color w:val="auto"/>
          <w:spacing w:val="8"/>
          <w:position w:val="11"/>
          <w:sz w:val="20"/>
          <w:szCs w:val="20"/>
          <w:lang w:eastAsia="zh-CN"/>
        </w:rPr>
        <w:t>）技术规格和商务偏离表</w:t>
      </w:r>
    </w:p>
    <w:p w14:paraId="2D3A03F3">
      <w:pPr>
        <w:spacing w:before="1" w:line="226" w:lineRule="auto"/>
        <w:ind w:left="228"/>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w:t>
      </w:r>
      <w:r>
        <w:rPr>
          <w:rFonts w:ascii="Tahoma" w:hAnsi="Tahoma" w:eastAsia="Tahoma" w:cs="Tahoma"/>
          <w:color w:val="auto"/>
          <w:spacing w:val="7"/>
          <w:sz w:val="20"/>
          <w:szCs w:val="20"/>
          <w:lang w:eastAsia="zh-CN"/>
        </w:rPr>
        <w:t>6</w:t>
      </w:r>
      <w:r>
        <w:rPr>
          <w:rFonts w:ascii="宋体" w:hAnsi="宋体" w:eastAsia="宋体" w:cs="宋体"/>
          <w:color w:val="auto"/>
          <w:spacing w:val="7"/>
          <w:sz w:val="20"/>
          <w:szCs w:val="20"/>
          <w:lang w:eastAsia="zh-CN"/>
        </w:rPr>
        <w:t>）</w:t>
      </w: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资格证明文件</w:t>
      </w:r>
    </w:p>
    <w:p w14:paraId="614133CD">
      <w:pPr>
        <w:spacing w:before="114" w:line="360" w:lineRule="exact"/>
        <w:ind w:left="228"/>
        <w:rPr>
          <w:rFonts w:ascii="宋体" w:hAnsi="宋体" w:eastAsia="宋体" w:cs="宋体"/>
          <w:color w:val="auto"/>
          <w:sz w:val="20"/>
          <w:szCs w:val="20"/>
          <w:lang w:eastAsia="zh-CN"/>
        </w:rPr>
      </w:pPr>
      <w:r>
        <w:rPr>
          <w:rFonts w:ascii="宋体" w:hAnsi="宋体" w:eastAsia="宋体" w:cs="宋体"/>
          <w:color w:val="auto"/>
          <w:spacing w:val="8"/>
          <w:position w:val="11"/>
          <w:sz w:val="20"/>
          <w:szCs w:val="20"/>
          <w:lang w:eastAsia="zh-CN"/>
        </w:rPr>
        <w:t>（</w:t>
      </w:r>
      <w:r>
        <w:rPr>
          <w:rFonts w:ascii="Tahoma" w:hAnsi="Tahoma" w:eastAsia="Tahoma" w:cs="Tahoma"/>
          <w:color w:val="auto"/>
          <w:spacing w:val="8"/>
          <w:position w:val="11"/>
          <w:sz w:val="20"/>
          <w:szCs w:val="20"/>
          <w:lang w:eastAsia="zh-CN"/>
        </w:rPr>
        <w:t>7</w:t>
      </w:r>
      <w:r>
        <w:rPr>
          <w:rFonts w:ascii="宋体" w:hAnsi="宋体" w:eastAsia="宋体" w:cs="宋体"/>
          <w:color w:val="auto"/>
          <w:spacing w:val="8"/>
          <w:position w:val="11"/>
          <w:sz w:val="20"/>
          <w:szCs w:val="20"/>
          <w:lang w:eastAsia="zh-CN"/>
        </w:rPr>
        <w:t>）质量保证、技术及售后服务承诺书</w:t>
      </w:r>
    </w:p>
    <w:p w14:paraId="5ADBB374">
      <w:pPr>
        <w:spacing w:before="1" w:line="226" w:lineRule="auto"/>
        <w:ind w:left="228"/>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9</w:t>
      </w:r>
      <w:r>
        <w:rPr>
          <w:rFonts w:ascii="宋体" w:hAnsi="宋体" w:eastAsia="宋体" w:cs="宋体"/>
          <w:color w:val="auto"/>
          <w:spacing w:val="8"/>
          <w:sz w:val="20"/>
          <w:szCs w:val="20"/>
          <w:lang w:eastAsia="zh-CN"/>
        </w:rPr>
        <w:t>）</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提交的其它资料</w:t>
      </w:r>
    </w:p>
    <w:p w14:paraId="7A7BBE8F">
      <w:pPr>
        <w:spacing w:before="115" w:line="332" w:lineRule="auto"/>
        <w:ind w:left="228"/>
        <w:rPr>
          <w:rFonts w:ascii="宋体" w:hAnsi="宋体" w:eastAsia="宋体" w:cs="宋体"/>
          <w:color w:val="auto"/>
          <w:sz w:val="20"/>
          <w:szCs w:val="20"/>
          <w:lang w:eastAsia="zh-CN"/>
        </w:rPr>
      </w:pPr>
      <w:r>
        <w:rPr>
          <w:rFonts w:ascii="宋体" w:hAnsi="宋体" w:eastAsia="宋体" w:cs="宋体"/>
          <w:color w:val="auto"/>
          <w:spacing w:val="5"/>
          <w:sz w:val="20"/>
          <w:szCs w:val="20"/>
          <w:lang w:eastAsia="zh-CN"/>
        </w:rPr>
        <w:t>（</w:t>
      </w:r>
      <w:r>
        <w:rPr>
          <w:rFonts w:ascii="Tahoma" w:hAnsi="Tahoma" w:eastAsia="Tahoma" w:cs="Tahoma"/>
          <w:color w:val="auto"/>
          <w:spacing w:val="5"/>
          <w:sz w:val="20"/>
          <w:szCs w:val="20"/>
          <w:lang w:eastAsia="zh-CN"/>
        </w:rPr>
        <w:t>10</w:t>
      </w:r>
      <w:r>
        <w:rPr>
          <w:rFonts w:ascii="宋体" w:hAnsi="宋体" w:eastAsia="宋体" w:cs="宋体"/>
          <w:color w:val="auto"/>
          <w:spacing w:val="5"/>
          <w:sz w:val="20"/>
          <w:szCs w:val="20"/>
          <w:lang w:eastAsia="zh-CN"/>
        </w:rPr>
        <w:t>）</w:t>
      </w:r>
      <w:r>
        <w:rPr>
          <w:rFonts w:ascii="宋体" w:hAnsi="宋体" w:eastAsia="宋体" w:cs="宋体"/>
          <w:color w:val="auto"/>
          <w:spacing w:val="-41"/>
          <w:sz w:val="20"/>
          <w:szCs w:val="20"/>
          <w:lang w:eastAsia="zh-CN"/>
        </w:rPr>
        <w:t xml:space="preserve"> </w:t>
      </w:r>
      <w:r>
        <w:rPr>
          <w:rFonts w:ascii="宋体" w:hAnsi="宋体" w:eastAsia="宋体" w:cs="宋体"/>
          <w:color w:val="auto"/>
          <w:spacing w:val="5"/>
          <w:sz w:val="20"/>
          <w:szCs w:val="20"/>
          <w:lang w:eastAsia="zh-CN"/>
        </w:rPr>
        <w:t xml:space="preserve">以 </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90"/>
          <w:sz w:val="20"/>
          <w:szCs w:val="20"/>
          <w:lang w:eastAsia="zh-CN"/>
        </w:rPr>
        <w:t xml:space="preserve"> </w:t>
      </w:r>
      <w:r>
        <w:rPr>
          <w:rFonts w:ascii="宋体" w:hAnsi="宋体" w:eastAsia="宋体" w:cs="宋体"/>
          <w:color w:val="auto"/>
          <w:spacing w:val="5"/>
          <w:sz w:val="20"/>
          <w:szCs w:val="20"/>
          <w:lang w:eastAsia="zh-CN"/>
        </w:rPr>
        <w:t>方式提供的金额为人民币</w:t>
      </w:r>
      <w:r>
        <w:rPr>
          <w:rFonts w:ascii="宋体" w:hAnsi="宋体" w:eastAsia="宋体" w:cs="宋体"/>
          <w:color w:val="auto"/>
          <w:spacing w:val="-99"/>
          <w:sz w:val="20"/>
          <w:szCs w:val="20"/>
          <w:lang w:eastAsia="zh-CN"/>
        </w:rPr>
        <w:t xml:space="preserve"> </w:t>
      </w:r>
      <w:r>
        <w:rPr>
          <w:rFonts w:ascii="宋体" w:hAnsi="宋体" w:eastAsia="宋体" w:cs="宋体"/>
          <w:color w:val="auto"/>
          <w:spacing w:val="4"/>
          <w:sz w:val="20"/>
          <w:szCs w:val="20"/>
          <w:u w:val="single"/>
          <w:lang w:eastAsia="zh-CN"/>
        </w:rPr>
        <w:t xml:space="preserve">          </w:t>
      </w:r>
      <w:r>
        <w:rPr>
          <w:rFonts w:ascii="宋体" w:hAnsi="宋体" w:eastAsia="宋体" w:cs="宋体"/>
          <w:color w:val="auto"/>
          <w:spacing w:val="-81"/>
          <w:sz w:val="20"/>
          <w:szCs w:val="20"/>
          <w:lang w:eastAsia="zh-CN"/>
        </w:rPr>
        <w:t xml:space="preserve"> </w:t>
      </w:r>
      <w:r>
        <w:rPr>
          <w:rFonts w:ascii="宋体" w:hAnsi="宋体" w:eastAsia="宋体" w:cs="宋体"/>
          <w:color w:val="auto"/>
          <w:spacing w:val="5"/>
          <w:sz w:val="20"/>
          <w:szCs w:val="20"/>
          <w:lang w:eastAsia="zh-CN"/>
        </w:rPr>
        <w:t>元的投标保证金。</w:t>
      </w:r>
    </w:p>
    <w:p w14:paraId="456F475D">
      <w:pPr>
        <w:spacing w:before="1" w:line="226" w:lineRule="auto"/>
        <w:ind w:left="6"/>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据此函，签字代表宣布同意并承诺如下：</w:t>
      </w:r>
    </w:p>
    <w:p w14:paraId="5B0850B5">
      <w:pPr>
        <w:spacing w:before="114" w:line="226" w:lineRule="auto"/>
        <w:ind w:left="338"/>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1</w:t>
      </w:r>
      <w:r>
        <w:rPr>
          <w:rFonts w:ascii="宋体" w:hAnsi="宋体" w:eastAsia="宋体" w:cs="宋体"/>
          <w:color w:val="auto"/>
          <w:spacing w:val="9"/>
          <w:sz w:val="20"/>
          <w:szCs w:val="20"/>
          <w:lang w:eastAsia="zh-CN"/>
        </w:rPr>
        <w:t>、所附投标报价表中的报价为规定的应提供和</w:t>
      </w:r>
      <w:r>
        <w:rPr>
          <w:rFonts w:ascii="宋体" w:hAnsi="宋体" w:eastAsia="宋体" w:cs="宋体"/>
          <w:color w:val="auto"/>
          <w:spacing w:val="8"/>
          <w:sz w:val="20"/>
          <w:szCs w:val="20"/>
          <w:lang w:eastAsia="zh-CN"/>
        </w:rPr>
        <w:t>交付的货物及服务总价。</w:t>
      </w:r>
    </w:p>
    <w:p w14:paraId="1D52E88C">
      <w:pPr>
        <w:spacing w:before="115" w:line="280" w:lineRule="auto"/>
        <w:ind w:left="8" w:right="57" w:firstLine="318"/>
        <w:rPr>
          <w:rFonts w:ascii="宋体" w:hAnsi="宋体" w:eastAsia="宋体" w:cs="宋体"/>
          <w:color w:val="auto"/>
          <w:sz w:val="20"/>
          <w:szCs w:val="20"/>
          <w:lang w:eastAsia="zh-CN"/>
        </w:rPr>
      </w:pPr>
      <w:r>
        <w:rPr>
          <w:rFonts w:ascii="Tahoma" w:hAnsi="Tahoma" w:eastAsia="Tahoma" w:cs="Tahoma"/>
          <w:color w:val="auto"/>
          <w:spacing w:val="12"/>
          <w:sz w:val="20"/>
          <w:szCs w:val="20"/>
          <w:lang w:eastAsia="zh-CN"/>
        </w:rPr>
        <w:t>2</w:t>
      </w:r>
      <w:r>
        <w:rPr>
          <w:rFonts w:ascii="宋体" w:hAnsi="宋体" w:eastAsia="宋体" w:cs="宋体"/>
          <w:color w:val="auto"/>
          <w:spacing w:val="12"/>
          <w:sz w:val="20"/>
          <w:szCs w:val="20"/>
          <w:lang w:eastAsia="zh-CN"/>
        </w:rPr>
        <w:t>、</w:t>
      </w:r>
      <w:r>
        <w:rPr>
          <w:rFonts w:hint="eastAsia" w:ascii="宋体" w:hAnsi="宋体" w:eastAsia="宋体" w:cs="宋体"/>
          <w:color w:val="auto"/>
          <w:spacing w:val="12"/>
          <w:sz w:val="20"/>
          <w:szCs w:val="20"/>
          <w:lang w:eastAsia="zh-CN"/>
        </w:rPr>
        <w:t>服务商</w:t>
      </w:r>
      <w:r>
        <w:rPr>
          <w:rFonts w:ascii="宋体" w:hAnsi="宋体" w:eastAsia="宋体" w:cs="宋体"/>
          <w:color w:val="auto"/>
          <w:spacing w:val="12"/>
          <w:sz w:val="20"/>
          <w:szCs w:val="20"/>
          <w:lang w:eastAsia="zh-CN"/>
        </w:rPr>
        <w:t>已详细审查全部招标文件，包括修改文件（如</w:t>
      </w:r>
      <w:r>
        <w:rPr>
          <w:rFonts w:ascii="宋体" w:hAnsi="宋体" w:eastAsia="宋体" w:cs="宋体"/>
          <w:color w:val="auto"/>
          <w:spacing w:val="11"/>
          <w:sz w:val="20"/>
          <w:szCs w:val="20"/>
          <w:lang w:eastAsia="zh-CN"/>
        </w:rPr>
        <w:t>有的话）和有关附件，将自行承担因对全部招标</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文件理解不正确或误解而产生的相应后果。</w:t>
      </w:r>
    </w:p>
    <w:p w14:paraId="3B4DE8AD">
      <w:pPr>
        <w:spacing w:before="113" w:line="280" w:lineRule="auto"/>
        <w:ind w:left="6" w:firstLine="318"/>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3</w:t>
      </w:r>
      <w:r>
        <w:rPr>
          <w:rFonts w:ascii="宋体" w:hAnsi="宋体" w:eastAsia="宋体" w:cs="宋体"/>
          <w:color w:val="auto"/>
          <w:spacing w:val="8"/>
          <w:sz w:val="20"/>
          <w:szCs w:val="20"/>
          <w:lang w:eastAsia="zh-CN"/>
        </w:rPr>
        <w:t>、</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保证遵守招标文件的全部规定，投标</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所提交的材料中所含的信息均为真实、准确、完整，</w:t>
      </w:r>
      <w:r>
        <w:rPr>
          <w:rFonts w:ascii="宋体" w:hAnsi="宋体" w:eastAsia="宋体" w:cs="宋体"/>
          <w:color w:val="auto"/>
          <w:spacing w:val="13"/>
          <w:sz w:val="20"/>
          <w:szCs w:val="20"/>
          <w:lang w:eastAsia="zh-CN"/>
        </w:rPr>
        <w:t xml:space="preserve"> </w:t>
      </w:r>
      <w:r>
        <w:rPr>
          <w:rFonts w:ascii="宋体" w:hAnsi="宋体" w:eastAsia="宋体" w:cs="宋体"/>
          <w:color w:val="auto"/>
          <w:spacing w:val="8"/>
          <w:sz w:val="20"/>
          <w:szCs w:val="20"/>
          <w:lang w:eastAsia="zh-CN"/>
        </w:rPr>
        <w:t>且不具有任何误导性。</w:t>
      </w:r>
    </w:p>
    <w:p w14:paraId="7F06D084">
      <w:pPr>
        <w:spacing w:before="113" w:line="227" w:lineRule="auto"/>
        <w:ind w:left="319"/>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4</w:t>
      </w:r>
      <w:r>
        <w:rPr>
          <w:rFonts w:ascii="宋体" w:hAnsi="宋体" w:eastAsia="宋体" w:cs="宋体"/>
          <w:color w:val="auto"/>
          <w:spacing w:val="9"/>
          <w:sz w:val="20"/>
          <w:szCs w:val="20"/>
          <w:lang w:eastAsia="zh-CN"/>
        </w:rPr>
        <w:t>、</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将按招标文件的规定履行合同责任和义务。</w:t>
      </w:r>
    </w:p>
    <w:p w14:paraId="5E7FF568">
      <w:pPr>
        <w:spacing w:before="115" w:line="227" w:lineRule="auto"/>
        <w:ind w:left="328"/>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5</w:t>
      </w:r>
      <w:r>
        <w:rPr>
          <w:rFonts w:ascii="宋体" w:hAnsi="宋体" w:eastAsia="宋体" w:cs="宋体"/>
          <w:color w:val="auto"/>
          <w:spacing w:val="7"/>
          <w:sz w:val="20"/>
          <w:szCs w:val="20"/>
          <w:lang w:eastAsia="zh-CN"/>
        </w:rPr>
        <w:t>、本投标文件自开标日起投标有效期为：</w:t>
      </w:r>
      <w:r>
        <w:rPr>
          <w:rFonts w:ascii="宋体" w:hAnsi="宋体" w:eastAsia="宋体" w:cs="宋体"/>
          <w:color w:val="auto"/>
          <w:spacing w:val="7"/>
          <w:sz w:val="20"/>
          <w:szCs w:val="20"/>
          <w:u w:val="single"/>
          <w:lang w:eastAsia="zh-CN"/>
        </w:rPr>
        <w:t xml:space="preserve">        </w:t>
      </w:r>
      <w:r>
        <w:rPr>
          <w:rFonts w:ascii="宋体" w:hAnsi="宋体" w:eastAsia="宋体" w:cs="宋体"/>
          <w:color w:val="auto"/>
          <w:spacing w:val="6"/>
          <w:sz w:val="20"/>
          <w:szCs w:val="20"/>
          <w:u w:val="single"/>
          <w:lang w:eastAsia="zh-CN"/>
        </w:rPr>
        <w:t xml:space="preserve"> </w:t>
      </w:r>
      <w:r>
        <w:rPr>
          <w:rFonts w:ascii="宋体" w:hAnsi="宋体" w:eastAsia="宋体" w:cs="宋体"/>
          <w:color w:val="auto"/>
          <w:spacing w:val="-67"/>
          <w:sz w:val="20"/>
          <w:szCs w:val="20"/>
          <w:lang w:eastAsia="zh-CN"/>
        </w:rPr>
        <w:t xml:space="preserve"> </w:t>
      </w:r>
      <w:r>
        <w:rPr>
          <w:rFonts w:ascii="宋体" w:hAnsi="宋体" w:eastAsia="宋体" w:cs="宋体"/>
          <w:color w:val="auto"/>
          <w:spacing w:val="6"/>
          <w:sz w:val="20"/>
          <w:szCs w:val="20"/>
          <w:lang w:eastAsia="zh-CN"/>
        </w:rPr>
        <w:t>内保持有效。</w:t>
      </w:r>
    </w:p>
    <w:p w14:paraId="503BDF12">
      <w:pPr>
        <w:spacing w:before="114" w:line="227" w:lineRule="auto"/>
        <w:ind w:left="324"/>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6</w:t>
      </w:r>
      <w:r>
        <w:rPr>
          <w:rFonts w:ascii="宋体" w:hAnsi="宋体" w:eastAsia="宋体" w:cs="宋体"/>
          <w:color w:val="auto"/>
          <w:spacing w:val="8"/>
          <w:sz w:val="20"/>
          <w:szCs w:val="20"/>
          <w:lang w:eastAsia="zh-CN"/>
        </w:rPr>
        <w:t>、如果发生招标文件第二章投标人须知第</w:t>
      </w:r>
      <w:r>
        <w:rPr>
          <w:rFonts w:ascii="宋体" w:hAnsi="宋体" w:eastAsia="宋体" w:cs="宋体"/>
          <w:color w:val="auto"/>
          <w:spacing w:val="-30"/>
          <w:sz w:val="20"/>
          <w:szCs w:val="20"/>
          <w:lang w:eastAsia="zh-CN"/>
        </w:rPr>
        <w:t xml:space="preserve"> </w:t>
      </w:r>
      <w:r>
        <w:rPr>
          <w:rFonts w:ascii="Tahoma" w:hAnsi="Tahoma" w:eastAsia="Tahoma" w:cs="Tahoma"/>
          <w:color w:val="auto"/>
          <w:spacing w:val="8"/>
          <w:sz w:val="20"/>
          <w:szCs w:val="20"/>
          <w:lang w:eastAsia="zh-CN"/>
        </w:rPr>
        <w:t>3.9.9</w:t>
      </w:r>
      <w:r>
        <w:rPr>
          <w:rFonts w:ascii="Tahoma" w:hAnsi="Tahoma" w:eastAsia="Tahoma" w:cs="Tahoma"/>
          <w:color w:val="auto"/>
          <w:spacing w:val="55"/>
          <w:sz w:val="20"/>
          <w:szCs w:val="20"/>
          <w:lang w:eastAsia="zh-CN"/>
        </w:rPr>
        <w:t xml:space="preserve"> </w:t>
      </w:r>
      <w:r>
        <w:rPr>
          <w:rFonts w:ascii="宋体" w:hAnsi="宋体" w:eastAsia="宋体" w:cs="宋体"/>
          <w:color w:val="auto"/>
          <w:spacing w:val="8"/>
          <w:sz w:val="20"/>
          <w:szCs w:val="20"/>
          <w:lang w:eastAsia="zh-CN"/>
        </w:rPr>
        <w:t>条所述情况，则同意不予退还投标保证金。</w:t>
      </w:r>
    </w:p>
    <w:p w14:paraId="1D678F42">
      <w:pPr>
        <w:spacing w:before="114" w:line="279" w:lineRule="auto"/>
        <w:ind w:left="7" w:right="57" w:firstLine="317"/>
        <w:rPr>
          <w:rFonts w:ascii="宋体" w:hAnsi="宋体" w:eastAsia="宋体" w:cs="宋体"/>
          <w:color w:val="auto"/>
          <w:sz w:val="20"/>
          <w:szCs w:val="20"/>
          <w:lang w:eastAsia="zh-CN"/>
        </w:rPr>
      </w:pPr>
      <w:r>
        <w:rPr>
          <w:rFonts w:ascii="Tahoma" w:hAnsi="Tahoma" w:eastAsia="Tahoma" w:cs="Tahoma"/>
          <w:color w:val="auto"/>
          <w:spacing w:val="12"/>
          <w:sz w:val="20"/>
          <w:szCs w:val="20"/>
          <w:lang w:eastAsia="zh-CN"/>
        </w:rPr>
        <w:t>7</w:t>
      </w:r>
      <w:r>
        <w:rPr>
          <w:rFonts w:ascii="宋体" w:hAnsi="宋体" w:eastAsia="宋体" w:cs="宋体"/>
          <w:color w:val="auto"/>
          <w:spacing w:val="12"/>
          <w:sz w:val="20"/>
          <w:szCs w:val="20"/>
          <w:lang w:eastAsia="zh-CN"/>
        </w:rPr>
        <w:t>、我方同意提供按照招标人可能要求的与其投标有关的一</w:t>
      </w:r>
      <w:r>
        <w:rPr>
          <w:rFonts w:ascii="宋体" w:hAnsi="宋体" w:eastAsia="宋体" w:cs="宋体"/>
          <w:color w:val="auto"/>
          <w:spacing w:val="11"/>
          <w:sz w:val="20"/>
          <w:szCs w:val="20"/>
          <w:lang w:eastAsia="zh-CN"/>
        </w:rPr>
        <w:t>切数据或资料，完全理解贵方不一定要接受我</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方最低的报价，而是由评标委员会依据招标文件规定的评审要素所作出的评定。</w:t>
      </w:r>
    </w:p>
    <w:p w14:paraId="0C961139">
      <w:pPr>
        <w:spacing w:before="115" w:line="227" w:lineRule="auto"/>
        <w:ind w:left="323"/>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8</w:t>
      </w:r>
      <w:r>
        <w:rPr>
          <w:rFonts w:ascii="宋体" w:hAnsi="宋体" w:eastAsia="宋体" w:cs="宋体"/>
          <w:color w:val="auto"/>
          <w:spacing w:val="8"/>
          <w:sz w:val="20"/>
          <w:szCs w:val="20"/>
          <w:lang w:eastAsia="zh-CN"/>
        </w:rPr>
        <w:t>、与本次投标有关的一切正式往来通讯请寄：</w:t>
      </w:r>
    </w:p>
    <w:p w14:paraId="553B4739">
      <w:pPr>
        <w:spacing w:before="114" w:line="228" w:lineRule="auto"/>
        <w:ind w:left="426"/>
        <w:rPr>
          <w:rFonts w:ascii="宋体" w:hAnsi="宋体" w:eastAsia="宋体" w:cs="宋体"/>
          <w:color w:val="auto"/>
          <w:sz w:val="20"/>
          <w:szCs w:val="20"/>
          <w:lang w:eastAsia="zh-CN"/>
        </w:rPr>
      </w:pPr>
      <w:r>
        <w:rPr>
          <w:rFonts w:ascii="宋体" w:hAnsi="宋体" w:eastAsia="宋体" w:cs="宋体"/>
          <w:color w:val="auto"/>
          <w:sz w:val="20"/>
          <w:szCs w:val="20"/>
          <w:lang w:eastAsia="zh-CN"/>
        </w:rPr>
        <w:t>地址：</w:t>
      </w:r>
      <w:r>
        <w:rPr>
          <w:rFonts w:ascii="宋体" w:hAnsi="宋体" w:eastAsia="宋体" w:cs="宋体"/>
          <w:color w:val="auto"/>
          <w:spacing w:val="21"/>
          <w:sz w:val="20"/>
          <w:szCs w:val="20"/>
          <w:lang w:eastAsia="zh-CN"/>
        </w:rPr>
        <w:t xml:space="preserve"> </w:t>
      </w:r>
      <w:r>
        <w:rPr>
          <w:rFonts w:ascii="宋体" w:hAnsi="宋体" w:eastAsia="宋体" w:cs="宋体"/>
          <w:color w:val="auto"/>
          <w:spacing w:val="2"/>
          <w:sz w:val="20"/>
          <w:szCs w:val="20"/>
          <w:u w:val="single"/>
          <w:lang w:eastAsia="zh-CN"/>
        </w:rPr>
        <w:t xml:space="preserve">                            </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pacing w:val="31"/>
          <w:sz w:val="20"/>
          <w:szCs w:val="20"/>
          <w:lang w:eastAsia="zh-CN"/>
        </w:rPr>
        <w:t xml:space="preserve"> </w:t>
      </w:r>
      <w:r>
        <w:rPr>
          <w:rFonts w:ascii="宋体" w:hAnsi="宋体" w:eastAsia="宋体" w:cs="宋体"/>
          <w:color w:val="auto"/>
          <w:sz w:val="20"/>
          <w:szCs w:val="20"/>
          <w:lang w:eastAsia="zh-CN"/>
        </w:rPr>
        <w:t>邮编：</w:t>
      </w:r>
      <w:r>
        <w:rPr>
          <w:rFonts w:ascii="宋体" w:hAnsi="宋体" w:eastAsia="宋体" w:cs="宋体"/>
          <w:color w:val="auto"/>
          <w:spacing w:val="16"/>
          <w:sz w:val="20"/>
          <w:szCs w:val="20"/>
          <w:lang w:eastAsia="zh-CN"/>
        </w:rPr>
        <w:t xml:space="preserve"> </w:t>
      </w:r>
      <w:r>
        <w:rPr>
          <w:rFonts w:ascii="宋体" w:hAnsi="宋体" w:eastAsia="宋体" w:cs="宋体"/>
          <w:color w:val="auto"/>
          <w:sz w:val="20"/>
          <w:szCs w:val="20"/>
          <w:u w:val="single"/>
          <w:lang w:eastAsia="zh-CN"/>
        </w:rPr>
        <w:t xml:space="preserve">                         </w:t>
      </w:r>
    </w:p>
    <w:p w14:paraId="6B7D7C1E">
      <w:pPr>
        <w:spacing w:before="113" w:line="227" w:lineRule="auto"/>
        <w:ind w:left="451"/>
        <w:rPr>
          <w:rFonts w:ascii="宋体" w:hAnsi="宋体" w:eastAsia="宋体" w:cs="宋体"/>
          <w:color w:val="auto"/>
          <w:sz w:val="20"/>
          <w:szCs w:val="20"/>
          <w:lang w:eastAsia="zh-CN"/>
        </w:rPr>
      </w:pPr>
      <w:r>
        <w:rPr>
          <w:rFonts w:ascii="宋体" w:hAnsi="宋体" w:eastAsia="宋体" w:cs="宋体"/>
          <w:color w:val="auto"/>
          <w:spacing w:val="-1"/>
          <w:sz w:val="20"/>
          <w:szCs w:val="20"/>
          <w:lang w:eastAsia="zh-CN"/>
        </w:rPr>
        <w:t>电话：</w:t>
      </w:r>
      <w:r>
        <w:rPr>
          <w:rFonts w:ascii="宋体" w:hAnsi="宋体" w:eastAsia="宋体" w:cs="宋体"/>
          <w:color w:val="auto"/>
          <w:spacing w:val="19"/>
          <w:sz w:val="20"/>
          <w:szCs w:val="20"/>
          <w:lang w:eastAsia="zh-CN"/>
        </w:rPr>
        <w:t xml:space="preserve"> </w:t>
      </w:r>
      <w:r>
        <w:rPr>
          <w:rFonts w:ascii="宋体" w:hAnsi="宋体" w:eastAsia="宋体" w:cs="宋体"/>
          <w:color w:val="auto"/>
          <w:spacing w:val="2"/>
          <w:sz w:val="20"/>
          <w:szCs w:val="20"/>
          <w:u w:val="single"/>
          <w:lang w:eastAsia="zh-CN"/>
        </w:rPr>
        <w:t xml:space="preserve">                            </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pacing w:val="14"/>
          <w:sz w:val="20"/>
          <w:szCs w:val="20"/>
          <w:lang w:eastAsia="zh-CN"/>
        </w:rPr>
        <w:t xml:space="preserve"> </w:t>
      </w:r>
      <w:r>
        <w:rPr>
          <w:rFonts w:ascii="宋体" w:hAnsi="宋体" w:eastAsia="宋体" w:cs="宋体"/>
          <w:color w:val="auto"/>
          <w:spacing w:val="-1"/>
          <w:sz w:val="20"/>
          <w:szCs w:val="20"/>
          <w:lang w:eastAsia="zh-CN"/>
        </w:rPr>
        <w:t>传真：</w:t>
      </w:r>
      <w:r>
        <w:rPr>
          <w:rFonts w:ascii="宋体" w:hAnsi="宋体" w:eastAsia="宋体" w:cs="宋体"/>
          <w:color w:val="auto"/>
          <w:spacing w:val="16"/>
          <w:sz w:val="20"/>
          <w:szCs w:val="20"/>
          <w:lang w:eastAsia="zh-CN"/>
        </w:rPr>
        <w:t xml:space="preserve"> </w:t>
      </w:r>
      <w:r>
        <w:rPr>
          <w:rFonts w:ascii="宋体" w:hAnsi="宋体" w:eastAsia="宋体" w:cs="宋体"/>
          <w:color w:val="auto"/>
          <w:sz w:val="20"/>
          <w:szCs w:val="20"/>
          <w:u w:val="single"/>
          <w:lang w:eastAsia="zh-CN"/>
        </w:rPr>
        <w:t xml:space="preserve">                         </w:t>
      </w:r>
    </w:p>
    <w:p w14:paraId="7904BD76">
      <w:pPr>
        <w:pStyle w:val="8"/>
        <w:spacing w:line="254" w:lineRule="auto"/>
        <w:rPr>
          <w:color w:val="auto"/>
          <w:lang w:eastAsia="zh-CN"/>
        </w:rPr>
      </w:pPr>
    </w:p>
    <w:p w14:paraId="7D60A635">
      <w:pPr>
        <w:pStyle w:val="8"/>
        <w:spacing w:line="255" w:lineRule="auto"/>
        <w:rPr>
          <w:color w:val="auto"/>
          <w:lang w:eastAsia="zh-CN"/>
        </w:rPr>
      </w:pPr>
    </w:p>
    <w:p w14:paraId="02BF962E">
      <w:pPr>
        <w:pStyle w:val="8"/>
        <w:spacing w:line="255" w:lineRule="auto"/>
        <w:rPr>
          <w:color w:val="auto"/>
          <w:lang w:eastAsia="zh-CN"/>
        </w:rPr>
      </w:pPr>
    </w:p>
    <w:p w14:paraId="7CDA6E30">
      <w:pPr>
        <w:spacing w:before="66" w:line="227" w:lineRule="auto"/>
        <w:ind w:left="4000"/>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投标</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 xml:space="preserve">代表签字： </w:t>
      </w:r>
      <w:r>
        <w:rPr>
          <w:rFonts w:ascii="宋体" w:hAnsi="宋体" w:eastAsia="宋体" w:cs="宋体"/>
          <w:color w:val="auto"/>
          <w:sz w:val="20"/>
          <w:szCs w:val="20"/>
          <w:u w:val="single"/>
          <w:lang w:eastAsia="zh-CN"/>
        </w:rPr>
        <w:t xml:space="preserve">                         </w:t>
      </w:r>
    </w:p>
    <w:p w14:paraId="59CA5235">
      <w:pPr>
        <w:pStyle w:val="8"/>
        <w:spacing w:line="406" w:lineRule="auto"/>
        <w:rPr>
          <w:color w:val="auto"/>
          <w:lang w:eastAsia="zh-CN"/>
        </w:rPr>
      </w:pPr>
    </w:p>
    <w:p w14:paraId="7FF2D5A9">
      <w:pPr>
        <w:spacing w:before="65" w:line="227" w:lineRule="auto"/>
        <w:ind w:left="4000"/>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投标</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（加盖公章</w:t>
      </w:r>
      <w:r>
        <w:rPr>
          <w:rFonts w:ascii="宋体" w:hAnsi="宋体" w:eastAsia="宋体" w:cs="宋体"/>
          <w:color w:val="auto"/>
          <w:spacing w:val="14"/>
          <w:sz w:val="20"/>
          <w:szCs w:val="20"/>
          <w:lang w:eastAsia="zh-CN"/>
        </w:rPr>
        <w:t>）：</w:t>
      </w:r>
      <w:r>
        <w:rPr>
          <w:rFonts w:ascii="宋体" w:hAnsi="宋体" w:eastAsia="宋体" w:cs="宋体"/>
          <w:color w:val="auto"/>
          <w:sz w:val="20"/>
          <w:szCs w:val="20"/>
          <w:u w:val="single"/>
          <w:lang w:eastAsia="zh-CN"/>
        </w:rPr>
        <w:t xml:space="preserve">                       </w:t>
      </w:r>
    </w:p>
    <w:p w14:paraId="7F51383B">
      <w:pPr>
        <w:pStyle w:val="8"/>
        <w:spacing w:line="406" w:lineRule="auto"/>
        <w:rPr>
          <w:color w:val="auto"/>
          <w:lang w:eastAsia="zh-CN"/>
        </w:rPr>
      </w:pPr>
    </w:p>
    <w:p w14:paraId="2CFFE607">
      <w:pPr>
        <w:spacing w:before="66" w:line="228" w:lineRule="auto"/>
        <w:ind w:left="4034"/>
        <w:rPr>
          <w:rFonts w:ascii="宋体" w:hAnsi="宋体" w:eastAsia="宋体" w:cs="宋体"/>
          <w:color w:val="auto"/>
          <w:sz w:val="20"/>
          <w:szCs w:val="20"/>
          <w:lang w:eastAsia="zh-CN"/>
        </w:rPr>
      </w:pPr>
      <w:r>
        <w:rPr>
          <w:rFonts w:ascii="宋体" w:hAnsi="宋体" w:eastAsia="宋体" w:cs="宋体"/>
          <w:color w:val="auto"/>
          <w:spacing w:val="-4"/>
          <w:sz w:val="20"/>
          <w:szCs w:val="20"/>
          <w:lang w:eastAsia="zh-CN"/>
        </w:rPr>
        <w:t>日</w:t>
      </w:r>
      <w:r>
        <w:rPr>
          <w:rFonts w:ascii="宋体" w:hAnsi="宋体" w:eastAsia="宋体" w:cs="宋体"/>
          <w:color w:val="auto"/>
          <w:spacing w:val="12"/>
          <w:sz w:val="20"/>
          <w:szCs w:val="20"/>
          <w:lang w:eastAsia="zh-CN"/>
        </w:rPr>
        <w:t xml:space="preserve">  </w:t>
      </w:r>
      <w:r>
        <w:rPr>
          <w:rFonts w:ascii="宋体" w:hAnsi="宋体" w:eastAsia="宋体" w:cs="宋体"/>
          <w:color w:val="auto"/>
          <w:spacing w:val="-4"/>
          <w:sz w:val="20"/>
          <w:szCs w:val="20"/>
          <w:lang w:eastAsia="zh-CN"/>
        </w:rPr>
        <w:t>期：</w:t>
      </w:r>
      <w:r>
        <w:rPr>
          <w:rFonts w:ascii="宋体" w:hAnsi="宋体" w:eastAsia="宋体" w:cs="宋体"/>
          <w:color w:val="auto"/>
          <w:spacing w:val="4"/>
          <w:sz w:val="20"/>
          <w:szCs w:val="20"/>
          <w:u w:val="single"/>
          <w:lang w:eastAsia="zh-CN"/>
        </w:rPr>
        <w:t xml:space="preserve">          </w:t>
      </w:r>
      <w:r>
        <w:rPr>
          <w:rFonts w:ascii="宋体" w:hAnsi="宋体" w:eastAsia="宋体" w:cs="宋体"/>
          <w:color w:val="auto"/>
          <w:spacing w:val="-81"/>
          <w:sz w:val="20"/>
          <w:szCs w:val="20"/>
          <w:lang w:eastAsia="zh-CN"/>
        </w:rPr>
        <w:t xml:space="preserve"> </w:t>
      </w:r>
      <w:r>
        <w:rPr>
          <w:rFonts w:ascii="宋体" w:hAnsi="宋体" w:eastAsia="宋体" w:cs="宋体"/>
          <w:color w:val="auto"/>
          <w:spacing w:val="-4"/>
          <w:sz w:val="20"/>
          <w:szCs w:val="20"/>
          <w:lang w:eastAsia="zh-CN"/>
        </w:rPr>
        <w:t xml:space="preserve">年 </w:t>
      </w:r>
      <w:r>
        <w:rPr>
          <w:rFonts w:ascii="宋体" w:hAnsi="宋体" w:eastAsia="宋体" w:cs="宋体"/>
          <w:color w:val="auto"/>
          <w:spacing w:val="4"/>
          <w:sz w:val="20"/>
          <w:szCs w:val="20"/>
          <w:u w:val="single"/>
          <w:lang w:eastAsia="zh-CN"/>
        </w:rPr>
        <w:t xml:space="preserve">     </w:t>
      </w:r>
      <w:r>
        <w:rPr>
          <w:rFonts w:ascii="宋体" w:hAnsi="宋体" w:eastAsia="宋体" w:cs="宋体"/>
          <w:color w:val="auto"/>
          <w:spacing w:val="-83"/>
          <w:sz w:val="20"/>
          <w:szCs w:val="20"/>
          <w:lang w:eastAsia="zh-CN"/>
        </w:rPr>
        <w:t xml:space="preserve"> </w:t>
      </w:r>
      <w:r>
        <w:rPr>
          <w:rFonts w:ascii="宋体" w:hAnsi="宋体" w:eastAsia="宋体" w:cs="宋体"/>
          <w:color w:val="auto"/>
          <w:spacing w:val="-4"/>
          <w:sz w:val="20"/>
          <w:szCs w:val="20"/>
          <w:lang w:eastAsia="zh-CN"/>
        </w:rPr>
        <w:t>月</w:t>
      </w:r>
      <w:r>
        <w:rPr>
          <w:rFonts w:ascii="宋体" w:hAnsi="宋体" w:eastAsia="宋体" w:cs="宋体"/>
          <w:color w:val="auto"/>
          <w:spacing w:val="7"/>
          <w:sz w:val="20"/>
          <w:szCs w:val="20"/>
          <w:lang w:eastAsia="zh-CN"/>
        </w:rPr>
        <w:t xml:space="preserve"> </w:t>
      </w:r>
      <w:r>
        <w:rPr>
          <w:rFonts w:ascii="宋体" w:hAnsi="宋体" w:eastAsia="宋体" w:cs="宋体"/>
          <w:color w:val="auto"/>
          <w:spacing w:val="4"/>
          <w:sz w:val="20"/>
          <w:szCs w:val="20"/>
          <w:u w:val="single"/>
          <w:lang w:eastAsia="zh-CN"/>
        </w:rPr>
        <w:t xml:space="preserve">     </w:t>
      </w:r>
      <w:r>
        <w:rPr>
          <w:rFonts w:ascii="宋体" w:hAnsi="宋体" w:eastAsia="宋体" w:cs="宋体"/>
          <w:color w:val="auto"/>
          <w:spacing w:val="-52"/>
          <w:sz w:val="20"/>
          <w:szCs w:val="20"/>
          <w:lang w:eastAsia="zh-CN"/>
        </w:rPr>
        <w:t xml:space="preserve"> </w:t>
      </w:r>
      <w:r>
        <w:rPr>
          <w:rFonts w:ascii="宋体" w:hAnsi="宋体" w:eastAsia="宋体" w:cs="宋体"/>
          <w:color w:val="auto"/>
          <w:spacing w:val="-4"/>
          <w:sz w:val="20"/>
          <w:szCs w:val="20"/>
          <w:lang w:eastAsia="zh-CN"/>
        </w:rPr>
        <w:t>日</w:t>
      </w:r>
    </w:p>
    <w:p w14:paraId="71CA34E9">
      <w:pPr>
        <w:spacing w:line="228" w:lineRule="auto"/>
        <w:rPr>
          <w:rFonts w:ascii="宋体" w:hAnsi="宋体" w:eastAsia="宋体" w:cs="宋体"/>
          <w:color w:val="auto"/>
          <w:sz w:val="20"/>
          <w:szCs w:val="20"/>
          <w:lang w:eastAsia="zh-CN"/>
        </w:rPr>
        <w:sectPr>
          <w:headerReference r:id="rId42" w:type="default"/>
          <w:footerReference r:id="rId43"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4B6AB5D1">
      <w:pPr>
        <w:spacing w:before="78" w:line="223" w:lineRule="auto"/>
        <w:jc w:val="center"/>
        <w:outlineLvl w:val="0"/>
        <w:rPr>
          <w:rFonts w:ascii="黑体" w:hAnsi="黑体" w:eastAsia="黑体" w:cs="黑体"/>
          <w:color w:val="auto"/>
          <w:sz w:val="28"/>
          <w:szCs w:val="28"/>
          <w:lang w:eastAsia="zh-CN"/>
        </w:rPr>
      </w:pPr>
      <w:bookmarkStart w:id="301" w:name="_Toc15665"/>
      <w:bookmarkStart w:id="302" w:name="_Toc20973"/>
      <w:bookmarkStart w:id="303" w:name="_Toc15204"/>
      <w:r>
        <w:rPr>
          <w:rFonts w:ascii="黑体" w:hAnsi="黑体" w:eastAsia="黑体" w:cs="黑体"/>
          <w:color w:val="auto"/>
          <w:spacing w:val="-4"/>
          <w:sz w:val="28"/>
          <w:szCs w:val="28"/>
          <w:lang w:eastAsia="zh-CN"/>
        </w:rPr>
        <w:t>（二）</w:t>
      </w:r>
      <w:r>
        <w:rPr>
          <w:rFonts w:ascii="黑体" w:hAnsi="黑体" w:eastAsia="黑体" w:cs="黑体"/>
          <w:color w:val="auto"/>
          <w:spacing w:val="-4"/>
          <w:sz w:val="28"/>
          <w:szCs w:val="28"/>
          <w:lang w:eastAsia="zh-CN"/>
          <w14:textOutline w14:w="5105" w14:cap="sq" w14:cmpd="sng" w14:algn="ctr">
            <w14:solidFill>
              <w14:srgbClr w14:val="000000"/>
            </w14:solidFill>
            <w14:prstDash w14:val="solid"/>
            <w14:bevel/>
          </w14:textOutline>
        </w:rPr>
        <w:t>开标一览表</w:t>
      </w:r>
      <w:bookmarkEnd w:id="301"/>
      <w:bookmarkEnd w:id="302"/>
      <w:bookmarkEnd w:id="303"/>
    </w:p>
    <w:p w14:paraId="3999AF95">
      <w:pPr>
        <w:spacing w:before="287" w:line="227" w:lineRule="auto"/>
        <w:ind w:left="15" w:firstLine="856" w:firstLineChars="400"/>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项目、包段名称：</w:t>
      </w:r>
      <w:r>
        <w:rPr>
          <w:rFonts w:ascii="宋体" w:hAnsi="宋体" w:eastAsia="宋体" w:cs="宋体"/>
          <w:color w:val="auto"/>
          <w:spacing w:val="1"/>
          <w:sz w:val="20"/>
          <w:szCs w:val="20"/>
          <w:lang w:eastAsia="zh-CN"/>
        </w:rPr>
        <w:t xml:space="preserve">                                              </w:t>
      </w:r>
      <w:r>
        <w:rPr>
          <w:rFonts w:ascii="宋体" w:hAnsi="宋体" w:eastAsia="宋体" w:cs="宋体"/>
          <w:color w:val="auto"/>
          <w:spacing w:val="7"/>
          <w:sz w:val="20"/>
          <w:szCs w:val="20"/>
          <w:lang w:eastAsia="zh-CN"/>
        </w:rPr>
        <w:t>货币单位：人民币元</w:t>
      </w:r>
    </w:p>
    <w:p w14:paraId="69CC66CA">
      <w:pPr>
        <w:spacing w:line="113" w:lineRule="auto"/>
        <w:rPr>
          <w:color w:val="auto"/>
          <w:sz w:val="2"/>
          <w:lang w:eastAsia="zh-CN"/>
        </w:rPr>
      </w:pPr>
    </w:p>
    <w:tbl>
      <w:tblPr>
        <w:tblStyle w:val="2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4"/>
        <w:gridCol w:w="1827"/>
        <w:gridCol w:w="4668"/>
        <w:gridCol w:w="1299"/>
      </w:tblGrid>
      <w:tr w14:paraId="17B15F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jc w:val="center"/>
        </w:trPr>
        <w:tc>
          <w:tcPr>
            <w:tcW w:w="1024" w:type="dxa"/>
            <w:tcBorders>
              <w:top w:val="single" w:color="auto" w:sz="4" w:space="0"/>
              <w:left w:val="single" w:color="auto" w:sz="4" w:space="0"/>
              <w:right w:val="single" w:color="auto" w:sz="4" w:space="0"/>
            </w:tcBorders>
            <w:vAlign w:val="center"/>
          </w:tcPr>
          <w:p w14:paraId="3E48055E">
            <w:pPr>
              <w:spacing w:line="400" w:lineRule="exact"/>
              <w:jc w:val="center"/>
              <w:rPr>
                <w:rFonts w:ascii="仿宋" w:hAnsi="仿宋" w:cs="仿宋"/>
                <w:b/>
                <w:color w:val="auto"/>
                <w:sz w:val="24"/>
              </w:rPr>
            </w:pPr>
            <w:r>
              <w:rPr>
                <w:rFonts w:hint="eastAsia" w:ascii="仿宋" w:hAnsi="仿宋" w:cs="仿宋"/>
                <w:b/>
                <w:color w:val="auto"/>
                <w:sz w:val="24"/>
              </w:rPr>
              <w:t>序号</w:t>
            </w:r>
          </w:p>
        </w:tc>
        <w:tc>
          <w:tcPr>
            <w:tcW w:w="6495" w:type="dxa"/>
            <w:gridSpan w:val="2"/>
            <w:tcBorders>
              <w:top w:val="single" w:color="auto" w:sz="4" w:space="0"/>
              <w:left w:val="single" w:color="auto" w:sz="4" w:space="0"/>
              <w:right w:val="single" w:color="auto" w:sz="4" w:space="0"/>
            </w:tcBorders>
            <w:vAlign w:val="center"/>
          </w:tcPr>
          <w:p w14:paraId="5E793FB0">
            <w:pPr>
              <w:spacing w:line="400" w:lineRule="exact"/>
              <w:jc w:val="center"/>
              <w:rPr>
                <w:rFonts w:ascii="仿宋" w:hAnsi="仿宋" w:cs="仿宋"/>
                <w:b/>
                <w:color w:val="auto"/>
                <w:sz w:val="24"/>
              </w:rPr>
            </w:pPr>
            <w:r>
              <w:rPr>
                <w:rFonts w:hint="eastAsia" w:ascii="仿宋" w:hAnsi="仿宋" w:cs="仿宋"/>
                <w:b/>
                <w:color w:val="auto"/>
                <w:sz w:val="24"/>
              </w:rPr>
              <w:t>内容</w:t>
            </w:r>
          </w:p>
        </w:tc>
        <w:tc>
          <w:tcPr>
            <w:tcW w:w="1299" w:type="dxa"/>
            <w:tcBorders>
              <w:top w:val="single" w:color="auto" w:sz="4" w:space="0"/>
              <w:left w:val="single" w:color="auto" w:sz="4" w:space="0"/>
              <w:right w:val="single" w:color="auto" w:sz="4" w:space="0"/>
            </w:tcBorders>
            <w:vAlign w:val="center"/>
          </w:tcPr>
          <w:p w14:paraId="2AE7751A">
            <w:pPr>
              <w:spacing w:line="400" w:lineRule="exact"/>
              <w:jc w:val="center"/>
              <w:rPr>
                <w:rFonts w:ascii="仿宋" w:hAnsi="仿宋" w:cs="仿宋"/>
                <w:b/>
                <w:color w:val="auto"/>
                <w:sz w:val="24"/>
              </w:rPr>
            </w:pPr>
            <w:r>
              <w:rPr>
                <w:rFonts w:hint="eastAsia" w:ascii="仿宋" w:hAnsi="仿宋" w:cs="仿宋"/>
                <w:b/>
                <w:color w:val="auto"/>
                <w:sz w:val="24"/>
              </w:rPr>
              <w:t>备注</w:t>
            </w:r>
          </w:p>
        </w:tc>
      </w:tr>
      <w:tr w14:paraId="29CB77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24" w:type="dxa"/>
            <w:tcBorders>
              <w:top w:val="single" w:color="auto" w:sz="4" w:space="0"/>
              <w:left w:val="single" w:color="auto" w:sz="4" w:space="0"/>
              <w:right w:val="single" w:color="auto" w:sz="4" w:space="0"/>
            </w:tcBorders>
            <w:vAlign w:val="center"/>
          </w:tcPr>
          <w:p w14:paraId="2D3CD455">
            <w:pPr>
              <w:spacing w:line="400" w:lineRule="exact"/>
              <w:jc w:val="center"/>
              <w:rPr>
                <w:rFonts w:ascii="仿宋" w:hAnsi="仿宋" w:cs="仿宋"/>
                <w:color w:val="auto"/>
                <w:sz w:val="24"/>
              </w:rPr>
            </w:pPr>
            <w:r>
              <w:rPr>
                <w:rFonts w:hint="eastAsia" w:ascii="仿宋" w:hAnsi="仿宋" w:cs="仿宋"/>
                <w:color w:val="auto"/>
                <w:sz w:val="24"/>
              </w:rPr>
              <w:t>1</w:t>
            </w:r>
          </w:p>
        </w:tc>
        <w:tc>
          <w:tcPr>
            <w:tcW w:w="1827" w:type="dxa"/>
            <w:tcBorders>
              <w:top w:val="single" w:color="auto" w:sz="4" w:space="0"/>
              <w:left w:val="single" w:color="auto" w:sz="4" w:space="0"/>
              <w:right w:val="single" w:color="auto" w:sz="4" w:space="0"/>
            </w:tcBorders>
            <w:vAlign w:val="center"/>
          </w:tcPr>
          <w:p w14:paraId="433B4748">
            <w:pPr>
              <w:spacing w:line="400" w:lineRule="exact"/>
              <w:rPr>
                <w:rFonts w:ascii="仿宋" w:hAnsi="仿宋" w:cs="仿宋"/>
                <w:color w:val="auto"/>
                <w:sz w:val="24"/>
              </w:rPr>
            </w:pPr>
            <w:r>
              <w:rPr>
                <w:rFonts w:hint="eastAsia" w:ascii="仿宋" w:hAnsi="仿宋" w:eastAsia="宋体" w:cs="仿宋"/>
                <w:color w:val="auto"/>
                <w:sz w:val="24"/>
                <w:lang w:val="en-US" w:eastAsia="zh-CN"/>
              </w:rPr>
              <w:t>供应商</w:t>
            </w:r>
            <w:r>
              <w:rPr>
                <w:rFonts w:hint="eastAsia" w:ascii="仿宋" w:hAnsi="仿宋" w:cs="仿宋"/>
                <w:color w:val="auto"/>
                <w:sz w:val="24"/>
              </w:rPr>
              <w:t>名称</w:t>
            </w:r>
          </w:p>
        </w:tc>
        <w:tc>
          <w:tcPr>
            <w:tcW w:w="4668" w:type="dxa"/>
            <w:tcBorders>
              <w:top w:val="single" w:color="auto" w:sz="4" w:space="0"/>
              <w:left w:val="single" w:color="auto" w:sz="4" w:space="0"/>
              <w:right w:val="single" w:color="auto" w:sz="4" w:space="0"/>
            </w:tcBorders>
            <w:vAlign w:val="center"/>
          </w:tcPr>
          <w:p w14:paraId="4EA32237">
            <w:pPr>
              <w:spacing w:line="400" w:lineRule="exact"/>
              <w:rPr>
                <w:rFonts w:ascii="仿宋" w:hAnsi="仿宋" w:cs="仿宋"/>
                <w:color w:val="auto"/>
                <w:sz w:val="24"/>
              </w:rPr>
            </w:pPr>
          </w:p>
        </w:tc>
        <w:tc>
          <w:tcPr>
            <w:tcW w:w="1299" w:type="dxa"/>
            <w:tcBorders>
              <w:top w:val="single" w:color="auto" w:sz="4" w:space="0"/>
              <w:left w:val="single" w:color="auto" w:sz="4" w:space="0"/>
              <w:right w:val="single" w:color="auto" w:sz="4" w:space="0"/>
            </w:tcBorders>
            <w:vAlign w:val="center"/>
          </w:tcPr>
          <w:p w14:paraId="4CD92E60">
            <w:pPr>
              <w:spacing w:line="400" w:lineRule="exact"/>
              <w:jc w:val="center"/>
              <w:rPr>
                <w:rFonts w:ascii="仿宋" w:hAnsi="仿宋" w:cs="仿宋"/>
                <w:color w:val="auto"/>
                <w:sz w:val="24"/>
              </w:rPr>
            </w:pPr>
          </w:p>
        </w:tc>
      </w:tr>
      <w:tr w14:paraId="54363A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9" w:hRule="atLeast"/>
          <w:jc w:val="center"/>
        </w:trPr>
        <w:tc>
          <w:tcPr>
            <w:tcW w:w="1024" w:type="dxa"/>
            <w:tcBorders>
              <w:top w:val="single" w:color="auto" w:sz="4" w:space="0"/>
              <w:left w:val="single" w:color="auto" w:sz="4" w:space="0"/>
              <w:right w:val="single" w:color="auto" w:sz="4" w:space="0"/>
            </w:tcBorders>
            <w:vAlign w:val="center"/>
          </w:tcPr>
          <w:p w14:paraId="0A7DD3CA">
            <w:pPr>
              <w:spacing w:line="400" w:lineRule="exact"/>
              <w:jc w:val="center"/>
              <w:rPr>
                <w:rFonts w:ascii="仿宋" w:hAnsi="仿宋" w:cs="仿宋"/>
                <w:color w:val="auto"/>
                <w:sz w:val="24"/>
              </w:rPr>
            </w:pPr>
            <w:r>
              <w:rPr>
                <w:rFonts w:hint="eastAsia" w:ascii="仿宋" w:hAnsi="仿宋" w:cs="仿宋"/>
                <w:color w:val="auto"/>
                <w:sz w:val="24"/>
              </w:rPr>
              <w:t>2</w:t>
            </w:r>
          </w:p>
        </w:tc>
        <w:tc>
          <w:tcPr>
            <w:tcW w:w="1827" w:type="dxa"/>
            <w:tcBorders>
              <w:top w:val="single" w:color="auto" w:sz="4" w:space="0"/>
              <w:left w:val="single" w:color="auto" w:sz="4" w:space="0"/>
              <w:bottom w:val="single" w:color="auto" w:sz="4" w:space="0"/>
              <w:right w:val="single" w:color="auto" w:sz="4" w:space="0"/>
            </w:tcBorders>
            <w:vAlign w:val="center"/>
          </w:tcPr>
          <w:p w14:paraId="03530678">
            <w:pPr>
              <w:spacing w:line="400" w:lineRule="exact"/>
              <w:rPr>
                <w:rFonts w:ascii="仿宋" w:hAnsi="仿宋" w:cs="仿宋"/>
                <w:color w:val="auto"/>
                <w:sz w:val="24"/>
              </w:rPr>
            </w:pPr>
            <w:r>
              <w:rPr>
                <w:rFonts w:hint="eastAsia" w:ascii="仿宋" w:hAnsi="仿宋" w:cs="仿宋"/>
                <w:color w:val="auto"/>
                <w:sz w:val="24"/>
              </w:rPr>
              <w:t>投 标 报 价</w:t>
            </w:r>
          </w:p>
        </w:tc>
        <w:tc>
          <w:tcPr>
            <w:tcW w:w="4668" w:type="dxa"/>
            <w:tcBorders>
              <w:top w:val="single" w:color="auto" w:sz="4" w:space="0"/>
              <w:left w:val="single" w:color="auto" w:sz="4" w:space="0"/>
              <w:bottom w:val="single" w:color="auto" w:sz="4" w:space="0"/>
              <w:right w:val="single" w:color="auto" w:sz="4" w:space="0"/>
            </w:tcBorders>
            <w:vAlign w:val="center"/>
          </w:tcPr>
          <w:p w14:paraId="5823C8B1">
            <w:pPr>
              <w:spacing w:line="400" w:lineRule="exact"/>
              <w:rPr>
                <w:rFonts w:ascii="仿宋" w:hAnsi="仿宋" w:cs="仿宋"/>
                <w:color w:val="auto"/>
                <w:sz w:val="24"/>
              </w:rPr>
            </w:pPr>
          </w:p>
        </w:tc>
        <w:tc>
          <w:tcPr>
            <w:tcW w:w="1299" w:type="dxa"/>
            <w:tcBorders>
              <w:top w:val="single" w:color="auto" w:sz="4" w:space="0"/>
              <w:left w:val="single" w:color="auto" w:sz="4" w:space="0"/>
              <w:bottom w:val="single" w:color="auto" w:sz="4" w:space="0"/>
              <w:right w:val="single" w:color="auto" w:sz="4" w:space="0"/>
            </w:tcBorders>
            <w:vAlign w:val="center"/>
          </w:tcPr>
          <w:p w14:paraId="299A121B">
            <w:pPr>
              <w:spacing w:line="400" w:lineRule="exact"/>
              <w:rPr>
                <w:rFonts w:ascii="仿宋" w:hAnsi="仿宋" w:cs="仿宋"/>
                <w:color w:val="auto"/>
                <w:sz w:val="24"/>
              </w:rPr>
            </w:pPr>
          </w:p>
        </w:tc>
      </w:tr>
      <w:tr w14:paraId="66ED74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7352619E">
            <w:pPr>
              <w:spacing w:line="400" w:lineRule="exact"/>
              <w:jc w:val="center"/>
              <w:rPr>
                <w:rFonts w:ascii="仿宋" w:hAnsi="仿宋" w:cs="仿宋"/>
                <w:color w:val="auto"/>
                <w:sz w:val="24"/>
              </w:rPr>
            </w:pPr>
            <w:r>
              <w:rPr>
                <w:rFonts w:hint="eastAsia" w:ascii="仿宋" w:hAnsi="仿宋" w:cs="仿宋"/>
                <w:color w:val="auto"/>
                <w:sz w:val="24"/>
              </w:rPr>
              <w:t>3</w:t>
            </w:r>
          </w:p>
        </w:tc>
        <w:tc>
          <w:tcPr>
            <w:tcW w:w="1827" w:type="dxa"/>
            <w:tcBorders>
              <w:top w:val="single" w:color="auto" w:sz="4" w:space="0"/>
              <w:left w:val="single" w:color="auto" w:sz="4" w:space="0"/>
              <w:bottom w:val="single" w:color="auto" w:sz="4" w:space="0"/>
              <w:right w:val="single" w:color="auto" w:sz="4" w:space="0"/>
            </w:tcBorders>
            <w:vAlign w:val="center"/>
          </w:tcPr>
          <w:p w14:paraId="113C5BCE">
            <w:pPr>
              <w:spacing w:line="400" w:lineRule="exact"/>
              <w:rPr>
                <w:rFonts w:ascii="仿宋" w:hAnsi="仿宋" w:cs="仿宋"/>
                <w:color w:val="auto"/>
                <w:sz w:val="24"/>
                <w:u w:val="single"/>
              </w:rPr>
            </w:pPr>
            <w:r>
              <w:rPr>
                <w:rFonts w:hint="eastAsia" w:ascii="仿宋" w:hAnsi="仿宋" w:cs="仿宋"/>
                <w:color w:val="auto"/>
                <w:sz w:val="24"/>
              </w:rPr>
              <w:t>合同履约期限</w:t>
            </w:r>
          </w:p>
        </w:tc>
        <w:tc>
          <w:tcPr>
            <w:tcW w:w="4668" w:type="dxa"/>
            <w:tcBorders>
              <w:top w:val="single" w:color="auto" w:sz="4" w:space="0"/>
              <w:left w:val="single" w:color="auto" w:sz="4" w:space="0"/>
              <w:bottom w:val="single" w:color="auto" w:sz="4" w:space="0"/>
              <w:right w:val="single" w:color="auto" w:sz="4" w:space="0"/>
            </w:tcBorders>
            <w:vAlign w:val="center"/>
          </w:tcPr>
          <w:p w14:paraId="16341174">
            <w:pPr>
              <w:ind w:firstLine="1440" w:firstLineChars="600"/>
              <w:rPr>
                <w:rFonts w:ascii="仿宋" w:hAnsi="仿宋" w:cs="仿宋"/>
                <w:color w:val="auto"/>
                <w:sz w:val="24"/>
                <w:u w:val="single"/>
              </w:rPr>
            </w:pPr>
          </w:p>
        </w:tc>
        <w:tc>
          <w:tcPr>
            <w:tcW w:w="1299" w:type="dxa"/>
            <w:tcBorders>
              <w:top w:val="single" w:color="auto" w:sz="4" w:space="0"/>
              <w:left w:val="single" w:color="auto" w:sz="4" w:space="0"/>
              <w:bottom w:val="single" w:color="auto" w:sz="4" w:space="0"/>
              <w:right w:val="single" w:color="auto" w:sz="4" w:space="0"/>
            </w:tcBorders>
            <w:vAlign w:val="center"/>
          </w:tcPr>
          <w:p w14:paraId="0CB43BC1">
            <w:pPr>
              <w:spacing w:line="400" w:lineRule="exact"/>
              <w:rPr>
                <w:rFonts w:ascii="仿宋" w:hAnsi="仿宋" w:cs="仿宋"/>
                <w:color w:val="auto"/>
                <w:sz w:val="24"/>
                <w:u w:val="single"/>
              </w:rPr>
            </w:pPr>
          </w:p>
        </w:tc>
      </w:tr>
      <w:tr w14:paraId="051F38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24" w:type="dxa"/>
            <w:tcBorders>
              <w:top w:val="single" w:color="auto" w:sz="4" w:space="0"/>
              <w:left w:val="single" w:color="auto" w:sz="4" w:space="0"/>
              <w:bottom w:val="single" w:color="auto" w:sz="4" w:space="0"/>
              <w:right w:val="single" w:color="auto" w:sz="4" w:space="0"/>
            </w:tcBorders>
            <w:vAlign w:val="center"/>
          </w:tcPr>
          <w:p w14:paraId="48E28061">
            <w:pPr>
              <w:jc w:val="center"/>
              <w:rPr>
                <w:rFonts w:ascii="仿宋" w:hAnsi="仿宋" w:cs="仿宋"/>
                <w:color w:val="auto"/>
                <w:sz w:val="24"/>
              </w:rPr>
            </w:pPr>
            <w:r>
              <w:rPr>
                <w:rFonts w:hint="eastAsia" w:ascii="仿宋" w:hAnsi="仿宋" w:cs="仿宋"/>
                <w:color w:val="auto"/>
                <w:sz w:val="24"/>
              </w:rPr>
              <w:t>4</w:t>
            </w:r>
          </w:p>
        </w:tc>
        <w:tc>
          <w:tcPr>
            <w:tcW w:w="1827" w:type="dxa"/>
            <w:tcBorders>
              <w:top w:val="single" w:color="auto" w:sz="4" w:space="0"/>
              <w:left w:val="single" w:color="auto" w:sz="4" w:space="0"/>
              <w:bottom w:val="single" w:color="auto" w:sz="4" w:space="0"/>
              <w:right w:val="single" w:color="auto" w:sz="4" w:space="0"/>
            </w:tcBorders>
            <w:vAlign w:val="center"/>
          </w:tcPr>
          <w:p w14:paraId="30166775">
            <w:pPr>
              <w:spacing w:line="400" w:lineRule="exact"/>
              <w:rPr>
                <w:rFonts w:ascii="仿宋" w:hAnsi="仿宋" w:cs="仿宋"/>
                <w:color w:val="auto"/>
                <w:sz w:val="24"/>
              </w:rPr>
            </w:pPr>
            <w:r>
              <w:rPr>
                <w:rFonts w:hint="eastAsia" w:ascii="仿宋" w:hAnsi="仿宋" w:cs="仿宋"/>
                <w:color w:val="auto"/>
                <w:sz w:val="24"/>
              </w:rPr>
              <w:t>其他事项声明</w:t>
            </w:r>
          </w:p>
        </w:tc>
        <w:tc>
          <w:tcPr>
            <w:tcW w:w="4668" w:type="dxa"/>
            <w:tcBorders>
              <w:top w:val="single" w:color="auto" w:sz="4" w:space="0"/>
              <w:left w:val="single" w:color="auto" w:sz="4" w:space="0"/>
              <w:bottom w:val="single" w:color="auto" w:sz="4" w:space="0"/>
              <w:right w:val="single" w:color="auto" w:sz="4" w:space="0"/>
            </w:tcBorders>
            <w:vAlign w:val="center"/>
          </w:tcPr>
          <w:p w14:paraId="04AE6888">
            <w:pPr>
              <w:jc w:val="center"/>
              <w:rPr>
                <w:rFonts w:ascii="仿宋" w:hAnsi="仿宋" w:cs="仿宋"/>
                <w:color w:val="auto"/>
                <w:sz w:val="24"/>
              </w:rPr>
            </w:pPr>
          </w:p>
        </w:tc>
        <w:tc>
          <w:tcPr>
            <w:tcW w:w="1299" w:type="dxa"/>
            <w:tcBorders>
              <w:top w:val="single" w:color="auto" w:sz="4" w:space="0"/>
              <w:left w:val="single" w:color="auto" w:sz="4" w:space="0"/>
              <w:bottom w:val="single" w:color="auto" w:sz="4" w:space="0"/>
              <w:right w:val="single" w:color="auto" w:sz="4" w:space="0"/>
            </w:tcBorders>
            <w:vAlign w:val="center"/>
          </w:tcPr>
          <w:p w14:paraId="5C86D149">
            <w:pPr>
              <w:spacing w:line="400" w:lineRule="exact"/>
              <w:rPr>
                <w:rFonts w:ascii="仿宋" w:hAnsi="仿宋" w:cs="仿宋"/>
                <w:color w:val="auto"/>
                <w:sz w:val="24"/>
                <w:u w:val="single"/>
              </w:rPr>
            </w:pPr>
          </w:p>
        </w:tc>
      </w:tr>
    </w:tbl>
    <w:p w14:paraId="55B8BBCE">
      <w:pPr>
        <w:spacing w:before="74" w:line="261" w:lineRule="auto"/>
        <w:ind w:left="35" w:right="117" w:firstLine="293"/>
        <w:rPr>
          <w:rFonts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pPr>
    </w:p>
    <w:p w14:paraId="1688727D">
      <w:pPr>
        <w:spacing w:before="74" w:line="261" w:lineRule="auto"/>
        <w:ind w:left="35" w:right="117" w:firstLine="293"/>
        <w:rPr>
          <w:rFonts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pPr>
      <w:r>
        <w:rPr>
          <w:rFonts w:hint="eastAsia"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注: 1、报价一经涂改，应在涂改处加盖单位公章或者由负责人或授权委托人签字或盖章，否则其投标作无效标处理。</w:t>
      </w:r>
    </w:p>
    <w:p w14:paraId="3337A7EE">
      <w:pPr>
        <w:spacing w:before="74" w:line="261" w:lineRule="auto"/>
        <w:ind w:left="35" w:right="117" w:firstLine="293"/>
        <w:rPr>
          <w:rFonts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pPr>
      <w:r>
        <w:rPr>
          <w:rFonts w:hint="eastAsia"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2、报价包括完成本项目招标范围内所有服务及伴随货物内容的费用（含税费）。</w:t>
      </w:r>
    </w:p>
    <w:p w14:paraId="135FBCE6">
      <w:pPr>
        <w:spacing w:before="74" w:line="261" w:lineRule="auto"/>
        <w:ind w:left="35" w:right="117" w:firstLine="293"/>
        <w:rPr>
          <w:rFonts w:ascii="宋体" w:hAnsi="宋体" w:eastAsia="宋体" w:cs="宋体"/>
          <w:color w:val="auto"/>
          <w:sz w:val="20"/>
          <w:szCs w:val="20"/>
          <w:lang w:eastAsia="zh-CN"/>
        </w:rPr>
      </w:pPr>
      <w:r>
        <w:rPr>
          <w:rFonts w:hint="eastAsia"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3、项目须附详细的投标报价明细表，投标报价明细表中金额和开标一览表金额一致。</w:t>
      </w:r>
    </w:p>
    <w:p w14:paraId="3711E28A">
      <w:pPr>
        <w:pStyle w:val="8"/>
        <w:spacing w:line="269" w:lineRule="auto"/>
        <w:rPr>
          <w:color w:val="auto"/>
          <w:lang w:eastAsia="zh-CN"/>
        </w:rPr>
      </w:pPr>
    </w:p>
    <w:p w14:paraId="23C1038F">
      <w:pPr>
        <w:pStyle w:val="8"/>
        <w:spacing w:line="270" w:lineRule="auto"/>
        <w:rPr>
          <w:color w:val="auto"/>
          <w:lang w:eastAsia="zh-CN"/>
        </w:rPr>
      </w:pPr>
    </w:p>
    <w:p w14:paraId="6EC79AF4">
      <w:pPr>
        <w:pStyle w:val="8"/>
        <w:spacing w:line="270" w:lineRule="auto"/>
        <w:rPr>
          <w:color w:val="auto"/>
          <w:lang w:eastAsia="zh-CN"/>
        </w:rPr>
      </w:pPr>
    </w:p>
    <w:p w14:paraId="71C77F88">
      <w:pPr>
        <w:spacing w:before="66" w:line="408" w:lineRule="exact"/>
        <w:ind w:left="5824"/>
        <w:rPr>
          <w:rFonts w:ascii="宋体" w:hAnsi="宋体" w:eastAsia="宋体" w:cs="宋体"/>
          <w:color w:val="auto"/>
          <w:sz w:val="20"/>
          <w:szCs w:val="20"/>
          <w:lang w:eastAsia="zh-CN"/>
        </w:rPr>
      </w:pPr>
      <w:r>
        <w:rPr>
          <w:rFonts w:hint="eastAsia" w:ascii="宋体" w:hAnsi="宋体" w:eastAsia="宋体" w:cs="宋体"/>
          <w:color w:val="auto"/>
          <w:spacing w:val="8"/>
          <w:position w:val="15"/>
          <w:sz w:val="20"/>
          <w:szCs w:val="20"/>
          <w:lang w:eastAsia="zh-CN"/>
        </w:rPr>
        <w:t>服务商</w:t>
      </w:r>
      <w:r>
        <w:rPr>
          <w:rFonts w:ascii="宋体" w:hAnsi="宋体" w:eastAsia="宋体" w:cs="宋体"/>
          <w:color w:val="auto"/>
          <w:spacing w:val="8"/>
          <w:position w:val="15"/>
          <w:sz w:val="20"/>
          <w:szCs w:val="20"/>
          <w:lang w:eastAsia="zh-CN"/>
        </w:rPr>
        <w:t>（加盖公章</w:t>
      </w:r>
      <w:r>
        <w:rPr>
          <w:rFonts w:ascii="宋体" w:hAnsi="宋体" w:eastAsia="宋体" w:cs="宋体"/>
          <w:color w:val="auto"/>
          <w:spacing w:val="2"/>
          <w:position w:val="15"/>
          <w:sz w:val="20"/>
          <w:szCs w:val="20"/>
          <w:lang w:eastAsia="zh-CN"/>
        </w:rPr>
        <w:t>）：</w:t>
      </w:r>
    </w:p>
    <w:p w14:paraId="64D007A5">
      <w:pPr>
        <w:spacing w:before="1" w:line="226" w:lineRule="auto"/>
        <w:ind w:left="5824"/>
        <w:rPr>
          <w:rFonts w:ascii="宋体" w:hAnsi="宋体" w:eastAsia="宋体" w:cs="宋体"/>
          <w:color w:val="auto"/>
          <w:sz w:val="20"/>
          <w:szCs w:val="20"/>
          <w:lang w:eastAsia="zh-CN"/>
        </w:rPr>
      </w:pP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代表签名：</w:t>
      </w:r>
    </w:p>
    <w:p w14:paraId="19AE5085">
      <w:pPr>
        <w:spacing w:line="227" w:lineRule="auto"/>
        <w:rPr>
          <w:rFonts w:ascii="宋体" w:hAnsi="宋体" w:eastAsia="宋体" w:cs="宋体"/>
          <w:color w:val="auto"/>
          <w:sz w:val="20"/>
          <w:szCs w:val="20"/>
          <w:lang w:eastAsia="zh-CN"/>
        </w:rPr>
        <w:sectPr>
          <w:headerReference r:id="rId44" w:type="default"/>
          <w:footerReference r:id="rId45"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16095172">
      <w:pPr>
        <w:spacing w:before="78" w:line="222" w:lineRule="auto"/>
        <w:ind w:left="4166"/>
        <w:rPr>
          <w:rFonts w:ascii="黑体" w:hAnsi="黑体" w:eastAsia="黑体" w:cs="黑体"/>
          <w:color w:val="auto"/>
          <w:sz w:val="28"/>
          <w:szCs w:val="28"/>
          <w:lang w:eastAsia="zh-CN"/>
        </w:rPr>
      </w:pPr>
      <w:r>
        <w:rPr>
          <w:rFonts w:ascii="黑体" w:hAnsi="黑体" w:eastAsia="黑体" w:cs="黑体"/>
          <w:color w:val="auto"/>
          <w:spacing w:val="-2"/>
          <w:sz w:val="28"/>
          <w:szCs w:val="28"/>
          <w:lang w:eastAsia="zh-CN"/>
          <w14:textOutline w14:w="5105" w14:cap="sq" w14:cmpd="sng" w14:algn="ctr">
            <w14:solidFill>
              <w14:srgbClr w14:val="000000"/>
            </w14:solidFill>
            <w14:prstDash w14:val="solid"/>
            <w14:bevel/>
          </w14:textOutline>
        </w:rPr>
        <w:t>分项报价明细表</w:t>
      </w:r>
    </w:p>
    <w:p w14:paraId="2BBD8B06">
      <w:pPr>
        <w:pStyle w:val="8"/>
        <w:spacing w:line="402" w:lineRule="auto"/>
        <w:rPr>
          <w:color w:val="auto"/>
          <w:lang w:eastAsia="zh-CN"/>
        </w:rPr>
      </w:pPr>
    </w:p>
    <w:p w14:paraId="38EC7178">
      <w:pPr>
        <w:spacing w:before="65" w:line="227" w:lineRule="auto"/>
        <w:ind w:left="153" w:firstLine="208" w:firstLineChars="100"/>
        <w:rPr>
          <w:rFonts w:ascii="宋体" w:hAnsi="宋体" w:eastAsia="宋体" w:cs="宋体"/>
          <w:color w:val="auto"/>
          <w:sz w:val="20"/>
          <w:szCs w:val="20"/>
          <w:lang w:eastAsia="zh-CN"/>
        </w:rPr>
      </w:pPr>
      <w:r>
        <w:rPr>
          <w:rFonts w:hint="eastAsia" w:ascii="宋体" w:hAnsi="宋体" w:eastAsia="宋体" w:cs="宋体"/>
          <w:color w:val="auto"/>
          <w:spacing w:val="4"/>
          <w:sz w:val="20"/>
          <w:szCs w:val="20"/>
          <w:lang w:eastAsia="zh-CN"/>
        </w:rPr>
        <w:t>服务商</w:t>
      </w:r>
      <w:r>
        <w:rPr>
          <w:rFonts w:ascii="宋体" w:hAnsi="宋体" w:eastAsia="宋体" w:cs="宋体"/>
          <w:color w:val="auto"/>
          <w:spacing w:val="4"/>
          <w:sz w:val="20"/>
          <w:szCs w:val="20"/>
          <w:lang w:eastAsia="zh-CN"/>
        </w:rPr>
        <w:t>名称：                                                                货币单位：</w:t>
      </w:r>
    </w:p>
    <w:p w14:paraId="16D3FAE9">
      <w:pPr>
        <w:spacing w:line="92" w:lineRule="auto"/>
        <w:rPr>
          <w:color w:val="auto"/>
          <w:sz w:val="2"/>
          <w:lang w:eastAsia="zh-CN"/>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9"/>
        <w:gridCol w:w="4993"/>
        <w:gridCol w:w="1712"/>
        <w:gridCol w:w="1632"/>
      </w:tblGrid>
      <w:tr w14:paraId="16D66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49" w:type="dxa"/>
            <w:vAlign w:val="center"/>
          </w:tcPr>
          <w:p w14:paraId="426E6676">
            <w:pPr>
              <w:jc w:val="center"/>
              <w:rPr>
                <w:rFonts w:ascii="宋体" w:hAnsi="宋体"/>
                <w:color w:val="auto"/>
              </w:rPr>
            </w:pPr>
            <w:r>
              <w:rPr>
                <w:rFonts w:hint="eastAsia" w:ascii="宋体" w:hAnsi="宋体"/>
                <w:color w:val="auto"/>
              </w:rPr>
              <w:t>序号</w:t>
            </w:r>
          </w:p>
        </w:tc>
        <w:tc>
          <w:tcPr>
            <w:tcW w:w="4993" w:type="dxa"/>
            <w:vAlign w:val="center"/>
          </w:tcPr>
          <w:p w14:paraId="278C0721">
            <w:pPr>
              <w:jc w:val="center"/>
              <w:rPr>
                <w:rFonts w:ascii="宋体" w:hAnsi="宋体"/>
                <w:color w:val="auto"/>
              </w:rPr>
            </w:pPr>
            <w:r>
              <w:rPr>
                <w:rFonts w:hint="eastAsia" w:ascii="宋体" w:hAnsi="宋体"/>
                <w:color w:val="auto"/>
              </w:rPr>
              <w:t>费用名称</w:t>
            </w:r>
          </w:p>
        </w:tc>
        <w:tc>
          <w:tcPr>
            <w:tcW w:w="1712" w:type="dxa"/>
            <w:vAlign w:val="center"/>
          </w:tcPr>
          <w:p w14:paraId="5338DE1B">
            <w:pPr>
              <w:jc w:val="center"/>
              <w:rPr>
                <w:rFonts w:ascii="宋体" w:hAnsi="宋体"/>
                <w:color w:val="auto"/>
              </w:rPr>
            </w:pPr>
            <w:r>
              <w:rPr>
                <w:rFonts w:hint="eastAsia" w:ascii="宋体" w:hAnsi="宋体"/>
                <w:color w:val="auto"/>
              </w:rPr>
              <w:t>报价（元）</w:t>
            </w:r>
          </w:p>
        </w:tc>
        <w:tc>
          <w:tcPr>
            <w:tcW w:w="1632" w:type="dxa"/>
            <w:vAlign w:val="center"/>
          </w:tcPr>
          <w:p w14:paraId="518277C5">
            <w:pPr>
              <w:jc w:val="center"/>
              <w:rPr>
                <w:rFonts w:ascii="宋体" w:hAnsi="宋体"/>
                <w:color w:val="auto"/>
              </w:rPr>
            </w:pPr>
            <w:r>
              <w:rPr>
                <w:rFonts w:hint="eastAsia" w:ascii="宋体" w:hAnsi="宋体"/>
                <w:color w:val="auto"/>
              </w:rPr>
              <w:t>备注</w:t>
            </w:r>
          </w:p>
        </w:tc>
      </w:tr>
      <w:tr w14:paraId="0B68F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jc w:val="center"/>
        </w:trPr>
        <w:tc>
          <w:tcPr>
            <w:tcW w:w="1049" w:type="dxa"/>
            <w:vAlign w:val="center"/>
          </w:tcPr>
          <w:p w14:paraId="5B585404">
            <w:pPr>
              <w:jc w:val="center"/>
              <w:rPr>
                <w:rFonts w:ascii="宋体" w:hAnsi="宋体"/>
                <w:color w:val="auto"/>
              </w:rPr>
            </w:pPr>
          </w:p>
        </w:tc>
        <w:tc>
          <w:tcPr>
            <w:tcW w:w="4993" w:type="dxa"/>
            <w:vAlign w:val="center"/>
          </w:tcPr>
          <w:p w14:paraId="06B6648E">
            <w:pPr>
              <w:rPr>
                <w:rFonts w:ascii="宋体" w:hAnsi="宋体"/>
                <w:color w:val="auto"/>
              </w:rPr>
            </w:pPr>
          </w:p>
        </w:tc>
        <w:tc>
          <w:tcPr>
            <w:tcW w:w="1712" w:type="dxa"/>
            <w:vAlign w:val="center"/>
          </w:tcPr>
          <w:p w14:paraId="6166C392">
            <w:pPr>
              <w:jc w:val="center"/>
              <w:rPr>
                <w:rFonts w:ascii="宋体" w:hAnsi="宋体"/>
                <w:color w:val="auto"/>
              </w:rPr>
            </w:pPr>
          </w:p>
        </w:tc>
        <w:tc>
          <w:tcPr>
            <w:tcW w:w="1632" w:type="dxa"/>
            <w:vAlign w:val="center"/>
          </w:tcPr>
          <w:p w14:paraId="5C506BE1">
            <w:pPr>
              <w:jc w:val="center"/>
              <w:rPr>
                <w:rFonts w:ascii="宋体" w:hAnsi="宋体"/>
                <w:color w:val="auto"/>
              </w:rPr>
            </w:pPr>
          </w:p>
        </w:tc>
      </w:tr>
      <w:tr w14:paraId="28A28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exact"/>
          <w:jc w:val="center"/>
        </w:trPr>
        <w:tc>
          <w:tcPr>
            <w:tcW w:w="1049" w:type="dxa"/>
            <w:vAlign w:val="center"/>
          </w:tcPr>
          <w:p w14:paraId="23CB0ABC">
            <w:pPr>
              <w:jc w:val="center"/>
              <w:rPr>
                <w:rFonts w:ascii="宋体" w:hAnsi="宋体"/>
                <w:color w:val="auto"/>
              </w:rPr>
            </w:pPr>
          </w:p>
        </w:tc>
        <w:tc>
          <w:tcPr>
            <w:tcW w:w="4993" w:type="dxa"/>
            <w:vAlign w:val="center"/>
          </w:tcPr>
          <w:p w14:paraId="213196BA">
            <w:pPr>
              <w:rPr>
                <w:rFonts w:ascii="宋体" w:hAnsi="宋体"/>
                <w:color w:val="auto"/>
              </w:rPr>
            </w:pPr>
          </w:p>
        </w:tc>
        <w:tc>
          <w:tcPr>
            <w:tcW w:w="1712" w:type="dxa"/>
            <w:vAlign w:val="center"/>
          </w:tcPr>
          <w:p w14:paraId="1803FC25">
            <w:pPr>
              <w:jc w:val="center"/>
              <w:rPr>
                <w:rFonts w:ascii="宋体" w:hAnsi="宋体"/>
                <w:color w:val="auto"/>
              </w:rPr>
            </w:pPr>
          </w:p>
        </w:tc>
        <w:tc>
          <w:tcPr>
            <w:tcW w:w="1632" w:type="dxa"/>
            <w:vAlign w:val="center"/>
          </w:tcPr>
          <w:p w14:paraId="78294BF5">
            <w:pPr>
              <w:jc w:val="center"/>
              <w:rPr>
                <w:rFonts w:ascii="宋体" w:hAnsi="宋体"/>
                <w:color w:val="auto"/>
              </w:rPr>
            </w:pPr>
          </w:p>
        </w:tc>
      </w:tr>
      <w:tr w14:paraId="5EF69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exact"/>
          <w:jc w:val="center"/>
        </w:trPr>
        <w:tc>
          <w:tcPr>
            <w:tcW w:w="1049" w:type="dxa"/>
            <w:vAlign w:val="center"/>
          </w:tcPr>
          <w:p w14:paraId="04284DDC">
            <w:pPr>
              <w:jc w:val="center"/>
              <w:rPr>
                <w:rFonts w:ascii="宋体" w:hAnsi="宋体"/>
                <w:color w:val="auto"/>
              </w:rPr>
            </w:pPr>
          </w:p>
        </w:tc>
        <w:tc>
          <w:tcPr>
            <w:tcW w:w="4993" w:type="dxa"/>
            <w:vAlign w:val="center"/>
          </w:tcPr>
          <w:p w14:paraId="1C1BA06E">
            <w:pPr>
              <w:rPr>
                <w:rFonts w:ascii="宋体" w:hAnsi="宋体"/>
                <w:color w:val="auto"/>
              </w:rPr>
            </w:pPr>
          </w:p>
        </w:tc>
        <w:tc>
          <w:tcPr>
            <w:tcW w:w="1712" w:type="dxa"/>
            <w:vAlign w:val="center"/>
          </w:tcPr>
          <w:p w14:paraId="07CDE15B">
            <w:pPr>
              <w:jc w:val="center"/>
              <w:rPr>
                <w:rFonts w:ascii="宋体" w:hAnsi="宋体"/>
                <w:color w:val="auto"/>
              </w:rPr>
            </w:pPr>
          </w:p>
        </w:tc>
        <w:tc>
          <w:tcPr>
            <w:tcW w:w="1632" w:type="dxa"/>
            <w:vAlign w:val="center"/>
          </w:tcPr>
          <w:p w14:paraId="2A1347F8">
            <w:pPr>
              <w:jc w:val="center"/>
              <w:rPr>
                <w:rFonts w:ascii="宋体" w:hAnsi="宋体"/>
                <w:color w:val="auto"/>
              </w:rPr>
            </w:pPr>
          </w:p>
        </w:tc>
      </w:tr>
      <w:tr w14:paraId="4A617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exact"/>
          <w:jc w:val="center"/>
        </w:trPr>
        <w:tc>
          <w:tcPr>
            <w:tcW w:w="1049" w:type="dxa"/>
            <w:vAlign w:val="center"/>
          </w:tcPr>
          <w:p w14:paraId="4FD19242">
            <w:pPr>
              <w:jc w:val="center"/>
              <w:rPr>
                <w:rFonts w:ascii="宋体" w:hAnsi="宋体"/>
                <w:color w:val="auto"/>
              </w:rPr>
            </w:pPr>
          </w:p>
        </w:tc>
        <w:tc>
          <w:tcPr>
            <w:tcW w:w="4993" w:type="dxa"/>
            <w:vAlign w:val="center"/>
          </w:tcPr>
          <w:p w14:paraId="13677C5D">
            <w:pPr>
              <w:jc w:val="center"/>
              <w:rPr>
                <w:rFonts w:ascii="宋体" w:hAnsi="宋体"/>
                <w:color w:val="auto"/>
              </w:rPr>
            </w:pPr>
          </w:p>
        </w:tc>
        <w:tc>
          <w:tcPr>
            <w:tcW w:w="1712" w:type="dxa"/>
            <w:vAlign w:val="center"/>
          </w:tcPr>
          <w:p w14:paraId="681A0E03">
            <w:pPr>
              <w:jc w:val="center"/>
              <w:rPr>
                <w:rFonts w:ascii="宋体" w:hAnsi="宋体"/>
                <w:color w:val="auto"/>
              </w:rPr>
            </w:pPr>
          </w:p>
        </w:tc>
        <w:tc>
          <w:tcPr>
            <w:tcW w:w="1632" w:type="dxa"/>
            <w:vAlign w:val="center"/>
          </w:tcPr>
          <w:p w14:paraId="22B435F4">
            <w:pPr>
              <w:jc w:val="center"/>
              <w:rPr>
                <w:rFonts w:ascii="宋体" w:hAnsi="宋体"/>
                <w:color w:val="auto"/>
              </w:rPr>
            </w:pPr>
          </w:p>
        </w:tc>
      </w:tr>
      <w:tr w14:paraId="391D2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exact"/>
          <w:jc w:val="center"/>
        </w:trPr>
        <w:tc>
          <w:tcPr>
            <w:tcW w:w="1049" w:type="dxa"/>
            <w:vAlign w:val="center"/>
          </w:tcPr>
          <w:p w14:paraId="1422729D">
            <w:pPr>
              <w:jc w:val="center"/>
              <w:rPr>
                <w:rFonts w:ascii="宋体" w:hAnsi="宋体"/>
                <w:color w:val="auto"/>
              </w:rPr>
            </w:pPr>
          </w:p>
        </w:tc>
        <w:tc>
          <w:tcPr>
            <w:tcW w:w="4993" w:type="dxa"/>
            <w:vAlign w:val="center"/>
          </w:tcPr>
          <w:p w14:paraId="110CC029">
            <w:pPr>
              <w:jc w:val="center"/>
              <w:rPr>
                <w:rFonts w:ascii="宋体" w:hAnsi="宋体"/>
                <w:color w:val="auto"/>
              </w:rPr>
            </w:pPr>
          </w:p>
        </w:tc>
        <w:tc>
          <w:tcPr>
            <w:tcW w:w="1712" w:type="dxa"/>
            <w:vAlign w:val="center"/>
          </w:tcPr>
          <w:p w14:paraId="1838216F">
            <w:pPr>
              <w:jc w:val="center"/>
              <w:rPr>
                <w:rFonts w:ascii="宋体" w:hAnsi="宋体"/>
                <w:color w:val="auto"/>
              </w:rPr>
            </w:pPr>
          </w:p>
        </w:tc>
        <w:tc>
          <w:tcPr>
            <w:tcW w:w="1632" w:type="dxa"/>
            <w:vAlign w:val="center"/>
          </w:tcPr>
          <w:p w14:paraId="3BFE63D0">
            <w:pPr>
              <w:jc w:val="center"/>
              <w:rPr>
                <w:rFonts w:ascii="宋体" w:hAnsi="宋体"/>
                <w:color w:val="auto"/>
              </w:rPr>
            </w:pPr>
          </w:p>
        </w:tc>
      </w:tr>
      <w:tr w14:paraId="25119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exact"/>
          <w:jc w:val="center"/>
        </w:trPr>
        <w:tc>
          <w:tcPr>
            <w:tcW w:w="6042" w:type="dxa"/>
            <w:gridSpan w:val="2"/>
            <w:vAlign w:val="center"/>
          </w:tcPr>
          <w:p w14:paraId="585F982E">
            <w:pPr>
              <w:jc w:val="center"/>
              <w:rPr>
                <w:rFonts w:ascii="宋体" w:hAnsi="宋体"/>
                <w:color w:val="auto"/>
              </w:rPr>
            </w:pPr>
            <w:r>
              <w:rPr>
                <w:rFonts w:hint="eastAsia" w:ascii="宋体" w:hAnsi="宋体"/>
                <w:color w:val="auto"/>
              </w:rPr>
              <w:t>总报价</w:t>
            </w:r>
          </w:p>
        </w:tc>
        <w:tc>
          <w:tcPr>
            <w:tcW w:w="1712" w:type="dxa"/>
            <w:vAlign w:val="center"/>
          </w:tcPr>
          <w:p w14:paraId="6DF680D8">
            <w:pPr>
              <w:jc w:val="center"/>
              <w:rPr>
                <w:rFonts w:ascii="宋体" w:hAnsi="宋体"/>
                <w:color w:val="auto"/>
              </w:rPr>
            </w:pPr>
          </w:p>
        </w:tc>
        <w:tc>
          <w:tcPr>
            <w:tcW w:w="1632" w:type="dxa"/>
            <w:vAlign w:val="center"/>
          </w:tcPr>
          <w:p w14:paraId="0C2EB0A4">
            <w:pPr>
              <w:jc w:val="center"/>
              <w:rPr>
                <w:rFonts w:ascii="宋体" w:hAnsi="宋体"/>
                <w:color w:val="auto"/>
              </w:rPr>
            </w:pPr>
          </w:p>
        </w:tc>
      </w:tr>
    </w:tbl>
    <w:p w14:paraId="11BCE7C9">
      <w:pPr>
        <w:spacing w:before="77" w:line="232" w:lineRule="auto"/>
        <w:ind w:left="153"/>
        <w:rPr>
          <w:rFonts w:ascii="宋体" w:hAnsi="宋体" w:eastAsia="宋体" w:cs="宋体"/>
          <w:color w:val="auto"/>
          <w:sz w:val="20"/>
          <w:szCs w:val="20"/>
        </w:rPr>
      </w:pPr>
      <w:r>
        <w:rPr>
          <w:rFonts w:ascii="宋体" w:hAnsi="宋体" w:eastAsia="宋体" w:cs="宋体"/>
          <w:color w:val="auto"/>
          <w:sz w:val="20"/>
          <w:szCs w:val="20"/>
          <w14:textOutline w14:w="3797" w14:cap="sq" w14:cmpd="sng" w14:algn="ctr">
            <w14:solidFill>
              <w14:srgbClr w14:val="000000"/>
            </w14:solidFill>
            <w14:prstDash w14:val="solid"/>
            <w14:bevel/>
          </w14:textOutline>
        </w:rPr>
        <w:t>注：</w:t>
      </w:r>
    </w:p>
    <w:p w14:paraId="32735879">
      <w:pPr>
        <w:spacing w:before="68" w:line="226" w:lineRule="auto"/>
        <w:ind w:left="376"/>
        <w:rPr>
          <w:rFonts w:ascii="宋体" w:hAnsi="宋体" w:eastAsia="宋体" w:cs="宋体"/>
          <w:color w:val="auto"/>
          <w:sz w:val="20"/>
          <w:szCs w:val="20"/>
          <w:lang w:eastAsia="zh-CN"/>
        </w:rPr>
      </w:pPr>
      <w:r>
        <w:rPr>
          <w:rFonts w:ascii="Tahoma" w:hAnsi="Tahoma" w:eastAsia="Tahoma" w:cs="Tahoma"/>
          <w:b/>
          <w:bCs/>
          <w:color w:val="auto"/>
          <w:spacing w:val="8"/>
          <w:sz w:val="20"/>
          <w:szCs w:val="20"/>
          <w:lang w:eastAsia="zh-CN"/>
        </w:rPr>
        <w:t>1</w:t>
      </w:r>
      <w:r>
        <w:rPr>
          <w:rFonts w:ascii="宋体" w:hAnsi="宋体" w:eastAsia="宋体" w:cs="宋体"/>
          <w:color w:val="auto"/>
          <w:spacing w:val="8"/>
          <w:sz w:val="20"/>
          <w:szCs w:val="20"/>
          <w:lang w:eastAsia="zh-CN"/>
          <w14:textOutline w14:w="3797" w14:cap="sq" w14:cmpd="sng" w14:algn="ctr">
            <w14:solidFill>
              <w14:srgbClr w14:val="000000"/>
            </w14:solidFill>
            <w14:prstDash w14:val="solid"/>
            <w14:bevel/>
          </w14:textOutline>
        </w:rPr>
        <w:t>、本表中的“分项费用名称</w:t>
      </w:r>
      <w:r>
        <w:rPr>
          <w:rFonts w:ascii="宋体" w:hAnsi="宋体" w:eastAsia="宋体" w:cs="宋体"/>
          <w:color w:val="auto"/>
          <w:spacing w:val="-52"/>
          <w:sz w:val="20"/>
          <w:szCs w:val="20"/>
          <w:lang w:eastAsia="zh-CN"/>
        </w:rPr>
        <w:t xml:space="preserve"> </w:t>
      </w:r>
      <w:r>
        <w:rPr>
          <w:rFonts w:ascii="宋体" w:hAnsi="宋体" w:eastAsia="宋体" w:cs="宋体"/>
          <w:color w:val="auto"/>
          <w:spacing w:val="8"/>
          <w:sz w:val="20"/>
          <w:szCs w:val="20"/>
          <w:lang w:eastAsia="zh-CN"/>
          <w14:textOutline w14:w="3797" w14:cap="sq" w14:cmpd="sng" w14:algn="ctr">
            <w14:solidFill>
              <w14:srgbClr w14:val="000000"/>
            </w14:solidFill>
            <w14:prstDash w14:val="solid"/>
            <w14:bevel/>
          </w14:textOutline>
        </w:rPr>
        <w:t>”系指“货物采购清单一览表</w:t>
      </w:r>
      <w:r>
        <w:rPr>
          <w:rFonts w:ascii="宋体" w:hAnsi="宋体" w:eastAsia="宋体" w:cs="宋体"/>
          <w:color w:val="auto"/>
          <w:spacing w:val="-69"/>
          <w:sz w:val="20"/>
          <w:szCs w:val="20"/>
          <w:lang w:eastAsia="zh-CN"/>
        </w:rPr>
        <w:t xml:space="preserve"> </w:t>
      </w:r>
      <w:r>
        <w:rPr>
          <w:rFonts w:ascii="宋体" w:hAnsi="宋体" w:eastAsia="宋体" w:cs="宋体"/>
          <w:color w:val="auto"/>
          <w:spacing w:val="8"/>
          <w:sz w:val="20"/>
          <w:szCs w:val="20"/>
          <w:lang w:eastAsia="zh-CN"/>
          <w14:textOutline w14:w="3797" w14:cap="sq" w14:cmpd="sng" w14:algn="ctr">
            <w14:solidFill>
              <w14:srgbClr w14:val="000000"/>
            </w14:solidFill>
            <w14:prstDash w14:val="solid"/>
            <w14:bevel/>
          </w14:textOutline>
        </w:rPr>
        <w:t>”中某一产品价格构成的分项费用。</w:t>
      </w:r>
    </w:p>
    <w:p w14:paraId="6E517919">
      <w:pPr>
        <w:spacing w:before="74" w:line="273" w:lineRule="auto"/>
        <w:ind w:left="152" w:right="19" w:firstLine="219"/>
        <w:rPr>
          <w:rFonts w:ascii="宋体" w:hAnsi="宋体" w:eastAsia="宋体" w:cs="宋体"/>
          <w:color w:val="auto"/>
          <w:sz w:val="20"/>
          <w:szCs w:val="20"/>
          <w:lang w:eastAsia="zh-CN"/>
        </w:rPr>
      </w:pPr>
      <w:r>
        <w:rPr>
          <w:rFonts w:ascii="Tahoma" w:hAnsi="Tahoma" w:eastAsia="Tahoma" w:cs="Tahoma"/>
          <w:b/>
          <w:bCs/>
          <w:color w:val="auto"/>
          <w:spacing w:val="6"/>
          <w:sz w:val="20"/>
          <w:szCs w:val="20"/>
          <w:lang w:eastAsia="zh-CN"/>
        </w:rPr>
        <w:t>2</w:t>
      </w:r>
      <w:r>
        <w:rPr>
          <w:rFonts w:ascii="宋体" w:hAnsi="宋体" w:eastAsia="宋体" w:cs="宋体"/>
          <w:color w:val="auto"/>
          <w:spacing w:val="6"/>
          <w:sz w:val="20"/>
          <w:szCs w:val="20"/>
          <w:lang w:eastAsia="zh-CN"/>
          <w14:textOutline w14:w="3797" w14:cap="sq" w14:cmpd="sng" w14:algn="ctr">
            <w14:solidFill>
              <w14:srgbClr w14:val="000000"/>
            </w14:solidFill>
            <w14:prstDash w14:val="solid"/>
            <w14:bevel/>
          </w14:textOutline>
        </w:rPr>
        <w:t>、</w:t>
      </w:r>
      <w:r>
        <w:rPr>
          <w:rFonts w:hint="eastAsia" w:ascii="宋体" w:hAnsi="宋体" w:eastAsia="宋体" w:cs="宋体"/>
          <w:color w:val="auto"/>
          <w:spacing w:val="6"/>
          <w:sz w:val="20"/>
          <w:szCs w:val="20"/>
          <w:lang w:eastAsia="zh-CN"/>
          <w14:textOutline w14:w="3797" w14:cap="sq" w14:cmpd="sng" w14:algn="ctr">
            <w14:solidFill>
              <w14:srgbClr w14:val="000000"/>
            </w14:solidFill>
            <w14:prstDash w14:val="solid"/>
            <w14:bevel/>
          </w14:textOutline>
        </w:rPr>
        <w:t>服务商</w:t>
      </w:r>
      <w:r>
        <w:rPr>
          <w:rFonts w:ascii="宋体" w:hAnsi="宋体" w:eastAsia="宋体" w:cs="宋体"/>
          <w:color w:val="auto"/>
          <w:spacing w:val="6"/>
          <w:sz w:val="20"/>
          <w:szCs w:val="20"/>
          <w:lang w:eastAsia="zh-CN"/>
          <w14:textOutline w14:w="3797" w14:cap="sq" w14:cmpd="sng" w14:algn="ctr">
            <w14:solidFill>
              <w14:srgbClr w14:val="000000"/>
            </w14:solidFill>
            <w14:prstDash w14:val="solid"/>
            <w14:bevel/>
          </w14:textOutline>
        </w:rPr>
        <w:t>应根据所供产品的具体情况，选择所供产品需要进</w:t>
      </w:r>
      <w:r>
        <w:rPr>
          <w:rFonts w:ascii="宋体" w:hAnsi="宋体" w:eastAsia="宋体" w:cs="宋体"/>
          <w:color w:val="auto"/>
          <w:spacing w:val="5"/>
          <w:sz w:val="20"/>
          <w:szCs w:val="20"/>
          <w:lang w:eastAsia="zh-CN"/>
          <w14:textOutline w14:w="3797" w14:cap="sq" w14:cmpd="sng" w14:algn="ctr">
            <w14:solidFill>
              <w14:srgbClr w14:val="000000"/>
            </w14:solidFill>
            <w14:prstDash w14:val="solid"/>
            <w14:bevel/>
          </w14:textOutline>
        </w:rPr>
        <w:t>行的分项名称或费用（投标报价费用名称包括：</w:t>
      </w:r>
      <w:r>
        <w:rPr>
          <w:rFonts w:ascii="宋体" w:hAnsi="宋体" w:eastAsia="宋体" w:cs="宋体"/>
          <w:color w:val="auto"/>
          <w:sz w:val="20"/>
          <w:szCs w:val="20"/>
          <w:lang w:eastAsia="zh-CN"/>
        </w:rPr>
        <w:t xml:space="preserve"> </w:t>
      </w:r>
      <w:r>
        <w:rPr>
          <w:rFonts w:ascii="宋体" w:hAnsi="宋体" w:eastAsia="宋体" w:cs="宋体"/>
          <w:color w:val="auto"/>
          <w:spacing w:val="12"/>
          <w:sz w:val="20"/>
          <w:szCs w:val="20"/>
          <w:lang w:eastAsia="zh-CN"/>
          <w14:textOutline w14:w="3797" w14:cap="sq" w14:cmpd="sng" w14:algn="ctr">
            <w14:solidFill>
              <w14:srgbClr w14:val="000000"/>
            </w14:solidFill>
            <w14:prstDash w14:val="solid"/>
            <w14:bevel/>
          </w14:textOutline>
        </w:rPr>
        <w:t>产品价格、标准附件费、附属产品费、专用工具费、技术服务费、安装调试费、检验检测或费、培训</w:t>
      </w:r>
      <w:r>
        <w:rPr>
          <w:rFonts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费、运</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输费用、装卸费、保险费、税金等一切费用）。</w:t>
      </w:r>
    </w:p>
    <w:p w14:paraId="7F3BE2D9">
      <w:pPr>
        <w:spacing w:before="73" w:line="262" w:lineRule="auto"/>
        <w:ind w:left="154" w:right="69" w:firstLine="212"/>
        <w:rPr>
          <w:rFonts w:ascii="宋体" w:hAnsi="宋体" w:eastAsia="宋体" w:cs="宋体"/>
          <w:color w:val="auto"/>
          <w:sz w:val="20"/>
          <w:szCs w:val="20"/>
          <w:lang w:eastAsia="zh-CN"/>
        </w:rPr>
      </w:pPr>
      <w:r>
        <w:rPr>
          <w:rFonts w:ascii="Tahoma" w:hAnsi="Tahoma" w:eastAsia="Tahoma" w:cs="Tahoma"/>
          <w:b/>
          <w:bCs/>
          <w:color w:val="auto"/>
          <w:spacing w:val="9"/>
          <w:sz w:val="20"/>
          <w:szCs w:val="20"/>
          <w:lang w:eastAsia="zh-CN"/>
        </w:rPr>
        <w:t>3</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w:t>
      </w:r>
      <w:r>
        <w:rPr>
          <w:rFonts w:hint="eastAsia"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服务商</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未进行分项报价或分项报价未能准确全部反映产品价格构成或有所隐含，有可能致使在合同履行</w:t>
      </w:r>
      <w:r>
        <w:rPr>
          <w:rFonts w:ascii="宋体" w:hAnsi="宋体" w:eastAsia="宋体" w:cs="宋体"/>
          <w:color w:val="auto"/>
          <w:sz w:val="20"/>
          <w:szCs w:val="20"/>
          <w:lang w:eastAsia="zh-CN"/>
        </w:rPr>
        <w:t xml:space="preserve"> </w:t>
      </w:r>
      <w:r>
        <w:rPr>
          <w:rFonts w:ascii="宋体" w:hAnsi="宋体" w:eastAsia="宋体" w:cs="宋体"/>
          <w:color w:val="auto"/>
          <w:spacing w:val="10"/>
          <w:sz w:val="20"/>
          <w:szCs w:val="20"/>
          <w:lang w:eastAsia="zh-CN"/>
          <w14:textOutline w14:w="3797" w14:cap="sq" w14:cmpd="sng" w14:algn="ctr">
            <w14:solidFill>
              <w14:srgbClr w14:val="000000"/>
            </w14:solidFill>
            <w14:prstDash w14:val="solid"/>
            <w14:bevel/>
          </w14:textOutline>
        </w:rPr>
        <w:t>过程中引起纠纷（非正常的追加或索赔等）或不能诚信履约的，可作无效投标处理。</w:t>
      </w:r>
    </w:p>
    <w:p w14:paraId="05A49258">
      <w:pPr>
        <w:spacing w:before="71" w:line="273" w:lineRule="auto"/>
        <w:ind w:left="153" w:right="72" w:firstLine="207"/>
        <w:rPr>
          <w:rFonts w:ascii="宋体" w:hAnsi="宋体" w:eastAsia="宋体" w:cs="宋体"/>
          <w:color w:val="auto"/>
          <w:sz w:val="20"/>
          <w:szCs w:val="20"/>
          <w:lang w:eastAsia="zh-CN"/>
        </w:rPr>
      </w:pPr>
      <w:r>
        <w:rPr>
          <w:rFonts w:ascii="Tahoma" w:hAnsi="Tahoma" w:eastAsia="Tahoma" w:cs="Tahoma"/>
          <w:b/>
          <w:bCs/>
          <w:color w:val="auto"/>
          <w:spacing w:val="9"/>
          <w:sz w:val="20"/>
          <w:szCs w:val="20"/>
          <w:lang w:eastAsia="zh-CN"/>
        </w:rPr>
        <w:t>4</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、评标委员会认为</w:t>
      </w:r>
      <w:r>
        <w:rPr>
          <w:rFonts w:hint="eastAsia"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服务商</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的报价明显低于其他通过符合性审查</w:t>
      </w:r>
      <w:r>
        <w:rPr>
          <w:rFonts w:hint="eastAsia"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服务商</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的报价，有可能影响产品质量或者不</w:t>
      </w:r>
      <w:r>
        <w:rPr>
          <w:rFonts w:ascii="宋体" w:hAnsi="宋体" w:eastAsia="宋体" w:cs="宋体"/>
          <w:color w:val="auto"/>
          <w:spacing w:val="2"/>
          <w:sz w:val="20"/>
          <w:szCs w:val="20"/>
          <w:lang w:eastAsia="zh-CN"/>
        </w:rPr>
        <w:t xml:space="preserve"> </w:t>
      </w:r>
      <w:r>
        <w:rPr>
          <w:rFonts w:ascii="宋体" w:hAnsi="宋体" w:eastAsia="宋体" w:cs="宋体"/>
          <w:color w:val="auto"/>
          <w:spacing w:val="12"/>
          <w:sz w:val="20"/>
          <w:szCs w:val="20"/>
          <w:lang w:eastAsia="zh-CN"/>
          <w14:textOutline w14:w="3797" w14:cap="sq" w14:cmpd="sng" w14:algn="ctr">
            <w14:solidFill>
              <w14:srgbClr w14:val="000000"/>
            </w14:solidFill>
            <w14:prstDash w14:val="solid"/>
            <w14:bevel/>
          </w14:textOutline>
        </w:rPr>
        <w:t>能诚信履约的，应当要求其在评审现场合理的时间内提供书面说明，必要时提交相关证明材料；</w:t>
      </w:r>
      <w:r>
        <w:rPr>
          <w:rFonts w:hint="eastAsia" w:ascii="宋体" w:hAnsi="宋体" w:eastAsia="宋体" w:cs="宋体"/>
          <w:color w:val="auto"/>
          <w:spacing w:val="12"/>
          <w:sz w:val="20"/>
          <w:szCs w:val="20"/>
          <w:lang w:eastAsia="zh-CN"/>
          <w14:textOutline w14:w="3797" w14:cap="sq" w14:cmpd="sng" w14:algn="ctr">
            <w14:solidFill>
              <w14:srgbClr w14:val="000000"/>
            </w14:solidFill>
            <w14:prstDash w14:val="solid"/>
            <w14:bevel/>
          </w14:textOutline>
        </w:rPr>
        <w:t>服务商</w:t>
      </w:r>
      <w:r>
        <w:rPr>
          <w:rFonts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不能</w:t>
      </w:r>
      <w:r>
        <w:rPr>
          <w:rFonts w:ascii="宋体" w:hAnsi="宋体" w:eastAsia="宋体" w:cs="宋体"/>
          <w:color w:val="auto"/>
          <w:sz w:val="20"/>
          <w:szCs w:val="20"/>
          <w:lang w:eastAsia="zh-CN"/>
        </w:rPr>
        <w:t xml:space="preserve"> </w:t>
      </w:r>
      <w:r>
        <w:rPr>
          <w:rFonts w:ascii="宋体" w:hAnsi="宋体" w:eastAsia="宋体" w:cs="宋体"/>
          <w:color w:val="auto"/>
          <w:spacing w:val="10"/>
          <w:sz w:val="20"/>
          <w:szCs w:val="20"/>
          <w:lang w:eastAsia="zh-CN"/>
          <w14:textOutline w14:w="3797" w14:cap="sq" w14:cmpd="sng" w14:algn="ctr">
            <w14:solidFill>
              <w14:srgbClr w14:val="000000"/>
            </w14:solidFill>
            <w14:prstDash w14:val="solid"/>
            <w14:bevel/>
          </w14:textOutline>
        </w:rPr>
        <w:t>证明其报价合理性的，评标委员会应当将其作为无效投标处理。</w:t>
      </w:r>
    </w:p>
    <w:p w14:paraId="17069E23">
      <w:pPr>
        <w:spacing w:before="74" w:line="226" w:lineRule="auto"/>
        <w:ind w:left="369"/>
        <w:rPr>
          <w:rFonts w:ascii="宋体" w:hAnsi="宋体" w:eastAsia="宋体" w:cs="宋体"/>
          <w:color w:val="auto"/>
          <w:sz w:val="20"/>
          <w:szCs w:val="20"/>
          <w:lang w:eastAsia="zh-CN"/>
        </w:rPr>
      </w:pPr>
      <w:r>
        <w:rPr>
          <w:rFonts w:ascii="Tahoma" w:hAnsi="Tahoma" w:eastAsia="Tahoma" w:cs="Tahoma"/>
          <w:b/>
          <w:bCs/>
          <w:color w:val="auto"/>
          <w:spacing w:val="9"/>
          <w:sz w:val="20"/>
          <w:szCs w:val="20"/>
          <w:lang w:eastAsia="zh-CN"/>
        </w:rPr>
        <w:t>5</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、此表中的价格若与报价一览中所报的价格不一致的，</w:t>
      </w:r>
      <w:r>
        <w:rPr>
          <w:rFonts w:ascii="宋体" w:hAnsi="宋体" w:eastAsia="宋体" w:cs="宋体"/>
          <w:color w:val="auto"/>
          <w:spacing w:val="-60"/>
          <w:sz w:val="20"/>
          <w:szCs w:val="20"/>
          <w:lang w:eastAsia="zh-CN"/>
        </w:rPr>
        <w:t xml:space="preserve"> </w:t>
      </w: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以报价一览表中的</w:t>
      </w:r>
      <w:r>
        <w:rPr>
          <w:rFonts w:ascii="宋体" w:hAnsi="宋体" w:eastAsia="宋体" w:cs="宋体"/>
          <w:color w:val="auto"/>
          <w:spacing w:val="8"/>
          <w:sz w:val="20"/>
          <w:szCs w:val="20"/>
          <w:lang w:eastAsia="zh-CN"/>
          <w14:textOutline w14:w="3797" w14:cap="sq" w14:cmpd="sng" w14:algn="ctr">
            <w14:solidFill>
              <w14:srgbClr w14:val="000000"/>
            </w14:solidFill>
            <w14:prstDash w14:val="solid"/>
            <w14:bevel/>
          </w14:textOutline>
        </w:rPr>
        <w:t>价格为准。</w:t>
      </w:r>
    </w:p>
    <w:p w14:paraId="72EB66B7">
      <w:pPr>
        <w:pStyle w:val="8"/>
        <w:spacing w:line="359" w:lineRule="auto"/>
        <w:rPr>
          <w:color w:val="auto"/>
          <w:lang w:eastAsia="zh-CN"/>
        </w:rPr>
      </w:pPr>
    </w:p>
    <w:p w14:paraId="6BBD4BF7">
      <w:pPr>
        <w:pStyle w:val="8"/>
        <w:spacing w:line="360" w:lineRule="auto"/>
        <w:rPr>
          <w:color w:val="auto"/>
          <w:lang w:eastAsia="zh-CN"/>
        </w:rPr>
      </w:pPr>
    </w:p>
    <w:p w14:paraId="42B28BC4">
      <w:pPr>
        <w:spacing w:before="66" w:line="408" w:lineRule="exact"/>
        <w:ind w:left="5824"/>
        <w:rPr>
          <w:rFonts w:ascii="宋体" w:hAnsi="宋体" w:eastAsia="宋体" w:cs="宋体"/>
          <w:color w:val="auto"/>
          <w:sz w:val="20"/>
          <w:szCs w:val="20"/>
          <w:lang w:eastAsia="zh-CN"/>
        </w:rPr>
      </w:pPr>
      <w:r>
        <w:rPr>
          <w:rFonts w:hint="eastAsia" w:ascii="宋体" w:hAnsi="宋体" w:eastAsia="宋体" w:cs="宋体"/>
          <w:color w:val="auto"/>
          <w:spacing w:val="8"/>
          <w:position w:val="15"/>
          <w:sz w:val="20"/>
          <w:szCs w:val="20"/>
          <w:lang w:eastAsia="zh-CN"/>
        </w:rPr>
        <w:t>服务商</w:t>
      </w:r>
      <w:r>
        <w:rPr>
          <w:rFonts w:ascii="宋体" w:hAnsi="宋体" w:eastAsia="宋体" w:cs="宋体"/>
          <w:color w:val="auto"/>
          <w:spacing w:val="8"/>
          <w:position w:val="15"/>
          <w:sz w:val="20"/>
          <w:szCs w:val="20"/>
          <w:lang w:eastAsia="zh-CN"/>
        </w:rPr>
        <w:t>（加盖公章</w:t>
      </w:r>
      <w:r>
        <w:rPr>
          <w:rFonts w:ascii="宋体" w:hAnsi="宋体" w:eastAsia="宋体" w:cs="宋体"/>
          <w:color w:val="auto"/>
          <w:spacing w:val="2"/>
          <w:position w:val="15"/>
          <w:sz w:val="20"/>
          <w:szCs w:val="20"/>
          <w:lang w:eastAsia="zh-CN"/>
        </w:rPr>
        <w:t>）：</w:t>
      </w:r>
    </w:p>
    <w:p w14:paraId="602EA40B">
      <w:pPr>
        <w:spacing w:before="1" w:line="226" w:lineRule="auto"/>
        <w:ind w:left="5824"/>
        <w:rPr>
          <w:rFonts w:ascii="宋体" w:hAnsi="宋体" w:eastAsia="宋体" w:cs="宋体"/>
          <w:color w:val="auto"/>
          <w:sz w:val="20"/>
          <w:szCs w:val="20"/>
          <w:lang w:eastAsia="zh-CN"/>
        </w:rPr>
      </w:pP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代表签名：</w:t>
      </w:r>
    </w:p>
    <w:p w14:paraId="30A63970">
      <w:pPr>
        <w:spacing w:line="226" w:lineRule="auto"/>
        <w:rPr>
          <w:rFonts w:ascii="宋体" w:hAnsi="宋体" w:eastAsia="宋体" w:cs="宋体"/>
          <w:color w:val="auto"/>
          <w:sz w:val="20"/>
          <w:szCs w:val="20"/>
          <w:lang w:eastAsia="zh-CN"/>
        </w:rPr>
        <w:sectPr>
          <w:headerReference r:id="rId46" w:type="default"/>
          <w:footerReference r:id="rId47"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12B6CF5F">
      <w:pPr>
        <w:spacing w:before="99" w:line="222" w:lineRule="auto"/>
        <w:ind w:left="3740"/>
        <w:outlineLvl w:val="0"/>
        <w:rPr>
          <w:rFonts w:ascii="黑体" w:hAnsi="黑体" w:eastAsia="黑体" w:cs="黑体"/>
          <w:color w:val="auto"/>
          <w:sz w:val="28"/>
          <w:szCs w:val="28"/>
          <w:lang w:eastAsia="zh-CN"/>
        </w:rPr>
      </w:pPr>
      <w:bookmarkStart w:id="304" w:name="_Toc29169"/>
      <w:bookmarkStart w:id="305" w:name="_Toc22425"/>
      <w:bookmarkStart w:id="306" w:name="_Toc25807"/>
      <w:r>
        <w:rPr>
          <w:rFonts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货物或产品说明一览表</w:t>
      </w:r>
      <w:bookmarkEnd w:id="304"/>
      <w:bookmarkEnd w:id="305"/>
      <w:bookmarkEnd w:id="306"/>
    </w:p>
    <w:p w14:paraId="68B395F0">
      <w:pPr>
        <w:spacing w:before="104" w:line="227" w:lineRule="auto"/>
        <w:ind w:left="3103"/>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（按所供货物合同包下品目号类别分别填写）</w:t>
      </w:r>
    </w:p>
    <w:p w14:paraId="51DFECF4">
      <w:pPr>
        <w:spacing w:before="294" w:line="222" w:lineRule="auto"/>
        <w:ind w:left="157"/>
        <w:rPr>
          <w:rFonts w:ascii="宋体" w:hAnsi="宋体" w:eastAsia="宋体" w:cs="宋体"/>
          <w:color w:val="auto"/>
          <w:sz w:val="20"/>
          <w:szCs w:val="20"/>
        </w:rPr>
      </w:pPr>
      <w:r>
        <w:rPr>
          <w:rFonts w:ascii="宋体" w:hAnsi="宋体" w:eastAsia="宋体" w:cs="宋体"/>
          <w:color w:val="auto"/>
          <w:spacing w:val="3"/>
          <w:sz w:val="20"/>
          <w:szCs w:val="20"/>
        </w:rPr>
        <w:t xml:space="preserve">项目编号：                                                         </w:t>
      </w:r>
      <w:r>
        <w:rPr>
          <w:rFonts w:ascii="宋体" w:hAnsi="宋体" w:eastAsia="宋体" w:cs="宋体"/>
          <w:color w:val="auto"/>
          <w:spacing w:val="2"/>
          <w:sz w:val="20"/>
          <w:szCs w:val="20"/>
        </w:rPr>
        <w:t xml:space="preserve">         第  页共  页</w:t>
      </w:r>
    </w:p>
    <w:tbl>
      <w:tblPr>
        <w:tblStyle w:val="26"/>
        <w:tblW w:w="1021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65"/>
        <w:gridCol w:w="7546"/>
      </w:tblGrid>
      <w:tr w14:paraId="42EA20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2665" w:type="dxa"/>
          </w:tcPr>
          <w:p w14:paraId="01F48CEE">
            <w:pPr>
              <w:pStyle w:val="27"/>
              <w:spacing w:before="197" w:line="228" w:lineRule="auto"/>
              <w:ind w:left="608"/>
              <w:outlineLvl w:val="0"/>
              <w:rPr>
                <w:color w:val="auto"/>
              </w:rPr>
            </w:pPr>
            <w:bookmarkStart w:id="307" w:name="_Toc15115"/>
            <w:bookmarkStart w:id="308" w:name="_Toc29469"/>
            <w:bookmarkStart w:id="309" w:name="_Toc1546"/>
            <w:r>
              <w:rPr>
                <w:color w:val="auto"/>
                <w:spacing w:val="8"/>
              </w:rPr>
              <w:t>设备或产品名称</w:t>
            </w:r>
            <w:bookmarkEnd w:id="307"/>
            <w:bookmarkEnd w:id="308"/>
            <w:bookmarkEnd w:id="309"/>
          </w:p>
        </w:tc>
        <w:tc>
          <w:tcPr>
            <w:tcW w:w="7546" w:type="dxa"/>
          </w:tcPr>
          <w:p w14:paraId="30A3C5DB">
            <w:pPr>
              <w:rPr>
                <w:color w:val="auto"/>
              </w:rPr>
            </w:pPr>
          </w:p>
        </w:tc>
      </w:tr>
      <w:tr w14:paraId="03B41E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10211" w:type="dxa"/>
            <w:gridSpan w:val="2"/>
          </w:tcPr>
          <w:p w14:paraId="3E5FE1AB">
            <w:pPr>
              <w:pStyle w:val="27"/>
              <w:spacing w:before="193" w:line="227" w:lineRule="auto"/>
              <w:ind w:left="2700"/>
              <w:outlineLvl w:val="0"/>
              <w:rPr>
                <w:color w:val="auto"/>
                <w:lang w:eastAsia="zh-CN"/>
              </w:rPr>
            </w:pPr>
            <w:bookmarkStart w:id="310" w:name="_Toc6550"/>
            <w:bookmarkStart w:id="311" w:name="_Toc19745"/>
            <w:bookmarkStart w:id="312" w:name="_Toc14178"/>
            <w:r>
              <w:rPr>
                <w:color w:val="auto"/>
                <w:spacing w:val="9"/>
                <w:lang w:eastAsia="zh-CN"/>
              </w:rPr>
              <w:t>货物或产品的详细技术指标、参数，性能或功能说明</w:t>
            </w:r>
            <w:bookmarkEnd w:id="310"/>
            <w:bookmarkEnd w:id="311"/>
            <w:bookmarkEnd w:id="312"/>
          </w:p>
        </w:tc>
      </w:tr>
      <w:tr w14:paraId="25D2E6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8" w:hRule="atLeast"/>
        </w:trPr>
        <w:tc>
          <w:tcPr>
            <w:tcW w:w="10211" w:type="dxa"/>
            <w:gridSpan w:val="2"/>
          </w:tcPr>
          <w:p w14:paraId="21B3E027">
            <w:pPr>
              <w:rPr>
                <w:color w:val="auto"/>
                <w:lang w:eastAsia="zh-CN"/>
              </w:rPr>
            </w:pPr>
          </w:p>
        </w:tc>
      </w:tr>
    </w:tbl>
    <w:p w14:paraId="15337644">
      <w:pPr>
        <w:pStyle w:val="8"/>
        <w:spacing w:line="294" w:lineRule="auto"/>
        <w:rPr>
          <w:color w:val="auto"/>
          <w:lang w:eastAsia="zh-CN"/>
        </w:rPr>
      </w:pPr>
    </w:p>
    <w:p w14:paraId="2164B6D1">
      <w:pPr>
        <w:spacing w:before="66" w:line="306" w:lineRule="auto"/>
        <w:ind w:left="152" w:right="101" w:firstLine="3"/>
        <w:jc w:val="both"/>
        <w:rPr>
          <w:rFonts w:ascii="宋体" w:hAnsi="宋体" w:eastAsia="宋体" w:cs="宋体"/>
          <w:color w:val="auto"/>
          <w:sz w:val="20"/>
          <w:szCs w:val="20"/>
          <w:lang w:eastAsia="zh-CN"/>
        </w:rPr>
      </w:pPr>
      <w:r>
        <w:rPr>
          <w:rFonts w:ascii="宋体" w:hAnsi="宋体" w:eastAsia="宋体" w:cs="宋体"/>
          <w:color w:val="auto"/>
          <w:spacing w:val="12"/>
          <w:sz w:val="20"/>
          <w:szCs w:val="20"/>
          <w:lang w:eastAsia="zh-CN"/>
          <w14:textOutline w14:w="3797" w14:cap="sq" w14:cmpd="sng" w14:algn="ctr">
            <w14:solidFill>
              <w14:srgbClr w14:val="000000"/>
            </w14:solidFill>
            <w14:prstDash w14:val="solid"/>
            <w14:bevel/>
          </w14:textOutline>
        </w:rPr>
        <w:t>说明：为使评标委员会能准确理解及使评审工作顺利进行，请</w:t>
      </w:r>
      <w:r>
        <w:rPr>
          <w:rFonts w:hint="eastAsia" w:ascii="宋体" w:hAnsi="宋体" w:eastAsia="宋体" w:cs="宋体"/>
          <w:color w:val="auto"/>
          <w:spacing w:val="12"/>
          <w:sz w:val="20"/>
          <w:szCs w:val="20"/>
          <w:lang w:eastAsia="zh-CN"/>
          <w14:textOutline w14:w="3797" w14:cap="sq" w14:cmpd="sng" w14:algn="ctr">
            <w14:solidFill>
              <w14:srgbClr w14:val="000000"/>
            </w14:solidFill>
            <w14:prstDash w14:val="solid"/>
            <w14:bevel/>
          </w14:textOutline>
        </w:rPr>
        <w:t>服务商</w:t>
      </w:r>
      <w:r>
        <w:rPr>
          <w:rFonts w:ascii="宋体" w:hAnsi="宋体" w:eastAsia="宋体" w:cs="宋体"/>
          <w:color w:val="auto"/>
          <w:spacing w:val="12"/>
          <w:sz w:val="20"/>
          <w:szCs w:val="20"/>
          <w:lang w:eastAsia="zh-CN"/>
          <w14:textOutline w14:w="3797" w14:cap="sq" w14:cmpd="sng" w14:algn="ctr">
            <w14:solidFill>
              <w14:srgbClr w14:val="000000"/>
            </w14:solidFill>
            <w14:prstDash w14:val="solid"/>
            <w14:bevel/>
          </w14:textOutline>
        </w:rPr>
        <w:t>针对所供产品的实际型</w:t>
      </w:r>
      <w:r>
        <w:rPr>
          <w:rFonts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号或规格，实际</w:t>
      </w:r>
      <w:r>
        <w:rPr>
          <w:rFonts w:ascii="宋体" w:hAnsi="宋体" w:eastAsia="宋体" w:cs="宋体"/>
          <w:color w:val="auto"/>
          <w:sz w:val="20"/>
          <w:szCs w:val="20"/>
          <w:lang w:eastAsia="zh-CN"/>
        </w:rPr>
        <w:t xml:space="preserve"> </w:t>
      </w:r>
      <w:r>
        <w:rPr>
          <w:rFonts w:ascii="宋体" w:hAnsi="宋体" w:eastAsia="宋体" w:cs="宋体"/>
          <w:color w:val="auto"/>
          <w:spacing w:val="12"/>
          <w:sz w:val="20"/>
          <w:szCs w:val="20"/>
          <w:lang w:eastAsia="zh-CN"/>
          <w14:textOutline w14:w="3797" w14:cap="sq" w14:cmpd="sng" w14:algn="ctr">
            <w14:solidFill>
              <w14:srgbClr w14:val="000000"/>
            </w14:solidFill>
            <w14:prstDash w14:val="solid"/>
            <w14:bevel/>
          </w14:textOutline>
        </w:rPr>
        <w:t>技术指标、参数，性能或功能，采用的质量标准等逐条进行说明并附直观、清晰的产品图片，不可按</w:t>
      </w:r>
      <w:r>
        <w:rPr>
          <w:rFonts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招标文</w:t>
      </w:r>
      <w:r>
        <w:rPr>
          <w:rFonts w:ascii="宋体" w:hAnsi="宋体" w:eastAsia="宋体" w:cs="宋体"/>
          <w:color w:val="auto"/>
          <w:sz w:val="20"/>
          <w:szCs w:val="20"/>
          <w:lang w:eastAsia="zh-CN"/>
        </w:rPr>
        <w:t xml:space="preserve"> </w:t>
      </w:r>
      <w:r>
        <w:rPr>
          <w:rFonts w:ascii="宋体" w:hAnsi="宋体" w:eastAsia="宋体" w:cs="宋体"/>
          <w:color w:val="auto"/>
          <w:spacing w:val="12"/>
          <w:sz w:val="20"/>
          <w:szCs w:val="20"/>
          <w:lang w:eastAsia="zh-CN"/>
          <w14:textOutline w14:w="3797" w14:cap="sq" w14:cmpd="sng" w14:algn="ctr">
            <w14:solidFill>
              <w14:srgbClr w14:val="000000"/>
            </w14:solidFill>
            <w14:prstDash w14:val="solid"/>
            <w14:bevel/>
          </w14:textOutline>
        </w:rPr>
        <w:t>件提出的质量指标及技术要求进行简单复制，一旦经评标委员会认定，其所供产品的性能或质量指标</w:t>
      </w:r>
      <w:r>
        <w:rPr>
          <w:rFonts w:ascii="宋体" w:hAnsi="宋体" w:eastAsia="宋体" w:cs="宋体"/>
          <w:color w:val="auto"/>
          <w:spacing w:val="11"/>
          <w:sz w:val="20"/>
          <w:szCs w:val="20"/>
          <w:lang w:eastAsia="zh-CN"/>
          <w14:textOutline w14:w="3797" w14:cap="sq" w14:cmpd="sng" w14:algn="ctr">
            <w14:solidFill>
              <w14:srgbClr w14:val="000000"/>
            </w14:solidFill>
            <w14:prstDash w14:val="solid"/>
            <w14:bevel/>
          </w14:textOutline>
        </w:rPr>
        <w:t>、技术</w:t>
      </w:r>
      <w:r>
        <w:rPr>
          <w:rFonts w:ascii="宋体" w:hAnsi="宋体" w:eastAsia="宋体" w:cs="宋体"/>
          <w:color w:val="auto"/>
          <w:sz w:val="20"/>
          <w:szCs w:val="20"/>
          <w:lang w:eastAsia="zh-CN"/>
        </w:rPr>
        <w:t xml:space="preserve"> </w:t>
      </w:r>
      <w:r>
        <w:rPr>
          <w:rFonts w:ascii="宋体" w:hAnsi="宋体" w:eastAsia="宋体" w:cs="宋体"/>
          <w:color w:val="auto"/>
          <w:spacing w:val="10"/>
          <w:sz w:val="20"/>
          <w:szCs w:val="20"/>
          <w:lang w:eastAsia="zh-CN"/>
          <w14:textOutline w14:w="3797" w14:cap="sq" w14:cmpd="sng" w14:algn="ctr">
            <w14:solidFill>
              <w14:srgbClr w14:val="000000"/>
            </w14:solidFill>
            <w14:prstDash w14:val="solid"/>
            <w14:bevel/>
          </w14:textOutline>
        </w:rPr>
        <w:t>参数等与实际不符，有可能给</w:t>
      </w:r>
      <w:r>
        <w:rPr>
          <w:rFonts w:hint="eastAsia" w:ascii="宋体" w:hAnsi="宋体" w:eastAsia="宋体" w:cs="宋体"/>
          <w:color w:val="auto"/>
          <w:spacing w:val="10"/>
          <w:sz w:val="20"/>
          <w:szCs w:val="20"/>
          <w:lang w:eastAsia="zh-CN"/>
          <w14:textOutline w14:w="3797" w14:cap="sq" w14:cmpd="sng" w14:algn="ctr">
            <w14:solidFill>
              <w14:srgbClr w14:val="000000"/>
            </w14:solidFill>
            <w14:prstDash w14:val="solid"/>
            <w14:bevel/>
          </w14:textOutline>
        </w:rPr>
        <w:t>服务商</w:t>
      </w:r>
      <w:r>
        <w:rPr>
          <w:rFonts w:ascii="宋体" w:hAnsi="宋体" w:eastAsia="宋体" w:cs="宋体"/>
          <w:color w:val="auto"/>
          <w:spacing w:val="10"/>
          <w:sz w:val="20"/>
          <w:szCs w:val="20"/>
          <w:lang w:eastAsia="zh-CN"/>
          <w14:textOutline w14:w="3797" w14:cap="sq" w14:cmpd="sng" w14:algn="ctr">
            <w14:solidFill>
              <w14:srgbClr w14:val="000000"/>
            </w14:solidFill>
            <w14:prstDash w14:val="solid"/>
            <w14:bevel/>
          </w14:textOutline>
        </w:rPr>
        <w:t>带来的不利或导致投标无效，将由</w:t>
      </w:r>
      <w:r>
        <w:rPr>
          <w:rFonts w:hint="eastAsia" w:ascii="宋体" w:hAnsi="宋体" w:eastAsia="宋体" w:cs="宋体"/>
          <w:color w:val="auto"/>
          <w:spacing w:val="10"/>
          <w:sz w:val="20"/>
          <w:szCs w:val="20"/>
          <w:lang w:eastAsia="zh-CN"/>
          <w14:textOutline w14:w="3797" w14:cap="sq" w14:cmpd="sng" w14:algn="ctr">
            <w14:solidFill>
              <w14:srgbClr w14:val="000000"/>
            </w14:solidFill>
            <w14:prstDash w14:val="solid"/>
            <w14:bevel/>
          </w14:textOutline>
        </w:rPr>
        <w:t>服务商</w:t>
      </w:r>
      <w:r>
        <w:rPr>
          <w:rFonts w:ascii="宋体" w:hAnsi="宋体" w:eastAsia="宋体" w:cs="宋体"/>
          <w:color w:val="auto"/>
          <w:spacing w:val="10"/>
          <w:sz w:val="20"/>
          <w:szCs w:val="20"/>
          <w:lang w:eastAsia="zh-CN"/>
          <w14:textOutline w14:w="3797" w14:cap="sq" w14:cmpd="sng" w14:algn="ctr">
            <w14:solidFill>
              <w14:srgbClr w14:val="000000"/>
            </w14:solidFill>
            <w14:prstDash w14:val="solid"/>
            <w14:bevel/>
          </w14:textOutline>
        </w:rPr>
        <w:t>自行承担，敬请</w:t>
      </w:r>
      <w:r>
        <w:rPr>
          <w:rFonts w:hint="eastAsia" w:ascii="宋体" w:hAnsi="宋体" w:eastAsia="宋体" w:cs="宋体"/>
          <w:color w:val="auto"/>
          <w:spacing w:val="10"/>
          <w:sz w:val="20"/>
          <w:szCs w:val="20"/>
          <w:lang w:eastAsia="zh-CN"/>
          <w14:textOutline w14:w="3797" w14:cap="sq" w14:cmpd="sng" w14:algn="ctr">
            <w14:solidFill>
              <w14:srgbClr w14:val="000000"/>
            </w14:solidFill>
            <w14:prstDash w14:val="solid"/>
            <w14:bevel/>
          </w14:textOutline>
        </w:rPr>
        <w:t>服务商</w:t>
      </w:r>
      <w:r>
        <w:rPr>
          <w:rFonts w:ascii="宋体" w:hAnsi="宋体" w:eastAsia="宋体" w:cs="宋体"/>
          <w:color w:val="auto"/>
          <w:spacing w:val="10"/>
          <w:sz w:val="20"/>
          <w:szCs w:val="20"/>
          <w:lang w:eastAsia="zh-CN"/>
          <w14:textOutline w14:w="3797" w14:cap="sq" w14:cmpd="sng" w14:algn="ctr">
            <w14:solidFill>
              <w14:srgbClr w14:val="000000"/>
            </w14:solidFill>
            <w14:prstDash w14:val="solid"/>
            <w14:bevel/>
          </w14:textOutline>
        </w:rPr>
        <w:t>注意！</w:t>
      </w:r>
    </w:p>
    <w:p w14:paraId="0172F468">
      <w:pPr>
        <w:pStyle w:val="8"/>
        <w:spacing w:line="273" w:lineRule="auto"/>
        <w:rPr>
          <w:color w:val="auto"/>
          <w:lang w:eastAsia="zh-CN"/>
        </w:rPr>
      </w:pPr>
    </w:p>
    <w:p w14:paraId="00A0ACA0">
      <w:pPr>
        <w:pStyle w:val="8"/>
        <w:spacing w:line="273" w:lineRule="auto"/>
        <w:rPr>
          <w:color w:val="auto"/>
          <w:lang w:eastAsia="zh-CN"/>
        </w:rPr>
      </w:pPr>
    </w:p>
    <w:p w14:paraId="5C91F6C2">
      <w:pPr>
        <w:pStyle w:val="8"/>
        <w:spacing w:line="273" w:lineRule="auto"/>
        <w:rPr>
          <w:color w:val="auto"/>
          <w:lang w:eastAsia="zh-CN"/>
        </w:rPr>
      </w:pPr>
    </w:p>
    <w:p w14:paraId="3397D0CD">
      <w:pPr>
        <w:spacing w:before="65" w:line="288" w:lineRule="exact"/>
        <w:ind w:left="5824"/>
        <w:rPr>
          <w:rFonts w:ascii="宋体" w:hAnsi="宋体" w:eastAsia="宋体" w:cs="宋体"/>
          <w:color w:val="auto"/>
          <w:sz w:val="20"/>
          <w:szCs w:val="20"/>
          <w:lang w:eastAsia="zh-CN"/>
        </w:rPr>
      </w:pPr>
      <w:r>
        <w:rPr>
          <w:rFonts w:hint="eastAsia" w:ascii="宋体" w:hAnsi="宋体" w:eastAsia="宋体" w:cs="宋体"/>
          <w:color w:val="auto"/>
          <w:spacing w:val="8"/>
          <w:position w:val="5"/>
          <w:sz w:val="20"/>
          <w:szCs w:val="20"/>
          <w:lang w:eastAsia="zh-CN"/>
        </w:rPr>
        <w:t>服务商</w:t>
      </w:r>
      <w:r>
        <w:rPr>
          <w:rFonts w:ascii="宋体" w:hAnsi="宋体" w:eastAsia="宋体" w:cs="宋体"/>
          <w:color w:val="auto"/>
          <w:spacing w:val="8"/>
          <w:position w:val="5"/>
          <w:sz w:val="20"/>
          <w:szCs w:val="20"/>
          <w:lang w:eastAsia="zh-CN"/>
        </w:rPr>
        <w:t>（加盖公章</w:t>
      </w:r>
      <w:r>
        <w:rPr>
          <w:rFonts w:ascii="宋体" w:hAnsi="宋体" w:eastAsia="宋体" w:cs="宋体"/>
          <w:color w:val="auto"/>
          <w:spacing w:val="2"/>
          <w:position w:val="5"/>
          <w:sz w:val="20"/>
          <w:szCs w:val="20"/>
          <w:lang w:eastAsia="zh-CN"/>
        </w:rPr>
        <w:t>）：</w:t>
      </w:r>
    </w:p>
    <w:p w14:paraId="3E35A2E1">
      <w:pPr>
        <w:spacing w:before="1" w:line="226" w:lineRule="auto"/>
        <w:ind w:left="5827"/>
        <w:rPr>
          <w:rFonts w:ascii="Tahoma" w:hAnsi="Tahoma" w:eastAsia="Tahoma" w:cs="Tahoma"/>
          <w:color w:val="auto"/>
          <w:sz w:val="20"/>
          <w:szCs w:val="20"/>
          <w:lang w:eastAsia="zh-CN"/>
        </w:rPr>
      </w:pPr>
      <w:r>
        <w:rPr>
          <w:rFonts w:ascii="宋体" w:hAnsi="宋体" w:eastAsia="宋体" w:cs="宋体"/>
          <w:color w:val="auto"/>
          <w:spacing w:val="8"/>
          <w:sz w:val="20"/>
          <w:szCs w:val="20"/>
          <w:lang w:eastAsia="zh-CN"/>
        </w:rPr>
        <w:t>投标</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代表签字</w:t>
      </w:r>
      <w:r>
        <w:rPr>
          <w:rFonts w:ascii="Tahoma" w:hAnsi="Tahoma" w:eastAsia="Tahoma" w:cs="Tahoma"/>
          <w:color w:val="auto"/>
          <w:spacing w:val="8"/>
          <w:sz w:val="20"/>
          <w:szCs w:val="20"/>
          <w:lang w:eastAsia="zh-CN"/>
        </w:rPr>
        <w:t>:</w:t>
      </w:r>
    </w:p>
    <w:p w14:paraId="36C15F7D">
      <w:pPr>
        <w:spacing w:line="226" w:lineRule="auto"/>
        <w:rPr>
          <w:rFonts w:ascii="Tahoma" w:hAnsi="Tahoma" w:eastAsia="Tahoma" w:cs="Tahoma"/>
          <w:color w:val="auto"/>
          <w:sz w:val="20"/>
          <w:szCs w:val="20"/>
          <w:lang w:eastAsia="zh-CN"/>
        </w:rPr>
        <w:sectPr>
          <w:headerReference r:id="rId48" w:type="default"/>
          <w:footerReference r:id="rId49"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4F5D2EE3">
      <w:pPr>
        <w:spacing w:before="78" w:line="223" w:lineRule="auto"/>
        <w:ind w:left="3756"/>
        <w:outlineLvl w:val="0"/>
        <w:rPr>
          <w:rFonts w:ascii="黑体" w:hAnsi="黑体" w:eastAsia="黑体" w:cs="黑体"/>
          <w:color w:val="auto"/>
          <w:sz w:val="28"/>
          <w:szCs w:val="28"/>
          <w:lang w:eastAsia="zh-CN"/>
        </w:rPr>
      </w:pPr>
      <w:bookmarkStart w:id="313" w:name="_Toc7885"/>
      <w:bookmarkStart w:id="314" w:name="_Toc21550"/>
      <w:bookmarkStart w:id="315" w:name="_Toc3167"/>
      <w:r>
        <w:rPr>
          <w:rFonts w:ascii="黑体" w:hAnsi="黑体" w:eastAsia="黑体" w:cs="黑体"/>
          <w:color w:val="auto"/>
          <w:spacing w:val="-2"/>
          <w:sz w:val="28"/>
          <w:szCs w:val="28"/>
          <w:lang w:eastAsia="zh-CN"/>
          <w14:textOutline w14:w="5105" w14:cap="sq" w14:cmpd="sng" w14:algn="ctr">
            <w14:solidFill>
              <w14:srgbClr w14:val="000000"/>
            </w14:solidFill>
            <w14:prstDash w14:val="solid"/>
            <w14:bevel/>
          </w14:textOutline>
        </w:rPr>
        <w:t>（三）技术偏离表</w:t>
      </w:r>
      <w:bookmarkEnd w:id="313"/>
      <w:bookmarkEnd w:id="314"/>
      <w:bookmarkEnd w:id="315"/>
    </w:p>
    <w:p w14:paraId="0DADE090">
      <w:pPr>
        <w:spacing w:before="160"/>
        <w:rPr>
          <w:color w:val="auto"/>
          <w:lang w:eastAsia="zh-CN"/>
        </w:rPr>
      </w:pPr>
    </w:p>
    <w:p w14:paraId="48BD4AEE">
      <w:pPr>
        <w:rPr>
          <w:color w:val="auto"/>
          <w:lang w:eastAsia="zh-CN"/>
        </w:rPr>
        <w:sectPr>
          <w:footerReference r:id="rId50"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7B0C2A94">
      <w:pPr>
        <w:spacing w:before="41" w:line="193" w:lineRule="auto"/>
        <w:ind w:left="157"/>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项目编号</w:t>
      </w:r>
      <w:r>
        <w:rPr>
          <w:rFonts w:ascii="Tahoma" w:hAnsi="Tahoma" w:eastAsia="Tahoma" w:cs="Tahoma"/>
          <w:color w:val="auto"/>
          <w:spacing w:val="6"/>
          <w:sz w:val="20"/>
          <w:szCs w:val="20"/>
          <w:lang w:eastAsia="zh-CN"/>
        </w:rPr>
        <w:t>∶</w:t>
      </w:r>
      <w:r>
        <w:rPr>
          <w:rFonts w:hint="eastAsia" w:ascii="Tahoma" w:hAnsi="Tahoma" w:eastAsia="Tahoma" w:cs="Tahoma"/>
          <w:color w:val="auto"/>
          <w:spacing w:val="6"/>
          <w:sz w:val="20"/>
          <w:szCs w:val="20"/>
          <w:lang w:eastAsia="zh-CN"/>
        </w:rPr>
        <w:t xml:space="preserve">                                                                                                           </w:t>
      </w:r>
      <w:r>
        <w:rPr>
          <w:rFonts w:ascii="宋体" w:hAnsi="宋体" w:eastAsia="宋体" w:cs="宋体"/>
          <w:color w:val="auto"/>
          <w:spacing w:val="1"/>
          <w:sz w:val="20"/>
          <w:szCs w:val="20"/>
          <w:lang w:eastAsia="zh-CN"/>
        </w:rPr>
        <w:t>第</w:t>
      </w:r>
      <w:r>
        <w:rPr>
          <w:rFonts w:ascii="宋体" w:hAnsi="宋体" w:eastAsia="宋体" w:cs="宋体"/>
          <w:color w:val="auto"/>
          <w:spacing w:val="12"/>
          <w:sz w:val="20"/>
          <w:szCs w:val="20"/>
          <w:lang w:eastAsia="zh-CN"/>
        </w:rPr>
        <w:t xml:space="preserve">  </w:t>
      </w:r>
      <w:r>
        <w:rPr>
          <w:rFonts w:ascii="宋体" w:hAnsi="宋体" w:eastAsia="宋体" w:cs="宋体"/>
          <w:color w:val="auto"/>
          <w:spacing w:val="1"/>
          <w:sz w:val="20"/>
          <w:szCs w:val="20"/>
          <w:lang w:eastAsia="zh-CN"/>
        </w:rPr>
        <w:t>页共</w:t>
      </w:r>
      <w:r>
        <w:rPr>
          <w:rFonts w:ascii="宋体" w:hAnsi="宋体" w:eastAsia="宋体" w:cs="宋体"/>
          <w:color w:val="auto"/>
          <w:spacing w:val="12"/>
          <w:sz w:val="20"/>
          <w:szCs w:val="20"/>
          <w:lang w:eastAsia="zh-CN"/>
        </w:rPr>
        <w:t xml:space="preserve">  </w:t>
      </w:r>
      <w:r>
        <w:rPr>
          <w:rFonts w:ascii="宋体" w:hAnsi="宋体" w:eastAsia="宋体" w:cs="宋体"/>
          <w:color w:val="auto"/>
          <w:spacing w:val="1"/>
          <w:sz w:val="20"/>
          <w:szCs w:val="20"/>
          <w:lang w:eastAsia="zh-CN"/>
        </w:rPr>
        <w:t>页</w:t>
      </w:r>
    </w:p>
    <w:p w14:paraId="74420BBD">
      <w:pPr>
        <w:spacing w:line="193" w:lineRule="auto"/>
        <w:rPr>
          <w:rFonts w:ascii="宋体" w:hAnsi="宋体" w:eastAsia="宋体" w:cs="宋体"/>
          <w:color w:val="auto"/>
          <w:sz w:val="20"/>
          <w:szCs w:val="20"/>
          <w:lang w:eastAsia="zh-CN"/>
        </w:rPr>
        <w:sectPr>
          <w:type w:val="continuous"/>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61B0D7C6">
      <w:pPr>
        <w:spacing w:line="47" w:lineRule="exact"/>
        <w:rPr>
          <w:color w:val="auto"/>
          <w:lang w:eastAsia="zh-CN"/>
        </w:rPr>
      </w:pPr>
    </w:p>
    <w:tbl>
      <w:tblPr>
        <w:tblStyle w:val="26"/>
        <w:tblW w:w="1021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6"/>
        <w:gridCol w:w="2400"/>
        <w:gridCol w:w="2428"/>
        <w:gridCol w:w="2555"/>
        <w:gridCol w:w="2052"/>
      </w:tblGrid>
      <w:tr w14:paraId="2BA296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4" w:hRule="atLeast"/>
        </w:trPr>
        <w:tc>
          <w:tcPr>
            <w:tcW w:w="776" w:type="dxa"/>
          </w:tcPr>
          <w:p w14:paraId="7848B205">
            <w:pPr>
              <w:spacing w:line="278" w:lineRule="auto"/>
              <w:rPr>
                <w:color w:val="auto"/>
                <w:lang w:eastAsia="zh-CN"/>
              </w:rPr>
            </w:pPr>
          </w:p>
          <w:p w14:paraId="53FFBD21">
            <w:pPr>
              <w:pStyle w:val="27"/>
              <w:spacing w:before="65" w:line="229" w:lineRule="auto"/>
              <w:ind w:left="183"/>
              <w:rPr>
                <w:color w:val="auto"/>
              </w:rPr>
            </w:pPr>
            <w:r>
              <w:rPr>
                <w:color w:val="auto"/>
                <w:spacing w:val="5"/>
              </w:rPr>
              <w:t>序号</w:t>
            </w:r>
          </w:p>
        </w:tc>
        <w:tc>
          <w:tcPr>
            <w:tcW w:w="2400" w:type="dxa"/>
          </w:tcPr>
          <w:p w14:paraId="6CE0A1CC">
            <w:pPr>
              <w:spacing w:line="278" w:lineRule="auto"/>
              <w:rPr>
                <w:color w:val="auto"/>
              </w:rPr>
            </w:pPr>
          </w:p>
          <w:p w14:paraId="44C8318C">
            <w:pPr>
              <w:pStyle w:val="27"/>
              <w:spacing w:before="65" w:line="227" w:lineRule="auto"/>
              <w:jc w:val="center"/>
              <w:rPr>
                <w:color w:val="auto"/>
              </w:rPr>
            </w:pPr>
            <w:r>
              <w:rPr>
                <w:rFonts w:hint="eastAsia"/>
                <w:color w:val="auto"/>
              </w:rPr>
              <w:t>招标文件条款号</w:t>
            </w:r>
          </w:p>
        </w:tc>
        <w:tc>
          <w:tcPr>
            <w:tcW w:w="2428" w:type="dxa"/>
          </w:tcPr>
          <w:p w14:paraId="4DDB1915">
            <w:pPr>
              <w:spacing w:line="278" w:lineRule="auto"/>
              <w:rPr>
                <w:color w:val="auto"/>
              </w:rPr>
            </w:pPr>
          </w:p>
          <w:p w14:paraId="2DC534B2">
            <w:pPr>
              <w:pStyle w:val="27"/>
              <w:spacing w:before="65" w:line="228" w:lineRule="auto"/>
              <w:ind w:left="590"/>
              <w:rPr>
                <w:color w:val="auto"/>
              </w:rPr>
            </w:pPr>
            <w:r>
              <w:rPr>
                <w:color w:val="auto"/>
                <w:spacing w:val="8"/>
              </w:rPr>
              <w:t>招标文件要求</w:t>
            </w:r>
          </w:p>
        </w:tc>
        <w:tc>
          <w:tcPr>
            <w:tcW w:w="2555" w:type="dxa"/>
          </w:tcPr>
          <w:p w14:paraId="7E6CFA27">
            <w:pPr>
              <w:spacing w:line="279" w:lineRule="auto"/>
              <w:rPr>
                <w:color w:val="auto"/>
              </w:rPr>
            </w:pPr>
          </w:p>
          <w:p w14:paraId="53F717AD">
            <w:pPr>
              <w:pStyle w:val="27"/>
              <w:spacing w:before="65" w:line="228" w:lineRule="auto"/>
              <w:ind w:left="874"/>
              <w:rPr>
                <w:color w:val="auto"/>
              </w:rPr>
            </w:pPr>
            <w:r>
              <w:rPr>
                <w:color w:val="auto"/>
                <w:spacing w:val="4"/>
              </w:rPr>
              <w:t>响应程度</w:t>
            </w:r>
          </w:p>
        </w:tc>
        <w:tc>
          <w:tcPr>
            <w:tcW w:w="2052" w:type="dxa"/>
          </w:tcPr>
          <w:p w14:paraId="4CBDF12B">
            <w:pPr>
              <w:spacing w:line="278" w:lineRule="auto"/>
              <w:rPr>
                <w:color w:val="auto"/>
              </w:rPr>
            </w:pPr>
          </w:p>
          <w:p w14:paraId="6A45A48B">
            <w:pPr>
              <w:pStyle w:val="27"/>
              <w:spacing w:before="65" w:line="228" w:lineRule="auto"/>
              <w:ind w:left="612"/>
              <w:rPr>
                <w:color w:val="auto"/>
              </w:rPr>
            </w:pPr>
            <w:r>
              <w:rPr>
                <w:color w:val="auto"/>
                <w:spacing w:val="7"/>
              </w:rPr>
              <w:t>偏离说明</w:t>
            </w:r>
          </w:p>
        </w:tc>
      </w:tr>
      <w:tr w14:paraId="73BB70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71A12182">
            <w:pPr>
              <w:rPr>
                <w:color w:val="auto"/>
              </w:rPr>
            </w:pPr>
          </w:p>
        </w:tc>
        <w:tc>
          <w:tcPr>
            <w:tcW w:w="2400" w:type="dxa"/>
          </w:tcPr>
          <w:p w14:paraId="45A736B5">
            <w:pPr>
              <w:rPr>
                <w:color w:val="auto"/>
              </w:rPr>
            </w:pPr>
          </w:p>
        </w:tc>
        <w:tc>
          <w:tcPr>
            <w:tcW w:w="2428" w:type="dxa"/>
          </w:tcPr>
          <w:p w14:paraId="1710B5BE">
            <w:pPr>
              <w:rPr>
                <w:color w:val="auto"/>
              </w:rPr>
            </w:pPr>
          </w:p>
        </w:tc>
        <w:tc>
          <w:tcPr>
            <w:tcW w:w="2555" w:type="dxa"/>
          </w:tcPr>
          <w:p w14:paraId="5F97BFE6">
            <w:pPr>
              <w:rPr>
                <w:color w:val="auto"/>
              </w:rPr>
            </w:pPr>
          </w:p>
        </w:tc>
        <w:tc>
          <w:tcPr>
            <w:tcW w:w="2052" w:type="dxa"/>
          </w:tcPr>
          <w:p w14:paraId="4833CC46">
            <w:pPr>
              <w:rPr>
                <w:color w:val="auto"/>
              </w:rPr>
            </w:pPr>
          </w:p>
        </w:tc>
      </w:tr>
      <w:tr w14:paraId="0D5BAE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7ECFDF02">
            <w:pPr>
              <w:rPr>
                <w:color w:val="auto"/>
              </w:rPr>
            </w:pPr>
          </w:p>
        </w:tc>
        <w:tc>
          <w:tcPr>
            <w:tcW w:w="2400" w:type="dxa"/>
          </w:tcPr>
          <w:p w14:paraId="356B824B">
            <w:pPr>
              <w:rPr>
                <w:color w:val="auto"/>
              </w:rPr>
            </w:pPr>
          </w:p>
        </w:tc>
        <w:tc>
          <w:tcPr>
            <w:tcW w:w="2428" w:type="dxa"/>
          </w:tcPr>
          <w:p w14:paraId="00D48BE0">
            <w:pPr>
              <w:rPr>
                <w:color w:val="auto"/>
              </w:rPr>
            </w:pPr>
          </w:p>
        </w:tc>
        <w:tc>
          <w:tcPr>
            <w:tcW w:w="2555" w:type="dxa"/>
          </w:tcPr>
          <w:p w14:paraId="25CB5100">
            <w:pPr>
              <w:rPr>
                <w:color w:val="auto"/>
              </w:rPr>
            </w:pPr>
          </w:p>
        </w:tc>
        <w:tc>
          <w:tcPr>
            <w:tcW w:w="2052" w:type="dxa"/>
          </w:tcPr>
          <w:p w14:paraId="5B366649">
            <w:pPr>
              <w:rPr>
                <w:color w:val="auto"/>
              </w:rPr>
            </w:pPr>
          </w:p>
        </w:tc>
      </w:tr>
      <w:tr w14:paraId="57561C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201456C9">
            <w:pPr>
              <w:rPr>
                <w:color w:val="auto"/>
              </w:rPr>
            </w:pPr>
          </w:p>
        </w:tc>
        <w:tc>
          <w:tcPr>
            <w:tcW w:w="2400" w:type="dxa"/>
          </w:tcPr>
          <w:p w14:paraId="7F2CA074">
            <w:pPr>
              <w:rPr>
                <w:color w:val="auto"/>
              </w:rPr>
            </w:pPr>
          </w:p>
        </w:tc>
        <w:tc>
          <w:tcPr>
            <w:tcW w:w="2428" w:type="dxa"/>
          </w:tcPr>
          <w:p w14:paraId="7977D726">
            <w:pPr>
              <w:rPr>
                <w:color w:val="auto"/>
              </w:rPr>
            </w:pPr>
          </w:p>
        </w:tc>
        <w:tc>
          <w:tcPr>
            <w:tcW w:w="2555" w:type="dxa"/>
          </w:tcPr>
          <w:p w14:paraId="09A5E79C">
            <w:pPr>
              <w:rPr>
                <w:color w:val="auto"/>
              </w:rPr>
            </w:pPr>
          </w:p>
        </w:tc>
        <w:tc>
          <w:tcPr>
            <w:tcW w:w="2052" w:type="dxa"/>
          </w:tcPr>
          <w:p w14:paraId="2B1C0934">
            <w:pPr>
              <w:rPr>
                <w:color w:val="auto"/>
              </w:rPr>
            </w:pPr>
          </w:p>
        </w:tc>
      </w:tr>
      <w:tr w14:paraId="05C236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58981E3D">
            <w:pPr>
              <w:rPr>
                <w:color w:val="auto"/>
              </w:rPr>
            </w:pPr>
          </w:p>
        </w:tc>
        <w:tc>
          <w:tcPr>
            <w:tcW w:w="2400" w:type="dxa"/>
          </w:tcPr>
          <w:p w14:paraId="14729B9D">
            <w:pPr>
              <w:rPr>
                <w:color w:val="auto"/>
              </w:rPr>
            </w:pPr>
          </w:p>
        </w:tc>
        <w:tc>
          <w:tcPr>
            <w:tcW w:w="2428" w:type="dxa"/>
          </w:tcPr>
          <w:p w14:paraId="40FA7C33">
            <w:pPr>
              <w:rPr>
                <w:color w:val="auto"/>
              </w:rPr>
            </w:pPr>
          </w:p>
        </w:tc>
        <w:tc>
          <w:tcPr>
            <w:tcW w:w="2555" w:type="dxa"/>
          </w:tcPr>
          <w:p w14:paraId="3435F1AD">
            <w:pPr>
              <w:rPr>
                <w:color w:val="auto"/>
              </w:rPr>
            </w:pPr>
          </w:p>
        </w:tc>
        <w:tc>
          <w:tcPr>
            <w:tcW w:w="2052" w:type="dxa"/>
          </w:tcPr>
          <w:p w14:paraId="5BF7F728">
            <w:pPr>
              <w:rPr>
                <w:color w:val="auto"/>
              </w:rPr>
            </w:pPr>
          </w:p>
        </w:tc>
      </w:tr>
      <w:tr w14:paraId="306F69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62AC15DC">
            <w:pPr>
              <w:rPr>
                <w:color w:val="auto"/>
              </w:rPr>
            </w:pPr>
          </w:p>
        </w:tc>
        <w:tc>
          <w:tcPr>
            <w:tcW w:w="2400" w:type="dxa"/>
          </w:tcPr>
          <w:p w14:paraId="30998CF3">
            <w:pPr>
              <w:rPr>
                <w:color w:val="auto"/>
              </w:rPr>
            </w:pPr>
          </w:p>
        </w:tc>
        <w:tc>
          <w:tcPr>
            <w:tcW w:w="2428" w:type="dxa"/>
          </w:tcPr>
          <w:p w14:paraId="4F37418E">
            <w:pPr>
              <w:rPr>
                <w:color w:val="auto"/>
              </w:rPr>
            </w:pPr>
          </w:p>
        </w:tc>
        <w:tc>
          <w:tcPr>
            <w:tcW w:w="2555" w:type="dxa"/>
          </w:tcPr>
          <w:p w14:paraId="50674296">
            <w:pPr>
              <w:rPr>
                <w:color w:val="auto"/>
              </w:rPr>
            </w:pPr>
          </w:p>
        </w:tc>
        <w:tc>
          <w:tcPr>
            <w:tcW w:w="2052" w:type="dxa"/>
          </w:tcPr>
          <w:p w14:paraId="49BFFDE3">
            <w:pPr>
              <w:rPr>
                <w:color w:val="auto"/>
              </w:rPr>
            </w:pPr>
          </w:p>
        </w:tc>
      </w:tr>
      <w:tr w14:paraId="3DE74F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380B6728">
            <w:pPr>
              <w:rPr>
                <w:color w:val="auto"/>
              </w:rPr>
            </w:pPr>
          </w:p>
        </w:tc>
        <w:tc>
          <w:tcPr>
            <w:tcW w:w="2400" w:type="dxa"/>
          </w:tcPr>
          <w:p w14:paraId="43B28330">
            <w:pPr>
              <w:rPr>
                <w:color w:val="auto"/>
              </w:rPr>
            </w:pPr>
          </w:p>
        </w:tc>
        <w:tc>
          <w:tcPr>
            <w:tcW w:w="2428" w:type="dxa"/>
          </w:tcPr>
          <w:p w14:paraId="60D7D8C5">
            <w:pPr>
              <w:rPr>
                <w:color w:val="auto"/>
              </w:rPr>
            </w:pPr>
          </w:p>
        </w:tc>
        <w:tc>
          <w:tcPr>
            <w:tcW w:w="2555" w:type="dxa"/>
          </w:tcPr>
          <w:p w14:paraId="2FDBD47E">
            <w:pPr>
              <w:rPr>
                <w:color w:val="auto"/>
              </w:rPr>
            </w:pPr>
          </w:p>
        </w:tc>
        <w:tc>
          <w:tcPr>
            <w:tcW w:w="2052" w:type="dxa"/>
          </w:tcPr>
          <w:p w14:paraId="4A5512FD">
            <w:pPr>
              <w:rPr>
                <w:color w:val="auto"/>
              </w:rPr>
            </w:pPr>
          </w:p>
        </w:tc>
      </w:tr>
      <w:tr w14:paraId="2CDAD6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58278EF1">
            <w:pPr>
              <w:rPr>
                <w:color w:val="auto"/>
              </w:rPr>
            </w:pPr>
          </w:p>
        </w:tc>
        <w:tc>
          <w:tcPr>
            <w:tcW w:w="2400" w:type="dxa"/>
          </w:tcPr>
          <w:p w14:paraId="462EFC00">
            <w:pPr>
              <w:rPr>
                <w:color w:val="auto"/>
              </w:rPr>
            </w:pPr>
          </w:p>
        </w:tc>
        <w:tc>
          <w:tcPr>
            <w:tcW w:w="2428" w:type="dxa"/>
          </w:tcPr>
          <w:p w14:paraId="22C634B2">
            <w:pPr>
              <w:rPr>
                <w:color w:val="auto"/>
              </w:rPr>
            </w:pPr>
          </w:p>
        </w:tc>
        <w:tc>
          <w:tcPr>
            <w:tcW w:w="2555" w:type="dxa"/>
          </w:tcPr>
          <w:p w14:paraId="0A86FC71">
            <w:pPr>
              <w:rPr>
                <w:color w:val="auto"/>
              </w:rPr>
            </w:pPr>
          </w:p>
        </w:tc>
        <w:tc>
          <w:tcPr>
            <w:tcW w:w="2052" w:type="dxa"/>
          </w:tcPr>
          <w:p w14:paraId="2331103A">
            <w:pPr>
              <w:rPr>
                <w:color w:val="auto"/>
              </w:rPr>
            </w:pPr>
          </w:p>
        </w:tc>
      </w:tr>
      <w:tr w14:paraId="4A2918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7B884B64">
            <w:pPr>
              <w:rPr>
                <w:color w:val="auto"/>
              </w:rPr>
            </w:pPr>
          </w:p>
        </w:tc>
        <w:tc>
          <w:tcPr>
            <w:tcW w:w="2400" w:type="dxa"/>
          </w:tcPr>
          <w:p w14:paraId="33BC1EAD">
            <w:pPr>
              <w:rPr>
                <w:color w:val="auto"/>
              </w:rPr>
            </w:pPr>
          </w:p>
        </w:tc>
        <w:tc>
          <w:tcPr>
            <w:tcW w:w="2428" w:type="dxa"/>
          </w:tcPr>
          <w:p w14:paraId="013932F8">
            <w:pPr>
              <w:rPr>
                <w:color w:val="auto"/>
              </w:rPr>
            </w:pPr>
          </w:p>
        </w:tc>
        <w:tc>
          <w:tcPr>
            <w:tcW w:w="2555" w:type="dxa"/>
          </w:tcPr>
          <w:p w14:paraId="2D425909">
            <w:pPr>
              <w:rPr>
                <w:color w:val="auto"/>
              </w:rPr>
            </w:pPr>
          </w:p>
        </w:tc>
        <w:tc>
          <w:tcPr>
            <w:tcW w:w="2052" w:type="dxa"/>
          </w:tcPr>
          <w:p w14:paraId="4AF61929">
            <w:pPr>
              <w:rPr>
                <w:color w:val="auto"/>
              </w:rPr>
            </w:pPr>
          </w:p>
        </w:tc>
      </w:tr>
      <w:tr w14:paraId="2FE397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4F0C67E6">
            <w:pPr>
              <w:rPr>
                <w:color w:val="auto"/>
              </w:rPr>
            </w:pPr>
          </w:p>
        </w:tc>
        <w:tc>
          <w:tcPr>
            <w:tcW w:w="2400" w:type="dxa"/>
          </w:tcPr>
          <w:p w14:paraId="30A394D3">
            <w:pPr>
              <w:rPr>
                <w:color w:val="auto"/>
              </w:rPr>
            </w:pPr>
          </w:p>
        </w:tc>
        <w:tc>
          <w:tcPr>
            <w:tcW w:w="2428" w:type="dxa"/>
          </w:tcPr>
          <w:p w14:paraId="114F5BE2">
            <w:pPr>
              <w:rPr>
                <w:color w:val="auto"/>
              </w:rPr>
            </w:pPr>
          </w:p>
        </w:tc>
        <w:tc>
          <w:tcPr>
            <w:tcW w:w="2555" w:type="dxa"/>
          </w:tcPr>
          <w:p w14:paraId="7429EC79">
            <w:pPr>
              <w:rPr>
                <w:color w:val="auto"/>
              </w:rPr>
            </w:pPr>
          </w:p>
        </w:tc>
        <w:tc>
          <w:tcPr>
            <w:tcW w:w="2052" w:type="dxa"/>
          </w:tcPr>
          <w:p w14:paraId="2F9FF49F">
            <w:pPr>
              <w:rPr>
                <w:color w:val="auto"/>
              </w:rPr>
            </w:pPr>
          </w:p>
        </w:tc>
      </w:tr>
      <w:tr w14:paraId="134491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776" w:type="dxa"/>
          </w:tcPr>
          <w:p w14:paraId="3926C526">
            <w:pPr>
              <w:rPr>
                <w:color w:val="auto"/>
              </w:rPr>
            </w:pPr>
          </w:p>
        </w:tc>
        <w:tc>
          <w:tcPr>
            <w:tcW w:w="2400" w:type="dxa"/>
          </w:tcPr>
          <w:p w14:paraId="7B0827C3">
            <w:pPr>
              <w:rPr>
                <w:color w:val="auto"/>
              </w:rPr>
            </w:pPr>
          </w:p>
        </w:tc>
        <w:tc>
          <w:tcPr>
            <w:tcW w:w="2428" w:type="dxa"/>
          </w:tcPr>
          <w:p w14:paraId="6C4FC1A8">
            <w:pPr>
              <w:rPr>
                <w:color w:val="auto"/>
              </w:rPr>
            </w:pPr>
          </w:p>
        </w:tc>
        <w:tc>
          <w:tcPr>
            <w:tcW w:w="2555" w:type="dxa"/>
          </w:tcPr>
          <w:p w14:paraId="6DE6ED61">
            <w:pPr>
              <w:rPr>
                <w:color w:val="auto"/>
              </w:rPr>
            </w:pPr>
          </w:p>
        </w:tc>
        <w:tc>
          <w:tcPr>
            <w:tcW w:w="2052" w:type="dxa"/>
          </w:tcPr>
          <w:p w14:paraId="01D70738">
            <w:pPr>
              <w:rPr>
                <w:color w:val="auto"/>
              </w:rPr>
            </w:pPr>
          </w:p>
        </w:tc>
      </w:tr>
    </w:tbl>
    <w:p w14:paraId="2D1824C7">
      <w:pPr>
        <w:pStyle w:val="8"/>
        <w:spacing w:line="436" w:lineRule="auto"/>
        <w:rPr>
          <w:color w:val="auto"/>
        </w:rPr>
      </w:pPr>
    </w:p>
    <w:p w14:paraId="4B7B2D6C">
      <w:pPr>
        <w:pStyle w:val="8"/>
        <w:spacing w:line="244" w:lineRule="auto"/>
        <w:rPr>
          <w:color w:val="auto"/>
          <w:lang w:eastAsia="zh-CN"/>
        </w:rPr>
      </w:pPr>
      <w:r>
        <w:rPr>
          <w:rFonts w:ascii="宋体" w:hAnsi="宋体" w:eastAsia="宋体" w:cs="宋体"/>
          <w:color w:val="auto"/>
          <w:spacing w:val="12"/>
          <w:sz w:val="20"/>
          <w:szCs w:val="20"/>
          <w:lang w:eastAsia="zh-CN"/>
          <w14:textOutline w14:w="3797" w14:cap="sq" w14:cmpd="sng" w14:algn="ctr">
            <w14:solidFill>
              <w14:srgbClr w14:val="000000"/>
            </w14:solidFill>
            <w14:prstDash w14:val="solid"/>
            <w14:bevel/>
          </w14:textOutline>
        </w:rPr>
        <w:t>注：</w:t>
      </w:r>
      <w:r>
        <w:rPr>
          <w:rFonts w:hint="eastAsia" w:ascii="宋体" w:hAnsi="宋体" w:eastAsia="宋体" w:cs="宋体"/>
          <w:color w:val="auto"/>
          <w:spacing w:val="12"/>
          <w:sz w:val="20"/>
          <w:szCs w:val="20"/>
          <w:lang w:eastAsia="zh-CN"/>
          <w14:textOutline w14:w="3797" w14:cap="sq" w14:cmpd="sng" w14:algn="ctr">
            <w14:solidFill>
              <w14:srgbClr w14:val="000000"/>
            </w14:solidFill>
            <w14:prstDash w14:val="solid"/>
            <w14:bevel/>
          </w14:textOutline>
        </w:rPr>
        <w:t>如有偏离，须详细说明偏离内容；如未填写空白或未说明，视为对采购文件所列全部条款均响应无偏离。</w:t>
      </w:r>
    </w:p>
    <w:p w14:paraId="24B3EB6C">
      <w:pPr>
        <w:pStyle w:val="8"/>
        <w:spacing w:line="244" w:lineRule="auto"/>
        <w:rPr>
          <w:color w:val="auto"/>
          <w:lang w:eastAsia="zh-CN"/>
        </w:rPr>
      </w:pPr>
    </w:p>
    <w:p w14:paraId="0D705043">
      <w:pPr>
        <w:pStyle w:val="8"/>
        <w:spacing w:line="244" w:lineRule="auto"/>
        <w:rPr>
          <w:color w:val="auto"/>
          <w:lang w:eastAsia="zh-CN"/>
        </w:rPr>
      </w:pPr>
    </w:p>
    <w:p w14:paraId="21B6FD58">
      <w:pPr>
        <w:pStyle w:val="8"/>
        <w:spacing w:line="244" w:lineRule="auto"/>
        <w:rPr>
          <w:color w:val="auto"/>
          <w:lang w:eastAsia="zh-CN"/>
        </w:rPr>
      </w:pPr>
    </w:p>
    <w:p w14:paraId="5AD130E8">
      <w:pPr>
        <w:pStyle w:val="8"/>
        <w:spacing w:line="244" w:lineRule="auto"/>
        <w:rPr>
          <w:color w:val="auto"/>
          <w:lang w:eastAsia="zh-CN"/>
        </w:rPr>
      </w:pPr>
    </w:p>
    <w:p w14:paraId="77CCFDD1">
      <w:pPr>
        <w:pStyle w:val="8"/>
        <w:spacing w:line="245" w:lineRule="auto"/>
        <w:rPr>
          <w:color w:val="auto"/>
          <w:lang w:eastAsia="zh-CN"/>
        </w:rPr>
      </w:pPr>
    </w:p>
    <w:p w14:paraId="1BA63AEF">
      <w:pPr>
        <w:pStyle w:val="8"/>
        <w:spacing w:line="245" w:lineRule="auto"/>
        <w:rPr>
          <w:color w:val="auto"/>
          <w:lang w:eastAsia="zh-CN"/>
        </w:rPr>
      </w:pPr>
    </w:p>
    <w:p w14:paraId="0B371BDB">
      <w:pPr>
        <w:spacing w:before="66" w:line="408" w:lineRule="exact"/>
        <w:ind w:left="5824"/>
        <w:rPr>
          <w:rFonts w:ascii="宋体" w:hAnsi="宋体" w:eastAsia="宋体" w:cs="宋体"/>
          <w:color w:val="auto"/>
          <w:sz w:val="20"/>
          <w:szCs w:val="20"/>
          <w:lang w:eastAsia="zh-CN"/>
        </w:rPr>
      </w:pPr>
      <w:r>
        <w:rPr>
          <w:rFonts w:hint="eastAsia" w:ascii="宋体" w:hAnsi="宋体" w:eastAsia="宋体" w:cs="宋体"/>
          <w:color w:val="auto"/>
          <w:spacing w:val="8"/>
          <w:position w:val="15"/>
          <w:sz w:val="20"/>
          <w:szCs w:val="20"/>
          <w:lang w:eastAsia="zh-CN"/>
        </w:rPr>
        <w:t>服务商</w:t>
      </w:r>
      <w:r>
        <w:rPr>
          <w:rFonts w:ascii="宋体" w:hAnsi="宋体" w:eastAsia="宋体" w:cs="宋体"/>
          <w:color w:val="auto"/>
          <w:spacing w:val="8"/>
          <w:position w:val="15"/>
          <w:sz w:val="20"/>
          <w:szCs w:val="20"/>
          <w:lang w:eastAsia="zh-CN"/>
        </w:rPr>
        <w:t>（加盖公章</w:t>
      </w:r>
      <w:r>
        <w:rPr>
          <w:rFonts w:ascii="宋体" w:hAnsi="宋体" w:eastAsia="宋体" w:cs="宋体"/>
          <w:color w:val="auto"/>
          <w:spacing w:val="2"/>
          <w:position w:val="15"/>
          <w:sz w:val="20"/>
          <w:szCs w:val="20"/>
          <w:lang w:eastAsia="zh-CN"/>
        </w:rPr>
        <w:t>）：</w:t>
      </w:r>
    </w:p>
    <w:p w14:paraId="53E7B8D6">
      <w:pPr>
        <w:spacing w:before="1" w:line="226" w:lineRule="auto"/>
        <w:ind w:left="5824"/>
        <w:rPr>
          <w:rFonts w:ascii="宋体" w:hAnsi="宋体" w:eastAsia="宋体" w:cs="宋体"/>
          <w:color w:val="auto"/>
          <w:sz w:val="20"/>
          <w:szCs w:val="20"/>
          <w:lang w:eastAsia="zh-CN"/>
        </w:rPr>
      </w:pP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代表签名：</w:t>
      </w:r>
    </w:p>
    <w:p w14:paraId="1D2E01FB">
      <w:pPr>
        <w:spacing w:line="193" w:lineRule="auto"/>
        <w:rPr>
          <w:rFonts w:ascii="宋体" w:hAnsi="宋体" w:eastAsia="宋体" w:cs="宋体"/>
          <w:color w:val="auto"/>
          <w:sz w:val="20"/>
          <w:szCs w:val="20"/>
          <w:lang w:eastAsia="zh-CN"/>
        </w:rPr>
        <w:sectPr>
          <w:type w:val="continuous"/>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75C22073">
      <w:pPr>
        <w:spacing w:before="91" w:line="222" w:lineRule="auto"/>
        <w:ind w:left="4169"/>
        <w:outlineLvl w:val="0"/>
        <w:rPr>
          <w:rFonts w:ascii="黑体" w:hAnsi="黑体" w:eastAsia="黑体" w:cs="黑体"/>
          <w:color w:val="auto"/>
          <w:sz w:val="28"/>
          <w:szCs w:val="28"/>
          <w:lang w:eastAsia="zh-CN"/>
        </w:rPr>
      </w:pPr>
      <w:bookmarkStart w:id="316" w:name="_Toc14901"/>
      <w:bookmarkStart w:id="317" w:name="_Toc31882"/>
      <w:bookmarkStart w:id="318" w:name="_Toc21514"/>
      <w:r>
        <w:rPr>
          <w:rFonts w:ascii="黑体" w:hAnsi="黑体" w:eastAsia="黑体" w:cs="黑体"/>
          <w:color w:val="auto"/>
          <w:spacing w:val="-3"/>
          <w:sz w:val="28"/>
          <w:szCs w:val="28"/>
          <w:lang w:eastAsia="zh-CN"/>
          <w14:textOutline w14:w="5105" w14:cap="sq" w14:cmpd="sng" w14:algn="ctr">
            <w14:solidFill>
              <w14:srgbClr w14:val="000000"/>
            </w14:solidFill>
            <w14:prstDash w14:val="solid"/>
            <w14:bevel/>
          </w14:textOutline>
        </w:rPr>
        <w:t>商务偏离表</w:t>
      </w:r>
      <w:bookmarkEnd w:id="316"/>
      <w:bookmarkEnd w:id="317"/>
      <w:bookmarkEnd w:id="318"/>
    </w:p>
    <w:p w14:paraId="605CB2D0">
      <w:pPr>
        <w:spacing w:before="165"/>
        <w:rPr>
          <w:color w:val="auto"/>
          <w:lang w:eastAsia="zh-CN"/>
        </w:rPr>
      </w:pPr>
    </w:p>
    <w:p w14:paraId="213B00D7">
      <w:pPr>
        <w:rPr>
          <w:color w:val="auto"/>
          <w:lang w:eastAsia="zh-CN"/>
        </w:rPr>
        <w:sectPr>
          <w:footerReference r:id="rId51"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00FBC638">
      <w:pPr>
        <w:spacing w:before="41" w:line="193" w:lineRule="auto"/>
        <w:ind w:left="157"/>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项目编号</w:t>
      </w:r>
      <w:r>
        <w:rPr>
          <w:rFonts w:ascii="Tahoma" w:hAnsi="Tahoma" w:eastAsia="Tahoma" w:cs="Tahoma"/>
          <w:color w:val="auto"/>
          <w:spacing w:val="6"/>
          <w:sz w:val="20"/>
          <w:szCs w:val="20"/>
          <w:lang w:eastAsia="zh-CN"/>
        </w:rPr>
        <w:t>∶</w:t>
      </w:r>
      <w:r>
        <w:rPr>
          <w:rFonts w:hint="eastAsia" w:ascii="Tahoma" w:hAnsi="Tahoma" w:eastAsia="Tahoma" w:cs="Tahoma"/>
          <w:color w:val="auto"/>
          <w:spacing w:val="6"/>
          <w:sz w:val="20"/>
          <w:szCs w:val="20"/>
          <w:lang w:eastAsia="zh-CN"/>
        </w:rPr>
        <w:t xml:space="preserve">                                                                                                           </w:t>
      </w:r>
      <w:r>
        <w:rPr>
          <w:rFonts w:ascii="宋体" w:hAnsi="宋体" w:eastAsia="宋体" w:cs="宋体"/>
          <w:color w:val="auto"/>
          <w:spacing w:val="1"/>
          <w:sz w:val="20"/>
          <w:szCs w:val="20"/>
          <w:lang w:eastAsia="zh-CN"/>
        </w:rPr>
        <w:t>第</w:t>
      </w:r>
      <w:r>
        <w:rPr>
          <w:rFonts w:ascii="宋体" w:hAnsi="宋体" w:eastAsia="宋体" w:cs="宋体"/>
          <w:color w:val="auto"/>
          <w:spacing w:val="12"/>
          <w:sz w:val="20"/>
          <w:szCs w:val="20"/>
          <w:lang w:eastAsia="zh-CN"/>
        </w:rPr>
        <w:t xml:space="preserve">  </w:t>
      </w:r>
      <w:r>
        <w:rPr>
          <w:rFonts w:ascii="宋体" w:hAnsi="宋体" w:eastAsia="宋体" w:cs="宋体"/>
          <w:color w:val="auto"/>
          <w:spacing w:val="1"/>
          <w:sz w:val="20"/>
          <w:szCs w:val="20"/>
          <w:lang w:eastAsia="zh-CN"/>
        </w:rPr>
        <w:t>页共</w:t>
      </w:r>
      <w:r>
        <w:rPr>
          <w:rFonts w:ascii="宋体" w:hAnsi="宋体" w:eastAsia="宋体" w:cs="宋体"/>
          <w:color w:val="auto"/>
          <w:spacing w:val="12"/>
          <w:sz w:val="20"/>
          <w:szCs w:val="20"/>
          <w:lang w:eastAsia="zh-CN"/>
        </w:rPr>
        <w:t xml:space="preserve">  </w:t>
      </w:r>
      <w:r>
        <w:rPr>
          <w:rFonts w:ascii="宋体" w:hAnsi="宋体" w:eastAsia="宋体" w:cs="宋体"/>
          <w:color w:val="auto"/>
          <w:spacing w:val="1"/>
          <w:sz w:val="20"/>
          <w:szCs w:val="20"/>
          <w:lang w:eastAsia="zh-CN"/>
        </w:rPr>
        <w:t>页</w:t>
      </w:r>
    </w:p>
    <w:p w14:paraId="3986AE71">
      <w:pPr>
        <w:spacing w:line="193" w:lineRule="auto"/>
        <w:rPr>
          <w:rFonts w:ascii="宋体" w:hAnsi="宋体" w:eastAsia="宋体" w:cs="宋体"/>
          <w:color w:val="auto"/>
          <w:sz w:val="20"/>
          <w:szCs w:val="20"/>
          <w:lang w:eastAsia="zh-CN"/>
        </w:rPr>
        <w:sectPr>
          <w:type w:val="continuous"/>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32A57DE6">
      <w:pPr>
        <w:spacing w:line="47" w:lineRule="exact"/>
        <w:rPr>
          <w:color w:val="auto"/>
          <w:lang w:eastAsia="zh-CN"/>
        </w:rPr>
      </w:pPr>
    </w:p>
    <w:tbl>
      <w:tblPr>
        <w:tblStyle w:val="26"/>
        <w:tblW w:w="1021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6"/>
        <w:gridCol w:w="2400"/>
        <w:gridCol w:w="2428"/>
        <w:gridCol w:w="2555"/>
        <w:gridCol w:w="2052"/>
      </w:tblGrid>
      <w:tr w14:paraId="62F0CB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4" w:hRule="atLeast"/>
        </w:trPr>
        <w:tc>
          <w:tcPr>
            <w:tcW w:w="776" w:type="dxa"/>
          </w:tcPr>
          <w:p w14:paraId="544CD47B">
            <w:pPr>
              <w:spacing w:line="279" w:lineRule="auto"/>
              <w:rPr>
                <w:color w:val="auto"/>
                <w:lang w:eastAsia="zh-CN"/>
              </w:rPr>
            </w:pPr>
          </w:p>
          <w:p w14:paraId="3C92D6D3">
            <w:pPr>
              <w:pStyle w:val="27"/>
              <w:spacing w:before="65" w:line="229" w:lineRule="auto"/>
              <w:ind w:left="183"/>
              <w:rPr>
                <w:color w:val="auto"/>
              </w:rPr>
            </w:pPr>
            <w:r>
              <w:rPr>
                <w:color w:val="auto"/>
                <w:spacing w:val="5"/>
              </w:rPr>
              <w:t>序号</w:t>
            </w:r>
          </w:p>
        </w:tc>
        <w:tc>
          <w:tcPr>
            <w:tcW w:w="2400" w:type="dxa"/>
          </w:tcPr>
          <w:p w14:paraId="10D39AA4">
            <w:pPr>
              <w:spacing w:line="278" w:lineRule="auto"/>
              <w:rPr>
                <w:color w:val="auto"/>
              </w:rPr>
            </w:pPr>
          </w:p>
          <w:p w14:paraId="0A1B0D58">
            <w:pPr>
              <w:pStyle w:val="27"/>
              <w:spacing w:before="65" w:line="227" w:lineRule="auto"/>
              <w:jc w:val="center"/>
              <w:rPr>
                <w:color w:val="auto"/>
              </w:rPr>
            </w:pPr>
            <w:r>
              <w:rPr>
                <w:rFonts w:hint="eastAsia"/>
                <w:color w:val="auto"/>
              </w:rPr>
              <w:t>招标文件条款号</w:t>
            </w:r>
          </w:p>
        </w:tc>
        <w:tc>
          <w:tcPr>
            <w:tcW w:w="2428" w:type="dxa"/>
          </w:tcPr>
          <w:p w14:paraId="23C7CEB7">
            <w:pPr>
              <w:spacing w:line="278" w:lineRule="auto"/>
              <w:rPr>
                <w:color w:val="auto"/>
              </w:rPr>
            </w:pPr>
          </w:p>
          <w:p w14:paraId="38B02BF9">
            <w:pPr>
              <w:pStyle w:val="27"/>
              <w:spacing w:before="65" w:line="228" w:lineRule="auto"/>
              <w:ind w:left="590"/>
              <w:rPr>
                <w:color w:val="auto"/>
              </w:rPr>
            </w:pPr>
            <w:r>
              <w:rPr>
                <w:color w:val="auto"/>
                <w:spacing w:val="8"/>
              </w:rPr>
              <w:t>招标文件要求</w:t>
            </w:r>
          </w:p>
        </w:tc>
        <w:tc>
          <w:tcPr>
            <w:tcW w:w="2555" w:type="dxa"/>
          </w:tcPr>
          <w:p w14:paraId="260C8B8B">
            <w:pPr>
              <w:spacing w:line="279" w:lineRule="auto"/>
              <w:rPr>
                <w:color w:val="auto"/>
              </w:rPr>
            </w:pPr>
          </w:p>
          <w:p w14:paraId="53014A2A">
            <w:pPr>
              <w:pStyle w:val="27"/>
              <w:spacing w:before="65" w:line="228" w:lineRule="auto"/>
              <w:ind w:left="874"/>
              <w:rPr>
                <w:color w:val="auto"/>
              </w:rPr>
            </w:pPr>
            <w:r>
              <w:rPr>
                <w:color w:val="auto"/>
                <w:spacing w:val="4"/>
              </w:rPr>
              <w:t>响应程度</w:t>
            </w:r>
          </w:p>
        </w:tc>
        <w:tc>
          <w:tcPr>
            <w:tcW w:w="2052" w:type="dxa"/>
          </w:tcPr>
          <w:p w14:paraId="2B22A557">
            <w:pPr>
              <w:spacing w:line="278" w:lineRule="auto"/>
              <w:rPr>
                <w:color w:val="auto"/>
              </w:rPr>
            </w:pPr>
          </w:p>
          <w:p w14:paraId="4D77C0B7">
            <w:pPr>
              <w:pStyle w:val="27"/>
              <w:spacing w:before="65" w:line="228" w:lineRule="auto"/>
              <w:ind w:left="612"/>
              <w:rPr>
                <w:color w:val="auto"/>
              </w:rPr>
            </w:pPr>
            <w:r>
              <w:rPr>
                <w:color w:val="auto"/>
                <w:spacing w:val="7"/>
              </w:rPr>
              <w:t>偏离说明</w:t>
            </w:r>
          </w:p>
        </w:tc>
      </w:tr>
      <w:tr w14:paraId="63972A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2CFA9C8E">
            <w:pPr>
              <w:rPr>
                <w:color w:val="auto"/>
              </w:rPr>
            </w:pPr>
          </w:p>
        </w:tc>
        <w:tc>
          <w:tcPr>
            <w:tcW w:w="2400" w:type="dxa"/>
          </w:tcPr>
          <w:p w14:paraId="77C1EE0E">
            <w:pPr>
              <w:rPr>
                <w:color w:val="auto"/>
              </w:rPr>
            </w:pPr>
          </w:p>
        </w:tc>
        <w:tc>
          <w:tcPr>
            <w:tcW w:w="2428" w:type="dxa"/>
          </w:tcPr>
          <w:p w14:paraId="7471B841">
            <w:pPr>
              <w:rPr>
                <w:color w:val="auto"/>
              </w:rPr>
            </w:pPr>
          </w:p>
        </w:tc>
        <w:tc>
          <w:tcPr>
            <w:tcW w:w="2555" w:type="dxa"/>
          </w:tcPr>
          <w:p w14:paraId="5359AF16">
            <w:pPr>
              <w:rPr>
                <w:color w:val="auto"/>
              </w:rPr>
            </w:pPr>
          </w:p>
        </w:tc>
        <w:tc>
          <w:tcPr>
            <w:tcW w:w="2052" w:type="dxa"/>
          </w:tcPr>
          <w:p w14:paraId="1D22973E">
            <w:pPr>
              <w:rPr>
                <w:color w:val="auto"/>
              </w:rPr>
            </w:pPr>
          </w:p>
        </w:tc>
      </w:tr>
      <w:tr w14:paraId="16AFC8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1E9E22AE">
            <w:pPr>
              <w:rPr>
                <w:color w:val="auto"/>
              </w:rPr>
            </w:pPr>
          </w:p>
        </w:tc>
        <w:tc>
          <w:tcPr>
            <w:tcW w:w="2400" w:type="dxa"/>
          </w:tcPr>
          <w:p w14:paraId="137AD346">
            <w:pPr>
              <w:rPr>
                <w:color w:val="auto"/>
              </w:rPr>
            </w:pPr>
          </w:p>
        </w:tc>
        <w:tc>
          <w:tcPr>
            <w:tcW w:w="2428" w:type="dxa"/>
          </w:tcPr>
          <w:p w14:paraId="53D04CF7">
            <w:pPr>
              <w:rPr>
                <w:color w:val="auto"/>
              </w:rPr>
            </w:pPr>
          </w:p>
        </w:tc>
        <w:tc>
          <w:tcPr>
            <w:tcW w:w="2555" w:type="dxa"/>
          </w:tcPr>
          <w:p w14:paraId="2B7C2580">
            <w:pPr>
              <w:rPr>
                <w:color w:val="auto"/>
              </w:rPr>
            </w:pPr>
          </w:p>
        </w:tc>
        <w:tc>
          <w:tcPr>
            <w:tcW w:w="2052" w:type="dxa"/>
          </w:tcPr>
          <w:p w14:paraId="5F00FE6F">
            <w:pPr>
              <w:rPr>
                <w:color w:val="auto"/>
              </w:rPr>
            </w:pPr>
          </w:p>
        </w:tc>
      </w:tr>
      <w:tr w14:paraId="5B3F04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1456BBA2">
            <w:pPr>
              <w:rPr>
                <w:color w:val="auto"/>
              </w:rPr>
            </w:pPr>
          </w:p>
        </w:tc>
        <w:tc>
          <w:tcPr>
            <w:tcW w:w="2400" w:type="dxa"/>
          </w:tcPr>
          <w:p w14:paraId="497DE2C9">
            <w:pPr>
              <w:rPr>
                <w:color w:val="auto"/>
              </w:rPr>
            </w:pPr>
          </w:p>
        </w:tc>
        <w:tc>
          <w:tcPr>
            <w:tcW w:w="2428" w:type="dxa"/>
          </w:tcPr>
          <w:p w14:paraId="5660654F">
            <w:pPr>
              <w:rPr>
                <w:color w:val="auto"/>
              </w:rPr>
            </w:pPr>
          </w:p>
        </w:tc>
        <w:tc>
          <w:tcPr>
            <w:tcW w:w="2555" w:type="dxa"/>
          </w:tcPr>
          <w:p w14:paraId="3B66A4E3">
            <w:pPr>
              <w:rPr>
                <w:color w:val="auto"/>
              </w:rPr>
            </w:pPr>
          </w:p>
        </w:tc>
        <w:tc>
          <w:tcPr>
            <w:tcW w:w="2052" w:type="dxa"/>
          </w:tcPr>
          <w:p w14:paraId="16716D59">
            <w:pPr>
              <w:rPr>
                <w:color w:val="auto"/>
              </w:rPr>
            </w:pPr>
          </w:p>
        </w:tc>
      </w:tr>
      <w:tr w14:paraId="14F73B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0A1A35E2">
            <w:pPr>
              <w:rPr>
                <w:color w:val="auto"/>
              </w:rPr>
            </w:pPr>
          </w:p>
        </w:tc>
        <w:tc>
          <w:tcPr>
            <w:tcW w:w="2400" w:type="dxa"/>
          </w:tcPr>
          <w:p w14:paraId="07FFC968">
            <w:pPr>
              <w:rPr>
                <w:color w:val="auto"/>
              </w:rPr>
            </w:pPr>
          </w:p>
        </w:tc>
        <w:tc>
          <w:tcPr>
            <w:tcW w:w="2428" w:type="dxa"/>
          </w:tcPr>
          <w:p w14:paraId="7384FFC7">
            <w:pPr>
              <w:rPr>
                <w:color w:val="auto"/>
              </w:rPr>
            </w:pPr>
          </w:p>
        </w:tc>
        <w:tc>
          <w:tcPr>
            <w:tcW w:w="2555" w:type="dxa"/>
          </w:tcPr>
          <w:p w14:paraId="4374DED8">
            <w:pPr>
              <w:rPr>
                <w:color w:val="auto"/>
              </w:rPr>
            </w:pPr>
          </w:p>
        </w:tc>
        <w:tc>
          <w:tcPr>
            <w:tcW w:w="2052" w:type="dxa"/>
          </w:tcPr>
          <w:p w14:paraId="0D1B2232">
            <w:pPr>
              <w:rPr>
                <w:color w:val="auto"/>
              </w:rPr>
            </w:pPr>
          </w:p>
        </w:tc>
      </w:tr>
      <w:tr w14:paraId="20C69E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34944FC0">
            <w:pPr>
              <w:rPr>
                <w:color w:val="auto"/>
              </w:rPr>
            </w:pPr>
          </w:p>
        </w:tc>
        <w:tc>
          <w:tcPr>
            <w:tcW w:w="2400" w:type="dxa"/>
          </w:tcPr>
          <w:p w14:paraId="33C3FEB5">
            <w:pPr>
              <w:rPr>
                <w:color w:val="auto"/>
              </w:rPr>
            </w:pPr>
          </w:p>
        </w:tc>
        <w:tc>
          <w:tcPr>
            <w:tcW w:w="2428" w:type="dxa"/>
          </w:tcPr>
          <w:p w14:paraId="506AE940">
            <w:pPr>
              <w:rPr>
                <w:color w:val="auto"/>
              </w:rPr>
            </w:pPr>
          </w:p>
        </w:tc>
        <w:tc>
          <w:tcPr>
            <w:tcW w:w="2555" w:type="dxa"/>
          </w:tcPr>
          <w:p w14:paraId="5C842FAE">
            <w:pPr>
              <w:rPr>
                <w:color w:val="auto"/>
              </w:rPr>
            </w:pPr>
          </w:p>
        </w:tc>
        <w:tc>
          <w:tcPr>
            <w:tcW w:w="2052" w:type="dxa"/>
          </w:tcPr>
          <w:p w14:paraId="2048331C">
            <w:pPr>
              <w:rPr>
                <w:color w:val="auto"/>
              </w:rPr>
            </w:pPr>
          </w:p>
        </w:tc>
      </w:tr>
      <w:tr w14:paraId="4E3AFA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3B7649BF">
            <w:pPr>
              <w:rPr>
                <w:color w:val="auto"/>
              </w:rPr>
            </w:pPr>
          </w:p>
        </w:tc>
        <w:tc>
          <w:tcPr>
            <w:tcW w:w="2400" w:type="dxa"/>
          </w:tcPr>
          <w:p w14:paraId="76059746">
            <w:pPr>
              <w:rPr>
                <w:color w:val="auto"/>
              </w:rPr>
            </w:pPr>
          </w:p>
        </w:tc>
        <w:tc>
          <w:tcPr>
            <w:tcW w:w="2428" w:type="dxa"/>
          </w:tcPr>
          <w:p w14:paraId="25F77000">
            <w:pPr>
              <w:rPr>
                <w:color w:val="auto"/>
              </w:rPr>
            </w:pPr>
          </w:p>
        </w:tc>
        <w:tc>
          <w:tcPr>
            <w:tcW w:w="2555" w:type="dxa"/>
          </w:tcPr>
          <w:p w14:paraId="714EB40C">
            <w:pPr>
              <w:rPr>
                <w:color w:val="auto"/>
              </w:rPr>
            </w:pPr>
          </w:p>
        </w:tc>
        <w:tc>
          <w:tcPr>
            <w:tcW w:w="2052" w:type="dxa"/>
          </w:tcPr>
          <w:p w14:paraId="411412E2">
            <w:pPr>
              <w:rPr>
                <w:color w:val="auto"/>
              </w:rPr>
            </w:pPr>
          </w:p>
        </w:tc>
      </w:tr>
      <w:tr w14:paraId="71ED48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52F6699D">
            <w:pPr>
              <w:rPr>
                <w:color w:val="auto"/>
              </w:rPr>
            </w:pPr>
          </w:p>
        </w:tc>
        <w:tc>
          <w:tcPr>
            <w:tcW w:w="2400" w:type="dxa"/>
          </w:tcPr>
          <w:p w14:paraId="770EAA10">
            <w:pPr>
              <w:rPr>
                <w:color w:val="auto"/>
              </w:rPr>
            </w:pPr>
          </w:p>
        </w:tc>
        <w:tc>
          <w:tcPr>
            <w:tcW w:w="2428" w:type="dxa"/>
          </w:tcPr>
          <w:p w14:paraId="4F289BCC">
            <w:pPr>
              <w:rPr>
                <w:color w:val="auto"/>
              </w:rPr>
            </w:pPr>
          </w:p>
        </w:tc>
        <w:tc>
          <w:tcPr>
            <w:tcW w:w="2555" w:type="dxa"/>
          </w:tcPr>
          <w:p w14:paraId="0C508CE5">
            <w:pPr>
              <w:rPr>
                <w:color w:val="auto"/>
              </w:rPr>
            </w:pPr>
          </w:p>
        </w:tc>
        <w:tc>
          <w:tcPr>
            <w:tcW w:w="2052" w:type="dxa"/>
          </w:tcPr>
          <w:p w14:paraId="1E99B8DE">
            <w:pPr>
              <w:rPr>
                <w:color w:val="auto"/>
              </w:rPr>
            </w:pPr>
          </w:p>
        </w:tc>
      </w:tr>
      <w:tr w14:paraId="7C906C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76" w:type="dxa"/>
          </w:tcPr>
          <w:p w14:paraId="0C5FA45A">
            <w:pPr>
              <w:rPr>
                <w:color w:val="auto"/>
              </w:rPr>
            </w:pPr>
          </w:p>
        </w:tc>
        <w:tc>
          <w:tcPr>
            <w:tcW w:w="2400" w:type="dxa"/>
          </w:tcPr>
          <w:p w14:paraId="3B026FB5">
            <w:pPr>
              <w:rPr>
                <w:color w:val="auto"/>
              </w:rPr>
            </w:pPr>
          </w:p>
        </w:tc>
        <w:tc>
          <w:tcPr>
            <w:tcW w:w="2428" w:type="dxa"/>
          </w:tcPr>
          <w:p w14:paraId="3482129B">
            <w:pPr>
              <w:rPr>
                <w:color w:val="auto"/>
              </w:rPr>
            </w:pPr>
          </w:p>
        </w:tc>
        <w:tc>
          <w:tcPr>
            <w:tcW w:w="2555" w:type="dxa"/>
          </w:tcPr>
          <w:p w14:paraId="20B5B130">
            <w:pPr>
              <w:rPr>
                <w:color w:val="auto"/>
              </w:rPr>
            </w:pPr>
          </w:p>
        </w:tc>
        <w:tc>
          <w:tcPr>
            <w:tcW w:w="2052" w:type="dxa"/>
          </w:tcPr>
          <w:p w14:paraId="5DF0D0EC">
            <w:pPr>
              <w:rPr>
                <w:color w:val="auto"/>
              </w:rPr>
            </w:pPr>
          </w:p>
        </w:tc>
      </w:tr>
      <w:tr w14:paraId="3E7EC8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776" w:type="dxa"/>
          </w:tcPr>
          <w:p w14:paraId="63B759F3">
            <w:pPr>
              <w:rPr>
                <w:color w:val="auto"/>
              </w:rPr>
            </w:pPr>
          </w:p>
        </w:tc>
        <w:tc>
          <w:tcPr>
            <w:tcW w:w="2400" w:type="dxa"/>
          </w:tcPr>
          <w:p w14:paraId="18B071B1">
            <w:pPr>
              <w:rPr>
                <w:color w:val="auto"/>
              </w:rPr>
            </w:pPr>
          </w:p>
        </w:tc>
        <w:tc>
          <w:tcPr>
            <w:tcW w:w="2428" w:type="dxa"/>
          </w:tcPr>
          <w:p w14:paraId="06936F9F">
            <w:pPr>
              <w:rPr>
                <w:color w:val="auto"/>
              </w:rPr>
            </w:pPr>
          </w:p>
        </w:tc>
        <w:tc>
          <w:tcPr>
            <w:tcW w:w="2555" w:type="dxa"/>
          </w:tcPr>
          <w:p w14:paraId="6733E3D3">
            <w:pPr>
              <w:rPr>
                <w:color w:val="auto"/>
              </w:rPr>
            </w:pPr>
          </w:p>
        </w:tc>
        <w:tc>
          <w:tcPr>
            <w:tcW w:w="2052" w:type="dxa"/>
          </w:tcPr>
          <w:p w14:paraId="709FCC5F">
            <w:pPr>
              <w:rPr>
                <w:color w:val="auto"/>
              </w:rPr>
            </w:pPr>
          </w:p>
        </w:tc>
      </w:tr>
      <w:tr w14:paraId="5CF439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776" w:type="dxa"/>
          </w:tcPr>
          <w:p w14:paraId="4301D0F3">
            <w:pPr>
              <w:rPr>
                <w:color w:val="auto"/>
              </w:rPr>
            </w:pPr>
          </w:p>
        </w:tc>
        <w:tc>
          <w:tcPr>
            <w:tcW w:w="2400" w:type="dxa"/>
          </w:tcPr>
          <w:p w14:paraId="4678A4BE">
            <w:pPr>
              <w:rPr>
                <w:color w:val="auto"/>
              </w:rPr>
            </w:pPr>
          </w:p>
        </w:tc>
        <w:tc>
          <w:tcPr>
            <w:tcW w:w="2428" w:type="dxa"/>
          </w:tcPr>
          <w:p w14:paraId="4E8DA3C7">
            <w:pPr>
              <w:rPr>
                <w:color w:val="auto"/>
              </w:rPr>
            </w:pPr>
          </w:p>
        </w:tc>
        <w:tc>
          <w:tcPr>
            <w:tcW w:w="2555" w:type="dxa"/>
          </w:tcPr>
          <w:p w14:paraId="1619376D">
            <w:pPr>
              <w:rPr>
                <w:color w:val="auto"/>
              </w:rPr>
            </w:pPr>
          </w:p>
        </w:tc>
        <w:tc>
          <w:tcPr>
            <w:tcW w:w="2052" w:type="dxa"/>
          </w:tcPr>
          <w:p w14:paraId="7A32D712">
            <w:pPr>
              <w:rPr>
                <w:color w:val="auto"/>
              </w:rPr>
            </w:pPr>
          </w:p>
        </w:tc>
      </w:tr>
    </w:tbl>
    <w:p w14:paraId="4C4ED93A">
      <w:pPr>
        <w:pStyle w:val="8"/>
        <w:spacing w:line="437" w:lineRule="auto"/>
        <w:rPr>
          <w:color w:val="auto"/>
        </w:rPr>
      </w:pPr>
    </w:p>
    <w:p w14:paraId="77909867">
      <w:pPr>
        <w:pStyle w:val="8"/>
        <w:spacing w:line="244" w:lineRule="auto"/>
        <w:rPr>
          <w:color w:val="auto"/>
          <w:lang w:eastAsia="zh-CN"/>
        </w:rPr>
      </w:pPr>
      <w:r>
        <w:rPr>
          <w:rFonts w:ascii="宋体" w:hAnsi="宋体" w:eastAsia="宋体" w:cs="宋体"/>
          <w:color w:val="auto"/>
          <w:spacing w:val="12"/>
          <w:sz w:val="20"/>
          <w:szCs w:val="20"/>
          <w:lang w:eastAsia="zh-CN"/>
          <w14:textOutline w14:w="3797" w14:cap="sq" w14:cmpd="sng" w14:algn="ctr">
            <w14:solidFill>
              <w14:srgbClr w14:val="000000"/>
            </w14:solidFill>
            <w14:prstDash w14:val="solid"/>
            <w14:bevel/>
          </w14:textOutline>
        </w:rPr>
        <w:t>注：</w:t>
      </w:r>
      <w:r>
        <w:rPr>
          <w:rFonts w:hint="eastAsia" w:ascii="宋体" w:hAnsi="宋体" w:eastAsia="宋体" w:cs="宋体"/>
          <w:color w:val="auto"/>
          <w:spacing w:val="12"/>
          <w:sz w:val="20"/>
          <w:szCs w:val="20"/>
          <w:lang w:eastAsia="zh-CN"/>
          <w14:textOutline w14:w="3797" w14:cap="sq" w14:cmpd="sng" w14:algn="ctr">
            <w14:solidFill>
              <w14:srgbClr w14:val="000000"/>
            </w14:solidFill>
            <w14:prstDash w14:val="solid"/>
            <w14:bevel/>
          </w14:textOutline>
        </w:rPr>
        <w:t>如有偏离，须详细说明偏离内容；如未填写空白或未说明，视为对采购文件所列全部条款均响应无偏离。</w:t>
      </w:r>
    </w:p>
    <w:p w14:paraId="0C480085">
      <w:pPr>
        <w:pStyle w:val="8"/>
        <w:spacing w:line="264" w:lineRule="auto"/>
        <w:rPr>
          <w:color w:val="auto"/>
          <w:lang w:eastAsia="zh-CN"/>
        </w:rPr>
      </w:pPr>
    </w:p>
    <w:p w14:paraId="76232788">
      <w:pPr>
        <w:pStyle w:val="8"/>
        <w:spacing w:line="264" w:lineRule="auto"/>
        <w:rPr>
          <w:color w:val="auto"/>
          <w:lang w:eastAsia="zh-CN"/>
        </w:rPr>
      </w:pPr>
    </w:p>
    <w:p w14:paraId="6898E031">
      <w:pPr>
        <w:pStyle w:val="8"/>
        <w:spacing w:line="264" w:lineRule="auto"/>
        <w:rPr>
          <w:color w:val="auto"/>
          <w:lang w:eastAsia="zh-CN"/>
        </w:rPr>
      </w:pPr>
    </w:p>
    <w:p w14:paraId="5B3603CA">
      <w:pPr>
        <w:pStyle w:val="8"/>
        <w:spacing w:line="264" w:lineRule="auto"/>
        <w:rPr>
          <w:color w:val="auto"/>
          <w:lang w:eastAsia="zh-CN"/>
        </w:rPr>
      </w:pPr>
    </w:p>
    <w:p w14:paraId="29533980">
      <w:pPr>
        <w:pStyle w:val="8"/>
        <w:spacing w:line="264" w:lineRule="auto"/>
        <w:rPr>
          <w:color w:val="auto"/>
          <w:lang w:eastAsia="zh-CN"/>
        </w:rPr>
      </w:pPr>
    </w:p>
    <w:p w14:paraId="2F643CFF">
      <w:pPr>
        <w:pStyle w:val="8"/>
        <w:spacing w:line="264" w:lineRule="auto"/>
        <w:rPr>
          <w:color w:val="auto"/>
          <w:lang w:eastAsia="zh-CN"/>
        </w:rPr>
      </w:pPr>
    </w:p>
    <w:p w14:paraId="735FB512">
      <w:pPr>
        <w:pStyle w:val="8"/>
        <w:spacing w:line="264" w:lineRule="auto"/>
        <w:rPr>
          <w:color w:val="auto"/>
          <w:lang w:eastAsia="zh-CN"/>
        </w:rPr>
      </w:pPr>
    </w:p>
    <w:p w14:paraId="4585FE2C">
      <w:pPr>
        <w:spacing w:before="66" w:line="408" w:lineRule="exact"/>
        <w:ind w:left="5824"/>
        <w:rPr>
          <w:rFonts w:ascii="宋体" w:hAnsi="宋体" w:eastAsia="宋体" w:cs="宋体"/>
          <w:color w:val="auto"/>
          <w:sz w:val="20"/>
          <w:szCs w:val="20"/>
          <w:lang w:eastAsia="zh-CN"/>
        </w:rPr>
      </w:pPr>
      <w:r>
        <w:rPr>
          <w:rFonts w:hint="eastAsia" w:ascii="宋体" w:hAnsi="宋体" w:eastAsia="宋体" w:cs="宋体"/>
          <w:color w:val="auto"/>
          <w:spacing w:val="8"/>
          <w:position w:val="15"/>
          <w:sz w:val="20"/>
          <w:szCs w:val="20"/>
          <w:lang w:eastAsia="zh-CN"/>
        </w:rPr>
        <w:t>服务商</w:t>
      </w:r>
      <w:r>
        <w:rPr>
          <w:rFonts w:ascii="宋体" w:hAnsi="宋体" w:eastAsia="宋体" w:cs="宋体"/>
          <w:color w:val="auto"/>
          <w:spacing w:val="8"/>
          <w:position w:val="15"/>
          <w:sz w:val="20"/>
          <w:szCs w:val="20"/>
          <w:lang w:eastAsia="zh-CN"/>
        </w:rPr>
        <w:t>（加盖公章</w:t>
      </w:r>
      <w:r>
        <w:rPr>
          <w:rFonts w:ascii="宋体" w:hAnsi="宋体" w:eastAsia="宋体" w:cs="宋体"/>
          <w:color w:val="auto"/>
          <w:spacing w:val="2"/>
          <w:position w:val="15"/>
          <w:sz w:val="20"/>
          <w:szCs w:val="20"/>
          <w:lang w:eastAsia="zh-CN"/>
        </w:rPr>
        <w:t>）：</w:t>
      </w:r>
    </w:p>
    <w:p w14:paraId="1D218FFD">
      <w:pPr>
        <w:spacing w:before="1" w:line="226" w:lineRule="auto"/>
        <w:ind w:left="5824"/>
        <w:rPr>
          <w:rFonts w:ascii="宋体" w:hAnsi="宋体" w:eastAsia="宋体" w:cs="宋体"/>
          <w:color w:val="auto"/>
          <w:sz w:val="20"/>
          <w:szCs w:val="20"/>
          <w:lang w:eastAsia="zh-CN"/>
        </w:rPr>
      </w:pPr>
      <w:r>
        <w:rPr>
          <w:rFonts w:hint="eastAsia" w:ascii="宋体" w:hAnsi="宋体" w:eastAsia="宋体" w:cs="宋体"/>
          <w:color w:val="auto"/>
          <w:spacing w:val="7"/>
          <w:sz w:val="20"/>
          <w:szCs w:val="20"/>
          <w:lang w:eastAsia="zh-CN"/>
        </w:rPr>
        <w:t>服务商</w:t>
      </w:r>
      <w:r>
        <w:rPr>
          <w:rFonts w:ascii="宋体" w:hAnsi="宋体" w:eastAsia="宋体" w:cs="宋体"/>
          <w:color w:val="auto"/>
          <w:spacing w:val="7"/>
          <w:sz w:val="20"/>
          <w:szCs w:val="20"/>
          <w:lang w:eastAsia="zh-CN"/>
        </w:rPr>
        <w:t>代表签名：</w:t>
      </w:r>
    </w:p>
    <w:p w14:paraId="5A6D6B18">
      <w:pPr>
        <w:spacing w:before="92" w:line="185" w:lineRule="auto"/>
        <w:ind w:left="3747"/>
        <w:outlineLvl w:val="9"/>
        <w:rPr>
          <w:rFonts w:ascii="宋体" w:hAnsi="宋体" w:eastAsia="宋体" w:cs="宋体"/>
          <w:color w:val="auto"/>
          <w:sz w:val="28"/>
          <w:szCs w:val="28"/>
          <w:u w:val="single"/>
          <w:lang w:eastAsia="zh-CN"/>
        </w:rPr>
      </w:pPr>
    </w:p>
    <w:p w14:paraId="135E10EF">
      <w:pPr>
        <w:spacing w:line="185" w:lineRule="auto"/>
        <w:rPr>
          <w:rFonts w:ascii="宋体" w:hAnsi="宋体" w:eastAsia="宋体" w:cs="宋体"/>
          <w:color w:val="auto"/>
          <w:sz w:val="28"/>
          <w:szCs w:val="28"/>
          <w:lang w:eastAsia="zh-CN"/>
        </w:rPr>
        <w:sectPr>
          <w:type w:val="continuous"/>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6C270AB5">
      <w:pPr>
        <w:spacing w:before="114" w:line="222" w:lineRule="auto"/>
        <w:ind w:left="420"/>
        <w:jc w:val="center"/>
        <w:rPr>
          <w:rFonts w:ascii="宋体" w:hAnsi="宋体"/>
          <w:b/>
          <w:bCs/>
          <w:color w:val="auto"/>
          <w:lang w:eastAsia="zh-CN"/>
        </w:rPr>
      </w:pPr>
    </w:p>
    <w:p w14:paraId="75B3C3C8">
      <w:pPr>
        <w:numPr>
          <w:ilvl w:val="0"/>
          <w:numId w:val="3"/>
        </w:numPr>
        <w:spacing w:before="114" w:line="222" w:lineRule="auto"/>
        <w:ind w:left="420"/>
        <w:jc w:val="center"/>
        <w:rPr>
          <w:rFonts w:hint="eastAsia" w:ascii="宋体" w:hAnsi="宋体" w:eastAsia="宋体" w:cs="宋体"/>
          <w:color w:val="auto"/>
          <w:spacing w:val="7"/>
          <w:sz w:val="20"/>
          <w:szCs w:val="20"/>
          <w:lang w:eastAsia="zh-CN"/>
        </w:rPr>
      </w:pPr>
      <w:r>
        <w:rPr>
          <w:rFonts w:hint="eastAsia" w:ascii="宋体" w:hAnsi="宋体" w:eastAsia="宋体" w:cs="宋体"/>
          <w:color w:val="auto"/>
          <w:spacing w:val="7"/>
          <w:sz w:val="20"/>
          <w:szCs w:val="20"/>
          <w:lang w:val="en-US" w:eastAsia="zh-CN"/>
        </w:rPr>
        <w:t>售后服务方案</w:t>
      </w:r>
      <w:r>
        <w:rPr>
          <w:rFonts w:hint="eastAsia" w:ascii="宋体" w:hAnsi="宋体" w:eastAsia="宋体" w:cs="宋体"/>
          <w:color w:val="auto"/>
          <w:spacing w:val="7"/>
          <w:sz w:val="20"/>
          <w:szCs w:val="20"/>
          <w:lang w:eastAsia="zh-CN"/>
        </w:rPr>
        <w:t>、</w:t>
      </w:r>
      <w:r>
        <w:rPr>
          <w:rFonts w:hint="eastAsia" w:ascii="宋体" w:hAnsi="宋体" w:eastAsia="宋体" w:cs="宋体"/>
          <w:color w:val="auto"/>
          <w:spacing w:val="7"/>
          <w:sz w:val="20"/>
          <w:szCs w:val="20"/>
          <w:lang w:val="en-US" w:eastAsia="zh-CN"/>
        </w:rPr>
        <w:t>质保承诺</w:t>
      </w:r>
      <w:r>
        <w:rPr>
          <w:rFonts w:hint="eastAsia" w:ascii="宋体" w:hAnsi="宋体" w:eastAsia="宋体" w:cs="宋体"/>
          <w:color w:val="auto"/>
          <w:spacing w:val="7"/>
          <w:sz w:val="20"/>
          <w:szCs w:val="20"/>
          <w:lang w:eastAsia="zh-CN"/>
        </w:rPr>
        <w:t>、</w:t>
      </w:r>
      <w:r>
        <w:rPr>
          <w:rFonts w:hint="eastAsia" w:ascii="宋体" w:hAnsi="宋体" w:eastAsia="宋体" w:cs="宋体"/>
          <w:color w:val="auto"/>
          <w:spacing w:val="7"/>
          <w:sz w:val="20"/>
          <w:szCs w:val="20"/>
          <w:lang w:val="en-US" w:eastAsia="zh-CN"/>
        </w:rPr>
        <w:t>售后服务方案</w:t>
      </w:r>
      <w:r>
        <w:rPr>
          <w:rFonts w:ascii="宋体" w:hAnsi="宋体" w:eastAsia="宋体" w:cs="宋体"/>
          <w:color w:val="auto"/>
          <w:spacing w:val="7"/>
          <w:sz w:val="20"/>
          <w:szCs w:val="20"/>
          <w:lang w:eastAsia="zh-CN"/>
        </w:rPr>
        <w:t>；</w:t>
      </w:r>
    </w:p>
    <w:p w14:paraId="76C896EA">
      <w:pPr>
        <w:numPr>
          <w:ilvl w:val="0"/>
          <w:numId w:val="0"/>
        </w:numPr>
        <w:spacing w:before="114" w:line="222" w:lineRule="auto"/>
        <w:ind w:firstLine="2941" w:firstLineChars="1400"/>
        <w:jc w:val="both"/>
        <w:rPr>
          <w:rFonts w:ascii="宋体" w:hAnsi="宋体"/>
          <w:b/>
          <w:bCs/>
          <w:color w:val="auto"/>
          <w:lang w:eastAsia="zh-CN"/>
        </w:rPr>
      </w:pPr>
      <w:r>
        <w:rPr>
          <w:rFonts w:hint="eastAsia" w:ascii="宋体" w:hAnsi="宋体"/>
          <w:b/>
          <w:bCs/>
          <w:color w:val="auto"/>
          <w:lang w:eastAsia="zh-CN"/>
        </w:rPr>
        <w:t>根据采购需求及评审办法</w:t>
      </w:r>
      <w:r>
        <w:rPr>
          <w:rFonts w:hint="eastAsia" w:ascii="宋体" w:hAnsi="宋体"/>
          <w:b/>
          <w:bCs/>
          <w:color w:val="auto"/>
          <w:lang w:val="en-US" w:eastAsia="zh-CN"/>
        </w:rPr>
        <w:t>编写</w:t>
      </w:r>
      <w:r>
        <w:rPr>
          <w:rFonts w:hint="eastAsia" w:ascii="宋体" w:hAnsi="宋体"/>
          <w:b/>
          <w:bCs/>
          <w:color w:val="auto"/>
          <w:lang w:eastAsia="zh-CN"/>
        </w:rPr>
        <w:t>，格式自拟。</w:t>
      </w:r>
    </w:p>
    <w:p w14:paraId="0B381720">
      <w:pPr>
        <w:pStyle w:val="8"/>
        <w:rPr>
          <w:color w:val="auto"/>
          <w:lang w:eastAsia="zh-CN"/>
        </w:rPr>
      </w:pPr>
    </w:p>
    <w:p w14:paraId="65D3569D">
      <w:pPr>
        <w:pStyle w:val="8"/>
        <w:rPr>
          <w:color w:val="auto"/>
          <w:lang w:eastAsia="zh-CN"/>
        </w:rPr>
      </w:pPr>
    </w:p>
    <w:p w14:paraId="7133A8A3">
      <w:pPr>
        <w:pStyle w:val="8"/>
        <w:rPr>
          <w:color w:val="auto"/>
          <w:lang w:eastAsia="zh-CN"/>
        </w:rPr>
      </w:pPr>
    </w:p>
    <w:p w14:paraId="376EB39C">
      <w:pPr>
        <w:pStyle w:val="8"/>
        <w:rPr>
          <w:color w:val="auto"/>
          <w:lang w:eastAsia="zh-CN"/>
        </w:rPr>
      </w:pPr>
    </w:p>
    <w:p w14:paraId="4452FF0D">
      <w:pPr>
        <w:pStyle w:val="8"/>
        <w:rPr>
          <w:color w:val="auto"/>
          <w:lang w:eastAsia="zh-CN"/>
        </w:rPr>
      </w:pPr>
    </w:p>
    <w:p w14:paraId="1F0EA829">
      <w:pPr>
        <w:pStyle w:val="8"/>
        <w:rPr>
          <w:color w:val="auto"/>
          <w:lang w:eastAsia="zh-CN"/>
        </w:rPr>
      </w:pPr>
    </w:p>
    <w:p w14:paraId="2D70E8D0">
      <w:pPr>
        <w:pStyle w:val="8"/>
        <w:rPr>
          <w:color w:val="auto"/>
          <w:lang w:eastAsia="zh-CN"/>
        </w:rPr>
      </w:pPr>
    </w:p>
    <w:p w14:paraId="4469EF2C">
      <w:pPr>
        <w:pStyle w:val="8"/>
        <w:rPr>
          <w:color w:val="auto"/>
          <w:lang w:eastAsia="zh-CN"/>
        </w:rPr>
      </w:pPr>
    </w:p>
    <w:p w14:paraId="0EA2D0C0">
      <w:pPr>
        <w:pStyle w:val="8"/>
        <w:rPr>
          <w:color w:val="auto"/>
          <w:lang w:eastAsia="zh-CN"/>
        </w:rPr>
      </w:pPr>
    </w:p>
    <w:p w14:paraId="27AA05C9">
      <w:pPr>
        <w:pStyle w:val="8"/>
        <w:rPr>
          <w:color w:val="auto"/>
          <w:lang w:eastAsia="zh-CN"/>
        </w:rPr>
      </w:pPr>
    </w:p>
    <w:p w14:paraId="2EEFAB6C">
      <w:pPr>
        <w:pStyle w:val="8"/>
        <w:rPr>
          <w:color w:val="auto"/>
          <w:lang w:eastAsia="zh-CN"/>
        </w:rPr>
      </w:pPr>
    </w:p>
    <w:p w14:paraId="144871A2">
      <w:pPr>
        <w:pStyle w:val="8"/>
        <w:rPr>
          <w:color w:val="auto"/>
          <w:lang w:eastAsia="zh-CN"/>
        </w:rPr>
      </w:pPr>
    </w:p>
    <w:p w14:paraId="5B599F3F">
      <w:pPr>
        <w:pStyle w:val="8"/>
        <w:rPr>
          <w:color w:val="auto"/>
          <w:lang w:eastAsia="zh-CN"/>
        </w:rPr>
      </w:pPr>
    </w:p>
    <w:p w14:paraId="1FD01923">
      <w:pPr>
        <w:pStyle w:val="8"/>
        <w:rPr>
          <w:color w:val="auto"/>
          <w:lang w:eastAsia="zh-CN"/>
        </w:rPr>
      </w:pPr>
    </w:p>
    <w:p w14:paraId="08B3171C">
      <w:pPr>
        <w:pStyle w:val="8"/>
        <w:rPr>
          <w:color w:val="auto"/>
          <w:lang w:eastAsia="zh-CN"/>
        </w:rPr>
      </w:pPr>
    </w:p>
    <w:p w14:paraId="0F5A9917">
      <w:pPr>
        <w:pStyle w:val="8"/>
        <w:rPr>
          <w:color w:val="auto"/>
          <w:lang w:eastAsia="zh-CN"/>
        </w:rPr>
      </w:pPr>
    </w:p>
    <w:p w14:paraId="7AE895AC">
      <w:pPr>
        <w:pStyle w:val="8"/>
        <w:spacing w:line="241" w:lineRule="auto"/>
        <w:rPr>
          <w:color w:val="auto"/>
          <w:lang w:eastAsia="zh-CN"/>
        </w:rPr>
      </w:pPr>
    </w:p>
    <w:p w14:paraId="1483C47A">
      <w:pPr>
        <w:pStyle w:val="8"/>
        <w:spacing w:line="241" w:lineRule="auto"/>
        <w:rPr>
          <w:color w:val="auto"/>
          <w:lang w:eastAsia="zh-CN"/>
        </w:rPr>
      </w:pPr>
    </w:p>
    <w:p w14:paraId="16DE0B91">
      <w:pPr>
        <w:pStyle w:val="8"/>
        <w:spacing w:line="241" w:lineRule="auto"/>
        <w:rPr>
          <w:color w:val="auto"/>
          <w:lang w:eastAsia="zh-CN"/>
        </w:rPr>
      </w:pPr>
    </w:p>
    <w:p w14:paraId="29B2FA96">
      <w:pPr>
        <w:pStyle w:val="8"/>
        <w:spacing w:line="241" w:lineRule="auto"/>
        <w:rPr>
          <w:color w:val="auto"/>
          <w:lang w:eastAsia="zh-CN"/>
        </w:rPr>
      </w:pPr>
    </w:p>
    <w:p w14:paraId="79E647B1">
      <w:pPr>
        <w:pStyle w:val="8"/>
        <w:spacing w:line="241" w:lineRule="auto"/>
        <w:rPr>
          <w:color w:val="auto"/>
          <w:lang w:eastAsia="zh-CN"/>
        </w:rPr>
      </w:pPr>
    </w:p>
    <w:p w14:paraId="5888FD0D">
      <w:pPr>
        <w:pStyle w:val="8"/>
        <w:spacing w:line="241" w:lineRule="auto"/>
        <w:rPr>
          <w:color w:val="auto"/>
          <w:lang w:eastAsia="zh-CN"/>
        </w:rPr>
      </w:pPr>
    </w:p>
    <w:p w14:paraId="1F8DD86B">
      <w:pPr>
        <w:pStyle w:val="8"/>
        <w:spacing w:line="241" w:lineRule="auto"/>
        <w:rPr>
          <w:color w:val="auto"/>
          <w:lang w:eastAsia="zh-CN"/>
        </w:rPr>
      </w:pPr>
    </w:p>
    <w:p w14:paraId="2A3E3B1D">
      <w:pPr>
        <w:pStyle w:val="8"/>
        <w:spacing w:line="241" w:lineRule="auto"/>
        <w:rPr>
          <w:color w:val="auto"/>
          <w:lang w:eastAsia="zh-CN"/>
        </w:rPr>
      </w:pPr>
    </w:p>
    <w:p w14:paraId="3538F451">
      <w:pPr>
        <w:pStyle w:val="8"/>
        <w:spacing w:line="241" w:lineRule="auto"/>
        <w:rPr>
          <w:color w:val="auto"/>
          <w:lang w:eastAsia="zh-CN"/>
        </w:rPr>
      </w:pPr>
    </w:p>
    <w:p w14:paraId="1A56C86B">
      <w:pPr>
        <w:pStyle w:val="8"/>
        <w:spacing w:line="241" w:lineRule="auto"/>
        <w:rPr>
          <w:color w:val="auto"/>
          <w:lang w:eastAsia="zh-CN"/>
        </w:rPr>
      </w:pPr>
    </w:p>
    <w:p w14:paraId="6146AC57">
      <w:pPr>
        <w:pStyle w:val="8"/>
        <w:spacing w:line="241" w:lineRule="auto"/>
        <w:rPr>
          <w:color w:val="auto"/>
          <w:lang w:eastAsia="zh-CN"/>
        </w:rPr>
      </w:pPr>
    </w:p>
    <w:p w14:paraId="5C48FB1D">
      <w:pPr>
        <w:pStyle w:val="8"/>
        <w:spacing w:line="241" w:lineRule="auto"/>
        <w:rPr>
          <w:color w:val="auto"/>
          <w:lang w:eastAsia="zh-CN"/>
        </w:rPr>
      </w:pPr>
    </w:p>
    <w:p w14:paraId="420B4DA0">
      <w:pPr>
        <w:pStyle w:val="8"/>
        <w:spacing w:line="241" w:lineRule="auto"/>
        <w:rPr>
          <w:color w:val="auto"/>
          <w:lang w:eastAsia="zh-CN"/>
        </w:rPr>
      </w:pPr>
    </w:p>
    <w:p w14:paraId="7C8CBFA6">
      <w:pPr>
        <w:pStyle w:val="8"/>
        <w:spacing w:line="241" w:lineRule="auto"/>
        <w:rPr>
          <w:color w:val="auto"/>
          <w:lang w:eastAsia="zh-CN"/>
        </w:rPr>
      </w:pPr>
    </w:p>
    <w:p w14:paraId="4DF8EDEE">
      <w:pPr>
        <w:pStyle w:val="8"/>
        <w:spacing w:line="241" w:lineRule="auto"/>
        <w:rPr>
          <w:color w:val="auto"/>
          <w:lang w:eastAsia="zh-CN"/>
        </w:rPr>
      </w:pPr>
    </w:p>
    <w:p w14:paraId="06458D42">
      <w:pPr>
        <w:pStyle w:val="8"/>
        <w:spacing w:line="241" w:lineRule="auto"/>
        <w:rPr>
          <w:color w:val="auto"/>
          <w:lang w:eastAsia="zh-CN"/>
        </w:rPr>
      </w:pPr>
    </w:p>
    <w:p w14:paraId="697FA08D">
      <w:pPr>
        <w:pStyle w:val="8"/>
        <w:spacing w:line="241" w:lineRule="auto"/>
        <w:rPr>
          <w:color w:val="auto"/>
          <w:lang w:eastAsia="zh-CN"/>
        </w:rPr>
      </w:pPr>
    </w:p>
    <w:p w14:paraId="590E17C6">
      <w:pPr>
        <w:pStyle w:val="8"/>
        <w:spacing w:line="241" w:lineRule="auto"/>
        <w:rPr>
          <w:color w:val="auto"/>
          <w:lang w:eastAsia="zh-CN"/>
        </w:rPr>
      </w:pPr>
    </w:p>
    <w:p w14:paraId="39843627">
      <w:pPr>
        <w:pStyle w:val="8"/>
        <w:spacing w:line="241" w:lineRule="auto"/>
        <w:rPr>
          <w:color w:val="auto"/>
          <w:lang w:eastAsia="zh-CN"/>
        </w:rPr>
      </w:pPr>
    </w:p>
    <w:p w14:paraId="69591579">
      <w:pPr>
        <w:pStyle w:val="8"/>
        <w:spacing w:line="241" w:lineRule="auto"/>
        <w:rPr>
          <w:color w:val="auto"/>
          <w:lang w:eastAsia="zh-CN"/>
        </w:rPr>
      </w:pPr>
    </w:p>
    <w:p w14:paraId="3E075A65">
      <w:pPr>
        <w:pStyle w:val="8"/>
        <w:spacing w:line="241" w:lineRule="auto"/>
        <w:rPr>
          <w:color w:val="auto"/>
          <w:lang w:eastAsia="zh-CN"/>
        </w:rPr>
      </w:pPr>
    </w:p>
    <w:p w14:paraId="27FB7ACB">
      <w:pPr>
        <w:pStyle w:val="8"/>
        <w:spacing w:line="241" w:lineRule="auto"/>
        <w:rPr>
          <w:color w:val="auto"/>
          <w:lang w:eastAsia="zh-CN"/>
        </w:rPr>
      </w:pPr>
    </w:p>
    <w:p w14:paraId="6CD7659A">
      <w:pPr>
        <w:pStyle w:val="8"/>
        <w:spacing w:line="241" w:lineRule="auto"/>
        <w:rPr>
          <w:color w:val="auto"/>
          <w:lang w:eastAsia="zh-CN"/>
        </w:rPr>
      </w:pPr>
    </w:p>
    <w:p w14:paraId="12FBC31C">
      <w:pPr>
        <w:pStyle w:val="8"/>
        <w:spacing w:line="241" w:lineRule="auto"/>
        <w:rPr>
          <w:color w:val="auto"/>
          <w:lang w:eastAsia="zh-CN"/>
        </w:rPr>
      </w:pPr>
    </w:p>
    <w:p w14:paraId="28DF0281">
      <w:pPr>
        <w:pStyle w:val="8"/>
        <w:spacing w:line="241" w:lineRule="auto"/>
        <w:rPr>
          <w:color w:val="auto"/>
          <w:lang w:eastAsia="zh-CN"/>
        </w:rPr>
      </w:pPr>
    </w:p>
    <w:p w14:paraId="48E8527A">
      <w:pPr>
        <w:pStyle w:val="8"/>
        <w:spacing w:line="241" w:lineRule="auto"/>
        <w:rPr>
          <w:color w:val="auto"/>
          <w:lang w:eastAsia="zh-CN"/>
        </w:rPr>
      </w:pPr>
    </w:p>
    <w:p w14:paraId="2F77CE74">
      <w:pPr>
        <w:pStyle w:val="8"/>
        <w:spacing w:line="241" w:lineRule="auto"/>
        <w:rPr>
          <w:color w:val="auto"/>
          <w:lang w:eastAsia="zh-CN"/>
        </w:rPr>
      </w:pPr>
    </w:p>
    <w:p w14:paraId="57E94555">
      <w:pPr>
        <w:spacing w:line="227" w:lineRule="auto"/>
        <w:rPr>
          <w:rFonts w:ascii="宋体" w:hAnsi="宋体" w:eastAsia="宋体" w:cs="宋体"/>
          <w:color w:val="auto"/>
          <w:sz w:val="20"/>
          <w:szCs w:val="20"/>
          <w:lang w:eastAsia="zh-CN"/>
        </w:rPr>
        <w:sectPr>
          <w:headerReference r:id="rId52" w:type="default"/>
          <w:footerReference r:id="rId53"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0E31005C">
      <w:pPr>
        <w:spacing w:before="91" w:line="222" w:lineRule="auto"/>
        <w:ind w:left="2771"/>
        <w:rPr>
          <w:rFonts w:ascii="黑体" w:hAnsi="黑体" w:eastAsia="黑体" w:cs="黑体"/>
          <w:color w:val="auto"/>
          <w:sz w:val="28"/>
          <w:szCs w:val="28"/>
          <w:lang w:eastAsia="zh-CN"/>
        </w:rPr>
      </w:pPr>
      <w:r>
        <w:rPr>
          <w:rFonts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w:t>
      </w:r>
      <w:r>
        <w:rPr>
          <w:rFonts w:hint="eastAsia"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五</w:t>
      </w:r>
      <w:r>
        <w:rPr>
          <w:rFonts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w:t>
      </w:r>
      <w:r>
        <w:rPr>
          <w:rFonts w:hint="eastAsia"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服务商需要说明的其他内容及相关文件资料</w:t>
      </w:r>
    </w:p>
    <w:p w14:paraId="05E5CC1A">
      <w:pPr>
        <w:spacing w:line="226" w:lineRule="auto"/>
        <w:ind w:left="12"/>
        <w:rPr>
          <w:rFonts w:ascii="宋体" w:hAnsi="宋体" w:eastAsia="宋体" w:cs="宋体"/>
          <w:color w:val="auto"/>
          <w:spacing w:val="8"/>
          <w:sz w:val="20"/>
          <w:szCs w:val="20"/>
          <w:lang w:eastAsia="zh-CN"/>
        </w:rPr>
      </w:pPr>
    </w:p>
    <w:p w14:paraId="334B09AE">
      <w:pPr>
        <w:spacing w:line="226" w:lineRule="auto"/>
        <w:ind w:left="12"/>
        <w:rPr>
          <w:rFonts w:ascii="宋体" w:hAnsi="宋体" w:eastAsia="宋体" w:cs="宋体"/>
          <w:color w:val="auto"/>
          <w:spacing w:val="8"/>
          <w:sz w:val="20"/>
          <w:szCs w:val="20"/>
          <w:lang w:eastAsia="zh-CN"/>
        </w:rPr>
      </w:pPr>
    </w:p>
    <w:p w14:paraId="0643927C">
      <w:pPr>
        <w:spacing w:line="226" w:lineRule="auto"/>
        <w:ind w:left="12"/>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ascii="Tahoma" w:hAnsi="Tahoma" w:eastAsia="Tahoma" w:cs="Tahoma"/>
          <w:color w:val="auto"/>
          <w:spacing w:val="8"/>
          <w:sz w:val="20"/>
          <w:szCs w:val="20"/>
          <w:lang w:eastAsia="zh-CN"/>
        </w:rPr>
        <w:t>1</w:t>
      </w:r>
      <w:r>
        <w:rPr>
          <w:rFonts w:ascii="宋体" w:hAnsi="宋体" w:eastAsia="宋体" w:cs="宋体"/>
          <w:color w:val="auto"/>
          <w:spacing w:val="8"/>
          <w:sz w:val="20"/>
          <w:szCs w:val="20"/>
          <w:lang w:eastAsia="zh-CN"/>
        </w:rPr>
        <w:t>）</w:t>
      </w:r>
      <w:r>
        <w:rPr>
          <w:rFonts w:hint="eastAsia" w:ascii="宋体" w:hAnsi="宋体" w:eastAsia="宋体" w:cs="宋体"/>
          <w:color w:val="auto"/>
          <w:spacing w:val="8"/>
          <w:sz w:val="20"/>
          <w:szCs w:val="20"/>
          <w:lang w:eastAsia="zh-CN"/>
        </w:rPr>
        <w:t>如产品出厂标准，质量检验、检测报告，产品合格证， 质量管理体系认证，环境管理体系认证等</w:t>
      </w:r>
      <w:r>
        <w:rPr>
          <w:rFonts w:ascii="宋体" w:hAnsi="宋体" w:eastAsia="宋体" w:cs="宋体"/>
          <w:color w:val="auto"/>
          <w:spacing w:val="8"/>
          <w:sz w:val="20"/>
          <w:szCs w:val="20"/>
          <w:lang w:eastAsia="zh-CN"/>
        </w:rPr>
        <w:t>。</w:t>
      </w:r>
    </w:p>
    <w:p w14:paraId="4E40B15B">
      <w:pPr>
        <w:pStyle w:val="8"/>
        <w:spacing w:line="448" w:lineRule="auto"/>
        <w:rPr>
          <w:color w:val="auto"/>
          <w:lang w:eastAsia="zh-CN"/>
        </w:rPr>
      </w:pPr>
    </w:p>
    <w:p w14:paraId="40EE7E8E">
      <w:pPr>
        <w:spacing w:before="78" w:line="220" w:lineRule="auto"/>
        <w:rPr>
          <w:rFonts w:ascii="黑体" w:hAnsi="黑体" w:eastAsia="黑体" w:cs="黑体"/>
          <w:color w:val="auto"/>
          <w:sz w:val="24"/>
          <w:szCs w:val="24"/>
        </w:rPr>
      </w:pPr>
      <w:r>
        <w:rPr>
          <w:rFonts w:hint="eastAsia" w:ascii="黑体" w:hAnsi="黑体" w:eastAsia="黑体" w:cs="黑体"/>
          <w:color w:val="auto"/>
          <w:spacing w:val="-3"/>
          <w:sz w:val="24"/>
          <w:szCs w:val="24"/>
          <w:lang w:eastAsia="zh-CN"/>
          <w14:textOutline w14:w="4356" w14:cap="sq" w14:cmpd="sng" w14:algn="ctr">
            <w14:solidFill>
              <w14:srgbClr w14:val="000000"/>
            </w14:solidFill>
            <w14:prstDash w14:val="solid"/>
            <w14:bevel/>
          </w14:textOutline>
        </w:rPr>
        <w:t>（</w:t>
      </w:r>
      <w:r>
        <w:rPr>
          <w:rFonts w:hint="eastAsia" w:ascii="黑体" w:hAnsi="黑体" w:eastAsia="黑体" w:cs="黑体"/>
          <w:color w:val="auto"/>
          <w:spacing w:val="-3"/>
          <w:sz w:val="24"/>
          <w:szCs w:val="24"/>
          <w:lang w:val="en-US" w:eastAsia="zh-CN"/>
          <w14:textOutline w14:w="4356" w14:cap="sq" w14:cmpd="sng" w14:algn="ctr">
            <w14:solidFill>
              <w14:srgbClr w14:val="000000"/>
            </w14:solidFill>
            <w14:prstDash w14:val="solid"/>
            <w14:bevel/>
          </w14:textOutline>
        </w:rPr>
        <w:t>2</w:t>
      </w:r>
      <w:r>
        <w:rPr>
          <w:rFonts w:hint="eastAsia" w:ascii="黑体" w:hAnsi="黑体" w:eastAsia="黑体" w:cs="黑体"/>
          <w:color w:val="auto"/>
          <w:spacing w:val="-3"/>
          <w:sz w:val="24"/>
          <w:szCs w:val="24"/>
          <w:lang w:eastAsia="zh-CN"/>
          <w14:textOutline w14:w="4356" w14:cap="sq" w14:cmpd="sng" w14:algn="ctr">
            <w14:solidFill>
              <w14:srgbClr w14:val="000000"/>
            </w14:solidFill>
            <w14:prstDash w14:val="solid"/>
            <w14:bevel/>
          </w14:textOutline>
        </w:rPr>
        <w:t>）</w:t>
      </w:r>
      <w:r>
        <w:rPr>
          <w:rFonts w:ascii="黑体" w:hAnsi="黑体" w:eastAsia="黑体" w:cs="黑体"/>
          <w:color w:val="auto"/>
          <w:spacing w:val="-3"/>
          <w:sz w:val="24"/>
          <w:szCs w:val="24"/>
          <w14:textOutline w14:w="4356" w14:cap="sq" w14:cmpd="sng" w14:algn="ctr">
            <w14:solidFill>
              <w14:srgbClr w14:val="000000"/>
            </w14:solidFill>
            <w14:prstDash w14:val="solid"/>
            <w14:bevel/>
          </w14:textOutline>
        </w:rPr>
        <w:t>同类项目业绩表</w:t>
      </w:r>
    </w:p>
    <w:tbl>
      <w:tblPr>
        <w:tblStyle w:val="26"/>
        <w:tblW w:w="1021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89"/>
        <w:gridCol w:w="2091"/>
        <w:gridCol w:w="1842"/>
        <w:gridCol w:w="1464"/>
        <w:gridCol w:w="1369"/>
        <w:gridCol w:w="2555"/>
      </w:tblGrid>
      <w:tr w14:paraId="2E901D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889" w:type="dxa"/>
          </w:tcPr>
          <w:p w14:paraId="46F30CC6">
            <w:pPr>
              <w:spacing w:before="201" w:line="231" w:lineRule="auto"/>
              <w:ind w:left="239"/>
              <w:rPr>
                <w:rFonts w:ascii="黑体" w:hAnsi="黑体" w:eastAsia="黑体" w:cs="黑体"/>
                <w:color w:val="auto"/>
                <w:sz w:val="20"/>
                <w:szCs w:val="20"/>
              </w:rPr>
            </w:pPr>
            <w:r>
              <w:rPr>
                <w:rFonts w:ascii="黑体" w:hAnsi="黑体" w:eastAsia="黑体" w:cs="黑体"/>
                <w:color w:val="auto"/>
                <w:spacing w:val="4"/>
                <w:sz w:val="20"/>
                <w:szCs w:val="20"/>
              </w:rPr>
              <w:t>序号</w:t>
            </w:r>
          </w:p>
        </w:tc>
        <w:tc>
          <w:tcPr>
            <w:tcW w:w="2091" w:type="dxa"/>
          </w:tcPr>
          <w:p w14:paraId="5506E105">
            <w:pPr>
              <w:spacing w:before="200" w:line="229" w:lineRule="auto"/>
              <w:ind w:left="208"/>
              <w:rPr>
                <w:rFonts w:ascii="黑体" w:hAnsi="黑体" w:eastAsia="黑体" w:cs="黑体"/>
                <w:color w:val="auto"/>
                <w:sz w:val="20"/>
                <w:szCs w:val="20"/>
              </w:rPr>
            </w:pPr>
            <w:r>
              <w:rPr>
                <w:rFonts w:ascii="黑体" w:hAnsi="黑体" w:eastAsia="黑体" w:cs="黑体"/>
                <w:color w:val="auto"/>
                <w:spacing w:val="8"/>
                <w:sz w:val="20"/>
                <w:szCs w:val="20"/>
              </w:rPr>
              <w:t>采购人及联系方式</w:t>
            </w:r>
          </w:p>
        </w:tc>
        <w:tc>
          <w:tcPr>
            <w:tcW w:w="1842" w:type="dxa"/>
          </w:tcPr>
          <w:p w14:paraId="74F7E021">
            <w:pPr>
              <w:spacing w:before="200" w:line="230" w:lineRule="auto"/>
              <w:ind w:left="192"/>
              <w:rPr>
                <w:rFonts w:ascii="黑体" w:hAnsi="黑体" w:eastAsia="黑体" w:cs="黑体"/>
                <w:color w:val="auto"/>
                <w:sz w:val="20"/>
                <w:szCs w:val="20"/>
                <w:lang w:eastAsia="zh-CN"/>
              </w:rPr>
            </w:pPr>
            <w:r>
              <w:rPr>
                <w:rFonts w:hint="eastAsia" w:ascii="黑体" w:hAnsi="黑体" w:eastAsia="黑体" w:cs="黑体"/>
                <w:color w:val="auto"/>
                <w:spacing w:val="8"/>
                <w:sz w:val="20"/>
                <w:szCs w:val="20"/>
                <w:lang w:eastAsia="zh-CN"/>
              </w:rPr>
              <w:t>项目名称及内容</w:t>
            </w:r>
          </w:p>
        </w:tc>
        <w:tc>
          <w:tcPr>
            <w:tcW w:w="1464" w:type="dxa"/>
          </w:tcPr>
          <w:p w14:paraId="0A4452ED">
            <w:pPr>
              <w:spacing w:before="200" w:line="230" w:lineRule="auto"/>
              <w:ind w:left="319"/>
              <w:rPr>
                <w:rFonts w:ascii="黑体" w:hAnsi="黑体" w:eastAsia="黑体" w:cs="黑体"/>
                <w:color w:val="auto"/>
                <w:sz w:val="20"/>
                <w:szCs w:val="20"/>
              </w:rPr>
            </w:pPr>
            <w:r>
              <w:rPr>
                <w:rFonts w:ascii="黑体" w:hAnsi="黑体" w:eastAsia="黑体" w:cs="黑体"/>
                <w:color w:val="auto"/>
                <w:spacing w:val="7"/>
                <w:sz w:val="20"/>
                <w:szCs w:val="20"/>
              </w:rPr>
              <w:t>合同金额</w:t>
            </w:r>
          </w:p>
        </w:tc>
        <w:tc>
          <w:tcPr>
            <w:tcW w:w="1369" w:type="dxa"/>
          </w:tcPr>
          <w:p w14:paraId="60DF3AA2">
            <w:pPr>
              <w:spacing w:before="200" w:line="230" w:lineRule="auto"/>
              <w:ind w:left="275"/>
              <w:rPr>
                <w:rFonts w:ascii="黑体" w:hAnsi="黑体" w:eastAsia="黑体" w:cs="黑体"/>
                <w:color w:val="auto"/>
                <w:sz w:val="20"/>
                <w:szCs w:val="20"/>
              </w:rPr>
            </w:pPr>
            <w:r>
              <w:rPr>
                <w:rFonts w:ascii="黑体" w:hAnsi="黑体" w:eastAsia="黑体" w:cs="黑体"/>
                <w:color w:val="auto"/>
                <w:spacing w:val="6"/>
                <w:sz w:val="20"/>
                <w:szCs w:val="20"/>
              </w:rPr>
              <w:t>运行状况</w:t>
            </w:r>
          </w:p>
        </w:tc>
        <w:tc>
          <w:tcPr>
            <w:tcW w:w="2555" w:type="dxa"/>
          </w:tcPr>
          <w:p w14:paraId="2535FB08">
            <w:pPr>
              <w:spacing w:before="200" w:line="230" w:lineRule="auto"/>
              <w:ind w:left="232"/>
              <w:rPr>
                <w:rFonts w:ascii="黑体" w:hAnsi="黑体" w:eastAsia="黑体" w:cs="黑体"/>
                <w:color w:val="auto"/>
                <w:sz w:val="20"/>
                <w:szCs w:val="20"/>
                <w:lang w:eastAsia="zh-CN"/>
              </w:rPr>
            </w:pPr>
            <w:r>
              <w:rPr>
                <w:rFonts w:ascii="黑体" w:hAnsi="黑体" w:eastAsia="黑体" w:cs="黑体"/>
                <w:color w:val="auto"/>
                <w:spacing w:val="9"/>
                <w:sz w:val="20"/>
                <w:szCs w:val="20"/>
                <w:lang w:eastAsia="zh-CN"/>
              </w:rPr>
              <w:t>履约情况、采购人评价</w:t>
            </w:r>
          </w:p>
        </w:tc>
      </w:tr>
      <w:tr w14:paraId="312872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889" w:type="dxa"/>
          </w:tcPr>
          <w:p w14:paraId="4D1C5374">
            <w:pPr>
              <w:spacing w:before="149" w:line="195" w:lineRule="auto"/>
              <w:ind w:left="407"/>
              <w:rPr>
                <w:rFonts w:ascii="Tahoma" w:hAnsi="Tahoma" w:eastAsia="Tahoma" w:cs="Tahoma"/>
                <w:color w:val="auto"/>
                <w:sz w:val="20"/>
                <w:szCs w:val="20"/>
              </w:rPr>
            </w:pPr>
            <w:r>
              <w:rPr>
                <w:rFonts w:ascii="Tahoma" w:hAnsi="Tahoma" w:eastAsia="Tahoma" w:cs="Tahoma"/>
                <w:color w:val="auto"/>
                <w:sz w:val="20"/>
                <w:szCs w:val="20"/>
              </w:rPr>
              <w:t>1</w:t>
            </w:r>
          </w:p>
        </w:tc>
        <w:tc>
          <w:tcPr>
            <w:tcW w:w="2091" w:type="dxa"/>
          </w:tcPr>
          <w:p w14:paraId="6D728600">
            <w:pPr>
              <w:rPr>
                <w:color w:val="auto"/>
              </w:rPr>
            </w:pPr>
          </w:p>
        </w:tc>
        <w:tc>
          <w:tcPr>
            <w:tcW w:w="1842" w:type="dxa"/>
          </w:tcPr>
          <w:p w14:paraId="22C1F8A8">
            <w:pPr>
              <w:rPr>
                <w:color w:val="auto"/>
              </w:rPr>
            </w:pPr>
          </w:p>
        </w:tc>
        <w:tc>
          <w:tcPr>
            <w:tcW w:w="1464" w:type="dxa"/>
          </w:tcPr>
          <w:p w14:paraId="4011C1FA">
            <w:pPr>
              <w:rPr>
                <w:color w:val="auto"/>
              </w:rPr>
            </w:pPr>
          </w:p>
        </w:tc>
        <w:tc>
          <w:tcPr>
            <w:tcW w:w="1369" w:type="dxa"/>
          </w:tcPr>
          <w:p w14:paraId="7A5BA651">
            <w:pPr>
              <w:rPr>
                <w:color w:val="auto"/>
              </w:rPr>
            </w:pPr>
          </w:p>
        </w:tc>
        <w:tc>
          <w:tcPr>
            <w:tcW w:w="2555" w:type="dxa"/>
          </w:tcPr>
          <w:p w14:paraId="6771FC99">
            <w:pPr>
              <w:rPr>
                <w:color w:val="auto"/>
              </w:rPr>
            </w:pPr>
          </w:p>
        </w:tc>
      </w:tr>
      <w:tr w14:paraId="23599E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889" w:type="dxa"/>
          </w:tcPr>
          <w:p w14:paraId="27278157">
            <w:pPr>
              <w:spacing w:before="147" w:line="198" w:lineRule="auto"/>
              <w:ind w:left="396"/>
              <w:rPr>
                <w:rFonts w:ascii="Tahoma" w:hAnsi="Tahoma" w:eastAsia="Tahoma" w:cs="Tahoma"/>
                <w:color w:val="auto"/>
                <w:sz w:val="20"/>
                <w:szCs w:val="20"/>
              </w:rPr>
            </w:pPr>
            <w:r>
              <w:rPr>
                <w:rFonts w:ascii="Tahoma" w:hAnsi="Tahoma" w:eastAsia="Tahoma" w:cs="Tahoma"/>
                <w:color w:val="auto"/>
                <w:sz w:val="20"/>
                <w:szCs w:val="20"/>
              </w:rPr>
              <w:t>2</w:t>
            </w:r>
          </w:p>
        </w:tc>
        <w:tc>
          <w:tcPr>
            <w:tcW w:w="2091" w:type="dxa"/>
          </w:tcPr>
          <w:p w14:paraId="7177A123">
            <w:pPr>
              <w:rPr>
                <w:color w:val="auto"/>
              </w:rPr>
            </w:pPr>
          </w:p>
        </w:tc>
        <w:tc>
          <w:tcPr>
            <w:tcW w:w="1842" w:type="dxa"/>
          </w:tcPr>
          <w:p w14:paraId="6DDE6132">
            <w:pPr>
              <w:rPr>
                <w:color w:val="auto"/>
              </w:rPr>
            </w:pPr>
          </w:p>
        </w:tc>
        <w:tc>
          <w:tcPr>
            <w:tcW w:w="1464" w:type="dxa"/>
          </w:tcPr>
          <w:p w14:paraId="769A3A5F">
            <w:pPr>
              <w:rPr>
                <w:color w:val="auto"/>
              </w:rPr>
            </w:pPr>
          </w:p>
        </w:tc>
        <w:tc>
          <w:tcPr>
            <w:tcW w:w="1369" w:type="dxa"/>
          </w:tcPr>
          <w:p w14:paraId="6A3C47B2">
            <w:pPr>
              <w:rPr>
                <w:color w:val="auto"/>
              </w:rPr>
            </w:pPr>
          </w:p>
        </w:tc>
        <w:tc>
          <w:tcPr>
            <w:tcW w:w="2555" w:type="dxa"/>
          </w:tcPr>
          <w:p w14:paraId="77B35916">
            <w:pPr>
              <w:rPr>
                <w:color w:val="auto"/>
              </w:rPr>
            </w:pPr>
          </w:p>
        </w:tc>
      </w:tr>
      <w:tr w14:paraId="16C1CC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889" w:type="dxa"/>
          </w:tcPr>
          <w:p w14:paraId="5671B092">
            <w:pPr>
              <w:spacing w:before="148" w:line="197" w:lineRule="auto"/>
              <w:ind w:left="394"/>
              <w:rPr>
                <w:rFonts w:ascii="Tahoma" w:hAnsi="Tahoma" w:eastAsia="Tahoma" w:cs="Tahoma"/>
                <w:color w:val="auto"/>
                <w:sz w:val="20"/>
                <w:szCs w:val="20"/>
              </w:rPr>
            </w:pPr>
            <w:r>
              <w:rPr>
                <w:rFonts w:ascii="Tahoma" w:hAnsi="Tahoma" w:eastAsia="Tahoma" w:cs="Tahoma"/>
                <w:color w:val="auto"/>
                <w:sz w:val="20"/>
                <w:szCs w:val="20"/>
              </w:rPr>
              <w:t>3</w:t>
            </w:r>
          </w:p>
        </w:tc>
        <w:tc>
          <w:tcPr>
            <w:tcW w:w="2091" w:type="dxa"/>
          </w:tcPr>
          <w:p w14:paraId="7D8D9FD9">
            <w:pPr>
              <w:rPr>
                <w:color w:val="auto"/>
              </w:rPr>
            </w:pPr>
          </w:p>
        </w:tc>
        <w:tc>
          <w:tcPr>
            <w:tcW w:w="1842" w:type="dxa"/>
          </w:tcPr>
          <w:p w14:paraId="64F96909">
            <w:pPr>
              <w:rPr>
                <w:color w:val="auto"/>
              </w:rPr>
            </w:pPr>
          </w:p>
        </w:tc>
        <w:tc>
          <w:tcPr>
            <w:tcW w:w="1464" w:type="dxa"/>
          </w:tcPr>
          <w:p w14:paraId="7DA1D55D">
            <w:pPr>
              <w:rPr>
                <w:color w:val="auto"/>
              </w:rPr>
            </w:pPr>
          </w:p>
        </w:tc>
        <w:tc>
          <w:tcPr>
            <w:tcW w:w="1369" w:type="dxa"/>
          </w:tcPr>
          <w:p w14:paraId="4323E4CD">
            <w:pPr>
              <w:rPr>
                <w:color w:val="auto"/>
              </w:rPr>
            </w:pPr>
          </w:p>
        </w:tc>
        <w:tc>
          <w:tcPr>
            <w:tcW w:w="2555" w:type="dxa"/>
          </w:tcPr>
          <w:p w14:paraId="2E37B020">
            <w:pPr>
              <w:rPr>
                <w:color w:val="auto"/>
              </w:rPr>
            </w:pPr>
          </w:p>
        </w:tc>
      </w:tr>
      <w:tr w14:paraId="26F06A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889" w:type="dxa"/>
          </w:tcPr>
          <w:p w14:paraId="1903E790">
            <w:pPr>
              <w:spacing w:before="153" w:line="194" w:lineRule="auto"/>
              <w:ind w:left="389"/>
              <w:rPr>
                <w:rFonts w:ascii="Tahoma" w:hAnsi="Tahoma" w:eastAsia="Tahoma" w:cs="Tahoma"/>
                <w:color w:val="auto"/>
                <w:sz w:val="20"/>
                <w:szCs w:val="20"/>
              </w:rPr>
            </w:pPr>
            <w:r>
              <w:rPr>
                <w:rFonts w:ascii="Tahoma" w:hAnsi="Tahoma" w:eastAsia="Tahoma" w:cs="Tahoma"/>
                <w:color w:val="auto"/>
                <w:sz w:val="20"/>
                <w:szCs w:val="20"/>
              </w:rPr>
              <w:t>4</w:t>
            </w:r>
          </w:p>
        </w:tc>
        <w:tc>
          <w:tcPr>
            <w:tcW w:w="2091" w:type="dxa"/>
          </w:tcPr>
          <w:p w14:paraId="43F74FD8">
            <w:pPr>
              <w:rPr>
                <w:color w:val="auto"/>
              </w:rPr>
            </w:pPr>
          </w:p>
        </w:tc>
        <w:tc>
          <w:tcPr>
            <w:tcW w:w="1842" w:type="dxa"/>
          </w:tcPr>
          <w:p w14:paraId="6331974C">
            <w:pPr>
              <w:rPr>
                <w:color w:val="auto"/>
              </w:rPr>
            </w:pPr>
          </w:p>
        </w:tc>
        <w:tc>
          <w:tcPr>
            <w:tcW w:w="1464" w:type="dxa"/>
          </w:tcPr>
          <w:p w14:paraId="706BCC35">
            <w:pPr>
              <w:rPr>
                <w:color w:val="auto"/>
              </w:rPr>
            </w:pPr>
          </w:p>
        </w:tc>
        <w:tc>
          <w:tcPr>
            <w:tcW w:w="1369" w:type="dxa"/>
          </w:tcPr>
          <w:p w14:paraId="07933B65">
            <w:pPr>
              <w:rPr>
                <w:color w:val="auto"/>
              </w:rPr>
            </w:pPr>
          </w:p>
        </w:tc>
        <w:tc>
          <w:tcPr>
            <w:tcW w:w="2555" w:type="dxa"/>
          </w:tcPr>
          <w:p w14:paraId="5BCEB333">
            <w:pPr>
              <w:rPr>
                <w:color w:val="auto"/>
              </w:rPr>
            </w:pPr>
          </w:p>
        </w:tc>
      </w:tr>
      <w:tr w14:paraId="1B72EE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889" w:type="dxa"/>
          </w:tcPr>
          <w:p w14:paraId="21AFE8DB">
            <w:pPr>
              <w:spacing w:before="150" w:line="194" w:lineRule="auto"/>
              <w:ind w:left="397"/>
              <w:rPr>
                <w:rFonts w:ascii="Tahoma" w:hAnsi="Tahoma" w:eastAsia="Tahoma" w:cs="Tahoma"/>
                <w:color w:val="auto"/>
                <w:sz w:val="20"/>
                <w:szCs w:val="20"/>
              </w:rPr>
            </w:pPr>
            <w:r>
              <w:rPr>
                <w:rFonts w:ascii="Tahoma" w:hAnsi="Tahoma" w:eastAsia="Tahoma" w:cs="Tahoma"/>
                <w:color w:val="auto"/>
                <w:sz w:val="20"/>
                <w:szCs w:val="20"/>
              </w:rPr>
              <w:t>5</w:t>
            </w:r>
          </w:p>
        </w:tc>
        <w:tc>
          <w:tcPr>
            <w:tcW w:w="2091" w:type="dxa"/>
          </w:tcPr>
          <w:p w14:paraId="343B357B">
            <w:pPr>
              <w:rPr>
                <w:color w:val="auto"/>
              </w:rPr>
            </w:pPr>
          </w:p>
        </w:tc>
        <w:tc>
          <w:tcPr>
            <w:tcW w:w="1842" w:type="dxa"/>
          </w:tcPr>
          <w:p w14:paraId="5627AB5D">
            <w:pPr>
              <w:rPr>
                <w:color w:val="auto"/>
              </w:rPr>
            </w:pPr>
          </w:p>
        </w:tc>
        <w:tc>
          <w:tcPr>
            <w:tcW w:w="1464" w:type="dxa"/>
          </w:tcPr>
          <w:p w14:paraId="5C0D5991">
            <w:pPr>
              <w:rPr>
                <w:color w:val="auto"/>
              </w:rPr>
            </w:pPr>
          </w:p>
        </w:tc>
        <w:tc>
          <w:tcPr>
            <w:tcW w:w="1369" w:type="dxa"/>
          </w:tcPr>
          <w:p w14:paraId="3A8129A6">
            <w:pPr>
              <w:rPr>
                <w:color w:val="auto"/>
              </w:rPr>
            </w:pPr>
          </w:p>
        </w:tc>
        <w:tc>
          <w:tcPr>
            <w:tcW w:w="2555" w:type="dxa"/>
          </w:tcPr>
          <w:p w14:paraId="0E4B8E90">
            <w:pPr>
              <w:rPr>
                <w:color w:val="auto"/>
              </w:rPr>
            </w:pPr>
          </w:p>
        </w:tc>
      </w:tr>
      <w:tr w14:paraId="48293D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889" w:type="dxa"/>
          </w:tcPr>
          <w:p w14:paraId="154B8C85">
            <w:pPr>
              <w:spacing w:before="149" w:line="197" w:lineRule="auto"/>
              <w:ind w:left="393"/>
              <w:rPr>
                <w:rFonts w:ascii="Tahoma" w:hAnsi="Tahoma" w:eastAsia="Tahoma" w:cs="Tahoma"/>
                <w:color w:val="auto"/>
                <w:sz w:val="20"/>
                <w:szCs w:val="20"/>
              </w:rPr>
            </w:pPr>
            <w:r>
              <w:rPr>
                <w:rFonts w:ascii="Tahoma" w:hAnsi="Tahoma" w:eastAsia="Tahoma" w:cs="Tahoma"/>
                <w:color w:val="auto"/>
                <w:sz w:val="20"/>
                <w:szCs w:val="20"/>
              </w:rPr>
              <w:t>6</w:t>
            </w:r>
          </w:p>
        </w:tc>
        <w:tc>
          <w:tcPr>
            <w:tcW w:w="2091" w:type="dxa"/>
          </w:tcPr>
          <w:p w14:paraId="06AF4D5C">
            <w:pPr>
              <w:rPr>
                <w:color w:val="auto"/>
              </w:rPr>
            </w:pPr>
          </w:p>
        </w:tc>
        <w:tc>
          <w:tcPr>
            <w:tcW w:w="1842" w:type="dxa"/>
          </w:tcPr>
          <w:p w14:paraId="5135999A">
            <w:pPr>
              <w:rPr>
                <w:color w:val="auto"/>
              </w:rPr>
            </w:pPr>
          </w:p>
        </w:tc>
        <w:tc>
          <w:tcPr>
            <w:tcW w:w="1464" w:type="dxa"/>
          </w:tcPr>
          <w:p w14:paraId="6B458A72">
            <w:pPr>
              <w:rPr>
                <w:color w:val="auto"/>
              </w:rPr>
            </w:pPr>
          </w:p>
        </w:tc>
        <w:tc>
          <w:tcPr>
            <w:tcW w:w="1369" w:type="dxa"/>
          </w:tcPr>
          <w:p w14:paraId="0DAA4B76">
            <w:pPr>
              <w:rPr>
                <w:color w:val="auto"/>
              </w:rPr>
            </w:pPr>
          </w:p>
        </w:tc>
        <w:tc>
          <w:tcPr>
            <w:tcW w:w="2555" w:type="dxa"/>
          </w:tcPr>
          <w:p w14:paraId="22D5FB9B">
            <w:pPr>
              <w:rPr>
                <w:color w:val="auto"/>
              </w:rPr>
            </w:pPr>
          </w:p>
        </w:tc>
      </w:tr>
      <w:tr w14:paraId="12375B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889" w:type="dxa"/>
          </w:tcPr>
          <w:p w14:paraId="3E35A9B7">
            <w:pPr>
              <w:spacing w:before="152" w:line="194" w:lineRule="auto"/>
              <w:ind w:left="395"/>
              <w:rPr>
                <w:rFonts w:ascii="Tahoma" w:hAnsi="Tahoma" w:eastAsia="Tahoma" w:cs="Tahoma"/>
                <w:color w:val="auto"/>
                <w:sz w:val="20"/>
                <w:szCs w:val="20"/>
              </w:rPr>
            </w:pPr>
            <w:r>
              <w:rPr>
                <w:rFonts w:ascii="Tahoma" w:hAnsi="Tahoma" w:eastAsia="Tahoma" w:cs="Tahoma"/>
                <w:color w:val="auto"/>
                <w:sz w:val="20"/>
                <w:szCs w:val="20"/>
              </w:rPr>
              <w:t>7</w:t>
            </w:r>
          </w:p>
        </w:tc>
        <w:tc>
          <w:tcPr>
            <w:tcW w:w="2091" w:type="dxa"/>
          </w:tcPr>
          <w:p w14:paraId="638F5956">
            <w:pPr>
              <w:rPr>
                <w:color w:val="auto"/>
              </w:rPr>
            </w:pPr>
          </w:p>
        </w:tc>
        <w:tc>
          <w:tcPr>
            <w:tcW w:w="1842" w:type="dxa"/>
          </w:tcPr>
          <w:p w14:paraId="34B3E477">
            <w:pPr>
              <w:rPr>
                <w:color w:val="auto"/>
              </w:rPr>
            </w:pPr>
          </w:p>
        </w:tc>
        <w:tc>
          <w:tcPr>
            <w:tcW w:w="1464" w:type="dxa"/>
          </w:tcPr>
          <w:p w14:paraId="47D3BF41">
            <w:pPr>
              <w:rPr>
                <w:color w:val="auto"/>
              </w:rPr>
            </w:pPr>
          </w:p>
        </w:tc>
        <w:tc>
          <w:tcPr>
            <w:tcW w:w="1369" w:type="dxa"/>
          </w:tcPr>
          <w:p w14:paraId="3A1F63DC">
            <w:pPr>
              <w:rPr>
                <w:color w:val="auto"/>
              </w:rPr>
            </w:pPr>
          </w:p>
        </w:tc>
        <w:tc>
          <w:tcPr>
            <w:tcW w:w="2555" w:type="dxa"/>
          </w:tcPr>
          <w:p w14:paraId="71983CFE">
            <w:pPr>
              <w:rPr>
                <w:color w:val="auto"/>
              </w:rPr>
            </w:pPr>
          </w:p>
        </w:tc>
      </w:tr>
      <w:tr w14:paraId="35DD9A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889" w:type="dxa"/>
          </w:tcPr>
          <w:p w14:paraId="7E661047">
            <w:pPr>
              <w:spacing w:before="149" w:line="198" w:lineRule="auto"/>
              <w:ind w:left="392"/>
              <w:rPr>
                <w:rFonts w:ascii="Tahoma" w:hAnsi="Tahoma" w:eastAsia="Tahoma" w:cs="Tahoma"/>
                <w:color w:val="auto"/>
                <w:sz w:val="20"/>
                <w:szCs w:val="20"/>
              </w:rPr>
            </w:pPr>
            <w:r>
              <w:rPr>
                <w:rFonts w:ascii="Tahoma" w:hAnsi="Tahoma" w:eastAsia="Tahoma" w:cs="Tahoma"/>
                <w:color w:val="auto"/>
                <w:sz w:val="20"/>
                <w:szCs w:val="20"/>
              </w:rPr>
              <w:t>8</w:t>
            </w:r>
          </w:p>
        </w:tc>
        <w:tc>
          <w:tcPr>
            <w:tcW w:w="2091" w:type="dxa"/>
          </w:tcPr>
          <w:p w14:paraId="59791D63">
            <w:pPr>
              <w:rPr>
                <w:color w:val="auto"/>
              </w:rPr>
            </w:pPr>
          </w:p>
        </w:tc>
        <w:tc>
          <w:tcPr>
            <w:tcW w:w="1842" w:type="dxa"/>
          </w:tcPr>
          <w:p w14:paraId="7E00A4A9">
            <w:pPr>
              <w:rPr>
                <w:color w:val="auto"/>
              </w:rPr>
            </w:pPr>
          </w:p>
        </w:tc>
        <w:tc>
          <w:tcPr>
            <w:tcW w:w="1464" w:type="dxa"/>
          </w:tcPr>
          <w:p w14:paraId="784FBF10">
            <w:pPr>
              <w:rPr>
                <w:color w:val="auto"/>
              </w:rPr>
            </w:pPr>
          </w:p>
        </w:tc>
        <w:tc>
          <w:tcPr>
            <w:tcW w:w="1369" w:type="dxa"/>
          </w:tcPr>
          <w:p w14:paraId="53ACD6D7">
            <w:pPr>
              <w:rPr>
                <w:color w:val="auto"/>
              </w:rPr>
            </w:pPr>
          </w:p>
        </w:tc>
        <w:tc>
          <w:tcPr>
            <w:tcW w:w="2555" w:type="dxa"/>
          </w:tcPr>
          <w:p w14:paraId="7FF5E63C">
            <w:pPr>
              <w:rPr>
                <w:color w:val="auto"/>
              </w:rPr>
            </w:pPr>
          </w:p>
        </w:tc>
      </w:tr>
    </w:tbl>
    <w:p w14:paraId="6D0428E7">
      <w:pPr>
        <w:pStyle w:val="8"/>
        <w:spacing w:line="399" w:lineRule="auto"/>
        <w:rPr>
          <w:color w:val="auto"/>
        </w:rPr>
      </w:pPr>
    </w:p>
    <w:p w14:paraId="3361090F">
      <w:pPr>
        <w:spacing w:before="66" w:line="229" w:lineRule="auto"/>
        <w:ind w:left="15"/>
        <w:rPr>
          <w:rFonts w:ascii="黑体" w:hAnsi="黑体" w:eastAsia="黑体" w:cs="黑体"/>
          <w:color w:val="auto"/>
          <w:sz w:val="20"/>
          <w:szCs w:val="20"/>
        </w:rPr>
      </w:pPr>
      <w:r>
        <w:rPr>
          <w:rFonts w:ascii="黑体" w:hAnsi="黑体" w:eastAsia="黑体" w:cs="黑体"/>
          <w:color w:val="auto"/>
          <w:spacing w:val="2"/>
          <w:sz w:val="20"/>
          <w:szCs w:val="20"/>
          <w14:textOutline w14:w="3797" w14:cap="sq" w14:cmpd="sng" w14:algn="ctr">
            <w14:solidFill>
              <w14:srgbClr w14:val="000000"/>
            </w14:solidFill>
            <w14:prstDash w14:val="solid"/>
            <w14:bevel/>
          </w14:textOutline>
        </w:rPr>
        <w:t>说明：</w:t>
      </w:r>
    </w:p>
    <w:p w14:paraId="2483969E">
      <w:pPr>
        <w:spacing w:before="112" w:line="281" w:lineRule="auto"/>
        <w:ind w:left="12" w:right="242" w:firstLine="322"/>
        <w:rPr>
          <w:rFonts w:ascii="黑体" w:hAnsi="黑体" w:eastAsia="黑体" w:cs="黑体"/>
          <w:color w:val="auto"/>
          <w:sz w:val="20"/>
          <w:szCs w:val="20"/>
          <w:lang w:eastAsia="zh-CN"/>
        </w:rPr>
      </w:pPr>
      <w:r>
        <w:rPr>
          <w:rFonts w:ascii="Tahoma" w:hAnsi="Tahoma" w:eastAsia="Tahoma" w:cs="Tahoma"/>
          <w:b/>
          <w:bCs/>
          <w:color w:val="auto"/>
          <w:spacing w:val="10"/>
          <w:sz w:val="20"/>
          <w:szCs w:val="20"/>
          <w:lang w:eastAsia="zh-CN"/>
        </w:rPr>
        <w:t>1</w:t>
      </w:r>
      <w:r>
        <w:rPr>
          <w:rFonts w:ascii="Tahoma" w:hAnsi="Tahoma" w:eastAsia="Tahoma" w:cs="Tahoma"/>
          <w:b/>
          <w:bCs/>
          <w:color w:val="auto"/>
          <w:spacing w:val="-10"/>
          <w:sz w:val="20"/>
          <w:szCs w:val="20"/>
          <w:lang w:eastAsia="zh-CN"/>
        </w:rPr>
        <w:t xml:space="preserve"> </w:t>
      </w:r>
      <w:r>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、所提供的业绩应提供其采购人的联系方式及业绩证明材料，其业绩中的</w:t>
      </w:r>
      <w:r>
        <w:rPr>
          <w:rFonts w:hint="eastAsia"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项目内容</w:t>
      </w:r>
      <w:r>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与本项目的所需</w:t>
      </w:r>
      <w:r>
        <w:rPr>
          <w:rFonts w:ascii="黑体" w:hAnsi="黑体" w:eastAsia="黑体" w:cs="黑体"/>
          <w:color w:val="auto"/>
          <w:sz w:val="20"/>
          <w:szCs w:val="20"/>
          <w:lang w:eastAsia="zh-CN"/>
        </w:rPr>
        <w:t xml:space="preserve"> </w:t>
      </w:r>
      <w:r>
        <w:rPr>
          <w:rFonts w:hint="eastAsia"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内容</w:t>
      </w:r>
      <w:r>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具有相关性（否则其</w:t>
      </w:r>
      <w:r>
        <w:rPr>
          <w:rFonts w:ascii="黑体" w:hAnsi="黑体" w:eastAsia="黑体" w:cs="黑体"/>
          <w:color w:val="auto"/>
          <w:spacing w:val="9"/>
          <w:sz w:val="20"/>
          <w:szCs w:val="20"/>
          <w:lang w:eastAsia="zh-CN"/>
          <w14:textOutline w14:w="3797" w14:cap="sq" w14:cmpd="sng" w14:algn="ctr">
            <w14:solidFill>
              <w14:srgbClr w14:val="000000"/>
            </w14:solidFill>
            <w14:prstDash w14:val="solid"/>
            <w14:bevel/>
          </w14:textOutline>
        </w:rPr>
        <w:t>业绩不予认可）。</w:t>
      </w:r>
    </w:p>
    <w:p w14:paraId="6691EEF7">
      <w:pPr>
        <w:spacing w:before="110" w:line="277" w:lineRule="auto"/>
        <w:ind w:left="326" w:right="1577" w:firstLine="5"/>
        <w:rPr>
          <w:rFonts w:ascii="黑体" w:hAnsi="黑体" w:eastAsia="黑体" w:cs="黑体"/>
          <w:color w:val="auto"/>
          <w:sz w:val="20"/>
          <w:szCs w:val="20"/>
          <w:lang w:eastAsia="zh-CN"/>
        </w:rPr>
      </w:pPr>
      <w:r>
        <w:rPr>
          <w:rFonts w:ascii="Tahoma" w:hAnsi="Tahoma" w:eastAsia="Tahoma" w:cs="Tahoma"/>
          <w:b/>
          <w:bCs/>
          <w:color w:val="auto"/>
          <w:spacing w:val="9"/>
          <w:sz w:val="20"/>
          <w:szCs w:val="20"/>
          <w:lang w:eastAsia="zh-CN"/>
        </w:rPr>
        <w:t>2</w:t>
      </w:r>
      <w:r>
        <w:rPr>
          <w:rFonts w:ascii="Tahoma" w:hAnsi="Tahoma" w:eastAsia="Tahoma" w:cs="Tahoma"/>
          <w:b/>
          <w:bCs/>
          <w:color w:val="auto"/>
          <w:spacing w:val="-27"/>
          <w:sz w:val="20"/>
          <w:szCs w:val="20"/>
          <w:lang w:eastAsia="zh-CN"/>
        </w:rPr>
        <w:t xml:space="preserve"> </w:t>
      </w:r>
      <w:r>
        <w:rPr>
          <w:rFonts w:ascii="黑体" w:hAnsi="黑体" w:eastAsia="黑体" w:cs="黑体"/>
          <w:color w:val="auto"/>
          <w:spacing w:val="9"/>
          <w:sz w:val="20"/>
          <w:szCs w:val="20"/>
          <w:lang w:eastAsia="zh-CN"/>
          <w14:textOutline w14:w="3797" w14:cap="sq" w14:cmpd="sng" w14:algn="ctr">
            <w14:solidFill>
              <w14:srgbClr w14:val="000000"/>
            </w14:solidFill>
            <w14:prstDash w14:val="solid"/>
            <w14:bevel/>
          </w14:textOutline>
        </w:rPr>
        <w:t>、业绩证明材料包括：成交通知书、合同、验收证书等相关</w:t>
      </w:r>
      <w:r>
        <w:rPr>
          <w:rFonts w:ascii="黑体" w:hAnsi="黑体" w:eastAsia="黑体" w:cs="黑体"/>
          <w:color w:val="auto"/>
          <w:spacing w:val="8"/>
          <w:sz w:val="20"/>
          <w:szCs w:val="20"/>
          <w:lang w:eastAsia="zh-CN"/>
          <w14:textOutline w14:w="3797" w14:cap="sq" w14:cmpd="sng" w14:algn="ctr">
            <w14:solidFill>
              <w14:srgbClr w14:val="000000"/>
            </w14:solidFill>
            <w14:prstDash w14:val="solid"/>
            <w14:bevel/>
          </w14:textOutline>
        </w:rPr>
        <w:t>的能足够证明其业绩的材料。</w:t>
      </w:r>
      <w:r>
        <w:rPr>
          <w:rFonts w:ascii="黑体" w:hAnsi="黑体" w:eastAsia="黑体" w:cs="黑体"/>
          <w:color w:val="auto"/>
          <w:sz w:val="20"/>
          <w:szCs w:val="20"/>
          <w:lang w:eastAsia="zh-CN"/>
        </w:rPr>
        <w:t xml:space="preserve"> </w:t>
      </w:r>
    </w:p>
    <w:p w14:paraId="28FD8FE1">
      <w:pPr>
        <w:spacing w:line="277" w:lineRule="auto"/>
        <w:rPr>
          <w:rFonts w:ascii="黑体" w:hAnsi="黑体" w:eastAsia="黑体" w:cs="黑体"/>
          <w:color w:val="auto"/>
          <w:sz w:val="20"/>
          <w:szCs w:val="20"/>
          <w:lang w:eastAsia="zh-CN"/>
        </w:rPr>
        <w:sectPr>
          <w:headerReference r:id="rId54" w:type="default"/>
          <w:footerReference r:id="rId55"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7522BF7E">
      <w:pPr>
        <w:spacing w:before="116" w:line="226" w:lineRule="auto"/>
        <w:ind w:left="2749"/>
        <w:rPr>
          <w:rFonts w:ascii="黑体" w:hAnsi="黑体" w:eastAsia="黑体" w:cs="黑体"/>
          <w:color w:val="auto"/>
          <w:sz w:val="31"/>
          <w:szCs w:val="31"/>
          <w:lang w:eastAsia="zh-CN"/>
        </w:rPr>
      </w:pPr>
      <w:r>
        <w:rPr>
          <w:rFonts w:ascii="黑体" w:hAnsi="黑体" w:eastAsia="黑体" w:cs="黑体"/>
          <w:color w:val="auto"/>
          <w:spacing w:val="10"/>
          <w:sz w:val="31"/>
          <w:szCs w:val="31"/>
          <w:lang w:eastAsia="zh-CN"/>
          <w14:textOutline w14:w="5791" w14:cap="sq" w14:cmpd="sng" w14:algn="ctr">
            <w14:solidFill>
              <w14:srgbClr w14:val="000000"/>
            </w14:solidFill>
            <w14:prstDash w14:val="solid"/>
            <w14:bevel/>
          </w14:textOutline>
        </w:rPr>
        <w:t>第二部分、资格类投标文件目录</w:t>
      </w:r>
    </w:p>
    <w:p w14:paraId="798E6A19">
      <w:pPr>
        <w:pStyle w:val="8"/>
        <w:spacing w:line="262" w:lineRule="auto"/>
        <w:rPr>
          <w:color w:val="auto"/>
          <w:lang w:eastAsia="zh-CN"/>
        </w:rPr>
      </w:pPr>
    </w:p>
    <w:p w14:paraId="27338CE0">
      <w:pPr>
        <w:pStyle w:val="8"/>
        <w:spacing w:line="262" w:lineRule="auto"/>
        <w:rPr>
          <w:color w:val="auto"/>
          <w:lang w:eastAsia="zh-CN"/>
        </w:rPr>
      </w:pPr>
    </w:p>
    <w:p w14:paraId="3A8905A5">
      <w:pPr>
        <w:spacing w:before="65" w:line="439" w:lineRule="exact"/>
        <w:ind w:left="17"/>
        <w:rPr>
          <w:rFonts w:ascii="宋体" w:hAnsi="宋体" w:eastAsia="宋体" w:cs="宋体"/>
          <w:color w:val="auto"/>
          <w:sz w:val="20"/>
          <w:szCs w:val="20"/>
          <w:lang w:eastAsia="zh-CN"/>
        </w:rPr>
      </w:pPr>
      <w:r>
        <w:rPr>
          <w:rFonts w:ascii="宋体" w:hAnsi="宋体" w:eastAsia="宋体" w:cs="宋体"/>
          <w:color w:val="auto"/>
          <w:spacing w:val="8"/>
          <w:position w:val="17"/>
          <w:sz w:val="20"/>
          <w:szCs w:val="20"/>
          <w:lang w:eastAsia="zh-CN"/>
        </w:rPr>
        <w:t>（一）关于资格的声明函</w:t>
      </w:r>
    </w:p>
    <w:p w14:paraId="1F8CABC7">
      <w:pPr>
        <w:spacing w:line="226" w:lineRule="auto"/>
        <w:ind w:left="1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（二）</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的资格声明</w:t>
      </w:r>
    </w:p>
    <w:p w14:paraId="562898AD">
      <w:pPr>
        <w:spacing w:before="196" w:line="439" w:lineRule="exact"/>
        <w:ind w:left="17"/>
        <w:rPr>
          <w:rFonts w:ascii="宋体" w:hAnsi="宋体" w:eastAsia="宋体" w:cs="宋体"/>
          <w:color w:val="auto"/>
          <w:sz w:val="20"/>
          <w:szCs w:val="20"/>
          <w:lang w:eastAsia="zh-CN"/>
        </w:rPr>
      </w:pPr>
      <w:r>
        <w:rPr>
          <w:rFonts w:ascii="宋体" w:hAnsi="宋体" w:eastAsia="宋体" w:cs="宋体"/>
          <w:color w:val="auto"/>
          <w:spacing w:val="9"/>
          <w:position w:val="18"/>
          <w:sz w:val="20"/>
          <w:szCs w:val="20"/>
          <w:lang w:eastAsia="zh-CN"/>
        </w:rPr>
        <w:t>（三）</w:t>
      </w:r>
      <w:r>
        <w:rPr>
          <w:rFonts w:hint="eastAsia" w:ascii="宋体" w:hAnsi="宋体" w:eastAsia="宋体" w:cs="宋体"/>
          <w:color w:val="auto"/>
          <w:spacing w:val="9"/>
          <w:position w:val="18"/>
          <w:sz w:val="20"/>
          <w:szCs w:val="20"/>
          <w:lang w:eastAsia="zh-CN"/>
        </w:rPr>
        <w:t>负责人</w:t>
      </w:r>
      <w:r>
        <w:rPr>
          <w:rFonts w:ascii="宋体" w:hAnsi="宋体" w:eastAsia="宋体" w:cs="宋体"/>
          <w:color w:val="auto"/>
          <w:spacing w:val="9"/>
          <w:position w:val="18"/>
          <w:sz w:val="20"/>
          <w:szCs w:val="20"/>
          <w:lang w:eastAsia="zh-CN"/>
        </w:rPr>
        <w:t>授权书原件及投标人代表身份证复印件。</w:t>
      </w:r>
    </w:p>
    <w:p w14:paraId="5DFC117B">
      <w:pPr>
        <w:spacing w:before="1" w:line="226" w:lineRule="auto"/>
        <w:ind w:left="17"/>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（四）联合体协议书（如有）</w:t>
      </w:r>
    </w:p>
    <w:p w14:paraId="10CD9725">
      <w:pPr>
        <w:spacing w:before="193" w:line="442" w:lineRule="exact"/>
        <w:ind w:left="17"/>
        <w:rPr>
          <w:rFonts w:ascii="宋体" w:hAnsi="宋体" w:eastAsia="宋体" w:cs="宋体"/>
          <w:color w:val="auto"/>
          <w:sz w:val="20"/>
          <w:szCs w:val="20"/>
          <w:lang w:eastAsia="zh-CN"/>
        </w:rPr>
      </w:pPr>
      <w:r>
        <w:rPr>
          <w:rFonts w:ascii="宋体" w:hAnsi="宋体" w:eastAsia="宋体" w:cs="宋体"/>
          <w:color w:val="auto"/>
          <w:spacing w:val="7"/>
          <w:position w:val="18"/>
          <w:sz w:val="20"/>
          <w:szCs w:val="20"/>
          <w:lang w:eastAsia="zh-CN"/>
        </w:rPr>
        <w:t>（五）资格证明文件</w:t>
      </w:r>
    </w:p>
    <w:p w14:paraId="4B6DE8A0">
      <w:pPr>
        <w:spacing w:line="228" w:lineRule="auto"/>
        <w:ind w:left="17"/>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（六）投标保证金</w:t>
      </w:r>
    </w:p>
    <w:p w14:paraId="28A38669">
      <w:pPr>
        <w:spacing w:before="192" w:line="228" w:lineRule="auto"/>
        <w:ind w:left="1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（七）节能、环保产品证明（如有）</w:t>
      </w:r>
    </w:p>
    <w:p w14:paraId="4362A743">
      <w:pPr>
        <w:spacing w:before="259" w:line="228" w:lineRule="auto"/>
        <w:ind w:left="17"/>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（八）声明函</w:t>
      </w:r>
    </w:p>
    <w:p w14:paraId="4494F563">
      <w:pPr>
        <w:spacing w:before="166" w:line="227" w:lineRule="auto"/>
        <w:ind w:left="17"/>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（九）投标</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认为应提交的其他相关资格证明文件或</w:t>
      </w:r>
      <w:r>
        <w:rPr>
          <w:rFonts w:ascii="宋体" w:hAnsi="宋体" w:eastAsia="宋体" w:cs="宋体"/>
          <w:color w:val="auto"/>
          <w:spacing w:val="8"/>
          <w:sz w:val="20"/>
          <w:szCs w:val="20"/>
          <w:lang w:eastAsia="zh-CN"/>
        </w:rPr>
        <w:t>资料。</w:t>
      </w:r>
    </w:p>
    <w:p w14:paraId="2014E2CD">
      <w:pPr>
        <w:spacing w:line="227" w:lineRule="auto"/>
        <w:rPr>
          <w:rFonts w:ascii="宋体" w:hAnsi="宋体" w:eastAsia="宋体" w:cs="宋体"/>
          <w:color w:val="auto"/>
          <w:sz w:val="20"/>
          <w:szCs w:val="20"/>
          <w:lang w:eastAsia="zh-CN"/>
        </w:rPr>
        <w:sectPr>
          <w:headerReference r:id="rId56" w:type="default"/>
          <w:footerReference r:id="rId57"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2617A76F">
      <w:pPr>
        <w:pStyle w:val="8"/>
        <w:spacing w:line="385" w:lineRule="auto"/>
        <w:rPr>
          <w:color w:val="auto"/>
          <w:lang w:eastAsia="zh-CN"/>
        </w:rPr>
      </w:pPr>
    </w:p>
    <w:p w14:paraId="14E792B5">
      <w:pPr>
        <w:spacing w:before="91" w:line="222" w:lineRule="auto"/>
        <w:ind w:left="3328"/>
        <w:rPr>
          <w:rFonts w:ascii="黑体" w:hAnsi="黑体" w:eastAsia="黑体" w:cs="黑体"/>
          <w:color w:val="auto"/>
          <w:sz w:val="28"/>
          <w:szCs w:val="28"/>
          <w:lang w:eastAsia="zh-CN"/>
        </w:rPr>
      </w:pPr>
      <w:r>
        <w:rPr>
          <w:rFonts w:ascii="黑体" w:hAnsi="黑体" w:eastAsia="黑体" w:cs="黑体"/>
          <w:color w:val="auto"/>
          <w:spacing w:val="-2"/>
          <w:sz w:val="28"/>
          <w:szCs w:val="28"/>
          <w:lang w:eastAsia="zh-CN"/>
          <w14:textOutline w14:w="5105" w14:cap="sq" w14:cmpd="sng" w14:algn="ctr">
            <w14:solidFill>
              <w14:srgbClr w14:val="000000"/>
            </w14:solidFill>
            <w14:prstDash w14:val="solid"/>
            <w14:bevel/>
          </w14:textOutline>
        </w:rPr>
        <w:t>（一）、关于资格的声明函</w:t>
      </w:r>
    </w:p>
    <w:p w14:paraId="5D6DA740">
      <w:pPr>
        <w:pStyle w:val="8"/>
        <w:spacing w:line="416" w:lineRule="auto"/>
        <w:rPr>
          <w:color w:val="auto"/>
          <w:lang w:eastAsia="zh-CN"/>
        </w:rPr>
      </w:pPr>
    </w:p>
    <w:p w14:paraId="5DE231E1">
      <w:pPr>
        <w:spacing w:before="65" w:line="227" w:lineRule="auto"/>
        <w:ind w:left="6"/>
        <w:rPr>
          <w:rFonts w:ascii="宋体" w:hAnsi="宋体" w:eastAsia="宋体" w:cs="宋体"/>
          <w:color w:val="auto"/>
          <w:sz w:val="20"/>
          <w:szCs w:val="20"/>
          <w:lang w:eastAsia="zh-CN"/>
        </w:rPr>
      </w:pPr>
      <w:r>
        <w:rPr>
          <w:rFonts w:ascii="宋体" w:hAnsi="宋体" w:eastAsia="宋体" w:cs="宋体"/>
          <w:color w:val="auto"/>
          <w:spacing w:val="5"/>
          <w:sz w:val="20"/>
          <w:szCs w:val="20"/>
          <w:lang w:eastAsia="zh-CN"/>
        </w:rPr>
        <w:t>致：</w:t>
      </w:r>
      <w:r>
        <w:rPr>
          <w:rFonts w:ascii="宋体" w:hAnsi="宋体" w:eastAsia="宋体" w:cs="宋体"/>
          <w:color w:val="auto"/>
          <w:spacing w:val="7"/>
          <w:sz w:val="20"/>
          <w:szCs w:val="20"/>
          <w:u w:val="single"/>
          <w:lang w:eastAsia="zh-CN"/>
        </w:rPr>
        <w:t xml:space="preserve">         </w:t>
      </w:r>
      <w:r>
        <w:rPr>
          <w:rFonts w:ascii="宋体" w:hAnsi="宋体" w:eastAsia="宋体" w:cs="宋体"/>
          <w:color w:val="auto"/>
          <w:spacing w:val="5"/>
          <w:sz w:val="20"/>
          <w:szCs w:val="20"/>
          <w:u w:val="single"/>
          <w:lang w:eastAsia="zh-CN"/>
        </w:rPr>
        <w:t xml:space="preserve">采购人名称         </w:t>
      </w:r>
      <w:r>
        <w:rPr>
          <w:rFonts w:ascii="宋体" w:hAnsi="宋体" w:eastAsia="宋体" w:cs="宋体"/>
          <w:color w:val="auto"/>
          <w:spacing w:val="5"/>
          <w:sz w:val="20"/>
          <w:szCs w:val="20"/>
          <w:lang w:eastAsia="zh-CN"/>
        </w:rPr>
        <w:t>：</w:t>
      </w:r>
    </w:p>
    <w:p w14:paraId="5C8F0099">
      <w:pPr>
        <w:pStyle w:val="8"/>
        <w:spacing w:line="263" w:lineRule="auto"/>
        <w:rPr>
          <w:color w:val="auto"/>
          <w:lang w:eastAsia="zh-CN"/>
        </w:rPr>
      </w:pPr>
    </w:p>
    <w:p w14:paraId="25AF286E">
      <w:pPr>
        <w:pStyle w:val="8"/>
        <w:spacing w:line="263" w:lineRule="auto"/>
        <w:rPr>
          <w:color w:val="auto"/>
          <w:lang w:eastAsia="zh-CN"/>
        </w:rPr>
      </w:pPr>
    </w:p>
    <w:p w14:paraId="762F7EB2">
      <w:pPr>
        <w:spacing w:before="65" w:line="443" w:lineRule="auto"/>
        <w:ind w:left="6" w:right="1" w:firstLine="423"/>
        <w:jc w:val="both"/>
        <w:rPr>
          <w:rFonts w:ascii="宋体" w:hAnsi="宋体" w:eastAsia="宋体" w:cs="宋体"/>
          <w:color w:val="auto"/>
          <w:sz w:val="20"/>
          <w:szCs w:val="20"/>
          <w:lang w:eastAsia="zh-CN"/>
        </w:rPr>
      </w:pPr>
      <w:r>
        <w:rPr>
          <w:rFonts w:ascii="宋体" w:hAnsi="宋体" w:eastAsia="宋体" w:cs="宋体"/>
          <w:color w:val="auto"/>
          <w:spacing w:val="7"/>
          <w:sz w:val="20"/>
          <w:szCs w:val="20"/>
          <w:lang w:eastAsia="zh-CN"/>
        </w:rPr>
        <w:t>关于贵方</w:t>
      </w:r>
      <w:r>
        <w:rPr>
          <w:rFonts w:ascii="宋体" w:hAnsi="宋体" w:eastAsia="宋体" w:cs="宋体"/>
          <w:color w:val="auto"/>
          <w:spacing w:val="-85"/>
          <w:sz w:val="20"/>
          <w:szCs w:val="20"/>
          <w:lang w:eastAsia="zh-CN"/>
        </w:rPr>
        <w:t xml:space="preserve"> </w:t>
      </w:r>
      <w:r>
        <w:rPr>
          <w:rFonts w:ascii="宋体" w:hAnsi="宋体" w:eastAsia="宋体" w:cs="宋体"/>
          <w:color w:val="auto"/>
          <w:spacing w:val="6"/>
          <w:sz w:val="20"/>
          <w:szCs w:val="20"/>
          <w:u w:val="single"/>
          <w:lang w:eastAsia="zh-CN"/>
        </w:rPr>
        <w:t xml:space="preserve">           </w:t>
      </w:r>
      <w:r>
        <w:rPr>
          <w:rFonts w:ascii="宋体" w:hAnsi="宋体" w:eastAsia="宋体" w:cs="宋体"/>
          <w:color w:val="auto"/>
          <w:spacing w:val="-83"/>
          <w:sz w:val="20"/>
          <w:szCs w:val="20"/>
          <w:lang w:eastAsia="zh-CN"/>
        </w:rPr>
        <w:t xml:space="preserve"> </w:t>
      </w:r>
      <w:r>
        <w:rPr>
          <w:rFonts w:ascii="宋体" w:hAnsi="宋体" w:eastAsia="宋体" w:cs="宋体"/>
          <w:color w:val="auto"/>
          <w:spacing w:val="7"/>
          <w:sz w:val="20"/>
          <w:szCs w:val="20"/>
          <w:lang w:eastAsia="zh-CN"/>
        </w:rPr>
        <w:t>年</w:t>
      </w:r>
      <w:r>
        <w:rPr>
          <w:rFonts w:ascii="宋体" w:hAnsi="宋体" w:eastAsia="宋体" w:cs="宋体"/>
          <w:color w:val="auto"/>
          <w:spacing w:val="-99"/>
          <w:sz w:val="20"/>
          <w:szCs w:val="20"/>
          <w:lang w:eastAsia="zh-CN"/>
        </w:rPr>
        <w:t xml:space="preserve"> </w:t>
      </w:r>
      <w:r>
        <w:rPr>
          <w:rFonts w:ascii="宋体" w:hAnsi="宋体" w:eastAsia="宋体" w:cs="宋体"/>
          <w:color w:val="auto"/>
          <w:spacing w:val="7"/>
          <w:sz w:val="20"/>
          <w:szCs w:val="20"/>
          <w:u w:val="single"/>
          <w:lang w:eastAsia="zh-CN"/>
        </w:rPr>
        <w:t xml:space="preserve">    </w:t>
      </w:r>
      <w:r>
        <w:rPr>
          <w:rFonts w:ascii="宋体" w:hAnsi="宋体" w:eastAsia="宋体" w:cs="宋体"/>
          <w:color w:val="auto"/>
          <w:spacing w:val="-86"/>
          <w:sz w:val="20"/>
          <w:szCs w:val="20"/>
          <w:lang w:eastAsia="zh-CN"/>
        </w:rPr>
        <w:t xml:space="preserve"> </w:t>
      </w:r>
      <w:r>
        <w:rPr>
          <w:rFonts w:ascii="宋体" w:hAnsi="宋体" w:eastAsia="宋体" w:cs="宋体"/>
          <w:color w:val="auto"/>
          <w:spacing w:val="7"/>
          <w:sz w:val="20"/>
          <w:szCs w:val="20"/>
          <w:lang w:eastAsia="zh-CN"/>
        </w:rPr>
        <w:t>月</w:t>
      </w:r>
      <w:r>
        <w:rPr>
          <w:rFonts w:ascii="宋体" w:hAnsi="宋体" w:eastAsia="宋体" w:cs="宋体"/>
          <w:color w:val="auto"/>
          <w:spacing w:val="-98"/>
          <w:sz w:val="20"/>
          <w:szCs w:val="20"/>
          <w:lang w:eastAsia="zh-CN"/>
        </w:rPr>
        <w:t xml:space="preserve"> </w:t>
      </w:r>
      <w:r>
        <w:rPr>
          <w:rFonts w:ascii="宋体" w:hAnsi="宋体" w:eastAsia="宋体" w:cs="宋体"/>
          <w:color w:val="auto"/>
          <w:spacing w:val="6"/>
          <w:sz w:val="20"/>
          <w:szCs w:val="20"/>
          <w:u w:val="single"/>
          <w:lang w:eastAsia="zh-CN"/>
        </w:rPr>
        <w:t xml:space="preserve">    </w:t>
      </w:r>
      <w:r>
        <w:rPr>
          <w:rFonts w:ascii="宋体" w:hAnsi="宋体" w:eastAsia="宋体" w:cs="宋体"/>
          <w:color w:val="auto"/>
          <w:spacing w:val="-53"/>
          <w:sz w:val="20"/>
          <w:szCs w:val="20"/>
          <w:lang w:eastAsia="zh-CN"/>
        </w:rPr>
        <w:t xml:space="preserve"> </w:t>
      </w:r>
      <w:r>
        <w:rPr>
          <w:rFonts w:ascii="宋体" w:hAnsi="宋体" w:eastAsia="宋体" w:cs="宋体"/>
          <w:color w:val="auto"/>
          <w:spacing w:val="7"/>
          <w:sz w:val="20"/>
          <w:szCs w:val="20"/>
          <w:lang w:eastAsia="zh-CN"/>
        </w:rPr>
        <w:t>日</w:t>
      </w:r>
      <w:r>
        <w:rPr>
          <w:rFonts w:ascii="宋体" w:hAnsi="宋体" w:eastAsia="宋体" w:cs="宋体"/>
          <w:color w:val="auto"/>
          <w:spacing w:val="7"/>
          <w:sz w:val="20"/>
          <w:szCs w:val="20"/>
          <w:u w:val="single"/>
          <w:lang w:eastAsia="zh-CN"/>
        </w:rPr>
        <w:t xml:space="preserve">        （项目名称、编号）</w:t>
      </w:r>
      <w:r>
        <w:rPr>
          <w:rFonts w:ascii="宋体" w:hAnsi="宋体" w:eastAsia="宋体" w:cs="宋体"/>
          <w:color w:val="auto"/>
          <w:spacing w:val="8"/>
          <w:sz w:val="20"/>
          <w:szCs w:val="20"/>
          <w:u w:val="single"/>
          <w:lang w:eastAsia="zh-CN"/>
        </w:rPr>
        <w:t xml:space="preserve">       </w:t>
      </w:r>
      <w:r>
        <w:rPr>
          <w:rFonts w:ascii="宋体" w:hAnsi="宋体" w:eastAsia="宋体" w:cs="宋体"/>
          <w:color w:val="auto"/>
          <w:spacing w:val="-83"/>
          <w:sz w:val="20"/>
          <w:szCs w:val="20"/>
          <w:lang w:eastAsia="zh-CN"/>
        </w:rPr>
        <w:t xml:space="preserve"> </w:t>
      </w:r>
      <w:r>
        <w:rPr>
          <w:rFonts w:ascii="宋体" w:hAnsi="宋体" w:eastAsia="宋体" w:cs="宋体"/>
          <w:color w:val="auto"/>
          <w:spacing w:val="7"/>
          <w:sz w:val="20"/>
          <w:szCs w:val="20"/>
          <w:lang w:eastAsia="zh-CN"/>
        </w:rPr>
        <w:t>投标邀请，本签字人愿意参</w:t>
      </w:r>
      <w:r>
        <w:rPr>
          <w:rFonts w:ascii="宋体" w:hAnsi="宋体" w:eastAsia="宋体" w:cs="宋体"/>
          <w:color w:val="auto"/>
          <w:sz w:val="20"/>
          <w:szCs w:val="20"/>
          <w:lang w:eastAsia="zh-CN"/>
        </w:rPr>
        <w:t xml:space="preserve"> </w:t>
      </w:r>
      <w:r>
        <w:rPr>
          <w:rFonts w:ascii="宋体" w:hAnsi="宋体" w:eastAsia="宋体" w:cs="宋体"/>
          <w:color w:val="auto"/>
          <w:spacing w:val="8"/>
          <w:sz w:val="20"/>
          <w:szCs w:val="20"/>
          <w:lang w:eastAsia="zh-CN"/>
        </w:rPr>
        <w:t>加投标，提供招标文件</w:t>
      </w:r>
      <w:r>
        <w:rPr>
          <w:rFonts w:ascii="宋体" w:hAnsi="宋体" w:eastAsia="宋体" w:cs="宋体"/>
          <w:color w:val="auto"/>
          <w:spacing w:val="8"/>
          <w:sz w:val="20"/>
          <w:szCs w:val="20"/>
          <w:u w:val="single"/>
          <w:lang w:eastAsia="zh-CN"/>
        </w:rPr>
        <w:t xml:space="preserve">          （合同包）</w:t>
      </w:r>
      <w:r>
        <w:rPr>
          <w:rFonts w:ascii="宋体" w:hAnsi="宋体" w:eastAsia="宋体" w:cs="宋体"/>
          <w:color w:val="auto"/>
          <w:spacing w:val="7"/>
          <w:sz w:val="20"/>
          <w:szCs w:val="20"/>
          <w:u w:val="single"/>
          <w:lang w:eastAsia="zh-CN"/>
        </w:rPr>
        <w:t xml:space="preserve">           </w:t>
      </w:r>
      <w:r>
        <w:rPr>
          <w:rFonts w:ascii="宋体" w:hAnsi="宋体" w:eastAsia="宋体" w:cs="宋体"/>
          <w:color w:val="auto"/>
          <w:spacing w:val="-71"/>
          <w:sz w:val="20"/>
          <w:szCs w:val="20"/>
          <w:lang w:eastAsia="zh-CN"/>
        </w:rPr>
        <w:t xml:space="preserve"> </w:t>
      </w:r>
      <w:r>
        <w:rPr>
          <w:rFonts w:ascii="宋体" w:hAnsi="宋体" w:eastAsia="宋体" w:cs="宋体"/>
          <w:color w:val="auto"/>
          <w:spacing w:val="7"/>
          <w:sz w:val="20"/>
          <w:szCs w:val="20"/>
          <w:lang w:eastAsia="zh-CN"/>
        </w:rPr>
        <w:t>中规定的设备或产品，并证明提交的下列文件和说</w:t>
      </w:r>
    </w:p>
    <w:p w14:paraId="4A352F60">
      <w:pPr>
        <w:spacing w:line="227" w:lineRule="auto"/>
        <w:ind w:left="26"/>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明是准确的和真实的。</w:t>
      </w:r>
    </w:p>
    <w:p w14:paraId="238C8BEA">
      <w:pPr>
        <w:pStyle w:val="8"/>
        <w:spacing w:line="291" w:lineRule="auto"/>
        <w:rPr>
          <w:color w:val="auto"/>
          <w:lang w:eastAsia="zh-CN"/>
        </w:rPr>
      </w:pPr>
    </w:p>
    <w:p w14:paraId="3E485177">
      <w:pPr>
        <w:pStyle w:val="8"/>
        <w:spacing w:line="291" w:lineRule="auto"/>
        <w:rPr>
          <w:color w:val="auto"/>
          <w:lang w:eastAsia="zh-CN"/>
        </w:rPr>
      </w:pPr>
    </w:p>
    <w:p w14:paraId="3573C1B2">
      <w:pPr>
        <w:spacing w:before="65" w:line="398" w:lineRule="exact"/>
        <w:ind w:left="441"/>
        <w:rPr>
          <w:rFonts w:ascii="宋体" w:hAnsi="宋体" w:eastAsia="宋体" w:cs="宋体"/>
          <w:color w:val="auto"/>
          <w:sz w:val="20"/>
          <w:szCs w:val="20"/>
          <w:lang w:eastAsia="zh-CN"/>
        </w:rPr>
      </w:pPr>
      <w:r>
        <w:rPr>
          <w:rFonts w:ascii="Tahoma" w:hAnsi="Tahoma" w:eastAsia="Tahoma" w:cs="Tahoma"/>
          <w:color w:val="auto"/>
          <w:spacing w:val="9"/>
          <w:position w:val="14"/>
          <w:sz w:val="20"/>
          <w:szCs w:val="20"/>
          <w:lang w:eastAsia="zh-CN"/>
        </w:rPr>
        <w:t>1</w:t>
      </w:r>
      <w:r>
        <w:rPr>
          <w:rFonts w:ascii="宋体" w:hAnsi="宋体" w:eastAsia="宋体" w:cs="宋体"/>
          <w:color w:val="auto"/>
          <w:spacing w:val="9"/>
          <w:position w:val="14"/>
          <w:sz w:val="20"/>
          <w:szCs w:val="20"/>
          <w:lang w:eastAsia="zh-CN"/>
        </w:rPr>
        <w:t>、本签字人确认资格文件中的说明以及投标文件中所有提交的文件和材料是真实的、准确的。</w:t>
      </w:r>
    </w:p>
    <w:p w14:paraId="16887D16">
      <w:pPr>
        <w:spacing w:before="1" w:line="227" w:lineRule="auto"/>
        <w:ind w:left="429"/>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2</w:t>
      </w:r>
      <w:r>
        <w:rPr>
          <w:rFonts w:ascii="宋体" w:hAnsi="宋体" w:eastAsia="宋体" w:cs="宋体"/>
          <w:color w:val="auto"/>
          <w:spacing w:val="8"/>
          <w:sz w:val="20"/>
          <w:szCs w:val="20"/>
          <w:lang w:eastAsia="zh-CN"/>
        </w:rPr>
        <w:t>、我方的资格声明随投标文件一同递交。</w:t>
      </w:r>
    </w:p>
    <w:p w14:paraId="680F2808">
      <w:pPr>
        <w:pStyle w:val="8"/>
        <w:spacing w:line="244" w:lineRule="auto"/>
        <w:rPr>
          <w:color w:val="auto"/>
          <w:lang w:eastAsia="zh-CN"/>
        </w:rPr>
      </w:pPr>
    </w:p>
    <w:p w14:paraId="4FC8B0DA">
      <w:pPr>
        <w:pStyle w:val="8"/>
        <w:spacing w:line="244" w:lineRule="auto"/>
        <w:rPr>
          <w:color w:val="auto"/>
          <w:lang w:eastAsia="zh-CN"/>
        </w:rPr>
      </w:pPr>
    </w:p>
    <w:p w14:paraId="14244DF6">
      <w:pPr>
        <w:pStyle w:val="8"/>
        <w:spacing w:line="244" w:lineRule="auto"/>
        <w:rPr>
          <w:color w:val="auto"/>
          <w:lang w:eastAsia="zh-CN"/>
        </w:rPr>
      </w:pPr>
    </w:p>
    <w:p w14:paraId="285ACEAE">
      <w:pPr>
        <w:pStyle w:val="8"/>
        <w:spacing w:line="244" w:lineRule="auto"/>
        <w:rPr>
          <w:color w:val="auto"/>
          <w:lang w:eastAsia="zh-CN"/>
        </w:rPr>
      </w:pPr>
    </w:p>
    <w:p w14:paraId="05E926F9">
      <w:pPr>
        <w:pStyle w:val="8"/>
        <w:spacing w:line="244" w:lineRule="auto"/>
        <w:rPr>
          <w:color w:val="auto"/>
          <w:lang w:eastAsia="zh-CN"/>
        </w:rPr>
      </w:pPr>
    </w:p>
    <w:p w14:paraId="3D701498">
      <w:pPr>
        <w:pStyle w:val="8"/>
        <w:spacing w:line="244" w:lineRule="auto"/>
        <w:rPr>
          <w:color w:val="auto"/>
          <w:lang w:eastAsia="zh-CN"/>
        </w:rPr>
      </w:pPr>
    </w:p>
    <w:p w14:paraId="5AD19148">
      <w:pPr>
        <w:pStyle w:val="8"/>
        <w:spacing w:line="244" w:lineRule="auto"/>
        <w:rPr>
          <w:color w:val="auto"/>
          <w:lang w:eastAsia="zh-CN"/>
        </w:rPr>
      </w:pPr>
    </w:p>
    <w:p w14:paraId="7B610117">
      <w:pPr>
        <w:pStyle w:val="8"/>
        <w:spacing w:line="244" w:lineRule="auto"/>
        <w:rPr>
          <w:color w:val="auto"/>
          <w:lang w:eastAsia="zh-CN"/>
        </w:rPr>
      </w:pPr>
    </w:p>
    <w:p w14:paraId="2872359D">
      <w:pPr>
        <w:pStyle w:val="8"/>
        <w:spacing w:line="244" w:lineRule="auto"/>
        <w:rPr>
          <w:color w:val="auto"/>
          <w:lang w:eastAsia="zh-CN"/>
        </w:rPr>
      </w:pPr>
    </w:p>
    <w:p w14:paraId="7D4D16B3">
      <w:pPr>
        <w:pStyle w:val="8"/>
        <w:spacing w:line="244" w:lineRule="auto"/>
        <w:rPr>
          <w:color w:val="auto"/>
          <w:lang w:eastAsia="zh-CN"/>
        </w:rPr>
      </w:pPr>
    </w:p>
    <w:p w14:paraId="32E6EC4B">
      <w:pPr>
        <w:pStyle w:val="8"/>
        <w:spacing w:line="244" w:lineRule="auto"/>
        <w:rPr>
          <w:color w:val="auto"/>
          <w:lang w:eastAsia="zh-CN"/>
        </w:rPr>
      </w:pPr>
    </w:p>
    <w:p w14:paraId="39A975CD">
      <w:pPr>
        <w:pStyle w:val="8"/>
        <w:spacing w:line="244" w:lineRule="auto"/>
        <w:rPr>
          <w:color w:val="auto"/>
          <w:lang w:eastAsia="zh-CN"/>
        </w:rPr>
      </w:pPr>
    </w:p>
    <w:p w14:paraId="52C5C11E">
      <w:pPr>
        <w:pStyle w:val="8"/>
        <w:spacing w:line="244" w:lineRule="auto"/>
        <w:rPr>
          <w:color w:val="auto"/>
          <w:lang w:eastAsia="zh-CN"/>
        </w:rPr>
      </w:pPr>
    </w:p>
    <w:p w14:paraId="2008C03E">
      <w:pPr>
        <w:spacing w:before="66" w:line="227" w:lineRule="auto"/>
        <w:ind w:left="3055"/>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投标</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（加盖公章</w:t>
      </w:r>
      <w:r>
        <w:rPr>
          <w:rFonts w:ascii="宋体" w:hAnsi="宋体" w:eastAsia="宋体" w:cs="宋体"/>
          <w:color w:val="auto"/>
          <w:spacing w:val="13"/>
          <w:sz w:val="20"/>
          <w:szCs w:val="20"/>
          <w:lang w:eastAsia="zh-CN"/>
        </w:rPr>
        <w:t>）：</w:t>
      </w:r>
      <w:r>
        <w:rPr>
          <w:rFonts w:ascii="宋体" w:hAnsi="宋体" w:eastAsia="宋体" w:cs="宋体"/>
          <w:color w:val="auto"/>
          <w:sz w:val="20"/>
          <w:szCs w:val="20"/>
          <w:u w:val="single"/>
          <w:lang w:eastAsia="zh-CN"/>
        </w:rPr>
        <w:t xml:space="preserve">                           </w:t>
      </w:r>
    </w:p>
    <w:p w14:paraId="0900FC89">
      <w:pPr>
        <w:pStyle w:val="8"/>
        <w:spacing w:line="447" w:lineRule="auto"/>
        <w:rPr>
          <w:color w:val="auto"/>
          <w:lang w:eastAsia="zh-CN"/>
        </w:rPr>
      </w:pPr>
    </w:p>
    <w:p w14:paraId="0B299A5A">
      <w:pPr>
        <w:spacing w:before="65" w:line="227" w:lineRule="auto"/>
        <w:ind w:left="3055"/>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投标</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代表（签字</w:t>
      </w:r>
      <w:r>
        <w:rPr>
          <w:rFonts w:ascii="宋体" w:hAnsi="宋体" w:eastAsia="宋体" w:cs="宋体"/>
          <w:color w:val="auto"/>
          <w:spacing w:val="9"/>
          <w:sz w:val="20"/>
          <w:szCs w:val="20"/>
          <w:lang w:eastAsia="zh-CN"/>
        </w:rPr>
        <w:t>）：</w:t>
      </w:r>
      <w:r>
        <w:rPr>
          <w:rFonts w:ascii="宋体" w:hAnsi="宋体" w:eastAsia="宋体" w:cs="宋体"/>
          <w:color w:val="auto"/>
          <w:spacing w:val="15"/>
          <w:sz w:val="20"/>
          <w:szCs w:val="20"/>
          <w:lang w:eastAsia="zh-CN"/>
        </w:rPr>
        <w:t xml:space="preserve"> </w:t>
      </w:r>
      <w:r>
        <w:rPr>
          <w:rFonts w:ascii="宋体" w:hAnsi="宋体" w:eastAsia="宋体" w:cs="宋体"/>
          <w:color w:val="auto"/>
          <w:sz w:val="20"/>
          <w:szCs w:val="20"/>
          <w:u w:val="single"/>
          <w:lang w:eastAsia="zh-CN"/>
        </w:rPr>
        <w:t xml:space="preserve">                          </w:t>
      </w:r>
    </w:p>
    <w:p w14:paraId="7852D329">
      <w:pPr>
        <w:pStyle w:val="8"/>
        <w:spacing w:line="447" w:lineRule="auto"/>
        <w:rPr>
          <w:color w:val="auto"/>
          <w:lang w:eastAsia="zh-CN"/>
        </w:rPr>
      </w:pPr>
    </w:p>
    <w:p w14:paraId="1792E221">
      <w:pPr>
        <w:spacing w:before="65" w:line="237" w:lineRule="auto"/>
        <w:ind w:left="3052"/>
        <w:rPr>
          <w:rFonts w:ascii="宋体" w:hAnsi="宋体" w:eastAsia="宋体" w:cs="宋体"/>
          <w:color w:val="auto"/>
          <w:sz w:val="20"/>
          <w:szCs w:val="20"/>
          <w:lang w:eastAsia="zh-CN"/>
        </w:rPr>
      </w:pPr>
      <w:r>
        <w:rPr>
          <w:rFonts w:ascii="宋体" w:hAnsi="宋体" w:eastAsia="宋体" w:cs="宋体"/>
          <w:color w:val="auto"/>
          <w:spacing w:val="2"/>
          <w:sz w:val="20"/>
          <w:szCs w:val="20"/>
          <w:lang w:eastAsia="zh-CN"/>
        </w:rPr>
        <w:t>地</w:t>
      </w:r>
      <w:r>
        <w:rPr>
          <w:rFonts w:ascii="宋体" w:hAnsi="宋体" w:eastAsia="宋体" w:cs="宋体"/>
          <w:color w:val="auto"/>
          <w:spacing w:val="5"/>
          <w:sz w:val="20"/>
          <w:szCs w:val="20"/>
          <w:lang w:eastAsia="zh-CN"/>
        </w:rPr>
        <w:t xml:space="preserve">             </w:t>
      </w:r>
      <w:r>
        <w:rPr>
          <w:rFonts w:ascii="宋体" w:hAnsi="宋体" w:eastAsia="宋体" w:cs="宋体"/>
          <w:color w:val="auto"/>
          <w:spacing w:val="2"/>
          <w:sz w:val="20"/>
          <w:szCs w:val="20"/>
          <w:lang w:eastAsia="zh-CN"/>
        </w:rPr>
        <w:t>址：</w:t>
      </w:r>
      <w:r>
        <w:rPr>
          <w:rFonts w:ascii="宋体" w:hAnsi="宋体" w:eastAsia="宋体" w:cs="宋体"/>
          <w:color w:val="auto"/>
          <w:spacing w:val="2"/>
          <w:sz w:val="20"/>
          <w:szCs w:val="20"/>
          <w:u w:val="single"/>
          <w:lang w:eastAsia="zh-CN"/>
        </w:rPr>
        <w:t xml:space="preserve">                    </w:t>
      </w:r>
      <w:r>
        <w:rPr>
          <w:rFonts w:ascii="宋体" w:hAnsi="宋体" w:eastAsia="宋体" w:cs="宋体"/>
          <w:color w:val="auto"/>
          <w:spacing w:val="1"/>
          <w:sz w:val="20"/>
          <w:szCs w:val="20"/>
          <w:u w:val="single"/>
          <w:lang w:eastAsia="zh-CN"/>
        </w:rPr>
        <w:t xml:space="preserve">          </w:t>
      </w:r>
    </w:p>
    <w:p w14:paraId="15494EBF">
      <w:pPr>
        <w:pStyle w:val="8"/>
        <w:spacing w:line="433" w:lineRule="auto"/>
        <w:rPr>
          <w:color w:val="auto"/>
          <w:lang w:eastAsia="zh-CN"/>
        </w:rPr>
      </w:pPr>
    </w:p>
    <w:p w14:paraId="4F908C46">
      <w:pPr>
        <w:spacing w:before="66" w:line="228" w:lineRule="auto"/>
        <w:ind w:left="3068"/>
        <w:rPr>
          <w:rFonts w:ascii="宋体" w:hAnsi="宋体" w:eastAsia="宋体" w:cs="宋体"/>
          <w:color w:val="auto"/>
          <w:sz w:val="20"/>
          <w:szCs w:val="20"/>
          <w:lang w:eastAsia="zh-CN"/>
        </w:rPr>
      </w:pPr>
      <w:r>
        <w:rPr>
          <w:rFonts w:ascii="宋体" w:hAnsi="宋体" w:eastAsia="宋体" w:cs="宋体"/>
          <w:color w:val="auto"/>
          <w:spacing w:val="-2"/>
          <w:sz w:val="20"/>
          <w:szCs w:val="20"/>
          <w:lang w:eastAsia="zh-CN"/>
        </w:rPr>
        <w:t>邮</w:t>
      </w:r>
      <w:r>
        <w:rPr>
          <w:rFonts w:ascii="宋体" w:hAnsi="宋体" w:eastAsia="宋体" w:cs="宋体"/>
          <w:color w:val="auto"/>
          <w:spacing w:val="6"/>
          <w:sz w:val="20"/>
          <w:szCs w:val="20"/>
          <w:lang w:eastAsia="zh-CN"/>
        </w:rPr>
        <w:t xml:space="preserve">             </w:t>
      </w:r>
      <w:r>
        <w:rPr>
          <w:rFonts w:ascii="宋体" w:hAnsi="宋体" w:eastAsia="宋体" w:cs="宋体"/>
          <w:color w:val="auto"/>
          <w:spacing w:val="-2"/>
          <w:sz w:val="20"/>
          <w:szCs w:val="20"/>
          <w:lang w:eastAsia="zh-CN"/>
        </w:rPr>
        <w:t>编：</w:t>
      </w:r>
      <w:r>
        <w:rPr>
          <w:rFonts w:ascii="宋体" w:hAnsi="宋体" w:eastAsia="宋体" w:cs="宋体"/>
          <w:color w:val="auto"/>
          <w:spacing w:val="-2"/>
          <w:sz w:val="20"/>
          <w:szCs w:val="20"/>
          <w:u w:val="single"/>
          <w:lang w:eastAsia="zh-CN"/>
        </w:rPr>
        <w:t xml:space="preserve">                               </w:t>
      </w:r>
    </w:p>
    <w:p w14:paraId="2CDA4683">
      <w:pPr>
        <w:pStyle w:val="8"/>
        <w:spacing w:line="409" w:lineRule="auto"/>
        <w:rPr>
          <w:color w:val="auto"/>
          <w:lang w:eastAsia="zh-CN"/>
        </w:rPr>
      </w:pPr>
    </w:p>
    <w:p w14:paraId="61E7309B">
      <w:pPr>
        <w:spacing w:before="65" w:line="305" w:lineRule="auto"/>
        <w:ind w:left="3077"/>
        <w:rPr>
          <w:rFonts w:ascii="宋体" w:hAnsi="宋体" w:eastAsia="宋体" w:cs="宋体"/>
          <w:color w:val="auto"/>
          <w:sz w:val="20"/>
          <w:szCs w:val="20"/>
          <w:lang w:eastAsia="zh-CN"/>
        </w:rPr>
      </w:pPr>
      <w:r>
        <w:rPr>
          <w:rFonts w:ascii="宋体" w:hAnsi="宋体" w:eastAsia="宋体" w:cs="宋体"/>
          <w:color w:val="auto"/>
          <w:spacing w:val="-1"/>
          <w:sz w:val="20"/>
          <w:szCs w:val="20"/>
          <w:lang w:eastAsia="zh-CN"/>
        </w:rPr>
        <w:t>电</w:t>
      </w:r>
      <w:r>
        <w:rPr>
          <w:rFonts w:ascii="宋体" w:hAnsi="宋体" w:eastAsia="宋体" w:cs="宋体"/>
          <w:color w:val="auto"/>
          <w:spacing w:val="8"/>
          <w:sz w:val="20"/>
          <w:szCs w:val="20"/>
          <w:lang w:eastAsia="zh-CN"/>
        </w:rPr>
        <w:t xml:space="preserve">    </w:t>
      </w:r>
      <w:r>
        <w:rPr>
          <w:rFonts w:ascii="宋体" w:hAnsi="宋体" w:eastAsia="宋体" w:cs="宋体"/>
          <w:color w:val="auto"/>
          <w:spacing w:val="-1"/>
          <w:sz w:val="20"/>
          <w:szCs w:val="20"/>
          <w:lang w:eastAsia="zh-CN"/>
        </w:rPr>
        <w:t>话</w:t>
      </w:r>
      <w:r>
        <w:rPr>
          <w:rFonts w:ascii="Tahoma" w:hAnsi="Tahoma" w:eastAsia="Tahoma" w:cs="Tahoma"/>
          <w:color w:val="auto"/>
          <w:spacing w:val="-1"/>
          <w:sz w:val="20"/>
          <w:szCs w:val="20"/>
          <w:lang w:eastAsia="zh-CN"/>
        </w:rPr>
        <w:t>/</w:t>
      </w:r>
      <w:r>
        <w:rPr>
          <w:rFonts w:ascii="宋体" w:hAnsi="宋体" w:eastAsia="宋体" w:cs="宋体"/>
          <w:color w:val="auto"/>
          <w:spacing w:val="-1"/>
          <w:sz w:val="20"/>
          <w:szCs w:val="20"/>
          <w:lang w:eastAsia="zh-CN"/>
        </w:rPr>
        <w:t>传</w:t>
      </w:r>
      <w:r>
        <w:rPr>
          <w:rFonts w:ascii="宋体" w:hAnsi="宋体" w:eastAsia="宋体" w:cs="宋体"/>
          <w:color w:val="auto"/>
          <w:spacing w:val="8"/>
          <w:sz w:val="20"/>
          <w:szCs w:val="20"/>
          <w:lang w:eastAsia="zh-CN"/>
        </w:rPr>
        <w:t xml:space="preserve">    </w:t>
      </w:r>
      <w:r>
        <w:rPr>
          <w:rFonts w:ascii="宋体" w:hAnsi="宋体" w:eastAsia="宋体" w:cs="宋体"/>
          <w:color w:val="auto"/>
          <w:spacing w:val="-1"/>
          <w:sz w:val="20"/>
          <w:szCs w:val="20"/>
          <w:lang w:eastAsia="zh-CN"/>
        </w:rPr>
        <w:t>真：</w:t>
      </w:r>
      <w:r>
        <w:rPr>
          <w:rFonts w:ascii="宋体" w:hAnsi="宋体" w:eastAsia="宋体" w:cs="宋体"/>
          <w:color w:val="auto"/>
          <w:sz w:val="20"/>
          <w:szCs w:val="20"/>
          <w:u w:val="single"/>
          <w:lang w:eastAsia="zh-CN"/>
        </w:rPr>
        <w:t xml:space="preserve">                               </w:t>
      </w:r>
    </w:p>
    <w:p w14:paraId="0E479387">
      <w:pPr>
        <w:spacing w:line="305" w:lineRule="auto"/>
        <w:rPr>
          <w:rFonts w:ascii="宋体" w:hAnsi="宋体" w:eastAsia="宋体" w:cs="宋体"/>
          <w:color w:val="auto"/>
          <w:sz w:val="20"/>
          <w:szCs w:val="20"/>
          <w:lang w:eastAsia="zh-CN"/>
        </w:rPr>
        <w:sectPr>
          <w:footerReference r:id="rId58"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70DBE1E5">
      <w:pPr>
        <w:spacing w:before="99" w:line="222" w:lineRule="auto"/>
        <w:ind w:left="3048"/>
        <w:rPr>
          <w:rFonts w:ascii="黑体" w:hAnsi="黑体" w:eastAsia="黑体" w:cs="黑体"/>
          <w:color w:val="auto"/>
          <w:sz w:val="28"/>
          <w:szCs w:val="28"/>
          <w:lang w:eastAsia="zh-CN"/>
        </w:rPr>
      </w:pPr>
      <w:r>
        <w:rPr>
          <w:rFonts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（二）、投标</w:t>
      </w:r>
      <w:r>
        <w:rPr>
          <w:rFonts w:hint="eastAsia"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服务商</w:t>
      </w:r>
      <w:r>
        <w:rPr>
          <w:rFonts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的资格声明</w:t>
      </w:r>
    </w:p>
    <w:p w14:paraId="488AFFAF">
      <w:pPr>
        <w:pStyle w:val="8"/>
        <w:spacing w:line="433" w:lineRule="auto"/>
        <w:rPr>
          <w:color w:val="auto"/>
          <w:lang w:eastAsia="zh-CN"/>
        </w:rPr>
      </w:pPr>
    </w:p>
    <w:p w14:paraId="70A3FCB8">
      <w:pPr>
        <w:spacing w:before="65" w:line="227" w:lineRule="auto"/>
        <w:ind w:left="6"/>
        <w:rPr>
          <w:rFonts w:ascii="宋体" w:hAnsi="宋体" w:eastAsia="宋体" w:cs="宋体"/>
          <w:color w:val="auto"/>
          <w:sz w:val="20"/>
          <w:szCs w:val="20"/>
          <w:lang w:eastAsia="zh-CN"/>
        </w:rPr>
      </w:pPr>
      <w:r>
        <w:rPr>
          <w:rFonts w:ascii="宋体" w:hAnsi="宋体" w:eastAsia="宋体" w:cs="宋体"/>
          <w:color w:val="auto"/>
          <w:spacing w:val="5"/>
          <w:sz w:val="20"/>
          <w:szCs w:val="20"/>
          <w:lang w:eastAsia="zh-CN"/>
        </w:rPr>
        <w:t>致：</w:t>
      </w:r>
      <w:r>
        <w:rPr>
          <w:rFonts w:ascii="宋体" w:hAnsi="宋体" w:eastAsia="宋体" w:cs="宋体"/>
          <w:color w:val="auto"/>
          <w:spacing w:val="7"/>
          <w:sz w:val="20"/>
          <w:szCs w:val="20"/>
          <w:u w:val="single"/>
          <w:lang w:eastAsia="zh-CN"/>
        </w:rPr>
        <w:t xml:space="preserve">         </w:t>
      </w:r>
      <w:r>
        <w:rPr>
          <w:rFonts w:ascii="宋体" w:hAnsi="宋体" w:eastAsia="宋体" w:cs="宋体"/>
          <w:color w:val="auto"/>
          <w:spacing w:val="5"/>
          <w:sz w:val="20"/>
          <w:szCs w:val="20"/>
          <w:u w:val="single"/>
          <w:lang w:eastAsia="zh-CN"/>
        </w:rPr>
        <w:t xml:space="preserve">采购人名称         </w:t>
      </w:r>
      <w:r>
        <w:rPr>
          <w:rFonts w:ascii="宋体" w:hAnsi="宋体" w:eastAsia="宋体" w:cs="宋体"/>
          <w:color w:val="auto"/>
          <w:spacing w:val="5"/>
          <w:sz w:val="20"/>
          <w:szCs w:val="20"/>
          <w:lang w:eastAsia="zh-CN"/>
        </w:rPr>
        <w:t>：</w:t>
      </w:r>
    </w:p>
    <w:p w14:paraId="12835AC7">
      <w:pPr>
        <w:pStyle w:val="8"/>
        <w:spacing w:line="478" w:lineRule="auto"/>
        <w:rPr>
          <w:color w:val="auto"/>
          <w:lang w:eastAsia="zh-CN"/>
        </w:rPr>
      </w:pPr>
    </w:p>
    <w:p w14:paraId="78F133A1">
      <w:pPr>
        <w:spacing w:before="65" w:line="227" w:lineRule="auto"/>
        <w:ind w:left="18"/>
        <w:rPr>
          <w:rFonts w:ascii="宋体" w:hAnsi="宋体" w:eastAsia="宋体" w:cs="宋体"/>
          <w:color w:val="auto"/>
          <w:sz w:val="20"/>
          <w:szCs w:val="20"/>
          <w:lang w:eastAsia="zh-CN"/>
        </w:rPr>
      </w:pPr>
      <w:r>
        <w:rPr>
          <w:rFonts w:ascii="Tahoma" w:hAnsi="Tahoma" w:eastAsia="Tahoma" w:cs="Tahoma"/>
          <w:b/>
          <w:bCs/>
          <w:color w:val="auto"/>
          <w:spacing w:val="2"/>
          <w:sz w:val="20"/>
          <w:szCs w:val="20"/>
          <w:lang w:eastAsia="zh-CN"/>
        </w:rPr>
        <w:t>1</w:t>
      </w:r>
      <w:r>
        <w:rPr>
          <w:rFonts w:ascii="Tahoma" w:hAnsi="Tahoma" w:eastAsia="Tahoma" w:cs="Tahoma"/>
          <w:b/>
          <w:bCs/>
          <w:color w:val="auto"/>
          <w:spacing w:val="-26"/>
          <w:sz w:val="20"/>
          <w:szCs w:val="20"/>
          <w:lang w:eastAsia="zh-CN"/>
        </w:rPr>
        <w:t xml:space="preserve"> </w:t>
      </w:r>
      <w:r>
        <w:rPr>
          <w:rFonts w:ascii="宋体" w:hAnsi="宋体" w:eastAsia="宋体" w:cs="宋体"/>
          <w:color w:val="auto"/>
          <w:spacing w:val="2"/>
          <w:sz w:val="20"/>
          <w:szCs w:val="20"/>
          <w:lang w:eastAsia="zh-CN"/>
          <w14:textOutline w14:w="3797" w14:cap="sq" w14:cmpd="sng" w14:algn="ctr">
            <w14:solidFill>
              <w14:srgbClr w14:val="000000"/>
            </w14:solidFill>
            <w14:prstDash w14:val="solid"/>
            <w14:bevel/>
          </w14:textOutline>
        </w:rPr>
        <w:t>．</w:t>
      </w:r>
      <w:r>
        <w:rPr>
          <w:rFonts w:hint="eastAsia" w:ascii="宋体" w:hAnsi="宋体" w:eastAsia="宋体" w:cs="宋体"/>
          <w:color w:val="auto"/>
          <w:spacing w:val="2"/>
          <w:sz w:val="20"/>
          <w:szCs w:val="20"/>
          <w:lang w:eastAsia="zh-CN"/>
          <w14:textOutline w14:w="3797" w14:cap="sq" w14:cmpd="sng" w14:algn="ctr">
            <w14:solidFill>
              <w14:srgbClr w14:val="000000"/>
            </w14:solidFill>
            <w14:prstDash w14:val="solid"/>
            <w14:bevel/>
          </w14:textOutline>
        </w:rPr>
        <w:t>服务商</w:t>
      </w:r>
      <w:r>
        <w:rPr>
          <w:rFonts w:ascii="宋体" w:hAnsi="宋体" w:eastAsia="宋体" w:cs="宋体"/>
          <w:color w:val="auto"/>
          <w:spacing w:val="2"/>
          <w:sz w:val="20"/>
          <w:szCs w:val="20"/>
          <w:lang w:eastAsia="zh-CN"/>
          <w14:textOutline w14:w="3797" w14:cap="sq" w14:cmpd="sng" w14:algn="ctr">
            <w14:solidFill>
              <w14:srgbClr w14:val="000000"/>
            </w14:solidFill>
            <w14:prstDash w14:val="solid"/>
            <w14:bevel/>
          </w14:textOutline>
        </w:rPr>
        <w:t>概况：</w:t>
      </w:r>
    </w:p>
    <w:p w14:paraId="4A52AF82">
      <w:pPr>
        <w:spacing w:before="142" w:line="227" w:lineRule="auto"/>
        <w:ind w:left="21"/>
        <w:rPr>
          <w:rFonts w:ascii="宋体" w:hAnsi="宋体" w:eastAsia="宋体" w:cs="宋体"/>
          <w:color w:val="auto"/>
          <w:sz w:val="20"/>
          <w:szCs w:val="20"/>
          <w:lang w:eastAsia="zh-CN"/>
        </w:rPr>
      </w:pPr>
      <w:r>
        <w:rPr>
          <w:rFonts w:ascii="Tahoma" w:hAnsi="Tahoma" w:eastAsia="Tahoma" w:cs="Tahoma"/>
          <w:color w:val="auto"/>
          <w:spacing w:val="3"/>
          <w:sz w:val="20"/>
          <w:szCs w:val="20"/>
          <w:lang w:eastAsia="zh-CN"/>
        </w:rPr>
        <w:t>1.1</w:t>
      </w:r>
      <w:r>
        <w:rPr>
          <w:rFonts w:ascii="Tahoma" w:hAnsi="Tahoma" w:eastAsia="Tahoma" w:cs="Tahoma"/>
          <w:color w:val="auto"/>
          <w:spacing w:val="52"/>
          <w:w w:val="101"/>
          <w:sz w:val="20"/>
          <w:szCs w:val="20"/>
          <w:lang w:eastAsia="zh-CN"/>
        </w:rPr>
        <w:t xml:space="preserve"> </w:t>
      </w:r>
      <w:r>
        <w:rPr>
          <w:rFonts w:hint="eastAsia" w:ascii="宋体" w:hAnsi="宋体" w:eastAsia="宋体" w:cs="宋体"/>
          <w:color w:val="auto"/>
          <w:spacing w:val="3"/>
          <w:sz w:val="20"/>
          <w:szCs w:val="20"/>
          <w:lang w:eastAsia="zh-CN"/>
        </w:rPr>
        <w:t>服务商</w:t>
      </w:r>
      <w:r>
        <w:rPr>
          <w:rFonts w:ascii="宋体" w:hAnsi="宋体" w:eastAsia="宋体" w:cs="宋体"/>
          <w:color w:val="auto"/>
          <w:spacing w:val="3"/>
          <w:sz w:val="20"/>
          <w:szCs w:val="20"/>
          <w:lang w:eastAsia="zh-CN"/>
        </w:rPr>
        <w:t>名称：</w:t>
      </w:r>
      <w:r>
        <w:rPr>
          <w:rFonts w:ascii="宋体" w:hAnsi="宋体" w:eastAsia="宋体" w:cs="宋体"/>
          <w:color w:val="auto"/>
          <w:spacing w:val="3"/>
          <w:sz w:val="20"/>
          <w:szCs w:val="20"/>
          <w:u w:val="single"/>
          <w:lang w:eastAsia="zh-CN"/>
        </w:rPr>
        <w:t xml:space="preserve">                                             </w:t>
      </w:r>
      <w:r>
        <w:rPr>
          <w:rFonts w:ascii="宋体" w:hAnsi="宋体" w:eastAsia="宋体" w:cs="宋体"/>
          <w:color w:val="auto"/>
          <w:spacing w:val="2"/>
          <w:sz w:val="20"/>
          <w:szCs w:val="20"/>
          <w:u w:val="single"/>
          <w:lang w:eastAsia="zh-CN"/>
        </w:rPr>
        <w:t xml:space="preserve">                                    </w:t>
      </w:r>
    </w:p>
    <w:p w14:paraId="49E82D21">
      <w:pPr>
        <w:spacing w:before="145" w:line="229" w:lineRule="auto"/>
        <w:ind w:left="21"/>
        <w:rPr>
          <w:rFonts w:ascii="宋体" w:hAnsi="宋体" w:eastAsia="宋体" w:cs="宋体"/>
          <w:color w:val="auto"/>
          <w:sz w:val="20"/>
          <w:szCs w:val="20"/>
          <w:lang w:eastAsia="zh-CN"/>
        </w:rPr>
      </w:pPr>
      <w:r>
        <w:rPr>
          <w:rFonts w:ascii="Tahoma" w:hAnsi="Tahoma" w:eastAsia="Tahoma" w:cs="Tahoma"/>
          <w:color w:val="auto"/>
          <w:spacing w:val="3"/>
          <w:sz w:val="20"/>
          <w:szCs w:val="20"/>
          <w:lang w:eastAsia="zh-CN"/>
        </w:rPr>
        <w:t>1.2</w:t>
      </w:r>
      <w:r>
        <w:rPr>
          <w:rFonts w:ascii="Tahoma" w:hAnsi="Tahoma" w:eastAsia="Tahoma" w:cs="Tahoma"/>
          <w:color w:val="auto"/>
          <w:spacing w:val="57"/>
          <w:w w:val="101"/>
          <w:sz w:val="20"/>
          <w:szCs w:val="20"/>
          <w:lang w:eastAsia="zh-CN"/>
        </w:rPr>
        <w:t xml:space="preserve"> </w:t>
      </w:r>
      <w:r>
        <w:rPr>
          <w:rFonts w:ascii="宋体" w:hAnsi="宋体" w:eastAsia="宋体" w:cs="宋体"/>
          <w:color w:val="auto"/>
          <w:spacing w:val="3"/>
          <w:sz w:val="20"/>
          <w:szCs w:val="20"/>
          <w:lang w:eastAsia="zh-CN"/>
        </w:rPr>
        <w:t>注册地址：</w:t>
      </w:r>
      <w:r>
        <w:rPr>
          <w:rFonts w:ascii="宋体" w:hAnsi="宋体" w:eastAsia="宋体" w:cs="宋体"/>
          <w:color w:val="auto"/>
          <w:sz w:val="20"/>
          <w:szCs w:val="20"/>
          <w:u w:val="single"/>
          <w:lang w:eastAsia="zh-CN"/>
        </w:rPr>
        <w:t xml:space="preserve">                                                                                      </w:t>
      </w:r>
    </w:p>
    <w:p w14:paraId="797A712A">
      <w:pPr>
        <w:spacing w:before="141" w:line="227" w:lineRule="auto"/>
        <w:ind w:left="21"/>
        <w:rPr>
          <w:rFonts w:ascii="宋体" w:hAnsi="宋体" w:eastAsia="宋体" w:cs="宋体"/>
          <w:color w:val="auto"/>
          <w:sz w:val="20"/>
          <w:szCs w:val="20"/>
          <w:lang w:eastAsia="zh-CN"/>
        </w:rPr>
      </w:pPr>
      <w:r>
        <w:rPr>
          <w:rFonts w:ascii="Tahoma" w:hAnsi="Tahoma" w:eastAsia="Tahoma" w:cs="Tahoma"/>
          <w:color w:val="auto"/>
          <w:spacing w:val="-1"/>
          <w:sz w:val="20"/>
          <w:szCs w:val="20"/>
          <w:lang w:eastAsia="zh-CN"/>
        </w:rPr>
        <w:t>1.3</w:t>
      </w:r>
      <w:r>
        <w:rPr>
          <w:rFonts w:ascii="Tahoma" w:hAnsi="Tahoma" w:eastAsia="Tahoma" w:cs="Tahoma"/>
          <w:color w:val="auto"/>
          <w:spacing w:val="53"/>
          <w:w w:val="101"/>
          <w:sz w:val="20"/>
          <w:szCs w:val="20"/>
          <w:lang w:eastAsia="zh-CN"/>
        </w:rPr>
        <w:t xml:space="preserve"> </w:t>
      </w:r>
      <w:r>
        <w:rPr>
          <w:rFonts w:ascii="宋体" w:hAnsi="宋体" w:eastAsia="宋体" w:cs="宋体"/>
          <w:color w:val="auto"/>
          <w:spacing w:val="-1"/>
          <w:sz w:val="20"/>
          <w:szCs w:val="20"/>
          <w:lang w:eastAsia="zh-CN"/>
        </w:rPr>
        <w:t>传真</w:t>
      </w:r>
      <w:r>
        <w:rPr>
          <w:rFonts w:ascii="宋体" w:hAnsi="宋体" w:eastAsia="宋体" w:cs="宋体"/>
          <w:color w:val="auto"/>
          <w:spacing w:val="11"/>
          <w:sz w:val="20"/>
          <w:szCs w:val="20"/>
          <w:lang w:eastAsia="zh-CN"/>
        </w:rPr>
        <w:t>：</w:t>
      </w:r>
      <w:r>
        <w:rPr>
          <w:rFonts w:ascii="宋体" w:hAnsi="宋体" w:eastAsia="宋体" w:cs="宋体"/>
          <w:color w:val="auto"/>
          <w:sz w:val="20"/>
          <w:szCs w:val="20"/>
          <w:u w:val="single"/>
          <w:lang w:eastAsia="zh-CN"/>
        </w:rPr>
        <w:t xml:space="preserve">                        </w:t>
      </w:r>
      <w:r>
        <w:rPr>
          <w:rFonts w:ascii="宋体" w:hAnsi="宋体" w:eastAsia="宋体" w:cs="宋体"/>
          <w:color w:val="auto"/>
          <w:spacing w:val="-57"/>
          <w:sz w:val="20"/>
          <w:szCs w:val="20"/>
          <w:lang w:eastAsia="zh-CN"/>
        </w:rPr>
        <w:t xml:space="preserve"> </w:t>
      </w:r>
      <w:r>
        <w:rPr>
          <w:rFonts w:ascii="宋体" w:hAnsi="宋体" w:eastAsia="宋体" w:cs="宋体"/>
          <w:color w:val="auto"/>
          <w:spacing w:val="11"/>
          <w:sz w:val="20"/>
          <w:szCs w:val="20"/>
          <w:lang w:eastAsia="zh-CN"/>
        </w:rPr>
        <w:t>；</w:t>
      </w:r>
      <w:r>
        <w:rPr>
          <w:rFonts w:ascii="宋体" w:hAnsi="宋体" w:eastAsia="宋体" w:cs="宋体"/>
          <w:color w:val="auto"/>
          <w:spacing w:val="-1"/>
          <w:sz w:val="20"/>
          <w:szCs w:val="20"/>
          <w:lang w:eastAsia="zh-CN"/>
        </w:rPr>
        <w:t>电话</w:t>
      </w:r>
      <w:r>
        <w:rPr>
          <w:rFonts w:ascii="宋体" w:hAnsi="宋体" w:eastAsia="宋体" w:cs="宋体"/>
          <w:color w:val="auto"/>
          <w:spacing w:val="11"/>
          <w:sz w:val="20"/>
          <w:szCs w:val="20"/>
          <w:lang w:eastAsia="zh-CN"/>
        </w:rPr>
        <w:t>：</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z w:val="20"/>
          <w:szCs w:val="20"/>
          <w:u w:val="single"/>
          <w:lang w:eastAsia="zh-CN"/>
        </w:rPr>
        <w:t xml:space="preserve">      </w:t>
      </w:r>
      <w:r>
        <w:rPr>
          <w:rFonts w:ascii="宋体" w:hAnsi="宋体" w:eastAsia="宋体" w:cs="宋体"/>
          <w:color w:val="auto"/>
          <w:spacing w:val="-72"/>
          <w:sz w:val="20"/>
          <w:szCs w:val="20"/>
          <w:lang w:eastAsia="zh-CN"/>
        </w:rPr>
        <w:t xml:space="preserve"> </w:t>
      </w:r>
      <w:r>
        <w:rPr>
          <w:rFonts w:ascii="宋体" w:hAnsi="宋体" w:eastAsia="宋体" w:cs="宋体"/>
          <w:color w:val="auto"/>
          <w:spacing w:val="11"/>
          <w:sz w:val="20"/>
          <w:szCs w:val="20"/>
          <w:lang w:eastAsia="zh-CN"/>
        </w:rPr>
        <w:t>；</w:t>
      </w:r>
      <w:r>
        <w:rPr>
          <w:rFonts w:ascii="宋体" w:hAnsi="宋体" w:eastAsia="宋体" w:cs="宋体"/>
          <w:color w:val="auto"/>
          <w:spacing w:val="-1"/>
          <w:sz w:val="20"/>
          <w:szCs w:val="20"/>
          <w:lang w:eastAsia="zh-CN"/>
        </w:rPr>
        <w:t>邮编：</w:t>
      </w:r>
      <w:r>
        <w:rPr>
          <w:rFonts w:ascii="宋体" w:hAnsi="宋体" w:eastAsia="宋体" w:cs="宋体"/>
          <w:color w:val="auto"/>
          <w:sz w:val="20"/>
          <w:szCs w:val="20"/>
          <w:u w:val="single"/>
          <w:lang w:eastAsia="zh-CN"/>
        </w:rPr>
        <w:t xml:space="preserve">                        </w:t>
      </w:r>
    </w:p>
    <w:p w14:paraId="19133046">
      <w:pPr>
        <w:spacing w:before="146" w:line="228" w:lineRule="auto"/>
        <w:ind w:left="21"/>
        <w:rPr>
          <w:rFonts w:ascii="宋体" w:hAnsi="宋体" w:eastAsia="宋体" w:cs="宋体"/>
          <w:color w:val="auto"/>
          <w:sz w:val="20"/>
          <w:szCs w:val="20"/>
          <w:lang w:eastAsia="zh-CN"/>
        </w:rPr>
      </w:pPr>
      <w:r>
        <w:rPr>
          <w:rFonts w:ascii="Tahoma" w:hAnsi="Tahoma" w:eastAsia="Tahoma" w:cs="Tahoma"/>
          <w:color w:val="auto"/>
          <w:spacing w:val="3"/>
          <w:sz w:val="20"/>
          <w:szCs w:val="20"/>
          <w:lang w:eastAsia="zh-CN"/>
        </w:rPr>
        <w:t>1.4</w:t>
      </w:r>
      <w:r>
        <w:rPr>
          <w:rFonts w:ascii="Tahoma" w:hAnsi="Tahoma" w:eastAsia="Tahoma" w:cs="Tahoma"/>
          <w:color w:val="auto"/>
          <w:spacing w:val="54"/>
          <w:w w:val="101"/>
          <w:sz w:val="20"/>
          <w:szCs w:val="20"/>
          <w:lang w:eastAsia="zh-CN"/>
        </w:rPr>
        <w:t xml:space="preserve"> </w:t>
      </w:r>
      <w:r>
        <w:rPr>
          <w:rFonts w:ascii="宋体" w:hAnsi="宋体" w:eastAsia="宋体" w:cs="宋体"/>
          <w:color w:val="auto"/>
          <w:spacing w:val="3"/>
          <w:sz w:val="20"/>
          <w:szCs w:val="20"/>
          <w:lang w:eastAsia="zh-CN"/>
        </w:rPr>
        <w:t>成立或注册日期：</w:t>
      </w:r>
      <w:r>
        <w:rPr>
          <w:rFonts w:ascii="宋体" w:hAnsi="宋体" w:eastAsia="宋体" w:cs="宋体"/>
          <w:color w:val="auto"/>
          <w:spacing w:val="3"/>
          <w:sz w:val="20"/>
          <w:szCs w:val="20"/>
          <w:u w:val="single"/>
          <w:lang w:eastAsia="zh-CN"/>
        </w:rPr>
        <w:t xml:space="preserve">                                             </w:t>
      </w:r>
      <w:r>
        <w:rPr>
          <w:rFonts w:ascii="宋体" w:hAnsi="宋体" w:eastAsia="宋体" w:cs="宋体"/>
          <w:color w:val="auto"/>
          <w:spacing w:val="2"/>
          <w:sz w:val="20"/>
          <w:szCs w:val="20"/>
          <w:u w:val="single"/>
          <w:lang w:eastAsia="zh-CN"/>
        </w:rPr>
        <w:t xml:space="preserve">                                </w:t>
      </w:r>
    </w:p>
    <w:p w14:paraId="1ED1C670">
      <w:pPr>
        <w:spacing w:before="141" w:line="228" w:lineRule="auto"/>
        <w:ind w:left="21"/>
        <w:rPr>
          <w:rFonts w:ascii="宋体" w:hAnsi="宋体" w:eastAsia="宋体" w:cs="宋体"/>
          <w:color w:val="auto"/>
          <w:sz w:val="20"/>
          <w:szCs w:val="20"/>
          <w:lang w:eastAsia="zh-CN"/>
        </w:rPr>
      </w:pPr>
      <w:r>
        <w:rPr>
          <w:rFonts w:ascii="Tahoma" w:hAnsi="Tahoma" w:eastAsia="Tahoma" w:cs="Tahoma"/>
          <w:color w:val="auto"/>
          <w:spacing w:val="3"/>
          <w:sz w:val="20"/>
          <w:szCs w:val="20"/>
          <w:lang w:eastAsia="zh-CN"/>
        </w:rPr>
        <w:t>1.5</w:t>
      </w:r>
      <w:r>
        <w:rPr>
          <w:rFonts w:ascii="Tahoma" w:hAnsi="Tahoma" w:eastAsia="Tahoma" w:cs="Tahoma"/>
          <w:color w:val="auto"/>
          <w:spacing w:val="54"/>
          <w:w w:val="101"/>
          <w:sz w:val="20"/>
          <w:szCs w:val="20"/>
          <w:lang w:eastAsia="zh-CN"/>
        </w:rPr>
        <w:t xml:space="preserve"> </w:t>
      </w:r>
      <w:r>
        <w:rPr>
          <w:rFonts w:hint="eastAsia" w:ascii="宋体" w:hAnsi="宋体" w:eastAsia="宋体" w:cs="宋体"/>
          <w:color w:val="auto"/>
          <w:spacing w:val="3"/>
          <w:sz w:val="20"/>
          <w:szCs w:val="20"/>
          <w:lang w:eastAsia="zh-CN"/>
        </w:rPr>
        <w:t>负责</w:t>
      </w:r>
      <w:r>
        <w:rPr>
          <w:rFonts w:ascii="宋体" w:hAnsi="宋体" w:eastAsia="宋体" w:cs="宋体"/>
          <w:color w:val="auto"/>
          <w:spacing w:val="3"/>
          <w:sz w:val="20"/>
          <w:szCs w:val="20"/>
          <w:lang w:eastAsia="zh-CN"/>
        </w:rPr>
        <w:t>人代表</w:t>
      </w:r>
      <w:r>
        <w:rPr>
          <w:rFonts w:ascii="宋体" w:hAnsi="宋体" w:eastAsia="宋体" w:cs="宋体"/>
          <w:color w:val="auto"/>
          <w:spacing w:val="1"/>
          <w:sz w:val="20"/>
          <w:szCs w:val="20"/>
          <w:lang w:eastAsia="zh-CN"/>
        </w:rPr>
        <w:t>：</w:t>
      </w:r>
      <w:r>
        <w:rPr>
          <w:rFonts w:ascii="宋体" w:hAnsi="宋体" w:eastAsia="宋体" w:cs="宋体"/>
          <w:color w:val="auto"/>
          <w:spacing w:val="2"/>
          <w:sz w:val="20"/>
          <w:szCs w:val="20"/>
          <w:u w:val="single"/>
          <w:lang w:eastAsia="zh-CN"/>
        </w:rPr>
        <w:t xml:space="preserve">                       </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pacing w:val="-72"/>
          <w:sz w:val="20"/>
          <w:szCs w:val="20"/>
          <w:lang w:eastAsia="zh-CN"/>
        </w:rPr>
        <w:t xml:space="preserve"> </w:t>
      </w:r>
      <w:r>
        <w:rPr>
          <w:rFonts w:ascii="宋体" w:hAnsi="宋体" w:eastAsia="宋体" w:cs="宋体"/>
          <w:color w:val="auto"/>
          <w:spacing w:val="1"/>
          <w:sz w:val="20"/>
          <w:szCs w:val="20"/>
          <w:lang w:eastAsia="zh-CN"/>
        </w:rPr>
        <w:t>；</w:t>
      </w:r>
      <w:r>
        <w:rPr>
          <w:rFonts w:ascii="宋体" w:hAnsi="宋体" w:eastAsia="宋体" w:cs="宋体"/>
          <w:color w:val="auto"/>
          <w:spacing w:val="3"/>
          <w:sz w:val="20"/>
          <w:szCs w:val="20"/>
          <w:lang w:eastAsia="zh-CN"/>
        </w:rPr>
        <w:t>技术负责人：</w:t>
      </w:r>
      <w:r>
        <w:rPr>
          <w:rFonts w:ascii="宋体" w:hAnsi="宋体" w:eastAsia="宋体" w:cs="宋体"/>
          <w:color w:val="auto"/>
          <w:spacing w:val="3"/>
          <w:sz w:val="20"/>
          <w:szCs w:val="20"/>
          <w:u w:val="single"/>
          <w:lang w:eastAsia="zh-CN"/>
        </w:rPr>
        <w:t xml:space="preserve">                                  </w:t>
      </w:r>
      <w:r>
        <w:rPr>
          <w:rFonts w:ascii="宋体" w:hAnsi="宋体" w:eastAsia="宋体" w:cs="宋体"/>
          <w:color w:val="auto"/>
          <w:spacing w:val="2"/>
          <w:sz w:val="20"/>
          <w:szCs w:val="20"/>
          <w:u w:val="single"/>
          <w:lang w:eastAsia="zh-CN"/>
        </w:rPr>
        <w:t xml:space="preserve">   </w:t>
      </w:r>
    </w:p>
    <w:p w14:paraId="6BBD435E">
      <w:pPr>
        <w:spacing w:before="144" w:line="228" w:lineRule="auto"/>
        <w:ind w:left="21"/>
        <w:rPr>
          <w:rFonts w:ascii="宋体" w:hAnsi="宋体" w:eastAsia="宋体" w:cs="宋体"/>
          <w:color w:val="auto"/>
          <w:sz w:val="20"/>
          <w:szCs w:val="20"/>
          <w:lang w:eastAsia="zh-CN"/>
        </w:rPr>
      </w:pPr>
      <w:r>
        <w:rPr>
          <w:rFonts w:ascii="Tahoma" w:hAnsi="Tahoma" w:eastAsia="Tahoma" w:cs="Tahoma"/>
          <w:color w:val="auto"/>
          <w:spacing w:val="3"/>
          <w:sz w:val="20"/>
          <w:szCs w:val="20"/>
          <w:lang w:eastAsia="zh-CN"/>
        </w:rPr>
        <w:t>1.6</w:t>
      </w:r>
      <w:r>
        <w:rPr>
          <w:rFonts w:ascii="Tahoma" w:hAnsi="Tahoma" w:eastAsia="Tahoma" w:cs="Tahoma"/>
          <w:color w:val="auto"/>
          <w:spacing w:val="68"/>
          <w:sz w:val="20"/>
          <w:szCs w:val="20"/>
          <w:lang w:eastAsia="zh-CN"/>
        </w:rPr>
        <w:t xml:space="preserve"> </w:t>
      </w:r>
      <w:r>
        <w:rPr>
          <w:rFonts w:ascii="宋体" w:hAnsi="宋体" w:eastAsia="宋体" w:cs="宋体"/>
          <w:color w:val="auto"/>
          <w:spacing w:val="3"/>
          <w:sz w:val="20"/>
          <w:szCs w:val="20"/>
          <w:lang w:eastAsia="zh-CN"/>
        </w:rPr>
        <w:t xml:space="preserve">最近资产负债表（至 </w:t>
      </w:r>
      <w:r>
        <w:rPr>
          <w:rFonts w:ascii="宋体" w:hAnsi="宋体" w:eastAsia="宋体" w:cs="宋体"/>
          <w:color w:val="auto"/>
          <w:spacing w:val="3"/>
          <w:sz w:val="20"/>
          <w:szCs w:val="20"/>
          <w:u w:val="single"/>
          <w:lang w:eastAsia="zh-CN"/>
        </w:rPr>
        <w:t xml:space="preserve">          </w:t>
      </w:r>
      <w:r>
        <w:rPr>
          <w:rFonts w:ascii="宋体" w:hAnsi="宋体" w:eastAsia="宋体" w:cs="宋体"/>
          <w:color w:val="auto"/>
          <w:spacing w:val="-90"/>
          <w:sz w:val="20"/>
          <w:szCs w:val="20"/>
          <w:lang w:eastAsia="zh-CN"/>
        </w:rPr>
        <w:t xml:space="preserve"> </w:t>
      </w:r>
      <w:r>
        <w:rPr>
          <w:rFonts w:ascii="宋体" w:hAnsi="宋体" w:eastAsia="宋体" w:cs="宋体"/>
          <w:color w:val="auto"/>
          <w:spacing w:val="3"/>
          <w:sz w:val="20"/>
          <w:szCs w:val="20"/>
          <w:lang w:eastAsia="zh-CN"/>
        </w:rPr>
        <w:t>年</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87"/>
          <w:sz w:val="20"/>
          <w:szCs w:val="20"/>
          <w:lang w:eastAsia="zh-CN"/>
        </w:rPr>
        <w:t xml:space="preserve"> </w:t>
      </w:r>
      <w:r>
        <w:rPr>
          <w:rFonts w:ascii="宋体" w:hAnsi="宋体" w:eastAsia="宋体" w:cs="宋体"/>
          <w:color w:val="auto"/>
          <w:spacing w:val="3"/>
          <w:sz w:val="20"/>
          <w:szCs w:val="20"/>
          <w:lang w:eastAsia="zh-CN"/>
        </w:rPr>
        <w:t>月</w:t>
      </w:r>
      <w:r>
        <w:rPr>
          <w:rFonts w:ascii="宋体" w:hAnsi="宋体" w:eastAsia="宋体" w:cs="宋体"/>
          <w:color w:val="auto"/>
          <w:spacing w:val="5"/>
          <w:sz w:val="20"/>
          <w:szCs w:val="20"/>
          <w:lang w:eastAsia="zh-CN"/>
        </w:rPr>
        <w:t xml:space="preserve"> </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55"/>
          <w:sz w:val="20"/>
          <w:szCs w:val="20"/>
          <w:lang w:eastAsia="zh-CN"/>
        </w:rPr>
        <w:t xml:space="preserve"> </w:t>
      </w:r>
      <w:r>
        <w:rPr>
          <w:rFonts w:ascii="宋体" w:hAnsi="宋体" w:eastAsia="宋体" w:cs="宋体"/>
          <w:color w:val="auto"/>
          <w:spacing w:val="3"/>
          <w:sz w:val="20"/>
          <w:szCs w:val="20"/>
          <w:lang w:eastAsia="zh-CN"/>
        </w:rPr>
        <w:t>日为止）。</w:t>
      </w:r>
    </w:p>
    <w:p w14:paraId="21F5F6F4">
      <w:pPr>
        <w:spacing w:before="142" w:line="228" w:lineRule="auto"/>
        <w:ind w:left="228"/>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w:t>
      </w:r>
      <w:r>
        <w:rPr>
          <w:rFonts w:ascii="Tahoma" w:hAnsi="Tahoma" w:eastAsia="Tahoma" w:cs="Tahoma"/>
          <w:color w:val="auto"/>
          <w:spacing w:val="6"/>
          <w:sz w:val="20"/>
          <w:szCs w:val="20"/>
          <w:lang w:eastAsia="zh-CN"/>
        </w:rPr>
        <w:t>1</w:t>
      </w:r>
      <w:r>
        <w:rPr>
          <w:rFonts w:ascii="宋体" w:hAnsi="宋体" w:eastAsia="宋体" w:cs="宋体"/>
          <w:color w:val="auto"/>
          <w:spacing w:val="6"/>
          <w:sz w:val="20"/>
          <w:szCs w:val="20"/>
          <w:lang w:eastAsia="zh-CN"/>
        </w:rPr>
        <w:t>）资产总额</w:t>
      </w:r>
      <w:r>
        <w:rPr>
          <w:rFonts w:ascii="宋体" w:hAnsi="宋体" w:eastAsia="宋体" w:cs="宋体"/>
          <w:color w:val="auto"/>
          <w:spacing w:val="-9"/>
          <w:sz w:val="20"/>
          <w:szCs w:val="20"/>
          <w:lang w:eastAsia="zh-CN"/>
        </w:rPr>
        <w:t>：</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pacing w:val="-57"/>
          <w:sz w:val="20"/>
          <w:szCs w:val="20"/>
          <w:lang w:eastAsia="zh-CN"/>
        </w:rPr>
        <w:t xml:space="preserve"> </w:t>
      </w:r>
      <w:r>
        <w:rPr>
          <w:rFonts w:ascii="宋体" w:hAnsi="宋体" w:eastAsia="宋体" w:cs="宋体"/>
          <w:color w:val="auto"/>
          <w:spacing w:val="-9"/>
          <w:sz w:val="20"/>
          <w:szCs w:val="20"/>
          <w:lang w:eastAsia="zh-CN"/>
        </w:rPr>
        <w:t>；（</w:t>
      </w:r>
      <w:r>
        <w:rPr>
          <w:rFonts w:ascii="Tahoma" w:hAnsi="Tahoma" w:eastAsia="Tahoma" w:cs="Tahoma"/>
          <w:color w:val="auto"/>
          <w:spacing w:val="6"/>
          <w:sz w:val="20"/>
          <w:szCs w:val="20"/>
          <w:lang w:eastAsia="zh-CN"/>
        </w:rPr>
        <w:t>2</w:t>
      </w:r>
      <w:r>
        <w:rPr>
          <w:rFonts w:ascii="宋体" w:hAnsi="宋体" w:eastAsia="宋体" w:cs="宋体"/>
          <w:color w:val="auto"/>
          <w:spacing w:val="6"/>
          <w:sz w:val="20"/>
          <w:szCs w:val="20"/>
          <w:lang w:eastAsia="zh-CN"/>
        </w:rPr>
        <w:t>）固定资产：</w:t>
      </w:r>
      <w:r>
        <w:rPr>
          <w:rFonts w:ascii="宋体" w:hAnsi="宋体" w:eastAsia="宋体" w:cs="宋体"/>
          <w:color w:val="auto"/>
          <w:spacing w:val="6"/>
          <w:sz w:val="20"/>
          <w:szCs w:val="20"/>
          <w:u w:val="single"/>
          <w:lang w:eastAsia="zh-CN"/>
        </w:rPr>
        <w:t xml:space="preserve">                                </w:t>
      </w:r>
    </w:p>
    <w:p w14:paraId="44ED3B1B">
      <w:pPr>
        <w:spacing w:before="144" w:line="228" w:lineRule="auto"/>
        <w:ind w:left="228"/>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w:t>
      </w:r>
      <w:r>
        <w:rPr>
          <w:rFonts w:ascii="Tahoma" w:hAnsi="Tahoma" w:eastAsia="Tahoma" w:cs="Tahoma"/>
          <w:color w:val="auto"/>
          <w:spacing w:val="6"/>
          <w:sz w:val="20"/>
          <w:szCs w:val="20"/>
          <w:lang w:eastAsia="zh-CN"/>
        </w:rPr>
        <w:t>3</w:t>
      </w:r>
      <w:r>
        <w:rPr>
          <w:rFonts w:ascii="宋体" w:hAnsi="宋体" w:eastAsia="宋体" w:cs="宋体"/>
          <w:color w:val="auto"/>
          <w:spacing w:val="6"/>
          <w:sz w:val="20"/>
          <w:szCs w:val="20"/>
          <w:lang w:eastAsia="zh-CN"/>
        </w:rPr>
        <w:t>）流动资产</w:t>
      </w:r>
      <w:r>
        <w:rPr>
          <w:rFonts w:ascii="宋体" w:hAnsi="宋体" w:eastAsia="宋体" w:cs="宋体"/>
          <w:color w:val="auto"/>
          <w:spacing w:val="-10"/>
          <w:sz w:val="20"/>
          <w:szCs w:val="20"/>
          <w:lang w:eastAsia="zh-CN"/>
        </w:rPr>
        <w:t>：</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pacing w:val="-56"/>
          <w:sz w:val="20"/>
          <w:szCs w:val="20"/>
          <w:lang w:eastAsia="zh-CN"/>
        </w:rPr>
        <w:t xml:space="preserve"> </w:t>
      </w:r>
      <w:r>
        <w:rPr>
          <w:rFonts w:ascii="宋体" w:hAnsi="宋体" w:eastAsia="宋体" w:cs="宋体"/>
          <w:color w:val="auto"/>
          <w:spacing w:val="-10"/>
          <w:sz w:val="20"/>
          <w:szCs w:val="20"/>
          <w:lang w:eastAsia="zh-CN"/>
        </w:rPr>
        <w:t>；（</w:t>
      </w:r>
      <w:r>
        <w:rPr>
          <w:rFonts w:ascii="Tahoma" w:hAnsi="Tahoma" w:eastAsia="Tahoma" w:cs="Tahoma"/>
          <w:color w:val="auto"/>
          <w:spacing w:val="6"/>
          <w:sz w:val="20"/>
          <w:szCs w:val="20"/>
          <w:lang w:eastAsia="zh-CN"/>
        </w:rPr>
        <w:t>4</w:t>
      </w:r>
      <w:r>
        <w:rPr>
          <w:rFonts w:ascii="宋体" w:hAnsi="宋体" w:eastAsia="宋体" w:cs="宋体"/>
          <w:color w:val="auto"/>
          <w:spacing w:val="6"/>
          <w:sz w:val="20"/>
          <w:szCs w:val="20"/>
          <w:lang w:eastAsia="zh-CN"/>
        </w:rPr>
        <w:t>）净资产：</w:t>
      </w:r>
      <w:r>
        <w:rPr>
          <w:rFonts w:ascii="宋体" w:hAnsi="宋体" w:eastAsia="宋体" w:cs="宋体"/>
          <w:color w:val="auto"/>
          <w:spacing w:val="6"/>
          <w:sz w:val="20"/>
          <w:szCs w:val="20"/>
          <w:u w:val="single"/>
          <w:lang w:eastAsia="zh-CN"/>
        </w:rPr>
        <w:t xml:space="preserve">                              </w:t>
      </w:r>
      <w:r>
        <w:rPr>
          <w:rFonts w:ascii="宋体" w:hAnsi="宋体" w:eastAsia="宋体" w:cs="宋体"/>
          <w:color w:val="auto"/>
          <w:spacing w:val="5"/>
          <w:sz w:val="20"/>
          <w:szCs w:val="20"/>
          <w:u w:val="single"/>
          <w:lang w:eastAsia="zh-CN"/>
        </w:rPr>
        <w:t xml:space="preserve">    </w:t>
      </w:r>
    </w:p>
    <w:p w14:paraId="0E12136D">
      <w:pPr>
        <w:spacing w:before="142" w:line="228" w:lineRule="auto"/>
        <w:ind w:left="228"/>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w:t>
      </w:r>
      <w:r>
        <w:rPr>
          <w:rFonts w:ascii="Tahoma" w:hAnsi="Tahoma" w:eastAsia="Tahoma" w:cs="Tahoma"/>
          <w:color w:val="auto"/>
          <w:spacing w:val="6"/>
          <w:sz w:val="20"/>
          <w:szCs w:val="20"/>
          <w:lang w:eastAsia="zh-CN"/>
        </w:rPr>
        <w:t>5</w:t>
      </w:r>
      <w:r>
        <w:rPr>
          <w:rFonts w:ascii="宋体" w:hAnsi="宋体" w:eastAsia="宋体" w:cs="宋体"/>
          <w:color w:val="auto"/>
          <w:spacing w:val="6"/>
          <w:sz w:val="20"/>
          <w:szCs w:val="20"/>
          <w:lang w:eastAsia="zh-CN"/>
        </w:rPr>
        <w:t>）长期负债</w:t>
      </w:r>
      <w:r>
        <w:rPr>
          <w:rFonts w:ascii="宋体" w:hAnsi="宋体" w:eastAsia="宋体" w:cs="宋体"/>
          <w:color w:val="auto"/>
          <w:spacing w:val="-9"/>
          <w:sz w:val="20"/>
          <w:szCs w:val="20"/>
          <w:lang w:eastAsia="zh-CN"/>
        </w:rPr>
        <w:t>：</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pacing w:val="-57"/>
          <w:sz w:val="20"/>
          <w:szCs w:val="20"/>
          <w:lang w:eastAsia="zh-CN"/>
        </w:rPr>
        <w:t xml:space="preserve"> </w:t>
      </w:r>
      <w:r>
        <w:rPr>
          <w:rFonts w:ascii="宋体" w:hAnsi="宋体" w:eastAsia="宋体" w:cs="宋体"/>
          <w:color w:val="auto"/>
          <w:spacing w:val="-9"/>
          <w:sz w:val="20"/>
          <w:szCs w:val="20"/>
          <w:lang w:eastAsia="zh-CN"/>
        </w:rPr>
        <w:t>；（</w:t>
      </w:r>
      <w:r>
        <w:rPr>
          <w:rFonts w:ascii="Tahoma" w:hAnsi="Tahoma" w:eastAsia="Tahoma" w:cs="Tahoma"/>
          <w:color w:val="auto"/>
          <w:spacing w:val="6"/>
          <w:sz w:val="20"/>
          <w:szCs w:val="20"/>
          <w:lang w:eastAsia="zh-CN"/>
        </w:rPr>
        <w:t>6</w:t>
      </w:r>
      <w:r>
        <w:rPr>
          <w:rFonts w:ascii="宋体" w:hAnsi="宋体" w:eastAsia="宋体" w:cs="宋体"/>
          <w:color w:val="auto"/>
          <w:spacing w:val="6"/>
          <w:sz w:val="20"/>
          <w:szCs w:val="20"/>
          <w:lang w:eastAsia="zh-CN"/>
        </w:rPr>
        <w:t>）流动负债：</w:t>
      </w:r>
      <w:r>
        <w:rPr>
          <w:rFonts w:ascii="宋体" w:hAnsi="宋体" w:eastAsia="宋体" w:cs="宋体"/>
          <w:color w:val="auto"/>
          <w:spacing w:val="6"/>
          <w:sz w:val="20"/>
          <w:szCs w:val="20"/>
          <w:u w:val="single"/>
          <w:lang w:eastAsia="zh-CN"/>
        </w:rPr>
        <w:t xml:space="preserve">                                </w:t>
      </w:r>
    </w:p>
    <w:p w14:paraId="530F8F0A">
      <w:pPr>
        <w:spacing w:before="144" w:line="228" w:lineRule="auto"/>
        <w:ind w:left="228"/>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w:t>
      </w:r>
      <w:r>
        <w:rPr>
          <w:rFonts w:ascii="Tahoma" w:hAnsi="Tahoma" w:eastAsia="Tahoma" w:cs="Tahoma"/>
          <w:color w:val="auto"/>
          <w:spacing w:val="6"/>
          <w:sz w:val="20"/>
          <w:szCs w:val="20"/>
          <w:lang w:eastAsia="zh-CN"/>
        </w:rPr>
        <w:t>7</w:t>
      </w:r>
      <w:r>
        <w:rPr>
          <w:rFonts w:ascii="宋体" w:hAnsi="宋体" w:eastAsia="宋体" w:cs="宋体"/>
          <w:color w:val="auto"/>
          <w:spacing w:val="6"/>
          <w:sz w:val="20"/>
          <w:szCs w:val="20"/>
          <w:lang w:eastAsia="zh-CN"/>
        </w:rPr>
        <w:t>）营业收入</w:t>
      </w:r>
      <w:r>
        <w:rPr>
          <w:rFonts w:ascii="宋体" w:hAnsi="宋体" w:eastAsia="宋体" w:cs="宋体"/>
          <w:color w:val="auto"/>
          <w:spacing w:val="-10"/>
          <w:sz w:val="20"/>
          <w:szCs w:val="20"/>
          <w:lang w:eastAsia="zh-CN"/>
        </w:rPr>
        <w:t>：</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pacing w:val="-10"/>
          <w:sz w:val="20"/>
          <w:szCs w:val="20"/>
          <w:lang w:eastAsia="zh-CN"/>
        </w:rPr>
        <w:t>（</w:t>
      </w:r>
      <w:r>
        <w:rPr>
          <w:rFonts w:ascii="Tahoma" w:hAnsi="Tahoma" w:eastAsia="Tahoma" w:cs="Tahoma"/>
          <w:color w:val="auto"/>
          <w:spacing w:val="6"/>
          <w:sz w:val="20"/>
          <w:szCs w:val="20"/>
          <w:lang w:eastAsia="zh-CN"/>
        </w:rPr>
        <w:t>8</w:t>
      </w:r>
      <w:r>
        <w:rPr>
          <w:rFonts w:ascii="宋体" w:hAnsi="宋体" w:eastAsia="宋体" w:cs="宋体"/>
          <w:color w:val="auto"/>
          <w:spacing w:val="6"/>
          <w:sz w:val="20"/>
          <w:szCs w:val="20"/>
          <w:lang w:eastAsia="zh-CN"/>
        </w:rPr>
        <w:t>）净利润：</w:t>
      </w:r>
      <w:r>
        <w:rPr>
          <w:rFonts w:ascii="宋体" w:hAnsi="宋体" w:eastAsia="宋体" w:cs="宋体"/>
          <w:color w:val="auto"/>
          <w:spacing w:val="6"/>
          <w:sz w:val="20"/>
          <w:szCs w:val="20"/>
          <w:u w:val="single"/>
          <w:lang w:eastAsia="zh-CN"/>
        </w:rPr>
        <w:t xml:space="preserve">                              </w:t>
      </w:r>
      <w:r>
        <w:rPr>
          <w:rFonts w:ascii="宋体" w:hAnsi="宋体" w:eastAsia="宋体" w:cs="宋体"/>
          <w:color w:val="auto"/>
          <w:spacing w:val="5"/>
          <w:sz w:val="20"/>
          <w:szCs w:val="20"/>
          <w:u w:val="single"/>
          <w:lang w:eastAsia="zh-CN"/>
        </w:rPr>
        <w:t xml:space="preserve">    </w:t>
      </w:r>
    </w:p>
    <w:p w14:paraId="28CE60FD">
      <w:pPr>
        <w:spacing w:before="142" w:line="227" w:lineRule="auto"/>
        <w:ind w:right="1"/>
        <w:jc w:val="right"/>
        <w:rPr>
          <w:rFonts w:ascii="宋体" w:hAnsi="宋体" w:eastAsia="宋体" w:cs="宋体"/>
          <w:color w:val="auto"/>
          <w:sz w:val="20"/>
          <w:szCs w:val="20"/>
          <w:lang w:eastAsia="zh-CN"/>
        </w:rPr>
      </w:pPr>
      <w:r>
        <w:rPr>
          <w:rFonts w:ascii="Tahoma" w:hAnsi="Tahoma" w:eastAsia="Tahoma" w:cs="Tahoma"/>
          <w:b/>
          <w:bCs/>
          <w:color w:val="auto"/>
          <w:spacing w:val="8"/>
          <w:sz w:val="20"/>
          <w:szCs w:val="20"/>
          <w:lang w:eastAsia="zh-CN"/>
        </w:rPr>
        <w:t>2</w:t>
      </w:r>
      <w:r>
        <w:rPr>
          <w:rFonts w:ascii="Tahoma" w:hAnsi="Tahoma" w:eastAsia="Tahoma" w:cs="Tahoma"/>
          <w:b/>
          <w:bCs/>
          <w:color w:val="auto"/>
          <w:spacing w:val="-15"/>
          <w:sz w:val="20"/>
          <w:szCs w:val="20"/>
          <w:lang w:eastAsia="zh-CN"/>
        </w:rPr>
        <w:t xml:space="preserve"> </w:t>
      </w:r>
      <w:r>
        <w:rPr>
          <w:rFonts w:ascii="宋体" w:hAnsi="宋体" w:eastAsia="宋体" w:cs="宋体"/>
          <w:color w:val="auto"/>
          <w:spacing w:val="8"/>
          <w:sz w:val="20"/>
          <w:szCs w:val="20"/>
          <w:lang w:eastAsia="zh-CN"/>
          <w14:textOutline w14:w="3797" w14:cap="sq" w14:cmpd="sng" w14:algn="ctr">
            <w14:solidFill>
              <w14:srgbClr w14:val="000000"/>
            </w14:solidFill>
            <w14:prstDash w14:val="solid"/>
            <w14:bevel/>
          </w14:textOutline>
        </w:rPr>
        <w:t>．我方在此尊重声明</w:t>
      </w:r>
      <w:r>
        <w:rPr>
          <w:rFonts w:ascii="宋体" w:hAnsi="宋体" w:eastAsia="宋体" w:cs="宋体"/>
          <w:color w:val="auto"/>
          <w:spacing w:val="8"/>
          <w:sz w:val="20"/>
          <w:szCs w:val="20"/>
          <w:lang w:eastAsia="zh-CN"/>
        </w:rPr>
        <w:t>：我方具备并满足下列各项条款的规定。本声明如有虚假或不实之处，我方将失去合格</w:t>
      </w:r>
    </w:p>
    <w:p w14:paraId="28E19392">
      <w:pPr>
        <w:spacing w:before="145" w:line="227" w:lineRule="auto"/>
        <w:ind w:left="6"/>
        <w:rPr>
          <w:rFonts w:ascii="宋体" w:hAnsi="宋体" w:eastAsia="宋体" w:cs="宋体"/>
          <w:color w:val="auto"/>
          <w:sz w:val="20"/>
          <w:szCs w:val="20"/>
          <w:lang w:eastAsia="zh-CN"/>
        </w:rPr>
      </w:pP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资格且我方的投标保证金将不予退还。</w:t>
      </w:r>
    </w:p>
    <w:p w14:paraId="7F2F423C">
      <w:pPr>
        <w:spacing w:before="144" w:line="389" w:lineRule="exact"/>
        <w:ind w:left="228"/>
        <w:rPr>
          <w:rFonts w:ascii="宋体" w:hAnsi="宋体" w:eastAsia="宋体" w:cs="宋体"/>
          <w:color w:val="auto"/>
          <w:sz w:val="20"/>
          <w:szCs w:val="20"/>
          <w:lang w:eastAsia="zh-CN"/>
        </w:rPr>
      </w:pPr>
      <w:r>
        <w:rPr>
          <w:rFonts w:ascii="宋体" w:hAnsi="宋体" w:eastAsia="宋体" w:cs="宋体"/>
          <w:color w:val="auto"/>
          <w:spacing w:val="8"/>
          <w:position w:val="13"/>
          <w:sz w:val="20"/>
          <w:szCs w:val="20"/>
          <w:lang w:eastAsia="zh-CN"/>
        </w:rPr>
        <w:t>（</w:t>
      </w:r>
      <w:r>
        <w:rPr>
          <w:rFonts w:hint="eastAsia" w:ascii="宋体" w:hAnsi="宋体" w:eastAsia="宋体" w:cs="宋体"/>
          <w:color w:val="auto"/>
          <w:spacing w:val="8"/>
          <w:position w:val="13"/>
          <w:sz w:val="20"/>
          <w:szCs w:val="20"/>
          <w:lang w:eastAsia="zh-CN"/>
        </w:rPr>
        <w:t>1</w:t>
      </w:r>
      <w:r>
        <w:rPr>
          <w:rFonts w:ascii="宋体" w:hAnsi="宋体" w:eastAsia="宋体" w:cs="宋体"/>
          <w:color w:val="auto"/>
          <w:spacing w:val="8"/>
          <w:position w:val="13"/>
          <w:sz w:val="20"/>
          <w:szCs w:val="20"/>
          <w:lang w:eastAsia="zh-CN"/>
        </w:rPr>
        <w:t>）具有良好的商业信誉和健全的财务会计制度；</w:t>
      </w:r>
    </w:p>
    <w:p w14:paraId="53BE0CD7">
      <w:pPr>
        <w:spacing w:before="1" w:line="226" w:lineRule="auto"/>
        <w:ind w:left="228"/>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hint="eastAsia" w:ascii="宋体" w:hAnsi="宋体" w:eastAsia="宋体" w:cs="宋体"/>
          <w:color w:val="auto"/>
          <w:spacing w:val="8"/>
          <w:sz w:val="20"/>
          <w:szCs w:val="20"/>
          <w:lang w:eastAsia="zh-CN"/>
        </w:rPr>
        <w:t>2</w:t>
      </w:r>
      <w:r>
        <w:rPr>
          <w:rFonts w:ascii="宋体" w:hAnsi="宋体" w:eastAsia="宋体" w:cs="宋体"/>
          <w:color w:val="auto"/>
          <w:spacing w:val="8"/>
          <w:sz w:val="20"/>
          <w:szCs w:val="20"/>
          <w:lang w:eastAsia="zh-CN"/>
        </w:rPr>
        <w:t>）具有履行合同所必需的货物和专业技术能力；</w:t>
      </w:r>
    </w:p>
    <w:p w14:paraId="12E37E34">
      <w:pPr>
        <w:spacing w:before="145" w:line="227" w:lineRule="auto"/>
        <w:ind w:left="228"/>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hint="eastAsia" w:ascii="宋体" w:hAnsi="宋体" w:eastAsia="宋体" w:cs="宋体"/>
          <w:color w:val="auto"/>
          <w:spacing w:val="8"/>
          <w:sz w:val="20"/>
          <w:szCs w:val="20"/>
          <w:lang w:eastAsia="zh-CN"/>
        </w:rPr>
        <w:t>3</w:t>
      </w:r>
      <w:r>
        <w:rPr>
          <w:rFonts w:ascii="宋体" w:hAnsi="宋体" w:eastAsia="宋体" w:cs="宋体"/>
          <w:color w:val="auto"/>
          <w:spacing w:val="8"/>
          <w:sz w:val="20"/>
          <w:szCs w:val="20"/>
          <w:lang w:eastAsia="zh-CN"/>
        </w:rPr>
        <w:t>）有依法缴纳税收和社会保障资金的良好记录</w:t>
      </w:r>
      <w:r>
        <w:rPr>
          <w:rFonts w:hint="eastAsia" w:ascii="宋体" w:hAnsi="宋体" w:eastAsia="宋体" w:cs="宋体"/>
          <w:color w:val="auto"/>
          <w:spacing w:val="8"/>
          <w:sz w:val="20"/>
          <w:szCs w:val="20"/>
          <w:lang w:eastAsia="zh-CN"/>
        </w:rPr>
        <w:t>；</w:t>
      </w:r>
    </w:p>
    <w:p w14:paraId="5C578986">
      <w:pPr>
        <w:spacing w:before="143" w:line="228" w:lineRule="auto"/>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w:t>
      </w:r>
      <w:r>
        <w:rPr>
          <w:rFonts w:hint="eastAsia" w:ascii="宋体" w:hAnsi="宋体" w:eastAsia="宋体" w:cs="宋体"/>
          <w:color w:val="auto"/>
          <w:spacing w:val="8"/>
          <w:sz w:val="20"/>
          <w:szCs w:val="20"/>
          <w:lang w:eastAsia="zh-CN"/>
        </w:rPr>
        <w:t>4</w:t>
      </w:r>
      <w:r>
        <w:rPr>
          <w:rFonts w:ascii="宋体" w:hAnsi="宋体" w:eastAsia="宋体" w:cs="宋体"/>
          <w:color w:val="auto"/>
          <w:spacing w:val="8"/>
          <w:sz w:val="20"/>
          <w:szCs w:val="20"/>
          <w:lang w:eastAsia="zh-CN"/>
        </w:rPr>
        <w:t>）近三年内，在经营活动中没有重大违法记录；</w:t>
      </w:r>
    </w:p>
    <w:p w14:paraId="36F34A89">
      <w:pPr>
        <w:spacing w:before="144" w:line="227" w:lineRule="auto"/>
        <w:ind w:right="1"/>
        <w:jc w:val="right"/>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就我方全部所知，兹证明上述声明是真实、正确的</w:t>
      </w:r>
      <w:r>
        <w:rPr>
          <w:rFonts w:hint="eastAsia" w:ascii="宋体" w:hAnsi="宋体" w:eastAsia="宋体" w:cs="宋体"/>
          <w:color w:val="auto"/>
          <w:spacing w:val="10"/>
          <w:sz w:val="20"/>
          <w:szCs w:val="20"/>
          <w:lang w:eastAsia="zh-CN"/>
        </w:rPr>
        <w:t>，</w:t>
      </w:r>
      <w:r>
        <w:rPr>
          <w:rFonts w:ascii="宋体" w:hAnsi="宋体" w:eastAsia="宋体" w:cs="宋体"/>
          <w:color w:val="auto"/>
          <w:spacing w:val="10"/>
          <w:sz w:val="20"/>
          <w:szCs w:val="20"/>
          <w:lang w:eastAsia="zh-CN"/>
        </w:rPr>
        <w:t>并已提</w:t>
      </w:r>
      <w:r>
        <w:rPr>
          <w:rFonts w:ascii="宋体" w:hAnsi="宋体" w:eastAsia="宋体" w:cs="宋体"/>
          <w:color w:val="auto"/>
          <w:spacing w:val="9"/>
          <w:sz w:val="20"/>
          <w:szCs w:val="20"/>
          <w:lang w:eastAsia="zh-CN"/>
        </w:rPr>
        <w:t>供了全部现有资料和数据，我方同意根据贵</w:t>
      </w:r>
    </w:p>
    <w:p w14:paraId="4AA35BD2">
      <w:pPr>
        <w:spacing w:before="143" w:line="228" w:lineRule="auto"/>
        <w:ind w:left="7"/>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方要求出示文件予以证实。</w:t>
      </w:r>
    </w:p>
    <w:p w14:paraId="51EA5DE2">
      <w:pPr>
        <w:pStyle w:val="8"/>
        <w:spacing w:line="465" w:lineRule="auto"/>
        <w:rPr>
          <w:color w:val="auto"/>
          <w:lang w:eastAsia="zh-CN"/>
        </w:rPr>
      </w:pPr>
    </w:p>
    <w:p w14:paraId="3F40C1F0">
      <w:pPr>
        <w:spacing w:before="65" w:line="227" w:lineRule="auto"/>
        <w:ind w:left="4523"/>
        <w:rPr>
          <w:rFonts w:ascii="宋体" w:hAnsi="宋体" w:eastAsia="宋体" w:cs="宋体"/>
          <w:color w:val="auto"/>
          <w:sz w:val="20"/>
          <w:szCs w:val="20"/>
          <w:lang w:eastAsia="zh-CN"/>
        </w:rPr>
      </w:pP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（加盖公章</w:t>
      </w:r>
      <w:r>
        <w:rPr>
          <w:rFonts w:ascii="宋体" w:hAnsi="宋体" w:eastAsia="宋体" w:cs="宋体"/>
          <w:color w:val="auto"/>
          <w:spacing w:val="13"/>
          <w:sz w:val="20"/>
          <w:szCs w:val="20"/>
          <w:lang w:eastAsia="zh-CN"/>
        </w:rPr>
        <w:t>）：</w:t>
      </w:r>
      <w:r>
        <w:rPr>
          <w:rFonts w:ascii="宋体" w:hAnsi="宋体" w:eastAsia="宋体" w:cs="宋体"/>
          <w:color w:val="auto"/>
          <w:sz w:val="20"/>
          <w:szCs w:val="20"/>
          <w:u w:val="single"/>
          <w:lang w:eastAsia="zh-CN"/>
        </w:rPr>
        <w:t xml:space="preserve">                           </w:t>
      </w:r>
    </w:p>
    <w:p w14:paraId="2499AFE3">
      <w:pPr>
        <w:spacing w:before="146" w:line="237" w:lineRule="auto"/>
        <w:ind w:left="4523"/>
        <w:rPr>
          <w:rFonts w:ascii="宋体" w:hAnsi="宋体" w:eastAsia="宋体" w:cs="宋体"/>
          <w:color w:val="auto"/>
          <w:sz w:val="20"/>
          <w:szCs w:val="20"/>
          <w:lang w:eastAsia="zh-CN"/>
        </w:rPr>
      </w:pPr>
      <w:r>
        <w:rPr>
          <w:rFonts w:ascii="宋体" w:hAnsi="宋体" w:eastAsia="宋体" w:cs="宋体"/>
          <w:color w:val="auto"/>
          <w:spacing w:val="1"/>
          <w:sz w:val="20"/>
          <w:szCs w:val="20"/>
          <w:lang w:eastAsia="zh-CN"/>
        </w:rPr>
        <w:t>地</w:t>
      </w:r>
      <w:r>
        <w:rPr>
          <w:rFonts w:ascii="宋体" w:hAnsi="宋体" w:eastAsia="宋体" w:cs="宋体"/>
          <w:color w:val="auto"/>
          <w:spacing w:val="6"/>
          <w:sz w:val="20"/>
          <w:szCs w:val="20"/>
          <w:lang w:eastAsia="zh-CN"/>
        </w:rPr>
        <w:t xml:space="preserve">             </w:t>
      </w:r>
      <w:r>
        <w:rPr>
          <w:rFonts w:ascii="宋体" w:hAnsi="宋体" w:eastAsia="宋体" w:cs="宋体"/>
          <w:color w:val="auto"/>
          <w:spacing w:val="1"/>
          <w:sz w:val="20"/>
          <w:szCs w:val="20"/>
          <w:lang w:eastAsia="zh-CN"/>
        </w:rPr>
        <w:t>址：</w:t>
      </w:r>
      <w:r>
        <w:rPr>
          <w:rFonts w:ascii="宋体" w:hAnsi="宋体" w:eastAsia="宋体" w:cs="宋体"/>
          <w:color w:val="auto"/>
          <w:spacing w:val="1"/>
          <w:sz w:val="20"/>
          <w:szCs w:val="20"/>
          <w:u w:val="single"/>
          <w:lang w:eastAsia="zh-CN"/>
        </w:rPr>
        <w:t xml:space="preserve">                          </w:t>
      </w:r>
    </w:p>
    <w:p w14:paraId="5BCDBDCA">
      <w:pPr>
        <w:spacing w:before="131" w:line="228" w:lineRule="auto"/>
        <w:ind w:left="4539"/>
        <w:rPr>
          <w:rFonts w:ascii="宋体" w:hAnsi="宋体" w:eastAsia="宋体" w:cs="宋体"/>
          <w:color w:val="auto"/>
          <w:sz w:val="20"/>
          <w:szCs w:val="20"/>
          <w:lang w:eastAsia="zh-CN"/>
        </w:rPr>
      </w:pPr>
      <w:r>
        <w:rPr>
          <w:rFonts w:ascii="宋体" w:hAnsi="宋体" w:eastAsia="宋体" w:cs="宋体"/>
          <w:color w:val="auto"/>
          <w:spacing w:val="-2"/>
          <w:sz w:val="20"/>
          <w:szCs w:val="20"/>
          <w:lang w:eastAsia="zh-CN"/>
        </w:rPr>
        <w:t>邮</w:t>
      </w:r>
      <w:r>
        <w:rPr>
          <w:rFonts w:ascii="宋体" w:hAnsi="宋体" w:eastAsia="宋体" w:cs="宋体"/>
          <w:color w:val="auto"/>
          <w:spacing w:val="5"/>
          <w:sz w:val="20"/>
          <w:szCs w:val="20"/>
          <w:lang w:eastAsia="zh-CN"/>
        </w:rPr>
        <w:t xml:space="preserve">             </w:t>
      </w:r>
      <w:r>
        <w:rPr>
          <w:rFonts w:ascii="宋体" w:hAnsi="宋体" w:eastAsia="宋体" w:cs="宋体"/>
          <w:color w:val="auto"/>
          <w:spacing w:val="-2"/>
          <w:sz w:val="20"/>
          <w:szCs w:val="20"/>
          <w:lang w:eastAsia="zh-CN"/>
        </w:rPr>
        <w:t>编：</w:t>
      </w:r>
      <w:r>
        <w:rPr>
          <w:rFonts w:ascii="宋体" w:hAnsi="宋体" w:eastAsia="宋体" w:cs="宋体"/>
          <w:color w:val="auto"/>
          <w:sz w:val="20"/>
          <w:szCs w:val="20"/>
          <w:u w:val="single"/>
          <w:lang w:eastAsia="zh-CN"/>
        </w:rPr>
        <w:t xml:space="preserve">                           </w:t>
      </w:r>
    </w:p>
    <w:p w14:paraId="625B046B">
      <w:pPr>
        <w:spacing w:before="108" w:line="310" w:lineRule="auto"/>
        <w:ind w:left="4523" w:right="734" w:firstLine="24"/>
        <w:rPr>
          <w:rFonts w:ascii="宋体" w:hAnsi="宋体" w:eastAsia="宋体" w:cs="宋体"/>
          <w:color w:val="auto"/>
          <w:sz w:val="20"/>
          <w:szCs w:val="20"/>
          <w:lang w:eastAsia="zh-CN"/>
        </w:rPr>
      </w:pPr>
      <w:r>
        <w:rPr>
          <w:rFonts w:ascii="宋体" w:hAnsi="宋体" w:eastAsia="宋体" w:cs="宋体"/>
          <w:color w:val="auto"/>
          <w:spacing w:val="1"/>
          <w:sz w:val="20"/>
          <w:szCs w:val="20"/>
          <w:lang w:eastAsia="zh-CN"/>
        </w:rPr>
        <w:t>电</w:t>
      </w:r>
      <w:r>
        <w:rPr>
          <w:rFonts w:ascii="宋体" w:hAnsi="宋体" w:eastAsia="宋体" w:cs="宋体"/>
          <w:color w:val="auto"/>
          <w:spacing w:val="7"/>
          <w:sz w:val="20"/>
          <w:szCs w:val="20"/>
          <w:lang w:eastAsia="zh-CN"/>
        </w:rPr>
        <w:t xml:space="preserve">    </w:t>
      </w:r>
      <w:r>
        <w:rPr>
          <w:rFonts w:ascii="宋体" w:hAnsi="宋体" w:eastAsia="宋体" w:cs="宋体"/>
          <w:color w:val="auto"/>
          <w:spacing w:val="1"/>
          <w:sz w:val="20"/>
          <w:szCs w:val="20"/>
          <w:lang w:eastAsia="zh-CN"/>
        </w:rPr>
        <w:t>话</w:t>
      </w:r>
      <w:r>
        <w:rPr>
          <w:rFonts w:ascii="Tahoma" w:hAnsi="Tahoma" w:eastAsia="Tahoma" w:cs="Tahoma"/>
          <w:color w:val="auto"/>
          <w:spacing w:val="1"/>
          <w:sz w:val="20"/>
          <w:szCs w:val="20"/>
          <w:lang w:eastAsia="zh-CN"/>
        </w:rPr>
        <w:t>/</w:t>
      </w:r>
      <w:r>
        <w:rPr>
          <w:rFonts w:ascii="宋体" w:hAnsi="宋体" w:eastAsia="宋体" w:cs="宋体"/>
          <w:color w:val="auto"/>
          <w:spacing w:val="1"/>
          <w:sz w:val="20"/>
          <w:szCs w:val="20"/>
          <w:lang w:eastAsia="zh-CN"/>
        </w:rPr>
        <w:t>传</w:t>
      </w:r>
      <w:r>
        <w:rPr>
          <w:rFonts w:ascii="宋体" w:hAnsi="宋体" w:eastAsia="宋体" w:cs="宋体"/>
          <w:color w:val="auto"/>
          <w:spacing w:val="8"/>
          <w:sz w:val="20"/>
          <w:szCs w:val="20"/>
          <w:lang w:eastAsia="zh-CN"/>
        </w:rPr>
        <w:t xml:space="preserve">    </w:t>
      </w:r>
      <w:r>
        <w:rPr>
          <w:rFonts w:ascii="宋体" w:hAnsi="宋体" w:eastAsia="宋体" w:cs="宋体"/>
          <w:color w:val="auto"/>
          <w:spacing w:val="1"/>
          <w:sz w:val="20"/>
          <w:szCs w:val="20"/>
          <w:lang w:eastAsia="zh-CN"/>
        </w:rPr>
        <w:t>真：</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z w:val="20"/>
          <w:szCs w:val="20"/>
          <w:u w:val="single"/>
          <w:lang w:eastAsia="zh-CN"/>
        </w:rPr>
        <w:t xml:space="preserve">          </w:t>
      </w:r>
      <w:r>
        <w:rPr>
          <w:rFonts w:ascii="宋体" w:hAnsi="宋体" w:eastAsia="宋体" w:cs="宋体"/>
          <w:color w:val="auto"/>
          <w:sz w:val="20"/>
          <w:szCs w:val="20"/>
          <w:lang w:eastAsia="zh-CN"/>
        </w:rPr>
        <w:t xml:space="preserve">  </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代表（签字</w:t>
      </w:r>
      <w:r>
        <w:rPr>
          <w:rFonts w:ascii="宋体" w:hAnsi="宋体" w:eastAsia="宋体" w:cs="宋体"/>
          <w:color w:val="auto"/>
          <w:spacing w:val="9"/>
          <w:sz w:val="20"/>
          <w:szCs w:val="20"/>
          <w:lang w:eastAsia="zh-CN"/>
        </w:rPr>
        <w:t>）：</w:t>
      </w:r>
      <w:r>
        <w:rPr>
          <w:rFonts w:ascii="宋体" w:hAnsi="宋体" w:eastAsia="宋体" w:cs="宋体"/>
          <w:color w:val="auto"/>
          <w:spacing w:val="11"/>
          <w:sz w:val="20"/>
          <w:szCs w:val="20"/>
          <w:lang w:eastAsia="zh-CN"/>
        </w:rPr>
        <w:t xml:space="preserve"> </w:t>
      </w:r>
      <w:r>
        <w:rPr>
          <w:rFonts w:ascii="宋体" w:hAnsi="宋体" w:eastAsia="宋体" w:cs="宋体"/>
          <w:color w:val="auto"/>
          <w:sz w:val="20"/>
          <w:szCs w:val="20"/>
          <w:u w:val="single"/>
          <w:lang w:eastAsia="zh-CN"/>
        </w:rPr>
        <w:t xml:space="preserve">                          </w:t>
      </w:r>
    </w:p>
    <w:p w14:paraId="0496A22E">
      <w:pPr>
        <w:pStyle w:val="8"/>
        <w:spacing w:line="301" w:lineRule="auto"/>
        <w:rPr>
          <w:color w:val="auto"/>
          <w:lang w:eastAsia="zh-CN"/>
        </w:rPr>
      </w:pPr>
    </w:p>
    <w:p w14:paraId="1AC00A8D">
      <w:pPr>
        <w:pStyle w:val="8"/>
        <w:spacing w:line="301" w:lineRule="auto"/>
        <w:rPr>
          <w:color w:val="auto"/>
          <w:lang w:eastAsia="zh-CN"/>
        </w:rPr>
      </w:pPr>
    </w:p>
    <w:p w14:paraId="421BFE02">
      <w:pPr>
        <w:spacing w:before="66" w:line="221" w:lineRule="auto"/>
        <w:ind w:left="10"/>
        <w:outlineLvl w:val="1"/>
        <w:rPr>
          <w:rFonts w:ascii="黑体" w:hAnsi="黑体" w:eastAsia="黑体" w:cs="黑体"/>
          <w:color w:val="auto"/>
          <w:sz w:val="20"/>
          <w:szCs w:val="20"/>
          <w:lang w:eastAsia="zh-CN"/>
        </w:rPr>
      </w:pPr>
      <w:bookmarkStart w:id="319" w:name="_Toc8211"/>
      <w:r>
        <w:rPr>
          <w:rFonts w:ascii="黑体" w:hAnsi="黑体" w:eastAsia="黑体" w:cs="黑体"/>
          <w:color w:val="auto"/>
          <w:spacing w:val="12"/>
          <w:sz w:val="20"/>
          <w:szCs w:val="20"/>
          <w:lang w:eastAsia="zh-CN"/>
          <w14:textOutline w14:w="3797" w14:cap="sq" w14:cmpd="sng" w14:algn="ctr">
            <w14:solidFill>
              <w14:srgbClr w14:val="000000"/>
            </w14:solidFill>
            <w14:prstDash w14:val="solid"/>
            <w14:bevel/>
          </w14:textOutline>
        </w:rPr>
        <w:t>说明：提供近一年的财务审计报告，或相关的财务报表（能充分证明其真实的财务状况）及</w:t>
      </w:r>
      <w:r>
        <w:rPr>
          <w:rFonts w:ascii="黑体" w:hAnsi="黑体" w:eastAsia="黑体" w:cs="黑体"/>
          <w:color w:val="auto"/>
          <w:spacing w:val="11"/>
          <w:sz w:val="20"/>
          <w:szCs w:val="20"/>
          <w:lang w:eastAsia="zh-CN"/>
          <w14:textOutline w14:w="3797" w14:cap="sq" w14:cmpd="sng" w14:algn="ctr">
            <w14:solidFill>
              <w14:srgbClr w14:val="000000"/>
            </w14:solidFill>
            <w14:prstDash w14:val="solid"/>
            <w14:bevel/>
          </w14:textOutline>
        </w:rPr>
        <w:t>依法缴纳税收</w:t>
      </w:r>
      <w:r>
        <w:rPr>
          <w:rFonts w:hint="eastAsia" w:ascii="黑体" w:hAnsi="黑体" w:eastAsia="黑体" w:cs="黑体"/>
          <w:color w:val="auto"/>
          <w:spacing w:val="11"/>
          <w:sz w:val="20"/>
          <w:szCs w:val="20"/>
          <w:lang w:eastAsia="zh-CN"/>
          <w14:textOutline w14:w="3797" w14:cap="sq" w14:cmpd="sng" w14:algn="ctr">
            <w14:solidFill>
              <w14:srgbClr w14:val="000000"/>
            </w14:solidFill>
            <w14:prstDash w14:val="solid"/>
            <w14:bevel/>
          </w14:textOutline>
        </w:rPr>
        <w:t>、社保</w:t>
      </w:r>
      <w:r>
        <w:rPr>
          <w:rFonts w:ascii="黑体" w:hAnsi="黑体" w:eastAsia="黑体" w:cs="黑体"/>
          <w:color w:val="auto"/>
          <w:spacing w:val="11"/>
          <w:sz w:val="20"/>
          <w:szCs w:val="20"/>
          <w:lang w:eastAsia="zh-CN"/>
          <w14:textOutline w14:w="3797" w14:cap="sq" w14:cmpd="sng" w14:algn="ctr">
            <w14:solidFill>
              <w14:srgbClr w14:val="000000"/>
            </w14:solidFill>
            <w14:prstDash w14:val="solid"/>
            <w14:bevel/>
          </w14:textOutline>
        </w:rPr>
        <w:t>的</w:t>
      </w:r>
      <w:r>
        <w:rPr>
          <w:rFonts w:ascii="黑体" w:hAnsi="黑体" w:eastAsia="黑体" w:cs="黑体"/>
          <w:color w:val="auto"/>
          <w:spacing w:val="9"/>
          <w:sz w:val="20"/>
          <w:szCs w:val="20"/>
          <w:lang w:eastAsia="zh-CN"/>
          <w14:textOutline w14:w="3797" w14:cap="sq" w14:cmpd="sng" w14:algn="ctr">
            <w14:solidFill>
              <w14:srgbClr w14:val="000000"/>
            </w14:solidFill>
            <w14:prstDash w14:val="solid"/>
            <w14:bevel/>
          </w14:textOutline>
        </w:rPr>
        <w:t>证明，将作为评审的依据！</w:t>
      </w:r>
      <w:bookmarkEnd w:id="319"/>
    </w:p>
    <w:p w14:paraId="4342EDEA">
      <w:pPr>
        <w:spacing w:line="221" w:lineRule="auto"/>
        <w:rPr>
          <w:rFonts w:ascii="黑体" w:hAnsi="黑体" w:eastAsia="黑体" w:cs="黑体"/>
          <w:color w:val="auto"/>
          <w:sz w:val="20"/>
          <w:szCs w:val="20"/>
          <w:lang w:eastAsia="zh-CN"/>
        </w:rPr>
        <w:sectPr>
          <w:footerReference r:id="rId59"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3AB36355">
      <w:pPr>
        <w:spacing w:before="164" w:line="222" w:lineRule="auto"/>
        <w:ind w:left="3117"/>
        <w:outlineLvl w:val="1"/>
        <w:rPr>
          <w:rFonts w:ascii="黑体" w:hAnsi="黑体" w:eastAsia="黑体" w:cs="黑体"/>
          <w:color w:val="auto"/>
          <w:sz w:val="28"/>
          <w:szCs w:val="28"/>
          <w:lang w:eastAsia="zh-CN"/>
        </w:rPr>
      </w:pPr>
      <w:bookmarkStart w:id="320" w:name="_Toc21766"/>
      <w:r>
        <w:rPr>
          <w:color w:val="auto"/>
          <w:lang w:eastAsia="zh-CN"/>
        </w:rPr>
        <mc:AlternateContent>
          <mc:Choice Requires="wps">
            <w:drawing>
              <wp:anchor distT="0" distB="0" distL="114300" distR="114300" simplePos="0" relativeHeight="251659264" behindDoc="0" locked="0" layoutInCell="0" allowOverlap="1">
                <wp:simplePos x="0" y="0"/>
                <wp:positionH relativeFrom="page">
                  <wp:posOffset>662940</wp:posOffset>
                </wp:positionH>
                <wp:positionV relativeFrom="page">
                  <wp:posOffset>4067810</wp:posOffset>
                </wp:positionV>
                <wp:extent cx="3101975" cy="1955800"/>
                <wp:effectExtent l="0" t="635" r="0" b="0"/>
                <wp:wrapNone/>
                <wp:docPr id="3" name="Text Box 3"/>
                <wp:cNvGraphicFramePr/>
                <a:graphic xmlns:a="http://schemas.openxmlformats.org/drawingml/2006/main">
                  <a:graphicData uri="http://schemas.microsoft.com/office/word/2010/wordprocessingShape">
                    <wps:wsp>
                      <wps:cNvSpPr txBox="1">
                        <a:spLocks noChangeArrowheads="1"/>
                      </wps:cNvSpPr>
                      <wps:spPr bwMode="auto">
                        <a:xfrm>
                          <a:off x="0" y="0"/>
                          <a:ext cx="3101975" cy="1955800"/>
                        </a:xfrm>
                        <a:prstGeom prst="rect">
                          <a:avLst/>
                        </a:prstGeom>
                        <a:noFill/>
                        <a:ln>
                          <a:noFill/>
                        </a:ln>
                      </wps:spPr>
                      <wps:txbx>
                        <w:txbxContent>
                          <w:p w14:paraId="67A95DD7">
                            <w:pPr>
                              <w:spacing w:line="20" w:lineRule="exact"/>
                            </w:pPr>
                          </w:p>
                          <w:tbl>
                            <w:tblPr>
                              <w:tblStyle w:val="26"/>
                              <w:tblW w:w="4835"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835"/>
                            </w:tblGrid>
                            <w:tr w14:paraId="41D6666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019" w:hRule="atLeast"/>
                              </w:trPr>
                              <w:tc>
                                <w:tcPr>
                                  <w:tcW w:w="4835" w:type="dxa"/>
                                </w:tcPr>
                                <w:p w14:paraId="4CB7A409"/>
                                <w:p w14:paraId="775E4B1F"/>
                                <w:p w14:paraId="4A025F83">
                                  <w:pPr>
                                    <w:spacing w:line="241" w:lineRule="auto"/>
                                  </w:pPr>
                                </w:p>
                                <w:p w14:paraId="27BC1CDF">
                                  <w:pPr>
                                    <w:spacing w:line="241" w:lineRule="auto"/>
                                  </w:pPr>
                                </w:p>
                                <w:p w14:paraId="108DA32E">
                                  <w:pPr>
                                    <w:spacing w:line="241" w:lineRule="auto"/>
                                  </w:pPr>
                                </w:p>
                                <w:p w14:paraId="43B251C9">
                                  <w:pPr>
                                    <w:pStyle w:val="27"/>
                                    <w:spacing w:before="65" w:line="228" w:lineRule="auto"/>
                                    <w:ind w:left="1418"/>
                                    <w:rPr>
                                      <w:lang w:eastAsia="zh-CN"/>
                                    </w:rPr>
                                  </w:pPr>
                                  <w:r>
                                    <w:rPr>
                                      <w:rFonts w:hint="eastAsia"/>
                                      <w:spacing w:val="8"/>
                                      <w:lang w:eastAsia="zh-CN"/>
                                    </w:rPr>
                                    <w:t>法定代表人</w:t>
                                  </w:r>
                                  <w:r>
                                    <w:rPr>
                                      <w:spacing w:val="8"/>
                                      <w:lang w:eastAsia="zh-CN"/>
                                    </w:rPr>
                                    <w:t>身份证复印件正面</w:t>
                                  </w:r>
                                </w:p>
                              </w:tc>
                            </w:tr>
                          </w:tbl>
                          <w:p w14:paraId="59800695">
                            <w:pPr>
                              <w:pStyle w:val="8"/>
                              <w:rPr>
                                <w:lang w:eastAsia="zh-CN"/>
                              </w:rPr>
                            </w:pPr>
                          </w:p>
                        </w:txbxContent>
                      </wps:txbx>
                      <wps:bodyPr rot="0" vert="horz" wrap="square" lIns="0" tIns="0" rIns="0" bIns="0" anchor="t" anchorCtr="0" upright="1">
                        <a:noAutofit/>
                      </wps:bodyPr>
                    </wps:wsp>
                  </a:graphicData>
                </a:graphic>
              </wp:anchor>
            </w:drawing>
          </mc:Choice>
          <mc:Fallback>
            <w:pict>
              <v:shape id="Text Box 3" o:spid="_x0000_s1026" o:spt="202" type="#_x0000_t202" style="position:absolute;left:0pt;margin-left:52.2pt;margin-top:320.3pt;height:154pt;width:244.25pt;mso-position-horizontal-relative:page;mso-position-vertical-relative:page;z-index:251659264;mso-width-relative:page;mso-height-relative:page;" filled="f" stroked="f" coordsize="21600,21600" o:allowincell="f" o:gfxdata="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Bd4qyH2QAAAAsBAAAPAAAAAAAAAAEAIAAAACIAAABkcnMvZG93&#10;bnJldi54bWxQSwECFAAUAAAACACHTuJA9TfSm/8BAAAFBAAADgAAAAAAAAABACAAAAAoAQAAZHJz&#10;L2Uyb0RvYy54bWxQSwUGAAAAAAYABgBZAQAAmQUAAAAA&#10;">
                <v:fill on="f" focussize="0,0"/>
                <v:stroke on="f"/>
                <v:imagedata o:title=""/>
                <o:lock v:ext="edit" aspectratio="f"/>
                <v:textbox inset="0mm,0mm,0mm,0mm">
                  <w:txbxContent>
                    <w:p w14:paraId="67A95DD7">
                      <w:pPr>
                        <w:spacing w:line="20" w:lineRule="exact"/>
                      </w:pPr>
                    </w:p>
                    <w:tbl>
                      <w:tblPr>
                        <w:tblStyle w:val="26"/>
                        <w:tblW w:w="4835"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835"/>
                      </w:tblGrid>
                      <w:tr w14:paraId="41D6666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019" w:hRule="atLeast"/>
                        </w:trPr>
                        <w:tc>
                          <w:tcPr>
                            <w:tcW w:w="4835" w:type="dxa"/>
                          </w:tcPr>
                          <w:p w14:paraId="4CB7A409"/>
                          <w:p w14:paraId="775E4B1F"/>
                          <w:p w14:paraId="4A025F83">
                            <w:pPr>
                              <w:spacing w:line="241" w:lineRule="auto"/>
                            </w:pPr>
                          </w:p>
                          <w:p w14:paraId="27BC1CDF">
                            <w:pPr>
                              <w:spacing w:line="241" w:lineRule="auto"/>
                            </w:pPr>
                          </w:p>
                          <w:p w14:paraId="108DA32E">
                            <w:pPr>
                              <w:spacing w:line="241" w:lineRule="auto"/>
                            </w:pPr>
                          </w:p>
                          <w:p w14:paraId="43B251C9">
                            <w:pPr>
                              <w:pStyle w:val="27"/>
                              <w:spacing w:before="65" w:line="228" w:lineRule="auto"/>
                              <w:ind w:left="1418"/>
                              <w:rPr>
                                <w:lang w:eastAsia="zh-CN"/>
                              </w:rPr>
                            </w:pPr>
                            <w:r>
                              <w:rPr>
                                <w:rFonts w:hint="eastAsia"/>
                                <w:spacing w:val="8"/>
                                <w:lang w:eastAsia="zh-CN"/>
                              </w:rPr>
                              <w:t>法定代表人</w:t>
                            </w:r>
                            <w:r>
                              <w:rPr>
                                <w:spacing w:val="8"/>
                                <w:lang w:eastAsia="zh-CN"/>
                              </w:rPr>
                              <w:t>身份证复印件正面</w:t>
                            </w:r>
                          </w:p>
                        </w:tc>
                      </w:tr>
                    </w:tbl>
                    <w:p w14:paraId="59800695">
                      <w:pPr>
                        <w:pStyle w:val="8"/>
                        <w:rPr>
                          <w:lang w:eastAsia="zh-CN"/>
                        </w:rPr>
                      </w:pPr>
                    </w:p>
                  </w:txbxContent>
                </v:textbox>
              </v:shape>
            </w:pict>
          </mc:Fallback>
        </mc:AlternateContent>
      </w:r>
      <w:r>
        <w:rPr>
          <w:rFonts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（三）、</w:t>
      </w:r>
      <w:r>
        <w:rPr>
          <w:rFonts w:hint="eastAsia" w:ascii="黑体" w:hAnsi="黑体" w:eastAsia="黑体" w:cs="黑体"/>
          <w:color w:val="auto"/>
          <w:spacing w:val="-1"/>
          <w:sz w:val="28"/>
          <w:szCs w:val="28"/>
          <w:lang w:val="en-US" w:eastAsia="zh-CN"/>
          <w14:textOutline w14:w="5105" w14:cap="sq" w14:cmpd="sng" w14:algn="ctr">
            <w14:solidFill>
              <w14:srgbClr w14:val="000000"/>
            </w14:solidFill>
            <w14:prstDash w14:val="solid"/>
            <w14:bevel/>
          </w14:textOutline>
        </w:rPr>
        <w:t>法定代表人</w:t>
      </w:r>
      <w:r>
        <w:rPr>
          <w:rFonts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身份证明书</w:t>
      </w:r>
      <w:bookmarkEnd w:id="320"/>
    </w:p>
    <w:p w14:paraId="5D7699FC">
      <w:pPr>
        <w:pStyle w:val="8"/>
        <w:spacing w:line="382" w:lineRule="auto"/>
        <w:rPr>
          <w:color w:val="auto"/>
          <w:lang w:eastAsia="zh-CN"/>
        </w:rPr>
      </w:pPr>
    </w:p>
    <w:p w14:paraId="50C3FDB2">
      <w:pPr>
        <w:spacing w:before="65" w:line="377" w:lineRule="auto"/>
        <w:ind w:left="496"/>
        <w:rPr>
          <w:rFonts w:ascii="新宋体" w:hAnsi="新宋体" w:eastAsia="新宋体" w:cs="新宋体"/>
          <w:color w:val="auto"/>
          <w:sz w:val="20"/>
          <w:szCs w:val="20"/>
          <w:lang w:eastAsia="zh-CN"/>
        </w:rPr>
      </w:pPr>
      <w:r>
        <w:rPr>
          <w:rFonts w:hint="eastAsia" w:ascii="新宋体" w:hAnsi="新宋体" w:eastAsia="新宋体" w:cs="新宋体"/>
          <w:color w:val="auto"/>
          <w:spacing w:val="8"/>
          <w:sz w:val="20"/>
          <w:szCs w:val="20"/>
          <w:lang w:eastAsia="zh-CN"/>
        </w:rPr>
        <w:t>服务商</w:t>
      </w:r>
      <w:r>
        <w:rPr>
          <w:rFonts w:ascii="新宋体" w:hAnsi="新宋体" w:eastAsia="新宋体" w:cs="新宋体"/>
          <w:color w:val="auto"/>
          <w:spacing w:val="8"/>
          <w:sz w:val="20"/>
          <w:szCs w:val="20"/>
          <w:lang w:eastAsia="zh-CN"/>
        </w:rPr>
        <w:t>名称：</w:t>
      </w:r>
      <w:r>
        <w:rPr>
          <w:rFonts w:ascii="新宋体" w:hAnsi="新宋体" w:eastAsia="新宋体" w:cs="新宋体"/>
          <w:color w:val="auto"/>
          <w:sz w:val="20"/>
          <w:szCs w:val="20"/>
          <w:u w:val="single"/>
          <w:lang w:eastAsia="zh-CN"/>
        </w:rPr>
        <w:t xml:space="preserve">                                  </w:t>
      </w:r>
    </w:p>
    <w:p w14:paraId="11C22489">
      <w:pPr>
        <w:spacing w:line="228" w:lineRule="auto"/>
        <w:ind w:left="498"/>
        <w:rPr>
          <w:rFonts w:ascii="新宋体" w:hAnsi="新宋体" w:eastAsia="新宋体" w:cs="新宋体"/>
          <w:color w:val="auto"/>
          <w:sz w:val="20"/>
          <w:szCs w:val="20"/>
          <w:lang w:eastAsia="zh-CN"/>
        </w:rPr>
      </w:pPr>
      <w:r>
        <w:rPr>
          <w:rFonts w:ascii="新宋体" w:hAnsi="新宋体" w:eastAsia="新宋体" w:cs="新宋体"/>
          <w:color w:val="auto"/>
          <w:spacing w:val="8"/>
          <w:sz w:val="20"/>
          <w:szCs w:val="20"/>
          <w:lang w:eastAsia="zh-CN"/>
        </w:rPr>
        <w:t>单位性质：</w:t>
      </w:r>
      <w:r>
        <w:rPr>
          <w:rFonts w:ascii="新宋体" w:hAnsi="新宋体" w:eastAsia="新宋体" w:cs="新宋体"/>
          <w:color w:val="auto"/>
          <w:sz w:val="20"/>
          <w:szCs w:val="20"/>
          <w:u w:val="single"/>
          <w:lang w:eastAsia="zh-CN"/>
        </w:rPr>
        <w:t xml:space="preserve">                                    </w:t>
      </w:r>
    </w:p>
    <w:p w14:paraId="29D79A6E">
      <w:pPr>
        <w:spacing w:before="160" w:line="237" w:lineRule="auto"/>
        <w:ind w:left="496"/>
        <w:rPr>
          <w:rFonts w:ascii="新宋体" w:hAnsi="新宋体" w:eastAsia="新宋体" w:cs="新宋体"/>
          <w:color w:val="auto"/>
          <w:sz w:val="20"/>
          <w:szCs w:val="20"/>
          <w:lang w:eastAsia="zh-CN"/>
        </w:rPr>
      </w:pPr>
      <w:r>
        <w:rPr>
          <w:rFonts w:ascii="新宋体" w:hAnsi="新宋体" w:eastAsia="新宋体" w:cs="新宋体"/>
          <w:color w:val="auto"/>
          <w:spacing w:val="7"/>
          <w:sz w:val="20"/>
          <w:szCs w:val="20"/>
          <w:lang w:eastAsia="zh-CN"/>
        </w:rPr>
        <w:t>地址：</w:t>
      </w:r>
      <w:r>
        <w:rPr>
          <w:rFonts w:ascii="新宋体" w:hAnsi="新宋体" w:eastAsia="新宋体" w:cs="新宋体"/>
          <w:color w:val="auto"/>
          <w:sz w:val="20"/>
          <w:szCs w:val="20"/>
          <w:u w:val="single"/>
          <w:lang w:eastAsia="zh-CN"/>
        </w:rPr>
        <w:t xml:space="preserve">                                        </w:t>
      </w:r>
    </w:p>
    <w:p w14:paraId="4F840048">
      <w:pPr>
        <w:spacing w:before="153" w:line="228" w:lineRule="auto"/>
        <w:ind w:left="498"/>
        <w:rPr>
          <w:rFonts w:ascii="新宋体" w:hAnsi="新宋体" w:eastAsia="新宋体" w:cs="新宋体"/>
          <w:color w:val="auto"/>
          <w:sz w:val="20"/>
          <w:szCs w:val="20"/>
          <w:lang w:eastAsia="zh-CN"/>
        </w:rPr>
      </w:pPr>
      <w:r>
        <w:rPr>
          <w:rFonts w:ascii="新宋体" w:hAnsi="新宋体" w:eastAsia="新宋体" w:cs="新宋体"/>
          <w:color w:val="auto"/>
          <w:spacing w:val="4"/>
          <w:sz w:val="20"/>
          <w:szCs w:val="20"/>
          <w:lang w:eastAsia="zh-CN"/>
        </w:rPr>
        <w:t>成立时间：</w:t>
      </w:r>
      <w:r>
        <w:rPr>
          <w:rFonts w:ascii="新宋体" w:hAnsi="新宋体" w:eastAsia="新宋体" w:cs="新宋体"/>
          <w:color w:val="auto"/>
          <w:spacing w:val="4"/>
          <w:sz w:val="20"/>
          <w:szCs w:val="20"/>
          <w:u w:val="single"/>
          <w:lang w:eastAsia="zh-CN"/>
        </w:rPr>
        <w:t xml:space="preserve">        </w:t>
      </w:r>
      <w:r>
        <w:rPr>
          <w:rFonts w:ascii="新宋体" w:hAnsi="新宋体" w:eastAsia="新宋体" w:cs="新宋体"/>
          <w:color w:val="auto"/>
          <w:spacing w:val="-79"/>
          <w:sz w:val="20"/>
          <w:szCs w:val="20"/>
          <w:lang w:eastAsia="zh-CN"/>
        </w:rPr>
        <w:t xml:space="preserve"> </w:t>
      </w:r>
      <w:r>
        <w:rPr>
          <w:rFonts w:ascii="新宋体" w:hAnsi="新宋体" w:eastAsia="新宋体" w:cs="新宋体"/>
          <w:color w:val="auto"/>
          <w:spacing w:val="4"/>
          <w:sz w:val="20"/>
          <w:szCs w:val="20"/>
          <w:lang w:eastAsia="zh-CN"/>
        </w:rPr>
        <w:t>年</w:t>
      </w:r>
      <w:r>
        <w:rPr>
          <w:rFonts w:ascii="新宋体" w:hAnsi="新宋体" w:eastAsia="新宋体" w:cs="新宋体"/>
          <w:color w:val="auto"/>
          <w:spacing w:val="4"/>
          <w:sz w:val="20"/>
          <w:szCs w:val="20"/>
          <w:u w:val="single"/>
          <w:lang w:eastAsia="zh-CN"/>
        </w:rPr>
        <w:t xml:space="preserve">    </w:t>
      </w:r>
      <w:r>
        <w:rPr>
          <w:rFonts w:ascii="新宋体" w:hAnsi="新宋体" w:eastAsia="新宋体" w:cs="新宋体"/>
          <w:color w:val="auto"/>
          <w:spacing w:val="-83"/>
          <w:sz w:val="20"/>
          <w:szCs w:val="20"/>
          <w:lang w:eastAsia="zh-CN"/>
        </w:rPr>
        <w:t xml:space="preserve"> </w:t>
      </w:r>
      <w:r>
        <w:rPr>
          <w:rFonts w:ascii="新宋体" w:hAnsi="新宋体" w:eastAsia="新宋体" w:cs="新宋体"/>
          <w:color w:val="auto"/>
          <w:spacing w:val="4"/>
          <w:sz w:val="20"/>
          <w:szCs w:val="20"/>
          <w:lang w:eastAsia="zh-CN"/>
        </w:rPr>
        <w:t>月</w:t>
      </w:r>
      <w:r>
        <w:rPr>
          <w:rFonts w:ascii="新宋体" w:hAnsi="新宋体" w:eastAsia="新宋体" w:cs="新宋体"/>
          <w:color w:val="auto"/>
          <w:spacing w:val="-98"/>
          <w:sz w:val="20"/>
          <w:szCs w:val="20"/>
          <w:lang w:eastAsia="zh-CN"/>
        </w:rPr>
        <w:t xml:space="preserve"> </w:t>
      </w:r>
      <w:r>
        <w:rPr>
          <w:rFonts w:ascii="新宋体" w:hAnsi="新宋体" w:eastAsia="新宋体" w:cs="新宋体"/>
          <w:color w:val="auto"/>
          <w:spacing w:val="5"/>
          <w:sz w:val="20"/>
          <w:szCs w:val="20"/>
          <w:u w:val="single"/>
          <w:lang w:eastAsia="zh-CN"/>
        </w:rPr>
        <w:t xml:space="preserve">    </w:t>
      </w:r>
      <w:r>
        <w:rPr>
          <w:rFonts w:ascii="新宋体" w:hAnsi="新宋体" w:eastAsia="新宋体" w:cs="新宋体"/>
          <w:color w:val="auto"/>
          <w:spacing w:val="-56"/>
          <w:sz w:val="20"/>
          <w:szCs w:val="20"/>
          <w:lang w:eastAsia="zh-CN"/>
        </w:rPr>
        <w:t xml:space="preserve"> </w:t>
      </w:r>
      <w:r>
        <w:rPr>
          <w:rFonts w:ascii="新宋体" w:hAnsi="新宋体" w:eastAsia="新宋体" w:cs="新宋体"/>
          <w:color w:val="auto"/>
          <w:spacing w:val="4"/>
          <w:sz w:val="20"/>
          <w:szCs w:val="20"/>
          <w:lang w:eastAsia="zh-CN"/>
        </w:rPr>
        <w:t>日</w:t>
      </w:r>
    </w:p>
    <w:p w14:paraId="4DB560E8">
      <w:pPr>
        <w:spacing w:before="162" w:line="228" w:lineRule="auto"/>
        <w:ind w:left="498"/>
        <w:rPr>
          <w:rFonts w:ascii="新宋体" w:hAnsi="新宋体" w:eastAsia="新宋体" w:cs="新宋体"/>
          <w:color w:val="auto"/>
          <w:sz w:val="20"/>
          <w:szCs w:val="20"/>
          <w:lang w:eastAsia="zh-CN"/>
        </w:rPr>
      </w:pPr>
      <w:r>
        <w:rPr>
          <w:rFonts w:ascii="新宋体" w:hAnsi="新宋体" w:eastAsia="新宋体" w:cs="新宋体"/>
          <w:color w:val="auto"/>
          <w:spacing w:val="8"/>
          <w:sz w:val="20"/>
          <w:szCs w:val="20"/>
          <w:lang w:eastAsia="zh-CN"/>
        </w:rPr>
        <w:t>经营期限：</w:t>
      </w:r>
      <w:r>
        <w:rPr>
          <w:rFonts w:ascii="新宋体" w:hAnsi="新宋体" w:eastAsia="新宋体" w:cs="新宋体"/>
          <w:color w:val="auto"/>
          <w:sz w:val="20"/>
          <w:szCs w:val="20"/>
          <w:u w:val="single"/>
          <w:lang w:eastAsia="zh-CN"/>
        </w:rPr>
        <w:t xml:space="preserve">                                  </w:t>
      </w:r>
    </w:p>
    <w:p w14:paraId="121C4985">
      <w:pPr>
        <w:spacing w:before="160" w:line="377" w:lineRule="auto"/>
        <w:jc w:val="right"/>
        <w:rPr>
          <w:rFonts w:ascii="新宋体" w:hAnsi="新宋体" w:eastAsia="新宋体" w:cs="新宋体"/>
          <w:color w:val="auto"/>
          <w:sz w:val="20"/>
          <w:szCs w:val="20"/>
          <w:lang w:eastAsia="zh-CN"/>
        </w:rPr>
      </w:pPr>
      <w:r>
        <w:rPr>
          <w:rFonts w:ascii="新宋体" w:hAnsi="新宋体" w:eastAsia="新宋体" w:cs="新宋体"/>
          <w:color w:val="auto"/>
          <w:spacing w:val="-4"/>
          <w:sz w:val="20"/>
          <w:szCs w:val="20"/>
          <w:lang w:eastAsia="zh-CN"/>
        </w:rPr>
        <w:t>姓名：</w:t>
      </w:r>
      <w:r>
        <w:rPr>
          <w:rFonts w:ascii="新宋体" w:hAnsi="新宋体" w:eastAsia="新宋体" w:cs="新宋体"/>
          <w:color w:val="auto"/>
          <w:spacing w:val="-4"/>
          <w:sz w:val="20"/>
          <w:szCs w:val="20"/>
          <w:u w:val="single"/>
          <w:lang w:eastAsia="zh-CN"/>
        </w:rPr>
        <w:t xml:space="preserve">            </w:t>
      </w:r>
      <w:r>
        <w:rPr>
          <w:rFonts w:ascii="新宋体" w:hAnsi="新宋体" w:eastAsia="新宋体" w:cs="新宋体"/>
          <w:color w:val="auto"/>
          <w:spacing w:val="-88"/>
          <w:sz w:val="20"/>
          <w:szCs w:val="20"/>
          <w:lang w:eastAsia="zh-CN"/>
        </w:rPr>
        <w:t xml:space="preserve"> </w:t>
      </w:r>
      <w:r>
        <w:rPr>
          <w:rFonts w:ascii="新宋体" w:hAnsi="新宋体" w:eastAsia="新宋体" w:cs="新宋体"/>
          <w:color w:val="auto"/>
          <w:spacing w:val="-4"/>
          <w:sz w:val="20"/>
          <w:szCs w:val="20"/>
          <w:lang w:eastAsia="zh-CN"/>
        </w:rPr>
        <w:t>性别：</w:t>
      </w:r>
      <w:r>
        <w:rPr>
          <w:rFonts w:ascii="新宋体" w:hAnsi="新宋体" w:eastAsia="新宋体" w:cs="新宋体"/>
          <w:color w:val="auto"/>
          <w:spacing w:val="5"/>
          <w:sz w:val="20"/>
          <w:szCs w:val="20"/>
          <w:u w:val="single"/>
          <w:lang w:eastAsia="zh-CN"/>
        </w:rPr>
        <w:t xml:space="preserve">        </w:t>
      </w:r>
      <w:r>
        <w:rPr>
          <w:rFonts w:ascii="新宋体" w:hAnsi="新宋体" w:eastAsia="新宋体" w:cs="新宋体"/>
          <w:color w:val="auto"/>
          <w:spacing w:val="-91"/>
          <w:sz w:val="20"/>
          <w:szCs w:val="20"/>
          <w:lang w:eastAsia="zh-CN"/>
        </w:rPr>
        <w:t xml:space="preserve"> </w:t>
      </w:r>
      <w:r>
        <w:rPr>
          <w:rFonts w:ascii="新宋体" w:hAnsi="新宋体" w:eastAsia="新宋体" w:cs="新宋体"/>
          <w:color w:val="auto"/>
          <w:spacing w:val="-4"/>
          <w:sz w:val="20"/>
          <w:szCs w:val="20"/>
          <w:lang w:eastAsia="zh-CN"/>
        </w:rPr>
        <w:t>年龄</w:t>
      </w:r>
      <w:r>
        <w:rPr>
          <w:rFonts w:ascii="新宋体" w:hAnsi="新宋体" w:eastAsia="新宋体" w:cs="新宋体"/>
          <w:color w:val="auto"/>
          <w:spacing w:val="-5"/>
          <w:sz w:val="20"/>
          <w:szCs w:val="20"/>
          <w:lang w:eastAsia="zh-CN"/>
        </w:rPr>
        <w:t>：</w:t>
      </w:r>
      <w:r>
        <w:rPr>
          <w:rFonts w:ascii="新宋体" w:hAnsi="新宋体" w:eastAsia="新宋体" w:cs="新宋体"/>
          <w:color w:val="auto"/>
          <w:spacing w:val="4"/>
          <w:sz w:val="20"/>
          <w:szCs w:val="20"/>
          <w:u w:val="single"/>
          <w:lang w:eastAsia="zh-CN"/>
        </w:rPr>
        <w:t xml:space="preserve">      </w:t>
      </w:r>
      <w:r>
        <w:rPr>
          <w:rFonts w:ascii="新宋体" w:hAnsi="新宋体" w:eastAsia="新宋体" w:cs="新宋体"/>
          <w:color w:val="auto"/>
          <w:spacing w:val="-87"/>
          <w:sz w:val="20"/>
          <w:szCs w:val="20"/>
          <w:lang w:eastAsia="zh-CN"/>
        </w:rPr>
        <w:t xml:space="preserve"> </w:t>
      </w:r>
      <w:r>
        <w:rPr>
          <w:rFonts w:ascii="新宋体" w:hAnsi="新宋体" w:eastAsia="新宋体" w:cs="新宋体"/>
          <w:color w:val="auto"/>
          <w:spacing w:val="-5"/>
          <w:sz w:val="20"/>
          <w:szCs w:val="20"/>
          <w:lang w:eastAsia="zh-CN"/>
        </w:rPr>
        <w:t>职务：</w:t>
      </w:r>
      <w:r>
        <w:rPr>
          <w:rFonts w:ascii="新宋体" w:hAnsi="新宋体" w:eastAsia="新宋体" w:cs="新宋体"/>
          <w:color w:val="auto"/>
          <w:spacing w:val="5"/>
          <w:sz w:val="20"/>
          <w:szCs w:val="20"/>
          <w:u w:val="single"/>
          <w:lang w:eastAsia="zh-CN"/>
        </w:rPr>
        <w:t xml:space="preserve">       </w:t>
      </w:r>
      <w:r>
        <w:rPr>
          <w:rFonts w:ascii="新宋体" w:hAnsi="新宋体" w:eastAsia="新宋体" w:cs="新宋体"/>
          <w:color w:val="auto"/>
          <w:spacing w:val="-87"/>
          <w:sz w:val="20"/>
          <w:szCs w:val="20"/>
          <w:lang w:eastAsia="zh-CN"/>
        </w:rPr>
        <w:t xml:space="preserve"> </w:t>
      </w:r>
      <w:r>
        <w:rPr>
          <w:rFonts w:ascii="新宋体" w:hAnsi="新宋体" w:eastAsia="新宋体" w:cs="新宋体"/>
          <w:color w:val="auto"/>
          <w:spacing w:val="-5"/>
          <w:sz w:val="20"/>
          <w:szCs w:val="20"/>
          <w:lang w:eastAsia="zh-CN"/>
        </w:rPr>
        <w:t>系</w:t>
      </w:r>
      <w:r>
        <w:rPr>
          <w:rFonts w:ascii="新宋体" w:hAnsi="新宋体" w:eastAsia="新宋体" w:cs="新宋体"/>
          <w:color w:val="auto"/>
          <w:spacing w:val="-5"/>
          <w:sz w:val="20"/>
          <w:szCs w:val="20"/>
          <w:u w:val="single"/>
          <w:lang w:eastAsia="zh-CN"/>
        </w:rPr>
        <w:t xml:space="preserve">             （</w:t>
      </w:r>
      <w:r>
        <w:rPr>
          <w:rFonts w:hint="eastAsia" w:ascii="新宋体" w:hAnsi="新宋体" w:eastAsia="新宋体" w:cs="新宋体"/>
          <w:color w:val="auto"/>
          <w:spacing w:val="-5"/>
          <w:sz w:val="20"/>
          <w:szCs w:val="20"/>
          <w:u w:val="single"/>
          <w:lang w:eastAsia="zh-CN"/>
        </w:rPr>
        <w:t>服务商</w:t>
      </w:r>
      <w:r>
        <w:rPr>
          <w:rFonts w:ascii="新宋体" w:hAnsi="新宋体" w:eastAsia="新宋体" w:cs="新宋体"/>
          <w:color w:val="auto"/>
          <w:spacing w:val="-5"/>
          <w:sz w:val="20"/>
          <w:szCs w:val="20"/>
          <w:u w:val="single"/>
          <w:lang w:eastAsia="zh-CN"/>
        </w:rPr>
        <w:t>名称）</w:t>
      </w:r>
      <w:r>
        <w:rPr>
          <w:rFonts w:ascii="新宋体" w:hAnsi="新宋体" w:eastAsia="新宋体" w:cs="新宋体"/>
          <w:color w:val="auto"/>
          <w:spacing w:val="11"/>
          <w:sz w:val="20"/>
          <w:szCs w:val="20"/>
          <w:u w:val="single"/>
          <w:lang w:eastAsia="zh-CN"/>
        </w:rPr>
        <w:t xml:space="preserve">       </w:t>
      </w:r>
      <w:r>
        <w:rPr>
          <w:rFonts w:ascii="新宋体" w:hAnsi="新宋体" w:eastAsia="新宋体" w:cs="新宋体"/>
          <w:color w:val="auto"/>
          <w:spacing w:val="-70"/>
          <w:sz w:val="20"/>
          <w:szCs w:val="20"/>
          <w:lang w:eastAsia="zh-CN"/>
        </w:rPr>
        <w:t xml:space="preserve"> </w:t>
      </w:r>
      <w:r>
        <w:rPr>
          <w:rFonts w:ascii="新宋体" w:hAnsi="新宋体" w:eastAsia="新宋体" w:cs="新宋体"/>
          <w:color w:val="auto"/>
          <w:spacing w:val="-5"/>
          <w:sz w:val="20"/>
          <w:szCs w:val="20"/>
          <w:lang w:eastAsia="zh-CN"/>
        </w:rPr>
        <w:t>的</w:t>
      </w:r>
    </w:p>
    <w:p w14:paraId="145605D9">
      <w:pPr>
        <w:spacing w:before="1" w:line="227" w:lineRule="auto"/>
        <w:ind w:left="77"/>
        <w:rPr>
          <w:rFonts w:ascii="新宋体" w:hAnsi="新宋体" w:eastAsia="新宋体" w:cs="新宋体"/>
          <w:color w:val="auto"/>
          <w:sz w:val="20"/>
          <w:szCs w:val="20"/>
          <w:lang w:eastAsia="zh-CN"/>
        </w:rPr>
      </w:pPr>
      <w:r>
        <w:rPr>
          <w:rFonts w:hint="eastAsia" w:ascii="新宋体" w:hAnsi="新宋体" w:eastAsia="新宋体" w:cs="新宋体"/>
          <w:color w:val="auto"/>
          <w:spacing w:val="6"/>
          <w:sz w:val="20"/>
          <w:szCs w:val="20"/>
          <w:lang w:eastAsia="zh-CN"/>
        </w:rPr>
        <w:t>法定代表人</w:t>
      </w:r>
      <w:r>
        <w:rPr>
          <w:rFonts w:ascii="新宋体" w:hAnsi="新宋体" w:eastAsia="新宋体" w:cs="新宋体"/>
          <w:color w:val="auto"/>
          <w:spacing w:val="6"/>
          <w:sz w:val="20"/>
          <w:szCs w:val="20"/>
          <w:lang w:eastAsia="zh-CN"/>
        </w:rPr>
        <w:t>。</w:t>
      </w:r>
    </w:p>
    <w:p w14:paraId="4C71EC5B">
      <w:pPr>
        <w:spacing w:before="163" w:line="228" w:lineRule="auto"/>
        <w:ind w:left="916"/>
        <w:rPr>
          <w:rFonts w:ascii="新宋体" w:hAnsi="新宋体" w:eastAsia="新宋体" w:cs="新宋体"/>
          <w:color w:val="auto"/>
          <w:sz w:val="20"/>
          <w:szCs w:val="20"/>
          <w:lang w:eastAsia="zh-CN"/>
        </w:rPr>
      </w:pPr>
      <w:r>
        <w:rPr>
          <w:rFonts w:ascii="新宋体" w:hAnsi="新宋体" w:eastAsia="新宋体" w:cs="新宋体"/>
          <w:color w:val="auto"/>
          <w:spacing w:val="5"/>
          <w:sz w:val="20"/>
          <w:szCs w:val="20"/>
          <w:lang w:eastAsia="zh-CN"/>
        </w:rPr>
        <w:t>特此证明。</w:t>
      </w:r>
    </w:p>
    <w:p w14:paraId="2E5D41BB">
      <w:pPr>
        <w:spacing w:before="76"/>
        <w:rPr>
          <w:color w:val="auto"/>
          <w:lang w:eastAsia="zh-CN"/>
        </w:rPr>
      </w:pPr>
    </w:p>
    <w:p w14:paraId="032A08D7">
      <w:pPr>
        <w:spacing w:before="76"/>
        <w:rPr>
          <w:color w:val="auto"/>
          <w:lang w:eastAsia="zh-CN"/>
        </w:rPr>
      </w:pPr>
    </w:p>
    <w:p w14:paraId="77E027F8">
      <w:pPr>
        <w:spacing w:before="76"/>
        <w:rPr>
          <w:color w:val="auto"/>
          <w:lang w:eastAsia="zh-CN"/>
        </w:rPr>
      </w:pPr>
    </w:p>
    <w:tbl>
      <w:tblPr>
        <w:tblStyle w:val="26"/>
        <w:tblW w:w="4835" w:type="dxa"/>
        <w:tblInd w:w="507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835"/>
      </w:tblGrid>
      <w:tr w14:paraId="2B5AB63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019" w:hRule="atLeast"/>
        </w:trPr>
        <w:tc>
          <w:tcPr>
            <w:tcW w:w="4835" w:type="dxa"/>
          </w:tcPr>
          <w:p w14:paraId="1D85A985">
            <w:pPr>
              <w:rPr>
                <w:color w:val="auto"/>
                <w:lang w:eastAsia="zh-CN"/>
              </w:rPr>
            </w:pPr>
          </w:p>
          <w:p w14:paraId="3C3B487D">
            <w:pPr>
              <w:rPr>
                <w:color w:val="auto"/>
                <w:lang w:eastAsia="zh-CN"/>
              </w:rPr>
            </w:pPr>
          </w:p>
          <w:p w14:paraId="3FB3506A">
            <w:pPr>
              <w:spacing w:line="241" w:lineRule="auto"/>
              <w:rPr>
                <w:color w:val="auto"/>
                <w:lang w:eastAsia="zh-CN"/>
              </w:rPr>
            </w:pPr>
          </w:p>
          <w:p w14:paraId="4EECD724">
            <w:pPr>
              <w:spacing w:line="241" w:lineRule="auto"/>
              <w:rPr>
                <w:color w:val="auto"/>
                <w:lang w:eastAsia="zh-CN"/>
              </w:rPr>
            </w:pPr>
          </w:p>
          <w:p w14:paraId="66645427">
            <w:pPr>
              <w:spacing w:line="241" w:lineRule="auto"/>
              <w:rPr>
                <w:color w:val="auto"/>
                <w:lang w:eastAsia="zh-CN"/>
              </w:rPr>
            </w:pPr>
          </w:p>
          <w:p w14:paraId="44578C33">
            <w:pPr>
              <w:pStyle w:val="27"/>
              <w:spacing w:before="65" w:line="228" w:lineRule="auto"/>
              <w:ind w:left="1417"/>
              <w:rPr>
                <w:color w:val="auto"/>
                <w:lang w:eastAsia="zh-CN"/>
              </w:rPr>
            </w:pPr>
            <w:r>
              <w:rPr>
                <w:rFonts w:hint="eastAsia"/>
                <w:color w:val="auto"/>
                <w:spacing w:val="8"/>
                <w:lang w:eastAsia="zh-CN"/>
              </w:rPr>
              <w:t>法定代表人</w:t>
            </w:r>
            <w:r>
              <w:rPr>
                <w:color w:val="auto"/>
                <w:spacing w:val="8"/>
                <w:lang w:eastAsia="zh-CN"/>
              </w:rPr>
              <w:t>身份证复印件反面</w:t>
            </w:r>
          </w:p>
        </w:tc>
      </w:tr>
    </w:tbl>
    <w:p w14:paraId="03A7761B">
      <w:pPr>
        <w:pStyle w:val="8"/>
        <w:spacing w:line="256" w:lineRule="auto"/>
        <w:rPr>
          <w:color w:val="auto"/>
          <w:lang w:eastAsia="zh-CN"/>
        </w:rPr>
      </w:pPr>
    </w:p>
    <w:p w14:paraId="4A1DF33E">
      <w:pPr>
        <w:pStyle w:val="8"/>
        <w:spacing w:line="256" w:lineRule="auto"/>
        <w:rPr>
          <w:color w:val="auto"/>
          <w:lang w:eastAsia="zh-CN"/>
        </w:rPr>
      </w:pPr>
    </w:p>
    <w:p w14:paraId="453B4C59">
      <w:pPr>
        <w:pStyle w:val="8"/>
        <w:spacing w:line="256" w:lineRule="auto"/>
        <w:rPr>
          <w:color w:val="auto"/>
          <w:lang w:eastAsia="zh-CN"/>
        </w:rPr>
      </w:pPr>
    </w:p>
    <w:p w14:paraId="2D0F083D">
      <w:pPr>
        <w:pStyle w:val="8"/>
        <w:spacing w:line="256" w:lineRule="auto"/>
        <w:rPr>
          <w:color w:val="auto"/>
          <w:lang w:eastAsia="zh-CN"/>
        </w:rPr>
      </w:pPr>
    </w:p>
    <w:p w14:paraId="699EC514">
      <w:pPr>
        <w:pStyle w:val="8"/>
        <w:spacing w:line="256" w:lineRule="auto"/>
        <w:rPr>
          <w:color w:val="auto"/>
          <w:lang w:eastAsia="zh-CN"/>
        </w:rPr>
      </w:pPr>
    </w:p>
    <w:p w14:paraId="5E6803AD">
      <w:pPr>
        <w:pStyle w:val="8"/>
        <w:spacing w:line="257" w:lineRule="auto"/>
        <w:rPr>
          <w:color w:val="auto"/>
          <w:lang w:eastAsia="zh-CN"/>
        </w:rPr>
      </w:pPr>
    </w:p>
    <w:p w14:paraId="2EA0A12B">
      <w:pPr>
        <w:pStyle w:val="8"/>
        <w:spacing w:line="257" w:lineRule="auto"/>
        <w:rPr>
          <w:color w:val="auto"/>
          <w:lang w:eastAsia="zh-CN"/>
        </w:rPr>
      </w:pPr>
    </w:p>
    <w:p w14:paraId="1A3FD0E4">
      <w:pPr>
        <w:spacing w:before="66" w:line="227" w:lineRule="auto"/>
        <w:ind w:left="4802"/>
        <w:rPr>
          <w:rFonts w:ascii="新宋体" w:hAnsi="新宋体" w:eastAsia="新宋体" w:cs="新宋体"/>
          <w:color w:val="auto"/>
          <w:sz w:val="20"/>
          <w:szCs w:val="20"/>
          <w:lang w:eastAsia="zh-CN"/>
        </w:rPr>
      </w:pPr>
      <w:r>
        <w:rPr>
          <w:rFonts w:hint="eastAsia" w:ascii="新宋体" w:hAnsi="新宋体" w:eastAsia="新宋体" w:cs="新宋体"/>
          <w:color w:val="auto"/>
          <w:spacing w:val="11"/>
          <w:sz w:val="20"/>
          <w:szCs w:val="20"/>
          <w:lang w:eastAsia="zh-CN"/>
        </w:rPr>
        <w:t>服务商</w:t>
      </w:r>
      <w:r>
        <w:rPr>
          <w:rFonts w:ascii="新宋体" w:hAnsi="新宋体" w:eastAsia="新宋体" w:cs="新宋体"/>
          <w:color w:val="auto"/>
          <w:spacing w:val="-7"/>
          <w:sz w:val="20"/>
          <w:szCs w:val="20"/>
          <w:lang w:eastAsia="zh-CN"/>
        </w:rPr>
        <w:t>：</w:t>
      </w:r>
      <w:r>
        <w:rPr>
          <w:rFonts w:ascii="新宋体" w:hAnsi="新宋体" w:eastAsia="新宋体" w:cs="新宋体"/>
          <w:color w:val="auto"/>
          <w:spacing w:val="5"/>
          <w:sz w:val="20"/>
          <w:szCs w:val="20"/>
          <w:u w:val="single"/>
          <w:lang w:eastAsia="zh-CN"/>
        </w:rPr>
        <w:t xml:space="preserve">          </w:t>
      </w:r>
      <w:r>
        <w:rPr>
          <w:rFonts w:ascii="新宋体" w:hAnsi="新宋体" w:eastAsia="新宋体" w:cs="新宋体"/>
          <w:color w:val="auto"/>
          <w:spacing w:val="-7"/>
          <w:sz w:val="20"/>
          <w:szCs w:val="20"/>
          <w:u w:val="single"/>
          <w:lang w:eastAsia="zh-CN"/>
        </w:rPr>
        <w:t>（</w:t>
      </w:r>
      <w:r>
        <w:rPr>
          <w:rFonts w:ascii="新宋体" w:hAnsi="新宋体" w:eastAsia="新宋体" w:cs="新宋体"/>
          <w:color w:val="auto"/>
          <w:spacing w:val="11"/>
          <w:sz w:val="20"/>
          <w:szCs w:val="20"/>
          <w:u w:val="single"/>
          <w:lang w:eastAsia="zh-CN"/>
        </w:rPr>
        <w:t>盖单位章）</w:t>
      </w:r>
      <w:r>
        <w:rPr>
          <w:rFonts w:ascii="新宋体" w:hAnsi="新宋体" w:eastAsia="新宋体" w:cs="新宋体"/>
          <w:color w:val="auto"/>
          <w:sz w:val="20"/>
          <w:szCs w:val="20"/>
          <w:u w:val="single"/>
          <w:lang w:eastAsia="zh-CN"/>
        </w:rPr>
        <w:t xml:space="preserve">          </w:t>
      </w:r>
    </w:p>
    <w:p w14:paraId="0DE709A7">
      <w:pPr>
        <w:pStyle w:val="8"/>
        <w:spacing w:line="475" w:lineRule="auto"/>
        <w:rPr>
          <w:color w:val="auto"/>
          <w:lang w:eastAsia="zh-CN"/>
        </w:rPr>
      </w:pPr>
    </w:p>
    <w:p w14:paraId="7BDC993D">
      <w:pPr>
        <w:tabs>
          <w:tab w:val="left" w:pos="6787"/>
        </w:tabs>
        <w:spacing w:before="65" w:line="228" w:lineRule="auto"/>
        <w:ind w:left="5527"/>
        <w:rPr>
          <w:rFonts w:ascii="新宋体" w:hAnsi="新宋体" w:eastAsia="新宋体" w:cs="新宋体"/>
          <w:color w:val="auto"/>
          <w:sz w:val="20"/>
          <w:szCs w:val="20"/>
          <w:lang w:eastAsia="zh-CN"/>
        </w:rPr>
      </w:pPr>
      <w:r>
        <w:rPr>
          <w:rFonts w:ascii="新宋体" w:hAnsi="新宋体" w:eastAsia="新宋体" w:cs="新宋体"/>
          <w:color w:val="auto"/>
          <w:sz w:val="20"/>
          <w:szCs w:val="20"/>
          <w:u w:val="single"/>
          <w:lang w:eastAsia="zh-CN"/>
        </w:rPr>
        <w:tab/>
      </w:r>
      <w:r>
        <w:rPr>
          <w:rFonts w:ascii="新宋体" w:hAnsi="新宋体" w:eastAsia="新宋体" w:cs="新宋体"/>
          <w:color w:val="auto"/>
          <w:spacing w:val="-89"/>
          <w:sz w:val="20"/>
          <w:szCs w:val="20"/>
          <w:lang w:eastAsia="zh-CN"/>
        </w:rPr>
        <w:t xml:space="preserve"> </w:t>
      </w:r>
      <w:r>
        <w:rPr>
          <w:rFonts w:ascii="新宋体" w:hAnsi="新宋体" w:eastAsia="新宋体" w:cs="新宋体"/>
          <w:color w:val="auto"/>
          <w:spacing w:val="-2"/>
          <w:sz w:val="20"/>
          <w:szCs w:val="20"/>
          <w:lang w:eastAsia="zh-CN"/>
        </w:rPr>
        <w:t>年</w:t>
      </w:r>
      <w:r>
        <w:rPr>
          <w:rFonts w:ascii="新宋体" w:hAnsi="新宋体" w:eastAsia="新宋体" w:cs="新宋体"/>
          <w:color w:val="auto"/>
          <w:spacing w:val="-98"/>
          <w:sz w:val="20"/>
          <w:szCs w:val="20"/>
          <w:lang w:eastAsia="zh-CN"/>
        </w:rPr>
        <w:t xml:space="preserve"> </w:t>
      </w:r>
      <w:r>
        <w:rPr>
          <w:rFonts w:ascii="新宋体" w:hAnsi="新宋体" w:eastAsia="新宋体" w:cs="新宋体"/>
          <w:color w:val="auto"/>
          <w:spacing w:val="5"/>
          <w:sz w:val="20"/>
          <w:szCs w:val="20"/>
          <w:u w:val="single"/>
          <w:lang w:eastAsia="zh-CN"/>
        </w:rPr>
        <w:t xml:space="preserve">    </w:t>
      </w:r>
      <w:r>
        <w:rPr>
          <w:rFonts w:ascii="新宋体" w:hAnsi="新宋体" w:eastAsia="新宋体" w:cs="新宋体"/>
          <w:color w:val="auto"/>
          <w:spacing w:val="-87"/>
          <w:sz w:val="20"/>
          <w:szCs w:val="20"/>
          <w:lang w:eastAsia="zh-CN"/>
        </w:rPr>
        <w:t xml:space="preserve"> </w:t>
      </w:r>
      <w:r>
        <w:rPr>
          <w:rFonts w:ascii="新宋体" w:hAnsi="新宋体" w:eastAsia="新宋体" w:cs="新宋体"/>
          <w:color w:val="auto"/>
          <w:spacing w:val="-2"/>
          <w:sz w:val="20"/>
          <w:szCs w:val="20"/>
          <w:lang w:eastAsia="zh-CN"/>
        </w:rPr>
        <w:t>月</w:t>
      </w:r>
      <w:r>
        <w:rPr>
          <w:rFonts w:ascii="新宋体" w:hAnsi="新宋体" w:eastAsia="新宋体" w:cs="新宋体"/>
          <w:color w:val="auto"/>
          <w:spacing w:val="5"/>
          <w:sz w:val="20"/>
          <w:szCs w:val="20"/>
          <w:u w:val="single"/>
          <w:lang w:eastAsia="zh-CN"/>
        </w:rPr>
        <w:t xml:space="preserve">     </w:t>
      </w:r>
      <w:r>
        <w:rPr>
          <w:rFonts w:ascii="新宋体" w:hAnsi="新宋体" w:eastAsia="新宋体" w:cs="新宋体"/>
          <w:color w:val="auto"/>
          <w:spacing w:val="-56"/>
          <w:sz w:val="20"/>
          <w:szCs w:val="20"/>
          <w:lang w:eastAsia="zh-CN"/>
        </w:rPr>
        <w:t xml:space="preserve"> </w:t>
      </w:r>
      <w:r>
        <w:rPr>
          <w:rFonts w:ascii="新宋体" w:hAnsi="新宋体" w:eastAsia="新宋体" w:cs="新宋体"/>
          <w:color w:val="auto"/>
          <w:spacing w:val="-2"/>
          <w:sz w:val="20"/>
          <w:szCs w:val="20"/>
          <w:lang w:eastAsia="zh-CN"/>
        </w:rPr>
        <w:t>日</w:t>
      </w:r>
    </w:p>
    <w:p w14:paraId="69AE1A9F">
      <w:pPr>
        <w:pStyle w:val="8"/>
        <w:spacing w:line="256" w:lineRule="auto"/>
        <w:rPr>
          <w:color w:val="auto"/>
          <w:lang w:eastAsia="zh-CN"/>
        </w:rPr>
      </w:pPr>
    </w:p>
    <w:p w14:paraId="3778E469">
      <w:pPr>
        <w:pStyle w:val="8"/>
        <w:spacing w:line="256" w:lineRule="auto"/>
        <w:rPr>
          <w:color w:val="auto"/>
          <w:lang w:eastAsia="zh-CN"/>
        </w:rPr>
      </w:pPr>
    </w:p>
    <w:p w14:paraId="37222AB9">
      <w:pPr>
        <w:pStyle w:val="8"/>
        <w:spacing w:line="256" w:lineRule="auto"/>
        <w:rPr>
          <w:color w:val="auto"/>
          <w:lang w:eastAsia="zh-CN"/>
        </w:rPr>
      </w:pPr>
    </w:p>
    <w:p w14:paraId="6308D8DC">
      <w:pPr>
        <w:spacing w:before="66" w:line="221" w:lineRule="auto"/>
        <w:ind w:left="79"/>
        <w:outlineLvl w:val="0"/>
        <w:rPr>
          <w:rFonts w:ascii="黑体" w:hAnsi="黑体" w:eastAsia="黑体" w:cs="黑体"/>
          <w:color w:val="auto"/>
          <w:sz w:val="20"/>
          <w:szCs w:val="20"/>
          <w:lang w:eastAsia="zh-CN"/>
        </w:rPr>
      </w:pPr>
      <w:bookmarkStart w:id="321" w:name="_Toc28313"/>
      <w:bookmarkStart w:id="322" w:name="_Toc26625"/>
      <w:bookmarkStart w:id="323" w:name="_Toc9330"/>
      <w:r>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说明：本证明文件用于</w:t>
      </w:r>
      <w:r>
        <w:rPr>
          <w:rFonts w:hint="eastAsia"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服务商法定代表人</w:t>
      </w:r>
      <w:r>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出席开标会，并须按此格式提供。</w:t>
      </w:r>
      <w:bookmarkEnd w:id="321"/>
      <w:bookmarkEnd w:id="322"/>
      <w:bookmarkEnd w:id="323"/>
    </w:p>
    <w:p w14:paraId="40129A8D">
      <w:pPr>
        <w:spacing w:line="221" w:lineRule="auto"/>
        <w:rPr>
          <w:rFonts w:ascii="黑体" w:hAnsi="黑体" w:eastAsia="黑体" w:cs="黑体"/>
          <w:color w:val="auto"/>
          <w:sz w:val="20"/>
          <w:szCs w:val="20"/>
          <w:lang w:eastAsia="zh-CN"/>
        </w:rPr>
        <w:sectPr>
          <w:headerReference r:id="rId60" w:type="default"/>
          <w:footerReference r:id="rId61"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4423C832">
      <w:pPr>
        <w:spacing w:before="78" w:line="223" w:lineRule="auto"/>
        <w:ind w:left="3328"/>
        <w:outlineLvl w:val="0"/>
        <w:rPr>
          <w:rFonts w:ascii="黑体" w:hAnsi="黑体" w:eastAsia="黑体" w:cs="黑体"/>
          <w:color w:val="auto"/>
          <w:sz w:val="28"/>
          <w:szCs w:val="28"/>
          <w:lang w:eastAsia="zh-CN"/>
        </w:rPr>
      </w:pPr>
      <w:bookmarkStart w:id="324" w:name="_Toc17552"/>
      <w:bookmarkStart w:id="325" w:name="_Toc1271"/>
      <w:bookmarkStart w:id="326" w:name="_Toc6912"/>
      <w:r>
        <w:rPr>
          <w:color w:val="auto"/>
          <w:lang w:eastAsia="zh-CN"/>
        </w:rPr>
        <mc:AlternateContent>
          <mc:Choice Requires="wps">
            <w:drawing>
              <wp:anchor distT="0" distB="0" distL="114300" distR="114300" simplePos="0" relativeHeight="251661312" behindDoc="0" locked="0" layoutInCell="0" allowOverlap="1">
                <wp:simplePos x="0" y="0"/>
                <wp:positionH relativeFrom="page">
                  <wp:posOffset>759460</wp:posOffset>
                </wp:positionH>
                <wp:positionV relativeFrom="page">
                  <wp:posOffset>4030345</wp:posOffset>
                </wp:positionV>
                <wp:extent cx="2192655" cy="1333500"/>
                <wp:effectExtent l="0" t="1270" r="635" b="0"/>
                <wp:wrapNone/>
                <wp:docPr id="2" name="Text Box 4"/>
                <wp:cNvGraphicFramePr/>
                <a:graphic xmlns:a="http://schemas.openxmlformats.org/drawingml/2006/main">
                  <a:graphicData uri="http://schemas.microsoft.com/office/word/2010/wordprocessingShape">
                    <wps:wsp>
                      <wps:cNvSpPr txBox="1">
                        <a:spLocks noChangeArrowheads="1"/>
                      </wps:cNvSpPr>
                      <wps:spPr bwMode="auto">
                        <a:xfrm>
                          <a:off x="0" y="0"/>
                          <a:ext cx="2192655" cy="1333500"/>
                        </a:xfrm>
                        <a:prstGeom prst="rect">
                          <a:avLst/>
                        </a:prstGeom>
                        <a:noFill/>
                        <a:ln>
                          <a:noFill/>
                        </a:ln>
                      </wps:spPr>
                      <wps:txbx>
                        <w:txbxContent>
                          <w:p w14:paraId="1E2DF5AF">
                            <w:pPr>
                              <w:spacing w:line="20" w:lineRule="exact"/>
                            </w:pPr>
                          </w:p>
                          <w:tbl>
                            <w:tblPr>
                              <w:tblStyle w:val="26"/>
                              <w:tblW w:w="3402"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402"/>
                            </w:tblGrid>
                            <w:tr w14:paraId="12E0F146">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040" w:hRule="atLeast"/>
                              </w:trPr>
                              <w:tc>
                                <w:tcPr>
                                  <w:tcW w:w="3402" w:type="dxa"/>
                                </w:tcPr>
                                <w:p w14:paraId="018C9116">
                                  <w:pPr>
                                    <w:spacing w:line="282" w:lineRule="auto"/>
                                  </w:pPr>
                                </w:p>
                                <w:p w14:paraId="4229C8AF">
                                  <w:pPr>
                                    <w:spacing w:line="282" w:lineRule="auto"/>
                                  </w:pPr>
                                </w:p>
                                <w:p w14:paraId="29301A80">
                                  <w:pPr>
                                    <w:spacing w:line="282" w:lineRule="auto"/>
                                  </w:pPr>
                                </w:p>
                                <w:p w14:paraId="07C49D88">
                                  <w:pPr>
                                    <w:pStyle w:val="27"/>
                                    <w:spacing w:before="65" w:line="228" w:lineRule="auto"/>
                                    <w:jc w:val="center"/>
                                    <w:rPr>
                                      <w:lang w:eastAsia="zh-CN"/>
                                    </w:rPr>
                                  </w:pPr>
                                  <w:r>
                                    <w:rPr>
                                      <w:rFonts w:hint="eastAsia"/>
                                      <w:spacing w:val="8"/>
                                      <w:lang w:eastAsia="zh-CN"/>
                                    </w:rPr>
                                    <w:t>法定代表人</w:t>
                                  </w:r>
                                  <w:r>
                                    <w:rPr>
                                      <w:spacing w:val="8"/>
                                      <w:lang w:eastAsia="zh-CN"/>
                                    </w:rPr>
                                    <w:t>身份证复印件正面</w:t>
                                  </w:r>
                                </w:p>
                              </w:tc>
                            </w:tr>
                          </w:tbl>
                          <w:p w14:paraId="3A59D493">
                            <w:pPr>
                              <w:pStyle w:val="8"/>
                              <w:rPr>
                                <w:lang w:eastAsia="zh-CN"/>
                              </w:rPr>
                            </w:pPr>
                          </w:p>
                        </w:txbxContent>
                      </wps:txbx>
                      <wps:bodyPr rot="0" vert="horz" wrap="square" lIns="0" tIns="0" rIns="0" bIns="0" anchor="t" anchorCtr="0" upright="1">
                        <a:noAutofit/>
                      </wps:bodyPr>
                    </wps:wsp>
                  </a:graphicData>
                </a:graphic>
              </wp:anchor>
            </w:drawing>
          </mc:Choice>
          <mc:Fallback>
            <w:pict>
              <v:shape id="Text Box 4" o:spid="_x0000_s1026" o:spt="202" type="#_x0000_t202" style="position:absolute;left:0pt;margin-left:59.8pt;margin-top:317.35pt;height:105pt;width:172.65pt;mso-position-horizontal-relative:page;mso-position-vertical-relative:page;z-index:251661312;mso-width-relative:page;mso-height-relative:page;" filled="f" stroked="f" coordsize="21600,21600" o:allowincell="f" o:gfxdata="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1xuhH2QAAAAsBAAAPAAAAAAAAAAEAIAAAACIAAABkcnMvZG93&#10;bnJldi54bWxQSwECFAAUAAAACACHTuJAgKsJ3/8BAAAFBAAADgAAAAAAAAABACAAAAAoAQAAZHJz&#10;L2Uyb0RvYy54bWxQSwUGAAAAAAYABgBZAQAAmQUAAAAA&#10;">
                <v:fill on="f" focussize="0,0"/>
                <v:stroke on="f"/>
                <v:imagedata o:title=""/>
                <o:lock v:ext="edit" aspectratio="f"/>
                <v:textbox inset="0mm,0mm,0mm,0mm">
                  <w:txbxContent>
                    <w:p w14:paraId="1E2DF5AF">
                      <w:pPr>
                        <w:spacing w:line="20" w:lineRule="exact"/>
                      </w:pPr>
                    </w:p>
                    <w:tbl>
                      <w:tblPr>
                        <w:tblStyle w:val="26"/>
                        <w:tblW w:w="3402"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402"/>
                      </w:tblGrid>
                      <w:tr w14:paraId="12E0F146">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040" w:hRule="atLeast"/>
                        </w:trPr>
                        <w:tc>
                          <w:tcPr>
                            <w:tcW w:w="3402" w:type="dxa"/>
                          </w:tcPr>
                          <w:p w14:paraId="018C9116">
                            <w:pPr>
                              <w:spacing w:line="282" w:lineRule="auto"/>
                            </w:pPr>
                          </w:p>
                          <w:p w14:paraId="4229C8AF">
                            <w:pPr>
                              <w:spacing w:line="282" w:lineRule="auto"/>
                            </w:pPr>
                          </w:p>
                          <w:p w14:paraId="29301A80">
                            <w:pPr>
                              <w:spacing w:line="282" w:lineRule="auto"/>
                            </w:pPr>
                          </w:p>
                          <w:p w14:paraId="07C49D88">
                            <w:pPr>
                              <w:pStyle w:val="27"/>
                              <w:spacing w:before="65" w:line="228" w:lineRule="auto"/>
                              <w:jc w:val="center"/>
                              <w:rPr>
                                <w:lang w:eastAsia="zh-CN"/>
                              </w:rPr>
                            </w:pPr>
                            <w:r>
                              <w:rPr>
                                <w:rFonts w:hint="eastAsia"/>
                                <w:spacing w:val="8"/>
                                <w:lang w:eastAsia="zh-CN"/>
                              </w:rPr>
                              <w:t>法定代表人</w:t>
                            </w:r>
                            <w:r>
                              <w:rPr>
                                <w:spacing w:val="8"/>
                                <w:lang w:eastAsia="zh-CN"/>
                              </w:rPr>
                              <w:t>身份证复印件正面</w:t>
                            </w:r>
                          </w:p>
                        </w:tc>
                      </w:tr>
                    </w:tbl>
                    <w:p w14:paraId="3A59D493">
                      <w:pPr>
                        <w:pStyle w:val="8"/>
                        <w:rPr>
                          <w:lang w:eastAsia="zh-CN"/>
                        </w:rPr>
                      </w:pPr>
                    </w:p>
                  </w:txbxContent>
                </v:textbox>
              </v:shape>
            </w:pict>
          </mc:Fallback>
        </mc:AlternateContent>
      </w:r>
      <w:r>
        <w:rPr>
          <w:color w:val="auto"/>
          <w:lang w:eastAsia="zh-CN"/>
        </w:rPr>
        <mc:AlternateContent>
          <mc:Choice Requires="wps">
            <w:drawing>
              <wp:anchor distT="0" distB="0" distL="114300" distR="114300" simplePos="0" relativeHeight="251660288" behindDoc="0" locked="0" layoutInCell="0" allowOverlap="1">
                <wp:simplePos x="0" y="0"/>
                <wp:positionH relativeFrom="page">
                  <wp:posOffset>759460</wp:posOffset>
                </wp:positionH>
                <wp:positionV relativeFrom="page">
                  <wp:posOffset>5481320</wp:posOffset>
                </wp:positionV>
                <wp:extent cx="2192655" cy="1349375"/>
                <wp:effectExtent l="0" t="4445" r="635" b="0"/>
                <wp:wrapNone/>
                <wp:docPr id="1" name="Text Box 5"/>
                <wp:cNvGraphicFramePr/>
                <a:graphic xmlns:a="http://schemas.openxmlformats.org/drawingml/2006/main">
                  <a:graphicData uri="http://schemas.microsoft.com/office/word/2010/wordprocessingShape">
                    <wps:wsp>
                      <wps:cNvSpPr txBox="1">
                        <a:spLocks noChangeArrowheads="1"/>
                      </wps:cNvSpPr>
                      <wps:spPr bwMode="auto">
                        <a:xfrm>
                          <a:off x="0" y="0"/>
                          <a:ext cx="2192655" cy="1349375"/>
                        </a:xfrm>
                        <a:prstGeom prst="rect">
                          <a:avLst/>
                        </a:prstGeom>
                        <a:noFill/>
                        <a:ln>
                          <a:noFill/>
                        </a:ln>
                      </wps:spPr>
                      <wps:txbx>
                        <w:txbxContent>
                          <w:p w14:paraId="51A8C96C">
                            <w:pPr>
                              <w:spacing w:line="20" w:lineRule="exact"/>
                            </w:pPr>
                          </w:p>
                          <w:tbl>
                            <w:tblPr>
                              <w:tblStyle w:val="26"/>
                              <w:tblW w:w="3402"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402"/>
                            </w:tblGrid>
                            <w:tr w14:paraId="70EE4DF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064" w:hRule="atLeast"/>
                              </w:trPr>
                              <w:tc>
                                <w:tcPr>
                                  <w:tcW w:w="3402" w:type="dxa"/>
                                </w:tcPr>
                                <w:p w14:paraId="2C05D952">
                                  <w:pPr>
                                    <w:spacing w:line="282" w:lineRule="auto"/>
                                  </w:pPr>
                                </w:p>
                                <w:p w14:paraId="0BF707A2">
                                  <w:pPr>
                                    <w:spacing w:line="282" w:lineRule="auto"/>
                                  </w:pPr>
                                </w:p>
                                <w:p w14:paraId="23F40446">
                                  <w:pPr>
                                    <w:spacing w:line="282" w:lineRule="auto"/>
                                  </w:pPr>
                                </w:p>
                                <w:p w14:paraId="040C62F4">
                                  <w:pPr>
                                    <w:pStyle w:val="27"/>
                                    <w:spacing w:before="65" w:line="228" w:lineRule="auto"/>
                                    <w:jc w:val="center"/>
                                    <w:rPr>
                                      <w:lang w:eastAsia="zh-CN"/>
                                    </w:rPr>
                                  </w:pPr>
                                  <w:r>
                                    <w:rPr>
                                      <w:rFonts w:hint="eastAsia"/>
                                      <w:spacing w:val="8"/>
                                      <w:lang w:eastAsia="zh-CN"/>
                                    </w:rPr>
                                    <w:t>法定代表人</w:t>
                                  </w:r>
                                  <w:r>
                                    <w:rPr>
                                      <w:spacing w:val="8"/>
                                      <w:lang w:eastAsia="zh-CN"/>
                                    </w:rPr>
                                    <w:t>身份证复印件反面</w:t>
                                  </w:r>
                                </w:p>
                              </w:tc>
                            </w:tr>
                          </w:tbl>
                          <w:p w14:paraId="34097677">
                            <w:pPr>
                              <w:pStyle w:val="8"/>
                              <w:rPr>
                                <w:lang w:eastAsia="zh-CN"/>
                              </w:rPr>
                            </w:pPr>
                          </w:p>
                        </w:txbxContent>
                      </wps:txbx>
                      <wps:bodyPr rot="0" vert="horz" wrap="square" lIns="0" tIns="0" rIns="0" bIns="0" anchor="t" anchorCtr="0" upright="1">
                        <a:noAutofit/>
                      </wps:bodyPr>
                    </wps:wsp>
                  </a:graphicData>
                </a:graphic>
              </wp:anchor>
            </w:drawing>
          </mc:Choice>
          <mc:Fallback>
            <w:pict>
              <v:shape id="Text Box 5" o:spid="_x0000_s1026" o:spt="202" type="#_x0000_t202" style="position:absolute;left:0pt;margin-left:59.8pt;margin-top:431.6pt;height:106.25pt;width:172.65pt;mso-position-horizontal-relative:page;mso-position-vertical-relative:page;z-index:251660288;mso-width-relative:page;mso-height-relative:page;" filled="f" stroked="f" coordsize="21600,21600" o:allowincell="f" o:gfxdata="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J0njQtoAAAAMAQAADwAAAAAAAAABACAAAAAiAAAAZHJzL2Rv&#10;d25yZXYueG1sUEsBAhQAFAAAAAgAh07iQBvybor/AQAABQQAAA4AAAAAAAAAAQAgAAAAKQEAAGRy&#10;cy9lMm9Eb2MueG1sUEsFBgAAAAAGAAYAWQEAAJoFAAAAAA==&#10;">
                <v:fill on="f" focussize="0,0"/>
                <v:stroke on="f"/>
                <v:imagedata o:title=""/>
                <o:lock v:ext="edit" aspectratio="f"/>
                <v:textbox inset="0mm,0mm,0mm,0mm">
                  <w:txbxContent>
                    <w:p w14:paraId="51A8C96C">
                      <w:pPr>
                        <w:spacing w:line="20" w:lineRule="exact"/>
                      </w:pPr>
                    </w:p>
                    <w:tbl>
                      <w:tblPr>
                        <w:tblStyle w:val="26"/>
                        <w:tblW w:w="3402"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402"/>
                      </w:tblGrid>
                      <w:tr w14:paraId="70EE4DF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064" w:hRule="atLeast"/>
                        </w:trPr>
                        <w:tc>
                          <w:tcPr>
                            <w:tcW w:w="3402" w:type="dxa"/>
                          </w:tcPr>
                          <w:p w14:paraId="2C05D952">
                            <w:pPr>
                              <w:spacing w:line="282" w:lineRule="auto"/>
                            </w:pPr>
                          </w:p>
                          <w:p w14:paraId="0BF707A2">
                            <w:pPr>
                              <w:spacing w:line="282" w:lineRule="auto"/>
                            </w:pPr>
                          </w:p>
                          <w:p w14:paraId="23F40446">
                            <w:pPr>
                              <w:spacing w:line="282" w:lineRule="auto"/>
                            </w:pPr>
                          </w:p>
                          <w:p w14:paraId="040C62F4">
                            <w:pPr>
                              <w:pStyle w:val="27"/>
                              <w:spacing w:before="65" w:line="228" w:lineRule="auto"/>
                              <w:jc w:val="center"/>
                              <w:rPr>
                                <w:lang w:eastAsia="zh-CN"/>
                              </w:rPr>
                            </w:pPr>
                            <w:r>
                              <w:rPr>
                                <w:rFonts w:hint="eastAsia"/>
                                <w:spacing w:val="8"/>
                                <w:lang w:eastAsia="zh-CN"/>
                              </w:rPr>
                              <w:t>法定代表人</w:t>
                            </w:r>
                            <w:r>
                              <w:rPr>
                                <w:spacing w:val="8"/>
                                <w:lang w:eastAsia="zh-CN"/>
                              </w:rPr>
                              <w:t>身份证复印件反面</w:t>
                            </w:r>
                          </w:p>
                        </w:tc>
                      </w:tr>
                    </w:tbl>
                    <w:p w14:paraId="34097677">
                      <w:pPr>
                        <w:pStyle w:val="8"/>
                        <w:rPr>
                          <w:lang w:eastAsia="zh-CN"/>
                        </w:rPr>
                      </w:pPr>
                    </w:p>
                  </w:txbxContent>
                </v:textbox>
              </v:shape>
            </w:pict>
          </mc:Fallback>
        </mc:AlternateContent>
      </w:r>
      <w:r>
        <w:rPr>
          <w:rFonts w:ascii="黑体" w:hAnsi="黑体" w:eastAsia="黑体" w:cs="黑体"/>
          <w:color w:val="auto"/>
          <w:spacing w:val="-2"/>
          <w:sz w:val="28"/>
          <w:szCs w:val="28"/>
          <w:lang w:eastAsia="zh-CN"/>
          <w14:textOutline w14:w="5105" w14:cap="sq" w14:cmpd="sng" w14:algn="ctr">
            <w14:solidFill>
              <w14:srgbClr w14:val="000000"/>
            </w14:solidFill>
            <w14:prstDash w14:val="solid"/>
            <w14:bevel/>
          </w14:textOutline>
        </w:rPr>
        <w:t>（三）、</w:t>
      </w:r>
      <w:r>
        <w:rPr>
          <w:rFonts w:hint="eastAsia" w:ascii="黑体" w:hAnsi="黑体" w:eastAsia="黑体" w:cs="黑体"/>
          <w:color w:val="auto"/>
          <w:spacing w:val="-2"/>
          <w:sz w:val="28"/>
          <w:szCs w:val="28"/>
          <w:lang w:eastAsia="zh-CN"/>
          <w14:textOutline w14:w="5105" w14:cap="sq" w14:cmpd="sng" w14:algn="ctr">
            <w14:solidFill>
              <w14:srgbClr w14:val="000000"/>
            </w14:solidFill>
            <w14:prstDash w14:val="solid"/>
            <w14:bevel/>
          </w14:textOutline>
        </w:rPr>
        <w:t>法定代表人</w:t>
      </w:r>
      <w:r>
        <w:rPr>
          <w:rFonts w:ascii="黑体" w:hAnsi="黑体" w:eastAsia="黑体" w:cs="黑体"/>
          <w:color w:val="auto"/>
          <w:spacing w:val="-2"/>
          <w:sz w:val="28"/>
          <w:szCs w:val="28"/>
          <w:lang w:eastAsia="zh-CN"/>
          <w14:textOutline w14:w="5105" w14:cap="sq" w14:cmpd="sng" w14:algn="ctr">
            <w14:solidFill>
              <w14:srgbClr w14:val="000000"/>
            </w14:solidFill>
            <w14:prstDash w14:val="solid"/>
            <w14:bevel/>
          </w14:textOutline>
        </w:rPr>
        <w:t>授权书</w:t>
      </w:r>
      <w:bookmarkEnd w:id="324"/>
      <w:bookmarkEnd w:id="325"/>
      <w:bookmarkEnd w:id="326"/>
    </w:p>
    <w:p w14:paraId="3275C091">
      <w:pPr>
        <w:pStyle w:val="8"/>
        <w:spacing w:line="392" w:lineRule="auto"/>
        <w:rPr>
          <w:color w:val="auto"/>
          <w:lang w:eastAsia="zh-CN"/>
        </w:rPr>
      </w:pPr>
    </w:p>
    <w:p w14:paraId="368A84DE">
      <w:pPr>
        <w:spacing w:before="65" w:line="227" w:lineRule="auto"/>
        <w:ind w:left="6"/>
        <w:rPr>
          <w:rFonts w:ascii="宋体" w:hAnsi="宋体" w:eastAsia="宋体" w:cs="宋体"/>
          <w:color w:val="auto"/>
          <w:sz w:val="20"/>
          <w:szCs w:val="20"/>
          <w:lang w:eastAsia="zh-CN"/>
        </w:rPr>
      </w:pPr>
      <w:r>
        <w:rPr>
          <w:rFonts w:ascii="宋体" w:hAnsi="宋体" w:eastAsia="宋体" w:cs="宋体"/>
          <w:color w:val="auto"/>
          <w:spacing w:val="5"/>
          <w:sz w:val="20"/>
          <w:szCs w:val="20"/>
          <w:lang w:eastAsia="zh-CN"/>
        </w:rPr>
        <w:t>致：</w:t>
      </w:r>
      <w:r>
        <w:rPr>
          <w:rFonts w:ascii="宋体" w:hAnsi="宋体" w:eastAsia="宋体" w:cs="宋体"/>
          <w:color w:val="auto"/>
          <w:spacing w:val="7"/>
          <w:sz w:val="20"/>
          <w:szCs w:val="20"/>
          <w:u w:val="single"/>
          <w:lang w:eastAsia="zh-CN"/>
        </w:rPr>
        <w:t xml:space="preserve">         </w:t>
      </w:r>
      <w:r>
        <w:rPr>
          <w:rFonts w:ascii="宋体" w:hAnsi="宋体" w:eastAsia="宋体" w:cs="宋体"/>
          <w:color w:val="auto"/>
          <w:spacing w:val="5"/>
          <w:sz w:val="20"/>
          <w:szCs w:val="20"/>
          <w:u w:val="single"/>
          <w:lang w:eastAsia="zh-CN"/>
        </w:rPr>
        <w:t xml:space="preserve">采购人名称          </w:t>
      </w:r>
      <w:r>
        <w:rPr>
          <w:rFonts w:ascii="宋体" w:hAnsi="宋体" w:eastAsia="宋体" w:cs="宋体"/>
          <w:color w:val="auto"/>
          <w:spacing w:val="5"/>
          <w:sz w:val="20"/>
          <w:szCs w:val="20"/>
          <w:lang w:eastAsia="zh-CN"/>
        </w:rPr>
        <w:t>：</w:t>
      </w:r>
    </w:p>
    <w:p w14:paraId="57061465">
      <w:pPr>
        <w:pStyle w:val="8"/>
        <w:spacing w:line="243" w:lineRule="auto"/>
        <w:rPr>
          <w:color w:val="auto"/>
          <w:lang w:eastAsia="zh-CN"/>
        </w:rPr>
      </w:pPr>
    </w:p>
    <w:p w14:paraId="505E3A69">
      <w:pPr>
        <w:pStyle w:val="8"/>
        <w:spacing w:line="244" w:lineRule="auto"/>
        <w:rPr>
          <w:color w:val="auto"/>
          <w:lang w:eastAsia="zh-CN"/>
        </w:rPr>
      </w:pPr>
    </w:p>
    <w:p w14:paraId="4550CB1C">
      <w:pPr>
        <w:spacing w:before="65" w:line="369" w:lineRule="auto"/>
        <w:ind w:left="6" w:right="104" w:firstLine="420"/>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本人</w:t>
      </w:r>
      <w:r>
        <w:rPr>
          <w:rFonts w:ascii="宋体" w:hAnsi="宋体" w:eastAsia="宋体" w:cs="宋体"/>
          <w:color w:val="auto"/>
          <w:spacing w:val="6"/>
          <w:sz w:val="20"/>
          <w:szCs w:val="20"/>
          <w:u w:val="single"/>
          <w:lang w:eastAsia="zh-CN"/>
        </w:rPr>
        <w:t xml:space="preserve">         姓名          </w:t>
      </w:r>
      <w:r>
        <w:rPr>
          <w:rFonts w:ascii="宋体" w:hAnsi="宋体" w:eastAsia="宋体" w:cs="宋体"/>
          <w:color w:val="auto"/>
          <w:spacing w:val="-85"/>
          <w:sz w:val="20"/>
          <w:szCs w:val="20"/>
          <w:lang w:eastAsia="zh-CN"/>
        </w:rPr>
        <w:t xml:space="preserve"> </w:t>
      </w:r>
      <w:r>
        <w:rPr>
          <w:rFonts w:ascii="宋体" w:hAnsi="宋体" w:eastAsia="宋体" w:cs="宋体"/>
          <w:color w:val="auto"/>
          <w:spacing w:val="6"/>
          <w:sz w:val="20"/>
          <w:szCs w:val="20"/>
          <w:lang w:eastAsia="zh-CN"/>
        </w:rPr>
        <w:t>系</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6"/>
          <w:sz w:val="20"/>
          <w:szCs w:val="20"/>
          <w:u w:val="single"/>
          <w:lang w:eastAsia="zh-CN"/>
        </w:rPr>
        <w:t>（投标</w:t>
      </w:r>
      <w:r>
        <w:rPr>
          <w:rFonts w:hint="eastAsia" w:ascii="宋体" w:hAnsi="宋体" w:eastAsia="宋体" w:cs="宋体"/>
          <w:color w:val="auto"/>
          <w:spacing w:val="6"/>
          <w:sz w:val="20"/>
          <w:szCs w:val="20"/>
          <w:u w:val="single"/>
          <w:lang w:eastAsia="zh-CN"/>
        </w:rPr>
        <w:t>服务商</w:t>
      </w:r>
      <w:r>
        <w:rPr>
          <w:rFonts w:ascii="宋体" w:hAnsi="宋体" w:eastAsia="宋体" w:cs="宋体"/>
          <w:color w:val="auto"/>
          <w:spacing w:val="6"/>
          <w:sz w:val="20"/>
          <w:szCs w:val="20"/>
          <w:u w:val="single"/>
          <w:lang w:eastAsia="zh-CN"/>
        </w:rPr>
        <w:t>全称）</w:t>
      </w:r>
      <w:r>
        <w:rPr>
          <w:rFonts w:ascii="宋体" w:hAnsi="宋体" w:eastAsia="宋体" w:cs="宋体"/>
          <w:color w:val="auto"/>
          <w:spacing w:val="10"/>
          <w:sz w:val="20"/>
          <w:szCs w:val="20"/>
          <w:u w:val="single"/>
          <w:lang w:eastAsia="zh-CN"/>
        </w:rPr>
        <w:t xml:space="preserve">        </w:t>
      </w:r>
      <w:r>
        <w:rPr>
          <w:rFonts w:ascii="宋体" w:hAnsi="宋体" w:eastAsia="宋体" w:cs="宋体"/>
          <w:color w:val="auto"/>
          <w:spacing w:val="6"/>
          <w:sz w:val="20"/>
          <w:szCs w:val="20"/>
          <w:u w:val="single"/>
          <w:lang w:eastAsia="zh-CN"/>
        </w:rPr>
        <w:t>的</w:t>
      </w:r>
      <w:r>
        <w:rPr>
          <w:rFonts w:hint="eastAsia" w:ascii="宋体" w:hAnsi="宋体" w:eastAsia="宋体" w:cs="宋体"/>
          <w:color w:val="auto"/>
          <w:spacing w:val="6"/>
          <w:sz w:val="20"/>
          <w:szCs w:val="20"/>
          <w:u w:val="single"/>
          <w:lang w:eastAsia="zh-CN"/>
        </w:rPr>
        <w:t>法定代表人</w:t>
      </w:r>
      <w:r>
        <w:rPr>
          <w:rFonts w:ascii="宋体" w:hAnsi="宋体" w:eastAsia="宋体" w:cs="宋体"/>
          <w:color w:val="auto"/>
          <w:spacing w:val="6"/>
          <w:sz w:val="20"/>
          <w:szCs w:val="20"/>
          <w:lang w:eastAsia="zh-CN"/>
        </w:rPr>
        <w:t>授权</w:t>
      </w:r>
      <w:r>
        <w:rPr>
          <w:rFonts w:ascii="宋体" w:hAnsi="宋体" w:eastAsia="宋体" w:cs="宋体"/>
          <w:color w:val="auto"/>
          <w:spacing w:val="2"/>
          <w:sz w:val="20"/>
          <w:szCs w:val="20"/>
          <w:lang w:eastAsia="zh-CN"/>
        </w:rPr>
        <w:t xml:space="preserve"> </w:t>
      </w:r>
      <w:r>
        <w:rPr>
          <w:rFonts w:ascii="宋体" w:hAnsi="宋体" w:eastAsia="宋体" w:cs="宋体"/>
          <w:color w:val="auto"/>
          <w:spacing w:val="9"/>
          <w:sz w:val="20"/>
          <w:szCs w:val="20"/>
          <w:lang w:eastAsia="zh-CN"/>
        </w:rPr>
        <w:t>我公司</w:t>
      </w:r>
      <w:r>
        <w:rPr>
          <w:rFonts w:ascii="宋体" w:hAnsi="宋体" w:eastAsia="宋体" w:cs="宋体"/>
          <w:color w:val="auto"/>
          <w:spacing w:val="9"/>
          <w:sz w:val="20"/>
          <w:szCs w:val="20"/>
          <w:u w:val="single"/>
          <w:lang w:eastAsia="zh-CN"/>
        </w:rPr>
        <w:t xml:space="preserve">  （投标</w:t>
      </w:r>
      <w:r>
        <w:rPr>
          <w:rFonts w:hint="eastAsia" w:ascii="宋体" w:hAnsi="宋体" w:eastAsia="宋体" w:cs="宋体"/>
          <w:color w:val="auto"/>
          <w:spacing w:val="9"/>
          <w:sz w:val="20"/>
          <w:szCs w:val="20"/>
          <w:u w:val="single"/>
          <w:lang w:eastAsia="zh-CN"/>
        </w:rPr>
        <w:t>服务商</w:t>
      </w:r>
      <w:r>
        <w:rPr>
          <w:rFonts w:ascii="宋体" w:hAnsi="宋体" w:eastAsia="宋体" w:cs="宋体"/>
          <w:color w:val="auto"/>
          <w:spacing w:val="9"/>
          <w:sz w:val="20"/>
          <w:szCs w:val="20"/>
          <w:u w:val="single"/>
          <w:lang w:eastAsia="zh-CN"/>
        </w:rPr>
        <w:t xml:space="preserve">代表姓名）  </w:t>
      </w:r>
      <w:r>
        <w:rPr>
          <w:rFonts w:ascii="宋体" w:hAnsi="宋体" w:eastAsia="宋体" w:cs="宋体"/>
          <w:color w:val="auto"/>
          <w:spacing w:val="-88"/>
          <w:sz w:val="20"/>
          <w:szCs w:val="20"/>
          <w:lang w:eastAsia="zh-CN"/>
        </w:rPr>
        <w:t xml:space="preserve"> </w:t>
      </w:r>
      <w:r>
        <w:rPr>
          <w:rFonts w:ascii="宋体" w:hAnsi="宋体" w:eastAsia="宋体" w:cs="宋体"/>
          <w:color w:val="auto"/>
          <w:spacing w:val="9"/>
          <w:sz w:val="20"/>
          <w:szCs w:val="20"/>
          <w:lang w:eastAsia="zh-CN"/>
        </w:rPr>
        <w:t>为投标</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代</w:t>
      </w:r>
      <w:r>
        <w:rPr>
          <w:rFonts w:ascii="宋体" w:hAnsi="宋体" w:eastAsia="宋体" w:cs="宋体"/>
          <w:color w:val="auto"/>
          <w:spacing w:val="8"/>
          <w:sz w:val="20"/>
          <w:szCs w:val="20"/>
          <w:lang w:eastAsia="zh-CN"/>
        </w:rPr>
        <w:t>表，代表本公司参加贵司组织的</w:t>
      </w:r>
      <w:r>
        <w:rPr>
          <w:rFonts w:ascii="宋体" w:hAnsi="宋体" w:eastAsia="宋体" w:cs="宋体"/>
          <w:color w:val="auto"/>
          <w:spacing w:val="-98"/>
          <w:sz w:val="20"/>
          <w:szCs w:val="20"/>
          <w:lang w:eastAsia="zh-CN"/>
        </w:rPr>
        <w:t xml:space="preserve"> </w:t>
      </w:r>
      <w:r>
        <w:rPr>
          <w:rFonts w:ascii="宋体" w:hAnsi="宋体" w:eastAsia="宋体" w:cs="宋体"/>
          <w:color w:val="auto"/>
          <w:spacing w:val="4"/>
          <w:sz w:val="20"/>
          <w:szCs w:val="20"/>
          <w:u w:val="single"/>
          <w:lang w:eastAsia="zh-CN"/>
        </w:rPr>
        <w:t xml:space="preserve">                  </w:t>
      </w:r>
      <w:r>
        <w:rPr>
          <w:rFonts w:ascii="宋体" w:hAnsi="宋体" w:eastAsia="宋体" w:cs="宋体"/>
          <w:color w:val="auto"/>
          <w:spacing w:val="-72"/>
          <w:sz w:val="20"/>
          <w:szCs w:val="20"/>
          <w:lang w:eastAsia="zh-CN"/>
        </w:rPr>
        <w:t xml:space="preserve"> </w:t>
      </w:r>
      <w:r>
        <w:rPr>
          <w:rFonts w:ascii="宋体" w:hAnsi="宋体" w:eastAsia="宋体" w:cs="宋体"/>
          <w:color w:val="auto"/>
          <w:spacing w:val="8"/>
          <w:sz w:val="20"/>
          <w:szCs w:val="20"/>
          <w:lang w:eastAsia="zh-CN"/>
        </w:rPr>
        <w:t>项</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目（项目编号</w:t>
      </w:r>
      <w:r>
        <w:rPr>
          <w:rFonts w:ascii="宋体" w:hAnsi="宋体" w:eastAsia="宋体" w:cs="宋体"/>
          <w:color w:val="auto"/>
          <w:spacing w:val="7"/>
          <w:sz w:val="20"/>
          <w:szCs w:val="20"/>
          <w:lang w:eastAsia="zh-CN"/>
        </w:rPr>
        <w:t>：</w:t>
      </w:r>
      <w:r>
        <w:rPr>
          <w:rFonts w:ascii="宋体" w:hAnsi="宋体" w:eastAsia="宋体" w:cs="宋体"/>
          <w:color w:val="auto"/>
          <w:sz w:val="20"/>
          <w:szCs w:val="20"/>
          <w:u w:val="single"/>
          <w:lang w:eastAsia="zh-CN"/>
        </w:rPr>
        <w:t xml:space="preserve">                       </w:t>
      </w:r>
      <w:r>
        <w:rPr>
          <w:rFonts w:ascii="宋体" w:hAnsi="宋体" w:eastAsia="宋体" w:cs="宋体"/>
          <w:color w:val="auto"/>
          <w:spacing w:val="-61"/>
          <w:sz w:val="20"/>
          <w:szCs w:val="20"/>
          <w:lang w:eastAsia="zh-CN"/>
        </w:rPr>
        <w:t xml:space="preserve"> </w:t>
      </w:r>
      <w:r>
        <w:rPr>
          <w:rFonts w:ascii="宋体" w:hAnsi="宋体" w:eastAsia="宋体" w:cs="宋体"/>
          <w:color w:val="auto"/>
          <w:spacing w:val="7"/>
          <w:sz w:val="20"/>
          <w:szCs w:val="20"/>
          <w:lang w:eastAsia="zh-CN"/>
        </w:rPr>
        <w:t>）</w:t>
      </w:r>
      <w:r>
        <w:rPr>
          <w:rFonts w:ascii="宋体" w:hAnsi="宋体" w:eastAsia="宋体" w:cs="宋体"/>
          <w:color w:val="auto"/>
          <w:spacing w:val="9"/>
          <w:sz w:val="20"/>
          <w:szCs w:val="20"/>
          <w:lang w:eastAsia="zh-CN"/>
        </w:rPr>
        <w:t>招标投标活动，全权代表本公司处理招标投标过程的一切事宜，</w:t>
      </w:r>
      <w:r>
        <w:rPr>
          <w:rFonts w:ascii="宋体" w:hAnsi="宋体" w:eastAsia="宋体" w:cs="宋体"/>
          <w:color w:val="auto"/>
          <w:sz w:val="20"/>
          <w:szCs w:val="20"/>
          <w:lang w:eastAsia="zh-CN"/>
        </w:rPr>
        <w:t xml:space="preserve"> </w:t>
      </w:r>
      <w:r>
        <w:rPr>
          <w:rFonts w:ascii="宋体" w:hAnsi="宋体" w:eastAsia="宋体" w:cs="宋体"/>
          <w:color w:val="auto"/>
          <w:spacing w:val="10"/>
          <w:sz w:val="20"/>
          <w:szCs w:val="20"/>
          <w:lang w:eastAsia="zh-CN"/>
        </w:rPr>
        <w:t>包括但不限于：投标、成交、签约等。投标</w:t>
      </w:r>
      <w:r>
        <w:rPr>
          <w:rFonts w:hint="eastAsia" w:ascii="宋体" w:hAnsi="宋体" w:eastAsia="宋体" w:cs="宋体"/>
          <w:color w:val="auto"/>
          <w:spacing w:val="10"/>
          <w:sz w:val="20"/>
          <w:szCs w:val="20"/>
          <w:lang w:eastAsia="zh-CN"/>
        </w:rPr>
        <w:t>服务商</w:t>
      </w:r>
      <w:r>
        <w:rPr>
          <w:rFonts w:ascii="宋体" w:hAnsi="宋体" w:eastAsia="宋体" w:cs="宋体"/>
          <w:color w:val="auto"/>
          <w:spacing w:val="10"/>
          <w:sz w:val="20"/>
          <w:szCs w:val="20"/>
          <w:lang w:eastAsia="zh-CN"/>
        </w:rPr>
        <w:t>代表在投标过程中所签署的一切</w:t>
      </w:r>
      <w:r>
        <w:rPr>
          <w:rFonts w:ascii="宋体" w:hAnsi="宋体" w:eastAsia="宋体" w:cs="宋体"/>
          <w:color w:val="auto"/>
          <w:spacing w:val="9"/>
          <w:sz w:val="20"/>
          <w:szCs w:val="20"/>
          <w:lang w:eastAsia="zh-CN"/>
        </w:rPr>
        <w:t>文件和处理与之有关的一切事务，本公司均予以认可并对此承担责任。投标</w:t>
      </w:r>
      <w:r>
        <w:rPr>
          <w:rFonts w:hint="eastAsia" w:ascii="宋体" w:hAnsi="宋体" w:eastAsia="宋体" w:cs="宋体"/>
          <w:color w:val="auto"/>
          <w:spacing w:val="9"/>
          <w:sz w:val="20"/>
          <w:szCs w:val="20"/>
          <w:lang w:eastAsia="zh-CN"/>
        </w:rPr>
        <w:t>服务商</w:t>
      </w:r>
      <w:r>
        <w:rPr>
          <w:rFonts w:ascii="宋体" w:hAnsi="宋体" w:eastAsia="宋体" w:cs="宋体"/>
          <w:color w:val="auto"/>
          <w:spacing w:val="9"/>
          <w:sz w:val="20"/>
          <w:szCs w:val="20"/>
          <w:lang w:eastAsia="zh-CN"/>
        </w:rPr>
        <w:t>代表无转委托权。特此授权。</w:t>
      </w:r>
    </w:p>
    <w:p w14:paraId="540887D4">
      <w:pPr>
        <w:spacing w:before="154" w:line="227" w:lineRule="auto"/>
        <w:ind w:left="427"/>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本授权书自出具之日起生效，有效期</w:t>
      </w:r>
      <w:r>
        <w:rPr>
          <w:rFonts w:ascii="宋体" w:hAnsi="宋体" w:eastAsia="宋体" w:cs="宋体"/>
          <w:color w:val="auto"/>
          <w:spacing w:val="-86"/>
          <w:sz w:val="20"/>
          <w:szCs w:val="20"/>
          <w:lang w:eastAsia="zh-CN"/>
        </w:rPr>
        <w:t xml:space="preserve"> </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56"/>
          <w:sz w:val="20"/>
          <w:szCs w:val="20"/>
          <w:lang w:eastAsia="zh-CN"/>
        </w:rPr>
        <w:t xml:space="preserve"> </w:t>
      </w:r>
      <w:r>
        <w:rPr>
          <w:rFonts w:ascii="宋体" w:hAnsi="宋体" w:eastAsia="宋体" w:cs="宋体"/>
          <w:color w:val="auto"/>
          <w:spacing w:val="6"/>
          <w:sz w:val="20"/>
          <w:szCs w:val="20"/>
          <w:lang w:eastAsia="zh-CN"/>
        </w:rPr>
        <w:t>日历天。</w:t>
      </w:r>
    </w:p>
    <w:p w14:paraId="51E93B17">
      <w:pPr>
        <w:spacing w:before="153" w:line="370" w:lineRule="auto"/>
        <w:ind w:left="429"/>
        <w:rPr>
          <w:rFonts w:ascii="宋体" w:hAnsi="宋体" w:eastAsia="宋体" w:cs="宋体"/>
          <w:color w:val="auto"/>
          <w:sz w:val="20"/>
          <w:szCs w:val="20"/>
          <w:lang w:eastAsia="zh-CN"/>
        </w:rPr>
      </w:pPr>
      <w:r>
        <w:rPr>
          <w:rFonts w:ascii="宋体" w:hAnsi="宋体" w:eastAsia="宋体" w:cs="宋体"/>
          <w:color w:val="auto"/>
          <w:spacing w:val="5"/>
          <w:sz w:val="20"/>
          <w:szCs w:val="20"/>
          <w:lang w:eastAsia="zh-CN"/>
        </w:rPr>
        <w:t>投标</w:t>
      </w:r>
      <w:r>
        <w:rPr>
          <w:rFonts w:hint="eastAsia" w:ascii="宋体" w:hAnsi="宋体" w:eastAsia="宋体" w:cs="宋体"/>
          <w:color w:val="auto"/>
          <w:spacing w:val="5"/>
          <w:sz w:val="20"/>
          <w:szCs w:val="20"/>
          <w:lang w:eastAsia="zh-CN"/>
        </w:rPr>
        <w:t>服务商</w:t>
      </w:r>
      <w:r>
        <w:rPr>
          <w:rFonts w:ascii="宋体" w:hAnsi="宋体" w:eastAsia="宋体" w:cs="宋体"/>
          <w:color w:val="auto"/>
          <w:spacing w:val="5"/>
          <w:sz w:val="20"/>
          <w:szCs w:val="20"/>
          <w:lang w:eastAsia="zh-CN"/>
        </w:rPr>
        <w:t>代表：</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4"/>
          <w:sz w:val="20"/>
          <w:szCs w:val="20"/>
          <w:u w:val="single"/>
          <w:lang w:eastAsia="zh-CN"/>
        </w:rPr>
        <w:t xml:space="preserve">  </w:t>
      </w:r>
      <w:r>
        <w:rPr>
          <w:rFonts w:ascii="宋体" w:hAnsi="宋体" w:eastAsia="宋体" w:cs="宋体"/>
          <w:color w:val="auto"/>
          <w:spacing w:val="4"/>
          <w:sz w:val="20"/>
          <w:szCs w:val="20"/>
          <w:lang w:eastAsia="zh-CN"/>
        </w:rPr>
        <w:t xml:space="preserve"> 性别：</w:t>
      </w:r>
      <w:r>
        <w:rPr>
          <w:rFonts w:ascii="宋体" w:hAnsi="宋体" w:eastAsia="宋体" w:cs="宋体"/>
          <w:color w:val="auto"/>
          <w:spacing w:val="4"/>
          <w:sz w:val="20"/>
          <w:szCs w:val="20"/>
          <w:u w:val="single"/>
          <w:lang w:eastAsia="zh-CN"/>
        </w:rPr>
        <w:t xml:space="preserve">         </w:t>
      </w:r>
      <w:r>
        <w:rPr>
          <w:rFonts w:ascii="宋体" w:hAnsi="宋体" w:eastAsia="宋体" w:cs="宋体"/>
          <w:color w:val="auto"/>
          <w:spacing w:val="19"/>
          <w:sz w:val="20"/>
          <w:szCs w:val="20"/>
          <w:lang w:eastAsia="zh-CN"/>
        </w:rPr>
        <w:t xml:space="preserve"> </w:t>
      </w:r>
      <w:r>
        <w:rPr>
          <w:rFonts w:ascii="宋体" w:hAnsi="宋体" w:eastAsia="宋体" w:cs="宋体"/>
          <w:color w:val="auto"/>
          <w:spacing w:val="4"/>
          <w:sz w:val="20"/>
          <w:szCs w:val="20"/>
          <w:lang w:eastAsia="zh-CN"/>
        </w:rPr>
        <w:t>身份证号：</w:t>
      </w:r>
      <w:r>
        <w:rPr>
          <w:rFonts w:ascii="宋体" w:hAnsi="宋体" w:eastAsia="宋体" w:cs="宋体"/>
          <w:color w:val="auto"/>
          <w:spacing w:val="4"/>
          <w:sz w:val="20"/>
          <w:szCs w:val="20"/>
          <w:u w:val="single"/>
          <w:lang w:eastAsia="zh-CN"/>
        </w:rPr>
        <w:t xml:space="preserve">                              </w:t>
      </w:r>
    </w:p>
    <w:p w14:paraId="074310D8">
      <w:pPr>
        <w:spacing w:before="1" w:line="227" w:lineRule="auto"/>
        <w:ind w:left="426"/>
        <w:rPr>
          <w:rFonts w:ascii="宋体" w:hAnsi="宋体" w:eastAsia="宋体" w:cs="宋体"/>
          <w:color w:val="auto"/>
          <w:sz w:val="20"/>
          <w:szCs w:val="20"/>
          <w:lang w:eastAsia="zh-CN"/>
        </w:rPr>
      </w:pPr>
      <w:r>
        <w:rPr>
          <w:rFonts w:ascii="宋体" w:hAnsi="宋体" w:eastAsia="宋体" w:cs="宋体"/>
          <w:color w:val="auto"/>
          <w:spacing w:val="2"/>
          <w:sz w:val="20"/>
          <w:szCs w:val="20"/>
          <w:lang w:eastAsia="zh-CN"/>
        </w:rPr>
        <w:t>通讯地址：</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z w:val="20"/>
          <w:szCs w:val="20"/>
          <w:u w:val="single"/>
          <w:lang w:eastAsia="zh-CN"/>
        </w:rPr>
        <w:t xml:space="preserve">      </w:t>
      </w:r>
      <w:r>
        <w:rPr>
          <w:rFonts w:ascii="宋体" w:hAnsi="宋体" w:eastAsia="宋体" w:cs="宋体"/>
          <w:color w:val="auto"/>
          <w:spacing w:val="30"/>
          <w:sz w:val="20"/>
          <w:szCs w:val="20"/>
          <w:lang w:eastAsia="zh-CN"/>
        </w:rPr>
        <w:t xml:space="preserve"> </w:t>
      </w:r>
      <w:r>
        <w:rPr>
          <w:rFonts w:ascii="宋体" w:hAnsi="宋体" w:eastAsia="宋体" w:cs="宋体"/>
          <w:color w:val="auto"/>
          <w:spacing w:val="2"/>
          <w:sz w:val="20"/>
          <w:szCs w:val="20"/>
          <w:lang w:eastAsia="zh-CN"/>
        </w:rPr>
        <w:t>邮政编码</w:t>
      </w:r>
      <w:r>
        <w:rPr>
          <w:rFonts w:ascii="Tahoma" w:hAnsi="Tahoma" w:eastAsia="Tahoma" w:cs="Tahoma"/>
          <w:color w:val="auto"/>
          <w:spacing w:val="2"/>
          <w:sz w:val="20"/>
          <w:szCs w:val="20"/>
          <w:lang w:eastAsia="zh-CN"/>
        </w:rPr>
        <w:t>:</w:t>
      </w:r>
      <w:r>
        <w:rPr>
          <w:rFonts w:ascii="Tahoma" w:hAnsi="Tahoma" w:eastAsia="Tahoma" w:cs="Tahoma"/>
          <w:color w:val="auto"/>
          <w:spacing w:val="-62"/>
          <w:sz w:val="20"/>
          <w:szCs w:val="20"/>
          <w:lang w:eastAsia="zh-CN"/>
        </w:rPr>
        <w:t xml:space="preserve"> </w:t>
      </w:r>
      <w:r>
        <w:rPr>
          <w:rFonts w:ascii="Tahoma" w:hAnsi="Tahoma" w:eastAsia="Tahoma" w:cs="Tahoma"/>
          <w:color w:val="auto"/>
          <w:spacing w:val="2"/>
          <w:sz w:val="20"/>
          <w:szCs w:val="20"/>
          <w:u w:val="single"/>
          <w:lang w:eastAsia="zh-CN"/>
        </w:rPr>
        <w:t xml:space="preserve">                          </w:t>
      </w:r>
      <w:r>
        <w:rPr>
          <w:rFonts w:ascii="Tahoma" w:hAnsi="Tahoma" w:eastAsia="Tahoma" w:cs="Tahoma"/>
          <w:color w:val="auto"/>
          <w:spacing w:val="2"/>
          <w:sz w:val="20"/>
          <w:szCs w:val="20"/>
          <w:lang w:eastAsia="zh-CN"/>
        </w:rPr>
        <w:t xml:space="preserve">  </w:t>
      </w:r>
      <w:r>
        <w:rPr>
          <w:rFonts w:ascii="宋体" w:hAnsi="宋体" w:eastAsia="宋体" w:cs="宋体"/>
          <w:color w:val="auto"/>
          <w:spacing w:val="2"/>
          <w:sz w:val="20"/>
          <w:szCs w:val="20"/>
          <w:lang w:eastAsia="zh-CN"/>
        </w:rPr>
        <w:t>电话：</w:t>
      </w:r>
      <w:r>
        <w:rPr>
          <w:rFonts w:ascii="宋体" w:hAnsi="宋体" w:eastAsia="宋体" w:cs="宋体"/>
          <w:color w:val="auto"/>
          <w:spacing w:val="2"/>
          <w:sz w:val="20"/>
          <w:szCs w:val="20"/>
          <w:u w:val="single"/>
          <w:lang w:eastAsia="zh-CN"/>
        </w:rPr>
        <w:t xml:space="preserve">                 </w:t>
      </w:r>
      <w:r>
        <w:rPr>
          <w:rFonts w:ascii="宋体" w:hAnsi="宋体" w:eastAsia="宋体" w:cs="宋体"/>
          <w:color w:val="auto"/>
          <w:spacing w:val="1"/>
          <w:sz w:val="20"/>
          <w:szCs w:val="20"/>
          <w:u w:val="single"/>
          <w:lang w:eastAsia="zh-CN"/>
        </w:rPr>
        <w:t xml:space="preserve">   </w:t>
      </w:r>
    </w:p>
    <w:p w14:paraId="01C19DBB">
      <w:pPr>
        <w:spacing w:line="230" w:lineRule="exact"/>
        <w:rPr>
          <w:color w:val="auto"/>
          <w:lang w:eastAsia="zh-CN"/>
        </w:rPr>
      </w:pPr>
    </w:p>
    <w:tbl>
      <w:tblPr>
        <w:tblStyle w:val="26"/>
        <w:tblW w:w="3345" w:type="dxa"/>
        <w:tblInd w:w="5133"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345"/>
      </w:tblGrid>
      <w:tr w14:paraId="5B5AD68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040" w:hRule="atLeast"/>
        </w:trPr>
        <w:tc>
          <w:tcPr>
            <w:tcW w:w="3345" w:type="dxa"/>
          </w:tcPr>
          <w:p w14:paraId="23ED1978">
            <w:pPr>
              <w:spacing w:line="282" w:lineRule="auto"/>
              <w:rPr>
                <w:color w:val="auto"/>
                <w:lang w:eastAsia="zh-CN"/>
              </w:rPr>
            </w:pPr>
          </w:p>
          <w:p w14:paraId="72CBCD53">
            <w:pPr>
              <w:spacing w:line="282" w:lineRule="auto"/>
              <w:rPr>
                <w:color w:val="auto"/>
                <w:lang w:eastAsia="zh-CN"/>
              </w:rPr>
            </w:pPr>
          </w:p>
          <w:p w14:paraId="5724DAAF">
            <w:pPr>
              <w:spacing w:line="282" w:lineRule="auto"/>
              <w:rPr>
                <w:color w:val="auto"/>
                <w:lang w:eastAsia="zh-CN"/>
              </w:rPr>
            </w:pPr>
          </w:p>
          <w:p w14:paraId="538D17A5">
            <w:pPr>
              <w:pStyle w:val="27"/>
              <w:spacing w:before="65" w:line="228" w:lineRule="auto"/>
              <w:ind w:left="471"/>
              <w:rPr>
                <w:color w:val="auto"/>
                <w:lang w:eastAsia="zh-CN"/>
              </w:rPr>
            </w:pPr>
            <w:r>
              <w:rPr>
                <w:color w:val="auto"/>
                <w:spacing w:val="9"/>
                <w:lang w:eastAsia="zh-CN"/>
              </w:rPr>
              <w:t>授权代表身份证复印件正面</w:t>
            </w:r>
          </w:p>
        </w:tc>
      </w:tr>
    </w:tbl>
    <w:p w14:paraId="5DE73507">
      <w:pPr>
        <w:spacing w:line="225" w:lineRule="exact"/>
        <w:rPr>
          <w:color w:val="auto"/>
          <w:lang w:eastAsia="zh-CN"/>
        </w:rPr>
      </w:pPr>
    </w:p>
    <w:tbl>
      <w:tblPr>
        <w:tblStyle w:val="26"/>
        <w:tblW w:w="3402" w:type="dxa"/>
        <w:tblInd w:w="5077"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402"/>
      </w:tblGrid>
      <w:tr w14:paraId="54F3DAA9">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064" w:hRule="atLeast"/>
        </w:trPr>
        <w:tc>
          <w:tcPr>
            <w:tcW w:w="3402" w:type="dxa"/>
          </w:tcPr>
          <w:p w14:paraId="2092563A">
            <w:pPr>
              <w:spacing w:line="282" w:lineRule="auto"/>
              <w:rPr>
                <w:color w:val="auto"/>
                <w:lang w:eastAsia="zh-CN"/>
              </w:rPr>
            </w:pPr>
          </w:p>
          <w:p w14:paraId="7CBD7712">
            <w:pPr>
              <w:spacing w:line="282" w:lineRule="auto"/>
              <w:rPr>
                <w:color w:val="auto"/>
                <w:lang w:eastAsia="zh-CN"/>
              </w:rPr>
            </w:pPr>
          </w:p>
          <w:p w14:paraId="4FDE0F93">
            <w:pPr>
              <w:spacing w:line="282" w:lineRule="auto"/>
              <w:rPr>
                <w:color w:val="auto"/>
                <w:lang w:eastAsia="zh-CN"/>
              </w:rPr>
            </w:pPr>
          </w:p>
          <w:p w14:paraId="5880F615">
            <w:pPr>
              <w:pStyle w:val="27"/>
              <w:spacing w:before="65" w:line="228" w:lineRule="auto"/>
              <w:ind w:left="472"/>
              <w:rPr>
                <w:color w:val="auto"/>
                <w:lang w:eastAsia="zh-CN"/>
              </w:rPr>
            </w:pPr>
            <w:r>
              <w:rPr>
                <w:color w:val="auto"/>
                <w:spacing w:val="9"/>
                <w:lang w:eastAsia="zh-CN"/>
              </w:rPr>
              <w:t>授权代表身份证复印件反面</w:t>
            </w:r>
          </w:p>
        </w:tc>
      </w:tr>
    </w:tbl>
    <w:p w14:paraId="3608C5FB">
      <w:pPr>
        <w:pStyle w:val="8"/>
        <w:spacing w:line="288" w:lineRule="auto"/>
        <w:rPr>
          <w:color w:val="auto"/>
          <w:lang w:eastAsia="zh-CN"/>
        </w:rPr>
      </w:pPr>
    </w:p>
    <w:p w14:paraId="02D15009">
      <w:pPr>
        <w:spacing w:before="65" w:line="227" w:lineRule="auto"/>
        <w:ind w:left="2946"/>
        <w:rPr>
          <w:rFonts w:ascii="宋体" w:hAnsi="宋体" w:eastAsia="宋体" w:cs="宋体"/>
          <w:color w:val="auto"/>
          <w:sz w:val="20"/>
          <w:szCs w:val="20"/>
          <w:lang w:eastAsia="zh-CN"/>
        </w:rPr>
      </w:pP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（加盖公章</w:t>
      </w:r>
      <w:r>
        <w:rPr>
          <w:rFonts w:ascii="宋体" w:hAnsi="宋体" w:eastAsia="宋体" w:cs="宋体"/>
          <w:color w:val="auto"/>
          <w:spacing w:val="13"/>
          <w:sz w:val="20"/>
          <w:szCs w:val="20"/>
          <w:lang w:eastAsia="zh-CN"/>
        </w:rPr>
        <w:t>）：</w:t>
      </w:r>
      <w:r>
        <w:rPr>
          <w:rFonts w:ascii="宋体" w:hAnsi="宋体" w:eastAsia="宋体" w:cs="宋体"/>
          <w:color w:val="auto"/>
          <w:sz w:val="20"/>
          <w:szCs w:val="20"/>
          <w:u w:val="single"/>
          <w:lang w:eastAsia="zh-CN"/>
        </w:rPr>
        <w:t xml:space="preserve">                               </w:t>
      </w:r>
    </w:p>
    <w:p w14:paraId="692397ED">
      <w:pPr>
        <w:pStyle w:val="8"/>
        <w:spacing w:line="242" w:lineRule="auto"/>
        <w:rPr>
          <w:color w:val="auto"/>
          <w:lang w:eastAsia="zh-CN"/>
        </w:rPr>
      </w:pPr>
    </w:p>
    <w:p w14:paraId="3FA86D91">
      <w:pPr>
        <w:pStyle w:val="8"/>
        <w:spacing w:line="243" w:lineRule="auto"/>
        <w:rPr>
          <w:color w:val="auto"/>
          <w:lang w:eastAsia="zh-CN"/>
        </w:rPr>
      </w:pPr>
    </w:p>
    <w:p w14:paraId="35EB8FD8">
      <w:pPr>
        <w:spacing w:before="65" w:line="228" w:lineRule="auto"/>
        <w:ind w:left="2947"/>
        <w:rPr>
          <w:rFonts w:ascii="宋体" w:hAnsi="宋体" w:eastAsia="宋体" w:cs="宋体"/>
          <w:color w:val="auto"/>
          <w:sz w:val="20"/>
          <w:szCs w:val="20"/>
          <w:lang w:eastAsia="zh-CN"/>
        </w:rPr>
      </w:pPr>
      <w:r>
        <w:rPr>
          <w:rFonts w:hint="eastAsia" w:ascii="宋体" w:hAnsi="宋体" w:eastAsia="宋体" w:cs="宋体"/>
          <w:color w:val="auto"/>
          <w:spacing w:val="8"/>
          <w:sz w:val="20"/>
          <w:szCs w:val="20"/>
          <w:lang w:eastAsia="zh-CN"/>
        </w:rPr>
        <w:t xml:space="preserve">负   责    </w:t>
      </w:r>
      <w:r>
        <w:rPr>
          <w:rFonts w:ascii="宋体" w:hAnsi="宋体" w:eastAsia="宋体" w:cs="宋体"/>
          <w:color w:val="auto"/>
          <w:spacing w:val="8"/>
          <w:sz w:val="20"/>
          <w:szCs w:val="20"/>
          <w:lang w:eastAsia="zh-CN"/>
        </w:rPr>
        <w:t>人（签字</w:t>
      </w:r>
      <w:r>
        <w:rPr>
          <w:rFonts w:ascii="宋体" w:hAnsi="宋体" w:eastAsia="宋体" w:cs="宋体"/>
          <w:color w:val="auto"/>
          <w:spacing w:val="12"/>
          <w:sz w:val="20"/>
          <w:szCs w:val="20"/>
          <w:lang w:eastAsia="zh-CN"/>
        </w:rPr>
        <w:t>）：</w:t>
      </w:r>
      <w:r>
        <w:rPr>
          <w:rFonts w:ascii="宋体" w:hAnsi="宋体" w:eastAsia="宋体" w:cs="宋体"/>
          <w:color w:val="auto"/>
          <w:sz w:val="20"/>
          <w:szCs w:val="20"/>
          <w:u w:val="single"/>
          <w:lang w:eastAsia="zh-CN"/>
        </w:rPr>
        <w:t xml:space="preserve">                               </w:t>
      </w:r>
    </w:p>
    <w:p w14:paraId="5E84E6E0">
      <w:pPr>
        <w:pStyle w:val="8"/>
        <w:spacing w:line="242" w:lineRule="auto"/>
        <w:rPr>
          <w:color w:val="auto"/>
          <w:lang w:eastAsia="zh-CN"/>
        </w:rPr>
      </w:pPr>
    </w:p>
    <w:p w14:paraId="26B9ED3F">
      <w:pPr>
        <w:pStyle w:val="8"/>
        <w:spacing w:line="242" w:lineRule="auto"/>
        <w:rPr>
          <w:color w:val="auto"/>
          <w:lang w:eastAsia="zh-CN"/>
        </w:rPr>
      </w:pPr>
    </w:p>
    <w:p w14:paraId="76B49E3D">
      <w:pPr>
        <w:spacing w:before="66" w:line="227" w:lineRule="auto"/>
        <w:ind w:left="2946"/>
        <w:rPr>
          <w:rFonts w:ascii="宋体" w:hAnsi="宋体" w:eastAsia="宋体" w:cs="宋体"/>
          <w:color w:val="auto"/>
          <w:sz w:val="20"/>
          <w:szCs w:val="20"/>
          <w:lang w:eastAsia="zh-CN"/>
        </w:rPr>
      </w:pP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代表（签字</w:t>
      </w:r>
      <w:r>
        <w:rPr>
          <w:rFonts w:ascii="宋体" w:hAnsi="宋体" w:eastAsia="宋体" w:cs="宋体"/>
          <w:color w:val="auto"/>
          <w:spacing w:val="13"/>
          <w:sz w:val="20"/>
          <w:szCs w:val="20"/>
          <w:lang w:eastAsia="zh-CN"/>
        </w:rPr>
        <w:t>）：</w:t>
      </w:r>
      <w:r>
        <w:rPr>
          <w:rFonts w:ascii="宋体" w:hAnsi="宋体" w:eastAsia="宋体" w:cs="宋体"/>
          <w:color w:val="auto"/>
          <w:sz w:val="20"/>
          <w:szCs w:val="20"/>
          <w:u w:val="single"/>
          <w:lang w:eastAsia="zh-CN"/>
        </w:rPr>
        <w:t xml:space="preserve">                               </w:t>
      </w:r>
    </w:p>
    <w:p w14:paraId="3293E156">
      <w:pPr>
        <w:pStyle w:val="8"/>
        <w:spacing w:line="244" w:lineRule="auto"/>
        <w:rPr>
          <w:color w:val="auto"/>
          <w:lang w:eastAsia="zh-CN"/>
        </w:rPr>
      </w:pPr>
    </w:p>
    <w:p w14:paraId="07CF63F9">
      <w:pPr>
        <w:spacing w:before="65" w:line="228" w:lineRule="auto"/>
        <w:ind w:left="4242"/>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日</w:t>
      </w:r>
      <w:r>
        <w:rPr>
          <w:rFonts w:ascii="宋体" w:hAnsi="宋体" w:eastAsia="宋体" w:cs="宋体"/>
          <w:color w:val="auto"/>
          <w:spacing w:val="8"/>
          <w:sz w:val="20"/>
          <w:szCs w:val="20"/>
          <w:lang w:eastAsia="zh-CN"/>
        </w:rPr>
        <w:t xml:space="preserve">     </w:t>
      </w:r>
      <w:r>
        <w:rPr>
          <w:rFonts w:ascii="宋体" w:hAnsi="宋体" w:eastAsia="宋体" w:cs="宋体"/>
          <w:color w:val="auto"/>
          <w:spacing w:val="-6"/>
          <w:sz w:val="20"/>
          <w:szCs w:val="20"/>
          <w:lang w:eastAsia="zh-CN"/>
        </w:rPr>
        <w:t>期：</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89"/>
          <w:sz w:val="20"/>
          <w:szCs w:val="20"/>
          <w:lang w:eastAsia="zh-CN"/>
        </w:rPr>
        <w:t xml:space="preserve"> </w:t>
      </w:r>
      <w:r>
        <w:rPr>
          <w:rFonts w:ascii="宋体" w:hAnsi="宋体" w:eastAsia="宋体" w:cs="宋体"/>
          <w:color w:val="auto"/>
          <w:spacing w:val="-6"/>
          <w:sz w:val="20"/>
          <w:szCs w:val="20"/>
          <w:lang w:eastAsia="zh-CN"/>
        </w:rPr>
        <w:t>年</w:t>
      </w:r>
      <w:r>
        <w:rPr>
          <w:rFonts w:ascii="宋体" w:hAnsi="宋体" w:eastAsia="宋体" w:cs="宋体"/>
          <w:color w:val="auto"/>
          <w:spacing w:val="-99"/>
          <w:sz w:val="20"/>
          <w:szCs w:val="20"/>
          <w:lang w:eastAsia="zh-CN"/>
        </w:rPr>
        <w:t xml:space="preserve"> </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86"/>
          <w:sz w:val="20"/>
          <w:szCs w:val="20"/>
          <w:lang w:eastAsia="zh-CN"/>
        </w:rPr>
        <w:t xml:space="preserve"> </w:t>
      </w:r>
      <w:r>
        <w:rPr>
          <w:rFonts w:ascii="宋体" w:hAnsi="宋体" w:eastAsia="宋体" w:cs="宋体"/>
          <w:color w:val="auto"/>
          <w:spacing w:val="-6"/>
          <w:sz w:val="20"/>
          <w:szCs w:val="20"/>
          <w:lang w:eastAsia="zh-CN"/>
        </w:rPr>
        <w:t>月</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55"/>
          <w:sz w:val="20"/>
          <w:szCs w:val="20"/>
          <w:lang w:eastAsia="zh-CN"/>
        </w:rPr>
        <w:t xml:space="preserve"> </w:t>
      </w:r>
      <w:r>
        <w:rPr>
          <w:rFonts w:ascii="宋体" w:hAnsi="宋体" w:eastAsia="宋体" w:cs="宋体"/>
          <w:color w:val="auto"/>
          <w:spacing w:val="-6"/>
          <w:sz w:val="20"/>
          <w:szCs w:val="20"/>
          <w:lang w:eastAsia="zh-CN"/>
        </w:rPr>
        <w:t>日</w:t>
      </w:r>
    </w:p>
    <w:p w14:paraId="7C666216">
      <w:pPr>
        <w:spacing w:before="296" w:line="221" w:lineRule="auto"/>
        <w:ind w:left="10"/>
        <w:outlineLvl w:val="0"/>
        <w:rPr>
          <w:rFonts w:ascii="黑体" w:hAnsi="黑体" w:eastAsia="黑体" w:cs="黑体"/>
          <w:color w:val="auto"/>
          <w:sz w:val="20"/>
          <w:szCs w:val="20"/>
          <w:lang w:eastAsia="zh-CN"/>
        </w:rPr>
      </w:pPr>
      <w:bookmarkStart w:id="327" w:name="_Toc28031"/>
      <w:bookmarkStart w:id="328" w:name="_Toc12913"/>
      <w:bookmarkStart w:id="329" w:name="_Toc22411"/>
      <w:r>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说明：本授权委托书用于</w:t>
      </w:r>
      <w:r>
        <w:rPr>
          <w:rFonts w:hint="eastAsia"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法定代表人</w:t>
      </w:r>
      <w:r>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授权委托人出席开标会，并须按此格式提供。</w:t>
      </w:r>
      <w:bookmarkEnd w:id="327"/>
      <w:bookmarkEnd w:id="328"/>
      <w:bookmarkEnd w:id="329"/>
    </w:p>
    <w:p w14:paraId="354A65CF">
      <w:pPr>
        <w:spacing w:line="221" w:lineRule="auto"/>
        <w:rPr>
          <w:rFonts w:ascii="黑体" w:hAnsi="黑体" w:eastAsia="黑体" w:cs="黑体"/>
          <w:color w:val="auto"/>
          <w:sz w:val="20"/>
          <w:szCs w:val="20"/>
          <w:lang w:eastAsia="zh-CN"/>
        </w:rPr>
        <w:sectPr>
          <w:headerReference r:id="rId62" w:type="default"/>
          <w:footerReference r:id="rId63"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0494CA02">
      <w:pPr>
        <w:spacing w:before="79" w:line="222" w:lineRule="auto"/>
        <w:ind w:left="3037"/>
        <w:rPr>
          <w:rFonts w:ascii="黑体" w:hAnsi="黑体" w:eastAsia="黑体" w:cs="黑体"/>
          <w:color w:val="auto"/>
          <w:sz w:val="28"/>
          <w:szCs w:val="28"/>
          <w:lang w:eastAsia="zh-CN"/>
        </w:rPr>
      </w:pPr>
      <w:r>
        <w:rPr>
          <w:rFonts w:ascii="宋体" w:hAnsi="宋体" w:eastAsia="宋体" w:cs="宋体"/>
          <w:color w:val="auto"/>
          <w:spacing w:val="-1"/>
          <w:sz w:val="28"/>
          <w:szCs w:val="28"/>
          <w:lang w:eastAsia="zh-CN"/>
          <w14:textOutline w14:w="5105" w14:cap="sq" w14:cmpd="sng" w14:algn="ctr">
            <w14:solidFill>
              <w14:srgbClr w14:val="000000"/>
            </w14:solidFill>
            <w14:prstDash w14:val="solid"/>
            <w14:bevel/>
          </w14:textOutline>
        </w:rPr>
        <w:t>（</w:t>
      </w:r>
      <w:r>
        <w:rPr>
          <w:rFonts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四</w:t>
      </w:r>
      <w:r>
        <w:rPr>
          <w:rFonts w:ascii="宋体" w:hAnsi="宋体" w:eastAsia="宋体" w:cs="宋体"/>
          <w:color w:val="auto"/>
          <w:spacing w:val="-1"/>
          <w:sz w:val="28"/>
          <w:szCs w:val="28"/>
          <w:lang w:eastAsia="zh-CN"/>
          <w14:textOutline w14:w="5105" w14:cap="sq" w14:cmpd="sng" w14:algn="ctr">
            <w14:solidFill>
              <w14:srgbClr w14:val="000000"/>
            </w14:solidFill>
            <w14:prstDash w14:val="solid"/>
            <w14:bevel/>
          </w14:textOutline>
        </w:rPr>
        <w:t>）</w:t>
      </w:r>
      <w:r>
        <w:rPr>
          <w:rFonts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、联合体协议书（如有）</w:t>
      </w:r>
    </w:p>
    <w:p w14:paraId="780953E4">
      <w:pPr>
        <w:pStyle w:val="8"/>
        <w:spacing w:line="243" w:lineRule="auto"/>
        <w:rPr>
          <w:color w:val="auto"/>
          <w:lang w:eastAsia="zh-CN"/>
        </w:rPr>
      </w:pPr>
    </w:p>
    <w:p w14:paraId="146F3D90">
      <w:pPr>
        <w:pStyle w:val="8"/>
        <w:spacing w:line="243" w:lineRule="auto"/>
        <w:rPr>
          <w:color w:val="auto"/>
          <w:lang w:eastAsia="zh-CN"/>
        </w:rPr>
      </w:pPr>
    </w:p>
    <w:p w14:paraId="3F9ECF38">
      <w:pPr>
        <w:tabs>
          <w:tab w:val="left" w:pos="1273"/>
        </w:tabs>
        <w:spacing w:before="65" w:line="408" w:lineRule="auto"/>
        <w:ind w:left="417"/>
        <w:rPr>
          <w:rFonts w:ascii="宋体" w:hAnsi="宋体" w:eastAsia="宋体" w:cs="宋体"/>
          <w:color w:val="auto"/>
          <w:sz w:val="20"/>
          <w:szCs w:val="20"/>
          <w:lang w:eastAsia="zh-CN"/>
        </w:rPr>
      </w:pPr>
      <w:r>
        <w:rPr>
          <w:rFonts w:ascii="宋体" w:hAnsi="宋体" w:eastAsia="宋体" w:cs="宋体"/>
          <w:color w:val="auto"/>
          <w:sz w:val="20"/>
          <w:szCs w:val="20"/>
          <w:u w:val="single"/>
          <w:lang w:eastAsia="zh-CN"/>
        </w:rPr>
        <w:tab/>
      </w:r>
      <w:r>
        <w:rPr>
          <w:rFonts w:ascii="宋体" w:hAnsi="宋体" w:eastAsia="宋体" w:cs="宋体"/>
          <w:color w:val="auto"/>
          <w:spacing w:val="3"/>
          <w:sz w:val="20"/>
          <w:szCs w:val="20"/>
          <w:u w:val="single"/>
          <w:lang w:eastAsia="zh-CN"/>
        </w:rPr>
        <w:t xml:space="preserve">（所有成员单位名称）      </w:t>
      </w:r>
      <w:r>
        <w:rPr>
          <w:rFonts w:ascii="宋体" w:hAnsi="宋体" w:eastAsia="宋体" w:cs="宋体"/>
          <w:color w:val="auto"/>
          <w:spacing w:val="-53"/>
          <w:sz w:val="20"/>
          <w:szCs w:val="20"/>
          <w:lang w:eastAsia="zh-CN"/>
        </w:rPr>
        <w:t xml:space="preserve"> </w:t>
      </w:r>
      <w:r>
        <w:rPr>
          <w:rFonts w:ascii="宋体" w:hAnsi="宋体" w:eastAsia="宋体" w:cs="宋体"/>
          <w:color w:val="auto"/>
          <w:spacing w:val="3"/>
          <w:sz w:val="20"/>
          <w:szCs w:val="20"/>
          <w:lang w:eastAsia="zh-CN"/>
        </w:rPr>
        <w:t>自愿组成</w:t>
      </w:r>
      <w:r>
        <w:rPr>
          <w:rFonts w:ascii="宋体" w:hAnsi="宋体" w:eastAsia="宋体" w:cs="宋体"/>
          <w:color w:val="auto"/>
          <w:spacing w:val="3"/>
          <w:sz w:val="20"/>
          <w:szCs w:val="20"/>
          <w:u w:val="single"/>
          <w:lang w:eastAsia="zh-CN"/>
        </w:rPr>
        <w:t xml:space="preserve">      （联合体名称）</w:t>
      </w:r>
      <w:r>
        <w:rPr>
          <w:rFonts w:ascii="宋体" w:hAnsi="宋体" w:eastAsia="宋体" w:cs="宋体"/>
          <w:color w:val="auto"/>
          <w:spacing w:val="7"/>
          <w:sz w:val="20"/>
          <w:szCs w:val="20"/>
          <w:u w:val="single"/>
          <w:lang w:eastAsia="zh-CN"/>
        </w:rPr>
        <w:t xml:space="preserve">     </w:t>
      </w:r>
      <w:r>
        <w:rPr>
          <w:rFonts w:ascii="宋体" w:hAnsi="宋体" w:eastAsia="宋体" w:cs="宋体"/>
          <w:color w:val="auto"/>
          <w:spacing w:val="-89"/>
          <w:sz w:val="20"/>
          <w:szCs w:val="20"/>
          <w:lang w:eastAsia="zh-CN"/>
        </w:rPr>
        <w:t xml:space="preserve"> </w:t>
      </w:r>
      <w:r>
        <w:rPr>
          <w:rFonts w:ascii="宋体" w:hAnsi="宋体" w:eastAsia="宋体" w:cs="宋体"/>
          <w:color w:val="auto"/>
          <w:spacing w:val="3"/>
          <w:sz w:val="20"/>
          <w:szCs w:val="20"/>
          <w:lang w:eastAsia="zh-CN"/>
        </w:rPr>
        <w:t>联合体，共同参加</w:t>
      </w:r>
      <w:r>
        <w:rPr>
          <w:rFonts w:ascii="宋体" w:hAnsi="宋体" w:eastAsia="宋体" w:cs="宋体"/>
          <w:color w:val="auto"/>
          <w:spacing w:val="6"/>
          <w:sz w:val="20"/>
          <w:szCs w:val="20"/>
          <w:u w:val="single"/>
          <w:lang w:eastAsia="zh-CN"/>
        </w:rPr>
        <w:t xml:space="preserve">     </w:t>
      </w:r>
      <w:r>
        <w:rPr>
          <w:rFonts w:ascii="宋体" w:hAnsi="宋体" w:eastAsia="宋体" w:cs="宋体"/>
          <w:color w:val="auto"/>
          <w:spacing w:val="3"/>
          <w:sz w:val="20"/>
          <w:szCs w:val="20"/>
          <w:u w:val="single"/>
          <w:lang w:eastAsia="zh-CN"/>
        </w:rPr>
        <w:t>（</w:t>
      </w:r>
      <w:r>
        <w:rPr>
          <w:rFonts w:ascii="宋体" w:hAnsi="宋体" w:eastAsia="宋体" w:cs="宋体"/>
          <w:color w:val="auto"/>
          <w:spacing w:val="-56"/>
          <w:sz w:val="20"/>
          <w:szCs w:val="20"/>
          <w:u w:val="single"/>
          <w:lang w:eastAsia="zh-CN"/>
        </w:rPr>
        <w:t xml:space="preserve"> </w:t>
      </w:r>
      <w:r>
        <w:rPr>
          <w:rFonts w:ascii="宋体" w:hAnsi="宋体" w:eastAsia="宋体" w:cs="宋体"/>
          <w:color w:val="auto"/>
          <w:spacing w:val="3"/>
          <w:sz w:val="20"/>
          <w:szCs w:val="20"/>
          <w:u w:val="single"/>
          <w:lang w:eastAsia="zh-CN"/>
        </w:rPr>
        <w:t>项</w:t>
      </w:r>
    </w:p>
    <w:p w14:paraId="5D84D3E3">
      <w:pPr>
        <w:spacing w:line="227" w:lineRule="auto"/>
        <w:ind w:left="46"/>
        <w:rPr>
          <w:rFonts w:ascii="宋体" w:hAnsi="宋体" w:eastAsia="宋体" w:cs="宋体"/>
          <w:color w:val="auto"/>
          <w:sz w:val="20"/>
          <w:szCs w:val="20"/>
          <w:lang w:eastAsia="zh-CN"/>
        </w:rPr>
      </w:pPr>
      <w:r>
        <w:rPr>
          <w:rFonts w:ascii="宋体" w:hAnsi="宋体" w:eastAsia="宋体" w:cs="宋体"/>
          <w:color w:val="auto"/>
          <w:spacing w:val="7"/>
          <w:sz w:val="20"/>
          <w:szCs w:val="20"/>
          <w:u w:val="single"/>
          <w:lang w:eastAsia="zh-CN"/>
        </w:rPr>
        <w:t xml:space="preserve">目名称、项目编号）      </w:t>
      </w:r>
      <w:r>
        <w:rPr>
          <w:rFonts w:ascii="宋体" w:hAnsi="宋体" w:eastAsia="宋体" w:cs="宋体"/>
          <w:color w:val="auto"/>
          <w:spacing w:val="-74"/>
          <w:sz w:val="20"/>
          <w:szCs w:val="20"/>
          <w:lang w:eastAsia="zh-CN"/>
        </w:rPr>
        <w:t xml:space="preserve"> </w:t>
      </w:r>
      <w:r>
        <w:rPr>
          <w:rFonts w:ascii="宋体" w:hAnsi="宋体" w:eastAsia="宋体" w:cs="宋体"/>
          <w:color w:val="auto"/>
          <w:spacing w:val="7"/>
          <w:sz w:val="20"/>
          <w:szCs w:val="20"/>
          <w:lang w:eastAsia="zh-CN"/>
        </w:rPr>
        <w:t>的投标。现就组成</w:t>
      </w:r>
      <w:r>
        <w:rPr>
          <w:rFonts w:ascii="宋体" w:hAnsi="宋体" w:eastAsia="宋体" w:cs="宋体"/>
          <w:color w:val="auto"/>
          <w:spacing w:val="6"/>
          <w:sz w:val="20"/>
          <w:szCs w:val="20"/>
          <w:lang w:eastAsia="zh-CN"/>
        </w:rPr>
        <w:t>联合体事宜订立如下协议。</w:t>
      </w:r>
    </w:p>
    <w:p w14:paraId="330B146A">
      <w:pPr>
        <w:spacing w:before="192" w:line="227" w:lineRule="auto"/>
        <w:ind w:left="441"/>
        <w:rPr>
          <w:rFonts w:ascii="宋体" w:hAnsi="宋体" w:eastAsia="宋体" w:cs="宋体"/>
          <w:color w:val="auto"/>
          <w:sz w:val="20"/>
          <w:szCs w:val="20"/>
          <w:lang w:eastAsia="zh-CN"/>
        </w:rPr>
      </w:pPr>
      <w:r>
        <w:rPr>
          <w:rFonts w:ascii="Tahoma" w:hAnsi="Tahoma" w:eastAsia="Tahoma" w:cs="Tahoma"/>
          <w:color w:val="auto"/>
          <w:spacing w:val="6"/>
          <w:sz w:val="20"/>
          <w:szCs w:val="20"/>
          <w:lang w:eastAsia="zh-CN"/>
        </w:rPr>
        <w:t>1</w:t>
      </w:r>
      <w:r>
        <w:rPr>
          <w:rFonts w:ascii="宋体" w:hAnsi="宋体" w:eastAsia="宋体" w:cs="宋体"/>
          <w:color w:val="auto"/>
          <w:spacing w:val="6"/>
          <w:sz w:val="20"/>
          <w:szCs w:val="20"/>
          <w:lang w:eastAsia="zh-CN"/>
        </w:rPr>
        <w:t>、</w:t>
      </w:r>
      <w:r>
        <w:rPr>
          <w:rFonts w:ascii="宋体" w:hAnsi="宋体" w:eastAsia="宋体" w:cs="宋体"/>
          <w:color w:val="auto"/>
          <w:spacing w:val="6"/>
          <w:sz w:val="20"/>
          <w:szCs w:val="20"/>
          <w:u w:val="single"/>
          <w:lang w:eastAsia="zh-CN"/>
        </w:rPr>
        <w:t xml:space="preserve">       （某成员单位名称）      </w:t>
      </w:r>
      <w:r>
        <w:rPr>
          <w:rFonts w:ascii="宋体" w:hAnsi="宋体" w:eastAsia="宋体" w:cs="宋体"/>
          <w:color w:val="auto"/>
          <w:spacing w:val="-88"/>
          <w:sz w:val="20"/>
          <w:szCs w:val="20"/>
          <w:lang w:eastAsia="zh-CN"/>
        </w:rPr>
        <w:t xml:space="preserve"> </w:t>
      </w:r>
      <w:r>
        <w:rPr>
          <w:rFonts w:ascii="宋体" w:hAnsi="宋体" w:eastAsia="宋体" w:cs="宋体"/>
          <w:color w:val="auto"/>
          <w:spacing w:val="6"/>
          <w:sz w:val="20"/>
          <w:szCs w:val="20"/>
          <w:lang w:eastAsia="zh-CN"/>
        </w:rPr>
        <w:t>为</w:t>
      </w:r>
      <w:r>
        <w:rPr>
          <w:rFonts w:ascii="宋体" w:hAnsi="宋体" w:eastAsia="宋体" w:cs="宋体"/>
          <w:color w:val="auto"/>
          <w:spacing w:val="6"/>
          <w:sz w:val="20"/>
          <w:szCs w:val="20"/>
          <w:u w:val="single"/>
          <w:lang w:eastAsia="zh-CN"/>
        </w:rPr>
        <w:t xml:space="preserve">      （联合体名称）       </w:t>
      </w:r>
      <w:r>
        <w:rPr>
          <w:rFonts w:ascii="宋体" w:hAnsi="宋体" w:eastAsia="宋体" w:cs="宋体"/>
          <w:color w:val="auto"/>
          <w:spacing w:val="-87"/>
          <w:sz w:val="20"/>
          <w:szCs w:val="20"/>
          <w:lang w:eastAsia="zh-CN"/>
        </w:rPr>
        <w:t xml:space="preserve"> </w:t>
      </w:r>
      <w:r>
        <w:rPr>
          <w:rFonts w:ascii="宋体" w:hAnsi="宋体" w:eastAsia="宋体" w:cs="宋体"/>
          <w:color w:val="auto"/>
          <w:spacing w:val="6"/>
          <w:sz w:val="20"/>
          <w:szCs w:val="20"/>
          <w:lang w:eastAsia="zh-CN"/>
        </w:rPr>
        <w:t>牵头人。</w:t>
      </w:r>
    </w:p>
    <w:p w14:paraId="7E711E6F">
      <w:pPr>
        <w:spacing w:before="192" w:line="407" w:lineRule="auto"/>
        <w:ind w:left="7" w:right="3" w:firstLine="422"/>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2</w:t>
      </w:r>
      <w:r>
        <w:rPr>
          <w:rFonts w:ascii="宋体" w:hAnsi="宋体" w:eastAsia="宋体" w:cs="宋体"/>
          <w:color w:val="auto"/>
          <w:spacing w:val="9"/>
          <w:sz w:val="20"/>
          <w:szCs w:val="20"/>
          <w:lang w:eastAsia="zh-CN"/>
        </w:rPr>
        <w:t>、联合体牵头人合法代表联合体各成员负责本项目投标文件的编制和投标、合同签订等活动，并代表联</w:t>
      </w:r>
      <w:r>
        <w:rPr>
          <w:rFonts w:ascii="宋体" w:hAnsi="宋体" w:eastAsia="宋体" w:cs="宋体"/>
          <w:color w:val="auto"/>
          <w:spacing w:val="14"/>
          <w:sz w:val="20"/>
          <w:szCs w:val="20"/>
          <w:lang w:eastAsia="zh-CN"/>
        </w:rPr>
        <w:t xml:space="preserve"> </w:t>
      </w:r>
      <w:r>
        <w:rPr>
          <w:rFonts w:ascii="宋体" w:hAnsi="宋体" w:eastAsia="宋体" w:cs="宋体"/>
          <w:color w:val="auto"/>
          <w:spacing w:val="12"/>
          <w:sz w:val="20"/>
          <w:szCs w:val="20"/>
          <w:lang w:eastAsia="zh-CN"/>
        </w:rPr>
        <w:t>合体提交和接收相关的资料、信息及指示，并处理与之有关的一切事务，负责合同实施阶段的主</w:t>
      </w:r>
      <w:r>
        <w:rPr>
          <w:rFonts w:ascii="宋体" w:hAnsi="宋体" w:eastAsia="宋体" w:cs="宋体"/>
          <w:color w:val="auto"/>
          <w:spacing w:val="11"/>
          <w:sz w:val="20"/>
          <w:szCs w:val="20"/>
          <w:lang w:eastAsia="zh-CN"/>
        </w:rPr>
        <w:t>办、组织和</w:t>
      </w:r>
    </w:p>
    <w:p w14:paraId="1DC24DB5">
      <w:pPr>
        <w:spacing w:before="1" w:line="228" w:lineRule="auto"/>
        <w:ind w:left="7"/>
        <w:rPr>
          <w:rFonts w:ascii="宋体" w:hAnsi="宋体" w:eastAsia="宋体" w:cs="宋体"/>
          <w:color w:val="auto"/>
          <w:sz w:val="20"/>
          <w:szCs w:val="20"/>
          <w:lang w:eastAsia="zh-CN"/>
        </w:rPr>
      </w:pPr>
      <w:r>
        <w:rPr>
          <w:rFonts w:ascii="宋体" w:hAnsi="宋体" w:eastAsia="宋体" w:cs="宋体"/>
          <w:color w:val="auto"/>
          <w:spacing w:val="5"/>
          <w:sz w:val="20"/>
          <w:szCs w:val="20"/>
          <w:lang w:eastAsia="zh-CN"/>
        </w:rPr>
        <w:t>协调工作。</w:t>
      </w:r>
    </w:p>
    <w:p w14:paraId="4EA3D9FF">
      <w:pPr>
        <w:spacing w:before="191" w:line="228" w:lineRule="auto"/>
        <w:ind w:left="428"/>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3</w:t>
      </w:r>
      <w:r>
        <w:rPr>
          <w:rFonts w:ascii="宋体" w:hAnsi="宋体" w:eastAsia="宋体" w:cs="宋体"/>
          <w:color w:val="auto"/>
          <w:spacing w:val="9"/>
          <w:sz w:val="20"/>
          <w:szCs w:val="20"/>
          <w:lang w:eastAsia="zh-CN"/>
        </w:rPr>
        <w:t>、联合体将严格按照招标文件的各项要求，递交投标文件，履行合同，并对外承担连带责任。</w:t>
      </w:r>
    </w:p>
    <w:p w14:paraId="17B60228">
      <w:pPr>
        <w:spacing w:before="195" w:line="405" w:lineRule="auto"/>
        <w:ind w:left="422"/>
        <w:rPr>
          <w:rFonts w:ascii="宋体" w:hAnsi="宋体" w:eastAsia="宋体" w:cs="宋体"/>
          <w:color w:val="auto"/>
          <w:sz w:val="20"/>
          <w:szCs w:val="20"/>
          <w:lang w:eastAsia="zh-CN"/>
        </w:rPr>
      </w:pPr>
      <w:r>
        <w:rPr>
          <w:rFonts w:ascii="Tahoma" w:hAnsi="Tahoma" w:eastAsia="Tahoma" w:cs="Tahoma"/>
          <w:color w:val="auto"/>
          <w:spacing w:val="7"/>
          <w:sz w:val="20"/>
          <w:szCs w:val="20"/>
          <w:lang w:eastAsia="zh-CN"/>
        </w:rPr>
        <w:t>4</w:t>
      </w:r>
      <w:r>
        <w:rPr>
          <w:rFonts w:ascii="宋体" w:hAnsi="宋体" w:eastAsia="宋体" w:cs="宋体"/>
          <w:color w:val="auto"/>
          <w:spacing w:val="7"/>
          <w:sz w:val="20"/>
          <w:szCs w:val="20"/>
          <w:lang w:eastAsia="zh-CN"/>
        </w:rPr>
        <w:t>、联合体各成员单位内部的职责分工如下：</w:t>
      </w:r>
      <w:r>
        <w:rPr>
          <w:rFonts w:ascii="宋体" w:hAnsi="宋体" w:eastAsia="宋体" w:cs="宋体"/>
          <w:color w:val="auto"/>
          <w:spacing w:val="7"/>
          <w:sz w:val="20"/>
          <w:szCs w:val="20"/>
          <w:u w:val="single"/>
          <w:lang w:eastAsia="zh-CN"/>
        </w:rPr>
        <w:t xml:space="preserve">            </w:t>
      </w:r>
      <w:r>
        <w:rPr>
          <w:rFonts w:ascii="宋体" w:hAnsi="宋体" w:eastAsia="宋体" w:cs="宋体"/>
          <w:color w:val="auto"/>
          <w:spacing w:val="7"/>
          <w:sz w:val="20"/>
          <w:szCs w:val="20"/>
          <w:lang w:eastAsia="zh-CN"/>
        </w:rPr>
        <w:t>。</w:t>
      </w:r>
    </w:p>
    <w:p w14:paraId="4E72399C">
      <w:pPr>
        <w:spacing w:before="1" w:line="226" w:lineRule="auto"/>
        <w:ind w:left="431"/>
        <w:rPr>
          <w:rFonts w:ascii="宋体" w:hAnsi="宋体" w:eastAsia="宋体" w:cs="宋体"/>
          <w:color w:val="auto"/>
          <w:sz w:val="20"/>
          <w:szCs w:val="20"/>
          <w:lang w:eastAsia="zh-CN"/>
        </w:rPr>
      </w:pPr>
      <w:r>
        <w:rPr>
          <w:rFonts w:ascii="Tahoma" w:hAnsi="Tahoma" w:eastAsia="Tahoma" w:cs="Tahoma"/>
          <w:color w:val="auto"/>
          <w:spacing w:val="9"/>
          <w:sz w:val="20"/>
          <w:szCs w:val="20"/>
          <w:lang w:eastAsia="zh-CN"/>
        </w:rPr>
        <w:t>5</w:t>
      </w:r>
      <w:r>
        <w:rPr>
          <w:rFonts w:ascii="宋体" w:hAnsi="宋体" w:eastAsia="宋体" w:cs="宋体"/>
          <w:color w:val="auto"/>
          <w:spacing w:val="9"/>
          <w:sz w:val="20"/>
          <w:szCs w:val="20"/>
          <w:lang w:eastAsia="zh-CN"/>
        </w:rPr>
        <w:t>、本协议书自签署之日起生效，合同履行完毕后自动失</w:t>
      </w:r>
      <w:r>
        <w:rPr>
          <w:rFonts w:ascii="宋体" w:hAnsi="宋体" w:eastAsia="宋体" w:cs="宋体"/>
          <w:color w:val="auto"/>
          <w:spacing w:val="8"/>
          <w:sz w:val="20"/>
          <w:szCs w:val="20"/>
          <w:lang w:eastAsia="zh-CN"/>
        </w:rPr>
        <w:t>效。</w:t>
      </w:r>
    </w:p>
    <w:p w14:paraId="002B8B16">
      <w:pPr>
        <w:spacing w:before="194" w:line="227" w:lineRule="auto"/>
        <w:ind w:left="427"/>
        <w:rPr>
          <w:rFonts w:ascii="宋体" w:hAnsi="宋体" w:eastAsia="宋体" w:cs="宋体"/>
          <w:color w:val="auto"/>
          <w:sz w:val="20"/>
          <w:szCs w:val="20"/>
          <w:lang w:eastAsia="zh-CN"/>
        </w:rPr>
      </w:pPr>
      <w:r>
        <w:rPr>
          <w:rFonts w:ascii="Tahoma" w:hAnsi="Tahoma" w:eastAsia="Tahoma" w:cs="Tahoma"/>
          <w:color w:val="auto"/>
          <w:spacing w:val="8"/>
          <w:sz w:val="20"/>
          <w:szCs w:val="20"/>
          <w:lang w:eastAsia="zh-CN"/>
        </w:rPr>
        <w:t>6</w:t>
      </w:r>
      <w:r>
        <w:rPr>
          <w:rFonts w:ascii="宋体" w:hAnsi="宋体" w:eastAsia="宋体" w:cs="宋体"/>
          <w:color w:val="auto"/>
          <w:spacing w:val="8"/>
          <w:sz w:val="20"/>
          <w:szCs w:val="20"/>
          <w:lang w:eastAsia="zh-CN"/>
        </w:rPr>
        <w:t>、本协议书一式</w:t>
      </w:r>
      <w:r>
        <w:rPr>
          <w:rFonts w:ascii="宋体" w:hAnsi="宋体" w:eastAsia="宋体" w:cs="宋体"/>
          <w:color w:val="auto"/>
          <w:spacing w:val="8"/>
          <w:sz w:val="20"/>
          <w:szCs w:val="20"/>
          <w:u w:val="single"/>
          <w:lang w:eastAsia="zh-CN"/>
        </w:rPr>
        <w:t xml:space="preserve">      </w:t>
      </w:r>
      <w:r>
        <w:rPr>
          <w:rFonts w:ascii="宋体" w:hAnsi="宋体" w:eastAsia="宋体" w:cs="宋体"/>
          <w:color w:val="auto"/>
          <w:spacing w:val="-91"/>
          <w:sz w:val="20"/>
          <w:szCs w:val="20"/>
          <w:lang w:eastAsia="zh-CN"/>
        </w:rPr>
        <w:t xml:space="preserve"> </w:t>
      </w:r>
      <w:r>
        <w:rPr>
          <w:rFonts w:ascii="宋体" w:hAnsi="宋体" w:eastAsia="宋体" w:cs="宋体"/>
          <w:color w:val="auto"/>
          <w:spacing w:val="8"/>
          <w:sz w:val="20"/>
          <w:szCs w:val="20"/>
          <w:lang w:eastAsia="zh-CN"/>
        </w:rPr>
        <w:t>份，联合体成员和招标人各</w:t>
      </w:r>
      <w:r>
        <w:rPr>
          <w:rFonts w:ascii="宋体" w:hAnsi="宋体" w:eastAsia="宋体" w:cs="宋体"/>
          <w:color w:val="auto"/>
          <w:spacing w:val="7"/>
          <w:sz w:val="20"/>
          <w:szCs w:val="20"/>
          <w:lang w:eastAsia="zh-CN"/>
        </w:rPr>
        <w:t>执一份。</w:t>
      </w:r>
    </w:p>
    <w:p w14:paraId="4B2BB29D">
      <w:pPr>
        <w:pStyle w:val="8"/>
        <w:spacing w:line="283" w:lineRule="auto"/>
        <w:rPr>
          <w:color w:val="auto"/>
          <w:lang w:eastAsia="zh-CN"/>
        </w:rPr>
      </w:pPr>
    </w:p>
    <w:p w14:paraId="2CF18834">
      <w:pPr>
        <w:pStyle w:val="8"/>
        <w:spacing w:line="283" w:lineRule="auto"/>
        <w:rPr>
          <w:color w:val="auto"/>
          <w:lang w:eastAsia="zh-CN"/>
        </w:rPr>
      </w:pPr>
    </w:p>
    <w:p w14:paraId="000EF297">
      <w:pPr>
        <w:spacing w:before="65" w:line="227" w:lineRule="auto"/>
        <w:ind w:left="426"/>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注：本协议书由委托代理人签字的，应附</w:t>
      </w:r>
      <w:r>
        <w:rPr>
          <w:rFonts w:hint="eastAsia" w:ascii="宋体" w:hAnsi="宋体" w:eastAsia="宋体" w:cs="宋体"/>
          <w:color w:val="auto"/>
          <w:spacing w:val="9"/>
          <w:sz w:val="20"/>
          <w:szCs w:val="20"/>
          <w:lang w:eastAsia="zh-CN"/>
        </w:rPr>
        <w:t>负责</w:t>
      </w:r>
      <w:r>
        <w:rPr>
          <w:rFonts w:ascii="宋体" w:hAnsi="宋体" w:eastAsia="宋体" w:cs="宋体"/>
          <w:color w:val="auto"/>
          <w:spacing w:val="9"/>
          <w:sz w:val="20"/>
          <w:szCs w:val="20"/>
          <w:lang w:eastAsia="zh-CN"/>
        </w:rPr>
        <w:t>人签字的授权委托书。</w:t>
      </w:r>
    </w:p>
    <w:p w14:paraId="17362020">
      <w:pPr>
        <w:pStyle w:val="8"/>
        <w:spacing w:line="283" w:lineRule="auto"/>
        <w:rPr>
          <w:color w:val="auto"/>
          <w:lang w:eastAsia="zh-CN"/>
        </w:rPr>
      </w:pPr>
    </w:p>
    <w:p w14:paraId="148AC84C">
      <w:pPr>
        <w:pStyle w:val="8"/>
        <w:spacing w:line="283" w:lineRule="auto"/>
        <w:rPr>
          <w:color w:val="auto"/>
          <w:lang w:eastAsia="zh-CN"/>
        </w:rPr>
      </w:pPr>
    </w:p>
    <w:p w14:paraId="6FBFEC8A">
      <w:pPr>
        <w:spacing w:before="66" w:line="405" w:lineRule="auto"/>
        <w:ind w:left="428"/>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牵头人名称</w:t>
      </w:r>
      <w:r>
        <w:rPr>
          <w:rFonts w:ascii="宋体" w:hAnsi="宋体" w:eastAsia="宋体" w:cs="宋体"/>
          <w:color w:val="auto"/>
          <w:spacing w:val="-2"/>
          <w:sz w:val="20"/>
          <w:szCs w:val="20"/>
          <w:lang w:eastAsia="zh-CN"/>
        </w:rPr>
        <w:t>：</w:t>
      </w:r>
      <w:r>
        <w:rPr>
          <w:rFonts w:ascii="宋体" w:hAnsi="宋体" w:eastAsia="宋体" w:cs="宋体"/>
          <w:color w:val="auto"/>
          <w:spacing w:val="2"/>
          <w:sz w:val="20"/>
          <w:szCs w:val="20"/>
          <w:u w:val="single"/>
          <w:lang w:eastAsia="zh-CN"/>
        </w:rPr>
        <w:t xml:space="preserve">                                </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pacing w:val="-2"/>
          <w:sz w:val="20"/>
          <w:szCs w:val="20"/>
          <w:lang w:eastAsia="zh-CN"/>
        </w:rPr>
        <w:t>（</w:t>
      </w:r>
      <w:r>
        <w:rPr>
          <w:rFonts w:ascii="宋体" w:hAnsi="宋体" w:eastAsia="宋体" w:cs="宋体"/>
          <w:color w:val="auto"/>
          <w:spacing w:val="10"/>
          <w:sz w:val="20"/>
          <w:szCs w:val="20"/>
          <w:lang w:eastAsia="zh-CN"/>
        </w:rPr>
        <w:t>盖单位章）</w:t>
      </w:r>
    </w:p>
    <w:p w14:paraId="739E6097">
      <w:pPr>
        <w:spacing w:before="1" w:line="227" w:lineRule="auto"/>
        <w:ind w:left="427"/>
        <w:rPr>
          <w:rFonts w:ascii="宋体" w:hAnsi="宋体" w:eastAsia="宋体" w:cs="宋体"/>
          <w:color w:val="auto"/>
          <w:sz w:val="20"/>
          <w:szCs w:val="20"/>
          <w:lang w:eastAsia="zh-CN"/>
        </w:rPr>
      </w:pPr>
      <w:r>
        <w:rPr>
          <w:rFonts w:hint="eastAsia" w:ascii="宋体" w:hAnsi="宋体" w:eastAsia="宋体" w:cs="宋体"/>
          <w:color w:val="auto"/>
          <w:spacing w:val="10"/>
          <w:sz w:val="20"/>
          <w:szCs w:val="20"/>
          <w:lang w:eastAsia="zh-CN"/>
        </w:rPr>
        <w:t>法定代表人</w:t>
      </w:r>
      <w:r>
        <w:rPr>
          <w:rFonts w:ascii="宋体" w:hAnsi="宋体" w:eastAsia="宋体" w:cs="宋体"/>
          <w:color w:val="auto"/>
          <w:spacing w:val="10"/>
          <w:sz w:val="20"/>
          <w:szCs w:val="20"/>
          <w:lang w:eastAsia="zh-CN"/>
        </w:rPr>
        <w:t>或其委托代理人</w:t>
      </w:r>
      <w:r>
        <w:rPr>
          <w:rFonts w:ascii="宋体" w:hAnsi="宋体" w:eastAsia="宋体" w:cs="宋体"/>
          <w:color w:val="auto"/>
          <w:sz w:val="20"/>
          <w:szCs w:val="20"/>
          <w:lang w:eastAsia="zh-CN"/>
        </w:rPr>
        <w:t>：</w:t>
      </w:r>
      <w:r>
        <w:rPr>
          <w:rFonts w:ascii="宋体" w:hAnsi="宋体" w:eastAsia="宋体" w:cs="宋体"/>
          <w:color w:val="auto"/>
          <w:sz w:val="20"/>
          <w:szCs w:val="20"/>
          <w:u w:val="single"/>
          <w:lang w:eastAsia="zh-CN"/>
        </w:rPr>
        <w:t xml:space="preserve">                        </w:t>
      </w:r>
      <w:r>
        <w:rPr>
          <w:rFonts w:ascii="宋体" w:hAnsi="宋体" w:eastAsia="宋体" w:cs="宋体"/>
          <w:color w:val="auto"/>
          <w:sz w:val="20"/>
          <w:szCs w:val="20"/>
          <w:lang w:eastAsia="zh-CN"/>
        </w:rPr>
        <w:t>（</w:t>
      </w:r>
      <w:r>
        <w:rPr>
          <w:rFonts w:ascii="宋体" w:hAnsi="宋体" w:eastAsia="宋体" w:cs="宋体"/>
          <w:color w:val="auto"/>
          <w:spacing w:val="10"/>
          <w:sz w:val="20"/>
          <w:szCs w:val="20"/>
          <w:lang w:eastAsia="zh-CN"/>
        </w:rPr>
        <w:t>签字）</w:t>
      </w:r>
    </w:p>
    <w:p w14:paraId="3A5DA300">
      <w:pPr>
        <w:pStyle w:val="8"/>
        <w:spacing w:line="283" w:lineRule="auto"/>
        <w:rPr>
          <w:color w:val="auto"/>
          <w:lang w:eastAsia="zh-CN"/>
        </w:rPr>
      </w:pPr>
    </w:p>
    <w:p w14:paraId="3A7ACE6E">
      <w:pPr>
        <w:pStyle w:val="8"/>
        <w:spacing w:line="283" w:lineRule="auto"/>
        <w:rPr>
          <w:color w:val="auto"/>
          <w:lang w:eastAsia="zh-CN"/>
        </w:rPr>
      </w:pPr>
    </w:p>
    <w:p w14:paraId="6E08A2AF">
      <w:pPr>
        <w:spacing w:before="65" w:line="405" w:lineRule="auto"/>
        <w:ind w:left="428"/>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成员一名称</w:t>
      </w:r>
      <w:r>
        <w:rPr>
          <w:rFonts w:ascii="宋体" w:hAnsi="宋体" w:eastAsia="宋体" w:cs="宋体"/>
          <w:color w:val="auto"/>
          <w:spacing w:val="-2"/>
          <w:sz w:val="20"/>
          <w:szCs w:val="20"/>
          <w:lang w:eastAsia="zh-CN"/>
        </w:rPr>
        <w:t>：</w:t>
      </w:r>
      <w:r>
        <w:rPr>
          <w:rFonts w:ascii="宋体" w:hAnsi="宋体" w:eastAsia="宋体" w:cs="宋体"/>
          <w:color w:val="auto"/>
          <w:spacing w:val="2"/>
          <w:sz w:val="20"/>
          <w:szCs w:val="20"/>
          <w:u w:val="single"/>
          <w:lang w:eastAsia="zh-CN"/>
        </w:rPr>
        <w:t xml:space="preserve">                                </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pacing w:val="-2"/>
          <w:sz w:val="20"/>
          <w:szCs w:val="20"/>
          <w:lang w:eastAsia="zh-CN"/>
        </w:rPr>
        <w:t>（</w:t>
      </w:r>
      <w:r>
        <w:rPr>
          <w:rFonts w:ascii="宋体" w:hAnsi="宋体" w:eastAsia="宋体" w:cs="宋体"/>
          <w:color w:val="auto"/>
          <w:spacing w:val="10"/>
          <w:sz w:val="20"/>
          <w:szCs w:val="20"/>
          <w:lang w:eastAsia="zh-CN"/>
        </w:rPr>
        <w:t>盖单位章）</w:t>
      </w:r>
    </w:p>
    <w:p w14:paraId="307BCD51">
      <w:pPr>
        <w:spacing w:before="1" w:line="227" w:lineRule="auto"/>
        <w:ind w:left="427"/>
        <w:rPr>
          <w:rFonts w:ascii="宋体" w:hAnsi="宋体" w:eastAsia="宋体" w:cs="宋体"/>
          <w:color w:val="auto"/>
          <w:sz w:val="20"/>
          <w:szCs w:val="20"/>
          <w:lang w:eastAsia="zh-CN"/>
        </w:rPr>
      </w:pPr>
      <w:r>
        <w:rPr>
          <w:rFonts w:hint="eastAsia" w:ascii="宋体" w:hAnsi="宋体" w:eastAsia="宋体" w:cs="宋体"/>
          <w:color w:val="auto"/>
          <w:spacing w:val="10"/>
          <w:sz w:val="20"/>
          <w:szCs w:val="20"/>
          <w:lang w:eastAsia="zh-CN"/>
        </w:rPr>
        <w:t>法定代表人</w:t>
      </w:r>
      <w:r>
        <w:rPr>
          <w:rFonts w:ascii="宋体" w:hAnsi="宋体" w:eastAsia="宋体" w:cs="宋体"/>
          <w:color w:val="auto"/>
          <w:spacing w:val="10"/>
          <w:sz w:val="20"/>
          <w:szCs w:val="20"/>
          <w:lang w:eastAsia="zh-CN"/>
        </w:rPr>
        <w:t>或其委托代理人</w:t>
      </w:r>
      <w:r>
        <w:rPr>
          <w:rFonts w:ascii="宋体" w:hAnsi="宋体" w:eastAsia="宋体" w:cs="宋体"/>
          <w:color w:val="auto"/>
          <w:sz w:val="20"/>
          <w:szCs w:val="20"/>
          <w:lang w:eastAsia="zh-CN"/>
        </w:rPr>
        <w:t>：</w:t>
      </w:r>
      <w:r>
        <w:rPr>
          <w:rFonts w:ascii="宋体" w:hAnsi="宋体" w:eastAsia="宋体" w:cs="宋体"/>
          <w:color w:val="auto"/>
          <w:sz w:val="20"/>
          <w:szCs w:val="20"/>
          <w:u w:val="single"/>
          <w:lang w:eastAsia="zh-CN"/>
        </w:rPr>
        <w:t xml:space="preserve">                        </w:t>
      </w:r>
      <w:r>
        <w:rPr>
          <w:rFonts w:ascii="宋体" w:hAnsi="宋体" w:eastAsia="宋体" w:cs="宋体"/>
          <w:color w:val="auto"/>
          <w:sz w:val="20"/>
          <w:szCs w:val="20"/>
          <w:lang w:eastAsia="zh-CN"/>
        </w:rPr>
        <w:t>（</w:t>
      </w:r>
      <w:r>
        <w:rPr>
          <w:rFonts w:ascii="宋体" w:hAnsi="宋体" w:eastAsia="宋体" w:cs="宋体"/>
          <w:color w:val="auto"/>
          <w:spacing w:val="10"/>
          <w:sz w:val="20"/>
          <w:szCs w:val="20"/>
          <w:lang w:eastAsia="zh-CN"/>
        </w:rPr>
        <w:t>签字）</w:t>
      </w:r>
    </w:p>
    <w:p w14:paraId="4B129854">
      <w:pPr>
        <w:pStyle w:val="8"/>
        <w:spacing w:line="283" w:lineRule="auto"/>
        <w:rPr>
          <w:color w:val="auto"/>
          <w:lang w:eastAsia="zh-CN"/>
        </w:rPr>
      </w:pPr>
    </w:p>
    <w:p w14:paraId="1BC1E683">
      <w:pPr>
        <w:pStyle w:val="8"/>
        <w:spacing w:line="283" w:lineRule="auto"/>
        <w:rPr>
          <w:color w:val="auto"/>
          <w:lang w:eastAsia="zh-CN"/>
        </w:rPr>
      </w:pPr>
    </w:p>
    <w:p w14:paraId="5F309464">
      <w:pPr>
        <w:spacing w:before="65" w:line="405" w:lineRule="auto"/>
        <w:ind w:left="428"/>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成员二名称</w:t>
      </w:r>
      <w:r>
        <w:rPr>
          <w:rFonts w:ascii="宋体" w:hAnsi="宋体" w:eastAsia="宋体" w:cs="宋体"/>
          <w:color w:val="auto"/>
          <w:spacing w:val="-2"/>
          <w:sz w:val="20"/>
          <w:szCs w:val="20"/>
          <w:lang w:eastAsia="zh-CN"/>
        </w:rPr>
        <w:t>：</w:t>
      </w:r>
      <w:r>
        <w:rPr>
          <w:rFonts w:ascii="宋体" w:hAnsi="宋体" w:eastAsia="宋体" w:cs="宋体"/>
          <w:color w:val="auto"/>
          <w:spacing w:val="2"/>
          <w:sz w:val="20"/>
          <w:szCs w:val="20"/>
          <w:u w:val="single"/>
          <w:lang w:eastAsia="zh-CN"/>
        </w:rPr>
        <w:t xml:space="preserve">                                </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pacing w:val="-2"/>
          <w:sz w:val="20"/>
          <w:szCs w:val="20"/>
          <w:lang w:eastAsia="zh-CN"/>
        </w:rPr>
        <w:t>（</w:t>
      </w:r>
      <w:r>
        <w:rPr>
          <w:rFonts w:ascii="宋体" w:hAnsi="宋体" w:eastAsia="宋体" w:cs="宋体"/>
          <w:color w:val="auto"/>
          <w:spacing w:val="10"/>
          <w:sz w:val="20"/>
          <w:szCs w:val="20"/>
          <w:lang w:eastAsia="zh-CN"/>
        </w:rPr>
        <w:t>盖单位章）</w:t>
      </w:r>
    </w:p>
    <w:p w14:paraId="3687A804">
      <w:pPr>
        <w:spacing w:line="227" w:lineRule="auto"/>
        <w:ind w:left="427"/>
        <w:rPr>
          <w:rFonts w:ascii="宋体" w:hAnsi="宋体" w:eastAsia="宋体" w:cs="宋体"/>
          <w:color w:val="auto"/>
          <w:sz w:val="20"/>
          <w:szCs w:val="20"/>
          <w:lang w:eastAsia="zh-CN"/>
        </w:rPr>
      </w:pPr>
      <w:r>
        <w:rPr>
          <w:rFonts w:hint="eastAsia" w:ascii="宋体" w:hAnsi="宋体" w:eastAsia="宋体" w:cs="宋体"/>
          <w:color w:val="auto"/>
          <w:spacing w:val="10"/>
          <w:sz w:val="20"/>
          <w:szCs w:val="20"/>
          <w:lang w:eastAsia="zh-CN"/>
        </w:rPr>
        <w:t>法定代表人</w:t>
      </w:r>
      <w:r>
        <w:rPr>
          <w:rFonts w:ascii="宋体" w:hAnsi="宋体" w:eastAsia="宋体" w:cs="宋体"/>
          <w:color w:val="auto"/>
          <w:spacing w:val="10"/>
          <w:sz w:val="20"/>
          <w:szCs w:val="20"/>
          <w:lang w:eastAsia="zh-CN"/>
        </w:rPr>
        <w:t>或其委托代理人</w:t>
      </w:r>
      <w:r>
        <w:rPr>
          <w:rFonts w:ascii="宋体" w:hAnsi="宋体" w:eastAsia="宋体" w:cs="宋体"/>
          <w:color w:val="auto"/>
          <w:sz w:val="20"/>
          <w:szCs w:val="20"/>
          <w:lang w:eastAsia="zh-CN"/>
        </w:rPr>
        <w:t>：</w:t>
      </w:r>
      <w:r>
        <w:rPr>
          <w:rFonts w:ascii="宋体" w:hAnsi="宋体" w:eastAsia="宋体" w:cs="宋体"/>
          <w:color w:val="auto"/>
          <w:sz w:val="20"/>
          <w:szCs w:val="20"/>
          <w:u w:val="single"/>
          <w:lang w:eastAsia="zh-CN"/>
        </w:rPr>
        <w:t xml:space="preserve">                        </w:t>
      </w:r>
      <w:r>
        <w:rPr>
          <w:rFonts w:ascii="宋体" w:hAnsi="宋体" w:eastAsia="宋体" w:cs="宋体"/>
          <w:color w:val="auto"/>
          <w:sz w:val="20"/>
          <w:szCs w:val="20"/>
          <w:lang w:eastAsia="zh-CN"/>
        </w:rPr>
        <w:t>（</w:t>
      </w:r>
      <w:r>
        <w:rPr>
          <w:rFonts w:ascii="宋体" w:hAnsi="宋体" w:eastAsia="宋体" w:cs="宋体"/>
          <w:color w:val="auto"/>
          <w:spacing w:val="10"/>
          <w:sz w:val="20"/>
          <w:szCs w:val="20"/>
          <w:lang w:eastAsia="zh-CN"/>
        </w:rPr>
        <w:t>签字）</w:t>
      </w:r>
    </w:p>
    <w:p w14:paraId="30EF6707">
      <w:pPr>
        <w:pStyle w:val="8"/>
        <w:spacing w:line="286" w:lineRule="auto"/>
        <w:rPr>
          <w:color w:val="auto"/>
          <w:lang w:eastAsia="zh-CN"/>
        </w:rPr>
      </w:pPr>
    </w:p>
    <w:p w14:paraId="6FF073F7">
      <w:pPr>
        <w:spacing w:before="62" w:line="64" w:lineRule="exact"/>
        <w:ind w:left="436"/>
        <w:rPr>
          <w:rFonts w:ascii="Tahoma" w:hAnsi="Tahoma" w:eastAsia="Tahoma" w:cs="Tahoma"/>
          <w:color w:val="auto"/>
          <w:sz w:val="20"/>
          <w:szCs w:val="20"/>
          <w:lang w:eastAsia="zh-CN"/>
        </w:rPr>
      </w:pPr>
      <w:r>
        <w:rPr>
          <w:rFonts w:ascii="Tahoma" w:hAnsi="Tahoma" w:eastAsia="Tahoma" w:cs="Tahoma"/>
          <w:color w:val="auto"/>
          <w:spacing w:val="3"/>
          <w:position w:val="1"/>
          <w:sz w:val="20"/>
          <w:szCs w:val="20"/>
          <w:lang w:eastAsia="zh-CN"/>
        </w:rPr>
        <w:t>……</w:t>
      </w:r>
    </w:p>
    <w:p w14:paraId="6FE60739">
      <w:pPr>
        <w:pStyle w:val="8"/>
        <w:spacing w:line="269" w:lineRule="auto"/>
        <w:rPr>
          <w:color w:val="auto"/>
          <w:lang w:eastAsia="zh-CN"/>
        </w:rPr>
      </w:pPr>
    </w:p>
    <w:p w14:paraId="5F6F8644">
      <w:pPr>
        <w:pStyle w:val="8"/>
        <w:spacing w:line="269" w:lineRule="auto"/>
        <w:rPr>
          <w:color w:val="auto"/>
          <w:lang w:eastAsia="zh-CN"/>
        </w:rPr>
      </w:pPr>
    </w:p>
    <w:p w14:paraId="762C6918">
      <w:pPr>
        <w:tabs>
          <w:tab w:val="left" w:pos="6717"/>
        </w:tabs>
        <w:spacing w:before="66" w:line="228" w:lineRule="auto"/>
        <w:ind w:left="5457"/>
        <w:rPr>
          <w:rFonts w:ascii="宋体" w:hAnsi="宋体" w:eastAsia="宋体" w:cs="宋体"/>
          <w:color w:val="auto"/>
          <w:sz w:val="20"/>
          <w:szCs w:val="20"/>
          <w:lang w:eastAsia="zh-CN"/>
        </w:rPr>
      </w:pPr>
      <w:r>
        <w:rPr>
          <w:rFonts w:ascii="宋体" w:hAnsi="宋体" w:eastAsia="宋体" w:cs="宋体"/>
          <w:color w:val="auto"/>
          <w:sz w:val="20"/>
          <w:szCs w:val="20"/>
          <w:u w:val="single"/>
          <w:lang w:eastAsia="zh-CN"/>
        </w:rPr>
        <w:tab/>
      </w:r>
      <w:r>
        <w:rPr>
          <w:rFonts w:ascii="宋体" w:hAnsi="宋体" w:eastAsia="宋体" w:cs="宋体"/>
          <w:color w:val="auto"/>
          <w:spacing w:val="-90"/>
          <w:sz w:val="20"/>
          <w:szCs w:val="20"/>
          <w:lang w:eastAsia="zh-CN"/>
        </w:rPr>
        <w:t xml:space="preserve"> </w:t>
      </w:r>
      <w:r>
        <w:rPr>
          <w:rFonts w:ascii="宋体" w:hAnsi="宋体" w:eastAsia="宋体" w:cs="宋体"/>
          <w:color w:val="auto"/>
          <w:spacing w:val="-2"/>
          <w:sz w:val="20"/>
          <w:szCs w:val="20"/>
          <w:lang w:eastAsia="zh-CN"/>
        </w:rPr>
        <w:t>年</w:t>
      </w:r>
      <w:r>
        <w:rPr>
          <w:rFonts w:ascii="宋体" w:hAnsi="宋体" w:eastAsia="宋体" w:cs="宋体"/>
          <w:color w:val="auto"/>
          <w:spacing w:val="-98"/>
          <w:sz w:val="20"/>
          <w:szCs w:val="20"/>
          <w:lang w:eastAsia="zh-CN"/>
        </w:rPr>
        <w:t xml:space="preserve"> </w:t>
      </w:r>
      <w:r>
        <w:rPr>
          <w:rFonts w:ascii="宋体" w:hAnsi="宋体" w:eastAsia="宋体" w:cs="宋体"/>
          <w:color w:val="auto"/>
          <w:spacing w:val="4"/>
          <w:sz w:val="20"/>
          <w:szCs w:val="20"/>
          <w:u w:val="single"/>
          <w:lang w:eastAsia="zh-CN"/>
        </w:rPr>
        <w:t xml:space="preserve">       </w:t>
      </w:r>
      <w:r>
        <w:rPr>
          <w:rFonts w:ascii="宋体" w:hAnsi="宋体" w:eastAsia="宋体" w:cs="宋体"/>
          <w:color w:val="auto"/>
          <w:spacing w:val="-80"/>
          <w:sz w:val="20"/>
          <w:szCs w:val="20"/>
          <w:lang w:eastAsia="zh-CN"/>
        </w:rPr>
        <w:t xml:space="preserve"> </w:t>
      </w:r>
      <w:r>
        <w:rPr>
          <w:rFonts w:ascii="宋体" w:hAnsi="宋体" w:eastAsia="宋体" w:cs="宋体"/>
          <w:color w:val="auto"/>
          <w:spacing w:val="-2"/>
          <w:sz w:val="20"/>
          <w:szCs w:val="20"/>
          <w:lang w:eastAsia="zh-CN"/>
        </w:rPr>
        <w:t>月</w:t>
      </w:r>
      <w:r>
        <w:rPr>
          <w:rFonts w:ascii="宋体" w:hAnsi="宋体" w:eastAsia="宋体" w:cs="宋体"/>
          <w:color w:val="auto"/>
          <w:spacing w:val="-99"/>
          <w:sz w:val="20"/>
          <w:szCs w:val="20"/>
          <w:lang w:eastAsia="zh-CN"/>
        </w:rPr>
        <w:t xml:space="preserve"> </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55"/>
          <w:sz w:val="20"/>
          <w:szCs w:val="20"/>
          <w:lang w:eastAsia="zh-CN"/>
        </w:rPr>
        <w:t xml:space="preserve"> </w:t>
      </w:r>
      <w:r>
        <w:rPr>
          <w:rFonts w:ascii="宋体" w:hAnsi="宋体" w:eastAsia="宋体" w:cs="宋体"/>
          <w:color w:val="auto"/>
          <w:spacing w:val="-2"/>
          <w:sz w:val="20"/>
          <w:szCs w:val="20"/>
          <w:lang w:eastAsia="zh-CN"/>
        </w:rPr>
        <w:t>日</w:t>
      </w:r>
    </w:p>
    <w:p w14:paraId="266782CD">
      <w:pPr>
        <w:spacing w:line="228" w:lineRule="auto"/>
        <w:rPr>
          <w:rFonts w:ascii="宋体" w:hAnsi="宋体" w:eastAsia="宋体" w:cs="宋体"/>
          <w:color w:val="auto"/>
          <w:sz w:val="20"/>
          <w:szCs w:val="20"/>
          <w:lang w:eastAsia="zh-CN"/>
        </w:rPr>
        <w:sectPr>
          <w:footerReference r:id="rId64"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0BF2526C">
      <w:pPr>
        <w:pStyle w:val="8"/>
        <w:spacing w:line="321" w:lineRule="auto"/>
        <w:rPr>
          <w:color w:val="auto"/>
          <w:lang w:eastAsia="zh-CN"/>
        </w:rPr>
      </w:pPr>
    </w:p>
    <w:p w14:paraId="38351185">
      <w:pPr>
        <w:spacing w:before="91" w:line="222" w:lineRule="auto"/>
        <w:ind w:left="3609"/>
        <w:outlineLvl w:val="0"/>
        <w:rPr>
          <w:rFonts w:ascii="黑体" w:hAnsi="黑体" w:eastAsia="黑体" w:cs="黑体"/>
          <w:color w:val="auto"/>
          <w:sz w:val="28"/>
          <w:szCs w:val="28"/>
          <w:lang w:eastAsia="zh-CN"/>
        </w:rPr>
      </w:pPr>
      <w:bookmarkStart w:id="330" w:name="_Toc31112"/>
      <w:bookmarkStart w:id="331" w:name="_Toc12338"/>
      <w:bookmarkStart w:id="332" w:name="_Toc16709"/>
      <w:r>
        <w:rPr>
          <w:rFonts w:ascii="黑体" w:hAnsi="黑体" w:eastAsia="黑体" w:cs="黑体"/>
          <w:color w:val="auto"/>
          <w:spacing w:val="-2"/>
          <w:sz w:val="28"/>
          <w:szCs w:val="28"/>
          <w:lang w:eastAsia="zh-CN"/>
          <w14:textOutline w14:w="5105" w14:cap="sq" w14:cmpd="sng" w14:algn="ctr">
            <w14:solidFill>
              <w14:srgbClr w14:val="000000"/>
            </w14:solidFill>
            <w14:prstDash w14:val="solid"/>
            <w14:bevel/>
          </w14:textOutline>
        </w:rPr>
        <w:t>（五）、资格证明文件</w:t>
      </w:r>
      <w:bookmarkEnd w:id="330"/>
      <w:bookmarkEnd w:id="331"/>
      <w:bookmarkEnd w:id="332"/>
    </w:p>
    <w:p w14:paraId="0220DCDD">
      <w:pPr>
        <w:pStyle w:val="8"/>
        <w:spacing w:line="387" w:lineRule="auto"/>
        <w:rPr>
          <w:color w:val="auto"/>
          <w:lang w:eastAsia="zh-CN"/>
        </w:rPr>
      </w:pPr>
    </w:p>
    <w:p w14:paraId="5DC07246">
      <w:pPr>
        <w:spacing w:before="66" w:line="227" w:lineRule="auto"/>
        <w:ind w:left="6"/>
        <w:rPr>
          <w:rFonts w:ascii="宋体" w:hAnsi="宋体" w:eastAsia="宋体" w:cs="宋体"/>
          <w:color w:val="auto"/>
          <w:sz w:val="20"/>
          <w:szCs w:val="20"/>
          <w:lang w:eastAsia="zh-CN"/>
        </w:rPr>
      </w:pPr>
      <w:r>
        <w:rPr>
          <w:rFonts w:ascii="宋体" w:hAnsi="宋体" w:eastAsia="宋体" w:cs="宋体"/>
          <w:color w:val="auto"/>
          <w:spacing w:val="5"/>
          <w:sz w:val="20"/>
          <w:szCs w:val="20"/>
          <w:lang w:eastAsia="zh-CN"/>
        </w:rPr>
        <w:t>致：</w:t>
      </w:r>
      <w:r>
        <w:rPr>
          <w:rFonts w:ascii="宋体" w:hAnsi="宋体" w:eastAsia="宋体" w:cs="宋体"/>
          <w:color w:val="auto"/>
          <w:spacing w:val="7"/>
          <w:sz w:val="20"/>
          <w:szCs w:val="20"/>
          <w:u w:val="single"/>
          <w:lang w:eastAsia="zh-CN"/>
        </w:rPr>
        <w:t xml:space="preserve">         </w:t>
      </w:r>
      <w:r>
        <w:rPr>
          <w:rFonts w:ascii="宋体" w:hAnsi="宋体" w:eastAsia="宋体" w:cs="宋体"/>
          <w:color w:val="auto"/>
          <w:spacing w:val="5"/>
          <w:sz w:val="20"/>
          <w:szCs w:val="20"/>
          <w:u w:val="single"/>
          <w:lang w:eastAsia="zh-CN"/>
        </w:rPr>
        <w:t xml:space="preserve">采购人名称         </w:t>
      </w:r>
      <w:r>
        <w:rPr>
          <w:rFonts w:ascii="宋体" w:hAnsi="宋体" w:eastAsia="宋体" w:cs="宋体"/>
          <w:color w:val="auto"/>
          <w:spacing w:val="5"/>
          <w:sz w:val="20"/>
          <w:szCs w:val="20"/>
          <w:lang w:eastAsia="zh-CN"/>
        </w:rPr>
        <w:t>：</w:t>
      </w:r>
    </w:p>
    <w:p w14:paraId="73AA98F1">
      <w:pPr>
        <w:pStyle w:val="8"/>
        <w:spacing w:line="329" w:lineRule="auto"/>
        <w:rPr>
          <w:color w:val="auto"/>
          <w:lang w:eastAsia="zh-CN"/>
        </w:rPr>
      </w:pPr>
    </w:p>
    <w:p w14:paraId="745B358A">
      <w:pPr>
        <w:spacing w:before="65" w:line="377" w:lineRule="auto"/>
        <w:ind w:left="428" w:firstLine="432" w:firstLineChars="200"/>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现附上由</w:t>
      </w:r>
      <w:r>
        <w:rPr>
          <w:rFonts w:ascii="宋体" w:hAnsi="宋体" w:eastAsia="宋体" w:cs="宋体"/>
          <w:color w:val="auto"/>
          <w:spacing w:val="8"/>
          <w:sz w:val="20"/>
          <w:szCs w:val="20"/>
          <w:u w:val="single"/>
          <w:lang w:eastAsia="zh-CN"/>
        </w:rPr>
        <w:t xml:space="preserve">       （签发机关名称）       </w:t>
      </w:r>
      <w:r>
        <w:rPr>
          <w:rFonts w:ascii="宋体" w:hAnsi="宋体" w:eastAsia="宋体" w:cs="宋体"/>
          <w:color w:val="auto"/>
          <w:spacing w:val="-78"/>
          <w:sz w:val="20"/>
          <w:szCs w:val="20"/>
          <w:lang w:eastAsia="zh-CN"/>
        </w:rPr>
        <w:t xml:space="preserve"> </w:t>
      </w:r>
      <w:r>
        <w:rPr>
          <w:rFonts w:ascii="宋体" w:hAnsi="宋体" w:eastAsia="宋体" w:cs="宋体"/>
          <w:color w:val="auto"/>
          <w:spacing w:val="8"/>
          <w:sz w:val="20"/>
          <w:szCs w:val="20"/>
          <w:lang w:eastAsia="zh-CN"/>
        </w:rPr>
        <w:t>签发的我方营业执照（三证合一）副本复印件，该执照</w:t>
      </w:r>
      <w:r>
        <w:rPr>
          <w:rFonts w:ascii="宋体" w:hAnsi="宋体" w:eastAsia="宋体" w:cs="宋体"/>
          <w:color w:val="auto"/>
          <w:spacing w:val="5"/>
          <w:sz w:val="20"/>
          <w:szCs w:val="20"/>
          <w:lang w:eastAsia="zh-CN"/>
        </w:rPr>
        <w:t>真实有效。</w:t>
      </w:r>
    </w:p>
    <w:p w14:paraId="7F09CF7F">
      <w:pPr>
        <w:pStyle w:val="8"/>
        <w:spacing w:line="247" w:lineRule="auto"/>
        <w:rPr>
          <w:color w:val="auto"/>
          <w:lang w:eastAsia="zh-CN"/>
        </w:rPr>
      </w:pPr>
    </w:p>
    <w:p w14:paraId="77DF0E1A">
      <w:pPr>
        <w:pStyle w:val="8"/>
        <w:spacing w:line="247" w:lineRule="auto"/>
        <w:rPr>
          <w:color w:val="auto"/>
          <w:lang w:eastAsia="zh-CN"/>
        </w:rPr>
      </w:pPr>
    </w:p>
    <w:p w14:paraId="5EFAA501">
      <w:pPr>
        <w:pStyle w:val="8"/>
        <w:spacing w:line="247" w:lineRule="auto"/>
        <w:rPr>
          <w:color w:val="auto"/>
          <w:lang w:eastAsia="zh-CN"/>
        </w:rPr>
      </w:pPr>
    </w:p>
    <w:p w14:paraId="6CAFD12C">
      <w:pPr>
        <w:pStyle w:val="8"/>
        <w:spacing w:line="247" w:lineRule="auto"/>
        <w:rPr>
          <w:color w:val="auto"/>
          <w:lang w:eastAsia="zh-CN"/>
        </w:rPr>
      </w:pPr>
    </w:p>
    <w:p w14:paraId="54EBA74A">
      <w:pPr>
        <w:pStyle w:val="8"/>
        <w:spacing w:line="247" w:lineRule="auto"/>
        <w:rPr>
          <w:color w:val="auto"/>
          <w:lang w:eastAsia="zh-CN"/>
        </w:rPr>
      </w:pPr>
    </w:p>
    <w:p w14:paraId="33FD35F1">
      <w:pPr>
        <w:pStyle w:val="8"/>
        <w:spacing w:line="247" w:lineRule="auto"/>
        <w:rPr>
          <w:color w:val="auto"/>
          <w:lang w:eastAsia="zh-CN"/>
        </w:rPr>
      </w:pPr>
    </w:p>
    <w:p w14:paraId="58FCAFF6">
      <w:pPr>
        <w:pStyle w:val="8"/>
        <w:spacing w:line="247" w:lineRule="auto"/>
        <w:rPr>
          <w:color w:val="auto"/>
          <w:lang w:eastAsia="zh-CN"/>
        </w:rPr>
      </w:pPr>
    </w:p>
    <w:p w14:paraId="5B19DBC3">
      <w:pPr>
        <w:pStyle w:val="8"/>
        <w:spacing w:line="247" w:lineRule="auto"/>
        <w:rPr>
          <w:color w:val="auto"/>
          <w:lang w:eastAsia="zh-CN"/>
        </w:rPr>
      </w:pPr>
    </w:p>
    <w:p w14:paraId="228EBB95">
      <w:pPr>
        <w:pStyle w:val="8"/>
        <w:spacing w:line="247" w:lineRule="auto"/>
        <w:rPr>
          <w:color w:val="auto"/>
          <w:lang w:eastAsia="zh-CN"/>
        </w:rPr>
      </w:pPr>
    </w:p>
    <w:p w14:paraId="3E86BC52">
      <w:pPr>
        <w:pStyle w:val="8"/>
        <w:spacing w:line="248" w:lineRule="auto"/>
        <w:rPr>
          <w:color w:val="auto"/>
          <w:lang w:eastAsia="zh-CN"/>
        </w:rPr>
      </w:pPr>
    </w:p>
    <w:p w14:paraId="0C5A23F9">
      <w:pPr>
        <w:pStyle w:val="8"/>
        <w:spacing w:line="248" w:lineRule="auto"/>
        <w:rPr>
          <w:color w:val="auto"/>
          <w:lang w:eastAsia="zh-CN"/>
        </w:rPr>
      </w:pPr>
    </w:p>
    <w:p w14:paraId="4F739F49">
      <w:pPr>
        <w:spacing w:before="65" w:line="230" w:lineRule="auto"/>
        <w:ind w:left="436"/>
        <w:rPr>
          <w:rFonts w:ascii="黑体" w:hAnsi="黑体" w:eastAsia="黑体" w:cs="黑体"/>
          <w:color w:val="auto"/>
          <w:sz w:val="20"/>
          <w:szCs w:val="20"/>
          <w:lang w:eastAsia="zh-CN"/>
        </w:rPr>
      </w:pPr>
      <w:r>
        <w:rPr>
          <w:rFonts w:ascii="Tahoma" w:hAnsi="Tahoma" w:eastAsia="Tahoma" w:cs="Tahoma"/>
          <w:b/>
          <w:bCs/>
          <w:color w:val="auto"/>
          <w:spacing w:val="10"/>
          <w:sz w:val="20"/>
          <w:szCs w:val="20"/>
          <w:lang w:eastAsia="zh-CN"/>
        </w:rPr>
        <w:t>……</w:t>
      </w:r>
      <w:r>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（招标文件要求和投标人应提供的其他相关证件按</w:t>
      </w:r>
      <w:r>
        <w:rPr>
          <w:rFonts w:ascii="黑体" w:hAnsi="黑体" w:eastAsia="黑体" w:cs="黑体"/>
          <w:color w:val="auto"/>
          <w:spacing w:val="9"/>
          <w:sz w:val="20"/>
          <w:szCs w:val="20"/>
          <w:lang w:eastAsia="zh-CN"/>
          <w14:textOutline w14:w="3797" w14:cap="sq" w14:cmpd="sng" w14:algn="ctr">
            <w14:solidFill>
              <w14:srgbClr w14:val="000000"/>
            </w14:solidFill>
            <w14:prstDash w14:val="solid"/>
            <w14:bevel/>
          </w14:textOutline>
        </w:rPr>
        <w:t>上述格式填写）</w:t>
      </w:r>
    </w:p>
    <w:p w14:paraId="0EFF7CD9">
      <w:pPr>
        <w:spacing w:before="159" w:line="227" w:lineRule="auto"/>
        <w:ind w:left="23"/>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附：资格证件的复印件或影印件附后</w:t>
      </w:r>
    </w:p>
    <w:p w14:paraId="5E9F68F5">
      <w:pPr>
        <w:pStyle w:val="8"/>
        <w:spacing w:line="270" w:lineRule="auto"/>
        <w:rPr>
          <w:color w:val="auto"/>
          <w:lang w:eastAsia="zh-CN"/>
        </w:rPr>
      </w:pPr>
    </w:p>
    <w:p w14:paraId="64585E27">
      <w:pPr>
        <w:pStyle w:val="8"/>
        <w:spacing w:line="270" w:lineRule="auto"/>
        <w:rPr>
          <w:color w:val="auto"/>
          <w:lang w:eastAsia="zh-CN"/>
        </w:rPr>
      </w:pPr>
    </w:p>
    <w:p w14:paraId="22A1C9CB">
      <w:pPr>
        <w:pStyle w:val="8"/>
        <w:spacing w:line="274" w:lineRule="auto"/>
        <w:rPr>
          <w:color w:val="auto"/>
          <w:lang w:eastAsia="zh-CN"/>
        </w:rPr>
      </w:pPr>
    </w:p>
    <w:p w14:paraId="62D7A074">
      <w:pPr>
        <w:pStyle w:val="8"/>
        <w:spacing w:line="274" w:lineRule="auto"/>
        <w:rPr>
          <w:color w:val="auto"/>
          <w:lang w:eastAsia="zh-CN"/>
        </w:rPr>
      </w:pPr>
    </w:p>
    <w:p w14:paraId="61F298FC">
      <w:pPr>
        <w:pStyle w:val="8"/>
        <w:spacing w:line="274" w:lineRule="auto"/>
        <w:rPr>
          <w:color w:val="auto"/>
          <w:lang w:eastAsia="zh-CN"/>
        </w:rPr>
      </w:pPr>
    </w:p>
    <w:p w14:paraId="07825DE1">
      <w:pPr>
        <w:spacing w:before="66" w:line="227" w:lineRule="auto"/>
        <w:ind w:left="3786"/>
        <w:rPr>
          <w:rFonts w:ascii="宋体" w:hAnsi="宋体" w:eastAsia="宋体" w:cs="宋体"/>
          <w:color w:val="auto"/>
          <w:sz w:val="20"/>
          <w:szCs w:val="20"/>
          <w:lang w:eastAsia="zh-CN"/>
        </w:rPr>
      </w:pP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（加盖公章</w:t>
      </w:r>
      <w:r>
        <w:rPr>
          <w:rFonts w:ascii="宋体" w:hAnsi="宋体" w:eastAsia="宋体" w:cs="宋体"/>
          <w:color w:val="auto"/>
          <w:spacing w:val="13"/>
          <w:sz w:val="20"/>
          <w:szCs w:val="20"/>
          <w:lang w:eastAsia="zh-CN"/>
        </w:rPr>
        <w:t>）：</w:t>
      </w:r>
      <w:r>
        <w:rPr>
          <w:rFonts w:ascii="宋体" w:hAnsi="宋体" w:eastAsia="宋体" w:cs="宋体"/>
          <w:color w:val="auto"/>
          <w:sz w:val="20"/>
          <w:szCs w:val="20"/>
          <w:u w:val="single"/>
          <w:lang w:eastAsia="zh-CN"/>
        </w:rPr>
        <w:t xml:space="preserve">                          </w:t>
      </w:r>
    </w:p>
    <w:p w14:paraId="2E71A78A">
      <w:pPr>
        <w:pStyle w:val="8"/>
        <w:spacing w:line="447" w:lineRule="auto"/>
        <w:rPr>
          <w:color w:val="auto"/>
          <w:lang w:eastAsia="zh-CN"/>
        </w:rPr>
      </w:pPr>
    </w:p>
    <w:p w14:paraId="3872A266">
      <w:pPr>
        <w:spacing w:before="65" w:line="227" w:lineRule="auto"/>
        <w:ind w:left="3786"/>
        <w:rPr>
          <w:rFonts w:ascii="宋体" w:hAnsi="宋体" w:eastAsia="宋体" w:cs="宋体"/>
          <w:color w:val="auto"/>
          <w:sz w:val="20"/>
          <w:szCs w:val="20"/>
          <w:lang w:eastAsia="zh-CN"/>
        </w:rPr>
      </w:pP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代表（签字</w:t>
      </w:r>
      <w:r>
        <w:rPr>
          <w:rFonts w:ascii="宋体" w:hAnsi="宋体" w:eastAsia="宋体" w:cs="宋体"/>
          <w:color w:val="auto"/>
          <w:spacing w:val="13"/>
          <w:sz w:val="20"/>
          <w:szCs w:val="20"/>
          <w:lang w:eastAsia="zh-CN"/>
        </w:rPr>
        <w:t>）：</w:t>
      </w:r>
      <w:r>
        <w:rPr>
          <w:rFonts w:ascii="宋体" w:hAnsi="宋体" w:eastAsia="宋体" w:cs="宋体"/>
          <w:color w:val="auto"/>
          <w:sz w:val="20"/>
          <w:szCs w:val="20"/>
          <w:u w:val="single"/>
          <w:lang w:eastAsia="zh-CN"/>
        </w:rPr>
        <w:t xml:space="preserve">                           </w:t>
      </w:r>
    </w:p>
    <w:p w14:paraId="2F1F44F4">
      <w:pPr>
        <w:pStyle w:val="8"/>
        <w:spacing w:line="444" w:lineRule="auto"/>
        <w:rPr>
          <w:color w:val="auto"/>
          <w:lang w:eastAsia="zh-CN"/>
        </w:rPr>
      </w:pPr>
    </w:p>
    <w:p w14:paraId="163DC160">
      <w:pPr>
        <w:spacing w:before="66" w:line="228" w:lineRule="auto"/>
        <w:ind w:left="3928"/>
        <w:rPr>
          <w:rFonts w:ascii="宋体" w:hAnsi="宋体" w:eastAsia="宋体" w:cs="宋体"/>
          <w:color w:val="auto"/>
          <w:sz w:val="20"/>
          <w:szCs w:val="20"/>
          <w:lang w:eastAsia="zh-CN"/>
        </w:rPr>
      </w:pPr>
      <w:r>
        <w:rPr>
          <w:rFonts w:ascii="宋体" w:hAnsi="宋体" w:eastAsia="宋体" w:cs="宋体"/>
          <w:color w:val="auto"/>
          <w:spacing w:val="-4"/>
          <w:sz w:val="20"/>
          <w:szCs w:val="20"/>
          <w:lang w:eastAsia="zh-CN"/>
        </w:rPr>
        <w:t>日             期：</w:t>
      </w:r>
      <w:r>
        <w:rPr>
          <w:rFonts w:ascii="宋体" w:hAnsi="宋体" w:eastAsia="宋体" w:cs="宋体"/>
          <w:color w:val="auto"/>
          <w:spacing w:val="6"/>
          <w:sz w:val="20"/>
          <w:szCs w:val="20"/>
          <w:u w:val="single"/>
          <w:lang w:eastAsia="zh-CN"/>
        </w:rPr>
        <w:t xml:space="preserve">           </w:t>
      </w:r>
      <w:r>
        <w:rPr>
          <w:rFonts w:ascii="宋体" w:hAnsi="宋体" w:eastAsia="宋体" w:cs="宋体"/>
          <w:color w:val="auto"/>
          <w:spacing w:val="-85"/>
          <w:sz w:val="20"/>
          <w:szCs w:val="20"/>
          <w:lang w:eastAsia="zh-CN"/>
        </w:rPr>
        <w:t xml:space="preserve"> </w:t>
      </w:r>
      <w:r>
        <w:rPr>
          <w:rFonts w:ascii="宋体" w:hAnsi="宋体" w:eastAsia="宋体" w:cs="宋体"/>
          <w:color w:val="auto"/>
          <w:spacing w:val="-4"/>
          <w:sz w:val="20"/>
          <w:szCs w:val="20"/>
          <w:lang w:eastAsia="zh-CN"/>
        </w:rPr>
        <w:t>年</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87"/>
          <w:sz w:val="20"/>
          <w:szCs w:val="20"/>
          <w:lang w:eastAsia="zh-CN"/>
        </w:rPr>
        <w:t xml:space="preserve"> </w:t>
      </w:r>
      <w:r>
        <w:rPr>
          <w:rFonts w:ascii="宋体" w:hAnsi="宋体" w:eastAsia="宋体" w:cs="宋体"/>
          <w:color w:val="auto"/>
          <w:spacing w:val="-4"/>
          <w:sz w:val="20"/>
          <w:szCs w:val="20"/>
          <w:lang w:eastAsia="zh-CN"/>
        </w:rPr>
        <w:t>月</w:t>
      </w:r>
      <w:r>
        <w:rPr>
          <w:rFonts w:ascii="宋体" w:hAnsi="宋体" w:eastAsia="宋体" w:cs="宋体"/>
          <w:color w:val="auto"/>
          <w:spacing w:val="-98"/>
          <w:sz w:val="20"/>
          <w:szCs w:val="20"/>
          <w:lang w:eastAsia="zh-CN"/>
        </w:rPr>
        <w:t xml:space="preserve"> </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55"/>
          <w:sz w:val="20"/>
          <w:szCs w:val="20"/>
          <w:lang w:eastAsia="zh-CN"/>
        </w:rPr>
        <w:t xml:space="preserve"> </w:t>
      </w:r>
      <w:r>
        <w:rPr>
          <w:rFonts w:ascii="宋体" w:hAnsi="宋体" w:eastAsia="宋体" w:cs="宋体"/>
          <w:color w:val="auto"/>
          <w:spacing w:val="-4"/>
          <w:sz w:val="20"/>
          <w:szCs w:val="20"/>
          <w:lang w:eastAsia="zh-CN"/>
        </w:rPr>
        <w:t>日</w:t>
      </w:r>
    </w:p>
    <w:p w14:paraId="20DD95CD">
      <w:pPr>
        <w:spacing w:line="228" w:lineRule="auto"/>
        <w:rPr>
          <w:rFonts w:ascii="宋体" w:hAnsi="宋体" w:eastAsia="宋体" w:cs="宋体"/>
          <w:color w:val="auto"/>
          <w:sz w:val="20"/>
          <w:szCs w:val="20"/>
          <w:lang w:eastAsia="zh-CN"/>
        </w:rPr>
        <w:sectPr>
          <w:headerReference r:id="rId65" w:type="default"/>
          <w:footerReference r:id="rId66"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02C98EFB">
      <w:pPr>
        <w:spacing w:before="78" w:line="223" w:lineRule="auto"/>
        <w:ind w:left="3755"/>
        <w:rPr>
          <w:rFonts w:ascii="黑体" w:hAnsi="黑体" w:eastAsia="黑体" w:cs="黑体"/>
          <w:color w:val="auto"/>
          <w:sz w:val="28"/>
          <w:szCs w:val="28"/>
          <w:lang w:eastAsia="zh-CN"/>
        </w:rPr>
      </w:pPr>
      <w:r>
        <w:rPr>
          <w:rFonts w:ascii="黑体" w:hAnsi="黑体" w:eastAsia="黑体" w:cs="黑体"/>
          <w:color w:val="auto"/>
          <w:spacing w:val="-3"/>
          <w:sz w:val="28"/>
          <w:szCs w:val="28"/>
          <w:lang w:eastAsia="zh-CN"/>
          <w14:textOutline w14:w="5105" w14:cap="sq" w14:cmpd="sng" w14:algn="ctr">
            <w14:solidFill>
              <w14:srgbClr w14:val="000000"/>
            </w14:solidFill>
            <w14:prstDash w14:val="solid"/>
            <w14:bevel/>
          </w14:textOutline>
        </w:rPr>
        <w:t>（六）、投标保证金</w:t>
      </w:r>
    </w:p>
    <w:p w14:paraId="426D66AC">
      <w:pPr>
        <w:pStyle w:val="8"/>
        <w:spacing w:line="244" w:lineRule="auto"/>
        <w:rPr>
          <w:color w:val="auto"/>
          <w:lang w:eastAsia="zh-CN"/>
        </w:rPr>
      </w:pPr>
    </w:p>
    <w:p w14:paraId="05C3BBC6">
      <w:pPr>
        <w:pStyle w:val="8"/>
        <w:spacing w:line="244" w:lineRule="auto"/>
        <w:rPr>
          <w:color w:val="auto"/>
          <w:lang w:eastAsia="zh-CN"/>
        </w:rPr>
      </w:pPr>
    </w:p>
    <w:p w14:paraId="502B728E">
      <w:pPr>
        <w:spacing w:before="65" w:line="227" w:lineRule="auto"/>
        <w:ind w:left="11"/>
        <w:rPr>
          <w:rFonts w:ascii="宋体" w:hAnsi="宋体" w:eastAsia="宋体" w:cs="宋体"/>
          <w:color w:val="auto"/>
          <w:sz w:val="20"/>
          <w:szCs w:val="20"/>
          <w:lang w:eastAsia="zh-CN"/>
        </w:rPr>
      </w:pPr>
      <w:r>
        <w:rPr>
          <w:rFonts w:ascii="宋体" w:hAnsi="宋体" w:eastAsia="宋体" w:cs="宋体"/>
          <w:color w:val="auto"/>
          <w:spacing w:val="11"/>
          <w:sz w:val="20"/>
          <w:szCs w:val="20"/>
          <w:lang w:eastAsia="zh-CN"/>
        </w:rPr>
        <w:t>致</w:t>
      </w:r>
      <w:r>
        <w:rPr>
          <w:rFonts w:ascii="宋体" w:hAnsi="宋体" w:eastAsia="宋体" w:cs="宋体"/>
          <w:color w:val="auto"/>
          <w:spacing w:val="-8"/>
          <w:sz w:val="20"/>
          <w:szCs w:val="20"/>
          <w:lang w:eastAsia="zh-CN"/>
        </w:rPr>
        <w:t>：</w:t>
      </w:r>
      <w:r>
        <w:rPr>
          <w:rFonts w:ascii="宋体" w:hAnsi="宋体" w:eastAsia="宋体" w:cs="宋体"/>
          <w:color w:val="auto"/>
          <w:spacing w:val="6"/>
          <w:sz w:val="20"/>
          <w:szCs w:val="20"/>
          <w:u w:val="single"/>
          <w:lang w:eastAsia="zh-CN"/>
        </w:rPr>
        <w:t xml:space="preserve">       </w:t>
      </w:r>
      <w:r>
        <w:rPr>
          <w:rFonts w:ascii="宋体" w:hAnsi="宋体" w:eastAsia="宋体" w:cs="宋体"/>
          <w:color w:val="auto"/>
          <w:spacing w:val="-8"/>
          <w:sz w:val="20"/>
          <w:szCs w:val="20"/>
          <w:u w:val="single"/>
          <w:lang w:eastAsia="zh-CN"/>
        </w:rPr>
        <w:t>（</w:t>
      </w:r>
      <w:r>
        <w:rPr>
          <w:rFonts w:ascii="宋体" w:hAnsi="宋体" w:eastAsia="宋体" w:cs="宋体"/>
          <w:color w:val="auto"/>
          <w:spacing w:val="11"/>
          <w:sz w:val="20"/>
          <w:szCs w:val="20"/>
          <w:u w:val="single"/>
          <w:lang w:eastAsia="zh-CN"/>
        </w:rPr>
        <w:t>采购方名称）</w:t>
      </w:r>
      <w:r>
        <w:rPr>
          <w:rFonts w:ascii="宋体" w:hAnsi="宋体" w:eastAsia="宋体" w:cs="宋体"/>
          <w:color w:val="auto"/>
          <w:sz w:val="20"/>
          <w:szCs w:val="20"/>
          <w:u w:val="single"/>
          <w:lang w:eastAsia="zh-CN"/>
        </w:rPr>
        <w:t xml:space="preserve">         </w:t>
      </w:r>
    </w:p>
    <w:p w14:paraId="704C0D0F">
      <w:pPr>
        <w:pStyle w:val="8"/>
        <w:spacing w:line="259" w:lineRule="auto"/>
        <w:rPr>
          <w:color w:val="auto"/>
          <w:lang w:eastAsia="zh-CN"/>
        </w:rPr>
      </w:pPr>
    </w:p>
    <w:p w14:paraId="1F377D65">
      <w:pPr>
        <w:pStyle w:val="8"/>
        <w:spacing w:line="259" w:lineRule="auto"/>
        <w:rPr>
          <w:color w:val="auto"/>
          <w:lang w:eastAsia="zh-CN"/>
        </w:rPr>
      </w:pPr>
    </w:p>
    <w:p w14:paraId="3E2780A8">
      <w:pPr>
        <w:spacing w:before="65" w:line="406" w:lineRule="auto"/>
        <w:ind w:left="13" w:firstLine="420"/>
        <w:jc w:val="both"/>
        <w:rPr>
          <w:rFonts w:ascii="宋体" w:hAnsi="宋体" w:eastAsia="宋体" w:cs="宋体"/>
          <w:color w:val="auto"/>
          <w:sz w:val="20"/>
          <w:szCs w:val="20"/>
          <w:lang w:eastAsia="zh-CN"/>
        </w:rPr>
      </w:pPr>
      <w:r>
        <w:rPr>
          <w:rFonts w:ascii="宋体" w:hAnsi="宋体" w:eastAsia="宋体" w:cs="宋体"/>
          <w:color w:val="auto"/>
          <w:spacing w:val="4"/>
          <w:sz w:val="20"/>
          <w:szCs w:val="20"/>
          <w:lang w:eastAsia="zh-CN"/>
        </w:rPr>
        <w:t>鉴于</w:t>
      </w:r>
      <w:r>
        <w:rPr>
          <w:rFonts w:ascii="宋体" w:hAnsi="宋体" w:eastAsia="宋体" w:cs="宋体"/>
          <w:color w:val="auto"/>
          <w:spacing w:val="4"/>
          <w:sz w:val="20"/>
          <w:szCs w:val="20"/>
          <w:u w:val="single"/>
          <w:lang w:eastAsia="zh-CN"/>
        </w:rPr>
        <w:t xml:space="preserve">       （投标</w:t>
      </w:r>
      <w:r>
        <w:rPr>
          <w:rFonts w:hint="eastAsia" w:ascii="宋体" w:hAnsi="宋体" w:eastAsia="宋体" w:cs="宋体"/>
          <w:color w:val="auto"/>
          <w:spacing w:val="4"/>
          <w:sz w:val="20"/>
          <w:szCs w:val="20"/>
          <w:u w:val="single"/>
          <w:lang w:eastAsia="zh-CN"/>
        </w:rPr>
        <w:t>服务商</w:t>
      </w:r>
      <w:r>
        <w:rPr>
          <w:rFonts w:ascii="宋体" w:hAnsi="宋体" w:eastAsia="宋体" w:cs="宋体"/>
          <w:color w:val="auto"/>
          <w:spacing w:val="4"/>
          <w:sz w:val="20"/>
          <w:szCs w:val="20"/>
          <w:u w:val="single"/>
          <w:lang w:eastAsia="zh-CN"/>
        </w:rPr>
        <w:t>名称</w:t>
      </w:r>
      <w:r>
        <w:rPr>
          <w:rFonts w:ascii="宋体" w:hAnsi="宋体" w:eastAsia="宋体" w:cs="宋体"/>
          <w:color w:val="auto"/>
          <w:spacing w:val="-11"/>
          <w:sz w:val="20"/>
          <w:szCs w:val="20"/>
          <w:u w:val="single"/>
          <w:lang w:eastAsia="zh-CN"/>
        </w:rPr>
        <w:t>）</w:t>
      </w:r>
      <w:r>
        <w:rPr>
          <w:rFonts w:ascii="宋体" w:hAnsi="宋体" w:eastAsia="宋体" w:cs="宋体"/>
          <w:color w:val="auto"/>
          <w:spacing w:val="4"/>
          <w:sz w:val="20"/>
          <w:szCs w:val="20"/>
          <w:u w:val="single"/>
          <w:lang w:eastAsia="zh-CN"/>
        </w:rPr>
        <w:t xml:space="preserve">       </w:t>
      </w:r>
      <w:r>
        <w:rPr>
          <w:rFonts w:ascii="宋体" w:hAnsi="宋体" w:eastAsia="宋体" w:cs="宋体"/>
          <w:color w:val="auto"/>
          <w:spacing w:val="-11"/>
          <w:sz w:val="20"/>
          <w:szCs w:val="20"/>
          <w:lang w:eastAsia="zh-CN"/>
        </w:rPr>
        <w:t>（</w:t>
      </w:r>
      <w:r>
        <w:rPr>
          <w:rFonts w:ascii="宋体" w:hAnsi="宋体" w:eastAsia="宋体" w:cs="宋体"/>
          <w:color w:val="auto"/>
          <w:spacing w:val="4"/>
          <w:sz w:val="20"/>
          <w:szCs w:val="20"/>
          <w:lang w:eastAsia="zh-CN"/>
        </w:rPr>
        <w:t>以下称</w:t>
      </w:r>
      <w:r>
        <w:rPr>
          <w:rFonts w:ascii="Tahoma" w:hAnsi="Tahoma" w:eastAsia="Tahoma" w:cs="Tahoma"/>
          <w:color w:val="auto"/>
          <w:spacing w:val="4"/>
          <w:sz w:val="20"/>
          <w:szCs w:val="20"/>
          <w:lang w:eastAsia="zh-CN"/>
        </w:rPr>
        <w:t>“</w:t>
      </w:r>
      <w:r>
        <w:rPr>
          <w:rFonts w:ascii="宋体" w:hAnsi="宋体" w:eastAsia="宋体" w:cs="宋体"/>
          <w:color w:val="auto"/>
          <w:spacing w:val="4"/>
          <w:sz w:val="20"/>
          <w:szCs w:val="20"/>
          <w:lang w:eastAsia="zh-CN"/>
        </w:rPr>
        <w:t>我方</w:t>
      </w:r>
      <w:r>
        <w:rPr>
          <w:rFonts w:ascii="Tahoma" w:hAnsi="Tahoma" w:eastAsia="Tahoma" w:cs="Tahoma"/>
          <w:color w:val="auto"/>
          <w:spacing w:val="4"/>
          <w:sz w:val="20"/>
          <w:szCs w:val="20"/>
          <w:lang w:eastAsia="zh-CN"/>
        </w:rPr>
        <w:t>”</w:t>
      </w:r>
      <w:r>
        <w:rPr>
          <w:rFonts w:ascii="Tahoma" w:hAnsi="Tahoma" w:eastAsia="Tahoma" w:cs="Tahoma"/>
          <w:color w:val="auto"/>
          <w:spacing w:val="-34"/>
          <w:sz w:val="20"/>
          <w:szCs w:val="20"/>
          <w:lang w:eastAsia="zh-CN"/>
        </w:rPr>
        <w:t xml:space="preserve"> </w:t>
      </w:r>
      <w:r>
        <w:rPr>
          <w:rFonts w:ascii="宋体" w:hAnsi="宋体" w:eastAsia="宋体" w:cs="宋体"/>
          <w:color w:val="auto"/>
          <w:spacing w:val="4"/>
          <w:sz w:val="20"/>
          <w:szCs w:val="20"/>
          <w:lang w:eastAsia="zh-CN"/>
        </w:rPr>
        <w:t>）于</w:t>
      </w:r>
      <w:r>
        <w:rPr>
          <w:rFonts w:ascii="宋体" w:hAnsi="宋体" w:eastAsia="宋体" w:cs="宋体"/>
          <w:color w:val="auto"/>
          <w:spacing w:val="4"/>
          <w:sz w:val="20"/>
          <w:szCs w:val="20"/>
          <w:u w:val="single"/>
          <w:lang w:eastAsia="zh-CN"/>
        </w:rPr>
        <w:t xml:space="preserve">        </w:t>
      </w:r>
      <w:r>
        <w:rPr>
          <w:rFonts w:ascii="宋体" w:hAnsi="宋体" w:eastAsia="宋体" w:cs="宋体"/>
          <w:color w:val="auto"/>
          <w:spacing w:val="-91"/>
          <w:sz w:val="20"/>
          <w:szCs w:val="20"/>
          <w:lang w:eastAsia="zh-CN"/>
        </w:rPr>
        <w:t xml:space="preserve"> </w:t>
      </w:r>
      <w:r>
        <w:rPr>
          <w:rFonts w:ascii="宋体" w:hAnsi="宋体" w:eastAsia="宋体" w:cs="宋体"/>
          <w:color w:val="auto"/>
          <w:spacing w:val="4"/>
          <w:sz w:val="20"/>
          <w:szCs w:val="20"/>
          <w:lang w:eastAsia="zh-CN"/>
        </w:rPr>
        <w:t>年</w:t>
      </w:r>
      <w:r>
        <w:rPr>
          <w:rFonts w:ascii="宋体" w:hAnsi="宋体" w:eastAsia="宋体" w:cs="宋体"/>
          <w:color w:val="auto"/>
          <w:spacing w:val="-98"/>
          <w:sz w:val="20"/>
          <w:szCs w:val="20"/>
          <w:lang w:eastAsia="zh-CN"/>
        </w:rPr>
        <w:t xml:space="preserve"> </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87"/>
          <w:sz w:val="20"/>
          <w:szCs w:val="20"/>
          <w:lang w:eastAsia="zh-CN"/>
        </w:rPr>
        <w:t xml:space="preserve"> </w:t>
      </w:r>
      <w:r>
        <w:rPr>
          <w:rFonts w:ascii="宋体" w:hAnsi="宋体" w:eastAsia="宋体" w:cs="宋体"/>
          <w:color w:val="auto"/>
          <w:spacing w:val="4"/>
          <w:sz w:val="20"/>
          <w:szCs w:val="20"/>
          <w:lang w:eastAsia="zh-CN"/>
        </w:rPr>
        <w:t>月</w:t>
      </w:r>
      <w:r>
        <w:rPr>
          <w:rFonts w:ascii="宋体" w:hAnsi="宋体" w:eastAsia="宋体" w:cs="宋体"/>
          <w:color w:val="auto"/>
          <w:spacing w:val="4"/>
          <w:sz w:val="20"/>
          <w:szCs w:val="20"/>
          <w:u w:val="single"/>
          <w:lang w:eastAsia="zh-CN"/>
        </w:rPr>
        <w:t xml:space="preserve">   </w:t>
      </w:r>
      <w:r>
        <w:rPr>
          <w:rFonts w:ascii="宋体" w:hAnsi="宋体" w:eastAsia="宋体" w:cs="宋体"/>
          <w:color w:val="auto"/>
          <w:spacing w:val="-55"/>
          <w:sz w:val="20"/>
          <w:szCs w:val="20"/>
          <w:lang w:eastAsia="zh-CN"/>
        </w:rPr>
        <w:t xml:space="preserve"> </w:t>
      </w:r>
      <w:r>
        <w:rPr>
          <w:rFonts w:ascii="宋体" w:hAnsi="宋体" w:eastAsia="宋体" w:cs="宋体"/>
          <w:color w:val="auto"/>
          <w:spacing w:val="4"/>
          <w:sz w:val="20"/>
          <w:szCs w:val="20"/>
          <w:lang w:eastAsia="zh-CN"/>
        </w:rPr>
        <w:t>日参加</w:t>
      </w:r>
      <w:r>
        <w:rPr>
          <w:rFonts w:ascii="宋体" w:hAnsi="宋体" w:eastAsia="宋体" w:cs="宋体"/>
          <w:color w:val="auto"/>
          <w:spacing w:val="4"/>
          <w:sz w:val="20"/>
          <w:szCs w:val="20"/>
          <w:u w:val="single"/>
          <w:lang w:eastAsia="zh-CN"/>
        </w:rPr>
        <w:t xml:space="preserve">         （</w:t>
      </w:r>
      <w:r>
        <w:rPr>
          <w:rFonts w:ascii="宋体" w:hAnsi="宋体" w:eastAsia="宋体" w:cs="宋体"/>
          <w:color w:val="auto"/>
          <w:spacing w:val="-56"/>
          <w:sz w:val="20"/>
          <w:szCs w:val="20"/>
          <w:u w:val="single"/>
          <w:lang w:eastAsia="zh-CN"/>
        </w:rPr>
        <w:t xml:space="preserve"> </w:t>
      </w:r>
      <w:r>
        <w:rPr>
          <w:rFonts w:ascii="宋体" w:hAnsi="宋体" w:eastAsia="宋体" w:cs="宋体"/>
          <w:color w:val="auto"/>
          <w:spacing w:val="4"/>
          <w:sz w:val="20"/>
          <w:szCs w:val="20"/>
          <w:u w:val="single"/>
          <w:lang w:eastAsia="zh-CN"/>
        </w:rPr>
        <w:t>项</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u w:val="single"/>
          <w:lang w:eastAsia="zh-CN"/>
        </w:rPr>
        <w:t xml:space="preserve">目名称、项目编号）        </w:t>
      </w:r>
      <w:r>
        <w:rPr>
          <w:rFonts w:ascii="宋体" w:hAnsi="宋体" w:eastAsia="宋体" w:cs="宋体"/>
          <w:color w:val="auto"/>
          <w:spacing w:val="-75"/>
          <w:sz w:val="20"/>
          <w:szCs w:val="20"/>
          <w:lang w:eastAsia="zh-CN"/>
        </w:rPr>
        <w:t xml:space="preserve"> </w:t>
      </w:r>
      <w:r>
        <w:rPr>
          <w:rFonts w:ascii="宋体" w:hAnsi="宋体" w:eastAsia="宋体" w:cs="宋体"/>
          <w:color w:val="auto"/>
          <w:spacing w:val="9"/>
          <w:sz w:val="20"/>
          <w:szCs w:val="20"/>
          <w:lang w:eastAsia="zh-CN"/>
        </w:rPr>
        <w:t>的投标，已按投</w:t>
      </w:r>
      <w:r>
        <w:rPr>
          <w:rFonts w:ascii="宋体" w:hAnsi="宋体" w:eastAsia="宋体" w:cs="宋体"/>
          <w:color w:val="auto"/>
          <w:spacing w:val="8"/>
          <w:sz w:val="20"/>
          <w:szCs w:val="20"/>
          <w:lang w:eastAsia="zh-CN"/>
        </w:rPr>
        <w:t>标人须知前附表规定的形式和金额提交了投标保证金，我方无</w:t>
      </w:r>
      <w:r>
        <w:rPr>
          <w:rFonts w:ascii="宋体" w:hAnsi="宋体" w:eastAsia="宋体" w:cs="宋体"/>
          <w:color w:val="auto"/>
          <w:spacing w:val="10"/>
          <w:sz w:val="20"/>
          <w:szCs w:val="20"/>
          <w:lang w:eastAsia="zh-CN"/>
        </w:rPr>
        <w:t>条件地、不可撤销地保证：在招标文件规定的有效期内撤销或修改其投标文件</w:t>
      </w:r>
      <w:r>
        <w:rPr>
          <w:rFonts w:ascii="宋体" w:hAnsi="宋体" w:eastAsia="宋体" w:cs="宋体"/>
          <w:color w:val="auto"/>
          <w:spacing w:val="9"/>
          <w:sz w:val="20"/>
          <w:szCs w:val="20"/>
          <w:lang w:eastAsia="zh-CN"/>
        </w:rPr>
        <w:t>的，或者我方在收到成交通知</w:t>
      </w:r>
      <w:r>
        <w:rPr>
          <w:rFonts w:ascii="宋体" w:hAnsi="宋体" w:eastAsia="宋体" w:cs="宋体"/>
          <w:color w:val="auto"/>
          <w:spacing w:val="10"/>
          <w:sz w:val="20"/>
          <w:szCs w:val="20"/>
          <w:lang w:eastAsia="zh-CN"/>
        </w:rPr>
        <w:t>书后无正当理由拒签合同或拒交规定履约担保的，我方承担保证责任。在收到</w:t>
      </w:r>
      <w:r>
        <w:rPr>
          <w:rFonts w:ascii="宋体" w:hAnsi="宋体" w:eastAsia="宋体" w:cs="宋体"/>
          <w:color w:val="auto"/>
          <w:spacing w:val="9"/>
          <w:sz w:val="20"/>
          <w:szCs w:val="20"/>
          <w:lang w:eastAsia="zh-CN"/>
        </w:rPr>
        <w:t>你方书面通知后，我方无条件</w:t>
      </w:r>
      <w:r>
        <w:rPr>
          <w:rFonts w:ascii="宋体" w:hAnsi="宋体" w:eastAsia="宋体" w:cs="宋体"/>
          <w:color w:val="auto"/>
          <w:spacing w:val="7"/>
          <w:sz w:val="20"/>
          <w:szCs w:val="20"/>
          <w:lang w:eastAsia="zh-CN"/>
        </w:rPr>
        <w:t>同意你方没收我方已提交的投标保证金人民币（大写）</w:t>
      </w:r>
      <w:r>
        <w:rPr>
          <w:rFonts w:ascii="宋体" w:hAnsi="宋体" w:eastAsia="宋体" w:cs="宋体"/>
          <w:color w:val="auto"/>
          <w:spacing w:val="7"/>
          <w:sz w:val="20"/>
          <w:szCs w:val="20"/>
          <w:u w:val="single"/>
          <w:lang w:eastAsia="zh-CN"/>
        </w:rPr>
        <w:t xml:space="preserve">             </w:t>
      </w:r>
      <w:r>
        <w:rPr>
          <w:rFonts w:ascii="宋体" w:hAnsi="宋体" w:eastAsia="宋体" w:cs="宋体"/>
          <w:color w:val="auto"/>
          <w:spacing w:val="-89"/>
          <w:sz w:val="20"/>
          <w:szCs w:val="20"/>
          <w:lang w:eastAsia="zh-CN"/>
        </w:rPr>
        <w:t xml:space="preserve"> </w:t>
      </w:r>
      <w:r>
        <w:rPr>
          <w:rFonts w:ascii="宋体" w:hAnsi="宋体" w:eastAsia="宋体" w:cs="宋体"/>
          <w:color w:val="auto"/>
          <w:spacing w:val="7"/>
          <w:sz w:val="20"/>
          <w:szCs w:val="20"/>
          <w:lang w:eastAsia="zh-CN"/>
        </w:rPr>
        <w:t>元。</w:t>
      </w:r>
    </w:p>
    <w:p w14:paraId="1C9EC689">
      <w:pPr>
        <w:spacing w:before="193" w:line="227" w:lineRule="auto"/>
        <w:ind w:left="432"/>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本保证在投标有效期内保持有效。要求我方承担保证责任的通知应在投标有效期内送达我方。</w:t>
      </w:r>
    </w:p>
    <w:p w14:paraId="08AC2547">
      <w:pPr>
        <w:pStyle w:val="8"/>
        <w:spacing w:line="288" w:lineRule="auto"/>
        <w:rPr>
          <w:color w:val="auto"/>
          <w:lang w:eastAsia="zh-CN"/>
        </w:rPr>
      </w:pPr>
    </w:p>
    <w:p w14:paraId="67C9F5B3">
      <w:pPr>
        <w:pStyle w:val="8"/>
        <w:spacing w:line="289" w:lineRule="auto"/>
        <w:rPr>
          <w:color w:val="auto"/>
          <w:lang w:eastAsia="zh-CN"/>
        </w:rPr>
      </w:pPr>
    </w:p>
    <w:p w14:paraId="7516AF5E">
      <w:pPr>
        <w:pStyle w:val="8"/>
        <w:spacing w:line="289" w:lineRule="auto"/>
        <w:rPr>
          <w:color w:val="auto"/>
          <w:lang w:eastAsia="zh-CN"/>
        </w:rPr>
      </w:pPr>
    </w:p>
    <w:p w14:paraId="74D15CE7">
      <w:pPr>
        <w:spacing w:before="65" w:line="227" w:lineRule="auto"/>
        <w:ind w:left="2951"/>
        <w:rPr>
          <w:rFonts w:ascii="宋体" w:hAnsi="宋体" w:eastAsia="宋体" w:cs="宋体"/>
          <w:color w:val="auto"/>
          <w:sz w:val="20"/>
          <w:szCs w:val="20"/>
          <w:lang w:eastAsia="zh-CN"/>
        </w:rPr>
      </w:pP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（加盖公章</w:t>
      </w:r>
      <w:r>
        <w:rPr>
          <w:rFonts w:ascii="宋体" w:hAnsi="宋体" w:eastAsia="宋体" w:cs="宋体"/>
          <w:color w:val="auto"/>
          <w:spacing w:val="9"/>
          <w:sz w:val="20"/>
          <w:szCs w:val="20"/>
          <w:lang w:eastAsia="zh-CN"/>
        </w:rPr>
        <w:t>）：</w:t>
      </w:r>
      <w:r>
        <w:rPr>
          <w:rFonts w:ascii="宋体" w:hAnsi="宋体" w:eastAsia="宋体" w:cs="宋体"/>
          <w:color w:val="auto"/>
          <w:spacing w:val="14"/>
          <w:sz w:val="20"/>
          <w:szCs w:val="20"/>
          <w:lang w:eastAsia="zh-CN"/>
        </w:rPr>
        <w:t xml:space="preserve"> </w:t>
      </w:r>
      <w:r>
        <w:rPr>
          <w:rFonts w:ascii="宋体" w:hAnsi="宋体" w:eastAsia="宋体" w:cs="宋体"/>
          <w:color w:val="auto"/>
          <w:sz w:val="20"/>
          <w:szCs w:val="20"/>
          <w:u w:val="single"/>
          <w:lang w:eastAsia="zh-CN"/>
        </w:rPr>
        <w:t xml:space="preserve">                            </w:t>
      </w:r>
    </w:p>
    <w:p w14:paraId="403B9F54">
      <w:pPr>
        <w:pStyle w:val="8"/>
        <w:spacing w:line="444" w:lineRule="auto"/>
        <w:rPr>
          <w:color w:val="auto"/>
          <w:lang w:eastAsia="zh-CN"/>
        </w:rPr>
      </w:pPr>
    </w:p>
    <w:p w14:paraId="03D06348">
      <w:pPr>
        <w:spacing w:before="66" w:line="227" w:lineRule="auto"/>
        <w:ind w:left="2951"/>
        <w:rPr>
          <w:rFonts w:ascii="宋体" w:hAnsi="宋体" w:eastAsia="宋体" w:cs="宋体"/>
          <w:color w:val="auto"/>
          <w:sz w:val="20"/>
          <w:szCs w:val="20"/>
          <w:lang w:eastAsia="zh-CN"/>
        </w:rPr>
      </w:pP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代表签字：</w:t>
      </w:r>
      <w:r>
        <w:rPr>
          <w:rFonts w:ascii="宋体" w:hAnsi="宋体" w:eastAsia="宋体" w:cs="宋体"/>
          <w:color w:val="auto"/>
          <w:sz w:val="20"/>
          <w:szCs w:val="20"/>
          <w:u w:val="single"/>
          <w:lang w:eastAsia="zh-CN"/>
        </w:rPr>
        <w:t xml:space="preserve">                                </w:t>
      </w:r>
    </w:p>
    <w:p w14:paraId="66D88AB5">
      <w:pPr>
        <w:pStyle w:val="8"/>
        <w:spacing w:line="446" w:lineRule="auto"/>
        <w:rPr>
          <w:color w:val="auto"/>
          <w:lang w:eastAsia="zh-CN"/>
        </w:rPr>
      </w:pPr>
    </w:p>
    <w:p w14:paraId="48BCCCA5">
      <w:pPr>
        <w:spacing w:before="66" w:line="228" w:lineRule="auto"/>
        <w:ind w:left="2967"/>
        <w:rPr>
          <w:rFonts w:ascii="宋体" w:hAnsi="宋体" w:eastAsia="宋体" w:cs="宋体"/>
          <w:color w:val="auto"/>
          <w:sz w:val="20"/>
          <w:szCs w:val="20"/>
          <w:lang w:eastAsia="zh-CN"/>
        </w:rPr>
      </w:pPr>
      <w:r>
        <w:rPr>
          <w:rFonts w:ascii="宋体" w:hAnsi="宋体" w:eastAsia="宋体" w:cs="宋体"/>
          <w:color w:val="auto"/>
          <w:spacing w:val="-1"/>
          <w:sz w:val="20"/>
          <w:szCs w:val="20"/>
          <w:lang w:eastAsia="zh-CN"/>
        </w:rPr>
        <w:t>邮</w:t>
      </w:r>
      <w:r>
        <w:rPr>
          <w:rFonts w:ascii="宋体" w:hAnsi="宋体" w:eastAsia="宋体" w:cs="宋体"/>
          <w:color w:val="auto"/>
          <w:spacing w:val="18"/>
          <w:sz w:val="20"/>
          <w:szCs w:val="20"/>
          <w:lang w:eastAsia="zh-CN"/>
        </w:rPr>
        <w:t xml:space="preserve"> </w:t>
      </w:r>
      <w:r>
        <w:rPr>
          <w:rFonts w:ascii="宋体" w:hAnsi="宋体" w:eastAsia="宋体" w:cs="宋体"/>
          <w:color w:val="auto"/>
          <w:spacing w:val="-1"/>
          <w:sz w:val="20"/>
          <w:szCs w:val="20"/>
          <w:lang w:eastAsia="zh-CN"/>
        </w:rPr>
        <w:t>编：</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pacing w:val="-67"/>
          <w:sz w:val="20"/>
          <w:szCs w:val="20"/>
          <w:lang w:eastAsia="zh-CN"/>
        </w:rPr>
        <w:t xml:space="preserve"> </w:t>
      </w:r>
      <w:r>
        <w:rPr>
          <w:rFonts w:ascii="宋体" w:hAnsi="宋体" w:eastAsia="宋体" w:cs="宋体"/>
          <w:color w:val="auto"/>
          <w:spacing w:val="-1"/>
          <w:sz w:val="20"/>
          <w:szCs w:val="20"/>
          <w:lang w:eastAsia="zh-CN"/>
        </w:rPr>
        <w:t>电 话：</w:t>
      </w:r>
      <w:r>
        <w:rPr>
          <w:rFonts w:ascii="宋体" w:hAnsi="宋体" w:eastAsia="宋体" w:cs="宋体"/>
          <w:color w:val="auto"/>
          <w:spacing w:val="-1"/>
          <w:sz w:val="20"/>
          <w:szCs w:val="20"/>
          <w:u w:val="single"/>
          <w:lang w:eastAsia="zh-CN"/>
        </w:rPr>
        <w:t xml:space="preserve">            </w:t>
      </w:r>
      <w:r>
        <w:rPr>
          <w:rFonts w:ascii="宋体" w:hAnsi="宋体" w:eastAsia="宋体" w:cs="宋体"/>
          <w:color w:val="auto"/>
          <w:spacing w:val="-2"/>
          <w:sz w:val="20"/>
          <w:szCs w:val="20"/>
          <w:u w:val="single"/>
          <w:lang w:eastAsia="zh-CN"/>
        </w:rPr>
        <w:t xml:space="preserve">    </w:t>
      </w:r>
    </w:p>
    <w:p w14:paraId="0324A5CE">
      <w:pPr>
        <w:pStyle w:val="8"/>
        <w:spacing w:line="446" w:lineRule="auto"/>
        <w:rPr>
          <w:color w:val="auto"/>
          <w:lang w:eastAsia="zh-CN"/>
        </w:rPr>
      </w:pPr>
    </w:p>
    <w:p w14:paraId="19E8926B">
      <w:pPr>
        <w:spacing w:before="65" w:line="227" w:lineRule="auto"/>
        <w:ind w:left="2950"/>
        <w:rPr>
          <w:rFonts w:ascii="宋体" w:hAnsi="宋体" w:eastAsia="宋体" w:cs="宋体"/>
          <w:color w:val="auto"/>
          <w:sz w:val="20"/>
          <w:szCs w:val="20"/>
        </w:rPr>
      </w:pPr>
      <w:r>
        <w:rPr>
          <w:rFonts w:ascii="宋体" w:hAnsi="宋体" w:eastAsia="宋体" w:cs="宋体"/>
          <w:color w:val="auto"/>
          <w:spacing w:val="-1"/>
          <w:sz w:val="20"/>
          <w:szCs w:val="20"/>
        </w:rPr>
        <w:t>传</w:t>
      </w:r>
      <w:r>
        <w:rPr>
          <w:rFonts w:ascii="宋体" w:hAnsi="宋体" w:eastAsia="宋体" w:cs="宋体"/>
          <w:color w:val="auto"/>
          <w:spacing w:val="19"/>
          <w:sz w:val="20"/>
          <w:szCs w:val="20"/>
        </w:rPr>
        <w:t xml:space="preserve"> </w:t>
      </w:r>
      <w:r>
        <w:rPr>
          <w:rFonts w:ascii="宋体" w:hAnsi="宋体" w:eastAsia="宋体" w:cs="宋体"/>
          <w:color w:val="auto"/>
          <w:spacing w:val="-1"/>
          <w:sz w:val="20"/>
          <w:szCs w:val="20"/>
        </w:rPr>
        <w:t>真：</w:t>
      </w:r>
      <w:r>
        <w:rPr>
          <w:rFonts w:ascii="宋体" w:hAnsi="宋体" w:eastAsia="宋体" w:cs="宋体"/>
          <w:color w:val="auto"/>
          <w:spacing w:val="-1"/>
          <w:sz w:val="20"/>
          <w:szCs w:val="20"/>
          <w:u w:val="single"/>
        </w:rPr>
        <w:t xml:space="preserve">                  </w:t>
      </w:r>
      <w:r>
        <w:rPr>
          <w:rFonts w:ascii="宋体" w:hAnsi="宋体" w:eastAsia="宋体" w:cs="宋体"/>
          <w:color w:val="auto"/>
          <w:spacing w:val="-55"/>
          <w:sz w:val="20"/>
          <w:szCs w:val="20"/>
        </w:rPr>
        <w:t xml:space="preserve"> </w:t>
      </w:r>
      <w:r>
        <w:rPr>
          <w:rFonts w:ascii="宋体" w:hAnsi="宋体" w:eastAsia="宋体" w:cs="宋体"/>
          <w:color w:val="auto"/>
          <w:spacing w:val="-1"/>
          <w:sz w:val="20"/>
          <w:szCs w:val="20"/>
        </w:rPr>
        <w:t>日 期：</w:t>
      </w:r>
      <w:r>
        <w:rPr>
          <w:rFonts w:ascii="宋体" w:hAnsi="宋体" w:eastAsia="宋体" w:cs="宋体"/>
          <w:color w:val="auto"/>
          <w:spacing w:val="-1"/>
          <w:sz w:val="20"/>
          <w:szCs w:val="20"/>
          <w:u w:val="single"/>
        </w:rPr>
        <w:t xml:space="preserve">                </w:t>
      </w:r>
    </w:p>
    <w:p w14:paraId="073D5771">
      <w:pPr>
        <w:spacing w:before="155"/>
        <w:rPr>
          <w:color w:val="auto"/>
        </w:rPr>
      </w:pPr>
    </w:p>
    <w:tbl>
      <w:tblPr>
        <w:tblStyle w:val="26"/>
        <w:tblW w:w="943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434"/>
      </w:tblGrid>
      <w:tr w14:paraId="6989EDD1">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4480" w:hRule="atLeast"/>
        </w:trPr>
        <w:tc>
          <w:tcPr>
            <w:tcW w:w="9434" w:type="dxa"/>
          </w:tcPr>
          <w:p w14:paraId="799E0B2F">
            <w:pPr>
              <w:spacing w:line="256" w:lineRule="auto"/>
              <w:rPr>
                <w:color w:val="auto"/>
                <w:lang w:eastAsia="zh-CN"/>
              </w:rPr>
            </w:pPr>
          </w:p>
          <w:p w14:paraId="6A8879DC">
            <w:pPr>
              <w:spacing w:line="256" w:lineRule="auto"/>
              <w:rPr>
                <w:color w:val="auto"/>
                <w:lang w:eastAsia="zh-CN"/>
              </w:rPr>
            </w:pPr>
          </w:p>
          <w:p w14:paraId="30CCF995">
            <w:pPr>
              <w:spacing w:line="256" w:lineRule="auto"/>
              <w:rPr>
                <w:color w:val="auto"/>
                <w:lang w:eastAsia="zh-CN"/>
              </w:rPr>
            </w:pPr>
          </w:p>
          <w:p w14:paraId="512BC71E">
            <w:pPr>
              <w:spacing w:line="256" w:lineRule="auto"/>
              <w:rPr>
                <w:color w:val="auto"/>
                <w:lang w:eastAsia="zh-CN"/>
              </w:rPr>
            </w:pPr>
          </w:p>
          <w:p w14:paraId="2B906E4C">
            <w:pPr>
              <w:spacing w:line="257" w:lineRule="auto"/>
              <w:rPr>
                <w:color w:val="auto"/>
                <w:lang w:eastAsia="zh-CN"/>
              </w:rPr>
            </w:pPr>
          </w:p>
          <w:p w14:paraId="7494B1A3">
            <w:pPr>
              <w:spacing w:line="257" w:lineRule="auto"/>
              <w:rPr>
                <w:color w:val="auto"/>
                <w:lang w:eastAsia="zh-CN"/>
              </w:rPr>
            </w:pPr>
          </w:p>
          <w:p w14:paraId="32110472">
            <w:pPr>
              <w:spacing w:line="257" w:lineRule="auto"/>
              <w:rPr>
                <w:color w:val="auto"/>
                <w:lang w:eastAsia="zh-CN"/>
              </w:rPr>
            </w:pPr>
          </w:p>
          <w:p w14:paraId="30135F19">
            <w:pPr>
              <w:spacing w:line="257" w:lineRule="auto"/>
              <w:rPr>
                <w:color w:val="auto"/>
                <w:lang w:eastAsia="zh-CN"/>
              </w:rPr>
            </w:pPr>
          </w:p>
          <w:p w14:paraId="5F0A3C9E">
            <w:pPr>
              <w:spacing w:before="78" w:line="221" w:lineRule="auto"/>
              <w:ind w:left="2914"/>
              <w:rPr>
                <w:rFonts w:ascii="黑体" w:hAnsi="黑体" w:eastAsia="黑体" w:cs="黑体"/>
                <w:color w:val="auto"/>
                <w:sz w:val="24"/>
                <w:szCs w:val="24"/>
                <w:lang w:eastAsia="zh-CN"/>
              </w:rPr>
            </w:pPr>
            <w:r>
              <w:rPr>
                <w:rFonts w:ascii="黑体" w:hAnsi="黑体" w:eastAsia="黑体" w:cs="黑体"/>
                <w:color w:val="auto"/>
                <w:sz w:val="24"/>
                <w:szCs w:val="24"/>
                <w:lang w:eastAsia="zh-CN"/>
                <w14:textOutline w14:w="4356" w14:cap="sq" w14:cmpd="sng" w14:algn="ctr">
                  <w14:solidFill>
                    <w14:srgbClr w14:val="000000"/>
                  </w14:solidFill>
                  <w14:prstDash w14:val="solid"/>
                  <w14:bevel/>
                </w14:textOutline>
              </w:rPr>
              <w:t>投标保证金凭证（复印件）粘贴处</w:t>
            </w:r>
          </w:p>
        </w:tc>
      </w:tr>
    </w:tbl>
    <w:p w14:paraId="63060766">
      <w:pPr>
        <w:spacing w:before="91" w:line="222" w:lineRule="auto"/>
        <w:ind w:left="2767"/>
        <w:rPr>
          <w:rFonts w:ascii="黑体" w:hAnsi="黑体" w:eastAsia="黑体" w:cs="黑体"/>
          <w:color w:val="auto"/>
          <w:sz w:val="28"/>
          <w:szCs w:val="28"/>
          <w:lang w:eastAsia="zh-CN"/>
        </w:rPr>
      </w:pPr>
      <w:r>
        <w:rPr>
          <w:rFonts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（七）节能、环保产品证明（如有）</w:t>
      </w:r>
    </w:p>
    <w:p w14:paraId="513A4243">
      <w:pPr>
        <w:pStyle w:val="8"/>
        <w:spacing w:line="459" w:lineRule="auto"/>
        <w:rPr>
          <w:color w:val="auto"/>
          <w:lang w:eastAsia="zh-CN"/>
        </w:rPr>
      </w:pPr>
    </w:p>
    <w:p w14:paraId="22C6181C">
      <w:pPr>
        <w:spacing w:before="65" w:line="227" w:lineRule="auto"/>
        <w:ind w:left="6"/>
        <w:rPr>
          <w:rFonts w:ascii="宋体" w:hAnsi="宋体" w:eastAsia="宋体" w:cs="宋体"/>
          <w:color w:val="auto"/>
          <w:sz w:val="20"/>
          <w:szCs w:val="20"/>
          <w:lang w:eastAsia="zh-CN"/>
        </w:rPr>
      </w:pPr>
      <w:r>
        <w:rPr>
          <w:rFonts w:ascii="宋体" w:hAnsi="宋体" w:eastAsia="宋体" w:cs="宋体"/>
          <w:color w:val="auto"/>
          <w:spacing w:val="5"/>
          <w:sz w:val="20"/>
          <w:szCs w:val="20"/>
          <w:lang w:eastAsia="zh-CN"/>
        </w:rPr>
        <w:t>致：</w:t>
      </w:r>
      <w:r>
        <w:rPr>
          <w:rFonts w:ascii="宋体" w:hAnsi="宋体" w:eastAsia="宋体" w:cs="宋体"/>
          <w:color w:val="auto"/>
          <w:spacing w:val="7"/>
          <w:sz w:val="20"/>
          <w:szCs w:val="20"/>
          <w:u w:val="single"/>
          <w:lang w:eastAsia="zh-CN"/>
        </w:rPr>
        <w:t xml:space="preserve">         </w:t>
      </w:r>
      <w:r>
        <w:rPr>
          <w:rFonts w:ascii="宋体" w:hAnsi="宋体" w:eastAsia="宋体" w:cs="宋体"/>
          <w:color w:val="auto"/>
          <w:spacing w:val="5"/>
          <w:sz w:val="20"/>
          <w:szCs w:val="20"/>
          <w:u w:val="single"/>
          <w:lang w:eastAsia="zh-CN"/>
        </w:rPr>
        <w:t xml:space="preserve">采购人名称          </w:t>
      </w:r>
      <w:r>
        <w:rPr>
          <w:rFonts w:ascii="宋体" w:hAnsi="宋体" w:eastAsia="宋体" w:cs="宋体"/>
          <w:color w:val="auto"/>
          <w:spacing w:val="5"/>
          <w:sz w:val="20"/>
          <w:szCs w:val="20"/>
          <w:lang w:eastAsia="zh-CN"/>
        </w:rPr>
        <w:t>：</w:t>
      </w:r>
    </w:p>
    <w:p w14:paraId="11472AFA">
      <w:pPr>
        <w:pStyle w:val="8"/>
        <w:spacing w:line="242" w:lineRule="auto"/>
        <w:rPr>
          <w:color w:val="auto"/>
          <w:lang w:eastAsia="zh-CN"/>
        </w:rPr>
      </w:pPr>
    </w:p>
    <w:p w14:paraId="54F08435">
      <w:pPr>
        <w:pStyle w:val="8"/>
        <w:spacing w:line="243" w:lineRule="auto"/>
        <w:rPr>
          <w:color w:val="auto"/>
          <w:lang w:eastAsia="zh-CN"/>
        </w:rPr>
      </w:pPr>
    </w:p>
    <w:p w14:paraId="0A5CBA24">
      <w:pPr>
        <w:spacing w:before="65" w:line="370" w:lineRule="auto"/>
        <w:jc w:val="right"/>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现附上</w:t>
      </w:r>
      <w:r>
        <w:rPr>
          <w:rFonts w:ascii="宋体" w:hAnsi="宋体" w:eastAsia="宋体" w:cs="宋体"/>
          <w:color w:val="auto"/>
          <w:spacing w:val="9"/>
          <w:sz w:val="20"/>
          <w:szCs w:val="20"/>
          <w:u w:val="single"/>
          <w:lang w:eastAsia="zh-CN"/>
        </w:rPr>
        <w:t xml:space="preserve">         （节能、环保产品产品目录）         </w:t>
      </w:r>
      <w:r>
        <w:rPr>
          <w:rFonts w:ascii="宋体" w:hAnsi="宋体" w:eastAsia="宋体" w:cs="宋体"/>
          <w:color w:val="auto"/>
          <w:spacing w:val="-91"/>
          <w:sz w:val="20"/>
          <w:szCs w:val="20"/>
          <w:lang w:eastAsia="zh-CN"/>
        </w:rPr>
        <w:t xml:space="preserve"> </w:t>
      </w:r>
      <w:r>
        <w:rPr>
          <w:rFonts w:ascii="宋体" w:hAnsi="宋体" w:eastAsia="宋体" w:cs="宋体"/>
          <w:color w:val="auto"/>
          <w:spacing w:val="9"/>
          <w:sz w:val="20"/>
          <w:szCs w:val="20"/>
          <w:lang w:eastAsia="zh-CN"/>
        </w:rPr>
        <w:t>证明文件（可在</w:t>
      </w:r>
      <w:r>
        <w:rPr>
          <w:rFonts w:ascii="宋体" w:hAnsi="宋体" w:eastAsia="宋体" w:cs="宋体"/>
          <w:color w:val="auto"/>
          <w:spacing w:val="32"/>
          <w:sz w:val="20"/>
          <w:szCs w:val="20"/>
          <w:u w:val="single"/>
          <w:lang w:eastAsia="zh-CN"/>
        </w:rPr>
        <w:t xml:space="preserve"> </w:t>
      </w:r>
      <w:r>
        <w:rPr>
          <w:rFonts w:ascii="宋体" w:hAnsi="宋体" w:eastAsia="宋体" w:cs="宋体"/>
          <w:color w:val="auto"/>
          <w:spacing w:val="8"/>
          <w:sz w:val="20"/>
          <w:szCs w:val="20"/>
          <w:u w:val="single"/>
          <w:lang w:eastAsia="zh-CN"/>
        </w:rPr>
        <w:t>网站名称</w:t>
      </w:r>
      <w:r>
        <w:rPr>
          <w:rFonts w:ascii="宋体" w:hAnsi="宋体" w:eastAsia="宋体" w:cs="宋体"/>
          <w:color w:val="auto"/>
          <w:spacing w:val="35"/>
          <w:sz w:val="20"/>
          <w:szCs w:val="20"/>
          <w:u w:val="single"/>
          <w:lang w:eastAsia="zh-CN"/>
        </w:rPr>
        <w:t xml:space="preserve"> </w:t>
      </w:r>
      <w:r>
        <w:rPr>
          <w:rFonts w:ascii="宋体" w:hAnsi="宋体" w:eastAsia="宋体" w:cs="宋体"/>
          <w:color w:val="auto"/>
          <w:spacing w:val="8"/>
          <w:sz w:val="20"/>
          <w:szCs w:val="20"/>
          <w:lang w:eastAsia="zh-CN"/>
        </w:rPr>
        <w:t>网站进行查询）复</w:t>
      </w:r>
    </w:p>
    <w:p w14:paraId="5DD054EC">
      <w:pPr>
        <w:spacing w:line="227" w:lineRule="auto"/>
        <w:ind w:left="23"/>
        <w:rPr>
          <w:rFonts w:ascii="宋体" w:hAnsi="宋体" w:eastAsia="宋体" w:cs="宋体"/>
          <w:color w:val="auto"/>
          <w:sz w:val="20"/>
          <w:szCs w:val="20"/>
          <w:lang w:eastAsia="zh-CN"/>
        </w:rPr>
      </w:pPr>
      <w:r>
        <w:rPr>
          <w:rFonts w:ascii="宋体" w:hAnsi="宋体" w:eastAsia="宋体" w:cs="宋体"/>
          <w:color w:val="auto"/>
          <w:spacing w:val="6"/>
          <w:sz w:val="20"/>
          <w:szCs w:val="20"/>
          <w:lang w:eastAsia="zh-CN"/>
        </w:rPr>
        <w:t>印件，该证件真实有效。</w:t>
      </w:r>
    </w:p>
    <w:p w14:paraId="487A0D96">
      <w:pPr>
        <w:pStyle w:val="8"/>
        <w:spacing w:line="279" w:lineRule="auto"/>
        <w:rPr>
          <w:color w:val="auto"/>
          <w:lang w:eastAsia="zh-CN"/>
        </w:rPr>
      </w:pPr>
    </w:p>
    <w:p w14:paraId="14AC4C4D">
      <w:pPr>
        <w:pStyle w:val="8"/>
        <w:spacing w:line="279" w:lineRule="auto"/>
        <w:rPr>
          <w:color w:val="auto"/>
          <w:lang w:eastAsia="zh-CN"/>
        </w:rPr>
      </w:pPr>
    </w:p>
    <w:p w14:paraId="02544ACA">
      <w:pPr>
        <w:pStyle w:val="8"/>
        <w:spacing w:line="279" w:lineRule="auto"/>
        <w:rPr>
          <w:color w:val="auto"/>
          <w:lang w:eastAsia="zh-CN"/>
        </w:rPr>
      </w:pPr>
    </w:p>
    <w:p w14:paraId="1E2617CD">
      <w:pPr>
        <w:pStyle w:val="8"/>
        <w:spacing w:line="279" w:lineRule="auto"/>
        <w:rPr>
          <w:color w:val="auto"/>
          <w:lang w:eastAsia="zh-CN"/>
        </w:rPr>
      </w:pPr>
    </w:p>
    <w:p w14:paraId="3394CCB3">
      <w:pPr>
        <w:pStyle w:val="8"/>
        <w:spacing w:line="280" w:lineRule="auto"/>
        <w:rPr>
          <w:color w:val="auto"/>
          <w:lang w:eastAsia="zh-CN"/>
        </w:rPr>
      </w:pPr>
    </w:p>
    <w:p w14:paraId="17FCF9B2">
      <w:pPr>
        <w:pStyle w:val="8"/>
        <w:spacing w:line="280" w:lineRule="auto"/>
        <w:rPr>
          <w:color w:val="auto"/>
          <w:lang w:eastAsia="zh-CN"/>
        </w:rPr>
      </w:pPr>
    </w:p>
    <w:p w14:paraId="3B05631B">
      <w:pPr>
        <w:spacing w:before="65" w:line="369" w:lineRule="auto"/>
        <w:ind w:left="9" w:right="66" w:firstLine="420"/>
        <w:jc w:val="both"/>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pPr>
      <w:r>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注：节能、环保产品须提供</w:t>
      </w:r>
      <w:r>
        <w:rPr>
          <w:rFonts w:ascii="Tahoma" w:hAnsi="Tahoma" w:eastAsia="Tahoma" w:cs="Tahoma"/>
          <w:b/>
          <w:bCs/>
          <w:color w:val="auto"/>
          <w:spacing w:val="10"/>
          <w:sz w:val="20"/>
          <w:szCs w:val="20"/>
          <w:lang w:eastAsia="zh-CN"/>
        </w:rPr>
        <w:t>“</w:t>
      </w:r>
      <w:r>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财政部、国家发展改革委公布的节能、环保产品清单目录</w:t>
      </w:r>
      <w:r>
        <w:rPr>
          <w:rFonts w:ascii="Tahoma" w:hAnsi="Tahoma" w:eastAsia="Tahoma" w:cs="Tahoma"/>
          <w:b/>
          <w:bCs/>
          <w:color w:val="auto"/>
          <w:spacing w:val="10"/>
          <w:sz w:val="20"/>
          <w:szCs w:val="20"/>
          <w:lang w:eastAsia="zh-CN"/>
        </w:rPr>
        <w:t>”</w:t>
      </w:r>
      <w:r>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并在有效期内的 复印件或影印件，并能在投标人提供的网站上查询到相关内容（未提供查询网站，或在其提供的查询网站上查询不到相关内容的，将不予认可），由投标人加盖公章并注明“ 与原件一致”。</w:t>
      </w:r>
    </w:p>
    <w:p w14:paraId="58DB3F2E">
      <w:pPr>
        <w:pStyle w:val="8"/>
        <w:spacing w:line="249" w:lineRule="auto"/>
        <w:rPr>
          <w:color w:val="auto"/>
          <w:lang w:eastAsia="zh-CN"/>
        </w:rPr>
      </w:pPr>
    </w:p>
    <w:p w14:paraId="0B145C42">
      <w:pPr>
        <w:pStyle w:val="8"/>
        <w:spacing w:line="250" w:lineRule="auto"/>
        <w:rPr>
          <w:color w:val="auto"/>
          <w:lang w:eastAsia="zh-CN"/>
        </w:rPr>
      </w:pPr>
    </w:p>
    <w:p w14:paraId="0D76A532">
      <w:pPr>
        <w:pStyle w:val="8"/>
        <w:spacing w:line="250" w:lineRule="auto"/>
        <w:rPr>
          <w:color w:val="auto"/>
          <w:lang w:eastAsia="zh-CN"/>
        </w:rPr>
      </w:pPr>
    </w:p>
    <w:p w14:paraId="13748CC6">
      <w:pPr>
        <w:pStyle w:val="8"/>
        <w:spacing w:line="250" w:lineRule="auto"/>
        <w:rPr>
          <w:color w:val="auto"/>
          <w:lang w:eastAsia="zh-CN"/>
        </w:rPr>
      </w:pPr>
    </w:p>
    <w:p w14:paraId="56D4EC0D">
      <w:pPr>
        <w:pStyle w:val="8"/>
        <w:spacing w:line="250" w:lineRule="auto"/>
        <w:rPr>
          <w:color w:val="auto"/>
          <w:lang w:eastAsia="zh-CN"/>
        </w:rPr>
      </w:pPr>
    </w:p>
    <w:p w14:paraId="685BD7AC">
      <w:pPr>
        <w:pStyle w:val="8"/>
        <w:spacing w:line="250" w:lineRule="auto"/>
        <w:rPr>
          <w:color w:val="auto"/>
          <w:lang w:eastAsia="zh-CN"/>
        </w:rPr>
      </w:pPr>
    </w:p>
    <w:p w14:paraId="61D82146">
      <w:pPr>
        <w:pStyle w:val="8"/>
        <w:spacing w:line="250" w:lineRule="auto"/>
        <w:rPr>
          <w:color w:val="auto"/>
          <w:lang w:eastAsia="zh-CN"/>
        </w:rPr>
      </w:pPr>
    </w:p>
    <w:p w14:paraId="266BB9FA">
      <w:pPr>
        <w:pStyle w:val="8"/>
        <w:spacing w:line="250" w:lineRule="auto"/>
        <w:rPr>
          <w:color w:val="auto"/>
          <w:lang w:eastAsia="zh-CN"/>
        </w:rPr>
      </w:pPr>
    </w:p>
    <w:p w14:paraId="7797EB16">
      <w:pPr>
        <w:pStyle w:val="8"/>
        <w:spacing w:line="250" w:lineRule="auto"/>
        <w:rPr>
          <w:color w:val="auto"/>
          <w:lang w:eastAsia="zh-CN"/>
        </w:rPr>
      </w:pPr>
    </w:p>
    <w:p w14:paraId="143F7D87">
      <w:pPr>
        <w:spacing w:before="66" w:line="227" w:lineRule="auto"/>
        <w:ind w:left="4315"/>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投标人（加盖公章</w:t>
      </w:r>
      <w:r>
        <w:rPr>
          <w:rFonts w:ascii="宋体" w:hAnsi="宋体" w:eastAsia="宋体" w:cs="宋体"/>
          <w:color w:val="auto"/>
          <w:spacing w:val="11"/>
          <w:sz w:val="20"/>
          <w:szCs w:val="20"/>
          <w:lang w:eastAsia="zh-CN"/>
        </w:rPr>
        <w:t>）：</w:t>
      </w:r>
      <w:r>
        <w:rPr>
          <w:rFonts w:ascii="宋体" w:hAnsi="宋体" w:eastAsia="宋体" w:cs="宋体"/>
          <w:color w:val="auto"/>
          <w:sz w:val="20"/>
          <w:szCs w:val="20"/>
          <w:u w:val="single"/>
          <w:lang w:eastAsia="zh-CN"/>
        </w:rPr>
        <w:t xml:space="preserve">                           </w:t>
      </w:r>
    </w:p>
    <w:p w14:paraId="61E74688">
      <w:pPr>
        <w:pStyle w:val="8"/>
        <w:spacing w:line="406" w:lineRule="auto"/>
        <w:rPr>
          <w:color w:val="auto"/>
          <w:lang w:eastAsia="zh-CN"/>
        </w:rPr>
      </w:pPr>
    </w:p>
    <w:p w14:paraId="3CA9CA1F">
      <w:pPr>
        <w:spacing w:before="65" w:line="228" w:lineRule="auto"/>
        <w:ind w:left="4315"/>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投标人代表（签字</w:t>
      </w:r>
      <w:r>
        <w:rPr>
          <w:rFonts w:ascii="宋体" w:hAnsi="宋体" w:eastAsia="宋体" w:cs="宋体"/>
          <w:color w:val="auto"/>
          <w:spacing w:val="11"/>
          <w:sz w:val="20"/>
          <w:szCs w:val="20"/>
          <w:lang w:eastAsia="zh-CN"/>
        </w:rPr>
        <w:t>）：</w:t>
      </w:r>
      <w:r>
        <w:rPr>
          <w:rFonts w:ascii="宋体" w:hAnsi="宋体" w:eastAsia="宋体" w:cs="宋体"/>
          <w:color w:val="auto"/>
          <w:sz w:val="20"/>
          <w:szCs w:val="20"/>
          <w:u w:val="single"/>
          <w:lang w:eastAsia="zh-CN"/>
        </w:rPr>
        <w:t xml:space="preserve">                           </w:t>
      </w:r>
    </w:p>
    <w:p w14:paraId="45187529">
      <w:pPr>
        <w:pStyle w:val="8"/>
        <w:spacing w:line="422" w:lineRule="auto"/>
        <w:rPr>
          <w:color w:val="auto"/>
          <w:lang w:eastAsia="zh-CN"/>
        </w:rPr>
      </w:pPr>
    </w:p>
    <w:p w14:paraId="230BE548">
      <w:pPr>
        <w:spacing w:before="65" w:line="228" w:lineRule="auto"/>
        <w:ind w:left="4348"/>
        <w:rPr>
          <w:rFonts w:ascii="宋体" w:hAnsi="宋体" w:eastAsia="宋体" w:cs="宋体"/>
          <w:color w:val="auto"/>
          <w:sz w:val="20"/>
          <w:szCs w:val="20"/>
          <w:lang w:eastAsia="zh-CN"/>
        </w:rPr>
      </w:pPr>
      <w:r>
        <w:rPr>
          <w:rFonts w:ascii="宋体" w:hAnsi="宋体" w:eastAsia="宋体" w:cs="宋体"/>
          <w:color w:val="auto"/>
          <w:spacing w:val="-3"/>
          <w:sz w:val="20"/>
          <w:szCs w:val="20"/>
          <w:lang w:eastAsia="zh-CN"/>
        </w:rPr>
        <w:t>日              期：</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85"/>
          <w:sz w:val="20"/>
          <w:szCs w:val="20"/>
          <w:lang w:eastAsia="zh-CN"/>
        </w:rPr>
        <w:t xml:space="preserve"> </w:t>
      </w:r>
      <w:r>
        <w:rPr>
          <w:rFonts w:ascii="宋体" w:hAnsi="宋体" w:eastAsia="宋体" w:cs="宋体"/>
          <w:color w:val="auto"/>
          <w:spacing w:val="-3"/>
          <w:sz w:val="20"/>
          <w:szCs w:val="20"/>
          <w:lang w:eastAsia="zh-CN"/>
        </w:rPr>
        <w:t>年</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86"/>
          <w:sz w:val="20"/>
          <w:szCs w:val="20"/>
          <w:lang w:eastAsia="zh-CN"/>
        </w:rPr>
        <w:t xml:space="preserve"> </w:t>
      </w:r>
      <w:r>
        <w:rPr>
          <w:rFonts w:ascii="宋体" w:hAnsi="宋体" w:eastAsia="宋体" w:cs="宋体"/>
          <w:color w:val="auto"/>
          <w:spacing w:val="-3"/>
          <w:sz w:val="20"/>
          <w:szCs w:val="20"/>
          <w:lang w:eastAsia="zh-CN"/>
        </w:rPr>
        <w:t>月</w:t>
      </w:r>
      <w:r>
        <w:rPr>
          <w:rFonts w:ascii="宋体" w:hAnsi="宋体" w:eastAsia="宋体" w:cs="宋体"/>
          <w:color w:val="auto"/>
          <w:spacing w:val="4"/>
          <w:sz w:val="20"/>
          <w:szCs w:val="20"/>
          <w:u w:val="single"/>
          <w:lang w:eastAsia="zh-CN"/>
        </w:rPr>
        <w:t xml:space="preserve">    </w:t>
      </w:r>
      <w:r>
        <w:rPr>
          <w:rFonts w:ascii="宋体" w:hAnsi="宋体" w:eastAsia="宋体" w:cs="宋体"/>
          <w:color w:val="auto"/>
          <w:spacing w:val="-52"/>
          <w:sz w:val="20"/>
          <w:szCs w:val="20"/>
          <w:lang w:eastAsia="zh-CN"/>
        </w:rPr>
        <w:t xml:space="preserve"> </w:t>
      </w:r>
      <w:r>
        <w:rPr>
          <w:rFonts w:ascii="宋体" w:hAnsi="宋体" w:eastAsia="宋体" w:cs="宋体"/>
          <w:color w:val="auto"/>
          <w:spacing w:val="-3"/>
          <w:sz w:val="20"/>
          <w:szCs w:val="20"/>
          <w:lang w:eastAsia="zh-CN"/>
        </w:rPr>
        <w:t>日</w:t>
      </w:r>
    </w:p>
    <w:p w14:paraId="0AFBAB55">
      <w:pPr>
        <w:spacing w:line="228" w:lineRule="auto"/>
        <w:rPr>
          <w:rFonts w:ascii="宋体" w:hAnsi="宋体" w:eastAsia="宋体" w:cs="宋体"/>
          <w:color w:val="auto"/>
          <w:sz w:val="20"/>
          <w:szCs w:val="20"/>
          <w:lang w:eastAsia="zh-CN"/>
        </w:rPr>
        <w:sectPr>
          <w:headerReference r:id="rId67" w:type="default"/>
          <w:footerReference r:id="rId68"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28227AAB">
      <w:pPr>
        <w:spacing w:before="91" w:line="222" w:lineRule="auto"/>
        <w:ind w:left="4032"/>
        <w:rPr>
          <w:rFonts w:ascii="黑体" w:hAnsi="黑体" w:eastAsia="黑体" w:cs="黑体"/>
          <w:color w:val="auto"/>
          <w:sz w:val="28"/>
          <w:szCs w:val="28"/>
          <w:lang w:eastAsia="zh-CN"/>
        </w:rPr>
      </w:pPr>
      <w:r>
        <w:rPr>
          <w:rFonts w:ascii="黑体" w:hAnsi="黑体" w:eastAsia="黑体" w:cs="黑体"/>
          <w:color w:val="auto"/>
          <w:spacing w:val="-4"/>
          <w:sz w:val="28"/>
          <w:szCs w:val="28"/>
          <w:lang w:eastAsia="zh-CN"/>
          <w14:textOutline w14:w="5105" w14:cap="sq" w14:cmpd="sng" w14:algn="ctr">
            <w14:solidFill>
              <w14:srgbClr w14:val="000000"/>
            </w14:solidFill>
            <w14:prstDash w14:val="solid"/>
            <w14:bevel/>
          </w14:textOutline>
        </w:rPr>
        <w:t>（八）、声明函</w:t>
      </w:r>
    </w:p>
    <w:p w14:paraId="6EAE866D">
      <w:pPr>
        <w:pStyle w:val="8"/>
        <w:spacing w:line="263" w:lineRule="auto"/>
        <w:rPr>
          <w:color w:val="auto"/>
          <w:lang w:eastAsia="zh-CN"/>
        </w:rPr>
      </w:pPr>
    </w:p>
    <w:p w14:paraId="778FF5C2">
      <w:pPr>
        <w:pStyle w:val="8"/>
        <w:spacing w:line="264" w:lineRule="auto"/>
        <w:rPr>
          <w:color w:val="auto"/>
          <w:lang w:eastAsia="zh-CN"/>
        </w:rPr>
      </w:pPr>
    </w:p>
    <w:p w14:paraId="5420AB1B">
      <w:pPr>
        <w:spacing w:before="148" w:line="222" w:lineRule="auto"/>
        <w:ind w:left="3473"/>
        <w:rPr>
          <w:rFonts w:ascii="黑体" w:hAnsi="黑体" w:eastAsia="黑体" w:cs="黑体"/>
          <w:color w:val="auto"/>
          <w:spacing w:val="-3"/>
          <w:sz w:val="28"/>
          <w:szCs w:val="28"/>
          <w:lang w:eastAsia="zh-CN"/>
          <w14:textOutline w14:w="5105" w14:cap="sq" w14:cmpd="sng" w14:algn="ctr">
            <w14:solidFill>
              <w14:srgbClr w14:val="000000"/>
            </w14:solidFill>
            <w14:prstDash w14:val="solid"/>
            <w14:bevel/>
          </w14:textOutline>
        </w:rPr>
      </w:pPr>
      <w:r>
        <w:rPr>
          <w:rFonts w:hint="eastAsia" w:ascii="黑体" w:hAnsi="黑体" w:eastAsia="黑体" w:cs="黑体"/>
          <w:color w:val="auto"/>
          <w:spacing w:val="-3"/>
          <w:sz w:val="28"/>
          <w:szCs w:val="28"/>
          <w:lang w:eastAsia="zh-CN"/>
          <w14:textOutline w14:w="5105" w14:cap="sq" w14:cmpd="sng" w14:algn="ctr">
            <w14:solidFill>
              <w14:srgbClr w14:val="000000"/>
            </w14:solidFill>
            <w14:prstDash w14:val="solid"/>
            <w14:bevel/>
          </w14:textOutline>
        </w:rPr>
        <w:t>中小企业声明函（服务）</w:t>
      </w:r>
    </w:p>
    <w:p w14:paraId="42329A87">
      <w:pPr>
        <w:pStyle w:val="36"/>
        <w:spacing w:line="560" w:lineRule="exact"/>
        <w:ind w:firstLine="412" w:firstLineChars="200"/>
        <w:rPr>
          <w:rFonts w:ascii="宋体" w:hAnsi="宋体" w:cs="宋体"/>
          <w:color w:val="auto"/>
          <w:spacing w:val="-2"/>
          <w:szCs w:val="21"/>
        </w:rPr>
      </w:pPr>
      <w:r>
        <w:rPr>
          <w:rFonts w:hint="eastAsia" w:ascii="宋体" w:hAnsi="宋体" w:cs="宋体"/>
          <w:color w:val="auto"/>
          <w:spacing w:val="-2"/>
          <w:szCs w:val="21"/>
        </w:rPr>
        <w:t>本公司（联合体）郑重声明，根据《政府采购促进中小企业发展管理办法》（财库﹝2020﹞46 号）的规定，本公司（联合体）参加</w:t>
      </w:r>
      <w:r>
        <w:rPr>
          <w:rFonts w:hint="eastAsia" w:ascii="宋体" w:hAnsi="宋体" w:cs="宋体"/>
          <w:color w:val="auto"/>
          <w:spacing w:val="-2"/>
          <w:szCs w:val="21"/>
          <w:u w:val="single"/>
        </w:rPr>
        <w:t>（单位名称）</w:t>
      </w:r>
      <w:r>
        <w:rPr>
          <w:rFonts w:hint="eastAsia" w:ascii="宋体" w:hAnsi="宋体" w:cs="宋体"/>
          <w:color w:val="auto"/>
          <w:spacing w:val="-2"/>
          <w:szCs w:val="21"/>
        </w:rPr>
        <w:t>的</w:t>
      </w:r>
      <w:r>
        <w:rPr>
          <w:rFonts w:hint="eastAsia" w:ascii="宋体" w:hAnsi="宋体" w:cs="宋体"/>
          <w:color w:val="auto"/>
          <w:spacing w:val="-2"/>
          <w:szCs w:val="21"/>
          <w:u w:val="single"/>
        </w:rPr>
        <w:t>（项目名称）</w:t>
      </w:r>
      <w:r>
        <w:rPr>
          <w:rFonts w:hint="eastAsia" w:ascii="宋体" w:hAnsi="宋体" w:cs="宋体"/>
          <w:color w:val="auto"/>
          <w:spacing w:val="-2"/>
          <w:szCs w:val="21"/>
        </w:rPr>
        <w:t>采购活动，工程的施工单位全部为符合政策要求的中小企业。相关企业（含联合体中的中小企业、签订分包意向协议的中小企业）的具体情况如下：</w:t>
      </w:r>
    </w:p>
    <w:p w14:paraId="0C6D34B4">
      <w:pPr>
        <w:pStyle w:val="36"/>
        <w:spacing w:line="560" w:lineRule="exact"/>
        <w:ind w:firstLine="412" w:firstLineChars="200"/>
        <w:rPr>
          <w:rFonts w:ascii="宋体" w:hAnsi="宋体" w:cs="宋体"/>
          <w:color w:val="auto"/>
          <w:spacing w:val="-2"/>
          <w:szCs w:val="21"/>
        </w:rPr>
      </w:pPr>
      <w:r>
        <w:rPr>
          <w:rFonts w:hint="eastAsia" w:ascii="宋体" w:hAnsi="宋体" w:cs="宋体"/>
          <w:color w:val="auto"/>
          <w:spacing w:val="-2"/>
          <w:szCs w:val="21"/>
        </w:rPr>
        <w:t>1.</w:t>
      </w:r>
      <w:r>
        <w:rPr>
          <w:rFonts w:hint="eastAsia" w:ascii="宋体" w:hAnsi="宋体" w:cs="宋体"/>
          <w:color w:val="auto"/>
          <w:spacing w:val="-2"/>
          <w:szCs w:val="21"/>
          <w:u w:val="single"/>
        </w:rPr>
        <w:t>（标的名称）</w:t>
      </w:r>
      <w:r>
        <w:rPr>
          <w:rFonts w:hint="eastAsia" w:ascii="宋体" w:hAnsi="宋体" w:cs="宋体"/>
          <w:color w:val="auto"/>
          <w:spacing w:val="-2"/>
          <w:szCs w:val="21"/>
        </w:rPr>
        <w:t>，属于</w:t>
      </w:r>
      <w:r>
        <w:rPr>
          <w:rFonts w:hint="eastAsia" w:ascii="宋体" w:hAnsi="宋体" w:cs="宋体"/>
          <w:color w:val="auto"/>
          <w:spacing w:val="-2"/>
          <w:szCs w:val="21"/>
          <w:u w:val="single"/>
        </w:rPr>
        <w:t>（采购文件中明确的所属行业）</w:t>
      </w:r>
      <w:r>
        <w:rPr>
          <w:rFonts w:hint="eastAsia" w:ascii="宋体" w:hAnsi="宋体" w:cs="宋体"/>
          <w:color w:val="auto"/>
          <w:spacing w:val="-2"/>
          <w:szCs w:val="21"/>
        </w:rPr>
        <w:t>；承建（承接）企业为</w:t>
      </w:r>
      <w:r>
        <w:rPr>
          <w:rFonts w:hint="eastAsia" w:ascii="宋体" w:hAnsi="宋体" w:cs="宋体"/>
          <w:color w:val="auto"/>
          <w:spacing w:val="-2"/>
          <w:szCs w:val="21"/>
          <w:u w:val="single"/>
        </w:rPr>
        <w:t>（企业名称）</w:t>
      </w:r>
      <w:r>
        <w:rPr>
          <w:rFonts w:hint="eastAsia" w:ascii="宋体" w:hAnsi="宋体" w:cs="宋体"/>
          <w:color w:val="auto"/>
          <w:spacing w:val="-2"/>
          <w:szCs w:val="21"/>
        </w:rPr>
        <w:t>，从业人员</w:t>
      </w:r>
      <w:r>
        <w:rPr>
          <w:rFonts w:hint="eastAsia" w:ascii="宋体" w:hAnsi="宋体" w:cs="宋体"/>
          <w:color w:val="auto"/>
          <w:spacing w:val="-2"/>
          <w:szCs w:val="21"/>
          <w:u w:val="single"/>
        </w:rPr>
        <w:t xml:space="preserve">     </w:t>
      </w:r>
      <w:r>
        <w:rPr>
          <w:rFonts w:hint="eastAsia" w:ascii="宋体" w:hAnsi="宋体" w:cs="宋体"/>
          <w:color w:val="auto"/>
          <w:spacing w:val="-2"/>
          <w:szCs w:val="21"/>
        </w:rPr>
        <w:t>人，营业收入为</w:t>
      </w:r>
      <w:r>
        <w:rPr>
          <w:rFonts w:hint="eastAsia" w:ascii="宋体" w:hAnsi="宋体" w:cs="宋体"/>
          <w:color w:val="auto"/>
          <w:spacing w:val="-2"/>
          <w:szCs w:val="21"/>
          <w:u w:val="single"/>
        </w:rPr>
        <w:t xml:space="preserve">     </w:t>
      </w:r>
      <w:r>
        <w:rPr>
          <w:rFonts w:hint="eastAsia" w:ascii="宋体" w:hAnsi="宋体" w:cs="宋体"/>
          <w:color w:val="auto"/>
          <w:spacing w:val="-2"/>
          <w:szCs w:val="21"/>
        </w:rPr>
        <w:t>万元，资产总额为</w:t>
      </w:r>
      <w:r>
        <w:rPr>
          <w:rFonts w:hint="eastAsia" w:ascii="宋体" w:hAnsi="宋体" w:cs="宋体"/>
          <w:color w:val="auto"/>
          <w:spacing w:val="-2"/>
          <w:szCs w:val="21"/>
          <w:u w:val="single"/>
        </w:rPr>
        <w:t xml:space="preserve">      </w:t>
      </w:r>
      <w:r>
        <w:rPr>
          <w:rFonts w:hint="eastAsia" w:ascii="宋体" w:hAnsi="宋体" w:cs="宋体"/>
          <w:color w:val="auto"/>
          <w:spacing w:val="-2"/>
          <w:szCs w:val="21"/>
        </w:rPr>
        <w:t>万元，属于</w:t>
      </w:r>
      <w:r>
        <w:rPr>
          <w:rFonts w:hint="eastAsia" w:ascii="宋体" w:hAnsi="宋体" w:cs="宋体"/>
          <w:color w:val="auto"/>
          <w:spacing w:val="-2"/>
          <w:szCs w:val="21"/>
          <w:u w:val="single"/>
        </w:rPr>
        <w:t>（中型企业、小型企业、微型企业）</w:t>
      </w:r>
      <w:r>
        <w:rPr>
          <w:rFonts w:hint="eastAsia" w:ascii="宋体" w:hAnsi="宋体" w:cs="宋体"/>
          <w:color w:val="auto"/>
          <w:spacing w:val="-2"/>
          <w:szCs w:val="21"/>
        </w:rPr>
        <w:t>；</w:t>
      </w:r>
    </w:p>
    <w:p w14:paraId="6F0248B2">
      <w:pPr>
        <w:pStyle w:val="36"/>
        <w:spacing w:line="560" w:lineRule="exact"/>
        <w:ind w:firstLine="412" w:firstLineChars="200"/>
        <w:rPr>
          <w:rFonts w:ascii="宋体" w:hAnsi="宋体" w:cs="宋体"/>
          <w:color w:val="auto"/>
          <w:spacing w:val="-2"/>
          <w:szCs w:val="21"/>
          <w:u w:val="single"/>
        </w:rPr>
      </w:pPr>
      <w:r>
        <w:rPr>
          <w:rFonts w:hint="eastAsia" w:ascii="宋体" w:hAnsi="宋体" w:cs="宋体"/>
          <w:color w:val="auto"/>
          <w:spacing w:val="-2"/>
          <w:szCs w:val="21"/>
        </w:rPr>
        <w:t>2.</w:t>
      </w:r>
      <w:r>
        <w:rPr>
          <w:rFonts w:hint="eastAsia" w:ascii="宋体" w:hAnsi="宋体" w:cs="宋体"/>
          <w:color w:val="auto"/>
          <w:spacing w:val="-2"/>
          <w:szCs w:val="21"/>
          <w:u w:val="single"/>
        </w:rPr>
        <w:t>（标的名称）</w:t>
      </w:r>
      <w:r>
        <w:rPr>
          <w:rFonts w:hint="eastAsia" w:ascii="宋体" w:hAnsi="宋体" w:cs="宋体"/>
          <w:color w:val="auto"/>
          <w:spacing w:val="-2"/>
          <w:szCs w:val="21"/>
        </w:rPr>
        <w:t>，属于</w:t>
      </w:r>
      <w:r>
        <w:rPr>
          <w:rFonts w:hint="eastAsia" w:ascii="宋体" w:hAnsi="宋体" w:cs="宋体"/>
          <w:color w:val="auto"/>
          <w:spacing w:val="-2"/>
          <w:szCs w:val="21"/>
          <w:u w:val="single"/>
        </w:rPr>
        <w:t>（采购文件中明确的所属行业）</w:t>
      </w:r>
      <w:r>
        <w:rPr>
          <w:rFonts w:hint="eastAsia" w:ascii="宋体" w:hAnsi="宋体" w:cs="宋体"/>
          <w:color w:val="auto"/>
          <w:spacing w:val="-2"/>
          <w:szCs w:val="21"/>
        </w:rPr>
        <w:t>；承建（承接）企业为</w:t>
      </w:r>
      <w:r>
        <w:rPr>
          <w:rFonts w:hint="eastAsia" w:ascii="宋体" w:hAnsi="宋体" w:cs="宋体"/>
          <w:color w:val="auto"/>
          <w:spacing w:val="-2"/>
          <w:szCs w:val="21"/>
          <w:u w:val="single"/>
        </w:rPr>
        <w:t>（企业名称）</w:t>
      </w:r>
      <w:r>
        <w:rPr>
          <w:rFonts w:hint="eastAsia" w:ascii="宋体" w:hAnsi="宋体" w:cs="宋体"/>
          <w:color w:val="auto"/>
          <w:spacing w:val="-2"/>
          <w:szCs w:val="21"/>
        </w:rPr>
        <w:t>，从业人员</w:t>
      </w:r>
      <w:r>
        <w:rPr>
          <w:rFonts w:hint="eastAsia" w:ascii="宋体" w:hAnsi="宋体" w:cs="宋体"/>
          <w:color w:val="auto"/>
          <w:spacing w:val="-2"/>
          <w:szCs w:val="21"/>
          <w:u w:val="single"/>
        </w:rPr>
        <w:t xml:space="preserve">     </w:t>
      </w:r>
      <w:r>
        <w:rPr>
          <w:rFonts w:hint="eastAsia" w:ascii="宋体" w:hAnsi="宋体" w:cs="宋体"/>
          <w:color w:val="auto"/>
          <w:spacing w:val="-2"/>
          <w:szCs w:val="21"/>
        </w:rPr>
        <w:t>人，营业收入为</w:t>
      </w:r>
      <w:r>
        <w:rPr>
          <w:rFonts w:hint="eastAsia" w:ascii="宋体" w:hAnsi="宋体" w:cs="宋体"/>
          <w:color w:val="auto"/>
          <w:spacing w:val="-2"/>
          <w:szCs w:val="21"/>
          <w:u w:val="single"/>
        </w:rPr>
        <w:t xml:space="preserve"> </w:t>
      </w:r>
      <w:r>
        <w:rPr>
          <w:rFonts w:hint="eastAsia" w:ascii="宋体" w:hAnsi="宋体" w:cs="宋体"/>
          <w:color w:val="auto"/>
          <w:spacing w:val="-2"/>
          <w:szCs w:val="21"/>
          <w:u w:val="single"/>
        </w:rPr>
        <w:tab/>
      </w:r>
      <w:r>
        <w:rPr>
          <w:rFonts w:hint="eastAsia" w:ascii="宋体" w:hAnsi="宋体" w:cs="宋体"/>
          <w:color w:val="auto"/>
          <w:spacing w:val="-2"/>
          <w:szCs w:val="21"/>
          <w:u w:val="single"/>
        </w:rPr>
        <w:t xml:space="preserve">     </w:t>
      </w:r>
      <w:r>
        <w:rPr>
          <w:rFonts w:hint="eastAsia" w:ascii="宋体" w:hAnsi="宋体" w:cs="宋体"/>
          <w:color w:val="auto"/>
          <w:spacing w:val="-2"/>
          <w:szCs w:val="21"/>
        </w:rPr>
        <w:t xml:space="preserve"> 万元，资产总额为</w:t>
      </w:r>
      <w:r>
        <w:rPr>
          <w:rFonts w:hint="eastAsia" w:ascii="宋体" w:hAnsi="宋体" w:cs="宋体"/>
          <w:color w:val="auto"/>
          <w:spacing w:val="-2"/>
          <w:szCs w:val="21"/>
          <w:u w:val="single"/>
        </w:rPr>
        <w:t xml:space="preserve">     </w:t>
      </w:r>
      <w:r>
        <w:rPr>
          <w:rFonts w:hint="eastAsia" w:ascii="宋体" w:hAnsi="宋体" w:cs="宋体"/>
          <w:color w:val="auto"/>
          <w:spacing w:val="-2"/>
          <w:szCs w:val="21"/>
        </w:rPr>
        <w:t>万元，属于</w:t>
      </w:r>
      <w:r>
        <w:rPr>
          <w:rFonts w:hint="eastAsia" w:ascii="宋体" w:hAnsi="宋体" w:cs="宋体"/>
          <w:color w:val="auto"/>
          <w:spacing w:val="-2"/>
          <w:szCs w:val="21"/>
          <w:u w:val="single"/>
        </w:rPr>
        <w:t>（中型企业、小型企业、微型企业）</w:t>
      </w:r>
      <w:r>
        <w:rPr>
          <w:rFonts w:hint="eastAsia" w:ascii="宋体" w:hAnsi="宋体" w:cs="宋体"/>
          <w:color w:val="auto"/>
          <w:spacing w:val="-2"/>
          <w:szCs w:val="21"/>
        </w:rPr>
        <w:t xml:space="preserve">；  </w:t>
      </w:r>
    </w:p>
    <w:p w14:paraId="426692C6">
      <w:pPr>
        <w:pStyle w:val="37"/>
        <w:spacing w:line="560" w:lineRule="exact"/>
        <w:ind w:firstLine="210" w:firstLineChars="100"/>
        <w:rPr>
          <w:rFonts w:ascii="宋体" w:hAnsi="宋体" w:eastAsia="宋体" w:cs="宋体"/>
          <w:color w:val="auto"/>
          <w:sz w:val="21"/>
          <w:szCs w:val="21"/>
          <w:lang w:eastAsia="zh-CN"/>
        </w:rPr>
      </w:pPr>
      <w:r>
        <w:rPr>
          <w:rFonts w:hint="eastAsia" w:ascii="宋体" w:hAnsi="宋体" w:eastAsia="宋体" w:cs="宋体"/>
          <w:color w:val="auto"/>
          <w:sz w:val="21"/>
          <w:szCs w:val="21"/>
          <w:lang w:eastAsia="zh-CN"/>
        </w:rPr>
        <w:t xml:space="preserve"> ......</w:t>
      </w:r>
    </w:p>
    <w:p w14:paraId="5030DD9E">
      <w:pPr>
        <w:pStyle w:val="36"/>
        <w:spacing w:line="560" w:lineRule="exact"/>
        <w:ind w:firstLine="412" w:firstLineChars="200"/>
        <w:rPr>
          <w:rFonts w:ascii="宋体" w:hAnsi="宋体" w:cs="宋体"/>
          <w:color w:val="auto"/>
          <w:spacing w:val="-2"/>
          <w:szCs w:val="21"/>
        </w:rPr>
      </w:pPr>
      <w:r>
        <w:rPr>
          <w:rFonts w:hint="eastAsia" w:ascii="宋体" w:hAnsi="宋体" w:cs="宋体"/>
          <w:color w:val="auto"/>
          <w:spacing w:val="-2"/>
          <w:szCs w:val="21"/>
        </w:rPr>
        <w:t>以上企业，不属于大企业的分支机构，不存在控股股东为大企业的情形，也不存在与大企业的负责人为同一人的情形。</w:t>
      </w:r>
    </w:p>
    <w:p w14:paraId="72A4FF34">
      <w:pPr>
        <w:pStyle w:val="36"/>
        <w:spacing w:line="560" w:lineRule="exact"/>
        <w:ind w:firstLine="412" w:firstLineChars="200"/>
        <w:rPr>
          <w:rFonts w:ascii="宋体" w:hAnsi="宋体" w:cs="宋体"/>
          <w:color w:val="auto"/>
          <w:spacing w:val="-2"/>
          <w:szCs w:val="21"/>
        </w:rPr>
      </w:pPr>
      <w:r>
        <w:rPr>
          <w:rFonts w:hint="eastAsia" w:ascii="宋体" w:hAnsi="宋体" w:cs="宋体"/>
          <w:color w:val="auto"/>
          <w:spacing w:val="-2"/>
          <w:szCs w:val="21"/>
        </w:rPr>
        <w:t>本企业对上述声明内容的真实性负责。如有虚假，将依法承担相应责任。</w:t>
      </w:r>
    </w:p>
    <w:p w14:paraId="13C7B62C">
      <w:pPr>
        <w:pStyle w:val="36"/>
        <w:spacing w:line="560" w:lineRule="exact"/>
        <w:ind w:firstLine="412" w:firstLineChars="200"/>
        <w:rPr>
          <w:rFonts w:ascii="宋体" w:hAnsi="宋体" w:cs="宋体"/>
          <w:color w:val="auto"/>
          <w:spacing w:val="-2"/>
          <w:szCs w:val="21"/>
        </w:rPr>
      </w:pPr>
    </w:p>
    <w:p w14:paraId="642695B3">
      <w:pPr>
        <w:pStyle w:val="37"/>
        <w:spacing w:before="35" w:line="316" w:lineRule="auto"/>
        <w:ind w:right="2166" w:firstLine="412" w:firstLineChars="200"/>
        <w:rPr>
          <w:rFonts w:ascii="宋体" w:hAnsi="宋体" w:eastAsia="宋体" w:cs="宋体"/>
          <w:color w:val="auto"/>
          <w:spacing w:val="-2"/>
          <w:sz w:val="21"/>
          <w:szCs w:val="21"/>
          <w:lang w:eastAsia="zh-CN"/>
        </w:rPr>
      </w:pPr>
      <w:r>
        <w:rPr>
          <w:rFonts w:hint="eastAsia" w:ascii="宋体" w:hAnsi="宋体" w:eastAsia="宋体" w:cs="宋体"/>
          <w:color w:val="auto"/>
          <w:spacing w:val="-2"/>
          <w:sz w:val="21"/>
          <w:szCs w:val="21"/>
          <w:lang w:eastAsia="zh-CN"/>
        </w:rPr>
        <w:t xml:space="preserve">                               企业名称（盖章）：</w:t>
      </w:r>
    </w:p>
    <w:p w14:paraId="6FA155B9">
      <w:pPr>
        <w:pStyle w:val="8"/>
        <w:spacing w:before="56" w:line="360" w:lineRule="auto"/>
        <w:ind w:left="3960" w:right="1808"/>
        <w:rPr>
          <w:rFonts w:ascii="宋体" w:hAnsi="宋体"/>
          <w:color w:val="auto"/>
          <w:lang w:eastAsia="zh-CN"/>
        </w:rPr>
      </w:pPr>
      <w:r>
        <w:rPr>
          <w:rFonts w:hint="eastAsia" w:ascii="宋体" w:hAnsi="宋体" w:cs="宋体"/>
          <w:color w:val="auto"/>
          <w:spacing w:val="-2"/>
          <w:lang w:eastAsia="zh-CN"/>
        </w:rPr>
        <w:t xml:space="preserve"> 日期：    </w:t>
      </w:r>
      <w:r>
        <w:rPr>
          <w:rFonts w:hint="eastAsia" w:ascii="宋体" w:hAnsi="宋体" w:cs="宋体"/>
          <w:color w:val="auto"/>
          <w:sz w:val="24"/>
          <w:lang w:eastAsia="zh-CN"/>
        </w:rPr>
        <w:t xml:space="preserve">   </w:t>
      </w:r>
    </w:p>
    <w:p w14:paraId="73BF6397">
      <w:pPr>
        <w:spacing w:before="100" w:beforeAutospacing="1" w:after="100" w:afterAutospacing="1" w:line="360" w:lineRule="auto"/>
        <w:ind w:firstLine="3120" w:firstLineChars="1300"/>
        <w:rPr>
          <w:rFonts w:ascii="宋体" w:hAnsi="宋体"/>
          <w:b/>
          <w:color w:val="auto"/>
          <w:sz w:val="24"/>
          <w:lang w:eastAsia="zh-CN"/>
        </w:rPr>
      </w:pPr>
      <w:r>
        <w:rPr>
          <w:rFonts w:hint="eastAsia" w:ascii="宋体" w:hAnsi="宋体" w:cs="宋体"/>
          <w:color w:val="auto"/>
          <w:sz w:val="24"/>
          <w:lang w:eastAsia="zh-CN"/>
        </w:rPr>
        <w:t xml:space="preserve">      </w:t>
      </w:r>
      <w:r>
        <w:rPr>
          <w:rFonts w:ascii="宋体" w:hAnsi="宋体"/>
          <w:b/>
          <w:color w:val="auto"/>
          <w:sz w:val="24"/>
          <w:lang w:eastAsia="zh-CN"/>
        </w:rPr>
        <w:t>　</w:t>
      </w:r>
    </w:p>
    <w:p w14:paraId="65AB943E">
      <w:pPr>
        <w:spacing w:before="66" w:line="221" w:lineRule="auto"/>
        <w:ind w:left="9"/>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pPr>
      <w:r>
        <w:rPr>
          <w:rFonts w:hint="eastAsia"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注：1、从业人员、营业收入、资产总额填报上一年度数据，无上一年度数据的新成立企业可不填报。</w:t>
      </w:r>
    </w:p>
    <w:p w14:paraId="65266F14">
      <w:pPr>
        <w:spacing w:before="66" w:line="221" w:lineRule="auto"/>
        <w:ind w:left="9"/>
        <w:rPr>
          <w:rFonts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pPr>
      <w:r>
        <w:rPr>
          <w:rFonts w:hint="eastAsia" w:ascii="黑体" w:hAnsi="黑体" w:eastAsia="黑体" w:cs="黑体"/>
          <w:color w:val="auto"/>
          <w:spacing w:val="10"/>
          <w:sz w:val="20"/>
          <w:szCs w:val="20"/>
          <w:lang w:eastAsia="zh-CN"/>
          <w14:textOutline w14:w="3797" w14:cap="sq" w14:cmpd="sng" w14:algn="ctr">
            <w14:solidFill>
              <w14:srgbClr w14:val="000000"/>
            </w14:solidFill>
            <w14:prstDash w14:val="solid"/>
            <w14:bevel/>
          </w14:textOutline>
        </w:rPr>
        <w:t xml:space="preserve">2、如未按上述要求提供、填写，评审时造成的资格审查不通过或价格评审时的价格扣除不予认定等后果，由服务商自行承担。 </w:t>
      </w:r>
    </w:p>
    <w:p w14:paraId="3635D71A">
      <w:pPr>
        <w:tabs>
          <w:tab w:val="left" w:pos="3600"/>
        </w:tabs>
        <w:rPr>
          <w:rFonts w:ascii="宋体" w:hAnsi="宋体"/>
          <w:bCs/>
          <w:color w:val="auto"/>
          <w:sz w:val="24"/>
          <w:lang w:eastAsia="zh-CN"/>
        </w:rPr>
      </w:pPr>
    </w:p>
    <w:p w14:paraId="4ABDBD6A">
      <w:pPr>
        <w:pStyle w:val="8"/>
        <w:spacing w:line="311" w:lineRule="auto"/>
        <w:rPr>
          <w:color w:val="auto"/>
          <w:lang w:eastAsia="zh-CN"/>
        </w:rPr>
      </w:pPr>
    </w:p>
    <w:p w14:paraId="54882443">
      <w:pPr>
        <w:spacing w:line="221" w:lineRule="auto"/>
        <w:rPr>
          <w:rFonts w:ascii="黑体" w:hAnsi="黑体" w:eastAsia="黑体" w:cs="黑体"/>
          <w:color w:val="auto"/>
          <w:sz w:val="20"/>
          <w:szCs w:val="20"/>
          <w:lang w:eastAsia="zh-CN"/>
        </w:rPr>
        <w:sectPr>
          <w:headerReference r:id="rId69" w:type="default"/>
          <w:footerReference r:id="rId70"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0EC14D84">
      <w:pPr>
        <w:spacing w:line="360" w:lineRule="auto"/>
        <w:ind w:left="8"/>
        <w:rPr>
          <w:rFonts w:ascii="宋体" w:hAnsi="宋体" w:eastAsia="宋体" w:cs="宋体"/>
          <w:color w:val="auto"/>
          <w:spacing w:val="8"/>
          <w:sz w:val="20"/>
          <w:szCs w:val="20"/>
          <w:lang w:eastAsia="zh-CN"/>
        </w:rPr>
      </w:pPr>
      <w:r>
        <w:rPr>
          <w:rFonts w:ascii="宋体" w:hAnsi="宋体" w:eastAsia="宋体" w:cs="宋体"/>
          <w:color w:val="auto"/>
          <w:spacing w:val="8"/>
          <w:sz w:val="20"/>
          <w:szCs w:val="20"/>
          <w:lang w:eastAsia="zh-CN"/>
        </w:rPr>
        <w:t>填写时应注意以下事项：</w:t>
      </w:r>
    </w:p>
    <w:p w14:paraId="03BCA6FD">
      <w:pPr>
        <w:spacing w:line="360" w:lineRule="auto"/>
        <w:ind w:left="8" w:firstLine="432" w:firstLineChars="200"/>
        <w:rPr>
          <w:rFonts w:ascii="宋体" w:hAnsi="宋体" w:eastAsia="宋体" w:cs="宋体"/>
          <w:color w:val="auto"/>
          <w:spacing w:val="8"/>
          <w:sz w:val="20"/>
          <w:szCs w:val="20"/>
          <w:lang w:eastAsia="zh-CN"/>
        </w:rPr>
      </w:pPr>
      <w:r>
        <w:rPr>
          <w:rFonts w:ascii="宋体" w:hAnsi="宋体" w:eastAsia="宋体" w:cs="宋体"/>
          <w:color w:val="auto"/>
          <w:spacing w:val="8"/>
          <w:sz w:val="20"/>
          <w:szCs w:val="20"/>
          <w:lang w:eastAsia="zh-CN"/>
        </w:rPr>
        <w:t>1.从业人员、营业收入、资产总额填报上一年度数据，无上一年度数据的新成立企业可不填报。</w:t>
      </w:r>
    </w:p>
    <w:p w14:paraId="0290EFDF">
      <w:pPr>
        <w:spacing w:line="360" w:lineRule="auto"/>
        <w:ind w:left="8" w:firstLine="432" w:firstLineChars="200"/>
        <w:rPr>
          <w:rFonts w:ascii="宋体" w:hAnsi="宋体" w:eastAsia="宋体" w:cs="宋体"/>
          <w:color w:val="auto"/>
          <w:spacing w:val="8"/>
          <w:sz w:val="20"/>
          <w:szCs w:val="20"/>
          <w:lang w:eastAsia="zh-CN"/>
        </w:rPr>
      </w:pPr>
      <w:r>
        <w:rPr>
          <w:rFonts w:ascii="宋体" w:hAnsi="宋体" w:eastAsia="宋体" w:cs="宋体"/>
          <w:color w:val="auto"/>
          <w:spacing w:val="8"/>
          <w:sz w:val="20"/>
          <w:szCs w:val="20"/>
          <w:lang w:eastAsia="zh-CN"/>
        </w:rPr>
        <w:t>2.中小企业应当按照《</w:t>
      </w:r>
      <w:r>
        <w:rPr>
          <w:rFonts w:hint="eastAsia" w:ascii="宋体" w:hAnsi="宋体" w:eastAsia="宋体" w:cs="宋体"/>
          <w:color w:val="auto"/>
          <w:spacing w:val="8"/>
          <w:sz w:val="20"/>
          <w:szCs w:val="20"/>
          <w:lang w:eastAsia="zh-CN"/>
        </w:rPr>
        <w:t>中小企业划型标准规定</w:t>
      </w:r>
      <w:r>
        <w:rPr>
          <w:rFonts w:ascii="宋体" w:hAnsi="宋体" w:eastAsia="宋体" w:cs="宋体"/>
          <w:color w:val="auto"/>
          <w:spacing w:val="8"/>
          <w:sz w:val="20"/>
          <w:szCs w:val="20"/>
          <w:lang w:eastAsia="zh-CN"/>
        </w:rPr>
        <w:t>》（</w:t>
      </w:r>
      <w:r>
        <w:rPr>
          <w:rFonts w:hint="eastAsia" w:ascii="宋体" w:hAnsi="宋体" w:eastAsia="宋体" w:cs="宋体"/>
          <w:color w:val="auto"/>
          <w:spacing w:val="8"/>
          <w:sz w:val="20"/>
          <w:szCs w:val="20"/>
          <w:lang w:eastAsia="zh-CN"/>
        </w:rPr>
        <w:t>根据《中华人民共和国中小企业促进法》和《国务院关于进一步促进中小企业发展的若干意见》(（国发〔2009〕[2009]36号)，制定本规定</w:t>
      </w:r>
      <w:r>
        <w:rPr>
          <w:rFonts w:ascii="宋体" w:hAnsi="宋体" w:eastAsia="宋体" w:cs="宋体"/>
          <w:color w:val="auto"/>
          <w:spacing w:val="8"/>
          <w:sz w:val="20"/>
          <w:szCs w:val="20"/>
          <w:lang w:eastAsia="zh-CN"/>
        </w:rPr>
        <w:t>），如实填写并提交《中小企业声明函》 。</w:t>
      </w:r>
    </w:p>
    <w:p w14:paraId="22106884">
      <w:pPr>
        <w:spacing w:line="360" w:lineRule="auto"/>
        <w:ind w:left="8" w:firstLine="432" w:firstLineChars="200"/>
        <w:rPr>
          <w:rFonts w:ascii="宋体" w:hAnsi="宋体" w:eastAsia="宋体" w:cs="宋体"/>
          <w:color w:val="auto"/>
          <w:spacing w:val="8"/>
          <w:sz w:val="20"/>
          <w:szCs w:val="20"/>
          <w:lang w:eastAsia="zh-CN"/>
        </w:rPr>
      </w:pPr>
      <w:r>
        <w:rPr>
          <w:rFonts w:ascii="宋体" w:hAnsi="宋体" w:eastAsia="宋体" w:cs="宋体"/>
          <w:color w:val="auto"/>
          <w:spacing w:val="8"/>
          <w:sz w:val="20"/>
          <w:szCs w:val="20"/>
          <w:lang w:eastAsia="zh-CN"/>
        </w:rPr>
        <w:t>3.投标人填写《中小企业声明函》 中所属行业时，应与采购文件第一篇“采购标的对应的中小企业划分标准所属行业 ”中填写的所属行业（软件和信息技术服务业）一致。</w:t>
      </w:r>
    </w:p>
    <w:p w14:paraId="41BF3C4F">
      <w:pPr>
        <w:spacing w:before="173" w:line="360" w:lineRule="auto"/>
        <w:ind w:left="426"/>
        <w:rPr>
          <w:rFonts w:ascii="宋体" w:hAnsi="宋体" w:eastAsia="宋体" w:cs="宋体"/>
          <w:color w:val="auto"/>
          <w:spacing w:val="8"/>
          <w:sz w:val="20"/>
          <w:szCs w:val="20"/>
          <w:lang w:eastAsia="zh-CN"/>
        </w:rPr>
      </w:pPr>
      <w:r>
        <w:rPr>
          <w:rFonts w:ascii="宋体" w:hAnsi="宋体" w:eastAsia="宋体" w:cs="宋体"/>
          <w:color w:val="auto"/>
          <w:spacing w:val="8"/>
          <w:sz w:val="20"/>
          <w:szCs w:val="20"/>
          <w:lang w:eastAsia="zh-CN"/>
        </w:rPr>
        <w:t>注：各行业划型标准：</w:t>
      </w:r>
    </w:p>
    <w:p w14:paraId="4C8323F4">
      <w:pPr>
        <w:spacing w:before="173" w:line="360" w:lineRule="auto"/>
        <w:ind w:left="426"/>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　（一）农、林、牧、渔业。营业收入20000万元以下的为中小微型企业。其中，营业收入500万元及以上的为中型企业，营业收入50万元及以上的为小型企业，营业收入50万元以下的为微型企业。</w:t>
      </w:r>
    </w:p>
    <w:p w14:paraId="4654BA31">
      <w:pPr>
        <w:spacing w:before="173" w:line="360" w:lineRule="auto"/>
        <w:ind w:left="426"/>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72E7952">
      <w:pPr>
        <w:spacing w:before="173" w:line="360" w:lineRule="auto"/>
        <w:ind w:left="426"/>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9188AF2">
      <w:pPr>
        <w:spacing w:before="173" w:line="360" w:lineRule="auto"/>
        <w:ind w:left="426"/>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9B654B8">
      <w:pPr>
        <w:spacing w:before="173" w:line="360" w:lineRule="auto"/>
        <w:ind w:left="426"/>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C2AE37F">
      <w:pPr>
        <w:spacing w:before="173" w:line="360" w:lineRule="auto"/>
        <w:ind w:left="426"/>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FB027F5">
      <w:pPr>
        <w:spacing w:before="173" w:line="360" w:lineRule="auto"/>
        <w:ind w:left="426" w:firstLine="216" w:firstLineChars="100"/>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4F0AE4F">
      <w:pPr>
        <w:spacing w:before="173" w:line="360" w:lineRule="auto"/>
        <w:ind w:left="426"/>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D982B3B">
      <w:pPr>
        <w:spacing w:before="173" w:line="360" w:lineRule="auto"/>
        <w:ind w:left="426"/>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45A056D">
      <w:pPr>
        <w:spacing w:before="173" w:line="360" w:lineRule="auto"/>
        <w:ind w:left="426"/>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687BE1E">
      <w:pPr>
        <w:spacing w:before="173" w:line="360" w:lineRule="auto"/>
        <w:ind w:left="426"/>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B34C577">
      <w:pPr>
        <w:spacing w:before="173" w:line="360" w:lineRule="auto"/>
        <w:ind w:left="426"/>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634AC1F">
      <w:pPr>
        <w:spacing w:before="173" w:line="360" w:lineRule="auto"/>
        <w:ind w:left="426"/>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ABFE873">
      <w:pPr>
        <w:spacing w:before="173" w:line="360" w:lineRule="auto"/>
        <w:ind w:left="426" w:firstLine="216" w:firstLineChars="100"/>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09E47E1">
      <w:pPr>
        <w:spacing w:before="173" w:line="360" w:lineRule="auto"/>
        <w:ind w:left="426"/>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7666D9E">
      <w:pPr>
        <w:spacing w:before="173" w:line="360" w:lineRule="auto"/>
        <w:ind w:left="426"/>
        <w:rPr>
          <w:rFonts w:hint="eastAsia" w:ascii="宋体" w:hAnsi="宋体" w:eastAsia="宋体" w:cs="宋体"/>
          <w:color w:val="auto"/>
          <w:spacing w:val="8"/>
          <w:sz w:val="20"/>
          <w:szCs w:val="20"/>
          <w:lang w:eastAsia="zh-CN"/>
        </w:rPr>
      </w:pPr>
      <w:r>
        <w:rPr>
          <w:rFonts w:hint="eastAsia" w:ascii="宋体" w:hAnsi="宋体" w:eastAsia="宋体" w:cs="宋体"/>
          <w:color w:val="auto"/>
          <w:spacing w:val="8"/>
          <w:sz w:val="20"/>
          <w:szCs w:val="20"/>
          <w:lang w:eastAsia="zh-CN"/>
        </w:rPr>
        <w:t>　（十六）其他未列明行业。从业人员300人以下的为中小微型企业。其中，从业人员100人及以上的为中型企业；从业人员10人及以上的为小型企业；从业人员10人以下的为微型企业。</w:t>
      </w:r>
    </w:p>
    <w:p w14:paraId="5F87123E">
      <w:pPr>
        <w:spacing w:before="173" w:line="360" w:lineRule="auto"/>
        <w:ind w:left="426"/>
        <w:rPr>
          <w:rFonts w:hint="eastAsia" w:ascii="宋体" w:hAnsi="宋体" w:eastAsia="宋体" w:cs="宋体"/>
          <w:color w:val="auto"/>
          <w:spacing w:val="8"/>
          <w:sz w:val="20"/>
          <w:szCs w:val="20"/>
          <w:lang w:eastAsia="zh-CN"/>
        </w:rPr>
      </w:pPr>
    </w:p>
    <w:p w14:paraId="6F7576DF">
      <w:pPr>
        <w:spacing w:before="173" w:line="360" w:lineRule="auto"/>
        <w:ind w:left="426"/>
        <w:rPr>
          <w:rFonts w:hint="eastAsia" w:ascii="宋体" w:hAnsi="宋体" w:eastAsia="宋体" w:cs="宋体"/>
          <w:color w:val="auto"/>
          <w:spacing w:val="8"/>
          <w:sz w:val="20"/>
          <w:szCs w:val="20"/>
          <w:lang w:eastAsia="zh-CN"/>
        </w:rPr>
      </w:pPr>
    </w:p>
    <w:p w14:paraId="69415247">
      <w:pPr>
        <w:spacing w:before="255" w:line="228" w:lineRule="auto"/>
        <w:ind w:left="2681"/>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监狱企业证明文件</w:t>
      </w:r>
      <w:r>
        <w:rPr>
          <w:rFonts w:ascii="宋体" w:hAnsi="宋体" w:eastAsia="宋体" w:cs="宋体"/>
          <w:color w:val="auto"/>
          <w:spacing w:val="9"/>
          <w:sz w:val="20"/>
          <w:szCs w:val="20"/>
          <w:lang w:eastAsia="zh-CN"/>
        </w:rPr>
        <w:t>（不是监狱企业，可不填此表）</w:t>
      </w:r>
    </w:p>
    <w:p w14:paraId="12ACB766">
      <w:pPr>
        <w:spacing w:before="254" w:line="228" w:lineRule="auto"/>
        <w:ind w:left="450"/>
        <w:outlineLvl w:val="0"/>
        <w:rPr>
          <w:rFonts w:ascii="宋体" w:hAnsi="宋体" w:eastAsia="宋体" w:cs="宋体"/>
          <w:color w:val="auto"/>
          <w:sz w:val="20"/>
          <w:szCs w:val="20"/>
          <w:lang w:eastAsia="zh-CN"/>
        </w:rPr>
      </w:pPr>
      <w:bookmarkStart w:id="333" w:name="_Toc23694"/>
      <w:bookmarkStart w:id="334" w:name="_Toc10426"/>
      <w:bookmarkStart w:id="335" w:name="_Toc1591"/>
      <w:r>
        <w:rPr>
          <w:rFonts w:ascii="宋体" w:hAnsi="宋体" w:eastAsia="宋体" w:cs="宋体"/>
          <w:color w:val="auto"/>
          <w:spacing w:val="9"/>
          <w:sz w:val="20"/>
          <w:szCs w:val="20"/>
          <w:lang w:eastAsia="zh-CN"/>
        </w:rPr>
        <w:t>以省级以上监狱管理局、戒毒管理局（含新疆生产建设兵团）出具的属于监狱企业的证明文件为准。</w:t>
      </w:r>
      <w:bookmarkEnd w:id="333"/>
      <w:bookmarkEnd w:id="334"/>
      <w:bookmarkEnd w:id="335"/>
    </w:p>
    <w:p w14:paraId="5C6E122D">
      <w:pPr>
        <w:pStyle w:val="8"/>
        <w:spacing w:line="341" w:lineRule="auto"/>
        <w:rPr>
          <w:color w:val="auto"/>
          <w:lang w:eastAsia="zh-CN"/>
        </w:rPr>
      </w:pPr>
    </w:p>
    <w:p w14:paraId="269FFC84">
      <w:pPr>
        <w:pStyle w:val="8"/>
        <w:spacing w:line="341" w:lineRule="auto"/>
        <w:rPr>
          <w:color w:val="auto"/>
          <w:lang w:eastAsia="zh-CN"/>
        </w:rPr>
      </w:pPr>
    </w:p>
    <w:p w14:paraId="03D3FC72">
      <w:pPr>
        <w:rPr>
          <w:color w:val="auto"/>
          <w:lang w:eastAsia="zh-CN"/>
        </w:rPr>
      </w:pPr>
    </w:p>
    <w:p w14:paraId="0BA55A49">
      <w:pPr>
        <w:rPr>
          <w:color w:val="auto"/>
          <w:lang w:eastAsia="zh-CN"/>
        </w:rPr>
      </w:pPr>
    </w:p>
    <w:p w14:paraId="238A7D7E">
      <w:pPr>
        <w:spacing w:before="65" w:line="228" w:lineRule="auto"/>
        <w:ind w:left="1943"/>
        <w:outlineLvl w:val="0"/>
        <w:rPr>
          <w:rFonts w:ascii="宋体" w:hAnsi="宋体" w:eastAsia="宋体" w:cs="宋体"/>
          <w:color w:val="auto"/>
          <w:sz w:val="20"/>
          <w:szCs w:val="20"/>
          <w:lang w:eastAsia="zh-CN"/>
        </w:rPr>
      </w:pPr>
      <w:bookmarkStart w:id="336" w:name="_Toc32271"/>
      <w:bookmarkStart w:id="337" w:name="_Toc18169"/>
      <w:bookmarkStart w:id="338" w:name="_Toc20591"/>
      <w:r>
        <w:rPr>
          <w:rFonts w:ascii="宋体" w:hAnsi="宋体" w:eastAsia="宋体" w:cs="宋体"/>
          <w:color w:val="auto"/>
          <w:spacing w:val="9"/>
          <w:sz w:val="20"/>
          <w:szCs w:val="20"/>
          <w:lang w:eastAsia="zh-CN"/>
          <w14:textOutline w14:w="3797" w14:cap="sq" w14:cmpd="sng" w14:algn="ctr">
            <w14:solidFill>
              <w14:srgbClr w14:val="000000"/>
            </w14:solidFill>
            <w14:prstDash w14:val="solid"/>
            <w14:bevel/>
          </w14:textOutline>
        </w:rPr>
        <w:t>残疾人福利性单位声明函</w:t>
      </w:r>
      <w:r>
        <w:rPr>
          <w:rFonts w:ascii="宋体" w:hAnsi="宋体" w:eastAsia="宋体" w:cs="宋体"/>
          <w:color w:val="auto"/>
          <w:spacing w:val="9"/>
          <w:sz w:val="20"/>
          <w:szCs w:val="20"/>
          <w:lang w:eastAsia="zh-CN"/>
        </w:rPr>
        <w:t>（不是残疾人福利性单位，可不填此表）</w:t>
      </w:r>
      <w:bookmarkEnd w:id="336"/>
      <w:bookmarkEnd w:id="337"/>
      <w:bookmarkEnd w:id="338"/>
    </w:p>
    <w:p w14:paraId="57C4758A">
      <w:pPr>
        <w:spacing w:before="253" w:line="462" w:lineRule="auto"/>
        <w:ind w:left="10" w:firstLine="417"/>
        <w:rPr>
          <w:rFonts w:ascii="宋体" w:hAnsi="宋体" w:eastAsia="宋体" w:cs="宋体"/>
          <w:color w:val="auto"/>
          <w:sz w:val="20"/>
          <w:szCs w:val="20"/>
          <w:lang w:eastAsia="zh-CN"/>
        </w:rPr>
      </w:pPr>
      <w:r>
        <w:rPr>
          <w:rFonts w:ascii="宋体" w:hAnsi="宋体" w:eastAsia="宋体" w:cs="宋体"/>
          <w:color w:val="auto"/>
          <w:spacing w:val="10"/>
          <w:sz w:val="20"/>
          <w:szCs w:val="20"/>
          <w:lang w:eastAsia="zh-CN"/>
        </w:rPr>
        <w:t>本单位郑重声明，根据《财政部</w:t>
      </w:r>
      <w:r>
        <w:rPr>
          <w:rFonts w:ascii="宋体" w:hAnsi="宋体" w:eastAsia="宋体" w:cs="宋体"/>
          <w:color w:val="auto"/>
          <w:spacing w:val="51"/>
          <w:sz w:val="20"/>
          <w:szCs w:val="20"/>
          <w:lang w:eastAsia="zh-CN"/>
        </w:rPr>
        <w:t xml:space="preserve"> </w:t>
      </w:r>
      <w:r>
        <w:rPr>
          <w:rFonts w:ascii="宋体" w:hAnsi="宋体" w:eastAsia="宋体" w:cs="宋体"/>
          <w:color w:val="auto"/>
          <w:spacing w:val="10"/>
          <w:sz w:val="20"/>
          <w:szCs w:val="20"/>
          <w:lang w:eastAsia="zh-CN"/>
        </w:rPr>
        <w:t>民政部</w:t>
      </w:r>
      <w:r>
        <w:rPr>
          <w:rFonts w:ascii="宋体" w:hAnsi="宋体" w:eastAsia="宋体" w:cs="宋体"/>
          <w:color w:val="auto"/>
          <w:spacing w:val="38"/>
          <w:sz w:val="20"/>
          <w:szCs w:val="20"/>
          <w:lang w:eastAsia="zh-CN"/>
        </w:rPr>
        <w:t xml:space="preserve"> </w:t>
      </w:r>
      <w:r>
        <w:rPr>
          <w:rFonts w:ascii="宋体" w:hAnsi="宋体" w:eastAsia="宋体" w:cs="宋体"/>
          <w:color w:val="auto"/>
          <w:spacing w:val="10"/>
          <w:sz w:val="20"/>
          <w:szCs w:val="20"/>
          <w:lang w:eastAsia="zh-CN"/>
        </w:rPr>
        <w:t>中国残疾人联合会关于促进残疾人就业政府采购政策的通知》</w:t>
      </w:r>
      <w:r>
        <w:rPr>
          <w:rFonts w:ascii="宋体" w:hAnsi="宋体" w:eastAsia="宋体" w:cs="宋体"/>
          <w:color w:val="auto"/>
          <w:sz w:val="20"/>
          <w:szCs w:val="20"/>
          <w:lang w:eastAsia="zh-CN"/>
        </w:rPr>
        <w:t xml:space="preserve"> </w:t>
      </w:r>
      <w:r>
        <w:rPr>
          <w:rFonts w:ascii="宋体" w:hAnsi="宋体" w:eastAsia="宋体" w:cs="宋体"/>
          <w:color w:val="auto"/>
          <w:spacing w:val="7"/>
          <w:sz w:val="20"/>
          <w:szCs w:val="20"/>
          <w:lang w:eastAsia="zh-CN"/>
        </w:rPr>
        <w:t>（财库〔2017〕141</w:t>
      </w:r>
      <w:r>
        <w:rPr>
          <w:rFonts w:ascii="宋体" w:hAnsi="宋体" w:eastAsia="宋体" w:cs="宋体"/>
          <w:color w:val="auto"/>
          <w:spacing w:val="-28"/>
          <w:sz w:val="20"/>
          <w:szCs w:val="20"/>
          <w:lang w:eastAsia="zh-CN"/>
        </w:rPr>
        <w:t xml:space="preserve"> </w:t>
      </w:r>
      <w:r>
        <w:rPr>
          <w:rFonts w:ascii="宋体" w:hAnsi="宋体" w:eastAsia="宋体" w:cs="宋体"/>
          <w:color w:val="auto"/>
          <w:spacing w:val="7"/>
          <w:sz w:val="20"/>
          <w:szCs w:val="20"/>
          <w:lang w:eastAsia="zh-CN"/>
        </w:rPr>
        <w:t>号）的规定，本单位为符合条件的残疾人福利性单位，且本单位参加</w:t>
      </w:r>
      <w:r>
        <w:rPr>
          <w:rFonts w:ascii="宋体" w:hAnsi="宋体" w:eastAsia="宋体" w:cs="宋体"/>
          <w:color w:val="auto"/>
          <w:spacing w:val="-98"/>
          <w:sz w:val="20"/>
          <w:szCs w:val="20"/>
          <w:lang w:eastAsia="zh-CN"/>
        </w:rPr>
        <w:t xml:space="preserve"> </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pacing w:val="-91"/>
          <w:sz w:val="20"/>
          <w:szCs w:val="20"/>
          <w:lang w:eastAsia="zh-CN"/>
        </w:rPr>
        <w:t xml:space="preserve"> </w:t>
      </w:r>
      <w:r>
        <w:rPr>
          <w:rFonts w:ascii="宋体" w:hAnsi="宋体" w:eastAsia="宋体" w:cs="宋体"/>
          <w:color w:val="auto"/>
          <w:spacing w:val="7"/>
          <w:sz w:val="20"/>
          <w:szCs w:val="20"/>
          <w:lang w:eastAsia="zh-CN"/>
        </w:rPr>
        <w:t>单位的</w:t>
      </w:r>
      <w:r>
        <w:rPr>
          <w:rFonts w:ascii="宋体" w:hAnsi="宋体" w:eastAsia="宋体" w:cs="宋体"/>
          <w:color w:val="auto"/>
          <w:spacing w:val="-98"/>
          <w:sz w:val="20"/>
          <w:szCs w:val="20"/>
          <w:lang w:eastAsia="zh-CN"/>
        </w:rPr>
        <w:t xml:space="preserve"> </w:t>
      </w:r>
      <w:r>
        <w:rPr>
          <w:rFonts w:ascii="宋体" w:hAnsi="宋体" w:eastAsia="宋体" w:cs="宋体"/>
          <w:color w:val="auto"/>
          <w:spacing w:val="5"/>
          <w:sz w:val="20"/>
          <w:szCs w:val="20"/>
          <w:u w:val="single"/>
          <w:lang w:eastAsia="zh-CN"/>
        </w:rPr>
        <w:t xml:space="preserve">      </w:t>
      </w:r>
      <w:r>
        <w:rPr>
          <w:rFonts w:ascii="宋体" w:hAnsi="宋体" w:eastAsia="宋体" w:cs="宋体"/>
          <w:color w:val="auto"/>
          <w:sz w:val="20"/>
          <w:szCs w:val="20"/>
          <w:lang w:eastAsia="zh-CN"/>
        </w:rPr>
        <w:t xml:space="preserve"> </w:t>
      </w:r>
      <w:r>
        <w:rPr>
          <w:rFonts w:ascii="宋体" w:hAnsi="宋体" w:eastAsia="宋体" w:cs="宋体"/>
          <w:color w:val="auto"/>
          <w:spacing w:val="9"/>
          <w:sz w:val="20"/>
          <w:szCs w:val="20"/>
          <w:lang w:eastAsia="zh-CN"/>
        </w:rPr>
        <w:t>项目采购活动提供本单位制造的货物（由本单位承担工程/提供服务</w:t>
      </w:r>
      <w:r>
        <w:rPr>
          <w:rFonts w:ascii="宋体" w:hAnsi="宋体" w:eastAsia="宋体" w:cs="宋体"/>
          <w:color w:val="auto"/>
          <w:spacing w:val="21"/>
          <w:sz w:val="20"/>
          <w:szCs w:val="20"/>
          <w:lang w:eastAsia="zh-CN"/>
        </w:rPr>
        <w:t>），</w:t>
      </w:r>
      <w:r>
        <w:rPr>
          <w:rFonts w:ascii="宋体" w:hAnsi="宋体" w:eastAsia="宋体" w:cs="宋体"/>
          <w:color w:val="auto"/>
          <w:spacing w:val="9"/>
          <w:sz w:val="20"/>
          <w:szCs w:val="20"/>
          <w:lang w:eastAsia="zh-CN"/>
        </w:rPr>
        <w:t>或者提供其他残疾人福利性单位制造</w:t>
      </w:r>
    </w:p>
    <w:p w14:paraId="55DDE76B">
      <w:pPr>
        <w:spacing w:line="226" w:lineRule="auto"/>
        <w:ind w:left="24"/>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的货物（不包括使用非残疾人福利性单位注册商标的货物）。</w:t>
      </w:r>
    </w:p>
    <w:p w14:paraId="531210B1">
      <w:pPr>
        <w:spacing w:before="254" w:line="227" w:lineRule="auto"/>
        <w:ind w:left="427"/>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本单位对上述声明的真实性负责。如有虚假，将依法承担相应责任。</w:t>
      </w:r>
    </w:p>
    <w:p w14:paraId="0EACA53D">
      <w:pPr>
        <w:pStyle w:val="8"/>
        <w:spacing w:line="295" w:lineRule="auto"/>
        <w:rPr>
          <w:color w:val="auto"/>
          <w:lang w:eastAsia="zh-CN"/>
        </w:rPr>
      </w:pPr>
    </w:p>
    <w:p w14:paraId="2E460968">
      <w:pPr>
        <w:pStyle w:val="8"/>
        <w:spacing w:line="295" w:lineRule="auto"/>
        <w:rPr>
          <w:color w:val="auto"/>
          <w:lang w:eastAsia="zh-CN"/>
        </w:rPr>
      </w:pPr>
    </w:p>
    <w:p w14:paraId="7FA2E2A3">
      <w:pPr>
        <w:pStyle w:val="8"/>
        <w:spacing w:line="295" w:lineRule="auto"/>
        <w:rPr>
          <w:color w:val="auto"/>
          <w:lang w:eastAsia="zh-CN"/>
        </w:rPr>
      </w:pPr>
    </w:p>
    <w:p w14:paraId="7F5B5FAD">
      <w:pPr>
        <w:pStyle w:val="8"/>
        <w:spacing w:line="296" w:lineRule="auto"/>
        <w:rPr>
          <w:color w:val="auto"/>
          <w:lang w:eastAsia="zh-CN"/>
        </w:rPr>
      </w:pPr>
    </w:p>
    <w:p w14:paraId="1FE3538E">
      <w:pPr>
        <w:spacing w:before="66" w:line="227" w:lineRule="auto"/>
        <w:ind w:left="5049"/>
        <w:rPr>
          <w:rFonts w:ascii="宋体" w:hAnsi="宋体" w:eastAsia="宋体" w:cs="宋体"/>
          <w:color w:val="auto"/>
          <w:sz w:val="20"/>
          <w:szCs w:val="20"/>
          <w:lang w:eastAsia="zh-CN"/>
        </w:rPr>
      </w:pPr>
      <w:r>
        <w:rPr>
          <w:rFonts w:ascii="宋体" w:hAnsi="宋体" w:eastAsia="宋体" w:cs="宋体"/>
          <w:color w:val="auto"/>
          <w:spacing w:val="8"/>
          <w:sz w:val="20"/>
          <w:szCs w:val="20"/>
          <w:lang w:eastAsia="zh-CN"/>
        </w:rPr>
        <w:t>投标人名称（电子签章</w:t>
      </w:r>
      <w:r>
        <w:rPr>
          <w:rFonts w:ascii="宋体" w:hAnsi="宋体" w:eastAsia="宋体" w:cs="宋体"/>
          <w:color w:val="auto"/>
          <w:spacing w:val="4"/>
          <w:sz w:val="20"/>
          <w:szCs w:val="20"/>
          <w:lang w:eastAsia="zh-CN"/>
        </w:rPr>
        <w:t>）：</w:t>
      </w:r>
    </w:p>
    <w:p w14:paraId="6D5B7E7B">
      <w:pPr>
        <w:spacing w:before="253" w:line="228" w:lineRule="auto"/>
        <w:ind w:left="5862"/>
        <w:rPr>
          <w:rFonts w:ascii="宋体" w:hAnsi="宋体" w:eastAsia="宋体" w:cs="宋体"/>
          <w:color w:val="auto"/>
          <w:sz w:val="20"/>
          <w:szCs w:val="20"/>
          <w:lang w:eastAsia="zh-CN"/>
        </w:rPr>
      </w:pPr>
      <w:r>
        <w:rPr>
          <w:rFonts w:ascii="宋体" w:hAnsi="宋体" w:eastAsia="宋体" w:cs="宋体"/>
          <w:color w:val="auto"/>
          <w:spacing w:val="-13"/>
          <w:sz w:val="20"/>
          <w:szCs w:val="20"/>
          <w:lang w:eastAsia="zh-CN"/>
        </w:rPr>
        <w:t>日</w:t>
      </w:r>
      <w:r>
        <w:rPr>
          <w:rFonts w:ascii="宋体" w:hAnsi="宋体" w:eastAsia="宋体" w:cs="宋体"/>
          <w:color w:val="auto"/>
          <w:spacing w:val="11"/>
          <w:sz w:val="20"/>
          <w:szCs w:val="20"/>
          <w:lang w:eastAsia="zh-CN"/>
        </w:rPr>
        <w:t xml:space="preserve">  </w:t>
      </w:r>
      <w:r>
        <w:rPr>
          <w:rFonts w:ascii="宋体" w:hAnsi="宋体" w:eastAsia="宋体" w:cs="宋体"/>
          <w:color w:val="auto"/>
          <w:spacing w:val="-13"/>
          <w:sz w:val="20"/>
          <w:szCs w:val="20"/>
          <w:lang w:eastAsia="zh-CN"/>
        </w:rPr>
        <w:t>期：</w:t>
      </w:r>
    </w:p>
    <w:p w14:paraId="7E97A33D">
      <w:pPr>
        <w:pStyle w:val="8"/>
        <w:spacing w:line="295" w:lineRule="auto"/>
        <w:rPr>
          <w:color w:val="auto"/>
          <w:lang w:eastAsia="zh-CN"/>
        </w:rPr>
      </w:pPr>
    </w:p>
    <w:p w14:paraId="346E98F0">
      <w:pPr>
        <w:pStyle w:val="8"/>
        <w:spacing w:line="295" w:lineRule="auto"/>
        <w:rPr>
          <w:color w:val="auto"/>
          <w:lang w:eastAsia="zh-CN"/>
        </w:rPr>
      </w:pPr>
    </w:p>
    <w:p w14:paraId="069259CA">
      <w:pPr>
        <w:pStyle w:val="8"/>
        <w:spacing w:line="295" w:lineRule="auto"/>
        <w:rPr>
          <w:color w:val="auto"/>
          <w:lang w:eastAsia="zh-CN"/>
        </w:rPr>
      </w:pPr>
    </w:p>
    <w:p w14:paraId="13F8B08D">
      <w:pPr>
        <w:pStyle w:val="8"/>
        <w:spacing w:line="295" w:lineRule="auto"/>
        <w:rPr>
          <w:color w:val="auto"/>
          <w:lang w:eastAsia="zh-CN"/>
        </w:rPr>
      </w:pPr>
    </w:p>
    <w:p w14:paraId="0CC56A3F">
      <w:pPr>
        <w:spacing w:before="66" w:line="226" w:lineRule="auto"/>
        <w:ind w:left="7"/>
        <w:rPr>
          <w:rFonts w:ascii="宋体" w:hAnsi="宋体" w:eastAsia="宋体" w:cs="宋体"/>
          <w:color w:val="auto"/>
          <w:sz w:val="20"/>
          <w:szCs w:val="20"/>
          <w:lang w:eastAsia="zh-CN"/>
        </w:rPr>
      </w:pPr>
      <w:r>
        <w:rPr>
          <w:rFonts w:ascii="宋体" w:hAnsi="宋体" w:eastAsia="宋体" w:cs="宋体"/>
          <w:color w:val="auto"/>
          <w:spacing w:val="9"/>
          <w:sz w:val="20"/>
          <w:szCs w:val="20"/>
          <w:lang w:eastAsia="zh-CN"/>
        </w:rPr>
        <w:t>若中标人为残疾人福利性单位的，将在结果公告时公告其《残疾人福利性单位声明函》。</w:t>
      </w:r>
    </w:p>
    <w:p w14:paraId="221211EA">
      <w:pPr>
        <w:spacing w:line="226" w:lineRule="auto"/>
        <w:rPr>
          <w:rFonts w:ascii="宋体" w:hAnsi="宋体" w:eastAsia="宋体" w:cs="宋体"/>
          <w:color w:val="auto"/>
          <w:sz w:val="20"/>
          <w:szCs w:val="20"/>
          <w:lang w:eastAsia="zh-CN"/>
        </w:rPr>
        <w:sectPr>
          <w:headerReference r:id="rId71" w:type="default"/>
          <w:footerReference r:id="rId72"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pPr>
    </w:p>
    <w:p w14:paraId="64B0CB41">
      <w:pPr>
        <w:pStyle w:val="8"/>
        <w:spacing w:line="345" w:lineRule="auto"/>
        <w:rPr>
          <w:color w:val="auto"/>
          <w:lang w:eastAsia="zh-CN"/>
        </w:rPr>
      </w:pPr>
    </w:p>
    <w:p w14:paraId="2B01DF12">
      <w:pPr>
        <w:spacing w:before="91" w:line="222" w:lineRule="auto"/>
        <w:ind w:left="1924"/>
        <w:rPr>
          <w:rFonts w:ascii="黑体" w:hAnsi="黑体" w:eastAsia="黑体" w:cs="黑体"/>
          <w:color w:val="auto"/>
          <w:sz w:val="28"/>
          <w:szCs w:val="28"/>
          <w:lang w:eastAsia="zh-CN"/>
        </w:rPr>
      </w:pPr>
      <w:r>
        <w:rPr>
          <w:rFonts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（九）、投标</w:t>
      </w:r>
      <w:r>
        <w:rPr>
          <w:rFonts w:hint="eastAsia"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服务商</w:t>
      </w:r>
      <w:r>
        <w:rPr>
          <w:rFonts w:ascii="黑体" w:hAnsi="黑体" w:eastAsia="黑体" w:cs="黑体"/>
          <w:color w:val="auto"/>
          <w:spacing w:val="-1"/>
          <w:sz w:val="28"/>
          <w:szCs w:val="28"/>
          <w:lang w:eastAsia="zh-CN"/>
          <w14:textOutline w14:w="5105" w14:cap="sq" w14:cmpd="sng" w14:algn="ctr">
            <w14:solidFill>
              <w14:srgbClr w14:val="000000"/>
            </w14:solidFill>
            <w14:prstDash w14:val="solid"/>
            <w14:bevel/>
          </w14:textOutline>
        </w:rPr>
        <w:t>提交的其它相关资格证明资料</w:t>
      </w:r>
    </w:p>
    <w:p w14:paraId="0D7FD247">
      <w:pPr>
        <w:pStyle w:val="8"/>
        <w:spacing w:line="260" w:lineRule="auto"/>
        <w:rPr>
          <w:color w:val="auto"/>
          <w:lang w:eastAsia="zh-CN"/>
        </w:rPr>
      </w:pPr>
    </w:p>
    <w:p w14:paraId="19FA0E44">
      <w:pPr>
        <w:pStyle w:val="8"/>
        <w:spacing w:line="261" w:lineRule="auto"/>
        <w:rPr>
          <w:color w:val="auto"/>
          <w:lang w:eastAsia="zh-CN"/>
        </w:rPr>
      </w:pPr>
    </w:p>
    <w:p w14:paraId="3A32439C">
      <w:pPr>
        <w:spacing w:before="65" w:line="227" w:lineRule="auto"/>
        <w:ind w:left="18"/>
        <w:rPr>
          <w:rFonts w:ascii="宋体" w:hAnsi="宋体" w:eastAsia="宋体" w:cs="宋体"/>
          <w:color w:val="auto"/>
          <w:sz w:val="20"/>
          <w:szCs w:val="20"/>
          <w:lang w:eastAsia="zh-CN"/>
        </w:rPr>
      </w:pPr>
      <w:r>
        <w:rPr>
          <w:rFonts w:ascii="Tahoma" w:hAnsi="Tahoma" w:eastAsia="Tahoma" w:cs="Tahoma"/>
          <w:b/>
          <w:bCs/>
          <w:color w:val="auto"/>
          <w:spacing w:val="8"/>
          <w:sz w:val="20"/>
          <w:szCs w:val="20"/>
          <w:lang w:eastAsia="zh-CN"/>
        </w:rPr>
        <w:t>1</w:t>
      </w:r>
      <w:r>
        <w:rPr>
          <w:rFonts w:ascii="Tahoma" w:hAnsi="Tahoma" w:eastAsia="Tahoma" w:cs="Tahoma"/>
          <w:b/>
          <w:bCs/>
          <w:color w:val="auto"/>
          <w:spacing w:val="-30"/>
          <w:sz w:val="20"/>
          <w:szCs w:val="20"/>
          <w:lang w:eastAsia="zh-CN"/>
        </w:rPr>
        <w:t xml:space="preserve"> </w:t>
      </w:r>
      <w:r>
        <w:rPr>
          <w:rFonts w:ascii="宋体" w:hAnsi="宋体" w:eastAsia="宋体" w:cs="宋体"/>
          <w:color w:val="auto"/>
          <w:spacing w:val="8"/>
          <w:sz w:val="20"/>
          <w:szCs w:val="20"/>
          <w:lang w:eastAsia="zh-CN"/>
          <w14:textOutline w14:w="3797" w14:cap="sq" w14:cmpd="sng" w14:algn="ctr">
            <w14:solidFill>
              <w14:srgbClr w14:val="000000"/>
            </w14:solidFill>
            <w14:prstDash w14:val="solid"/>
            <w14:bevel/>
          </w14:textOutline>
        </w:rPr>
        <w:t>、</w:t>
      </w:r>
      <w:r>
        <w:rPr>
          <w:rFonts w:ascii="宋体" w:hAnsi="宋体" w:eastAsia="宋体" w:cs="宋体"/>
          <w:color w:val="auto"/>
          <w:spacing w:val="8"/>
          <w:sz w:val="20"/>
          <w:szCs w:val="20"/>
          <w:lang w:eastAsia="zh-CN"/>
        </w:rPr>
        <w:t>投标</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认为应提交的其他相关资格证明文件或资料，可在此提交。</w:t>
      </w:r>
    </w:p>
    <w:p w14:paraId="19672DE1">
      <w:pPr>
        <w:spacing w:before="195" w:line="227" w:lineRule="auto"/>
        <w:ind w:left="9"/>
        <w:rPr>
          <w:color w:val="auto"/>
          <w:lang w:eastAsia="zh-CN"/>
        </w:rPr>
      </w:pPr>
      <w:r>
        <w:rPr>
          <w:rFonts w:ascii="Tahoma" w:hAnsi="Tahoma" w:eastAsia="Tahoma" w:cs="Tahoma"/>
          <w:color w:val="auto"/>
          <w:spacing w:val="8"/>
          <w:sz w:val="20"/>
          <w:szCs w:val="20"/>
          <w:lang w:eastAsia="zh-CN"/>
        </w:rPr>
        <w:t>2</w:t>
      </w:r>
      <w:r>
        <w:rPr>
          <w:rFonts w:ascii="宋体" w:hAnsi="宋体" w:eastAsia="宋体" w:cs="宋体"/>
          <w:color w:val="auto"/>
          <w:spacing w:val="8"/>
          <w:sz w:val="20"/>
          <w:szCs w:val="20"/>
          <w:lang w:eastAsia="zh-CN"/>
        </w:rPr>
        <w:t>、所提交的文件或资料应加盖投标</w:t>
      </w:r>
      <w:r>
        <w:rPr>
          <w:rFonts w:hint="eastAsia" w:ascii="宋体" w:hAnsi="宋体" w:eastAsia="宋体" w:cs="宋体"/>
          <w:color w:val="auto"/>
          <w:spacing w:val="8"/>
          <w:sz w:val="20"/>
          <w:szCs w:val="20"/>
          <w:lang w:eastAsia="zh-CN"/>
        </w:rPr>
        <w:t>服务商</w:t>
      </w:r>
      <w:r>
        <w:rPr>
          <w:rFonts w:ascii="宋体" w:hAnsi="宋体" w:eastAsia="宋体" w:cs="宋体"/>
          <w:color w:val="auto"/>
          <w:spacing w:val="8"/>
          <w:sz w:val="20"/>
          <w:szCs w:val="20"/>
          <w:lang w:eastAsia="zh-CN"/>
        </w:rPr>
        <w:t>公章。</w:t>
      </w:r>
    </w:p>
    <w:sectPr>
      <w:headerReference r:id="rId73" w:type="default"/>
      <w:footerReference r:id="rId74" w:type="default"/>
      <w:pgSz w:w="12240" w:h="15840"/>
      <w:pgMar w:top="1440" w:right="1080" w:bottom="1440" w:left="1080" w:header="1233" w:footer="363" w:gutter="0"/>
      <w:pgBorders>
        <w:top w:val="none" w:sz="0" w:space="0"/>
        <w:left w:val="none" w:sz="0" w:space="0"/>
        <w:bottom w:val="none" w:sz="0" w:space="0"/>
        <w:right w:val="none" w:sz="0" w:space="0"/>
      </w:pgBorders>
      <w:pgNumType w:fmt="decimal"/>
      <w:cols w:space="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0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0C819A1B-A298-45EF-8CAF-5C1333A62A6D}"/>
  </w:font>
  <w:font w:name="黑体">
    <w:panose1 w:val="02010609060101010101"/>
    <w:charset w:val="86"/>
    <w:family w:val="auto"/>
    <w:pitch w:val="default"/>
    <w:sig w:usb0="800002BF" w:usb1="38CF7CFA" w:usb2="00000016" w:usb3="00000000" w:csb0="00040001" w:csb1="00000000"/>
    <w:embedRegular r:id="rId2" w:fontKey="{9DD7094D-ADAE-4EDD-857A-C5023D367EE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简体">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3" w:fontKey="{F35DA910-62EB-4DE0-A5ED-B2366B5E8E6C}"/>
  </w:font>
  <w:font w:name="创艺简仿宋">
    <w:altName w:val="仿宋"/>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embedRegular r:id="rId4" w:fontKey="{977419CC-1C29-4A7D-9B03-252CD5C715D4}"/>
  </w:font>
  <w:font w:name="_x000b_x000c_">
    <w:altName w:val="微软雅黑"/>
    <w:panose1 w:val="00000000000000000000"/>
    <w:charset w:val="00"/>
    <w:family w:val="roman"/>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新宋体">
    <w:panose1 w:val="02010609030101010101"/>
    <w:charset w:val="86"/>
    <w:family w:val="modern"/>
    <w:pitch w:val="default"/>
    <w:sig w:usb0="00000283" w:usb1="288F0000" w:usb2="00000006" w:usb3="00000000" w:csb0="00040001" w:csb1="00000000"/>
    <w:embedRegular r:id="rId5" w:fontKey="{31A70169-0194-4ABC-A286-5AFF603CC28B}"/>
  </w:font>
  <w:font w:name="Tahoma">
    <w:panose1 w:val="020B0604030504040204"/>
    <w:charset w:val="00"/>
    <w:family w:val="swiss"/>
    <w:pitch w:val="default"/>
    <w:sig w:usb0="E1002EFF" w:usb1="C000605B" w:usb2="00000029" w:usb3="00000000" w:csb0="200101FF" w:csb1="20280000"/>
    <w:embedRegular r:id="rId6" w:fontKey="{BE11A2B8-D983-45FC-ADE7-F4F273E35D7E}"/>
  </w:font>
  <w:font w:name="方正仿宋_GB2312">
    <w:panose1 w:val="02000000000000000000"/>
    <w:charset w:val="86"/>
    <w:family w:val="auto"/>
    <w:pitch w:val="default"/>
    <w:sig w:usb0="A00002BF" w:usb1="184F6CFA" w:usb2="00000012" w:usb3="00000000" w:csb0="00040001" w:csb1="00000000"/>
    <w:embedRegular r:id="rId7" w:fontKey="{C5D18CAB-0845-483C-8DFD-AEA877CECD5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4C160">
    <w:pPr>
      <w:spacing w:line="179" w:lineRule="auto"/>
      <w:ind w:left="4639"/>
      <w:rPr>
        <w:rFonts w:ascii="Tahoma" w:hAnsi="Tahoma" w:eastAsia="Tahoma" w:cs="Tahoma"/>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BB0E28">
    <w:pPr>
      <w:spacing w:line="179" w:lineRule="auto"/>
      <w:ind w:left="5001"/>
      <w:rPr>
        <w:rFonts w:ascii="Tahoma" w:hAnsi="Tahoma" w:eastAsia="Tahoma" w:cs="Tahoma"/>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D25318">
                          <w:pPr>
                            <w:pStyle w:val="11"/>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sT65Q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sT65QzAgAAYwQAAA4AAAAAAAAAAQAgAAAAHwEAAGRycy9lMm9Eb2MueG1sUEsF&#10;BgAAAAAGAAYAWQEAAMQFAAAAAA==&#10;">
              <v:fill on="f" focussize="0,0"/>
              <v:stroke on="f" weight="0.5pt"/>
              <v:imagedata o:title=""/>
              <o:lock v:ext="edit" aspectratio="f"/>
              <v:textbox inset="0mm,0mm,0mm,0mm" style="mso-fit-shape-to-text:t;">
                <w:txbxContent>
                  <w:p w14:paraId="5ED25318">
                    <w:pPr>
                      <w:pStyle w:val="11"/>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CAFDA3">
    <w:pPr>
      <w:pStyle w:val="11"/>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6" name="文本框 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9FB6DF">
                          <w:pPr>
                            <w:pStyle w:val="11"/>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tIn8zAgAAYw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tIn8zAgAAYwQAAA4AAAAAAAAAAQAgAAAAHwEAAGRycy9lMm9Eb2MueG1sUEsF&#10;BgAAAAAGAAYAWQEAAMQFAAAAAA==&#10;">
              <v:fill on="f" focussize="0,0"/>
              <v:stroke on="f" weight="0.5pt"/>
              <v:imagedata o:title=""/>
              <o:lock v:ext="edit" aspectratio="f"/>
              <v:textbox inset="0mm,0mm,0mm,0mm" style="mso-fit-shape-to-text:t;">
                <w:txbxContent>
                  <w:p w14:paraId="319FB6DF">
                    <w:pPr>
                      <w:pStyle w:val="11"/>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ED2254">
    <w:pPr>
      <w:pStyle w:val="11"/>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7" name="文本框 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A4F529">
                          <w:pPr>
                            <w:pStyle w:val="11"/>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5FtZAzAgAAYw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5FtZAzAgAAYwQAAA4AAAAAAAAAAQAgAAAAHwEAAGRycy9lMm9Eb2MueG1sUEsF&#10;BgAAAAAGAAYAWQEAAMQFAAAAAA==&#10;">
              <v:fill on="f" focussize="0,0"/>
              <v:stroke on="f" weight="0.5pt"/>
              <v:imagedata o:title=""/>
              <o:lock v:ext="edit" aspectratio="f"/>
              <v:textbox inset="0mm,0mm,0mm,0mm" style="mso-fit-shape-to-text:t;">
                <w:txbxContent>
                  <w:p w14:paraId="53A4F529">
                    <w:pPr>
                      <w:pStyle w:val="11"/>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C07195">
    <w:pPr>
      <w:spacing w:line="177" w:lineRule="auto"/>
      <w:ind w:left="4907"/>
      <w:rPr>
        <w:rFonts w:ascii="Tahoma" w:hAnsi="Tahoma" w:eastAsia="Tahoma" w:cs="Tahoma"/>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07D5F6">
                          <w:pPr>
                            <w:pStyle w:val="11"/>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dNuWI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dNuWIzAgAAYwQAAA4AAAAAAAAAAQAgAAAAHwEAAGRycy9lMm9Eb2MueG1sUEsF&#10;BgAAAAAGAAYAWQEAAMQFAAAAAA==&#10;">
              <v:fill on="f" focussize="0,0"/>
              <v:stroke on="f" weight="0.5pt"/>
              <v:imagedata o:title=""/>
              <o:lock v:ext="edit" aspectratio="f"/>
              <v:textbox inset="0mm,0mm,0mm,0mm" style="mso-fit-shape-to-text:t;">
                <w:txbxContent>
                  <w:p w14:paraId="3E07D5F6">
                    <w:pPr>
                      <w:pStyle w:val="11"/>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46BCB8">
    <w:pPr>
      <w:spacing w:line="176" w:lineRule="auto"/>
      <w:ind w:left="460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4" name="文本框 8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9F91A7">
                          <w:pPr>
                            <w:pStyle w:val="11"/>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f5R8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Ef5R8zAgAAYwQAAA4AAAAAAAAAAQAgAAAAHwEAAGRycy9lMm9Eb2MueG1sUEsF&#10;BgAAAAAGAAYAWQEAAMQFAAAAAA==&#10;">
              <v:fill on="f" focussize="0,0"/>
              <v:stroke on="f" weight="0.5pt"/>
              <v:imagedata o:title=""/>
              <o:lock v:ext="edit" aspectratio="f"/>
              <v:textbox inset="0mm,0mm,0mm,0mm" style="mso-fit-shape-to-text:t;">
                <w:txbxContent>
                  <w:p w14:paraId="459F91A7">
                    <w:pPr>
                      <w:pStyle w:val="11"/>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FACF02">
    <w:pPr>
      <w:spacing w:line="176" w:lineRule="auto"/>
      <w:ind w:left="460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5" name="文本框 8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3DEB9C">
                          <w:pPr>
                            <w:pStyle w:val="11"/>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3cvA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7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3cvAzAgAAYwQAAA4AAAAAAAAAAQAgAAAAHwEAAGRycy9lMm9Eb2MueG1sUEsF&#10;BgAAAAAGAAYAWQEAAMQFAAAAAA==&#10;">
              <v:fill on="f" focussize="0,0"/>
              <v:stroke on="f" weight="0.5pt"/>
              <v:imagedata o:title=""/>
              <o:lock v:ext="edit" aspectratio="f"/>
              <v:textbox inset="0mm,0mm,0mm,0mm" style="mso-fit-shape-to-text:t;">
                <w:txbxContent>
                  <w:p w14:paraId="253DEB9C">
                    <w:pPr>
                      <w:pStyle w:val="11"/>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2D871">
    <w:pPr>
      <w:spacing w:line="176" w:lineRule="auto"/>
      <w:ind w:left="459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41484E">
                          <w:pPr>
                            <w:pStyle w:val="11"/>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82AzAgAAYwQAAA4AAABkcnMvZTJvRG9jLnhtbK1UzY7TMBC+I/EO&#10;lu80aRGrUj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82AzAgAAYwQAAA4AAAAAAAAAAQAgAAAAHwEAAGRycy9lMm9Eb2MueG1sUEsF&#10;BgAAAAAGAAYAWQEAAMQFAAAAAA==&#10;">
              <v:fill on="f" focussize="0,0"/>
              <v:stroke on="f" weight="0.5pt"/>
              <v:imagedata o:title=""/>
              <o:lock v:ext="edit" aspectratio="f"/>
              <v:textbox inset="0mm,0mm,0mm,0mm" style="mso-fit-shape-to-text:t;">
                <w:txbxContent>
                  <w:p w14:paraId="3E41484E">
                    <w:pPr>
                      <w:pStyle w:val="11"/>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29623D">
    <w:pPr>
      <w:spacing w:line="176" w:lineRule="auto"/>
      <w:ind w:left="459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2" name="文本框 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A86A51">
                          <w:pPr>
                            <w:pStyle w:val="11"/>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Oos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OoszAgAAYwQAAA4AAAAAAAAAAQAgAAAAHwEAAGRycy9lMm9Eb2MueG1sUEsF&#10;BgAAAAAGAAYAWQEAAMQFAAAAAA==&#10;">
              <v:fill on="f" focussize="0,0"/>
              <v:stroke on="f" weight="0.5pt"/>
              <v:imagedata o:title=""/>
              <o:lock v:ext="edit" aspectratio="f"/>
              <v:textbox inset="0mm,0mm,0mm,0mm" style="mso-fit-shape-to-text:t;">
                <w:txbxContent>
                  <w:p w14:paraId="33A86A51">
                    <w:pPr>
                      <w:pStyle w:val="11"/>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06E37">
    <w:pPr>
      <w:spacing w:line="176" w:lineRule="auto"/>
      <w:ind w:left="459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93" name="文本框 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48C865">
                          <w:pPr>
                            <w:pStyle w:val="11"/>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7rWQ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7rWQzAgAAYwQAAA4AAAAAAAAAAQAgAAAAHwEAAGRycy9lMm9Eb2MueG1sUEsF&#10;BgAAAAAGAAYAWQEAAMQFAAAAAA==&#10;">
              <v:fill on="f" focussize="0,0"/>
              <v:stroke on="f" weight="0.5pt"/>
              <v:imagedata o:title=""/>
              <o:lock v:ext="edit" aspectratio="f"/>
              <v:textbox inset="0mm,0mm,0mm,0mm" style="mso-fit-shape-to-text:t;">
                <w:txbxContent>
                  <w:p w14:paraId="2448C865">
                    <w:pPr>
                      <w:pStyle w:val="11"/>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65B340">
    <w:pPr>
      <w:spacing w:line="176" w:lineRule="auto"/>
      <w:ind w:left="4676"/>
      <w:rPr>
        <w:rFonts w:hint="default" w:ascii="Times New Roman" w:hAnsi="Times New Roman" w:eastAsia="宋体" w:cs="Times New Roman"/>
        <w:sz w:val="18"/>
        <w:szCs w:val="18"/>
        <w:lang w:val="en-US" w:eastAsia="zh-CN"/>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94" name="文本框 9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39790F">
                          <w:pPr>
                            <w:pStyle w:val="11"/>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o2Ic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o2IczAgAAYwQAAA4AAAAAAAAAAQAgAAAAHwEAAGRycy9lMm9Eb2MueG1sUEsF&#10;BgAAAAAGAAYAWQEAAMQFAAAAAA==&#10;">
              <v:fill on="f" focussize="0,0"/>
              <v:stroke on="f" weight="0.5pt"/>
              <v:imagedata o:title=""/>
              <o:lock v:ext="edit" aspectratio="f"/>
              <v:textbox inset="0mm,0mm,0mm,0mm" style="mso-fit-shape-to-text:t;">
                <w:txbxContent>
                  <w:p w14:paraId="6039790F">
                    <w:pPr>
                      <w:pStyle w:val="11"/>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FD2C9F">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98" name="文本框 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EB0B4B">
                          <w:pPr>
                            <w:pStyle w:val="11"/>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teHZ4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teHZ4zAgAAYwQAAA4AAAAAAAAAAQAgAAAAHwEAAGRycy9lMm9Eb2MueG1sUEsF&#10;BgAAAAAGAAYAWQEAAMQFAAAAAA==&#10;">
              <v:fill on="f" focussize="0,0"/>
              <v:stroke on="f" weight="0.5pt"/>
              <v:imagedata o:title=""/>
              <o:lock v:ext="edit" aspectratio="f"/>
              <v:textbox inset="0mm,0mm,0mm,0mm" style="mso-fit-shape-to-text:t;">
                <w:txbxContent>
                  <w:p w14:paraId="2AEB0B4B">
                    <w:pPr>
                      <w:pStyle w:val="11"/>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EC8F89">
    <w:pPr>
      <w:spacing w:line="176" w:lineRule="auto"/>
      <w:ind w:left="49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0" name="文本框 10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670383">
                          <w:pPr>
                            <w:pStyle w:val="11"/>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TnCo8x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5wqPMQIAAGUEAAAOAAAAAAAAAAEAIAAAAB8BAABkcnMvZTJvRG9jLnhtbFBLBQYA&#10;AAAABgAGAFkBAADCBQAAAAA=&#10;">
              <v:fill on="f" focussize="0,0"/>
              <v:stroke on="f" weight="0.5pt"/>
              <v:imagedata o:title=""/>
              <o:lock v:ext="edit" aspectratio="f"/>
              <v:textbox inset="0mm,0mm,0mm,0mm" style="mso-fit-shape-to-text:t;">
                <w:txbxContent>
                  <w:p w14:paraId="6F670383">
                    <w:pPr>
                      <w:pStyle w:val="11"/>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1CC21">
    <w:pPr>
      <w:pStyle w:val="11"/>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14935" cy="131445"/>
              <wp:effectExtent l="0" t="0" r="0" b="0"/>
              <wp:wrapNone/>
              <wp:docPr id="4" name="文本框 4"/>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14:paraId="746AF566">
                          <w:pPr>
                            <w:pStyle w:val="11"/>
                            <w:jc w:val="center"/>
                          </w:pPr>
                          <w:r>
                            <w:fldChar w:fldCharType="begin"/>
                          </w:r>
                          <w:r>
                            <w:instrText xml:space="preserve">PAGE   \* MERGEFORMAT</w:instrText>
                          </w:r>
                          <w:r>
                            <w:fldChar w:fldCharType="separate"/>
                          </w:r>
                          <w:r>
                            <w:rPr>
                              <w:lang w:val="zh-CN"/>
                            </w:rPr>
                            <w:t>33</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63360;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EPlfknQAAAAAwEAAA8AAAAAAAAAAQAgAAAAIgAAAGRycy9kb3du&#10;cmV2LnhtbFBLAQIUABQAAAAIAIdO4kBm4+OPzgEAAJcDAAAOAAAAAAAAAAEAIAAAAB8BAABkcnMv&#10;ZTJvRG9jLnhtbFBLBQYAAAAABgAGAFkBAABfBQAAAAA=&#10;">
              <v:fill on="f" focussize="0,0"/>
              <v:stroke on="f"/>
              <v:imagedata o:title=""/>
              <o:lock v:ext="edit" aspectratio="f"/>
              <v:textbox inset="0mm,0mm,0mm,0mm" style="mso-fit-shape-to-text:t;">
                <w:txbxContent>
                  <w:p w14:paraId="746AF566">
                    <w:pPr>
                      <w:pStyle w:val="11"/>
                      <w:jc w:val="center"/>
                    </w:pPr>
                    <w:r>
                      <w:fldChar w:fldCharType="begin"/>
                    </w:r>
                    <w:r>
                      <w:instrText xml:space="preserve">PAGE   \* MERGEFORMAT</w:instrText>
                    </w:r>
                    <w:r>
                      <w:fldChar w:fldCharType="separate"/>
                    </w:r>
                    <w:r>
                      <w:rPr>
                        <w:lang w:val="zh-CN"/>
                      </w:rPr>
                      <w:t>33</w:t>
                    </w:r>
                    <w:r>
                      <w:fldChar w:fldCharType="end"/>
                    </w:r>
                  </w:p>
                </w:txbxContent>
              </v:textbox>
            </v:shape>
          </w:pict>
        </mc:Fallback>
      </mc:AlternateContent>
    </w:r>
  </w:p>
  <w:p w14:paraId="27D0235C">
    <w:pPr>
      <w:pStyle w:val="11"/>
      <w:jc w:val="cente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854824">
    <w:pPr>
      <w:pStyle w:val="11"/>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A8F58">
    <w:pPr>
      <w:pStyle w:val="11"/>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15BFC9">
    <w:pPr>
      <w:spacing w:line="176" w:lineRule="auto"/>
      <w:ind w:left="4891"/>
      <w:rPr>
        <w:rFonts w:ascii="Tahoma" w:hAnsi="Tahoma" w:eastAsia="Tahoma" w:cs="Tahoma"/>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0" name="文本框 1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0A0252">
                          <w:pPr>
                            <w:pStyle w:val="11"/>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jB9lU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S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SMH2VTICAABlBAAADgAAAAAAAAABACAAAAAfAQAAZHJzL2Uyb0RvYy54bWxQSwUG&#10;AAAAAAYABgBZAQAAwwUAAAAA&#10;">
              <v:fill on="f" focussize="0,0"/>
              <v:stroke on="f" weight="0.5pt"/>
              <v:imagedata o:title=""/>
              <o:lock v:ext="edit" aspectratio="f"/>
              <v:textbox inset="0mm,0mm,0mm,0mm" style="mso-fit-shape-to-text:t;">
                <w:txbxContent>
                  <w:p w14:paraId="120A0252">
                    <w:pPr>
                      <w:pStyle w:val="11"/>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BD5600">
    <w:pPr>
      <w:spacing w:line="179" w:lineRule="auto"/>
      <w:ind w:left="4891"/>
      <w:rPr>
        <w:rFonts w:ascii="Tahoma" w:hAnsi="Tahoma" w:eastAsia="Tahoma" w:cs="Tahoma"/>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1" name="文本框 1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CFE955">
                          <w:pPr>
                            <w:pStyle w:val="11"/>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N9aMk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w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31oyTICAABlBAAADgAAAAAAAAABACAAAAAfAQAAZHJzL2Uyb0RvYy54bWxQSwUG&#10;AAAAAAYABgBZAQAAwwUAAAAA&#10;">
              <v:fill on="f" focussize="0,0"/>
              <v:stroke on="f" weight="0.5pt"/>
              <v:imagedata o:title=""/>
              <o:lock v:ext="edit" aspectratio="f"/>
              <v:textbox inset="0mm,0mm,0mm,0mm" style="mso-fit-shape-to-text:t;">
                <w:txbxContent>
                  <w:p w14:paraId="17CFE955">
                    <w:pPr>
                      <w:pStyle w:val="11"/>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8CA415">
    <w:pPr>
      <w:pStyle w:val="11"/>
      <w:jc w:val="cente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2" name="文本框 1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431F1B">
                          <w:pPr>
                            <w:pStyle w:val="11"/>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urc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m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urczAgAAZQQAAA4AAAAAAAAAAQAgAAAAHwEAAGRycy9lMm9Eb2MueG1sUEsF&#10;BgAAAAAGAAYAWQEAAMQFAAAAAA==&#10;">
              <v:fill on="f" focussize="0,0"/>
              <v:stroke on="f" weight="0.5pt"/>
              <v:imagedata o:title=""/>
              <o:lock v:ext="edit" aspectratio="f"/>
              <v:textbox inset="0mm,0mm,0mm,0mm" style="mso-fit-shape-to-text:t;">
                <w:txbxContent>
                  <w:p w14:paraId="05431F1B">
                    <w:pPr>
                      <w:pStyle w:val="11"/>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3C1C0D">
    <w:pPr>
      <w:tabs>
        <w:tab w:val="left" w:pos="5086"/>
      </w:tabs>
      <w:spacing w:line="180" w:lineRule="auto"/>
      <w:ind w:left="4894"/>
      <w:rPr>
        <w:rFonts w:hint="eastAsia" w:ascii="Tahoma" w:hAnsi="Tahoma" w:eastAsia="宋体" w:cs="Tahoma"/>
        <w:sz w:val="18"/>
        <w:szCs w:val="18"/>
        <w:lang w:eastAsia="zh-CN"/>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6" name="文本框 1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C5DE70">
                          <w:pPr>
                            <w:pStyle w:val="11"/>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BEU6gzAgAAZ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BEU6gzAgAAZQQAAA4AAAAAAAAAAQAgAAAAHwEAAGRycy9lMm9Eb2MueG1sUEsF&#10;BgAAAAAGAAYAWQEAAMQFAAAAAA==&#10;">
              <v:fill on="f" focussize="0,0"/>
              <v:stroke on="f" weight="0.5pt"/>
              <v:imagedata o:title=""/>
              <o:lock v:ext="edit" aspectratio="f"/>
              <v:textbox inset="0mm,0mm,0mm,0mm" style="mso-fit-shape-to-text:t;">
                <w:txbxContent>
                  <w:p w14:paraId="0CC5DE70">
                    <w:pPr>
                      <w:pStyle w:val="11"/>
                    </w:pPr>
                    <w:r>
                      <w:fldChar w:fldCharType="begin"/>
                    </w:r>
                    <w:r>
                      <w:instrText xml:space="preserve"> PAGE  \* MERGEFORMAT </w:instrText>
                    </w:r>
                    <w:r>
                      <w:fldChar w:fldCharType="separate"/>
                    </w:r>
                    <w:r>
                      <w:t>68</w:t>
                    </w:r>
                    <w:r>
                      <w:fldChar w:fldCharType="end"/>
                    </w:r>
                  </w:p>
                </w:txbxContent>
              </v:textbox>
            </v:shape>
          </w:pict>
        </mc:Fallback>
      </mc:AlternateContent>
    </w:r>
    <w:r>
      <w:rPr>
        <w:rFonts w:hint="eastAsia" w:ascii="Tahoma" w:hAnsi="Tahoma" w:eastAsia="宋体" w:cs="Tahoma"/>
        <w:sz w:val="18"/>
        <w:szCs w:val="18"/>
        <w:lang w:eastAsia="zh-CN"/>
      </w:rPr>
      <w:tab/>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B0A62E">
    <w:pPr>
      <w:spacing w:line="180" w:lineRule="auto"/>
      <w:ind w:left="4894"/>
      <w:rPr>
        <w:rFonts w:hint="default" w:ascii="Tahoma" w:hAnsi="Tahoma" w:eastAsia="宋体" w:cs="Tahoma"/>
        <w:sz w:val="18"/>
        <w:szCs w:val="18"/>
        <w:lang w:val="en-US" w:eastAsia="zh-CN"/>
      </w:rPr>
    </w:pPr>
    <w:r>
      <w:rPr>
        <w:rFonts w:hint="eastAsia" w:ascii="Tahoma" w:hAnsi="Tahoma" w:eastAsia="宋体" w:cs="Tahoma"/>
        <w:spacing w:val="-4"/>
        <w:sz w:val="18"/>
        <w:szCs w:val="18"/>
        <w:lang w:val="en-US" w:eastAsia="zh-CN"/>
      </w:rPr>
      <w:t>68</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48ED5D">
    <w:pPr>
      <w:pStyle w:val="11"/>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8" name="文本框 1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F25C01">
                          <w:pPr>
                            <w:pStyle w:val="11"/>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3JWo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jclajICAABlBAAADgAAAAAAAAABACAAAAAfAQAAZHJzL2Uyb0RvYy54bWxQSwUG&#10;AAAAAAYABgBZAQAAwwUAAAAA&#10;">
              <v:fill on="f" focussize="0,0"/>
              <v:stroke on="f" weight="0.5pt"/>
              <v:imagedata o:title=""/>
              <o:lock v:ext="edit" aspectratio="f"/>
              <v:textbox inset="0mm,0mm,0mm,0mm" style="mso-fit-shape-to-text:t;">
                <w:txbxContent>
                  <w:p w14:paraId="12F25C01">
                    <w:pPr>
                      <w:pStyle w:val="11"/>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73E106">
    <w:pPr>
      <w:spacing w:line="180" w:lineRule="auto"/>
      <w:ind w:left="4894"/>
      <w:rPr>
        <w:rFonts w:ascii="Tahoma" w:hAnsi="Tahoma" w:eastAsia="Tahoma" w:cs="Tahoma"/>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9" name="文本框 1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0A5CA0">
                          <w:pPr>
                            <w:pStyle w:val="11"/>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2Lu/Y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9i7v2NAIAAGUEAAAOAAAAAAAAAAEAIAAAAB8BAABkcnMvZTJvRG9jLnhtbFBL&#10;BQYAAAAABgAGAFkBAADFBQAAAAA=&#10;">
              <v:fill on="f" focussize="0,0"/>
              <v:stroke on="f" weight="0.5pt"/>
              <v:imagedata o:title=""/>
              <o:lock v:ext="edit" aspectratio="f"/>
              <v:textbox inset="0mm,0mm,0mm,0mm" style="mso-fit-shape-to-text:t;">
                <w:txbxContent>
                  <w:p w14:paraId="580A5CA0">
                    <w:pPr>
                      <w:pStyle w:val="11"/>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FD76C4">
    <w:pPr>
      <w:spacing w:line="180" w:lineRule="auto"/>
      <w:jc w:val="center"/>
      <w:rPr>
        <w:rFonts w:ascii="Tahoma" w:hAnsi="Tahoma" w:eastAsia="Tahoma" w:cs="Tahoma"/>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0" name="文本框 1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B92BE2">
                          <w:pPr>
                            <w:pStyle w:val="11"/>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tg+E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a2D4TICAABlBAAADgAAAAAAAAABACAAAAAfAQAAZHJzL2Uyb0RvYy54bWxQSwUG&#10;AAAAAAYABgBZAQAAwwUAAAAA&#10;">
              <v:fill on="f" focussize="0,0"/>
              <v:stroke on="f" weight="0.5pt"/>
              <v:imagedata o:title=""/>
              <o:lock v:ext="edit" aspectratio="f"/>
              <v:textbox inset="0mm,0mm,0mm,0mm" style="mso-fit-shape-to-text:t;">
                <w:txbxContent>
                  <w:p w14:paraId="35B92BE2">
                    <w:pPr>
                      <w:pStyle w:val="11"/>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73B7EF">
    <w:pPr>
      <w:spacing w:line="180" w:lineRule="auto"/>
      <w:ind w:left="5040"/>
      <w:rPr>
        <w:rFonts w:ascii="Tahoma" w:hAnsi="Tahoma" w:eastAsia="Tahoma" w:cs="Tahoma"/>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1" name="文本框 1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AB7CFF">
                          <w:pPr>
                            <w:pStyle w:val="11"/>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YRHX0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4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dfTICAABlBAAADgAAAAAAAAABACAAAAAfAQAAZHJzL2Uyb0RvYy54bWxQSwUG&#10;AAAAAAYABgBZAQAAwwUAAAAA&#10;">
              <v:fill on="f" focussize="0,0"/>
              <v:stroke on="f" weight="0.5pt"/>
              <v:imagedata o:title=""/>
              <o:lock v:ext="edit" aspectratio="f"/>
              <v:textbox inset="0mm,0mm,0mm,0mm" style="mso-fit-shape-to-text:t;">
                <w:txbxContent>
                  <w:p w14:paraId="06AB7CFF">
                    <w:pPr>
                      <w:pStyle w:val="11"/>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AABEF7">
    <w:pPr>
      <w:spacing w:line="180" w:lineRule="auto"/>
      <w:ind w:left="5040"/>
      <w:rPr>
        <w:rFonts w:ascii="Tahoma" w:hAnsi="Tahoma" w:eastAsia="Tahoma" w:cs="Tahoma"/>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2" name="文本框 1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659BDE">
                          <w:pPr>
                            <w:pStyle w:val="11"/>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rTzwM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n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rTzwMzAgAAZQQAAA4AAAAAAAAAAQAgAAAAHwEAAGRycy9lMm9Eb2MueG1sUEsF&#10;BgAAAAAGAAYAWQEAAMQFAAAAAA==&#10;">
              <v:fill on="f" focussize="0,0"/>
              <v:stroke on="f" weight="0.5pt"/>
              <v:imagedata o:title=""/>
              <o:lock v:ext="edit" aspectratio="f"/>
              <v:textbox inset="0mm,0mm,0mm,0mm" style="mso-fit-shape-to-text:t;">
                <w:txbxContent>
                  <w:p w14:paraId="7D659BDE">
                    <w:pPr>
                      <w:pStyle w:val="11"/>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9CF416">
    <w:pPr>
      <w:spacing w:line="180" w:lineRule="auto"/>
      <w:ind w:left="5040"/>
      <w:rPr>
        <w:rFonts w:ascii="Tahoma" w:hAnsi="Tahoma" w:eastAsia="Tahoma" w:cs="Tahoma"/>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3" name="文本框 1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09E87F">
                          <w:pPr>
                            <w:pStyle w:val="11"/>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FvUZ8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FvUZ8zAgAAZQQAAA4AAAAAAAAAAQAgAAAAHwEAAGRycy9lMm9Eb2MueG1sUEsF&#10;BgAAAAAGAAYAWQEAAMQFAAAAAA==&#10;">
              <v:fill on="f" focussize="0,0"/>
              <v:stroke on="f" weight="0.5pt"/>
              <v:imagedata o:title=""/>
              <o:lock v:ext="edit" aspectratio="f"/>
              <v:textbox inset="0mm,0mm,0mm,0mm" style="mso-fit-shape-to-text:t;">
                <w:txbxContent>
                  <w:p w14:paraId="5E09E87F">
                    <w:pPr>
                      <w:pStyle w:val="11"/>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D36EC8">
    <w:pPr>
      <w:spacing w:line="179" w:lineRule="auto"/>
      <w:ind w:left="5040"/>
      <w:rPr>
        <w:rFonts w:ascii="Tahoma" w:hAnsi="Tahoma" w:eastAsia="Tahoma" w:cs="Tahoma"/>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4" name="文本框 1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1F64DE">
                          <w:pPr>
                            <w:pStyle w:val="11"/>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JWav4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SVmr+NAIAAGUEAAAOAAAAAAAAAAEAIAAAAB8BAABkcnMvZTJvRG9jLnhtbFBL&#10;BQYAAAAABgAGAFkBAADFBQAAAAA=&#10;">
              <v:fill on="f" focussize="0,0"/>
              <v:stroke on="f" weight="0.5pt"/>
              <v:imagedata o:title=""/>
              <o:lock v:ext="edit" aspectratio="f"/>
              <v:textbox inset="0mm,0mm,0mm,0mm" style="mso-fit-shape-to-text:t;">
                <w:txbxContent>
                  <w:p w14:paraId="281F64DE">
                    <w:pPr>
                      <w:pStyle w:val="11"/>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C3218">
    <w:pPr>
      <w:spacing w:line="179" w:lineRule="auto"/>
      <w:ind w:left="4893"/>
      <w:rPr>
        <w:rFonts w:ascii="Tahoma" w:hAnsi="Tahoma" w:eastAsia="Tahoma" w:cs="Tahoma"/>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5" name="文本框 1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56DE18">
                          <w:pPr>
                            <w:pStyle w:val="11"/>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nq9GI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nq9GIzAgAAZQQAAA4AAAAAAAAAAQAgAAAAHwEAAGRycy9lMm9Eb2MueG1sUEsF&#10;BgAAAAAGAAYAWQEAAMQFAAAAAA==&#10;">
              <v:fill on="f" focussize="0,0"/>
              <v:stroke on="f" weight="0.5pt"/>
              <v:imagedata o:title=""/>
              <o:lock v:ext="edit" aspectratio="f"/>
              <v:textbox inset="0mm,0mm,0mm,0mm" style="mso-fit-shape-to-text:t;">
                <w:txbxContent>
                  <w:p w14:paraId="3856DE18">
                    <w:pPr>
                      <w:pStyle w:val="11"/>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B0BA6E">
    <w:pPr>
      <w:spacing w:line="179" w:lineRule="auto"/>
      <w:ind w:left="4898"/>
      <w:rPr>
        <w:rFonts w:ascii="Tahoma" w:hAnsi="Tahoma" w:eastAsia="Tahoma" w:cs="Tahoma"/>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5D83F4">
                          <w:pPr>
                            <w:pStyle w:val="11"/>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UoJhw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nR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UoJhwzAgAAZQQAAA4AAAAAAAAAAQAgAAAAHwEAAGRycy9lMm9Eb2MueG1sUEsF&#10;BgAAAAAGAAYAWQEAAMQFAAAAAA==&#10;">
              <v:fill on="f" focussize="0,0"/>
              <v:stroke on="f" weight="0.5pt"/>
              <v:imagedata o:title=""/>
              <o:lock v:ext="edit" aspectratio="f"/>
              <v:textbox inset="0mm,0mm,0mm,0mm" style="mso-fit-shape-to-text:t;">
                <w:txbxContent>
                  <w:p w14:paraId="385D83F4">
                    <w:pPr>
                      <w:pStyle w:val="11"/>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9744B3">
    <w:pPr>
      <w:spacing w:line="179" w:lineRule="auto"/>
      <w:ind w:left="4893"/>
      <w:rPr>
        <w:rFonts w:ascii="Tahoma" w:hAnsi="Tahoma" w:eastAsia="Tahoma" w:cs="Tahoma"/>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C10F92">
                          <w:pPr>
                            <w:pStyle w:val="11"/>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6UuIA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ulLiANAIAAGUEAAAOAAAAAAAAAAEAIAAAAB8BAABkcnMvZTJvRG9jLnhtbFBL&#10;BQYAAAAABgAGAFkBAADFBQAAAAA=&#10;">
              <v:fill on="f" focussize="0,0"/>
              <v:stroke on="f" weight="0.5pt"/>
              <v:imagedata o:title=""/>
              <o:lock v:ext="edit" aspectratio="f"/>
              <v:textbox inset="0mm,0mm,0mm,0mm" style="mso-fit-shape-to-text:t;">
                <w:txbxContent>
                  <w:p w14:paraId="3FC10F92">
                    <w:pPr>
                      <w:pStyle w:val="11"/>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4B5303">
    <w:pPr>
      <w:spacing w:line="179" w:lineRule="auto"/>
      <w:ind w:left="4893"/>
      <w:rPr>
        <w:rFonts w:ascii="Tahoma" w:hAnsi="Tahoma" w:eastAsia="Tahoma" w:cs="Tahoma"/>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8" name="文本框 1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B58BCD">
                          <w:pPr>
                            <w:pStyle w:val="11"/>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bUN4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1tQ3jICAABlBAAADgAAAAAAAAABACAAAAAfAQAAZHJzL2Uyb0RvYy54bWxQSwUG&#10;AAAAAAYABgBZAQAAwwUAAAAA&#10;">
              <v:fill on="f" focussize="0,0"/>
              <v:stroke on="f" weight="0.5pt"/>
              <v:imagedata o:title=""/>
              <o:lock v:ext="edit" aspectratio="f"/>
              <v:textbox inset="0mm,0mm,0mm,0mm" style="mso-fit-shape-to-text:t;">
                <w:txbxContent>
                  <w:p w14:paraId="52B58BCD">
                    <w:pPr>
                      <w:pStyle w:val="11"/>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3E0B2">
    <w:pPr>
      <w:spacing w:line="179" w:lineRule="auto"/>
      <w:ind w:left="4893"/>
      <w:rPr>
        <w:rFonts w:ascii="Tahoma" w:hAnsi="Tahoma" w:eastAsia="Tahoma" w:cs="Tahoma"/>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9" name="文本框 1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CBEA2C">
                          <w:pPr>
                            <w:pStyle w:val="11"/>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nzkI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I585CNAIAAGUEAAAOAAAAAAAAAAEAIAAAAB8BAABkcnMvZTJvRG9jLnhtbFBL&#10;BQYAAAAABgAGAFkBAADFBQAAAAA=&#10;">
              <v:fill on="f" focussize="0,0"/>
              <v:stroke on="f" weight="0.5pt"/>
              <v:imagedata o:title=""/>
              <o:lock v:ext="edit" aspectratio="f"/>
              <v:textbox inset="0mm,0mm,0mm,0mm" style="mso-fit-shape-to-text:t;">
                <w:txbxContent>
                  <w:p w14:paraId="2DCBEA2C">
                    <w:pPr>
                      <w:pStyle w:val="11"/>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E3C014">
    <w:pPr>
      <w:spacing w:line="179" w:lineRule="auto"/>
      <w:ind w:left="4963"/>
      <w:rPr>
        <w:rFonts w:ascii="Tahoma" w:hAnsi="Tahoma" w:eastAsia="Tahoma" w:cs="Tahoma"/>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0" name="文本框 1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437755">
                          <w:pPr>
                            <w:pStyle w:val="11"/>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fz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GLfzszAgAAZQQAAA4AAAAAAAAAAQAgAAAAHwEAAGRycy9lMm9Eb2MueG1sUEsF&#10;BgAAAAAGAAYAWQEAAMQFAAAAAA==&#10;">
              <v:fill on="f" focussize="0,0"/>
              <v:stroke on="f" weight="0.5pt"/>
              <v:imagedata o:title=""/>
              <o:lock v:ext="edit" aspectratio="f"/>
              <v:textbox inset="0mm,0mm,0mm,0mm" style="mso-fit-shape-to-text:t;">
                <w:txbxContent>
                  <w:p w14:paraId="61437755">
                    <w:pPr>
                      <w:pStyle w:val="11"/>
                    </w:pPr>
                    <w:r>
                      <w:fldChar w:fldCharType="begin"/>
                    </w:r>
                    <w:r>
                      <w:instrText xml:space="preserve"> PAGE  \* MERGEFORMAT </w:instrText>
                    </w:r>
                    <w:r>
                      <w:fldChar w:fldCharType="separate"/>
                    </w:r>
                    <w:r>
                      <w:t>82</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0E0C7">
    <w:pPr>
      <w:spacing w:line="180" w:lineRule="auto"/>
      <w:ind w:left="4893"/>
      <w:rPr>
        <w:rFonts w:ascii="Tahoma" w:hAnsi="Tahoma" w:eastAsia="Tahoma" w:cs="Tahoma"/>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1" name="文本框 1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5EE5E6">
                          <w:pPr>
                            <w:pStyle w:val="11"/>
                          </w:pPr>
                          <w:r>
                            <w:fldChar w:fldCharType="begin"/>
                          </w:r>
                          <w:r>
                            <w:instrText xml:space="preserve"> PAGE  \* MERGEFORMAT </w:instrText>
                          </w:r>
                          <w:r>
                            <w:fldChar w:fldCharType="separate"/>
                          </w:r>
                          <w:r>
                            <w:t>83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34aczAgAAZQ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34aczAgAAZQQAAA4AAAAAAAAAAQAgAAAAHwEAAGRycy9lMm9Eb2MueG1sUEsF&#10;BgAAAAAGAAYAWQEAAMQFAAAAAA==&#10;">
              <v:fill on="f" focussize="0,0"/>
              <v:stroke on="f" weight="0.5pt"/>
              <v:imagedata o:title=""/>
              <o:lock v:ext="edit" aspectratio="f"/>
              <v:textbox inset="0mm,0mm,0mm,0mm" style="mso-fit-shape-to-text:t;">
                <w:txbxContent>
                  <w:p w14:paraId="695EE5E6">
                    <w:pPr>
                      <w:pStyle w:val="11"/>
                    </w:pPr>
                    <w:r>
                      <w:fldChar w:fldCharType="begin"/>
                    </w:r>
                    <w:r>
                      <w:instrText xml:space="preserve"> PAGE  \* MERGEFORMAT </w:instrText>
                    </w:r>
                    <w:r>
                      <w:fldChar w:fldCharType="separate"/>
                    </w:r>
                    <w:r>
                      <w:t>83</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3949AB">
    <w:pPr>
      <w:spacing w:line="179" w:lineRule="auto"/>
      <w:ind w:left="4893"/>
      <w:rPr>
        <w:rFonts w:ascii="Tahoma" w:hAnsi="Tahoma" w:eastAsia="Tahoma" w:cs="Tahoma"/>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2" name="文本框 1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3E9601">
                          <w:pPr>
                            <w:pStyle w:val="11"/>
                          </w:pPr>
                          <w:r>
                            <w:fldChar w:fldCharType="begin"/>
                          </w:r>
                          <w:r>
                            <w:instrText xml:space="preserve"> PAGE  \* MERGEFORMAT </w:instrText>
                          </w:r>
                          <w:r>
                            <w:fldChar w:fldCharType="separate"/>
                          </w:r>
                          <w:r>
                            <w:t>84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b1M9k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1pc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b1M9kzAgAAZQQAAA4AAAAAAAAAAQAgAAAAHwEAAGRycy9lMm9Eb2MueG1sUEsF&#10;BgAAAAAGAAYAWQEAAMQFAAAAAA==&#10;">
              <v:fill on="f" focussize="0,0"/>
              <v:stroke on="f" weight="0.5pt"/>
              <v:imagedata o:title=""/>
              <o:lock v:ext="edit" aspectratio="f"/>
              <v:textbox inset="0mm,0mm,0mm,0mm" style="mso-fit-shape-to-text:t;">
                <w:txbxContent>
                  <w:p w14:paraId="2C3E9601">
                    <w:pPr>
                      <w:pStyle w:val="11"/>
                    </w:pPr>
                    <w:r>
                      <w:fldChar w:fldCharType="begin"/>
                    </w:r>
                    <w:r>
                      <w:instrText xml:space="preserve"> PAGE  \* MERGEFORMAT </w:instrText>
                    </w:r>
                    <w:r>
                      <w:fldChar w:fldCharType="separate"/>
                    </w:r>
                    <w:r>
                      <w:t>84</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E05552">
    <w:pPr>
      <w:spacing w:line="179" w:lineRule="auto"/>
      <w:ind w:left="4859"/>
      <w:rPr>
        <w:rFonts w:ascii="Tahoma" w:hAnsi="Tahoma" w:eastAsia="Tahoma" w:cs="Tahoma"/>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3" name="文本框 1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9836DD">
                          <w:pPr>
                            <w:pStyle w:val="11"/>
                          </w:pPr>
                          <w:r>
                            <w:fldChar w:fldCharType="begin"/>
                          </w:r>
                          <w:r>
                            <w:instrText xml:space="preserve"> PAGE  \* MERGEFORMAT </w:instrText>
                          </w:r>
                          <w:r>
                            <w:fldChar w:fldCharType="separate"/>
                          </w:r>
                          <w:r>
                            <w:t>85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1JrUUzAgAAZ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6ITplBLNFEp++fH9&#10;8vP35dc3Eg8hUW39HJE7i9jQvDMNwodzj8PIvCmcil9wIvBD4PNVYNEEwuOl2WQ2S+Hi8A0b4CdP&#10;163z4b0wikQjow4VbIVlp60PXegQErNps6mkbKsoNakzejN9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1JrUUzAgAAZQQAAA4AAAAAAAAAAQAgAAAAHwEAAGRycy9lMm9Eb2MueG1sUEsF&#10;BgAAAAAGAAYAWQEAAMQFAAAAAA==&#10;">
              <v:fill on="f" focussize="0,0"/>
              <v:stroke on="f" weight="0.5pt"/>
              <v:imagedata o:title=""/>
              <o:lock v:ext="edit" aspectratio="f"/>
              <v:textbox inset="0mm,0mm,0mm,0mm" style="mso-fit-shape-to-text:t;">
                <w:txbxContent>
                  <w:p w14:paraId="249836DD">
                    <w:pPr>
                      <w:pStyle w:val="11"/>
                    </w:pPr>
                    <w:r>
                      <w:fldChar w:fldCharType="begin"/>
                    </w:r>
                    <w:r>
                      <w:instrText xml:space="preserve"> PAGE  \* MERGEFORMAT </w:instrText>
                    </w:r>
                    <w:r>
                      <w:fldChar w:fldCharType="separate"/>
                    </w:r>
                    <w:r>
                      <w:t>85</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EC6EB1">
    <w:pPr>
      <w:spacing w:line="179" w:lineRule="auto"/>
      <w:ind w:left="4859"/>
      <w:rPr>
        <w:rFonts w:ascii="Tahoma" w:hAnsi="Tahoma" w:eastAsia="Tahoma" w:cs="Tahoma"/>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5" name="文本框 1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004BEC">
                          <w:pPr>
                            <w:pStyle w:val="11"/>
                          </w:pPr>
                          <w:r>
                            <w:fldChar w:fldCharType="begin"/>
                          </w:r>
                          <w:r>
                            <w:instrText xml:space="preserve"> PAGE  \* MERGEFORMAT </w:instrText>
                          </w:r>
                          <w:r>
                            <w:fldChar w:fldCharType="separate"/>
                          </w:r>
                          <w:r>
                            <w:t>87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MCLg0AgAAZQ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VzAi4NAIAAGUEAAAOAAAAAAAAAAEAIAAAAB8BAABkcnMvZTJvRG9jLnhtbFBL&#10;BQYAAAAABgAGAFkBAADFBQAAAAA=&#10;">
              <v:fill on="f" focussize="0,0"/>
              <v:stroke on="f" weight="0.5pt"/>
              <v:imagedata o:title=""/>
              <o:lock v:ext="edit" aspectratio="f"/>
              <v:textbox inset="0mm,0mm,0mm,0mm" style="mso-fit-shape-to-text:t;">
                <w:txbxContent>
                  <w:p w14:paraId="3B004BEC">
                    <w:pPr>
                      <w:pStyle w:val="11"/>
                    </w:pPr>
                    <w:r>
                      <w:fldChar w:fldCharType="begin"/>
                    </w:r>
                    <w:r>
                      <w:instrText xml:space="preserve"> PAGE  \* MERGEFORMAT </w:instrText>
                    </w:r>
                    <w:r>
                      <w:fldChar w:fldCharType="separate"/>
                    </w:r>
                    <w:r>
                      <w:t>87</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6F8EE8">
    <w:pPr>
      <w:spacing w:line="179" w:lineRule="auto"/>
      <w:ind w:left="4859"/>
      <w:rPr>
        <w:rFonts w:ascii="Tahoma" w:hAnsi="Tahoma" w:eastAsia="Tahoma" w:cs="Tahoma"/>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6" name="文本框 1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8E78F0">
                          <w:pPr>
                            <w:pStyle w:val="11"/>
                          </w:pPr>
                          <w:r>
                            <w:fldChar w:fldCharType="begin"/>
                          </w:r>
                          <w:r>
                            <w:instrText xml:space="preserve"> PAGE  \* MERGEFORMAT </w:instrText>
                          </w:r>
                          <w:r>
                            <w:fldChar w:fldCharType="separate"/>
                          </w:r>
                          <w:r>
                            <w:t>88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kO2sYz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NlBLNFEp++fH9&#10;8vP35dc3Eg8hUW39HJE7i9jQvDMNwodzj8PIvCmcil9wIvBD4PNVYNEEwuOl2WQ2S+Hi8A0b4CdP&#10;163z4b0wikQjow4VbIVlp60PXegQErNps6mkbKsoNakzOr15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kO2sYzAgAAZQQAAA4AAAAAAAAAAQAgAAAAHwEAAGRycy9lMm9Eb2MueG1sUEsF&#10;BgAAAAAGAAYAWQEAAMQFAAAAAA==&#10;">
              <v:fill on="f" focussize="0,0"/>
              <v:stroke on="f" weight="0.5pt"/>
              <v:imagedata o:title=""/>
              <o:lock v:ext="edit" aspectratio="f"/>
              <v:textbox inset="0mm,0mm,0mm,0mm" style="mso-fit-shape-to-text:t;">
                <w:txbxContent>
                  <w:p w14:paraId="7A8E78F0">
                    <w:pPr>
                      <w:pStyle w:val="11"/>
                    </w:pPr>
                    <w:r>
                      <w:fldChar w:fldCharType="begin"/>
                    </w:r>
                    <w:r>
                      <w:instrText xml:space="preserve"> PAGE  \* MERGEFORMAT </w:instrText>
                    </w:r>
                    <w:r>
                      <w:fldChar w:fldCharType="separate"/>
                    </w:r>
                    <w:r>
                      <w:t>88</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210E96">
    <w:pPr>
      <w:spacing w:line="179" w:lineRule="auto"/>
      <w:ind w:left="4859"/>
      <w:rPr>
        <w:rFonts w:ascii="Tahoma" w:hAnsi="Tahoma" w:eastAsia="Tahoma" w:cs="Tahoma"/>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9" name="文本框 1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670504">
                          <w:pPr>
                            <w:pStyle w:val="11"/>
                          </w:pPr>
                          <w:r>
                            <w:fldChar w:fldCharType="begin"/>
                          </w:r>
                          <w:r>
                            <w:instrText xml:space="preserve"> PAGE  \* MERGEFORMAT </w:instrText>
                          </w:r>
                          <w:r>
                            <w:fldChar w:fldCharType="separate"/>
                          </w:r>
                          <w:r>
                            <w:t>91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TBMpg0AgAAZQ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kwTKYNAIAAGUEAAAOAAAAAAAAAAEAIAAAAB8BAABkcnMvZTJvRG9jLnhtbFBL&#10;BQYAAAAABgAGAFkBAADFBQAAAAA=&#10;">
              <v:fill on="f" focussize="0,0"/>
              <v:stroke on="f" weight="0.5pt"/>
              <v:imagedata o:title=""/>
              <o:lock v:ext="edit" aspectratio="f"/>
              <v:textbox inset="0mm,0mm,0mm,0mm" style="mso-fit-shape-to-text:t;">
                <w:txbxContent>
                  <w:p w14:paraId="17670504">
                    <w:pPr>
                      <w:pStyle w:val="11"/>
                    </w:pPr>
                    <w:r>
                      <w:fldChar w:fldCharType="begin"/>
                    </w:r>
                    <w:r>
                      <w:instrText xml:space="preserve"> PAGE  \* MERGEFORMAT </w:instrText>
                    </w:r>
                    <w:r>
                      <w:fldChar w:fldCharType="separate"/>
                    </w:r>
                    <w:r>
                      <w:t>91</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FEB790">
    <w:pPr>
      <w:spacing w:line="180" w:lineRule="auto"/>
      <w:ind w:left="4553"/>
      <w:rPr>
        <w:rFonts w:ascii="Tahoma" w:hAnsi="Tahoma" w:eastAsia="Tahoma" w:cs="Tahoma"/>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0" name="文本框 1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B1B3F8">
                          <w:pPr>
                            <w:pStyle w:val="11"/>
                          </w:pPr>
                          <w:r>
                            <w:fldChar w:fldCharType="begin"/>
                          </w:r>
                          <w:r>
                            <w:instrText xml:space="preserve"> PAGE  \* MERGEFORMAT </w:instrText>
                          </w:r>
                          <w:r>
                            <w:fldChar w:fldCharType="separate"/>
                          </w:r>
                          <w:r>
                            <w:t>92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yGFI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yGFIzAgAAZQQAAA4AAAAAAAAAAQAgAAAAHwEAAGRycy9lMm9Eb2MueG1sUEsF&#10;BgAAAAAGAAYAWQEAAMQFAAAAAA==&#10;">
              <v:fill on="f" focussize="0,0"/>
              <v:stroke on="f" weight="0.5pt"/>
              <v:imagedata o:title=""/>
              <o:lock v:ext="edit" aspectratio="f"/>
              <v:textbox inset="0mm,0mm,0mm,0mm" style="mso-fit-shape-to-text:t;">
                <w:txbxContent>
                  <w:p w14:paraId="3AB1B3F8">
                    <w:pPr>
                      <w:pStyle w:val="11"/>
                    </w:pPr>
                    <w:r>
                      <w:fldChar w:fldCharType="begin"/>
                    </w:r>
                    <w:r>
                      <w:instrText xml:space="preserve"> PAGE  \* MERGEFORMAT </w:instrText>
                    </w:r>
                    <w:r>
                      <w:fldChar w:fldCharType="separate"/>
                    </w:r>
                    <w:r>
                      <w:t>92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4002BB">
    <w:pPr>
      <w:pStyle w:val="12"/>
      <w:rPr>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F7D3">
    <w:pPr>
      <w:pStyle w:val="12"/>
      <w:rPr>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AAEEA9">
    <w:pPr>
      <w:pStyle w:val="12"/>
      <w:rPr>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B3EFD9">
    <w:pPr>
      <w:pStyle w:val="12"/>
      <w:rPr>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027ADA">
    <w:pPr>
      <w:pStyle w:val="12"/>
      <w:rPr>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05C405">
    <w:pPr>
      <w:pStyle w:val="12"/>
      <w:rPr>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3BC49A">
    <w:pPr>
      <w:pStyle w:val="12"/>
      <w:rPr>
        <w:lang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7B9757">
    <w:pPr>
      <w:pStyle w:val="12"/>
      <w:rPr>
        <w:lang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9B54B2">
    <w:pPr>
      <w:pStyle w:val="12"/>
      <w:rPr>
        <w:lang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D0F2A8">
    <w:pPr>
      <w:pStyle w:val="12"/>
      <w:rPr>
        <w:lang w:eastAsia="zh-CN"/>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3E90F9">
    <w:pPr>
      <w:pStyle w:val="12"/>
      <w:pBdr>
        <w:bottom w:val="none" w:color="auto" w:sz="0" w:space="0"/>
      </w:pBdr>
      <w:jc w:val="right"/>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21FA73">
    <w:pPr>
      <w:pStyle w:val="12"/>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2B977B">
    <w:pPr>
      <w:pStyle w:val="12"/>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E4FE2C">
    <w:pPr>
      <w:pStyle w:val="12"/>
      <w:rPr>
        <w:lang w:eastAsia="zh-CN"/>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C17D6">
    <w:pPr>
      <w:pStyle w:val="12"/>
      <w:rPr>
        <w:lang w:eastAsia="zh-CN"/>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96649">
    <w:pPr>
      <w:pStyle w:val="12"/>
      <w:rPr>
        <w:lang w:eastAsia="zh-CN"/>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F376FC">
    <w:pPr>
      <w:pStyle w:val="12"/>
      <w:rPr>
        <w:lang w:eastAsia="zh-CN"/>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014F8">
    <w:pPr>
      <w:pStyle w:val="12"/>
      <w:rPr>
        <w:lang w:eastAsia="zh-CN"/>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A1460B">
    <w:pPr>
      <w:pStyle w:val="12"/>
      <w:rPr>
        <w:lang w:eastAsia="zh-CN"/>
      </w:rP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3481B1">
    <w:pPr>
      <w:pStyle w:val="12"/>
      <w:rPr>
        <w:lang w:eastAsia="zh-CN"/>
      </w:rP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C49D48">
    <w:pPr>
      <w:pStyle w:val="12"/>
      <w:rPr>
        <w:lang w:eastAsia="zh-CN"/>
      </w:rP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870E05">
    <w:pPr>
      <w:pStyle w:val="12"/>
      <w:rPr>
        <w:lang w:eastAsia="zh-CN"/>
      </w:rP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696422">
    <w:pPr>
      <w:pStyle w:val="12"/>
      <w:rPr>
        <w:lang w:eastAsia="zh-CN"/>
      </w:rP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0B5076">
    <w:pPr>
      <w:pStyle w:val="12"/>
      <w:rPr>
        <w:lang w:eastAsia="zh-CN"/>
      </w:rP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6F51A4">
    <w:pPr>
      <w:pStyle w:val="12"/>
      <w:rPr>
        <w:lang w:eastAsia="zh-CN"/>
      </w:rP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A694AA">
    <w:pPr>
      <w:pStyle w:val="12"/>
      <w:rPr>
        <w:lang w:eastAsia="zh-CN"/>
      </w:rP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28275A">
    <w:pPr>
      <w:pStyle w:val="12"/>
      <w:rPr>
        <w:lang w:eastAsia="zh-CN"/>
      </w:rP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F2973">
    <w:pPr>
      <w:pStyle w:val="12"/>
      <w:rPr>
        <w:lang w:eastAsia="zh-CN"/>
      </w:rP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9CE0B9">
    <w:pPr>
      <w:pStyle w:val="12"/>
      <w:rPr>
        <w:lang w:eastAsia="zh-CN"/>
      </w:rP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7DB36F">
    <w:pPr>
      <w:pStyle w:val="12"/>
      <w:rPr>
        <w:lang w:eastAsia="zh-CN"/>
      </w:rP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9F9F6">
    <w:pPr>
      <w:pStyle w:val="12"/>
      <w:rPr>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9E15167"/>
    <w:multiLevelType w:val="singleLevel"/>
    <w:tmpl w:val="E9E15167"/>
    <w:lvl w:ilvl="0" w:tentative="0">
      <w:start w:val="4"/>
      <w:numFmt w:val="chineseCounting"/>
      <w:suff w:val="space"/>
      <w:lvlText w:val="（%1）"/>
      <w:lvlJc w:val="left"/>
      <w:rPr>
        <w:rFonts w:hint="eastAsia"/>
      </w:rPr>
    </w:lvl>
  </w:abstractNum>
  <w:abstractNum w:abstractNumId="1">
    <w:nsid w:val="378F32D9"/>
    <w:multiLevelType w:val="multilevel"/>
    <w:tmpl w:val="378F32D9"/>
    <w:lvl w:ilvl="0" w:tentative="0">
      <w:start w:val="1"/>
      <w:numFmt w:val="decimal"/>
      <w:pStyle w:val="17"/>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
    <w:nsid w:val="5A13F20A"/>
    <w:multiLevelType w:val="singleLevel"/>
    <w:tmpl w:val="5A13F20A"/>
    <w:lvl w:ilvl="0" w:tentative="0">
      <w:start w:val="3"/>
      <w:numFmt w:val="chineseCounting"/>
      <w:suff w:val="nothing"/>
      <w:lvlText w:val="%1、"/>
      <w:lvlJc w:val="left"/>
      <w:pPr>
        <w:ind w:left="3360"/>
      </w:pPr>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embedTrueTypeFonts/>
  <w:saveSubsetFonts/>
  <w:bordersDoNotSurroundHeader w:val="0"/>
  <w:bordersDoNotSurroundFooter w:val="0"/>
  <w:hideSpellingErrors/>
  <w:documentProtection w:enforcement="0"/>
  <w:defaultTabStop w:val="420"/>
  <w:displayHorizontalDrawingGridEvery w:val="1"/>
  <w:displayVerticalDrawingGridEvery w:val="1"/>
  <w:noPunctuationKerning w:val="1"/>
  <w:characterSpacingControl w:val="doNotCompress"/>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U2NTk3NGZmZWUwZGM1Mzk2YTk0ZTNlNzhjMjdkYWYifQ=="/>
  </w:docVars>
  <w:rsids>
    <w:rsidRoot w:val="00172A27"/>
    <w:rsid w:val="000212AE"/>
    <w:rsid w:val="00046ACC"/>
    <w:rsid w:val="000C7140"/>
    <w:rsid w:val="000D3597"/>
    <w:rsid w:val="000E3BCE"/>
    <w:rsid w:val="000F4C69"/>
    <w:rsid w:val="00106675"/>
    <w:rsid w:val="00154B6C"/>
    <w:rsid w:val="0016786C"/>
    <w:rsid w:val="00196796"/>
    <w:rsid w:val="001B3805"/>
    <w:rsid w:val="001E71BC"/>
    <w:rsid w:val="001F6347"/>
    <w:rsid w:val="00237EBD"/>
    <w:rsid w:val="00290A2D"/>
    <w:rsid w:val="002B74F5"/>
    <w:rsid w:val="002D614C"/>
    <w:rsid w:val="0034412C"/>
    <w:rsid w:val="0037447F"/>
    <w:rsid w:val="00392555"/>
    <w:rsid w:val="00447ABA"/>
    <w:rsid w:val="0049634F"/>
    <w:rsid w:val="004A157E"/>
    <w:rsid w:val="004D0514"/>
    <w:rsid w:val="004F3FCA"/>
    <w:rsid w:val="00516A7F"/>
    <w:rsid w:val="005657B7"/>
    <w:rsid w:val="005831C7"/>
    <w:rsid w:val="005D270E"/>
    <w:rsid w:val="005E166B"/>
    <w:rsid w:val="005E3332"/>
    <w:rsid w:val="0060347A"/>
    <w:rsid w:val="006055CD"/>
    <w:rsid w:val="00644213"/>
    <w:rsid w:val="00680D48"/>
    <w:rsid w:val="006912AA"/>
    <w:rsid w:val="006B326E"/>
    <w:rsid w:val="006B3CBE"/>
    <w:rsid w:val="006C7D47"/>
    <w:rsid w:val="006D1831"/>
    <w:rsid w:val="00717823"/>
    <w:rsid w:val="00724CAC"/>
    <w:rsid w:val="007A7E92"/>
    <w:rsid w:val="007C165E"/>
    <w:rsid w:val="007F533F"/>
    <w:rsid w:val="007F6C6F"/>
    <w:rsid w:val="008157BB"/>
    <w:rsid w:val="00823F20"/>
    <w:rsid w:val="008756D4"/>
    <w:rsid w:val="0088661C"/>
    <w:rsid w:val="008B24C9"/>
    <w:rsid w:val="00914FF0"/>
    <w:rsid w:val="00923D34"/>
    <w:rsid w:val="00955550"/>
    <w:rsid w:val="00961318"/>
    <w:rsid w:val="009673DB"/>
    <w:rsid w:val="009856CA"/>
    <w:rsid w:val="009C2281"/>
    <w:rsid w:val="00A15739"/>
    <w:rsid w:val="00AB20A4"/>
    <w:rsid w:val="00AB5332"/>
    <w:rsid w:val="00AC6E26"/>
    <w:rsid w:val="00B3067F"/>
    <w:rsid w:val="00B641A3"/>
    <w:rsid w:val="00B7071C"/>
    <w:rsid w:val="00B7087D"/>
    <w:rsid w:val="00B7466B"/>
    <w:rsid w:val="00B93499"/>
    <w:rsid w:val="00BE578A"/>
    <w:rsid w:val="00C2681F"/>
    <w:rsid w:val="00C34680"/>
    <w:rsid w:val="00C61E6C"/>
    <w:rsid w:val="00C61EF9"/>
    <w:rsid w:val="00C95DC5"/>
    <w:rsid w:val="00C963C4"/>
    <w:rsid w:val="00CD4F86"/>
    <w:rsid w:val="00CE2420"/>
    <w:rsid w:val="00D263AF"/>
    <w:rsid w:val="00D37045"/>
    <w:rsid w:val="00D50F00"/>
    <w:rsid w:val="00D51DBB"/>
    <w:rsid w:val="00DC58B9"/>
    <w:rsid w:val="00E01F79"/>
    <w:rsid w:val="00E03F08"/>
    <w:rsid w:val="00E2489C"/>
    <w:rsid w:val="00EA1CE7"/>
    <w:rsid w:val="00EC033C"/>
    <w:rsid w:val="00EC26E9"/>
    <w:rsid w:val="00ED63F2"/>
    <w:rsid w:val="00F06E97"/>
    <w:rsid w:val="00F87075"/>
    <w:rsid w:val="00FE16C9"/>
    <w:rsid w:val="01173B02"/>
    <w:rsid w:val="015B3238"/>
    <w:rsid w:val="019C1E39"/>
    <w:rsid w:val="01D1680C"/>
    <w:rsid w:val="01EE7C08"/>
    <w:rsid w:val="02DD5237"/>
    <w:rsid w:val="03435D32"/>
    <w:rsid w:val="037F66DE"/>
    <w:rsid w:val="042B730B"/>
    <w:rsid w:val="043B2EAD"/>
    <w:rsid w:val="062638D5"/>
    <w:rsid w:val="072461A6"/>
    <w:rsid w:val="08635DF6"/>
    <w:rsid w:val="09476D4F"/>
    <w:rsid w:val="09587258"/>
    <w:rsid w:val="09FA08DC"/>
    <w:rsid w:val="0A876F57"/>
    <w:rsid w:val="0AF344E1"/>
    <w:rsid w:val="0C4D19CF"/>
    <w:rsid w:val="0CB12593"/>
    <w:rsid w:val="0D4566FC"/>
    <w:rsid w:val="0D921D8F"/>
    <w:rsid w:val="0EB75826"/>
    <w:rsid w:val="0F3063D3"/>
    <w:rsid w:val="0FC04D53"/>
    <w:rsid w:val="10716125"/>
    <w:rsid w:val="10D1273C"/>
    <w:rsid w:val="110D797F"/>
    <w:rsid w:val="11A06579"/>
    <w:rsid w:val="12D81CC1"/>
    <w:rsid w:val="132E16DB"/>
    <w:rsid w:val="135423E4"/>
    <w:rsid w:val="13F72496"/>
    <w:rsid w:val="14415E68"/>
    <w:rsid w:val="14C91E0F"/>
    <w:rsid w:val="16105ED3"/>
    <w:rsid w:val="1636461D"/>
    <w:rsid w:val="167B58C0"/>
    <w:rsid w:val="183C1D65"/>
    <w:rsid w:val="19F636A6"/>
    <w:rsid w:val="1A2256BA"/>
    <w:rsid w:val="1A350AAF"/>
    <w:rsid w:val="1B781125"/>
    <w:rsid w:val="1BB32CA8"/>
    <w:rsid w:val="1DBD10D4"/>
    <w:rsid w:val="1E0F4A61"/>
    <w:rsid w:val="1E4253D1"/>
    <w:rsid w:val="1E6A01BF"/>
    <w:rsid w:val="1E6B0C8B"/>
    <w:rsid w:val="1ED146E2"/>
    <w:rsid w:val="1EFF81DA"/>
    <w:rsid w:val="1F01031C"/>
    <w:rsid w:val="1F686DF4"/>
    <w:rsid w:val="20AC19B3"/>
    <w:rsid w:val="212E3899"/>
    <w:rsid w:val="22061E11"/>
    <w:rsid w:val="220B1F99"/>
    <w:rsid w:val="22155735"/>
    <w:rsid w:val="224A458F"/>
    <w:rsid w:val="24A136B9"/>
    <w:rsid w:val="24D706FB"/>
    <w:rsid w:val="250C6474"/>
    <w:rsid w:val="25577C0F"/>
    <w:rsid w:val="27C84BBE"/>
    <w:rsid w:val="29B36EBE"/>
    <w:rsid w:val="2A110088"/>
    <w:rsid w:val="2A207DC3"/>
    <w:rsid w:val="2BF612E4"/>
    <w:rsid w:val="2C00305D"/>
    <w:rsid w:val="2C701096"/>
    <w:rsid w:val="2CB5119F"/>
    <w:rsid w:val="2CD81D8E"/>
    <w:rsid w:val="2D6C4992"/>
    <w:rsid w:val="2E0777D8"/>
    <w:rsid w:val="2E4973E2"/>
    <w:rsid w:val="2E4E36DF"/>
    <w:rsid w:val="2F1877C3"/>
    <w:rsid w:val="2F603C60"/>
    <w:rsid w:val="2F927575"/>
    <w:rsid w:val="2FDA5862"/>
    <w:rsid w:val="301937F3"/>
    <w:rsid w:val="30A27C8C"/>
    <w:rsid w:val="30D8560B"/>
    <w:rsid w:val="318E3088"/>
    <w:rsid w:val="325F9A02"/>
    <w:rsid w:val="32A20ADB"/>
    <w:rsid w:val="336777C7"/>
    <w:rsid w:val="345915F7"/>
    <w:rsid w:val="34880F47"/>
    <w:rsid w:val="35BC70FA"/>
    <w:rsid w:val="37471D21"/>
    <w:rsid w:val="37C8447C"/>
    <w:rsid w:val="380B7A30"/>
    <w:rsid w:val="390F45B2"/>
    <w:rsid w:val="39714758"/>
    <w:rsid w:val="39DF16F3"/>
    <w:rsid w:val="3A3BAC88"/>
    <w:rsid w:val="3AAF36D1"/>
    <w:rsid w:val="3AEB618E"/>
    <w:rsid w:val="3B0C1902"/>
    <w:rsid w:val="3B6B010D"/>
    <w:rsid w:val="3BB865B6"/>
    <w:rsid w:val="3BF110BB"/>
    <w:rsid w:val="3BFC5ADE"/>
    <w:rsid w:val="3C265C15"/>
    <w:rsid w:val="3D0221DE"/>
    <w:rsid w:val="3DD64F6F"/>
    <w:rsid w:val="3F8518CB"/>
    <w:rsid w:val="411D5655"/>
    <w:rsid w:val="41D41C6F"/>
    <w:rsid w:val="41E77DC5"/>
    <w:rsid w:val="41EE2D31"/>
    <w:rsid w:val="420C67D1"/>
    <w:rsid w:val="42E96F01"/>
    <w:rsid w:val="43202430"/>
    <w:rsid w:val="435766B4"/>
    <w:rsid w:val="43790D20"/>
    <w:rsid w:val="4430780F"/>
    <w:rsid w:val="449328CD"/>
    <w:rsid w:val="44D206E8"/>
    <w:rsid w:val="46603AD2"/>
    <w:rsid w:val="47D604EF"/>
    <w:rsid w:val="48C356F6"/>
    <w:rsid w:val="4C9760E4"/>
    <w:rsid w:val="4E63376C"/>
    <w:rsid w:val="4EFA31A7"/>
    <w:rsid w:val="4F6E0E75"/>
    <w:rsid w:val="50E53551"/>
    <w:rsid w:val="515748EB"/>
    <w:rsid w:val="53061FB1"/>
    <w:rsid w:val="531709F5"/>
    <w:rsid w:val="533E7052"/>
    <w:rsid w:val="55150F1E"/>
    <w:rsid w:val="56B45E9F"/>
    <w:rsid w:val="57101FE7"/>
    <w:rsid w:val="57FB7061"/>
    <w:rsid w:val="584622A8"/>
    <w:rsid w:val="590216BC"/>
    <w:rsid w:val="595D6167"/>
    <w:rsid w:val="59DF5A19"/>
    <w:rsid w:val="5AD22D98"/>
    <w:rsid w:val="5CD10E2D"/>
    <w:rsid w:val="5CF1239E"/>
    <w:rsid w:val="5DC7295C"/>
    <w:rsid w:val="5DF11787"/>
    <w:rsid w:val="5F3D9A07"/>
    <w:rsid w:val="5FAB1E0A"/>
    <w:rsid w:val="5FB94527"/>
    <w:rsid w:val="60365B77"/>
    <w:rsid w:val="608A5EC3"/>
    <w:rsid w:val="630B606A"/>
    <w:rsid w:val="63360671"/>
    <w:rsid w:val="638259C1"/>
    <w:rsid w:val="63FE32D6"/>
    <w:rsid w:val="64A07A63"/>
    <w:rsid w:val="6587477F"/>
    <w:rsid w:val="66212E26"/>
    <w:rsid w:val="672A1B18"/>
    <w:rsid w:val="6A4A2310"/>
    <w:rsid w:val="6A797D10"/>
    <w:rsid w:val="6A7E25F5"/>
    <w:rsid w:val="6A90057A"/>
    <w:rsid w:val="6B32689B"/>
    <w:rsid w:val="6B480E55"/>
    <w:rsid w:val="6B9E2823"/>
    <w:rsid w:val="6BD9385B"/>
    <w:rsid w:val="6D0C7B21"/>
    <w:rsid w:val="6D4A06EF"/>
    <w:rsid w:val="6D52741E"/>
    <w:rsid w:val="6E755ABD"/>
    <w:rsid w:val="6EAB7E23"/>
    <w:rsid w:val="6EFA4214"/>
    <w:rsid w:val="6FFF091C"/>
    <w:rsid w:val="7007308C"/>
    <w:rsid w:val="722C756C"/>
    <w:rsid w:val="731A1328"/>
    <w:rsid w:val="73357F10"/>
    <w:rsid w:val="73BB1543"/>
    <w:rsid w:val="74B775BA"/>
    <w:rsid w:val="74F6722B"/>
    <w:rsid w:val="75B14EFD"/>
    <w:rsid w:val="75DF7624"/>
    <w:rsid w:val="76C9109B"/>
    <w:rsid w:val="773FFF32"/>
    <w:rsid w:val="775C3CBE"/>
    <w:rsid w:val="77A06899"/>
    <w:rsid w:val="786DD312"/>
    <w:rsid w:val="7A6F3710"/>
    <w:rsid w:val="7AA008BF"/>
    <w:rsid w:val="7AF75AAB"/>
    <w:rsid w:val="7C1C4FA3"/>
    <w:rsid w:val="7D54680B"/>
    <w:rsid w:val="7D5FB86E"/>
    <w:rsid w:val="7DE70059"/>
    <w:rsid w:val="7EAF14E5"/>
    <w:rsid w:val="7ECC34F0"/>
    <w:rsid w:val="7EF40C80"/>
    <w:rsid w:val="7F0828CC"/>
    <w:rsid w:val="7FD753AB"/>
    <w:rsid w:val="7FDB49EF"/>
    <w:rsid w:val="7FE31626"/>
    <w:rsid w:val="A57FC431"/>
    <w:rsid w:val="B9DB1265"/>
    <w:rsid w:val="BB5C04ED"/>
    <w:rsid w:val="BF7FC32C"/>
    <w:rsid w:val="EFFEE749"/>
    <w:rsid w:val="FCFF4D29"/>
    <w:rsid w:val="FE967A23"/>
    <w:rsid w:val="FF6F26E6"/>
    <w:rsid w:val="FF7D5BA6"/>
    <w:rsid w:val="FF9F4A31"/>
    <w:rsid w:val="FFF600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name="heading 3"/>
    <w:lsdException w:qFormat="1" w:uiPriority="0" w:name="heading 4"/>
    <w:lsdException w:qFormat="1" w:uiPriority="0" w:semiHidden="0" w:name="heading 5"/>
    <w:lsdException w:qFormat="1"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2">
    <w:name w:val="heading 1"/>
    <w:basedOn w:val="1"/>
    <w:next w:val="1"/>
    <w:autoRedefine/>
    <w:qFormat/>
    <w:uiPriority w:val="9"/>
    <w:pPr>
      <w:keepNext/>
      <w:keepLines/>
      <w:spacing w:before="240" w:after="240" w:line="360" w:lineRule="auto"/>
      <w:jc w:val="center"/>
      <w:outlineLvl w:val="0"/>
    </w:pPr>
    <w:rPr>
      <w:rFonts w:ascii="黑体" w:hAnsi="黑体" w:eastAsia="黑体"/>
      <w:b/>
      <w:bCs/>
      <w:kern w:val="44"/>
      <w:sz w:val="44"/>
      <w:szCs w:val="32"/>
    </w:rPr>
  </w:style>
  <w:style w:type="paragraph" w:styleId="3">
    <w:name w:val="heading 2"/>
    <w:basedOn w:val="1"/>
    <w:next w:val="1"/>
    <w:link w:val="25"/>
    <w:autoRedefine/>
    <w:unhideWhenUsed/>
    <w:qFormat/>
    <w:uiPriority w:val="0"/>
    <w:pPr>
      <w:keepNext/>
      <w:keepLines/>
      <w:spacing w:before="260" w:after="260" w:line="413" w:lineRule="auto"/>
      <w:outlineLvl w:val="1"/>
    </w:pPr>
    <w:rPr>
      <w:rFonts w:eastAsia="黑体"/>
      <w:b/>
      <w:sz w:val="32"/>
    </w:rPr>
  </w:style>
  <w:style w:type="paragraph" w:styleId="4">
    <w:name w:val="heading 5"/>
    <w:basedOn w:val="1"/>
    <w:next w:val="1"/>
    <w:link w:val="43"/>
    <w:autoRedefine/>
    <w:unhideWhenUsed/>
    <w:qFormat/>
    <w:uiPriority w:val="0"/>
    <w:pPr>
      <w:keepNext/>
      <w:keepLines/>
      <w:spacing w:before="280" w:after="290" w:line="376" w:lineRule="auto"/>
      <w:outlineLvl w:val="4"/>
    </w:pPr>
    <w:rPr>
      <w:b/>
      <w:bCs/>
      <w:sz w:val="28"/>
      <w:szCs w:val="28"/>
    </w:rPr>
  </w:style>
  <w:style w:type="paragraph" w:styleId="5">
    <w:name w:val="heading 6"/>
    <w:basedOn w:val="1"/>
    <w:next w:val="1"/>
    <w:unhideWhenUsed/>
    <w:qFormat/>
    <w:uiPriority w:val="0"/>
    <w:pPr>
      <w:keepNext/>
      <w:keepLines/>
      <w:spacing w:before="240" w:beforeLines="0" w:beforeAutospacing="0" w:after="64" w:afterLines="0" w:afterAutospacing="0" w:line="317" w:lineRule="auto"/>
      <w:outlineLvl w:val="5"/>
    </w:pPr>
    <w:rPr>
      <w:rFonts w:ascii="Arial" w:hAnsi="Arial" w:eastAsia="黑体"/>
      <w:b/>
      <w:sz w:val="24"/>
    </w:rPr>
  </w:style>
  <w:style w:type="character" w:default="1" w:styleId="22">
    <w:name w:val="Default Paragraph Font"/>
    <w:autoRedefine/>
    <w:semiHidden/>
    <w:unhideWhenUsed/>
    <w:qFormat/>
    <w:uiPriority w:val="1"/>
  </w:style>
  <w:style w:type="table" w:default="1" w:styleId="20">
    <w:name w:val="Normal Table"/>
    <w:autoRedefine/>
    <w:semiHidden/>
    <w:unhideWhenUsed/>
    <w:qFormat/>
    <w:uiPriority w:val="99"/>
    <w:tblPr>
      <w:tblCellMar>
        <w:top w:w="0" w:type="dxa"/>
        <w:left w:w="108" w:type="dxa"/>
        <w:bottom w:w="0" w:type="dxa"/>
        <w:right w:w="108" w:type="dxa"/>
      </w:tblCellMar>
    </w:tblPr>
  </w:style>
  <w:style w:type="paragraph" w:styleId="6">
    <w:name w:val="toa heading"/>
    <w:basedOn w:val="1"/>
    <w:next w:val="1"/>
    <w:autoRedefine/>
    <w:qFormat/>
    <w:uiPriority w:val="0"/>
    <w:pPr>
      <w:spacing w:before="120" w:beforeLines="0" w:after="200" w:afterLines="0" w:line="276" w:lineRule="auto"/>
    </w:pPr>
    <w:rPr>
      <w:rFonts w:ascii="Arial" w:hAnsi="Arial"/>
      <w:sz w:val="24"/>
    </w:rPr>
  </w:style>
  <w:style w:type="paragraph" w:styleId="7">
    <w:name w:val="annotation text"/>
    <w:basedOn w:val="1"/>
    <w:autoRedefine/>
    <w:qFormat/>
    <w:uiPriority w:val="0"/>
  </w:style>
  <w:style w:type="paragraph" w:styleId="8">
    <w:name w:val="Body Text"/>
    <w:basedOn w:val="1"/>
    <w:next w:val="1"/>
    <w:link w:val="40"/>
    <w:autoRedefine/>
    <w:semiHidden/>
    <w:qFormat/>
    <w:uiPriority w:val="0"/>
  </w:style>
  <w:style w:type="paragraph" w:styleId="9">
    <w:name w:val="Body Text Indent"/>
    <w:basedOn w:val="1"/>
    <w:next w:val="1"/>
    <w:autoRedefine/>
    <w:qFormat/>
    <w:uiPriority w:val="0"/>
    <w:pPr>
      <w:spacing w:line="520" w:lineRule="exact"/>
      <w:ind w:left="570"/>
    </w:pPr>
    <w:rPr>
      <w:rFonts w:ascii="方正仿宋简体" w:hAnsi="创艺简仿宋" w:eastAsia="方正仿宋简体"/>
      <w:sz w:val="24"/>
    </w:rPr>
  </w:style>
  <w:style w:type="paragraph" w:styleId="10">
    <w:name w:val="Plain Text"/>
    <w:basedOn w:val="1"/>
    <w:autoRedefine/>
    <w:qFormat/>
    <w:uiPriority w:val="0"/>
    <w:rPr>
      <w:sz w:val="24"/>
      <w:szCs w:val="20"/>
    </w:rPr>
  </w:style>
  <w:style w:type="paragraph" w:styleId="11">
    <w:name w:val="footer"/>
    <w:basedOn w:val="1"/>
    <w:link w:val="32"/>
    <w:autoRedefine/>
    <w:qFormat/>
    <w:uiPriority w:val="0"/>
    <w:pPr>
      <w:tabs>
        <w:tab w:val="center" w:pos="4153"/>
        <w:tab w:val="right" w:pos="8306"/>
      </w:tabs>
    </w:pPr>
    <w:rPr>
      <w:sz w:val="18"/>
      <w:szCs w:val="18"/>
    </w:rPr>
  </w:style>
  <w:style w:type="paragraph" w:styleId="12">
    <w:name w:val="header"/>
    <w:basedOn w:val="1"/>
    <w:link w:val="31"/>
    <w:autoRedefine/>
    <w:qFormat/>
    <w:uiPriority w:val="0"/>
    <w:pPr>
      <w:tabs>
        <w:tab w:val="center" w:pos="4153"/>
        <w:tab w:val="right" w:pos="8306"/>
      </w:tabs>
      <w:jc w:val="center"/>
    </w:pPr>
    <w:rPr>
      <w:sz w:val="18"/>
      <w:szCs w:val="18"/>
    </w:rPr>
  </w:style>
  <w:style w:type="paragraph" w:styleId="13">
    <w:name w:val="toc 1"/>
    <w:basedOn w:val="1"/>
    <w:next w:val="1"/>
    <w:qFormat/>
    <w:uiPriority w:val="0"/>
  </w:style>
  <w:style w:type="paragraph" w:styleId="14">
    <w:name w:val="footnote text"/>
    <w:basedOn w:val="1"/>
    <w:autoRedefine/>
    <w:qFormat/>
    <w:uiPriority w:val="0"/>
    <w:pPr>
      <w:spacing w:line="312" w:lineRule="atLeast"/>
    </w:pPr>
    <w:rPr>
      <w:rFonts w:eastAsia="仿宋"/>
      <w:sz w:val="18"/>
      <w:szCs w:val="18"/>
    </w:rPr>
  </w:style>
  <w:style w:type="paragraph" w:styleId="15">
    <w:name w:val="toc 2"/>
    <w:basedOn w:val="1"/>
    <w:next w:val="1"/>
    <w:qFormat/>
    <w:uiPriority w:val="0"/>
    <w:pPr>
      <w:ind w:left="420" w:leftChars="200"/>
    </w:pPr>
  </w:style>
  <w:style w:type="paragraph" w:styleId="16">
    <w:name w:val="Normal (Web)"/>
    <w:basedOn w:val="1"/>
    <w:autoRedefine/>
    <w:qFormat/>
    <w:uiPriority w:val="0"/>
    <w:pPr>
      <w:spacing w:beforeAutospacing="1" w:afterAutospacing="1"/>
    </w:pPr>
    <w:rPr>
      <w:rFonts w:cs="Times New Roman"/>
      <w:sz w:val="24"/>
      <w:lang w:eastAsia="zh-CN"/>
    </w:rPr>
  </w:style>
  <w:style w:type="paragraph" w:styleId="17">
    <w:name w:val="Title"/>
    <w:basedOn w:val="1"/>
    <w:next w:val="1"/>
    <w:qFormat/>
    <w:uiPriority w:val="0"/>
    <w:pPr>
      <w:numPr>
        <w:ilvl w:val="0"/>
        <w:numId w:val="1"/>
      </w:numPr>
      <w:ind w:left="0" w:firstLine="200"/>
      <w:jc w:val="left"/>
    </w:pPr>
  </w:style>
  <w:style w:type="paragraph" w:styleId="18">
    <w:name w:val="Body Text First Indent"/>
    <w:basedOn w:val="8"/>
    <w:next w:val="1"/>
    <w:link w:val="41"/>
    <w:autoRedefine/>
    <w:unhideWhenUsed/>
    <w:qFormat/>
    <w:uiPriority w:val="0"/>
    <w:pPr>
      <w:widowControl w:val="0"/>
      <w:kinsoku/>
      <w:autoSpaceDE/>
      <w:autoSpaceDN/>
      <w:adjustRightInd/>
      <w:snapToGrid/>
      <w:spacing w:after="120"/>
      <w:ind w:firstLine="420" w:firstLineChars="100"/>
      <w:jc w:val="both"/>
      <w:textAlignment w:val="auto"/>
    </w:pPr>
    <w:rPr>
      <w:rFonts w:ascii="Times New Roman" w:hAnsi="Times New Roman" w:eastAsia="宋体" w:cs="Times New Roman"/>
      <w:snapToGrid/>
      <w:color w:val="auto"/>
      <w:kern w:val="2"/>
      <w:szCs w:val="24"/>
      <w:lang w:eastAsia="zh-CN"/>
    </w:rPr>
  </w:style>
  <w:style w:type="paragraph" w:styleId="19">
    <w:name w:val="Body Text First Indent 2"/>
    <w:basedOn w:val="9"/>
    <w:autoRedefine/>
    <w:unhideWhenUsed/>
    <w:qFormat/>
    <w:uiPriority w:val="99"/>
    <w:pPr>
      <w:ind w:firstLine="420" w:firstLineChars="200"/>
    </w:pPr>
  </w:style>
  <w:style w:type="table" w:styleId="21">
    <w:name w:val="Table Grid"/>
    <w:basedOn w:val="2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annotation reference"/>
    <w:basedOn w:val="22"/>
    <w:autoRedefine/>
    <w:qFormat/>
    <w:uiPriority w:val="0"/>
    <w:rPr>
      <w:sz w:val="21"/>
      <w:szCs w:val="21"/>
    </w:rPr>
  </w:style>
  <w:style w:type="paragraph" w:customStyle="1" w:styleId="24">
    <w:name w:val="Default"/>
    <w:basedOn w:val="17"/>
    <w:qFormat/>
    <w:uiPriority w:val="0"/>
    <w:pPr>
      <w:widowControl w:val="0"/>
      <w:autoSpaceDE w:val="0"/>
      <w:autoSpaceDN w:val="0"/>
      <w:adjustRightInd w:val="0"/>
      <w:spacing w:line="440" w:lineRule="exact"/>
    </w:pPr>
    <w:rPr>
      <w:rFonts w:ascii="Times New Roman" w:hAnsi="Times New Roman" w:eastAsia="宋体" w:cs="宋体"/>
      <w:color w:val="000000"/>
      <w:kern w:val="0"/>
      <w:sz w:val="24"/>
      <w:szCs w:val="24"/>
      <w:lang w:val="en-US" w:eastAsia="zh-CN" w:bidi="ar-SA"/>
    </w:rPr>
  </w:style>
  <w:style w:type="character" w:customStyle="1" w:styleId="25">
    <w:name w:val="标题 2 Char"/>
    <w:link w:val="3"/>
    <w:autoRedefine/>
    <w:qFormat/>
    <w:uiPriority w:val="0"/>
    <w:rPr>
      <w:rFonts w:ascii="Arial" w:hAnsi="Arial" w:eastAsia="黑体"/>
      <w:b/>
      <w:sz w:val="32"/>
    </w:rPr>
  </w:style>
  <w:style w:type="table" w:customStyle="1" w:styleId="26">
    <w:name w:val="Table Normal"/>
    <w:autoRedefine/>
    <w:semiHidden/>
    <w:unhideWhenUsed/>
    <w:qFormat/>
    <w:uiPriority w:val="2"/>
    <w:tblPr>
      <w:tblCellMar>
        <w:top w:w="0" w:type="dxa"/>
        <w:left w:w="0" w:type="dxa"/>
        <w:bottom w:w="0" w:type="dxa"/>
        <w:right w:w="0" w:type="dxa"/>
      </w:tblCellMar>
    </w:tblPr>
  </w:style>
  <w:style w:type="paragraph" w:customStyle="1" w:styleId="27">
    <w:name w:val="Table Text"/>
    <w:basedOn w:val="1"/>
    <w:autoRedefine/>
    <w:semiHidden/>
    <w:qFormat/>
    <w:uiPriority w:val="0"/>
    <w:rPr>
      <w:rFonts w:ascii="宋体" w:hAnsi="宋体" w:eastAsia="宋体" w:cs="宋体"/>
      <w:sz w:val="20"/>
      <w:szCs w:val="20"/>
    </w:rPr>
  </w:style>
  <w:style w:type="character" w:customStyle="1" w:styleId="28">
    <w:name w:val="font11"/>
    <w:basedOn w:val="22"/>
    <w:autoRedefine/>
    <w:qFormat/>
    <w:uiPriority w:val="0"/>
    <w:rPr>
      <w:rFonts w:hint="eastAsia" w:ascii="宋体" w:hAnsi="宋体" w:eastAsia="宋体" w:cs="宋体"/>
      <w:color w:val="000000"/>
      <w:sz w:val="20"/>
      <w:szCs w:val="20"/>
      <w:u w:val="none"/>
    </w:rPr>
  </w:style>
  <w:style w:type="character" w:customStyle="1" w:styleId="29">
    <w:name w:val="font31"/>
    <w:basedOn w:val="22"/>
    <w:autoRedefine/>
    <w:qFormat/>
    <w:uiPriority w:val="0"/>
    <w:rPr>
      <w:rFonts w:hint="eastAsia" w:ascii="宋体" w:hAnsi="宋体" w:eastAsia="宋体" w:cs="宋体"/>
      <w:color w:val="000000"/>
      <w:sz w:val="22"/>
      <w:szCs w:val="22"/>
      <w:u w:val="none"/>
    </w:rPr>
  </w:style>
  <w:style w:type="character" w:customStyle="1" w:styleId="30">
    <w:name w:val="font41"/>
    <w:basedOn w:val="22"/>
    <w:autoRedefine/>
    <w:qFormat/>
    <w:uiPriority w:val="0"/>
    <w:rPr>
      <w:rFonts w:hint="eastAsia" w:ascii="宋体" w:hAnsi="宋体" w:eastAsia="宋体" w:cs="宋体"/>
      <w:color w:val="FF0000"/>
      <w:sz w:val="22"/>
      <w:szCs w:val="22"/>
      <w:u w:val="none"/>
    </w:rPr>
  </w:style>
  <w:style w:type="character" w:customStyle="1" w:styleId="31">
    <w:name w:val="页眉 Char"/>
    <w:basedOn w:val="22"/>
    <w:link w:val="12"/>
    <w:autoRedefine/>
    <w:qFormat/>
    <w:uiPriority w:val="0"/>
    <w:rPr>
      <w:rFonts w:ascii="Arial" w:hAnsi="Arial" w:eastAsia="Arial" w:cs="Arial"/>
      <w:snapToGrid w:val="0"/>
      <w:color w:val="000000"/>
      <w:sz w:val="18"/>
      <w:szCs w:val="18"/>
      <w:lang w:eastAsia="en-US"/>
    </w:rPr>
  </w:style>
  <w:style w:type="character" w:customStyle="1" w:styleId="32">
    <w:name w:val="页脚 Char"/>
    <w:basedOn w:val="22"/>
    <w:link w:val="11"/>
    <w:autoRedefine/>
    <w:qFormat/>
    <w:uiPriority w:val="0"/>
    <w:rPr>
      <w:rFonts w:ascii="Arial" w:hAnsi="Arial" w:eastAsia="Arial" w:cs="Arial"/>
      <w:snapToGrid w:val="0"/>
      <w:color w:val="000000"/>
      <w:sz w:val="18"/>
      <w:szCs w:val="18"/>
      <w:lang w:eastAsia="en-US"/>
    </w:rPr>
  </w:style>
  <w:style w:type="character" w:customStyle="1" w:styleId="33">
    <w:name w:val="NormalCharacter"/>
    <w:autoRedefine/>
    <w:semiHidden/>
    <w:qFormat/>
    <w:uiPriority w:val="0"/>
  </w:style>
  <w:style w:type="paragraph" w:customStyle="1" w:styleId="34">
    <w:name w:val="BodyText"/>
    <w:basedOn w:val="1"/>
    <w:next w:val="35"/>
    <w:autoRedefine/>
    <w:qFormat/>
    <w:uiPriority w:val="0"/>
    <w:rPr>
      <w:rFonts w:ascii="_x000b_x000c_" w:hAnsi="_x000b_x000c_" w:eastAsia="宋体"/>
    </w:rPr>
  </w:style>
  <w:style w:type="paragraph" w:customStyle="1" w:styleId="35">
    <w:name w:val="BodyTextIndent"/>
    <w:basedOn w:val="1"/>
    <w:next w:val="1"/>
    <w:autoRedefine/>
    <w:qFormat/>
    <w:uiPriority w:val="0"/>
    <w:pPr>
      <w:spacing w:line="520" w:lineRule="exact"/>
      <w:ind w:left="570"/>
    </w:pPr>
    <w:rPr>
      <w:rFonts w:ascii="方正仿宋简体" w:hAnsi="创艺简仿宋" w:eastAsia="方正仿宋简体"/>
      <w:sz w:val="24"/>
    </w:rPr>
  </w:style>
  <w:style w:type="paragraph" w:customStyle="1" w:styleId="36">
    <w:name w:val="正文_8"/>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7">
    <w:name w:val="正文文本_0_0"/>
    <w:basedOn w:val="36"/>
    <w:autoRedefine/>
    <w:qFormat/>
    <w:uiPriority w:val="1"/>
    <w:pPr>
      <w:autoSpaceDE w:val="0"/>
      <w:autoSpaceDN w:val="0"/>
      <w:ind w:left="220"/>
      <w:jc w:val="left"/>
    </w:pPr>
    <w:rPr>
      <w:rFonts w:ascii="仿宋" w:hAnsi="仿宋" w:eastAsia="仿宋"/>
      <w:kern w:val="0"/>
      <w:sz w:val="32"/>
      <w:szCs w:val="32"/>
      <w:lang w:eastAsia="en-US"/>
    </w:rPr>
  </w:style>
  <w:style w:type="paragraph" w:customStyle="1" w:styleId="38">
    <w:name w:val="正文_1_1"/>
    <w:autoRedefine/>
    <w:qFormat/>
    <w:uiPriority w:val="0"/>
    <w:pPr>
      <w:widowControl w:val="0"/>
      <w:jc w:val="both"/>
    </w:pPr>
    <w:rPr>
      <w:rFonts w:ascii="Calibri" w:hAnsi="Calibri" w:eastAsia="宋体" w:cs="Times New Roman"/>
      <w:kern w:val="2"/>
      <w:sz w:val="21"/>
      <w:szCs w:val="22"/>
      <w:lang w:val="en-US" w:eastAsia="zh-CN" w:bidi="ar-SA"/>
    </w:rPr>
  </w:style>
  <w:style w:type="paragraph" w:styleId="39">
    <w:name w:val="List Paragraph"/>
    <w:basedOn w:val="1"/>
    <w:autoRedefine/>
    <w:qFormat/>
    <w:uiPriority w:val="99"/>
    <w:pPr>
      <w:ind w:firstLine="420" w:firstLineChars="200"/>
    </w:pPr>
  </w:style>
  <w:style w:type="character" w:customStyle="1" w:styleId="40">
    <w:name w:val="正文文本 Char"/>
    <w:basedOn w:val="22"/>
    <w:link w:val="8"/>
    <w:autoRedefine/>
    <w:semiHidden/>
    <w:qFormat/>
    <w:uiPriority w:val="0"/>
    <w:rPr>
      <w:rFonts w:ascii="Arial" w:hAnsi="Arial" w:eastAsia="Arial" w:cs="Arial"/>
      <w:snapToGrid w:val="0"/>
      <w:color w:val="000000"/>
      <w:sz w:val="21"/>
      <w:szCs w:val="21"/>
      <w:lang w:eastAsia="en-US"/>
    </w:rPr>
  </w:style>
  <w:style w:type="character" w:customStyle="1" w:styleId="41">
    <w:name w:val="正文首行缩进 Char"/>
    <w:basedOn w:val="40"/>
    <w:link w:val="18"/>
    <w:autoRedefine/>
    <w:qFormat/>
    <w:uiPriority w:val="0"/>
    <w:rPr>
      <w:rFonts w:ascii="Arial" w:hAnsi="Arial" w:eastAsia="Arial" w:cs="Arial"/>
      <w:snapToGrid/>
      <w:color w:val="000000"/>
      <w:kern w:val="2"/>
      <w:sz w:val="21"/>
      <w:szCs w:val="24"/>
      <w:lang w:eastAsia="en-US"/>
    </w:rPr>
  </w:style>
  <w:style w:type="paragraph" w:customStyle="1" w:styleId="42">
    <w:name w:val="Table Paragraph"/>
    <w:basedOn w:val="1"/>
    <w:autoRedefine/>
    <w:qFormat/>
    <w:uiPriority w:val="1"/>
    <w:pPr>
      <w:widowControl w:val="0"/>
      <w:kinsoku/>
      <w:adjustRightInd/>
      <w:snapToGrid/>
      <w:textAlignment w:val="auto"/>
    </w:pPr>
    <w:rPr>
      <w:rFonts w:ascii="宋体" w:hAnsi="宋体" w:eastAsia="宋体" w:cs="宋体"/>
      <w:snapToGrid/>
      <w:color w:val="auto"/>
      <w:sz w:val="22"/>
      <w:szCs w:val="22"/>
      <w:lang w:val="zh-CN" w:eastAsia="zh-CN" w:bidi="zh-CN"/>
    </w:rPr>
  </w:style>
  <w:style w:type="character" w:customStyle="1" w:styleId="43">
    <w:name w:val="标题 5 Char"/>
    <w:basedOn w:val="22"/>
    <w:link w:val="4"/>
    <w:autoRedefine/>
    <w:qFormat/>
    <w:uiPriority w:val="0"/>
    <w:rPr>
      <w:rFonts w:ascii="Arial" w:hAnsi="Arial" w:eastAsia="Arial" w:cs="Arial"/>
      <w:b/>
      <w:bCs/>
      <w:snapToGrid w:val="0"/>
      <w:color w:val="000000"/>
      <w:sz w:val="28"/>
      <w:szCs w:val="28"/>
      <w:lang w:eastAsia="en-US"/>
    </w:rPr>
  </w:style>
  <w:style w:type="paragraph" w:customStyle="1" w:styleId="44">
    <w:name w:val="正文缩进1"/>
    <w:basedOn w:val="1"/>
    <w:autoRedefine/>
    <w:qFormat/>
    <w:uiPriority w:val="0"/>
    <w:pPr>
      <w:autoSpaceDE w:val="0"/>
      <w:autoSpaceDN w:val="0"/>
      <w:adjustRightInd w:val="0"/>
      <w:ind w:firstLine="420"/>
      <w:jc w:val="left"/>
    </w:pPr>
    <w:rPr>
      <w:rFonts w:ascii="宋体"/>
      <w:kern w:val="0"/>
      <w:sz w:val="24"/>
      <w:szCs w:val="20"/>
    </w:rPr>
  </w:style>
  <w:style w:type="paragraph" w:customStyle="1" w:styleId="45">
    <w:name w:val="索引 11"/>
    <w:basedOn w:val="1"/>
    <w:next w:val="1"/>
    <w:autoRedefine/>
    <w:qFormat/>
    <w:uiPriority w:val="0"/>
    <w:pPr>
      <w:spacing w:line="360" w:lineRule="auto"/>
    </w:pPr>
    <w:rPr>
      <w:rFonts w:ascii="仿宋_GB2312" w:hAnsi="Times New Roman" w:eastAsia="仿宋_GB2312"/>
      <w:sz w:val="24"/>
      <w:szCs w:val="20"/>
    </w:rPr>
  </w:style>
  <w:style w:type="paragraph" w:customStyle="1" w:styleId="46">
    <w:name w:val="纯文本1"/>
    <w:basedOn w:val="1"/>
    <w:autoRedefine/>
    <w:qFormat/>
    <w:uiPriority w:val="0"/>
    <w:rPr>
      <w:rFonts w:ascii="宋体" w:hAnsi="Courier New"/>
      <w:kern w:val="0"/>
      <w:sz w:val="20"/>
      <w:szCs w:val="20"/>
    </w:rPr>
  </w:style>
  <w:style w:type="paragraph" w:customStyle="1" w:styleId="47">
    <w:name w:val="正文文本_0"/>
    <w:basedOn w:val="48"/>
    <w:autoRedefine/>
    <w:qFormat/>
    <w:uiPriority w:val="0"/>
    <w:pPr>
      <w:spacing w:after="120"/>
    </w:pPr>
    <w:rPr>
      <w:kern w:val="0"/>
      <w:sz w:val="20"/>
    </w:rPr>
  </w:style>
  <w:style w:type="paragraph" w:customStyle="1" w:styleId="48">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BodyText1I2"/>
    <w:basedOn w:val="1"/>
    <w:qFormat/>
    <w:uiPriority w:val="0"/>
    <w:pPr>
      <w:widowControl/>
      <w:spacing w:line="520" w:lineRule="exact"/>
      <w:ind w:left="570" w:firstLine="420" w:firstLineChars="200"/>
      <w:textAlignment w:val="baseline"/>
    </w:pPr>
    <w:rPr>
      <w:rFonts w:ascii="方正仿宋简体" w:hAnsi="创艺简仿宋" w:eastAsia="方正仿宋简体"/>
      <w:sz w:val="24"/>
      <w:szCs w:val="20"/>
    </w:rPr>
  </w:style>
  <w:style w:type="paragraph" w:customStyle="1" w:styleId="50">
    <w:name w:val="Normal_1"/>
    <w:qFormat/>
    <w:uiPriority w:val="0"/>
    <w:rPr>
      <w:rFonts w:ascii="Times New Roman" w:hAnsi="Times New Roman" w:eastAsia="Times New Roman" w:cs="Times New Roman"/>
      <w:sz w:val="24"/>
      <w:szCs w:val="24"/>
      <w:lang w:bidi="ar-SA"/>
    </w:rPr>
  </w:style>
  <w:style w:type="character" w:customStyle="1" w:styleId="51">
    <w:name w:val="font81"/>
    <w:basedOn w:val="22"/>
    <w:qFormat/>
    <w:uiPriority w:val="0"/>
    <w:rPr>
      <w:rFonts w:hint="eastAsia" w:ascii="新宋体" w:hAnsi="新宋体" w:eastAsia="新宋体" w:cs="新宋体"/>
      <w:color w:val="000000"/>
      <w:sz w:val="20"/>
      <w:szCs w:val="20"/>
      <w:u w:val="none"/>
      <w:vertAlign w:val="superscript"/>
    </w:rPr>
  </w:style>
  <w:style w:type="character" w:customStyle="1" w:styleId="52">
    <w:name w:val="font61"/>
    <w:basedOn w:val="22"/>
    <w:qFormat/>
    <w:uiPriority w:val="0"/>
    <w:rPr>
      <w:rFonts w:hint="eastAsia" w:ascii="宋体" w:hAnsi="宋体" w:eastAsia="宋体" w:cs="宋体"/>
      <w:color w:val="000000"/>
      <w:sz w:val="20"/>
      <w:szCs w:val="20"/>
      <w:u w:val="none"/>
    </w:rPr>
  </w:style>
  <w:style w:type="paragraph" w:customStyle="1" w:styleId="53">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8" Type="http://schemas.openxmlformats.org/officeDocument/2006/relationships/fontTable" Target="fontTable.xml"/><Relationship Id="rId77" Type="http://schemas.openxmlformats.org/officeDocument/2006/relationships/numbering" Target="numbering.xml"/><Relationship Id="rId76" Type="http://schemas.openxmlformats.org/officeDocument/2006/relationships/customXml" Target="../customXml/item1.xml"/><Relationship Id="rId75" Type="http://schemas.openxmlformats.org/officeDocument/2006/relationships/theme" Target="theme/theme1.xml"/><Relationship Id="rId74" Type="http://schemas.openxmlformats.org/officeDocument/2006/relationships/footer" Target="footer41.xml"/><Relationship Id="rId73" Type="http://schemas.openxmlformats.org/officeDocument/2006/relationships/header" Target="header31.xml"/><Relationship Id="rId72" Type="http://schemas.openxmlformats.org/officeDocument/2006/relationships/footer" Target="footer40.xml"/><Relationship Id="rId71" Type="http://schemas.openxmlformats.org/officeDocument/2006/relationships/header" Target="header30.xml"/><Relationship Id="rId70" Type="http://schemas.openxmlformats.org/officeDocument/2006/relationships/footer" Target="footer39.xml"/><Relationship Id="rId7" Type="http://schemas.openxmlformats.org/officeDocument/2006/relationships/footer" Target="footer3.xml"/><Relationship Id="rId69" Type="http://schemas.openxmlformats.org/officeDocument/2006/relationships/header" Target="header29.xml"/><Relationship Id="rId68" Type="http://schemas.openxmlformats.org/officeDocument/2006/relationships/footer" Target="footer38.xml"/><Relationship Id="rId67" Type="http://schemas.openxmlformats.org/officeDocument/2006/relationships/header" Target="header28.xml"/><Relationship Id="rId66" Type="http://schemas.openxmlformats.org/officeDocument/2006/relationships/footer" Target="footer37.xml"/><Relationship Id="rId65" Type="http://schemas.openxmlformats.org/officeDocument/2006/relationships/header" Target="header27.xml"/><Relationship Id="rId64" Type="http://schemas.openxmlformats.org/officeDocument/2006/relationships/footer" Target="footer36.xml"/><Relationship Id="rId63" Type="http://schemas.openxmlformats.org/officeDocument/2006/relationships/footer" Target="footer35.xml"/><Relationship Id="rId62" Type="http://schemas.openxmlformats.org/officeDocument/2006/relationships/header" Target="header26.xml"/><Relationship Id="rId61" Type="http://schemas.openxmlformats.org/officeDocument/2006/relationships/footer" Target="footer34.xml"/><Relationship Id="rId60" Type="http://schemas.openxmlformats.org/officeDocument/2006/relationships/header" Target="header25.xml"/><Relationship Id="rId6" Type="http://schemas.openxmlformats.org/officeDocument/2006/relationships/header" Target="header2.xml"/><Relationship Id="rId59" Type="http://schemas.openxmlformats.org/officeDocument/2006/relationships/footer" Target="footer33.xml"/><Relationship Id="rId58" Type="http://schemas.openxmlformats.org/officeDocument/2006/relationships/footer" Target="footer32.xml"/><Relationship Id="rId57" Type="http://schemas.openxmlformats.org/officeDocument/2006/relationships/footer" Target="footer31.xml"/><Relationship Id="rId56" Type="http://schemas.openxmlformats.org/officeDocument/2006/relationships/header" Target="header24.xml"/><Relationship Id="rId55" Type="http://schemas.openxmlformats.org/officeDocument/2006/relationships/footer" Target="footer30.xml"/><Relationship Id="rId54" Type="http://schemas.openxmlformats.org/officeDocument/2006/relationships/header" Target="header23.xml"/><Relationship Id="rId53" Type="http://schemas.openxmlformats.org/officeDocument/2006/relationships/footer" Target="footer29.xml"/><Relationship Id="rId52" Type="http://schemas.openxmlformats.org/officeDocument/2006/relationships/header" Target="header22.xml"/><Relationship Id="rId51" Type="http://schemas.openxmlformats.org/officeDocument/2006/relationships/footer" Target="footer28.xml"/><Relationship Id="rId50" Type="http://schemas.openxmlformats.org/officeDocument/2006/relationships/footer" Target="footer27.xml"/><Relationship Id="rId5" Type="http://schemas.openxmlformats.org/officeDocument/2006/relationships/footer" Target="footer2.xml"/><Relationship Id="rId49" Type="http://schemas.openxmlformats.org/officeDocument/2006/relationships/footer" Target="footer26.xml"/><Relationship Id="rId48" Type="http://schemas.openxmlformats.org/officeDocument/2006/relationships/header" Target="header21.xml"/><Relationship Id="rId47" Type="http://schemas.openxmlformats.org/officeDocument/2006/relationships/footer" Target="footer25.xml"/><Relationship Id="rId46" Type="http://schemas.openxmlformats.org/officeDocument/2006/relationships/header" Target="header20.xml"/><Relationship Id="rId45" Type="http://schemas.openxmlformats.org/officeDocument/2006/relationships/footer" Target="footer24.xml"/><Relationship Id="rId44" Type="http://schemas.openxmlformats.org/officeDocument/2006/relationships/header" Target="header19.xml"/><Relationship Id="rId43" Type="http://schemas.openxmlformats.org/officeDocument/2006/relationships/footer" Target="footer23.xml"/><Relationship Id="rId42" Type="http://schemas.openxmlformats.org/officeDocument/2006/relationships/header" Target="header18.xml"/><Relationship Id="rId41" Type="http://schemas.openxmlformats.org/officeDocument/2006/relationships/footer" Target="footer22.xml"/><Relationship Id="rId40" Type="http://schemas.openxmlformats.org/officeDocument/2006/relationships/footer" Target="footer21.xml"/><Relationship Id="rId4" Type="http://schemas.openxmlformats.org/officeDocument/2006/relationships/header" Target="header1.xml"/><Relationship Id="rId39" Type="http://schemas.openxmlformats.org/officeDocument/2006/relationships/footer" Target="footer20.xml"/><Relationship Id="rId38" Type="http://schemas.openxmlformats.org/officeDocument/2006/relationships/header" Target="header17.xml"/><Relationship Id="rId37" Type="http://schemas.openxmlformats.org/officeDocument/2006/relationships/footer" Target="footer19.xml"/><Relationship Id="rId36" Type="http://schemas.openxmlformats.org/officeDocument/2006/relationships/header" Target="header16.xml"/><Relationship Id="rId35" Type="http://schemas.openxmlformats.org/officeDocument/2006/relationships/footer" Target="footer18.xml"/><Relationship Id="rId34" Type="http://schemas.openxmlformats.org/officeDocument/2006/relationships/header" Target="header15.xml"/><Relationship Id="rId33" Type="http://schemas.openxmlformats.org/officeDocument/2006/relationships/footer" Target="footer17.xml"/><Relationship Id="rId32" Type="http://schemas.openxmlformats.org/officeDocument/2006/relationships/header" Target="header14.xml"/><Relationship Id="rId31" Type="http://schemas.openxmlformats.org/officeDocument/2006/relationships/footer" Target="footer16.xml"/><Relationship Id="rId30" Type="http://schemas.openxmlformats.org/officeDocument/2006/relationships/footer" Target="footer15.xml"/><Relationship Id="rId3" Type="http://schemas.openxmlformats.org/officeDocument/2006/relationships/footer" Target="footer1.xml"/><Relationship Id="rId29" Type="http://schemas.openxmlformats.org/officeDocument/2006/relationships/footer" Target="footer14.xml"/><Relationship Id="rId28" Type="http://schemas.openxmlformats.org/officeDocument/2006/relationships/header" Target="header13.xml"/><Relationship Id="rId27" Type="http://schemas.openxmlformats.org/officeDocument/2006/relationships/header" Target="header12.xml"/><Relationship Id="rId26" Type="http://schemas.openxmlformats.org/officeDocument/2006/relationships/header" Target="header11.xml"/><Relationship Id="rId25" Type="http://schemas.openxmlformats.org/officeDocument/2006/relationships/footer" Target="footer13.xml"/><Relationship Id="rId24" Type="http://schemas.openxmlformats.org/officeDocument/2006/relationships/header" Target="header10.xml"/><Relationship Id="rId23" Type="http://schemas.openxmlformats.org/officeDocument/2006/relationships/footer" Target="footer12.xml"/><Relationship Id="rId22" Type="http://schemas.openxmlformats.org/officeDocument/2006/relationships/header" Target="header9.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7.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97</Pages>
  <Words>19721</Words>
  <Characters>21251</Characters>
  <Lines>1</Lines>
  <Paragraphs>1</Paragraphs>
  <TotalTime>10</TotalTime>
  <ScaleCrop>false</ScaleCrop>
  <LinksUpToDate>false</LinksUpToDate>
  <CharactersWithSpaces>21857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2024-02-05T14:20:00Z</dcterms:created>
  <dc:creator>大办公厅</dc:creator>
  <cp:lastModifiedBy>.......</cp:lastModifiedBy>
  <cp:lastPrinted>2024-02-27T03:17:00Z</cp:lastPrinted>
  <dcterms:modified xsi:type="dcterms:W3CDTF">2025-04-07T05:01:45Z</dcterms:modified>
  <dc:title>叶城县西合休乡光伏电站升级改造项目</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2023-12-13T20:33:27Z</vt:filetime>
  </property>
  <property fmtid="{D5CDD505-2E9C-101B-9397-08002B2CF9AE}" pid="4" name="KSOProductBuildVer">
    <vt:lpwstr>2052-12.1.0.20305</vt:lpwstr>
  </property>
  <property fmtid="{D5CDD505-2E9C-101B-9397-08002B2CF9AE}" pid="5" name="ICV">
    <vt:lpwstr>11DC61567FB244C3B615D8AF472E5C0E_13</vt:lpwstr>
  </property>
  <property fmtid="{D5CDD505-2E9C-101B-9397-08002B2CF9AE}" pid="6" name="KSOTemplateDocerSaveRecord">
    <vt:lpwstr>eyJoZGlkIjoiNTllNTk3ZmExMWE1ZDZkMmEzZTI4ZmI3YzdiZTQwNDMiLCJ1c2VySWQiOiIxMjA2NDg5OTAzIn0=</vt:lpwstr>
  </property>
</Properties>
</file>