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48CE64">
      <w:pPr>
        <w:pStyle w:val="8"/>
        <w:kinsoku w:val="0"/>
        <w:overflowPunct w:val="0"/>
        <w:spacing w:before="0"/>
        <w:ind w:left="0"/>
        <w:rPr>
          <w:rFonts w:hint="default" w:ascii="Times New Roman" w:eastAsia="Times New Roman" w:cs="Times New Roman"/>
          <w:color w:val="auto"/>
          <w:sz w:val="14"/>
          <w:szCs w:val="14"/>
        </w:rPr>
      </w:pPr>
    </w:p>
    <w:p w14:paraId="1F82B959">
      <w:pPr>
        <w:pStyle w:val="8"/>
        <w:kinsoku w:val="0"/>
        <w:overflowPunct w:val="0"/>
        <w:spacing w:before="0" w:line="817" w:lineRule="exact"/>
        <w:ind w:left="0" w:right="1"/>
        <w:jc w:val="center"/>
        <w:outlineLvl w:val="0"/>
        <w:rPr>
          <w:rFonts w:hint="default"/>
          <w:color w:val="auto"/>
          <w:sz w:val="72"/>
          <w:szCs w:val="72"/>
        </w:rPr>
      </w:pPr>
      <w:bookmarkStart w:id="0" w:name="_Toc4615"/>
      <w:r>
        <w:rPr>
          <w:color w:val="auto"/>
          <w:sz w:val="72"/>
          <w:szCs w:val="72"/>
        </w:rPr>
        <w:t>政府采购</w:t>
      </w:r>
      <w:bookmarkEnd w:id="0"/>
    </w:p>
    <w:p w14:paraId="62449CFA">
      <w:pPr>
        <w:pStyle w:val="8"/>
        <w:kinsoku w:val="0"/>
        <w:overflowPunct w:val="0"/>
        <w:spacing w:before="0" w:line="939" w:lineRule="exact"/>
        <w:ind w:left="0" w:right="1"/>
        <w:jc w:val="center"/>
        <w:rPr>
          <w:rFonts w:hint="default"/>
          <w:color w:val="auto"/>
          <w:sz w:val="72"/>
          <w:szCs w:val="72"/>
        </w:rPr>
      </w:pPr>
      <w:r>
        <w:rPr>
          <w:color w:val="auto"/>
          <w:sz w:val="72"/>
          <w:szCs w:val="72"/>
        </w:rPr>
        <w:t>招标文件</w:t>
      </w:r>
    </w:p>
    <w:p w14:paraId="39ECFE21">
      <w:pPr>
        <w:pStyle w:val="8"/>
        <w:kinsoku w:val="0"/>
        <w:overflowPunct w:val="0"/>
        <w:spacing w:before="0"/>
        <w:ind w:left="0"/>
        <w:rPr>
          <w:rFonts w:hint="default"/>
          <w:color w:val="auto"/>
          <w:sz w:val="20"/>
          <w:szCs w:val="20"/>
        </w:rPr>
      </w:pPr>
    </w:p>
    <w:p w14:paraId="17C259B9">
      <w:pPr>
        <w:pStyle w:val="8"/>
        <w:kinsoku w:val="0"/>
        <w:overflowPunct w:val="0"/>
        <w:spacing w:before="0"/>
        <w:ind w:left="0"/>
        <w:rPr>
          <w:rFonts w:hint="default"/>
          <w:color w:val="auto"/>
          <w:sz w:val="20"/>
          <w:szCs w:val="20"/>
        </w:rPr>
      </w:pPr>
    </w:p>
    <w:p w14:paraId="04F5927D">
      <w:pPr>
        <w:pStyle w:val="8"/>
        <w:kinsoku w:val="0"/>
        <w:overflowPunct w:val="0"/>
        <w:spacing w:before="0"/>
        <w:ind w:left="0"/>
        <w:rPr>
          <w:rFonts w:hint="default"/>
          <w:color w:val="auto"/>
          <w:sz w:val="20"/>
          <w:szCs w:val="20"/>
        </w:rPr>
      </w:pPr>
    </w:p>
    <w:p w14:paraId="1D4E0B0D">
      <w:pPr>
        <w:pStyle w:val="8"/>
        <w:kinsoku w:val="0"/>
        <w:overflowPunct w:val="0"/>
        <w:spacing w:before="0"/>
        <w:ind w:left="0"/>
        <w:rPr>
          <w:rFonts w:hint="default"/>
          <w:color w:val="auto"/>
          <w:sz w:val="20"/>
          <w:szCs w:val="20"/>
        </w:rPr>
      </w:pPr>
    </w:p>
    <w:p w14:paraId="662A5F5C">
      <w:pPr>
        <w:pStyle w:val="8"/>
        <w:kinsoku w:val="0"/>
        <w:overflowPunct w:val="0"/>
        <w:spacing w:before="0"/>
        <w:ind w:left="0"/>
        <w:rPr>
          <w:rFonts w:hint="default"/>
          <w:color w:val="auto"/>
          <w:sz w:val="20"/>
          <w:szCs w:val="20"/>
        </w:rPr>
      </w:pPr>
    </w:p>
    <w:p w14:paraId="3485CB3B">
      <w:pPr>
        <w:pStyle w:val="8"/>
        <w:kinsoku w:val="0"/>
        <w:overflowPunct w:val="0"/>
        <w:spacing w:before="0"/>
        <w:ind w:left="0"/>
        <w:rPr>
          <w:rFonts w:hint="default"/>
          <w:color w:val="auto"/>
          <w:sz w:val="20"/>
          <w:szCs w:val="20"/>
        </w:rPr>
      </w:pPr>
    </w:p>
    <w:p w14:paraId="5E7D816E">
      <w:pPr>
        <w:pStyle w:val="8"/>
        <w:kinsoku w:val="0"/>
        <w:overflowPunct w:val="0"/>
        <w:spacing w:before="0"/>
        <w:ind w:left="0"/>
        <w:rPr>
          <w:rFonts w:hint="default"/>
          <w:color w:val="auto"/>
          <w:sz w:val="20"/>
          <w:szCs w:val="20"/>
        </w:rPr>
      </w:pPr>
    </w:p>
    <w:p w14:paraId="4872CAC4">
      <w:pPr>
        <w:pStyle w:val="8"/>
        <w:kinsoku w:val="0"/>
        <w:overflowPunct w:val="0"/>
        <w:spacing w:before="7"/>
        <w:ind w:left="0"/>
        <w:rPr>
          <w:rFonts w:hint="default"/>
          <w:color w:val="auto"/>
          <w:sz w:val="15"/>
          <w:szCs w:val="15"/>
        </w:rPr>
      </w:pPr>
    </w:p>
    <w:p w14:paraId="1A3D645F">
      <w:pPr>
        <w:pStyle w:val="3"/>
        <w:kinsoku w:val="0"/>
        <w:overflowPunct w:val="0"/>
        <w:spacing w:line="480" w:lineRule="auto"/>
        <w:ind w:firstLine="603" w:firstLineChars="200"/>
        <w:outlineLvl w:val="0"/>
        <w:rPr>
          <w:rFonts w:hint="eastAsia" w:ascii="宋体" w:eastAsia="宋体" w:cs="宋体"/>
          <w:b w:val="0"/>
          <w:color w:val="auto"/>
          <w:lang w:eastAsia="zh-CN"/>
        </w:rPr>
      </w:pPr>
      <w:bookmarkStart w:id="1" w:name="_Toc26799"/>
      <w:r>
        <w:rPr>
          <w:rFonts w:ascii="宋体" w:eastAsia="宋体" w:cs="宋体"/>
          <w:color w:val="auto"/>
          <w:spacing w:val="-10"/>
        </w:rPr>
        <w:t>项目名称：</w:t>
      </w:r>
      <w:r>
        <w:rPr>
          <w:rFonts w:hint="eastAsia" w:ascii="宋体" w:eastAsia="宋体" w:cs="宋体"/>
          <w:color w:val="auto"/>
          <w:spacing w:val="-10"/>
          <w:lang w:eastAsia="zh-CN"/>
        </w:rPr>
        <w:t>尼勒克县人民医院血液透析机采购项目</w:t>
      </w:r>
      <w:bookmarkEnd w:id="1"/>
    </w:p>
    <w:p w14:paraId="3882AFCF">
      <w:pPr>
        <w:pStyle w:val="8"/>
        <w:kinsoku w:val="0"/>
        <w:overflowPunct w:val="0"/>
        <w:spacing w:before="205" w:line="480" w:lineRule="auto"/>
        <w:ind w:firstLine="643" w:firstLineChars="200"/>
        <w:outlineLvl w:val="0"/>
        <w:rPr>
          <w:rFonts w:hint="eastAsia" w:eastAsia="宋体"/>
          <w:color w:val="auto"/>
          <w:sz w:val="32"/>
          <w:szCs w:val="32"/>
          <w:lang w:eastAsia="zh-CN"/>
        </w:rPr>
      </w:pPr>
      <w:bookmarkStart w:id="2" w:name="_Toc8909"/>
      <w:r>
        <w:rPr>
          <w:b/>
          <w:color w:val="auto"/>
          <w:sz w:val="32"/>
          <w:szCs w:val="32"/>
        </w:rPr>
        <w:t>分包编号：</w:t>
      </w:r>
      <w:r>
        <w:rPr>
          <w:rFonts w:hint="eastAsia"/>
          <w:b/>
          <w:color w:val="auto"/>
          <w:sz w:val="32"/>
          <w:szCs w:val="32"/>
          <w:lang w:eastAsia="zh-CN"/>
        </w:rPr>
        <w:t>CTZB-2025-006</w:t>
      </w:r>
      <w:bookmarkEnd w:id="2"/>
    </w:p>
    <w:p w14:paraId="174DFB7D">
      <w:pPr>
        <w:pStyle w:val="8"/>
        <w:kinsoku w:val="0"/>
        <w:overflowPunct w:val="0"/>
        <w:spacing w:before="205" w:line="480" w:lineRule="auto"/>
        <w:ind w:firstLine="643" w:firstLineChars="200"/>
        <w:outlineLvl w:val="0"/>
        <w:rPr>
          <w:rFonts w:hint="eastAsia" w:eastAsia="宋体"/>
          <w:color w:val="auto"/>
          <w:sz w:val="32"/>
          <w:szCs w:val="32"/>
          <w:lang w:eastAsia="zh-CN"/>
        </w:rPr>
      </w:pPr>
      <w:bookmarkStart w:id="3" w:name="_Toc15331"/>
      <w:r>
        <w:rPr>
          <w:b/>
          <w:color w:val="auto"/>
          <w:sz w:val="32"/>
          <w:szCs w:val="32"/>
        </w:rPr>
        <w:t>采购代理机构：</w:t>
      </w:r>
      <w:r>
        <w:rPr>
          <w:rFonts w:hint="eastAsia"/>
          <w:b/>
          <w:color w:val="auto"/>
          <w:sz w:val="32"/>
          <w:szCs w:val="32"/>
          <w:lang w:eastAsia="zh-CN"/>
        </w:rPr>
        <w:t>新疆崇途工程项目管理有限公司</w:t>
      </w:r>
      <w:bookmarkEnd w:id="3"/>
    </w:p>
    <w:p w14:paraId="2CF8E2C0">
      <w:pPr>
        <w:pStyle w:val="8"/>
        <w:kinsoku w:val="0"/>
        <w:overflowPunct w:val="0"/>
        <w:spacing w:before="205" w:line="480" w:lineRule="auto"/>
        <w:ind w:right="1" w:firstLine="643" w:firstLineChars="200"/>
        <w:rPr>
          <w:rFonts w:hint="eastAsia" w:eastAsia="宋体"/>
          <w:color w:val="auto"/>
          <w:sz w:val="32"/>
          <w:szCs w:val="32"/>
          <w:lang w:eastAsia="zh-CN"/>
        </w:rPr>
      </w:pPr>
      <w:r>
        <w:rPr>
          <w:b/>
          <w:color w:val="auto"/>
          <w:sz w:val="32"/>
          <w:szCs w:val="32"/>
        </w:rPr>
        <w:t>日期：</w:t>
      </w:r>
      <w:r>
        <w:rPr>
          <w:b/>
          <w:color w:val="auto"/>
          <w:spacing w:val="-5"/>
          <w:sz w:val="32"/>
          <w:szCs w:val="32"/>
        </w:rPr>
        <w:t xml:space="preserve"> </w:t>
      </w:r>
      <w:r>
        <w:rPr>
          <w:rFonts w:hint="eastAsia"/>
          <w:b/>
          <w:color w:val="auto"/>
          <w:sz w:val="32"/>
          <w:szCs w:val="32"/>
          <w:lang w:eastAsia="zh-CN"/>
        </w:rPr>
        <w:t>2025年2月25日</w:t>
      </w:r>
    </w:p>
    <w:p w14:paraId="72F95FCD">
      <w:pPr>
        <w:pStyle w:val="8"/>
        <w:kinsoku w:val="0"/>
        <w:overflowPunct w:val="0"/>
        <w:spacing w:before="205" w:line="480" w:lineRule="auto"/>
        <w:ind w:left="680" w:right="1"/>
        <w:jc w:val="center"/>
        <w:rPr>
          <w:rFonts w:hint="default"/>
          <w:color w:val="auto"/>
          <w:sz w:val="32"/>
          <w:szCs w:val="32"/>
        </w:rPr>
        <w:sectPr>
          <w:footerReference r:id="rId3" w:type="default"/>
          <w:pgSz w:w="11910" w:h="16840"/>
          <w:pgMar w:top="1580" w:right="1680" w:bottom="1600" w:left="1680" w:header="0" w:footer="1415" w:gutter="0"/>
          <w:pgNumType w:start="1"/>
          <w:cols w:space="720" w:num="1"/>
        </w:sectPr>
      </w:pPr>
    </w:p>
    <w:sdt>
      <w:sdtPr>
        <w:rPr>
          <w:rFonts w:hint="eastAsia" w:ascii="宋体" w:hAnsi="宋体" w:eastAsia="宋体" w:cs="Times New Roman"/>
          <w:sz w:val="36"/>
          <w:szCs w:val="44"/>
          <w:lang w:val="en-US" w:eastAsia="zh-CN" w:bidi="ar-SA"/>
        </w:rPr>
        <w:id w:val="147469069"/>
        <w15:color w:val="DBDBDB"/>
        <w:docPartObj>
          <w:docPartGallery w:val="Table of Contents"/>
          <w:docPartUnique/>
        </w:docPartObj>
      </w:sdtPr>
      <w:sdtEndPr>
        <w:rPr>
          <w:rFonts w:hint="eastAsia" w:ascii="宋体" w:hAnsi="Times New Roman" w:eastAsia="宋体" w:cs="宋体"/>
          <w:b/>
          <w:color w:val="auto"/>
          <w:sz w:val="28"/>
          <w:szCs w:val="28"/>
          <w:lang w:val="en-US" w:eastAsia="zh-CN" w:bidi="ar-SA"/>
        </w:rPr>
      </w:sdtEndPr>
      <w:sdtContent>
        <w:p w14:paraId="1AD9853D">
          <w:pPr>
            <w:spacing w:before="0" w:beforeLines="0" w:after="0" w:afterLines="0" w:line="240" w:lineRule="auto"/>
            <w:ind w:left="0" w:leftChars="0" w:right="0" w:rightChars="0" w:firstLine="0" w:firstLineChars="0"/>
            <w:jc w:val="center"/>
            <w:rPr>
              <w:rFonts w:hint="eastAsia" w:ascii="宋体" w:hAnsi="宋体" w:eastAsia="宋体" w:cs="Times New Roman"/>
              <w:sz w:val="36"/>
              <w:szCs w:val="44"/>
              <w:lang w:val="en-US" w:eastAsia="zh-CN" w:bidi="ar-SA"/>
            </w:rPr>
          </w:pPr>
        </w:p>
        <w:p w14:paraId="1480E6C2">
          <w:pPr>
            <w:spacing w:before="0" w:beforeLines="0" w:after="0" w:afterLines="0" w:line="240" w:lineRule="auto"/>
            <w:ind w:left="0" w:leftChars="0" w:right="0" w:rightChars="0" w:firstLine="0" w:firstLineChars="0"/>
            <w:jc w:val="center"/>
            <w:rPr>
              <w:sz w:val="48"/>
              <w:szCs w:val="48"/>
            </w:rPr>
          </w:pPr>
          <w:r>
            <w:rPr>
              <w:rFonts w:ascii="宋体" w:hAnsi="宋体" w:eastAsia="宋体"/>
              <w:sz w:val="40"/>
              <w:szCs w:val="48"/>
            </w:rPr>
            <w:t>目录</w:t>
          </w:r>
        </w:p>
        <w:p w14:paraId="4253B5E2">
          <w:pPr>
            <w:pStyle w:val="17"/>
            <w:tabs>
              <w:tab w:val="right" w:pos="4400"/>
              <w:tab w:val="right" w:leader="dot" w:pos="8550"/>
            </w:tabs>
            <w:rPr>
              <w:sz w:val="28"/>
              <w:szCs w:val="28"/>
            </w:rPr>
          </w:pPr>
          <w:r>
            <w:rPr>
              <w:color w:val="auto"/>
              <w:sz w:val="28"/>
              <w:szCs w:val="28"/>
            </w:rPr>
            <w:fldChar w:fldCharType="begin"/>
          </w:r>
          <w:r>
            <w:rPr>
              <w:color w:val="auto"/>
              <w:sz w:val="28"/>
              <w:szCs w:val="28"/>
            </w:rPr>
            <w:instrText xml:space="preserve">TOC \o "1-1" \h \u </w:instrText>
          </w:r>
          <w:r>
            <w:rPr>
              <w:color w:val="auto"/>
              <w:sz w:val="28"/>
              <w:szCs w:val="28"/>
            </w:rPr>
            <w:fldChar w:fldCharType="separate"/>
          </w:r>
        </w:p>
        <w:p w14:paraId="546BC8D4">
          <w:pPr>
            <w:pStyle w:val="17"/>
            <w:tabs>
              <w:tab w:val="right" w:leader="dot" w:pos="8550"/>
            </w:tabs>
            <w:spacing w:line="480" w:lineRule="auto"/>
            <w:rPr>
              <w:sz w:val="28"/>
              <w:szCs w:val="28"/>
            </w:rPr>
          </w:pPr>
          <w:r>
            <w:rPr>
              <w:color w:val="auto"/>
              <w:sz w:val="28"/>
              <w:szCs w:val="28"/>
            </w:rPr>
            <w:fldChar w:fldCharType="begin"/>
          </w:r>
          <w:r>
            <w:rPr>
              <w:sz w:val="28"/>
              <w:szCs w:val="28"/>
            </w:rPr>
            <w:instrText xml:space="preserve"> HYPERLINK \l _Toc6366 </w:instrText>
          </w:r>
          <w:r>
            <w:rPr>
              <w:sz w:val="28"/>
              <w:szCs w:val="28"/>
            </w:rPr>
            <w:fldChar w:fldCharType="separate"/>
          </w:r>
          <w:r>
            <w:rPr>
              <w:w w:val="95"/>
              <w:sz w:val="28"/>
              <w:szCs w:val="28"/>
            </w:rPr>
            <w:t>第一部分</w:t>
          </w:r>
          <w:r>
            <w:rPr>
              <w:rFonts w:hint="eastAsia"/>
              <w:w w:val="95"/>
              <w:sz w:val="28"/>
              <w:szCs w:val="28"/>
              <w:lang w:val="en-US" w:eastAsia="zh-CN"/>
            </w:rPr>
            <w:t xml:space="preserve"> </w:t>
          </w:r>
          <w:r>
            <w:rPr>
              <w:sz w:val="28"/>
              <w:szCs w:val="28"/>
            </w:rPr>
            <w:t>招标公告</w:t>
          </w:r>
          <w:r>
            <w:rPr>
              <w:sz w:val="28"/>
              <w:szCs w:val="28"/>
            </w:rPr>
            <w:tab/>
          </w:r>
          <w:r>
            <w:rPr>
              <w:sz w:val="28"/>
              <w:szCs w:val="28"/>
            </w:rPr>
            <w:fldChar w:fldCharType="begin"/>
          </w:r>
          <w:r>
            <w:rPr>
              <w:sz w:val="28"/>
              <w:szCs w:val="28"/>
            </w:rPr>
            <w:instrText xml:space="preserve"> PAGEREF _Toc6366 \h </w:instrText>
          </w:r>
          <w:r>
            <w:rPr>
              <w:sz w:val="28"/>
              <w:szCs w:val="28"/>
            </w:rPr>
            <w:fldChar w:fldCharType="separate"/>
          </w:r>
          <w:r>
            <w:rPr>
              <w:sz w:val="28"/>
              <w:szCs w:val="28"/>
            </w:rPr>
            <w:t>3</w:t>
          </w:r>
          <w:r>
            <w:rPr>
              <w:sz w:val="28"/>
              <w:szCs w:val="28"/>
            </w:rPr>
            <w:fldChar w:fldCharType="end"/>
          </w:r>
          <w:r>
            <w:rPr>
              <w:color w:val="auto"/>
              <w:sz w:val="28"/>
              <w:szCs w:val="28"/>
            </w:rPr>
            <w:fldChar w:fldCharType="end"/>
          </w:r>
        </w:p>
        <w:p w14:paraId="35C0F8D5">
          <w:pPr>
            <w:pStyle w:val="17"/>
            <w:tabs>
              <w:tab w:val="right" w:leader="dot" w:pos="8550"/>
            </w:tabs>
            <w:spacing w:line="480" w:lineRule="auto"/>
            <w:rPr>
              <w:sz w:val="28"/>
              <w:szCs w:val="28"/>
            </w:rPr>
          </w:pPr>
          <w:r>
            <w:rPr>
              <w:color w:val="auto"/>
              <w:sz w:val="28"/>
              <w:szCs w:val="28"/>
            </w:rPr>
            <w:fldChar w:fldCharType="begin"/>
          </w:r>
          <w:r>
            <w:rPr>
              <w:sz w:val="28"/>
              <w:szCs w:val="28"/>
            </w:rPr>
            <w:instrText xml:space="preserve"> HYPERLINK \l _Toc8075 </w:instrText>
          </w:r>
          <w:r>
            <w:rPr>
              <w:sz w:val="28"/>
              <w:szCs w:val="28"/>
            </w:rPr>
            <w:fldChar w:fldCharType="separate"/>
          </w:r>
          <w:r>
            <w:rPr>
              <w:w w:val="95"/>
              <w:sz w:val="28"/>
              <w:szCs w:val="28"/>
            </w:rPr>
            <w:t>第二部分</w:t>
          </w:r>
          <w:r>
            <w:rPr>
              <w:rFonts w:hint="eastAsia"/>
              <w:w w:val="95"/>
              <w:sz w:val="28"/>
              <w:szCs w:val="28"/>
              <w:lang w:val="en-US" w:eastAsia="zh-CN"/>
            </w:rPr>
            <w:t xml:space="preserve"> </w:t>
          </w:r>
          <w:r>
            <w:rPr>
              <w:rFonts w:hint="eastAsia"/>
              <w:sz w:val="28"/>
              <w:szCs w:val="28"/>
              <w:lang w:eastAsia="zh-CN"/>
            </w:rPr>
            <w:t>供应商</w:t>
          </w:r>
          <w:r>
            <w:rPr>
              <w:sz w:val="28"/>
              <w:szCs w:val="28"/>
            </w:rPr>
            <w:t>须知</w:t>
          </w:r>
          <w:r>
            <w:rPr>
              <w:sz w:val="28"/>
              <w:szCs w:val="28"/>
            </w:rPr>
            <w:tab/>
          </w:r>
          <w:r>
            <w:rPr>
              <w:sz w:val="28"/>
              <w:szCs w:val="28"/>
            </w:rPr>
            <w:fldChar w:fldCharType="begin"/>
          </w:r>
          <w:r>
            <w:rPr>
              <w:sz w:val="28"/>
              <w:szCs w:val="28"/>
            </w:rPr>
            <w:instrText xml:space="preserve"> PAGEREF _Toc8075 \h </w:instrText>
          </w:r>
          <w:r>
            <w:rPr>
              <w:sz w:val="28"/>
              <w:szCs w:val="28"/>
            </w:rPr>
            <w:fldChar w:fldCharType="separate"/>
          </w:r>
          <w:r>
            <w:rPr>
              <w:sz w:val="28"/>
              <w:szCs w:val="28"/>
            </w:rPr>
            <w:t>7</w:t>
          </w:r>
          <w:r>
            <w:rPr>
              <w:sz w:val="28"/>
              <w:szCs w:val="28"/>
            </w:rPr>
            <w:fldChar w:fldCharType="end"/>
          </w:r>
          <w:r>
            <w:rPr>
              <w:color w:val="auto"/>
              <w:sz w:val="28"/>
              <w:szCs w:val="28"/>
            </w:rPr>
            <w:fldChar w:fldCharType="end"/>
          </w:r>
        </w:p>
        <w:p w14:paraId="4B88301A">
          <w:pPr>
            <w:pStyle w:val="17"/>
            <w:tabs>
              <w:tab w:val="right" w:leader="dot" w:pos="8550"/>
            </w:tabs>
            <w:spacing w:line="480" w:lineRule="auto"/>
            <w:rPr>
              <w:sz w:val="28"/>
              <w:szCs w:val="28"/>
            </w:rPr>
          </w:pPr>
          <w:r>
            <w:rPr>
              <w:color w:val="auto"/>
              <w:sz w:val="28"/>
              <w:szCs w:val="28"/>
            </w:rPr>
            <w:fldChar w:fldCharType="begin"/>
          </w:r>
          <w:r>
            <w:rPr>
              <w:sz w:val="28"/>
              <w:szCs w:val="28"/>
            </w:rPr>
            <w:instrText xml:space="preserve"> HYPERLINK \l _Toc11509 </w:instrText>
          </w:r>
          <w:r>
            <w:rPr>
              <w:sz w:val="28"/>
              <w:szCs w:val="28"/>
            </w:rPr>
            <w:fldChar w:fldCharType="separate"/>
          </w:r>
          <w:r>
            <w:rPr>
              <w:sz w:val="28"/>
              <w:szCs w:val="32"/>
            </w:rPr>
            <w:t>第三部分采购需求</w:t>
          </w:r>
          <w:r>
            <w:rPr>
              <w:sz w:val="28"/>
              <w:szCs w:val="28"/>
            </w:rPr>
            <w:tab/>
          </w:r>
          <w:r>
            <w:rPr>
              <w:sz w:val="28"/>
              <w:szCs w:val="28"/>
            </w:rPr>
            <w:fldChar w:fldCharType="begin"/>
          </w:r>
          <w:r>
            <w:rPr>
              <w:sz w:val="28"/>
              <w:szCs w:val="28"/>
            </w:rPr>
            <w:instrText xml:space="preserve"> PAGEREF _Toc11509 \h </w:instrText>
          </w:r>
          <w:r>
            <w:rPr>
              <w:sz w:val="28"/>
              <w:szCs w:val="28"/>
            </w:rPr>
            <w:fldChar w:fldCharType="separate"/>
          </w:r>
          <w:r>
            <w:rPr>
              <w:sz w:val="28"/>
              <w:szCs w:val="28"/>
            </w:rPr>
            <w:t>39</w:t>
          </w:r>
          <w:r>
            <w:rPr>
              <w:sz w:val="28"/>
              <w:szCs w:val="28"/>
            </w:rPr>
            <w:fldChar w:fldCharType="end"/>
          </w:r>
          <w:r>
            <w:rPr>
              <w:color w:val="auto"/>
              <w:sz w:val="28"/>
              <w:szCs w:val="28"/>
            </w:rPr>
            <w:fldChar w:fldCharType="end"/>
          </w:r>
        </w:p>
        <w:p w14:paraId="508217E7">
          <w:pPr>
            <w:pStyle w:val="17"/>
            <w:tabs>
              <w:tab w:val="right" w:leader="dot" w:pos="8550"/>
            </w:tabs>
            <w:spacing w:line="480" w:lineRule="auto"/>
            <w:rPr>
              <w:sz w:val="28"/>
              <w:szCs w:val="28"/>
            </w:rPr>
          </w:pPr>
          <w:r>
            <w:rPr>
              <w:color w:val="auto"/>
              <w:sz w:val="28"/>
              <w:szCs w:val="28"/>
            </w:rPr>
            <w:fldChar w:fldCharType="begin"/>
          </w:r>
          <w:r>
            <w:rPr>
              <w:sz w:val="28"/>
              <w:szCs w:val="28"/>
            </w:rPr>
            <w:instrText xml:space="preserve"> HYPERLINK \l _Toc5286 </w:instrText>
          </w:r>
          <w:r>
            <w:rPr>
              <w:sz w:val="28"/>
              <w:szCs w:val="28"/>
            </w:rPr>
            <w:fldChar w:fldCharType="separate"/>
          </w:r>
          <w:r>
            <w:rPr>
              <w:sz w:val="28"/>
              <w:szCs w:val="28"/>
            </w:rPr>
            <w:t>第四部分</w:t>
          </w:r>
          <w:r>
            <w:rPr>
              <w:spacing w:val="-5"/>
              <w:sz w:val="28"/>
              <w:szCs w:val="28"/>
            </w:rPr>
            <w:t xml:space="preserve"> </w:t>
          </w:r>
          <w:r>
            <w:rPr>
              <w:sz w:val="28"/>
              <w:szCs w:val="28"/>
            </w:rPr>
            <w:t>评审方法（综合评分法）</w:t>
          </w:r>
          <w:r>
            <w:rPr>
              <w:sz w:val="28"/>
              <w:szCs w:val="28"/>
            </w:rPr>
            <w:tab/>
          </w:r>
          <w:r>
            <w:rPr>
              <w:sz w:val="28"/>
              <w:szCs w:val="28"/>
            </w:rPr>
            <w:fldChar w:fldCharType="begin"/>
          </w:r>
          <w:r>
            <w:rPr>
              <w:sz w:val="28"/>
              <w:szCs w:val="28"/>
            </w:rPr>
            <w:instrText xml:space="preserve"> PAGEREF _Toc5286 \h </w:instrText>
          </w:r>
          <w:r>
            <w:rPr>
              <w:sz w:val="28"/>
              <w:szCs w:val="28"/>
            </w:rPr>
            <w:fldChar w:fldCharType="separate"/>
          </w:r>
          <w:r>
            <w:rPr>
              <w:sz w:val="28"/>
              <w:szCs w:val="28"/>
            </w:rPr>
            <w:t>44</w:t>
          </w:r>
          <w:r>
            <w:rPr>
              <w:sz w:val="28"/>
              <w:szCs w:val="28"/>
            </w:rPr>
            <w:fldChar w:fldCharType="end"/>
          </w:r>
          <w:r>
            <w:rPr>
              <w:color w:val="auto"/>
              <w:sz w:val="28"/>
              <w:szCs w:val="28"/>
            </w:rPr>
            <w:fldChar w:fldCharType="end"/>
          </w:r>
        </w:p>
        <w:p w14:paraId="0457FB58">
          <w:pPr>
            <w:pStyle w:val="17"/>
            <w:tabs>
              <w:tab w:val="right" w:leader="dot" w:pos="8550"/>
            </w:tabs>
            <w:spacing w:line="480" w:lineRule="auto"/>
            <w:rPr>
              <w:sz w:val="28"/>
              <w:szCs w:val="28"/>
            </w:rPr>
          </w:pPr>
          <w:r>
            <w:rPr>
              <w:color w:val="auto"/>
              <w:sz w:val="28"/>
              <w:szCs w:val="28"/>
            </w:rPr>
            <w:fldChar w:fldCharType="begin"/>
          </w:r>
          <w:r>
            <w:rPr>
              <w:sz w:val="28"/>
              <w:szCs w:val="28"/>
            </w:rPr>
            <w:instrText xml:space="preserve"> HYPERLINK \l _Toc28235 </w:instrText>
          </w:r>
          <w:r>
            <w:rPr>
              <w:sz w:val="28"/>
              <w:szCs w:val="28"/>
            </w:rPr>
            <w:fldChar w:fldCharType="separate"/>
          </w:r>
          <w:r>
            <w:rPr>
              <w:sz w:val="28"/>
              <w:szCs w:val="28"/>
            </w:rPr>
            <w:t>第五部分</w:t>
          </w:r>
          <w:r>
            <w:rPr>
              <w:spacing w:val="-7"/>
              <w:sz w:val="28"/>
              <w:szCs w:val="28"/>
            </w:rPr>
            <w:t xml:space="preserve"> </w:t>
          </w:r>
          <w:r>
            <w:rPr>
              <w:sz w:val="28"/>
              <w:szCs w:val="28"/>
            </w:rPr>
            <w:t>政府采购合同</w:t>
          </w:r>
          <w:r>
            <w:rPr>
              <w:sz w:val="28"/>
              <w:szCs w:val="28"/>
            </w:rPr>
            <w:tab/>
          </w:r>
          <w:r>
            <w:rPr>
              <w:sz w:val="28"/>
              <w:szCs w:val="28"/>
            </w:rPr>
            <w:fldChar w:fldCharType="begin"/>
          </w:r>
          <w:r>
            <w:rPr>
              <w:sz w:val="28"/>
              <w:szCs w:val="28"/>
            </w:rPr>
            <w:instrText xml:space="preserve"> PAGEREF _Toc28235 \h </w:instrText>
          </w:r>
          <w:r>
            <w:rPr>
              <w:sz w:val="28"/>
              <w:szCs w:val="28"/>
            </w:rPr>
            <w:fldChar w:fldCharType="separate"/>
          </w:r>
          <w:r>
            <w:rPr>
              <w:sz w:val="28"/>
              <w:szCs w:val="28"/>
            </w:rPr>
            <w:t>49</w:t>
          </w:r>
          <w:r>
            <w:rPr>
              <w:sz w:val="28"/>
              <w:szCs w:val="28"/>
            </w:rPr>
            <w:fldChar w:fldCharType="end"/>
          </w:r>
          <w:r>
            <w:rPr>
              <w:color w:val="auto"/>
              <w:sz w:val="28"/>
              <w:szCs w:val="28"/>
            </w:rPr>
            <w:fldChar w:fldCharType="end"/>
          </w:r>
        </w:p>
        <w:p w14:paraId="054301C5">
          <w:pPr>
            <w:pStyle w:val="17"/>
            <w:tabs>
              <w:tab w:val="right" w:leader="dot" w:pos="8550"/>
            </w:tabs>
            <w:spacing w:line="480" w:lineRule="auto"/>
            <w:rPr>
              <w:sz w:val="28"/>
              <w:szCs w:val="28"/>
            </w:rPr>
          </w:pPr>
          <w:r>
            <w:rPr>
              <w:color w:val="auto"/>
              <w:sz w:val="28"/>
              <w:szCs w:val="28"/>
            </w:rPr>
            <w:fldChar w:fldCharType="begin"/>
          </w:r>
          <w:r>
            <w:rPr>
              <w:sz w:val="28"/>
              <w:szCs w:val="28"/>
            </w:rPr>
            <w:instrText xml:space="preserve"> HYPERLINK \l _Toc6113 </w:instrText>
          </w:r>
          <w:r>
            <w:rPr>
              <w:sz w:val="28"/>
              <w:szCs w:val="28"/>
            </w:rPr>
            <w:fldChar w:fldCharType="separate"/>
          </w:r>
          <w:r>
            <w:rPr>
              <w:sz w:val="28"/>
              <w:szCs w:val="28"/>
            </w:rPr>
            <w:t>第六部分</w:t>
          </w:r>
          <w:r>
            <w:rPr>
              <w:spacing w:val="-7"/>
              <w:sz w:val="28"/>
              <w:szCs w:val="28"/>
            </w:rPr>
            <w:t xml:space="preserve"> </w:t>
          </w:r>
          <w:r>
            <w:rPr>
              <w:sz w:val="28"/>
              <w:szCs w:val="28"/>
            </w:rPr>
            <w:t>投标文件格式</w:t>
          </w:r>
          <w:r>
            <w:rPr>
              <w:sz w:val="28"/>
              <w:szCs w:val="28"/>
            </w:rPr>
            <w:tab/>
          </w:r>
          <w:r>
            <w:rPr>
              <w:sz w:val="28"/>
              <w:szCs w:val="28"/>
            </w:rPr>
            <w:fldChar w:fldCharType="begin"/>
          </w:r>
          <w:r>
            <w:rPr>
              <w:sz w:val="28"/>
              <w:szCs w:val="28"/>
            </w:rPr>
            <w:instrText xml:space="preserve"> PAGEREF _Toc6113 \h </w:instrText>
          </w:r>
          <w:r>
            <w:rPr>
              <w:sz w:val="28"/>
              <w:szCs w:val="28"/>
            </w:rPr>
            <w:fldChar w:fldCharType="separate"/>
          </w:r>
          <w:r>
            <w:rPr>
              <w:sz w:val="28"/>
              <w:szCs w:val="28"/>
            </w:rPr>
            <w:t>67</w:t>
          </w:r>
          <w:r>
            <w:rPr>
              <w:sz w:val="28"/>
              <w:szCs w:val="28"/>
            </w:rPr>
            <w:fldChar w:fldCharType="end"/>
          </w:r>
          <w:r>
            <w:rPr>
              <w:color w:val="auto"/>
              <w:sz w:val="28"/>
              <w:szCs w:val="28"/>
            </w:rPr>
            <w:fldChar w:fldCharType="end"/>
          </w:r>
        </w:p>
        <w:p w14:paraId="6557A528">
          <w:pPr>
            <w:pStyle w:val="5"/>
            <w:kinsoku w:val="0"/>
            <w:overflowPunct w:val="0"/>
            <w:spacing w:line="355" w:lineRule="exact"/>
            <w:ind w:left="474" w:right="1"/>
            <w:jc w:val="center"/>
            <w:outlineLvl w:val="9"/>
            <w:rPr>
              <w:rFonts w:hint="eastAsia" w:ascii="宋体" w:hAnsi="Times New Roman" w:eastAsia="宋体" w:cs="宋体"/>
              <w:b/>
              <w:color w:val="auto"/>
              <w:sz w:val="28"/>
              <w:szCs w:val="28"/>
              <w:lang w:val="en-US" w:eastAsia="zh-CN" w:bidi="ar-SA"/>
            </w:rPr>
          </w:pPr>
          <w:r>
            <w:rPr>
              <w:color w:val="auto"/>
              <w:sz w:val="32"/>
              <w:szCs w:val="32"/>
            </w:rPr>
            <w:fldChar w:fldCharType="end"/>
          </w:r>
        </w:p>
      </w:sdtContent>
    </w:sdt>
    <w:p w14:paraId="2A57A115"/>
    <w:p w14:paraId="198F7BDF">
      <w:pPr>
        <w:pStyle w:val="2"/>
        <w:tabs>
          <w:tab w:val="left" w:pos="4451"/>
        </w:tabs>
        <w:kinsoku w:val="0"/>
        <w:overflowPunct w:val="0"/>
        <w:spacing w:line="433" w:lineRule="exact"/>
        <w:ind w:left="2644"/>
        <w:rPr>
          <w:color w:val="auto"/>
          <w:w w:val="95"/>
        </w:rPr>
      </w:pPr>
      <w:bookmarkStart w:id="4" w:name="第一部分__招标公告"/>
      <w:bookmarkEnd w:id="4"/>
      <w:bookmarkStart w:id="5" w:name="_Toc6366"/>
    </w:p>
    <w:p w14:paraId="5C81D0E5">
      <w:pPr>
        <w:pStyle w:val="2"/>
        <w:tabs>
          <w:tab w:val="left" w:pos="4451"/>
        </w:tabs>
        <w:kinsoku w:val="0"/>
        <w:overflowPunct w:val="0"/>
        <w:spacing w:line="433" w:lineRule="exact"/>
        <w:ind w:left="2644"/>
        <w:rPr>
          <w:color w:val="auto"/>
          <w:w w:val="95"/>
        </w:rPr>
      </w:pPr>
    </w:p>
    <w:p w14:paraId="3C65F3F9">
      <w:pPr>
        <w:pStyle w:val="2"/>
        <w:tabs>
          <w:tab w:val="left" w:pos="4451"/>
        </w:tabs>
        <w:kinsoku w:val="0"/>
        <w:overflowPunct w:val="0"/>
        <w:spacing w:line="433" w:lineRule="exact"/>
        <w:ind w:left="2644"/>
        <w:rPr>
          <w:color w:val="auto"/>
          <w:w w:val="95"/>
        </w:rPr>
      </w:pPr>
    </w:p>
    <w:p w14:paraId="58DFC55D">
      <w:pPr>
        <w:pStyle w:val="2"/>
        <w:tabs>
          <w:tab w:val="left" w:pos="4451"/>
        </w:tabs>
        <w:kinsoku w:val="0"/>
        <w:overflowPunct w:val="0"/>
        <w:spacing w:line="433" w:lineRule="exact"/>
        <w:ind w:left="2644"/>
        <w:rPr>
          <w:color w:val="auto"/>
          <w:w w:val="95"/>
        </w:rPr>
      </w:pPr>
    </w:p>
    <w:p w14:paraId="7B8761B9">
      <w:pPr>
        <w:pStyle w:val="2"/>
        <w:tabs>
          <w:tab w:val="left" w:pos="4451"/>
        </w:tabs>
        <w:kinsoku w:val="0"/>
        <w:overflowPunct w:val="0"/>
        <w:spacing w:line="433" w:lineRule="exact"/>
        <w:ind w:left="2644"/>
        <w:rPr>
          <w:color w:val="auto"/>
          <w:w w:val="95"/>
        </w:rPr>
      </w:pPr>
    </w:p>
    <w:p w14:paraId="0939A3FA">
      <w:pPr>
        <w:pStyle w:val="2"/>
        <w:tabs>
          <w:tab w:val="left" w:pos="4451"/>
        </w:tabs>
        <w:kinsoku w:val="0"/>
        <w:overflowPunct w:val="0"/>
        <w:spacing w:line="433" w:lineRule="exact"/>
        <w:ind w:left="2644"/>
        <w:rPr>
          <w:color w:val="auto"/>
          <w:w w:val="95"/>
        </w:rPr>
      </w:pPr>
    </w:p>
    <w:p w14:paraId="5980D565">
      <w:pPr>
        <w:pStyle w:val="2"/>
        <w:tabs>
          <w:tab w:val="left" w:pos="4451"/>
        </w:tabs>
        <w:kinsoku w:val="0"/>
        <w:overflowPunct w:val="0"/>
        <w:spacing w:line="433" w:lineRule="exact"/>
        <w:ind w:left="2644"/>
        <w:rPr>
          <w:color w:val="auto"/>
          <w:w w:val="95"/>
        </w:rPr>
      </w:pPr>
    </w:p>
    <w:p w14:paraId="2DA4B62C">
      <w:pPr>
        <w:pStyle w:val="2"/>
        <w:tabs>
          <w:tab w:val="left" w:pos="4451"/>
        </w:tabs>
        <w:kinsoku w:val="0"/>
        <w:overflowPunct w:val="0"/>
        <w:spacing w:line="433" w:lineRule="exact"/>
        <w:ind w:left="2644"/>
        <w:rPr>
          <w:color w:val="auto"/>
          <w:w w:val="95"/>
        </w:rPr>
      </w:pPr>
    </w:p>
    <w:p w14:paraId="68AE7B06">
      <w:pPr>
        <w:pStyle w:val="2"/>
        <w:tabs>
          <w:tab w:val="left" w:pos="4451"/>
        </w:tabs>
        <w:kinsoku w:val="0"/>
        <w:overflowPunct w:val="0"/>
        <w:spacing w:line="433" w:lineRule="exact"/>
        <w:ind w:left="2644"/>
        <w:rPr>
          <w:color w:val="auto"/>
          <w:w w:val="95"/>
        </w:rPr>
      </w:pPr>
    </w:p>
    <w:p w14:paraId="78B41BEA">
      <w:pPr>
        <w:pStyle w:val="2"/>
        <w:tabs>
          <w:tab w:val="left" w:pos="4451"/>
        </w:tabs>
        <w:kinsoku w:val="0"/>
        <w:overflowPunct w:val="0"/>
        <w:spacing w:line="433" w:lineRule="exact"/>
        <w:ind w:left="2644"/>
        <w:rPr>
          <w:color w:val="auto"/>
          <w:w w:val="95"/>
        </w:rPr>
      </w:pPr>
    </w:p>
    <w:p w14:paraId="515444C8">
      <w:pPr>
        <w:pStyle w:val="2"/>
        <w:tabs>
          <w:tab w:val="left" w:pos="4451"/>
        </w:tabs>
        <w:kinsoku w:val="0"/>
        <w:overflowPunct w:val="0"/>
        <w:spacing w:line="433" w:lineRule="exact"/>
        <w:ind w:left="2644"/>
        <w:rPr>
          <w:color w:val="auto"/>
          <w:w w:val="95"/>
        </w:rPr>
      </w:pPr>
    </w:p>
    <w:p w14:paraId="22A49CD8">
      <w:pPr>
        <w:pStyle w:val="2"/>
        <w:tabs>
          <w:tab w:val="left" w:pos="4451"/>
        </w:tabs>
        <w:kinsoku w:val="0"/>
        <w:overflowPunct w:val="0"/>
        <w:spacing w:line="433" w:lineRule="exact"/>
        <w:ind w:left="2644"/>
        <w:rPr>
          <w:color w:val="auto"/>
          <w:w w:val="95"/>
        </w:rPr>
      </w:pPr>
    </w:p>
    <w:p w14:paraId="04F2D162">
      <w:pPr>
        <w:pStyle w:val="2"/>
        <w:tabs>
          <w:tab w:val="left" w:pos="4451"/>
        </w:tabs>
        <w:kinsoku w:val="0"/>
        <w:overflowPunct w:val="0"/>
        <w:spacing w:line="433" w:lineRule="exact"/>
        <w:ind w:left="2644"/>
        <w:rPr>
          <w:color w:val="auto"/>
          <w:w w:val="95"/>
        </w:rPr>
      </w:pPr>
    </w:p>
    <w:p w14:paraId="5074DF00">
      <w:pPr>
        <w:pStyle w:val="2"/>
        <w:tabs>
          <w:tab w:val="left" w:pos="4451"/>
        </w:tabs>
        <w:kinsoku w:val="0"/>
        <w:overflowPunct w:val="0"/>
        <w:spacing w:line="433" w:lineRule="exact"/>
        <w:ind w:left="2644"/>
        <w:rPr>
          <w:color w:val="auto"/>
          <w:w w:val="95"/>
        </w:rPr>
      </w:pPr>
    </w:p>
    <w:p w14:paraId="1379C131">
      <w:pPr>
        <w:pStyle w:val="2"/>
        <w:tabs>
          <w:tab w:val="left" w:pos="4451"/>
        </w:tabs>
        <w:kinsoku w:val="0"/>
        <w:overflowPunct w:val="0"/>
        <w:spacing w:line="433" w:lineRule="exact"/>
        <w:ind w:left="2644"/>
        <w:rPr>
          <w:color w:val="auto"/>
          <w:w w:val="95"/>
        </w:rPr>
      </w:pPr>
    </w:p>
    <w:p w14:paraId="5FF0DF56">
      <w:pPr>
        <w:pStyle w:val="2"/>
        <w:tabs>
          <w:tab w:val="left" w:pos="4451"/>
        </w:tabs>
        <w:kinsoku w:val="0"/>
        <w:overflowPunct w:val="0"/>
        <w:spacing w:line="433" w:lineRule="exact"/>
        <w:ind w:left="2644"/>
        <w:rPr>
          <w:color w:val="auto"/>
          <w:w w:val="95"/>
        </w:rPr>
      </w:pPr>
    </w:p>
    <w:p w14:paraId="4C4C58B6">
      <w:pPr>
        <w:pStyle w:val="2"/>
        <w:tabs>
          <w:tab w:val="left" w:pos="4451"/>
        </w:tabs>
        <w:kinsoku w:val="0"/>
        <w:overflowPunct w:val="0"/>
        <w:spacing w:line="433" w:lineRule="exact"/>
        <w:ind w:left="2644"/>
        <w:rPr>
          <w:color w:val="auto"/>
          <w:w w:val="95"/>
        </w:rPr>
      </w:pPr>
    </w:p>
    <w:p w14:paraId="5AB8A7C3">
      <w:pPr>
        <w:pStyle w:val="2"/>
        <w:tabs>
          <w:tab w:val="left" w:pos="4451"/>
        </w:tabs>
        <w:kinsoku w:val="0"/>
        <w:overflowPunct w:val="0"/>
        <w:spacing w:line="433" w:lineRule="exact"/>
        <w:ind w:left="2644"/>
        <w:rPr>
          <w:rFonts w:hint="default"/>
          <w:b w:val="0"/>
          <w:color w:val="auto"/>
        </w:rPr>
      </w:pPr>
      <w:r>
        <w:rPr>
          <w:color w:val="auto"/>
          <w:w w:val="95"/>
        </w:rPr>
        <w:t>第一部分</w:t>
      </w:r>
      <w:r>
        <w:rPr>
          <w:rFonts w:hint="eastAsia"/>
          <w:color w:val="auto"/>
          <w:w w:val="95"/>
          <w:lang w:val="en-US" w:eastAsia="zh-CN"/>
        </w:rPr>
        <w:t xml:space="preserve"> </w:t>
      </w:r>
      <w:r>
        <w:rPr>
          <w:color w:val="auto"/>
        </w:rPr>
        <w:t>招标公告</w:t>
      </w:r>
      <w:bookmarkEnd w:id="5"/>
    </w:p>
    <w:p w14:paraId="4751885D">
      <w:pPr>
        <w:pStyle w:val="8"/>
        <w:kinsoku w:val="0"/>
        <w:overflowPunct w:val="0"/>
        <w:spacing w:before="7"/>
        <w:ind w:left="0"/>
        <w:rPr>
          <w:rFonts w:hint="default"/>
          <w:b/>
          <w:color w:val="auto"/>
          <w:sz w:val="33"/>
          <w:szCs w:val="33"/>
        </w:rPr>
      </w:pPr>
    </w:p>
    <w:p w14:paraId="06F2BC8E">
      <w:pPr>
        <w:pStyle w:val="8"/>
        <w:kinsoku w:val="0"/>
        <w:overflowPunct w:val="0"/>
        <w:spacing w:before="0" w:line="312" w:lineRule="exact"/>
        <w:ind w:leftChars="50" w:right="117" w:firstLine="476" w:firstLineChars="200"/>
        <w:jc w:val="both"/>
        <w:rPr>
          <w:rFonts w:hint="default"/>
          <w:color w:val="auto"/>
        </w:rPr>
      </w:pPr>
      <w:r>
        <w:rPr>
          <w:color w:val="auto"/>
          <w:spacing w:val="-1"/>
        </w:rPr>
        <w:t>受伊</w:t>
      </w:r>
      <w:r>
        <w:rPr>
          <w:rFonts w:hint="eastAsia"/>
          <w:color w:val="auto"/>
          <w:spacing w:val="-1"/>
          <w:u w:val="single"/>
          <w:lang w:val="en-US" w:eastAsia="zh-CN"/>
        </w:rPr>
        <w:t xml:space="preserve"> </w:t>
      </w:r>
      <w:r>
        <w:rPr>
          <w:rFonts w:hint="eastAsia"/>
          <w:color w:val="auto"/>
          <w:spacing w:val="-1"/>
          <w:u w:val="single"/>
          <w:lang w:eastAsia="zh-CN"/>
        </w:rPr>
        <w:t>尼勒克县人民医院</w:t>
      </w:r>
      <w:r>
        <w:rPr>
          <w:color w:val="auto"/>
          <w:spacing w:val="-1"/>
          <w:u w:val="single"/>
        </w:rPr>
        <w:t xml:space="preserve"> </w:t>
      </w:r>
      <w:r>
        <w:rPr>
          <w:color w:val="auto"/>
          <w:spacing w:val="-1"/>
        </w:rPr>
        <w:t>委托，</w:t>
      </w:r>
      <w:r>
        <w:rPr>
          <w:rFonts w:hint="eastAsia"/>
          <w:color w:val="auto"/>
          <w:spacing w:val="-1"/>
          <w:lang w:eastAsia="zh-CN"/>
        </w:rPr>
        <w:t>新疆崇途工程项目管理有限公司</w:t>
      </w:r>
      <w:r>
        <w:rPr>
          <w:color w:val="auto"/>
          <w:spacing w:val="2"/>
        </w:rPr>
        <w:t>对</w:t>
      </w:r>
      <w:r>
        <w:rPr>
          <w:color w:val="auto"/>
          <w:spacing w:val="-47"/>
        </w:rPr>
        <w:t xml:space="preserve"> </w:t>
      </w:r>
      <w:r>
        <w:rPr>
          <w:rFonts w:hint="eastAsia"/>
          <w:color w:val="auto"/>
          <w:lang w:eastAsia="zh-CN"/>
        </w:rPr>
        <w:t>CTZB-2025-006</w:t>
      </w:r>
      <w:r>
        <w:rPr>
          <w:color w:val="auto"/>
        </w:rPr>
        <w:t>（项目编号）</w:t>
      </w:r>
      <w:r>
        <w:rPr>
          <w:rFonts w:hint="eastAsia"/>
          <w:color w:val="auto"/>
          <w:u w:val="single"/>
          <w:lang w:eastAsia="zh-CN"/>
        </w:rPr>
        <w:t>尼勒克县人民医院血液透析机采购项目</w:t>
      </w:r>
      <w:r>
        <w:rPr>
          <w:color w:val="auto"/>
          <w:spacing w:val="-3"/>
        </w:rPr>
        <w:t>（项目名称）组织进行公开招标，现欢迎合格的</w:t>
      </w:r>
      <w:r>
        <w:rPr>
          <w:rFonts w:hint="eastAsia"/>
          <w:color w:val="auto"/>
          <w:spacing w:val="-3"/>
          <w:lang w:eastAsia="zh-CN"/>
        </w:rPr>
        <w:t>供应商</w:t>
      </w:r>
      <w:r>
        <w:rPr>
          <w:color w:val="auto"/>
          <w:spacing w:val="-113"/>
        </w:rPr>
        <w:t xml:space="preserve"> </w:t>
      </w:r>
      <w:r>
        <w:rPr>
          <w:color w:val="auto"/>
        </w:rPr>
        <w:t>前来投标。</w:t>
      </w:r>
    </w:p>
    <w:p w14:paraId="14009EE3">
      <w:pPr>
        <w:pStyle w:val="8"/>
        <w:kinsoku w:val="0"/>
        <w:overflowPunct w:val="0"/>
        <w:spacing w:before="46" w:line="357" w:lineRule="auto"/>
        <w:ind w:left="360" w:right="3646" w:hanging="240"/>
        <w:rPr>
          <w:rFonts w:hint="default"/>
          <w:b/>
          <w:color w:val="auto"/>
          <w:w w:val="99"/>
        </w:rPr>
      </w:pPr>
      <w:r>
        <w:rPr>
          <w:b/>
          <w:color w:val="auto"/>
        </w:rPr>
        <w:t>一、项目基本情况</w:t>
      </w:r>
      <w:r>
        <w:rPr>
          <w:b/>
          <w:color w:val="auto"/>
          <w:w w:val="99"/>
        </w:rPr>
        <w:t xml:space="preserve"> </w:t>
      </w:r>
    </w:p>
    <w:p w14:paraId="38070B73">
      <w:pPr>
        <w:pStyle w:val="8"/>
        <w:kinsoku w:val="0"/>
        <w:overflowPunct w:val="0"/>
        <w:spacing w:before="46" w:line="357" w:lineRule="auto"/>
        <w:ind w:left="360" w:leftChars="150" w:right="3646"/>
        <w:rPr>
          <w:rFonts w:hint="eastAsia" w:eastAsia="宋体"/>
          <w:color w:val="auto"/>
          <w:lang w:eastAsia="zh-CN"/>
        </w:rPr>
      </w:pPr>
      <w:r>
        <w:rPr>
          <w:color w:val="auto"/>
        </w:rPr>
        <w:t>1、招标编号：</w:t>
      </w:r>
      <w:r>
        <w:rPr>
          <w:rFonts w:hint="eastAsia"/>
          <w:color w:val="auto"/>
          <w:lang w:eastAsia="zh-CN"/>
        </w:rPr>
        <w:t>CTZB-2025-006</w:t>
      </w:r>
    </w:p>
    <w:p w14:paraId="44B89777">
      <w:pPr>
        <w:pStyle w:val="8"/>
        <w:kinsoku w:val="0"/>
        <w:overflowPunct w:val="0"/>
        <w:ind w:left="360"/>
        <w:rPr>
          <w:rFonts w:hint="default"/>
          <w:color w:val="auto"/>
        </w:rPr>
      </w:pPr>
      <w:r>
        <w:rPr>
          <w:color w:val="auto"/>
        </w:rPr>
        <w:t>2、项目名称：</w:t>
      </w:r>
      <w:r>
        <w:rPr>
          <w:rFonts w:hint="eastAsia"/>
          <w:color w:val="auto"/>
          <w:lang w:eastAsia="zh-CN"/>
        </w:rPr>
        <w:t>尼勒克县人民医院血液透析机采购项目</w:t>
      </w:r>
      <w:r>
        <w:rPr>
          <w:color w:val="auto"/>
        </w:rPr>
        <w:t xml:space="preserve"> </w:t>
      </w:r>
    </w:p>
    <w:p w14:paraId="7503E2AB">
      <w:pPr>
        <w:pStyle w:val="8"/>
        <w:kinsoku w:val="0"/>
        <w:overflowPunct w:val="0"/>
        <w:spacing w:before="154"/>
        <w:ind w:left="360"/>
        <w:rPr>
          <w:rFonts w:hint="default"/>
          <w:color w:val="auto"/>
        </w:rPr>
      </w:pPr>
      <w:r>
        <w:rPr>
          <w:color w:val="auto"/>
        </w:rPr>
        <w:t>3、采购方式：公开招标</w:t>
      </w:r>
    </w:p>
    <w:p w14:paraId="7DFCE681">
      <w:pPr>
        <w:pStyle w:val="8"/>
        <w:kinsoku w:val="0"/>
        <w:overflowPunct w:val="0"/>
        <w:spacing w:before="154"/>
        <w:ind w:left="360"/>
        <w:rPr>
          <w:rFonts w:hint="default"/>
          <w:color w:val="auto"/>
        </w:rPr>
      </w:pPr>
      <w:r>
        <w:rPr>
          <w:color w:val="auto"/>
        </w:rPr>
        <w:t>4、项目地点：新疆伊犁州尼勒克县</w:t>
      </w:r>
    </w:p>
    <w:p w14:paraId="117A8465">
      <w:pPr>
        <w:pStyle w:val="8"/>
        <w:kinsoku w:val="0"/>
        <w:overflowPunct w:val="0"/>
        <w:spacing w:before="154"/>
        <w:ind w:left="360"/>
        <w:rPr>
          <w:rFonts w:hint="default"/>
          <w:color w:val="auto"/>
        </w:rPr>
      </w:pPr>
      <w:r>
        <w:rPr>
          <w:rFonts w:hint="default"/>
          <w:color w:val="auto"/>
        </w:rPr>
        <w:t>5</w:t>
      </w:r>
      <w:r>
        <w:rPr>
          <w:color w:val="auto"/>
        </w:rPr>
        <w:t>、招标内容及要求：</w:t>
      </w:r>
    </w:p>
    <w:p w14:paraId="20CEABFB">
      <w:pPr>
        <w:pStyle w:val="8"/>
        <w:kinsoku w:val="0"/>
        <w:overflowPunct w:val="0"/>
        <w:spacing w:before="9"/>
        <w:ind w:left="0"/>
        <w:rPr>
          <w:rFonts w:hint="default"/>
          <w:color w:val="auto"/>
          <w:sz w:val="8"/>
          <w:szCs w:val="8"/>
        </w:rPr>
      </w:pPr>
    </w:p>
    <w:tbl>
      <w:tblPr>
        <w:tblStyle w:val="20"/>
        <w:tblW w:w="9379" w:type="dxa"/>
        <w:tblInd w:w="100" w:type="dxa"/>
        <w:tblLayout w:type="fixed"/>
        <w:tblCellMar>
          <w:top w:w="0" w:type="dxa"/>
          <w:left w:w="0" w:type="dxa"/>
          <w:bottom w:w="0" w:type="dxa"/>
          <w:right w:w="0" w:type="dxa"/>
        </w:tblCellMar>
      </w:tblPr>
      <w:tblGrid>
        <w:gridCol w:w="876"/>
        <w:gridCol w:w="2116"/>
        <w:gridCol w:w="2383"/>
        <w:gridCol w:w="1575"/>
        <w:gridCol w:w="1589"/>
        <w:gridCol w:w="840"/>
      </w:tblGrid>
      <w:tr w14:paraId="3C5977FB">
        <w:tblPrEx>
          <w:tblCellMar>
            <w:top w:w="0" w:type="dxa"/>
            <w:left w:w="0" w:type="dxa"/>
            <w:bottom w:w="0" w:type="dxa"/>
            <w:right w:w="0" w:type="dxa"/>
          </w:tblCellMar>
        </w:tblPrEx>
        <w:trPr>
          <w:trHeight w:val="886" w:hRule="exact"/>
        </w:trPr>
        <w:tc>
          <w:tcPr>
            <w:tcW w:w="876" w:type="dxa"/>
            <w:tcBorders>
              <w:top w:val="single" w:color="000000" w:sz="4" w:space="0"/>
              <w:left w:val="single" w:color="000000" w:sz="4" w:space="0"/>
              <w:bottom w:val="single" w:color="000000" w:sz="4" w:space="0"/>
              <w:right w:val="single" w:color="000000" w:sz="4" w:space="0"/>
              <w:tl2br w:val="nil"/>
              <w:tr2bl w:val="nil"/>
            </w:tcBorders>
          </w:tcPr>
          <w:p w14:paraId="50039F74">
            <w:pPr>
              <w:pStyle w:val="25"/>
              <w:kinsoku w:val="0"/>
              <w:overflowPunct w:val="0"/>
              <w:spacing w:before="136"/>
              <w:ind w:left="192"/>
              <w:rPr>
                <w:rFonts w:hint="default" w:ascii="Times New Roman" w:eastAsia="Times New Roman"/>
                <w:color w:val="auto"/>
              </w:rPr>
            </w:pPr>
            <w:r>
              <w:rPr>
                <w:rFonts w:cs="宋体"/>
                <w:b/>
                <w:color w:val="auto"/>
              </w:rPr>
              <w:t>序号</w:t>
            </w:r>
          </w:p>
        </w:tc>
        <w:tc>
          <w:tcPr>
            <w:tcW w:w="2116" w:type="dxa"/>
            <w:tcBorders>
              <w:top w:val="single" w:color="000000" w:sz="4" w:space="0"/>
              <w:left w:val="single" w:color="000000" w:sz="4" w:space="0"/>
              <w:bottom w:val="single" w:color="000000" w:sz="4" w:space="0"/>
              <w:right w:val="single" w:color="000000" w:sz="4" w:space="0"/>
              <w:tl2br w:val="nil"/>
              <w:tr2bl w:val="nil"/>
            </w:tcBorders>
          </w:tcPr>
          <w:p w14:paraId="0425BD0E">
            <w:pPr>
              <w:pStyle w:val="25"/>
              <w:kinsoku w:val="0"/>
              <w:overflowPunct w:val="0"/>
              <w:spacing w:before="159"/>
              <w:ind w:left="631"/>
              <w:rPr>
                <w:rFonts w:hint="default" w:ascii="Times New Roman" w:eastAsia="Times New Roman"/>
                <w:color w:val="auto"/>
              </w:rPr>
            </w:pPr>
            <w:r>
              <w:rPr>
                <w:rFonts w:cs="宋体"/>
                <w:b/>
                <w:color w:val="auto"/>
                <w:sz w:val="21"/>
                <w:szCs w:val="21"/>
              </w:rPr>
              <w:t>标项名称</w:t>
            </w:r>
          </w:p>
        </w:tc>
        <w:tc>
          <w:tcPr>
            <w:tcW w:w="2383" w:type="dxa"/>
            <w:tcBorders>
              <w:top w:val="single" w:color="000000" w:sz="4" w:space="0"/>
              <w:left w:val="single" w:color="000000" w:sz="4" w:space="0"/>
              <w:bottom w:val="single" w:color="000000" w:sz="4" w:space="0"/>
              <w:right w:val="single" w:color="000000" w:sz="4" w:space="0"/>
              <w:tl2br w:val="nil"/>
              <w:tr2bl w:val="nil"/>
            </w:tcBorders>
          </w:tcPr>
          <w:p w14:paraId="25700064">
            <w:pPr>
              <w:pStyle w:val="25"/>
              <w:kinsoku w:val="0"/>
              <w:overflowPunct w:val="0"/>
              <w:spacing w:before="159"/>
              <w:ind w:left="205"/>
              <w:jc w:val="center"/>
              <w:rPr>
                <w:rFonts w:hint="default" w:ascii="Times New Roman" w:eastAsia="Times New Roman"/>
                <w:color w:val="auto"/>
              </w:rPr>
            </w:pPr>
            <w:r>
              <w:rPr>
                <w:rFonts w:cs="宋体"/>
                <w:b/>
                <w:color w:val="auto"/>
                <w:sz w:val="21"/>
                <w:szCs w:val="21"/>
              </w:rPr>
              <w:t>简要要求描述</w:t>
            </w:r>
          </w:p>
        </w:tc>
        <w:tc>
          <w:tcPr>
            <w:tcW w:w="1575" w:type="dxa"/>
            <w:tcBorders>
              <w:top w:val="single" w:color="000000" w:sz="4" w:space="0"/>
              <w:left w:val="single" w:color="000000" w:sz="4" w:space="0"/>
              <w:bottom w:val="single" w:color="000000" w:sz="4" w:space="0"/>
              <w:right w:val="single" w:color="000000" w:sz="4" w:space="0"/>
              <w:tl2br w:val="nil"/>
              <w:tr2bl w:val="nil"/>
            </w:tcBorders>
          </w:tcPr>
          <w:p w14:paraId="39E46EB2">
            <w:pPr>
              <w:pStyle w:val="25"/>
              <w:kinsoku w:val="0"/>
              <w:overflowPunct w:val="0"/>
              <w:spacing w:before="159"/>
              <w:ind w:left="72"/>
              <w:rPr>
                <w:rFonts w:hint="default" w:ascii="Times New Roman" w:eastAsia="Times New Roman"/>
                <w:color w:val="auto"/>
              </w:rPr>
            </w:pPr>
            <w:r>
              <w:rPr>
                <w:rFonts w:cs="宋体"/>
                <w:b/>
                <w:color w:val="auto"/>
                <w:sz w:val="21"/>
                <w:szCs w:val="21"/>
              </w:rPr>
              <w:t>预算金额（元）</w:t>
            </w:r>
          </w:p>
        </w:tc>
        <w:tc>
          <w:tcPr>
            <w:tcW w:w="1589" w:type="dxa"/>
            <w:tcBorders>
              <w:top w:val="single" w:color="000000" w:sz="4" w:space="0"/>
              <w:left w:val="single" w:color="000000" w:sz="4" w:space="0"/>
              <w:bottom w:val="single" w:color="000000" w:sz="4" w:space="0"/>
              <w:right w:val="single" w:color="000000" w:sz="4" w:space="0"/>
              <w:tl2br w:val="nil"/>
              <w:tr2bl w:val="nil"/>
            </w:tcBorders>
          </w:tcPr>
          <w:p w14:paraId="65DC1393">
            <w:pPr>
              <w:pStyle w:val="25"/>
              <w:kinsoku w:val="0"/>
              <w:overflowPunct w:val="0"/>
              <w:spacing w:before="159"/>
              <w:ind w:right="1"/>
              <w:jc w:val="center"/>
              <w:rPr>
                <w:rFonts w:cs="宋体"/>
                <w:b/>
                <w:color w:val="auto"/>
                <w:sz w:val="21"/>
                <w:szCs w:val="21"/>
              </w:rPr>
            </w:pPr>
            <w:r>
              <w:rPr>
                <w:rFonts w:cs="宋体"/>
                <w:b/>
                <w:color w:val="auto"/>
                <w:sz w:val="21"/>
                <w:szCs w:val="21"/>
              </w:rPr>
              <w:t>最高限价（元）</w:t>
            </w:r>
          </w:p>
        </w:tc>
        <w:tc>
          <w:tcPr>
            <w:tcW w:w="840" w:type="dxa"/>
            <w:tcBorders>
              <w:top w:val="single" w:color="000000" w:sz="4" w:space="0"/>
              <w:left w:val="single" w:color="000000" w:sz="4" w:space="0"/>
              <w:bottom w:val="single" w:color="000000" w:sz="4" w:space="0"/>
              <w:right w:val="single" w:color="000000" w:sz="4" w:space="0"/>
              <w:tl2br w:val="nil"/>
              <w:tr2bl w:val="nil"/>
            </w:tcBorders>
          </w:tcPr>
          <w:p w14:paraId="2BB82EE4">
            <w:pPr>
              <w:pStyle w:val="25"/>
              <w:kinsoku w:val="0"/>
              <w:overflowPunct w:val="0"/>
              <w:spacing w:before="159"/>
              <w:ind w:right="1"/>
              <w:jc w:val="center"/>
              <w:rPr>
                <w:rFonts w:hint="default" w:ascii="Times New Roman" w:eastAsia="Times New Roman"/>
                <w:color w:val="auto"/>
              </w:rPr>
            </w:pPr>
            <w:r>
              <w:rPr>
                <w:rFonts w:cs="宋体"/>
                <w:b/>
                <w:color w:val="auto"/>
                <w:sz w:val="21"/>
                <w:szCs w:val="21"/>
              </w:rPr>
              <w:t>备注</w:t>
            </w:r>
          </w:p>
        </w:tc>
      </w:tr>
      <w:tr w14:paraId="5F99D985">
        <w:tblPrEx>
          <w:tblCellMar>
            <w:top w:w="0" w:type="dxa"/>
            <w:left w:w="0" w:type="dxa"/>
            <w:bottom w:w="0" w:type="dxa"/>
            <w:right w:w="0" w:type="dxa"/>
          </w:tblCellMar>
        </w:tblPrEx>
        <w:trPr>
          <w:trHeight w:val="2406" w:hRule="exact"/>
        </w:trPr>
        <w:tc>
          <w:tcPr>
            <w:tcW w:w="876" w:type="dxa"/>
            <w:tcBorders>
              <w:top w:val="single" w:color="000000" w:sz="4" w:space="0"/>
              <w:left w:val="single" w:color="000000" w:sz="4" w:space="0"/>
              <w:bottom w:val="single" w:color="000000" w:sz="4" w:space="0"/>
              <w:right w:val="single" w:color="000000" w:sz="4" w:space="0"/>
              <w:tl2br w:val="nil"/>
              <w:tr2bl w:val="nil"/>
            </w:tcBorders>
            <w:vAlign w:val="center"/>
          </w:tcPr>
          <w:p w14:paraId="5EFD6EC1">
            <w:pPr>
              <w:pStyle w:val="25"/>
              <w:kinsoku w:val="0"/>
              <w:overflowPunct w:val="0"/>
              <w:spacing w:before="5"/>
              <w:jc w:val="center"/>
              <w:rPr>
                <w:rFonts w:hint="default" w:cs="宋体"/>
                <w:color w:val="auto"/>
                <w:sz w:val="21"/>
                <w:szCs w:val="21"/>
              </w:rPr>
            </w:pPr>
          </w:p>
          <w:p w14:paraId="467F1614">
            <w:pPr>
              <w:pStyle w:val="25"/>
              <w:kinsoku w:val="0"/>
              <w:overflowPunct w:val="0"/>
              <w:ind w:right="1"/>
              <w:jc w:val="center"/>
              <w:rPr>
                <w:rFonts w:hint="default" w:ascii="Times New Roman" w:eastAsia="Times New Roman"/>
                <w:color w:val="auto"/>
              </w:rPr>
            </w:pPr>
            <w:r>
              <w:rPr>
                <w:rFonts w:cs="宋体"/>
                <w:color w:val="auto"/>
              </w:rPr>
              <w:t>1</w:t>
            </w: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5D34F40B">
            <w:pPr>
              <w:rPr>
                <w:rFonts w:hint="eastAsia" w:eastAsia="宋体"/>
                <w:color w:val="auto"/>
                <w:lang w:eastAsia="zh-CN"/>
              </w:rPr>
            </w:pPr>
            <w:r>
              <w:rPr>
                <w:rFonts w:hint="eastAsia"/>
                <w:color w:val="auto"/>
                <w:lang w:eastAsia="zh-CN"/>
              </w:rPr>
              <w:t>尼勒克县人民医院血液透析机采购项目</w:t>
            </w:r>
          </w:p>
        </w:tc>
        <w:tc>
          <w:tcPr>
            <w:tcW w:w="2383" w:type="dxa"/>
            <w:tcBorders>
              <w:top w:val="single" w:color="000000" w:sz="4" w:space="0"/>
              <w:left w:val="single" w:color="000000" w:sz="4" w:space="0"/>
              <w:bottom w:val="single" w:color="000000" w:sz="4" w:space="0"/>
              <w:right w:val="single" w:color="000000" w:sz="4" w:space="0"/>
              <w:tl2br w:val="nil"/>
              <w:tr2bl w:val="nil"/>
            </w:tcBorders>
            <w:vAlign w:val="center"/>
          </w:tcPr>
          <w:p w14:paraId="457D2D8E">
            <w:pPr>
              <w:pStyle w:val="25"/>
              <w:kinsoku w:val="0"/>
              <w:overflowPunct w:val="0"/>
              <w:spacing w:before="154" w:line="312" w:lineRule="exact"/>
              <w:ind w:left="118" w:right="115"/>
              <w:rPr>
                <w:rFonts w:hint="default" w:ascii="Times New Roman" w:eastAsia="Times New Roman"/>
                <w:color w:val="auto"/>
              </w:rPr>
            </w:pPr>
            <w:r>
              <w:rPr>
                <w:rFonts w:hint="eastAsia"/>
                <w:color w:val="auto"/>
                <w:lang w:eastAsia="zh-CN"/>
              </w:rPr>
              <w:t>采购血液透析机（单泵）四台、血液透析机（双泵）一台及血液透析用制水设备一台（具体详见招标文件采购需求）</w:t>
            </w:r>
          </w:p>
        </w:tc>
        <w:tc>
          <w:tcPr>
            <w:tcW w:w="1575" w:type="dxa"/>
            <w:tcBorders>
              <w:top w:val="single" w:color="000000" w:sz="4" w:space="0"/>
              <w:left w:val="single" w:color="000000" w:sz="4" w:space="0"/>
              <w:bottom w:val="single" w:color="000000" w:sz="4" w:space="0"/>
              <w:right w:val="single" w:color="000000" w:sz="4" w:space="0"/>
              <w:tl2br w:val="nil"/>
              <w:tr2bl w:val="nil"/>
            </w:tcBorders>
            <w:vAlign w:val="center"/>
          </w:tcPr>
          <w:p w14:paraId="52E1D4AC">
            <w:pPr>
              <w:pStyle w:val="25"/>
              <w:kinsoku w:val="0"/>
              <w:overflowPunct w:val="0"/>
              <w:jc w:val="center"/>
              <w:rPr>
                <w:rFonts w:hint="eastAsia" w:cs="宋体"/>
                <w:color w:val="auto"/>
                <w:lang w:eastAsia="zh-CN"/>
              </w:rPr>
            </w:pPr>
            <w:r>
              <w:rPr>
                <w:rFonts w:hint="eastAsia" w:cs="宋体"/>
                <w:color w:val="auto"/>
                <w:lang w:eastAsia="zh-CN"/>
              </w:rPr>
              <w:t>783000.00</w:t>
            </w:r>
          </w:p>
        </w:tc>
        <w:tc>
          <w:tcPr>
            <w:tcW w:w="1589" w:type="dxa"/>
            <w:tcBorders>
              <w:top w:val="single" w:color="000000" w:sz="4" w:space="0"/>
              <w:left w:val="single" w:color="000000" w:sz="4" w:space="0"/>
              <w:bottom w:val="single" w:color="000000" w:sz="4" w:space="0"/>
              <w:right w:val="single" w:color="000000" w:sz="4" w:space="0"/>
              <w:tl2br w:val="nil"/>
              <w:tr2bl w:val="nil"/>
            </w:tcBorders>
            <w:vAlign w:val="center"/>
          </w:tcPr>
          <w:p w14:paraId="633FB70E">
            <w:pPr>
              <w:pStyle w:val="25"/>
              <w:kinsoku w:val="0"/>
              <w:overflowPunct w:val="0"/>
              <w:jc w:val="center"/>
              <w:rPr>
                <w:rFonts w:hint="default" w:cs="宋体"/>
                <w:color w:val="auto"/>
                <w:lang w:eastAsia="zh-CN"/>
              </w:rPr>
            </w:pPr>
            <w:r>
              <w:rPr>
                <w:rFonts w:hint="eastAsia" w:cs="宋体"/>
                <w:color w:val="auto"/>
                <w:lang w:eastAsia="zh-CN"/>
              </w:rPr>
              <w:t>783000.00</w:t>
            </w: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14:paraId="1AF94786">
            <w:pPr>
              <w:rPr>
                <w:rFonts w:hint="default" w:ascii="Times New Roman" w:eastAsia="Times New Roman"/>
                <w:color w:val="auto"/>
              </w:rPr>
            </w:pPr>
          </w:p>
        </w:tc>
      </w:tr>
    </w:tbl>
    <w:p w14:paraId="05322337">
      <w:pPr>
        <w:pStyle w:val="8"/>
        <w:kinsoku w:val="0"/>
        <w:overflowPunct w:val="0"/>
        <w:spacing w:before="42"/>
        <w:ind w:left="360"/>
        <w:rPr>
          <w:rFonts w:hint="default"/>
          <w:color w:val="auto"/>
        </w:rPr>
      </w:pPr>
      <w:r>
        <w:rPr>
          <w:color w:val="auto"/>
        </w:rPr>
        <w:t>5、合同履约期限: 签订合同</w:t>
      </w:r>
      <w:r>
        <w:rPr>
          <w:rFonts w:hint="eastAsia"/>
          <w:color w:val="auto"/>
          <w:lang w:val="en-US" w:eastAsia="zh-CN"/>
        </w:rPr>
        <w:t>后</w:t>
      </w:r>
      <w:r>
        <w:rPr>
          <w:color w:val="auto"/>
        </w:rPr>
        <w:t>30日内到货并安装完毕</w:t>
      </w:r>
    </w:p>
    <w:p w14:paraId="63A20710">
      <w:pPr>
        <w:pStyle w:val="8"/>
        <w:kinsoku w:val="0"/>
        <w:overflowPunct w:val="0"/>
        <w:spacing w:before="154" w:line="357" w:lineRule="auto"/>
        <w:ind w:right="3646" w:firstLine="240"/>
        <w:rPr>
          <w:color w:val="auto"/>
        </w:rPr>
      </w:pPr>
      <w:r>
        <w:rPr>
          <w:color w:val="auto"/>
        </w:rPr>
        <w:t>6、本项目（是/否）接受联合体投标:否</w:t>
      </w:r>
    </w:p>
    <w:p w14:paraId="3AF454FD">
      <w:pPr>
        <w:pStyle w:val="8"/>
        <w:kinsoku w:val="0"/>
        <w:overflowPunct w:val="0"/>
        <w:spacing w:before="154" w:line="357" w:lineRule="auto"/>
        <w:ind w:right="3646" w:firstLine="240"/>
        <w:rPr>
          <w:rFonts w:hint="default"/>
          <w:color w:val="auto"/>
        </w:rPr>
      </w:pPr>
      <w:r>
        <w:rPr>
          <w:b/>
          <w:color w:val="auto"/>
        </w:rPr>
        <w:t>二、申请人的资格要求：</w:t>
      </w:r>
    </w:p>
    <w:p w14:paraId="40BACFA2">
      <w:pPr>
        <w:widowControl/>
        <w:autoSpaceDE/>
        <w:autoSpaceDN/>
        <w:adjustRightInd/>
        <w:spacing w:before="75" w:after="75" w:line="358" w:lineRule="auto"/>
        <w:ind w:firstLine="539"/>
        <w:rPr>
          <w:rFonts w:cs="宋体"/>
          <w:color w:val="auto"/>
        </w:rPr>
      </w:pPr>
      <w:r>
        <w:rPr>
          <w:rFonts w:cs="宋体"/>
          <w:color w:val="auto"/>
        </w:rPr>
        <w:t>(1)符合《中华人民共和国政府采购法》第二十二条规定条件，并提供《中华人民共和国政府采购法实施条例》第十七条规定提供的证明材料；</w:t>
      </w:r>
    </w:p>
    <w:p w14:paraId="1DAFE2B4">
      <w:pPr>
        <w:widowControl/>
        <w:autoSpaceDE/>
        <w:autoSpaceDN/>
        <w:adjustRightInd/>
        <w:spacing w:before="75" w:after="75" w:line="358" w:lineRule="auto"/>
        <w:ind w:firstLine="539"/>
        <w:rPr>
          <w:rFonts w:hint="default" w:cs="宋体"/>
          <w:color w:val="auto"/>
        </w:rPr>
      </w:pPr>
      <w:r>
        <w:rPr>
          <w:rFonts w:cs="宋体"/>
          <w:color w:val="auto"/>
        </w:rPr>
        <w:t>①具有独立承担民事责任的能力；</w:t>
      </w:r>
    </w:p>
    <w:p w14:paraId="7E0D2CC4">
      <w:pPr>
        <w:widowControl/>
        <w:autoSpaceDE/>
        <w:autoSpaceDN/>
        <w:adjustRightInd/>
        <w:spacing w:before="75" w:after="75" w:line="358" w:lineRule="auto"/>
        <w:ind w:firstLine="539"/>
        <w:rPr>
          <w:rFonts w:hint="default" w:cs="宋体"/>
          <w:color w:val="auto"/>
        </w:rPr>
      </w:pPr>
      <w:r>
        <w:rPr>
          <w:rFonts w:cs="宋体"/>
          <w:color w:val="auto"/>
        </w:rPr>
        <w:t>②具有良好的商业信誉和健全的财务会计制度；</w:t>
      </w:r>
    </w:p>
    <w:p w14:paraId="286662FE">
      <w:pPr>
        <w:widowControl/>
        <w:autoSpaceDE/>
        <w:autoSpaceDN/>
        <w:adjustRightInd/>
        <w:spacing w:before="75" w:after="75" w:line="358" w:lineRule="auto"/>
        <w:ind w:firstLine="539"/>
        <w:rPr>
          <w:rFonts w:hint="default" w:cs="宋体"/>
          <w:color w:val="auto"/>
        </w:rPr>
      </w:pPr>
      <w:r>
        <w:rPr>
          <w:rFonts w:cs="宋体"/>
          <w:color w:val="auto"/>
        </w:rPr>
        <w:t>③具有履行合同所必需的设备和专业技术能力；</w:t>
      </w:r>
    </w:p>
    <w:p w14:paraId="37D64405">
      <w:pPr>
        <w:widowControl/>
        <w:autoSpaceDE/>
        <w:autoSpaceDN/>
        <w:adjustRightInd/>
        <w:spacing w:before="75" w:after="75" w:line="358" w:lineRule="auto"/>
        <w:ind w:firstLine="539"/>
        <w:rPr>
          <w:rFonts w:hint="default" w:cs="宋体"/>
          <w:color w:val="auto"/>
        </w:rPr>
      </w:pPr>
      <w:r>
        <w:rPr>
          <w:rFonts w:cs="宋体"/>
          <w:color w:val="auto"/>
        </w:rPr>
        <w:t>④有依法缴纳税收和社会保障资金的良好记录；</w:t>
      </w:r>
    </w:p>
    <w:p w14:paraId="44C664C2">
      <w:pPr>
        <w:widowControl/>
        <w:autoSpaceDE/>
        <w:autoSpaceDN/>
        <w:adjustRightInd/>
        <w:spacing w:before="75" w:after="75" w:line="358" w:lineRule="auto"/>
        <w:ind w:firstLine="539"/>
        <w:rPr>
          <w:rFonts w:hint="default" w:cs="宋体"/>
          <w:color w:val="auto"/>
        </w:rPr>
      </w:pPr>
      <w:r>
        <w:rPr>
          <w:rFonts w:cs="宋体"/>
          <w:color w:val="auto"/>
        </w:rPr>
        <w:t>⑤参加招标采购活动前三年内，在经营活动中没有重大违法记录；</w:t>
      </w:r>
    </w:p>
    <w:p w14:paraId="45C45630">
      <w:pPr>
        <w:widowControl/>
        <w:autoSpaceDE/>
        <w:autoSpaceDN/>
        <w:adjustRightInd/>
        <w:spacing w:before="75" w:after="75" w:line="358" w:lineRule="auto"/>
        <w:ind w:firstLine="539"/>
        <w:rPr>
          <w:rFonts w:hint="default" w:cs="宋体"/>
          <w:color w:val="auto"/>
        </w:rPr>
      </w:pPr>
      <w:r>
        <w:rPr>
          <w:rFonts w:cs="宋体"/>
          <w:color w:val="auto"/>
        </w:rPr>
        <w:t>⑥法律、行政法规规定的其他条件。</w:t>
      </w:r>
    </w:p>
    <w:p w14:paraId="22686C71">
      <w:pPr>
        <w:widowControl/>
        <w:autoSpaceDE/>
        <w:autoSpaceDN/>
        <w:adjustRightInd/>
        <w:spacing w:before="75" w:after="75" w:line="358" w:lineRule="auto"/>
        <w:ind w:firstLine="539"/>
        <w:rPr>
          <w:rFonts w:cs="宋体"/>
          <w:color w:val="auto"/>
        </w:rPr>
      </w:pPr>
      <w:r>
        <w:rPr>
          <w:rFonts w:cs="宋体"/>
          <w:color w:val="auto"/>
        </w:rPr>
        <w:t>（2）</w:t>
      </w:r>
      <w:r>
        <w:rPr>
          <w:rFonts w:hint="eastAsia" w:cs="宋体"/>
          <w:color w:val="auto"/>
        </w:rPr>
        <w:t>落实政府采购政策需满足的资格要求：本项目为专门面向中小企业采购的项目，供应商应为中小微企业、监狱企业、残疾人福利性单位。</w:t>
      </w:r>
    </w:p>
    <w:p w14:paraId="23D689CF">
      <w:pPr>
        <w:widowControl/>
        <w:autoSpaceDE/>
        <w:autoSpaceDN/>
        <w:adjustRightInd/>
        <w:spacing w:before="75" w:after="75" w:line="358" w:lineRule="auto"/>
        <w:ind w:firstLine="539"/>
        <w:rPr>
          <w:rFonts w:hint="eastAsia" w:ascii="宋体" w:hAnsi="宋体" w:eastAsia="宋体" w:cs="宋体"/>
          <w:color w:val="auto"/>
          <w:kern w:val="0"/>
          <w:sz w:val="24"/>
          <w:szCs w:val="24"/>
          <w:lang w:eastAsia="zh-CN"/>
        </w:rPr>
      </w:pPr>
      <w:r>
        <w:rPr>
          <w:color w:val="auto"/>
        </w:rPr>
        <w:t>（</w:t>
      </w:r>
      <w:r>
        <w:rPr>
          <w:rFonts w:hint="eastAsia" w:ascii="Times New Roman"/>
          <w:color w:val="auto"/>
          <w:lang w:val="en-US" w:eastAsia="zh-CN"/>
        </w:rPr>
        <w:t>3</w:t>
      </w:r>
      <w:r>
        <w:rPr>
          <w:color w:val="auto"/>
        </w:rPr>
        <w:t>）</w:t>
      </w:r>
      <w:r>
        <w:rPr>
          <w:rFonts w:cs="宋体"/>
          <w:color w:val="auto"/>
        </w:rPr>
        <w:t>本项目的特定资格要求：</w:t>
      </w:r>
      <w:r>
        <w:rPr>
          <w:rFonts w:hint="eastAsia" w:cs="宋体"/>
          <w:color w:val="auto"/>
          <w:lang w:eastAsia="zh-CN"/>
        </w:rPr>
        <w:t>供应商具有《医疗器械生产许可证》或《医疗器械经营许可证》，所投产品属于医疗器械管理的产品需根据《医疗器械监督管理条例》（国务院令第650号）有关内容办理医疗器械产品注册或备案。</w:t>
      </w:r>
    </w:p>
    <w:p w14:paraId="4DC1F088">
      <w:pPr>
        <w:pStyle w:val="6"/>
        <w:kinsoku w:val="0"/>
        <w:overflowPunct w:val="0"/>
        <w:jc w:val="both"/>
        <w:rPr>
          <w:rFonts w:hint="default"/>
          <w:b w:val="0"/>
          <w:color w:val="auto"/>
        </w:rPr>
      </w:pPr>
      <w:r>
        <w:rPr>
          <w:color w:val="auto"/>
        </w:rPr>
        <w:t>三、获取招标文件</w:t>
      </w:r>
      <w:r>
        <w:rPr>
          <w:b w:val="0"/>
          <w:color w:val="auto"/>
        </w:rPr>
        <w:t>：</w:t>
      </w:r>
    </w:p>
    <w:p w14:paraId="1EBF22D8">
      <w:pPr>
        <w:widowControl/>
        <w:autoSpaceDE/>
        <w:autoSpaceDN/>
        <w:adjustRightInd/>
        <w:spacing w:before="75" w:after="75" w:line="358" w:lineRule="auto"/>
        <w:ind w:firstLine="539"/>
        <w:rPr>
          <w:rFonts w:hint="eastAsia" w:cs="宋体"/>
          <w:color w:val="auto"/>
          <w:lang w:eastAsia="zh-CN"/>
        </w:rPr>
      </w:pPr>
      <w:r>
        <w:rPr>
          <w:color w:val="auto"/>
        </w:rPr>
        <w:t>时</w:t>
      </w:r>
      <w:r>
        <w:rPr>
          <w:rFonts w:cs="宋体"/>
          <w:color w:val="auto"/>
        </w:rPr>
        <w:t xml:space="preserve">间: </w:t>
      </w:r>
      <w:r>
        <w:rPr>
          <w:rFonts w:hint="eastAsia" w:cs="宋体"/>
          <w:color w:val="auto"/>
          <w:lang w:eastAsia="zh-CN"/>
        </w:rPr>
        <w:t>2025年2月2</w:t>
      </w:r>
      <w:r>
        <w:rPr>
          <w:rFonts w:hint="eastAsia" w:cs="宋体"/>
          <w:color w:val="auto"/>
          <w:lang w:val="en-US" w:eastAsia="zh-CN"/>
        </w:rPr>
        <w:t>8</w:t>
      </w:r>
      <w:r>
        <w:rPr>
          <w:rFonts w:hint="eastAsia" w:cs="宋体"/>
          <w:color w:val="auto"/>
          <w:lang w:eastAsia="zh-CN"/>
        </w:rPr>
        <w:t>日</w:t>
      </w:r>
      <w:r>
        <w:rPr>
          <w:rFonts w:cs="宋体"/>
          <w:color w:val="auto"/>
        </w:rPr>
        <w:t xml:space="preserve">到 </w:t>
      </w:r>
      <w:r>
        <w:rPr>
          <w:rFonts w:hint="eastAsia" w:cs="宋体"/>
          <w:color w:val="auto"/>
          <w:lang w:eastAsia="zh-CN"/>
        </w:rPr>
        <w:t>2025年3月</w:t>
      </w:r>
      <w:r>
        <w:rPr>
          <w:rFonts w:hint="eastAsia" w:cs="宋体"/>
          <w:color w:val="auto"/>
          <w:lang w:val="en-US" w:eastAsia="zh-CN"/>
        </w:rPr>
        <w:t>7</w:t>
      </w:r>
      <w:r>
        <w:rPr>
          <w:rFonts w:hint="eastAsia" w:cs="宋体"/>
          <w:color w:val="auto"/>
          <w:lang w:eastAsia="zh-CN"/>
        </w:rPr>
        <w:t>日</w:t>
      </w:r>
    </w:p>
    <w:p w14:paraId="78330EEA">
      <w:pPr>
        <w:widowControl/>
        <w:autoSpaceDE/>
        <w:autoSpaceDN/>
        <w:adjustRightInd/>
        <w:spacing w:before="75" w:after="75" w:line="358" w:lineRule="auto"/>
        <w:ind w:firstLine="539"/>
        <w:rPr>
          <w:rFonts w:cs="宋体"/>
          <w:color w:val="auto"/>
        </w:rPr>
      </w:pPr>
      <w:r>
        <w:rPr>
          <w:rFonts w:cs="宋体"/>
          <w:color w:val="auto"/>
        </w:rPr>
        <w:fldChar w:fldCharType="begin"/>
      </w:r>
      <w:r>
        <w:rPr>
          <w:rFonts w:cs="宋体"/>
          <w:color w:val="auto"/>
        </w:rPr>
        <w:instrText xml:space="preserve"> HYPERLINK "http://www.zcygov.cn/" </w:instrText>
      </w:r>
      <w:r>
        <w:rPr>
          <w:rFonts w:cs="宋体"/>
          <w:color w:val="auto"/>
        </w:rPr>
        <w:fldChar w:fldCharType="separate"/>
      </w:r>
      <w:r>
        <w:rPr>
          <w:rFonts w:cs="宋体"/>
          <w:color w:val="auto"/>
        </w:rPr>
        <w:t>地点：政采云平台线上获取采购文件（http://www.ccgp-xinjiang.gov.cn/</w:t>
      </w:r>
      <w:r>
        <w:rPr>
          <w:rFonts w:cs="宋体"/>
          <w:color w:val="auto"/>
        </w:rPr>
        <w:fldChar w:fldCharType="end"/>
      </w:r>
      <w:r>
        <w:rPr>
          <w:rFonts w:cs="宋体"/>
          <w:color w:val="auto"/>
        </w:rPr>
        <w:t>）</w:t>
      </w:r>
    </w:p>
    <w:p w14:paraId="276CD491">
      <w:pPr>
        <w:widowControl/>
        <w:autoSpaceDE/>
        <w:autoSpaceDN/>
        <w:adjustRightInd/>
        <w:spacing w:before="75" w:after="75" w:line="358" w:lineRule="auto"/>
        <w:ind w:firstLine="539"/>
        <w:rPr>
          <w:rFonts w:hint="default" w:cs="宋体"/>
          <w:color w:val="auto"/>
          <w:spacing w:val="-3"/>
        </w:rPr>
      </w:pPr>
      <w:r>
        <w:rPr>
          <w:rFonts w:cs="宋体"/>
          <w:color w:val="auto"/>
        </w:rPr>
        <w:t>方式：</w:t>
      </w:r>
      <w:r>
        <w:rPr>
          <w:rFonts w:hint="eastAsia" w:cs="宋体"/>
          <w:color w:val="auto"/>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DB82C2A">
      <w:pPr>
        <w:pStyle w:val="6"/>
        <w:kinsoku w:val="0"/>
        <w:overflowPunct w:val="0"/>
        <w:jc w:val="both"/>
        <w:rPr>
          <w:rFonts w:hint="default"/>
          <w:b w:val="0"/>
          <w:color w:val="auto"/>
        </w:rPr>
      </w:pPr>
      <w:r>
        <w:rPr>
          <w:color w:val="auto"/>
        </w:rPr>
        <w:t>四、提交投标文件截止时间、开标时间和地点：</w:t>
      </w:r>
    </w:p>
    <w:p w14:paraId="04D4D550">
      <w:pPr>
        <w:pStyle w:val="8"/>
        <w:kinsoku w:val="0"/>
        <w:overflowPunct w:val="0"/>
        <w:spacing w:before="154" w:line="357" w:lineRule="auto"/>
        <w:ind w:right="117" w:firstLine="480"/>
        <w:jc w:val="both"/>
        <w:rPr>
          <w:rFonts w:hint="default"/>
          <w:color w:val="auto"/>
        </w:rPr>
      </w:pPr>
      <w:r>
        <w:rPr>
          <w:color w:val="auto"/>
        </w:rPr>
        <w:t>1、投标截止时间：</w:t>
      </w:r>
      <w:r>
        <w:rPr>
          <w:rFonts w:hint="eastAsia"/>
          <w:color w:val="auto"/>
          <w:lang w:eastAsia="zh-CN"/>
        </w:rPr>
        <w:t>2025年3月20日11:30</w:t>
      </w:r>
      <w:r>
        <w:rPr>
          <w:color w:val="auto"/>
        </w:rPr>
        <w:t xml:space="preserve"> (北京时间)，供应商应在</w:t>
      </w:r>
      <w:r>
        <w:rPr>
          <w:rFonts w:hint="eastAsia"/>
          <w:color w:val="auto"/>
        </w:rPr>
        <w:t>投标截止时间</w:t>
      </w:r>
      <w:r>
        <w:rPr>
          <w:color w:val="auto"/>
        </w:rPr>
        <w:t>之</w:t>
      </w:r>
      <w:r>
        <w:rPr>
          <w:color w:val="auto"/>
          <w:spacing w:val="-3"/>
        </w:rPr>
        <w:t>前将加密的投标文件上传至政采云</w:t>
      </w:r>
      <w:r>
        <w:rPr>
          <w:color w:val="auto"/>
        </w:rPr>
        <w:fldChar w:fldCharType="begin"/>
      </w:r>
      <w:r>
        <w:rPr>
          <w:color w:val="auto"/>
        </w:rPr>
        <w:instrText xml:space="preserve"> HYPERLINK "http://www.zcygov.cn/" </w:instrText>
      </w:r>
      <w:r>
        <w:rPr>
          <w:color w:val="auto"/>
        </w:rPr>
        <w:fldChar w:fldCharType="separate"/>
      </w:r>
      <w:r>
        <w:rPr>
          <w:color w:val="auto"/>
          <w:spacing w:val="-3"/>
        </w:rPr>
        <w:t>（http://www.ccgp-xinjiang.gov.cn/</w:t>
      </w:r>
      <w:r>
        <w:rPr>
          <w:color w:val="auto"/>
          <w:spacing w:val="-3"/>
        </w:rPr>
        <w:fldChar w:fldCharType="end"/>
      </w:r>
      <w:r>
        <w:rPr>
          <w:color w:val="auto"/>
          <w:spacing w:val="-3"/>
        </w:rPr>
        <w:t>）（逾期未上传的</w:t>
      </w:r>
      <w:r>
        <w:rPr>
          <w:color w:val="auto"/>
          <w:spacing w:val="-77"/>
        </w:rPr>
        <w:t xml:space="preserve"> </w:t>
      </w:r>
      <w:r>
        <w:rPr>
          <w:color w:val="auto"/>
        </w:rPr>
        <w:t>或不符合规定的投标文件将被拒绝接收）。</w:t>
      </w:r>
    </w:p>
    <w:p w14:paraId="6FBD5625">
      <w:pPr>
        <w:pStyle w:val="8"/>
        <w:kinsoku w:val="0"/>
        <w:overflowPunct w:val="0"/>
        <w:spacing w:line="357" w:lineRule="auto"/>
        <w:ind w:leftChars="50" w:firstLine="480" w:firstLineChars="200"/>
        <w:rPr>
          <w:rFonts w:hint="default"/>
          <w:color w:val="auto"/>
        </w:rPr>
      </w:pPr>
      <w:r>
        <w:rPr>
          <w:color w:val="auto"/>
        </w:rPr>
        <w:t>2、开</w:t>
      </w:r>
      <w:r>
        <w:rPr>
          <w:rFonts w:hint="eastAsia"/>
          <w:color w:val="auto"/>
          <w:lang w:eastAsia="zh-CN"/>
        </w:rPr>
        <w:t>标时间：2025年3月20日11:30（北京时间）</w:t>
      </w:r>
    </w:p>
    <w:p w14:paraId="51DE2E21">
      <w:pPr>
        <w:pStyle w:val="8"/>
        <w:kinsoku w:val="0"/>
        <w:overflowPunct w:val="0"/>
        <w:spacing w:line="357" w:lineRule="auto"/>
        <w:ind w:leftChars="50" w:firstLine="240" w:firstLineChars="100"/>
        <w:rPr>
          <w:rFonts w:hint="default"/>
          <w:color w:val="auto"/>
        </w:rPr>
      </w:pPr>
      <w:r>
        <w:rPr>
          <w:color w:val="auto"/>
        </w:rPr>
        <w:fldChar w:fldCharType="begin"/>
      </w:r>
      <w:r>
        <w:rPr>
          <w:color w:val="auto"/>
        </w:rPr>
        <w:instrText xml:space="preserve"> HYPERLINK "http://www.zcygov.cn/" </w:instrText>
      </w:r>
      <w:r>
        <w:rPr>
          <w:color w:val="auto"/>
        </w:rPr>
        <w:fldChar w:fldCharType="separate"/>
      </w:r>
      <w:r>
        <w:rPr>
          <w:color w:val="auto"/>
        </w:rPr>
        <w:t>新疆政采云（http://www.ccgp-xinjiang.gov.cn/</w:t>
      </w:r>
      <w:r>
        <w:rPr>
          <w:color w:val="auto"/>
        </w:rPr>
        <w:fldChar w:fldCharType="end"/>
      </w:r>
      <w:r>
        <w:rPr>
          <w:color w:val="auto"/>
        </w:rPr>
        <w:t>）不见面开标大厅。</w:t>
      </w:r>
    </w:p>
    <w:p w14:paraId="292E2A0D">
      <w:pPr>
        <w:pStyle w:val="6"/>
        <w:kinsoku w:val="0"/>
        <w:overflowPunct w:val="0"/>
        <w:jc w:val="both"/>
        <w:rPr>
          <w:rFonts w:hint="default"/>
          <w:b w:val="0"/>
          <w:color w:val="auto"/>
        </w:rPr>
      </w:pPr>
      <w:r>
        <w:rPr>
          <w:color w:val="auto"/>
        </w:rPr>
        <w:t>五、公告期限</w:t>
      </w:r>
    </w:p>
    <w:p w14:paraId="5627BCD8">
      <w:pPr>
        <w:pStyle w:val="8"/>
        <w:kinsoku w:val="0"/>
        <w:overflowPunct w:val="0"/>
        <w:spacing w:before="154" w:line="357" w:lineRule="auto"/>
        <w:ind w:right="3646" w:firstLine="480"/>
        <w:rPr>
          <w:rFonts w:hint="default"/>
          <w:color w:val="auto"/>
        </w:rPr>
      </w:pPr>
      <w:bookmarkStart w:id="6" w:name="自本公告发布之日起5个工作日"/>
      <w:bookmarkEnd w:id="6"/>
      <w:r>
        <w:rPr>
          <w:color w:val="auto"/>
        </w:rPr>
        <w:t>自本公告发布之日起</w:t>
      </w:r>
      <w:r>
        <w:rPr>
          <w:color w:val="auto"/>
          <w:spacing w:val="-60"/>
        </w:rPr>
        <w:t xml:space="preserve"> </w:t>
      </w:r>
      <w:r>
        <w:rPr>
          <w:color w:val="auto"/>
        </w:rPr>
        <w:t>5</w:t>
      </w:r>
      <w:r>
        <w:rPr>
          <w:color w:val="auto"/>
          <w:spacing w:val="-60"/>
        </w:rPr>
        <w:t xml:space="preserve"> </w:t>
      </w:r>
      <w:r>
        <w:rPr>
          <w:color w:val="auto"/>
        </w:rPr>
        <w:t xml:space="preserve">个工作日 </w:t>
      </w:r>
      <w:bookmarkStart w:id="7" w:name="六、其他补充事宜"/>
      <w:bookmarkEnd w:id="7"/>
    </w:p>
    <w:p w14:paraId="48A1C747">
      <w:pPr>
        <w:pStyle w:val="8"/>
        <w:kinsoku w:val="0"/>
        <w:overflowPunct w:val="0"/>
        <w:spacing w:before="154" w:line="357" w:lineRule="auto"/>
        <w:ind w:right="3646"/>
        <w:rPr>
          <w:rFonts w:hint="default"/>
          <w:color w:val="auto"/>
        </w:rPr>
      </w:pPr>
      <w:r>
        <w:rPr>
          <w:b/>
          <w:color w:val="auto"/>
        </w:rPr>
        <w:t>六、其他补充事宜</w:t>
      </w:r>
    </w:p>
    <w:p w14:paraId="3666E4A8">
      <w:pPr>
        <w:pStyle w:val="8"/>
        <w:kinsoku w:val="0"/>
        <w:overflowPunct w:val="0"/>
        <w:spacing w:before="2" w:line="358" w:lineRule="auto"/>
        <w:ind w:right="237" w:firstLine="720" w:firstLineChars="300"/>
        <w:rPr>
          <w:rFonts w:hint="eastAsia" w:ascii="宋体" w:eastAsia="宋体" w:cs="宋体"/>
          <w:color w:val="auto"/>
        </w:rPr>
      </w:pPr>
      <w:bookmarkStart w:id="8" w:name="1、本项目实行网上投标，采用电子投标文件；"/>
      <w:bookmarkEnd w:id="8"/>
      <w:r>
        <w:rPr>
          <w:rFonts w:hint="eastAsia" w:ascii="宋体" w:eastAsia="宋体" w:cs="宋体"/>
          <w:color w:val="auto"/>
        </w:rPr>
        <w:t>1、需落实政府采购政策：（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制定的《关于印发《政府采购促进中小企业发展管理办法》的通知》（财库〔2020〕46号）；（6）《关于落实好政府采购支持中小企业发展的通知》（新财购 〔2022〕22号）；（7）财政部、民政部、中国残疾人联合会《关于促进残疾人就业政府采购政策的通知》（财库[2017]141号）；（8）财政部、司法部《关于政府采购支持监狱企业发展有关问题的通知》（财库[2014]68号文）。</w:t>
      </w:r>
    </w:p>
    <w:p w14:paraId="7E446C90">
      <w:pPr>
        <w:pStyle w:val="8"/>
        <w:kinsoku w:val="0"/>
        <w:overflowPunct w:val="0"/>
        <w:spacing w:before="2" w:line="358" w:lineRule="auto"/>
        <w:ind w:right="237" w:firstLine="720" w:firstLineChars="300"/>
        <w:rPr>
          <w:rFonts w:hint="default" w:ascii="宋体" w:eastAsia="宋体" w:cs="宋体"/>
          <w:color w:val="auto"/>
        </w:rPr>
      </w:pPr>
      <w:r>
        <w:rPr>
          <w:rFonts w:hint="eastAsia" w:ascii="宋体" w:eastAsia="宋体" w:cs="宋体"/>
          <w:color w:val="auto"/>
          <w:lang w:val="en-US" w:eastAsia="zh-CN"/>
        </w:rPr>
        <w:t>2</w:t>
      </w:r>
      <w:r>
        <w:rPr>
          <w:rFonts w:hint="eastAsia" w:ascii="宋体" w:eastAsia="宋体" w:cs="宋体"/>
          <w:color w:val="auto"/>
        </w:rPr>
        <w:t>、</w:t>
      </w:r>
      <w:r>
        <w:rPr>
          <w:rFonts w:hint="eastAsia" w:ascii="宋体" w:eastAsia="宋体" w:cs="宋体"/>
          <w:color w:val="auto"/>
          <w:lang w:eastAsia="zh-CN"/>
        </w:rPr>
        <w:t>供应商</w:t>
      </w:r>
      <w:r>
        <w:rPr>
          <w:rFonts w:hint="eastAsia" w:ascii="宋体" w:eastAsia="宋体" w:cs="宋体"/>
          <w:color w:val="auto"/>
        </w:rPr>
        <w:t>不得为“信用中国”网站（网址http://www.creditchina.gov.cn ）中列入失信被执行人和重大税收违法案件当事人名单的</w:t>
      </w:r>
      <w:r>
        <w:rPr>
          <w:rFonts w:hint="eastAsia" w:ascii="宋体" w:eastAsia="宋体" w:cs="宋体"/>
          <w:color w:val="auto"/>
          <w:lang w:eastAsia="zh-CN"/>
        </w:rPr>
        <w:t>供应商</w:t>
      </w:r>
      <w:r>
        <w:rPr>
          <w:rFonts w:hint="eastAsia" w:ascii="宋体" w:eastAsia="宋体" w:cs="宋体"/>
          <w:color w:val="auto"/>
        </w:rPr>
        <w:t>；不得为“国家企业信用信息公示系统”网站（网址http://www.gsxt.gov.cn）列入严重违法失信企业名单（黑名单）的</w:t>
      </w:r>
      <w:r>
        <w:rPr>
          <w:rFonts w:hint="eastAsia" w:ascii="宋体" w:eastAsia="宋体" w:cs="宋体"/>
          <w:color w:val="auto"/>
          <w:lang w:eastAsia="zh-CN"/>
        </w:rPr>
        <w:t>供应商</w:t>
      </w:r>
      <w:r>
        <w:rPr>
          <w:rFonts w:hint="eastAsia" w:ascii="宋体" w:eastAsia="宋体" w:cs="宋体"/>
          <w:color w:val="auto"/>
        </w:rPr>
        <w:t>；不得为中国政府采购网（网址http://www.ccgp.gov.cn ）政府采购严重违法失信行为记录名单中被财政部门禁止参加政府采购活动的</w:t>
      </w:r>
      <w:r>
        <w:rPr>
          <w:rFonts w:hint="eastAsia" w:ascii="宋体" w:eastAsia="宋体" w:cs="宋体"/>
          <w:color w:val="auto"/>
          <w:lang w:eastAsia="zh-CN"/>
        </w:rPr>
        <w:t>供应商</w:t>
      </w:r>
      <w:r>
        <w:rPr>
          <w:rFonts w:hint="eastAsia" w:ascii="宋体" w:eastAsia="宋体" w:cs="宋体"/>
          <w:color w:val="auto"/>
        </w:rPr>
        <w:t>（处罚决定规定的时间和地域范围内）；</w:t>
      </w:r>
    </w:p>
    <w:p w14:paraId="0526EA42">
      <w:pPr>
        <w:pStyle w:val="8"/>
        <w:kinsoku w:val="0"/>
        <w:overflowPunct w:val="0"/>
        <w:spacing w:before="2" w:line="358" w:lineRule="auto"/>
        <w:ind w:right="237" w:firstLine="480" w:firstLineChars="200"/>
        <w:rPr>
          <w:rFonts w:hint="default"/>
          <w:color w:val="auto"/>
        </w:rPr>
      </w:pPr>
      <w:r>
        <w:rPr>
          <w:rFonts w:hint="eastAsia"/>
          <w:color w:val="auto"/>
          <w:lang w:val="en-US" w:eastAsia="zh-CN"/>
        </w:rPr>
        <w:t>3、</w:t>
      </w:r>
      <w:r>
        <w:rPr>
          <w:color w:val="auto"/>
        </w:rPr>
        <w:t>本项目实行网上投标，采用电子投标文件；</w:t>
      </w:r>
      <w:r>
        <w:rPr>
          <w:rFonts w:hint="eastAsia"/>
          <w:color w:val="auto"/>
        </w:rPr>
        <w:t>若</w:t>
      </w:r>
      <w:r>
        <w:rPr>
          <w:rFonts w:hint="eastAsia"/>
          <w:color w:val="auto"/>
          <w:lang w:val="en-US" w:eastAsia="zh-CN"/>
        </w:rPr>
        <w:t>供应商</w:t>
      </w:r>
      <w:r>
        <w:rPr>
          <w:rFonts w:hint="eastAsia"/>
          <w:color w:val="auto"/>
        </w:rPr>
        <w:t>参与投标，自行承担投标一切费用。</w:t>
      </w:r>
    </w:p>
    <w:p w14:paraId="3435F84F">
      <w:pPr>
        <w:pStyle w:val="8"/>
        <w:kinsoku w:val="0"/>
        <w:overflowPunct w:val="0"/>
        <w:spacing w:before="2" w:line="358" w:lineRule="auto"/>
        <w:ind w:right="237" w:firstLine="480" w:firstLineChars="200"/>
        <w:rPr>
          <w:rFonts w:hint="default"/>
          <w:color w:val="auto"/>
        </w:rPr>
      </w:pPr>
      <w:bookmarkStart w:id="9" w:name="2、各供应商应在开标前应确保成为新疆生产建设兵团政府采购网正式注册入库供应商，并"/>
      <w:bookmarkEnd w:id="9"/>
      <w:r>
        <w:rPr>
          <w:rFonts w:hint="eastAsia"/>
          <w:color w:val="auto"/>
          <w:lang w:val="en-US" w:eastAsia="zh-CN"/>
        </w:rPr>
        <w:t>4</w:t>
      </w:r>
      <w:r>
        <w:rPr>
          <w:color w:val="auto"/>
        </w:rPr>
        <w:t>、各供应商应在开标前应确保成为新疆政府采购网正式注册 入库供应商，并完成</w:t>
      </w:r>
      <w:r>
        <w:rPr>
          <w:color w:val="auto"/>
          <w:spacing w:val="-50"/>
        </w:rPr>
        <w:t xml:space="preserve"> </w:t>
      </w:r>
      <w:r>
        <w:rPr>
          <w:color w:val="auto"/>
        </w:rPr>
        <w:t>CA</w:t>
      </w:r>
      <w:r>
        <w:rPr>
          <w:color w:val="auto"/>
          <w:spacing w:val="-50"/>
        </w:rPr>
        <w:t xml:space="preserve"> </w:t>
      </w:r>
      <w:r>
        <w:rPr>
          <w:color w:val="auto"/>
        </w:rPr>
        <w:t>数字证书（符合国密标准）申领。因未注册入库、未办 理</w:t>
      </w:r>
      <w:r>
        <w:rPr>
          <w:color w:val="auto"/>
          <w:spacing w:val="-51"/>
        </w:rPr>
        <w:t xml:space="preserve"> </w:t>
      </w:r>
      <w:r>
        <w:rPr>
          <w:color w:val="auto"/>
        </w:rPr>
        <w:t>CA</w:t>
      </w:r>
      <w:r>
        <w:rPr>
          <w:color w:val="auto"/>
          <w:spacing w:val="-51"/>
        </w:rPr>
        <w:t xml:space="preserve"> </w:t>
      </w:r>
      <w:r>
        <w:rPr>
          <w:color w:val="auto"/>
        </w:rPr>
        <w:t>数字证书等原因造成无法投标或投标失败等后果由供应商自行承担。有意</w:t>
      </w:r>
      <w:r>
        <w:rPr>
          <w:color w:val="auto"/>
          <w:spacing w:val="3"/>
        </w:rPr>
        <w:t>向参与电子开评标的供应商，可访问新疆数字证书认证中心官方网站</w:t>
      </w:r>
      <w:r>
        <w:rPr>
          <w:color w:val="auto"/>
        </w:rPr>
        <w:fldChar w:fldCharType="begin"/>
      </w:r>
      <w:r>
        <w:rPr>
          <w:color w:val="auto"/>
        </w:rPr>
        <w:instrText xml:space="preserve"> HYPERLINK "https://www.xjca.com.cn/%C3%AF%C2%BC%C2%89%C3%A6%C2%88%C2%96%C3%A4%C2%B8%C2%8B%C3%A8%C2%BD%C2%BD" </w:instrText>
      </w:r>
      <w:r>
        <w:rPr>
          <w:color w:val="auto"/>
        </w:rPr>
        <w:fldChar w:fldCharType="separate"/>
      </w:r>
      <w:r>
        <w:rPr>
          <w:color w:val="auto"/>
        </w:rPr>
        <w:t>（https://www.xjca.com.cn/）或下载“新疆政务通”APP</w:t>
      </w:r>
      <w:r>
        <w:rPr>
          <w:color w:val="auto"/>
          <w:spacing w:val="-91"/>
        </w:rPr>
        <w:t xml:space="preserve"> </w:t>
      </w:r>
      <w:r>
        <w:rPr>
          <w:color w:val="auto"/>
        </w:rPr>
        <w:t>自行进行申领。如需</w:t>
      </w:r>
      <w:r>
        <w:rPr>
          <w:color w:val="auto"/>
        </w:rPr>
        <w:fldChar w:fldCharType="end"/>
      </w:r>
      <w:r>
        <w:rPr>
          <w:color w:val="auto"/>
        </w:rPr>
        <w:t xml:space="preserve"> 咨询，请联系新疆</w:t>
      </w:r>
      <w:r>
        <w:rPr>
          <w:color w:val="auto"/>
          <w:spacing w:val="-60"/>
        </w:rPr>
        <w:t xml:space="preserve"> </w:t>
      </w:r>
      <w:r>
        <w:rPr>
          <w:color w:val="auto"/>
        </w:rPr>
        <w:t>CA</w:t>
      </w:r>
      <w:r>
        <w:rPr>
          <w:color w:val="auto"/>
          <w:spacing w:val="-60"/>
        </w:rPr>
        <w:t xml:space="preserve"> </w:t>
      </w:r>
      <w:r>
        <w:rPr>
          <w:color w:val="auto"/>
        </w:rPr>
        <w:t>服务热线</w:t>
      </w:r>
      <w:r>
        <w:rPr>
          <w:color w:val="auto"/>
          <w:spacing w:val="-60"/>
        </w:rPr>
        <w:t xml:space="preserve"> </w:t>
      </w:r>
      <w:r>
        <w:rPr>
          <w:color w:val="auto"/>
        </w:rPr>
        <w:t>0991-2819290；</w:t>
      </w:r>
    </w:p>
    <w:p w14:paraId="39A9FC23">
      <w:pPr>
        <w:pStyle w:val="8"/>
        <w:kinsoku w:val="0"/>
        <w:overflowPunct w:val="0"/>
        <w:spacing w:line="358" w:lineRule="auto"/>
        <w:ind w:right="117" w:firstLine="480"/>
        <w:rPr>
          <w:color w:val="auto"/>
        </w:rPr>
      </w:pPr>
      <w:bookmarkStart w:id="10" w:name="3、供应商将政采云电子交易客户端下载、安装完成后，可通过账号密码或CA登录客户端"/>
      <w:bookmarkEnd w:id="10"/>
      <w:r>
        <w:rPr>
          <w:rFonts w:hint="eastAsia"/>
          <w:color w:val="auto"/>
          <w:lang w:val="en-US" w:eastAsia="zh-CN"/>
        </w:rPr>
        <w:t>5</w:t>
      </w:r>
      <w:r>
        <w:rPr>
          <w:color w:val="auto"/>
        </w:rPr>
        <w:t>、供应商将政采云电子交易客户端下载、安装完成后，可通过账号密码或 CA</w:t>
      </w:r>
      <w:r>
        <w:rPr>
          <w:color w:val="auto"/>
          <w:spacing w:val="-58"/>
        </w:rPr>
        <w:t xml:space="preserve"> </w:t>
      </w:r>
      <w:r>
        <w:rPr>
          <w:color w:val="auto"/>
          <w:spacing w:val="-7"/>
        </w:rPr>
        <w:t>登录客户端进行投标文件的制作。在使用政采云投标客户端时，建议使用</w:t>
      </w:r>
      <w:r>
        <w:rPr>
          <w:color w:val="auto"/>
          <w:spacing w:val="-59"/>
        </w:rPr>
        <w:t xml:space="preserve"> </w:t>
      </w:r>
      <w:r>
        <w:rPr>
          <w:color w:val="auto"/>
        </w:rPr>
        <w:t>WIN7</w:t>
      </w:r>
      <w:r>
        <w:rPr>
          <w:color w:val="auto"/>
          <w:spacing w:val="-115"/>
        </w:rPr>
        <w:t xml:space="preserve"> </w:t>
      </w:r>
      <w:r>
        <w:rPr>
          <w:color w:val="auto"/>
          <w:spacing w:val="-5"/>
        </w:rPr>
        <w:t>及以上操作系统。客户端请至新疆政府采购网</w:t>
      </w:r>
      <w:r>
        <w:rPr>
          <w:color w:val="auto"/>
        </w:rPr>
        <w:fldChar w:fldCharType="begin"/>
      </w:r>
      <w:r>
        <w:rPr>
          <w:color w:val="auto"/>
        </w:rPr>
        <w:instrText xml:space="preserve"> HYPERLINK "http://ccgp-bingtuan.gov.cn/" </w:instrText>
      </w:r>
      <w:r>
        <w:rPr>
          <w:color w:val="auto"/>
        </w:rPr>
        <w:fldChar w:fldCharType="separate"/>
      </w:r>
      <w:r>
        <w:rPr>
          <w:color w:val="auto"/>
          <w:spacing w:val="-5"/>
        </w:rPr>
        <w:t>（http://www.ccgp-xinjiang.gov.cn/</w:t>
      </w:r>
      <w:r>
        <w:rPr>
          <w:color w:val="auto"/>
          <w:spacing w:val="-5"/>
        </w:rPr>
        <w:fldChar w:fldCharType="end"/>
      </w:r>
      <w:r>
        <w:rPr>
          <w:color w:val="auto"/>
          <w:spacing w:val="-5"/>
        </w:rPr>
        <w:t>）</w:t>
      </w:r>
      <w:r>
        <w:rPr>
          <w:color w:val="auto"/>
          <w:spacing w:val="-85"/>
        </w:rPr>
        <w:t xml:space="preserve"> </w:t>
      </w:r>
      <w:r>
        <w:rPr>
          <w:color w:val="auto"/>
        </w:rPr>
        <w:t>下载专区查看，如有问题可拨打政采云客户服务热线</w:t>
      </w:r>
      <w:r>
        <w:rPr>
          <w:color w:val="auto"/>
          <w:spacing w:val="-55"/>
        </w:rPr>
        <w:t xml:space="preserve"> </w:t>
      </w:r>
      <w:r>
        <w:rPr>
          <w:color w:val="auto"/>
        </w:rPr>
        <w:t>400-881-7190</w:t>
      </w:r>
      <w:r>
        <w:rPr>
          <w:color w:val="auto"/>
          <w:spacing w:val="-55"/>
        </w:rPr>
        <w:t xml:space="preserve"> </w:t>
      </w:r>
      <w:r>
        <w:rPr>
          <w:color w:val="auto"/>
        </w:rPr>
        <w:t>进行咨询。</w:t>
      </w:r>
      <w:r>
        <w:rPr>
          <w:color w:val="auto"/>
          <w:spacing w:val="-109"/>
        </w:rPr>
        <w:t xml:space="preserve"> </w:t>
      </w:r>
      <w:r>
        <w:rPr>
          <w:color w:val="auto"/>
          <w:spacing w:val="-3"/>
        </w:rPr>
        <w:t>如因供应商自身原因导致在规定时间内无法正常解密的（如：浏览器故障、未安</w:t>
      </w:r>
      <w:r>
        <w:rPr>
          <w:color w:val="auto"/>
          <w:spacing w:val="-111"/>
        </w:rPr>
        <w:t xml:space="preserve"> </w:t>
      </w:r>
      <w:r>
        <w:rPr>
          <w:color w:val="auto"/>
        </w:rPr>
        <w:t>装相关驱动、网络故障、加密</w:t>
      </w:r>
      <w:r>
        <w:rPr>
          <w:color w:val="auto"/>
          <w:spacing w:val="-58"/>
        </w:rPr>
        <w:t xml:space="preserve"> </w:t>
      </w:r>
      <w:r>
        <w:rPr>
          <w:color w:val="auto"/>
        </w:rPr>
        <w:t>CA</w:t>
      </w:r>
      <w:r>
        <w:rPr>
          <w:color w:val="auto"/>
          <w:spacing w:val="-56"/>
        </w:rPr>
        <w:t xml:space="preserve"> </w:t>
      </w:r>
      <w:r>
        <w:rPr>
          <w:color w:val="auto"/>
        </w:rPr>
        <w:t>与解密</w:t>
      </w:r>
      <w:r>
        <w:rPr>
          <w:color w:val="auto"/>
          <w:spacing w:val="-61"/>
        </w:rPr>
        <w:t xml:space="preserve"> </w:t>
      </w:r>
      <w:r>
        <w:rPr>
          <w:color w:val="auto"/>
        </w:rPr>
        <w:t>CA</w:t>
      </w:r>
      <w:r>
        <w:rPr>
          <w:color w:val="auto"/>
          <w:spacing w:val="-56"/>
        </w:rPr>
        <w:t xml:space="preserve"> </w:t>
      </w:r>
      <w:r>
        <w:rPr>
          <w:color w:val="auto"/>
        </w:rPr>
        <w:t>不一致等），采购中心/代理机构不</w:t>
      </w:r>
      <w:r>
        <w:rPr>
          <w:color w:val="auto"/>
          <w:spacing w:val="-114"/>
        </w:rPr>
        <w:t xml:space="preserve"> </w:t>
      </w:r>
      <w:r>
        <w:rPr>
          <w:color w:val="auto"/>
        </w:rPr>
        <w:t>予异常处理，视为供应商自动弃标。</w:t>
      </w:r>
    </w:p>
    <w:p w14:paraId="71B14D38">
      <w:pPr>
        <w:pStyle w:val="8"/>
        <w:kinsoku w:val="0"/>
        <w:overflowPunct w:val="0"/>
        <w:spacing w:line="358" w:lineRule="auto"/>
        <w:ind w:right="117" w:firstLine="480"/>
        <w:rPr>
          <w:rFonts w:hint="default"/>
          <w:color w:val="auto"/>
        </w:rPr>
      </w:pPr>
      <w:r>
        <w:rPr>
          <w:rFonts w:hint="eastAsia"/>
          <w:color w:val="auto"/>
          <w:lang w:val="en-US" w:eastAsia="zh-CN"/>
        </w:rPr>
        <w:t>6、请在领取招标文件的有效日期内领取文件，过期将无法领取。本项目招标公告发布截止日后，请持续关注本项目后续网上发布澄清变更等内容。若再次发布招标公告，第一次成功领取招标文件的潜在服务商应重新领取招标文件。</w:t>
      </w:r>
      <w:r>
        <w:rPr>
          <w:color w:val="auto"/>
        </w:rPr>
        <w:t xml:space="preserve"> </w:t>
      </w:r>
      <w:bookmarkStart w:id="11" w:name="七、对本次采购提出询问，请按以下方式联系"/>
      <w:bookmarkEnd w:id="11"/>
    </w:p>
    <w:p w14:paraId="748787C4">
      <w:pPr>
        <w:pStyle w:val="8"/>
        <w:kinsoku w:val="0"/>
        <w:overflowPunct w:val="0"/>
        <w:spacing w:line="240" w:lineRule="auto"/>
        <w:ind w:right="117" w:firstLine="480"/>
        <w:rPr>
          <w:rFonts w:hint="default" w:eastAsia="宋体"/>
          <w:b/>
          <w:bCs/>
          <w:color w:val="auto"/>
          <w:lang w:val="en-US" w:eastAsia="zh-CN"/>
        </w:rPr>
      </w:pPr>
      <w:r>
        <w:rPr>
          <w:rFonts w:hint="eastAsia"/>
          <w:b/>
          <w:bCs/>
          <w:color w:val="auto"/>
          <w:lang w:val="en-US" w:eastAsia="zh-CN"/>
        </w:rPr>
        <w:t>特别提示：</w:t>
      </w:r>
    </w:p>
    <w:p w14:paraId="712D7A97">
      <w:pPr>
        <w:pStyle w:val="8"/>
        <w:kinsoku w:val="0"/>
        <w:overflowPunct w:val="0"/>
        <w:spacing w:line="240" w:lineRule="auto"/>
        <w:ind w:right="117" w:firstLine="480"/>
        <w:rPr>
          <w:rFonts w:hint="default"/>
          <w:b/>
          <w:bCs/>
          <w:color w:val="auto"/>
        </w:rPr>
      </w:pPr>
      <w:r>
        <w:rPr>
          <w:b/>
          <w:bCs/>
          <w:color w:val="auto"/>
        </w:rPr>
        <w:t>超过200万元的货物和服务采购项目、超过400万元的工程采购项目中适宜由中小企业提供的，预留该部分采购项目预算总额的40%以上专门面向中小企业采购，其中预留给小微企业的比例不低于60%。</w:t>
      </w:r>
    </w:p>
    <w:p w14:paraId="0CEE2A45">
      <w:pPr>
        <w:pStyle w:val="8"/>
        <w:kinsoku w:val="0"/>
        <w:overflowPunct w:val="0"/>
        <w:spacing w:line="240" w:lineRule="auto"/>
        <w:ind w:right="117" w:firstLine="480"/>
        <w:rPr>
          <w:rFonts w:hint="default"/>
          <w:b/>
          <w:bCs/>
          <w:color w:val="auto"/>
        </w:rPr>
      </w:pPr>
      <w:r>
        <w:rPr>
          <w:b/>
          <w:bCs/>
          <w:color w:val="auto"/>
        </w:rPr>
        <w:t>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4604B3FB">
      <w:pPr>
        <w:pStyle w:val="8"/>
        <w:kinsoku w:val="0"/>
        <w:overflowPunct w:val="0"/>
        <w:spacing w:line="240" w:lineRule="auto"/>
        <w:ind w:right="117" w:firstLine="480"/>
        <w:rPr>
          <w:rFonts w:hint="default"/>
          <w:color w:val="auto"/>
        </w:rPr>
      </w:pPr>
      <w:r>
        <w:rPr>
          <w:b/>
          <w:bCs/>
          <w:color w:val="auto"/>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3F044C61">
      <w:pPr>
        <w:pStyle w:val="8"/>
        <w:kinsoku w:val="0"/>
        <w:overflowPunct w:val="0"/>
        <w:spacing w:line="357" w:lineRule="auto"/>
        <w:ind w:right="117"/>
        <w:rPr>
          <w:b/>
          <w:color w:val="auto"/>
        </w:rPr>
      </w:pPr>
    </w:p>
    <w:p w14:paraId="21F86310">
      <w:pPr>
        <w:pStyle w:val="8"/>
        <w:kinsoku w:val="0"/>
        <w:overflowPunct w:val="0"/>
        <w:spacing w:line="357" w:lineRule="auto"/>
        <w:ind w:right="117"/>
        <w:rPr>
          <w:rFonts w:hint="default"/>
          <w:color w:val="auto"/>
        </w:rPr>
      </w:pPr>
      <w:r>
        <w:rPr>
          <w:b/>
          <w:color w:val="auto"/>
        </w:rPr>
        <w:t>七、对本次采购提出询问，请按以下方式联系</w:t>
      </w:r>
    </w:p>
    <w:p w14:paraId="772C1927">
      <w:pPr>
        <w:pStyle w:val="8"/>
        <w:kinsoku w:val="0"/>
        <w:overflowPunct w:val="0"/>
        <w:spacing w:line="357" w:lineRule="auto"/>
        <w:ind w:right="1251"/>
        <w:rPr>
          <w:rFonts w:hint="default"/>
          <w:color w:val="auto"/>
        </w:rPr>
      </w:pPr>
      <w:bookmarkStart w:id="12" w:name="1.采购人信息"/>
      <w:bookmarkEnd w:id="12"/>
      <w:r>
        <w:rPr>
          <w:color w:val="auto"/>
        </w:rPr>
        <w:t>1.采购人信息</w:t>
      </w:r>
      <w:bookmarkStart w:id="13" w:name="名称：新疆生产建设兵团第十四师昆玉市一牧场农业发展服务中心"/>
      <w:bookmarkEnd w:id="13"/>
      <w:r>
        <w:rPr>
          <w:color w:val="auto"/>
        </w:rPr>
        <w:t>名称：</w:t>
      </w:r>
      <w:r>
        <w:rPr>
          <w:rFonts w:hint="eastAsia"/>
          <w:color w:val="auto"/>
          <w:lang w:eastAsia="zh-CN"/>
        </w:rPr>
        <w:t>尼勒克县人民医院</w:t>
      </w:r>
      <w:r>
        <w:rPr>
          <w:color w:val="auto"/>
        </w:rPr>
        <w:t xml:space="preserve">  </w:t>
      </w:r>
    </w:p>
    <w:p w14:paraId="5B2BF616">
      <w:pPr>
        <w:pStyle w:val="8"/>
        <w:kinsoku w:val="0"/>
        <w:overflowPunct w:val="0"/>
        <w:spacing w:line="357" w:lineRule="auto"/>
        <w:ind w:right="1251"/>
        <w:rPr>
          <w:rFonts w:hint="default"/>
          <w:color w:val="auto"/>
        </w:rPr>
      </w:pPr>
      <w:r>
        <w:rPr>
          <w:color w:val="auto"/>
        </w:rPr>
        <w:t>地址：</w:t>
      </w:r>
      <w:r>
        <w:rPr>
          <w:rFonts w:hint="eastAsia" w:ascii="宋体" w:hAnsi="宋体"/>
          <w:bCs/>
          <w:color w:val="auto"/>
          <w:szCs w:val="21"/>
          <w:lang w:eastAsia="zh-CN"/>
        </w:rPr>
        <w:t>尼勒克县城镇健康路12号</w:t>
      </w:r>
    </w:p>
    <w:p w14:paraId="1237D7A1">
      <w:pPr>
        <w:pStyle w:val="8"/>
        <w:kinsoku w:val="0"/>
        <w:overflowPunct w:val="0"/>
        <w:spacing w:line="357" w:lineRule="auto"/>
        <w:ind w:right="5292"/>
        <w:rPr>
          <w:rFonts w:hint="default"/>
          <w:color w:val="auto"/>
        </w:rPr>
      </w:pPr>
      <w:bookmarkStart w:id="14" w:name="项目联系人：_申键"/>
      <w:bookmarkEnd w:id="14"/>
      <w:r>
        <w:rPr>
          <w:color w:val="auto"/>
        </w:rPr>
        <w:t>项目联系人：</w:t>
      </w:r>
      <w:bookmarkStart w:id="15" w:name="项目联系方式：_15352633996"/>
      <w:bookmarkEnd w:id="15"/>
      <w:r>
        <w:rPr>
          <w:color w:val="auto"/>
        </w:rPr>
        <w:t>刘晓燕</w:t>
      </w:r>
    </w:p>
    <w:p w14:paraId="404E8AE9">
      <w:pPr>
        <w:pStyle w:val="8"/>
        <w:kinsoku w:val="0"/>
        <w:overflowPunct w:val="0"/>
        <w:spacing w:line="357" w:lineRule="auto"/>
        <w:ind w:right="5292"/>
        <w:rPr>
          <w:rFonts w:hint="default"/>
          <w:color w:val="auto"/>
        </w:rPr>
      </w:pPr>
      <w:r>
        <w:rPr>
          <w:color w:val="auto"/>
        </w:rPr>
        <w:t>项目联系方式：0999-4639238</w:t>
      </w:r>
    </w:p>
    <w:p w14:paraId="1A558B01">
      <w:pPr>
        <w:pStyle w:val="8"/>
        <w:kinsoku w:val="0"/>
        <w:overflowPunct w:val="0"/>
        <w:spacing w:before="190" w:line="357" w:lineRule="auto"/>
        <w:ind w:right="3046"/>
        <w:rPr>
          <w:rFonts w:hint="default"/>
          <w:color w:val="auto"/>
        </w:rPr>
      </w:pPr>
      <w:bookmarkStart w:id="16" w:name="2.采购代理机构信息"/>
      <w:bookmarkEnd w:id="16"/>
      <w:r>
        <w:rPr>
          <w:color w:val="auto"/>
        </w:rPr>
        <w:t xml:space="preserve">2.采购代理机构信息 </w:t>
      </w:r>
      <w:bookmarkStart w:id="17" w:name="名称：新疆经纬招标有限责任公司"/>
      <w:bookmarkEnd w:id="17"/>
    </w:p>
    <w:p w14:paraId="697BCE40">
      <w:pPr>
        <w:pStyle w:val="8"/>
        <w:kinsoku w:val="0"/>
        <w:overflowPunct w:val="0"/>
        <w:spacing w:before="190" w:line="357" w:lineRule="auto"/>
        <w:ind w:right="3046"/>
        <w:outlineLvl w:val="0"/>
        <w:rPr>
          <w:rFonts w:hint="eastAsia" w:eastAsia="宋体"/>
          <w:color w:val="auto"/>
          <w:lang w:eastAsia="zh-CN"/>
        </w:rPr>
      </w:pPr>
      <w:bookmarkStart w:id="18" w:name="_Toc19399"/>
      <w:r>
        <w:rPr>
          <w:color w:val="auto"/>
        </w:rPr>
        <w:t>名称：</w:t>
      </w:r>
      <w:r>
        <w:rPr>
          <w:rFonts w:hint="eastAsia"/>
          <w:color w:val="auto"/>
          <w:lang w:eastAsia="zh-CN"/>
        </w:rPr>
        <w:t>新疆崇途工程项目管理有限公司</w:t>
      </w:r>
      <w:bookmarkEnd w:id="18"/>
    </w:p>
    <w:p w14:paraId="25C2298D">
      <w:pPr>
        <w:pStyle w:val="8"/>
        <w:kinsoku w:val="0"/>
        <w:overflowPunct w:val="0"/>
        <w:spacing w:before="190" w:line="357" w:lineRule="auto"/>
        <w:ind w:right="3046"/>
        <w:rPr>
          <w:rFonts w:hint="eastAsia" w:eastAsia="宋体"/>
          <w:color w:val="auto"/>
          <w:lang w:eastAsia="zh-CN"/>
        </w:rPr>
      </w:pPr>
      <w:r>
        <w:rPr>
          <w:color w:val="auto"/>
        </w:rPr>
        <w:t xml:space="preserve"> </w:t>
      </w:r>
      <w:bookmarkStart w:id="19" w:name="地址：新疆昆玉市阳光苑小区2栋2单元101室"/>
      <w:bookmarkEnd w:id="19"/>
      <w:r>
        <w:rPr>
          <w:color w:val="auto"/>
        </w:rPr>
        <w:t>地址：</w:t>
      </w:r>
      <w:bookmarkStart w:id="20" w:name="项目联系人：庞_兵_王梦月"/>
      <w:bookmarkEnd w:id="20"/>
      <w:r>
        <w:rPr>
          <w:rFonts w:hint="eastAsia"/>
          <w:color w:val="auto"/>
          <w:lang w:eastAsia="zh-CN"/>
        </w:rPr>
        <w:t>新疆伊犁哈萨克自治州伊宁市解放西路273号伊犁路政海事小区综合楼245号</w:t>
      </w:r>
    </w:p>
    <w:p w14:paraId="72B72079">
      <w:pPr>
        <w:pStyle w:val="8"/>
        <w:kinsoku w:val="0"/>
        <w:overflowPunct w:val="0"/>
        <w:spacing w:before="190" w:line="357" w:lineRule="auto"/>
        <w:ind w:right="3046"/>
        <w:rPr>
          <w:rFonts w:hint="eastAsia" w:eastAsia="宋体"/>
          <w:color w:val="auto"/>
          <w:lang w:eastAsia="zh-CN"/>
        </w:rPr>
      </w:pPr>
      <w:r>
        <w:rPr>
          <w:color w:val="auto"/>
        </w:rPr>
        <w:t>项目联系人：</w:t>
      </w:r>
      <w:r>
        <w:rPr>
          <w:rFonts w:hint="eastAsia"/>
          <w:color w:val="auto"/>
          <w:lang w:eastAsia="zh-CN"/>
        </w:rPr>
        <w:t>淡家乐</w:t>
      </w:r>
    </w:p>
    <w:p w14:paraId="67A82495">
      <w:pPr>
        <w:pStyle w:val="8"/>
        <w:kinsoku w:val="0"/>
        <w:overflowPunct w:val="0"/>
        <w:spacing w:before="190" w:line="357" w:lineRule="auto"/>
        <w:ind w:right="3046"/>
        <w:rPr>
          <w:rFonts w:hint="eastAsia" w:eastAsia="宋体"/>
          <w:color w:val="auto"/>
          <w:lang w:eastAsia="zh-CN"/>
        </w:rPr>
      </w:pPr>
      <w:r>
        <w:rPr>
          <w:color w:val="auto"/>
        </w:rPr>
        <w:t>项目联系方式：</w:t>
      </w:r>
      <w:r>
        <w:rPr>
          <w:rFonts w:hint="eastAsia"/>
          <w:color w:val="auto"/>
          <w:lang w:eastAsia="zh-CN"/>
        </w:rPr>
        <w:t>19990999923</w:t>
      </w:r>
    </w:p>
    <w:p w14:paraId="3F07BFC0">
      <w:pPr>
        <w:pStyle w:val="8"/>
        <w:kinsoku w:val="0"/>
        <w:overflowPunct w:val="0"/>
        <w:spacing w:before="190" w:line="357" w:lineRule="auto"/>
        <w:ind w:right="3046"/>
        <w:rPr>
          <w:rFonts w:hint="default"/>
          <w:color w:val="auto"/>
        </w:rPr>
        <w:sectPr>
          <w:pgSz w:w="11910" w:h="16840"/>
          <w:pgMar w:top="1460" w:right="1560" w:bottom="1600" w:left="1680" w:header="0" w:footer="1395" w:gutter="0"/>
          <w:cols w:space="720" w:num="1"/>
        </w:sectPr>
      </w:pPr>
    </w:p>
    <w:p w14:paraId="14294FE6">
      <w:pPr>
        <w:pStyle w:val="2"/>
        <w:tabs>
          <w:tab w:val="left" w:pos="4911"/>
        </w:tabs>
        <w:kinsoku w:val="0"/>
        <w:overflowPunct w:val="0"/>
        <w:spacing w:line="433" w:lineRule="exact"/>
        <w:ind w:left="3104" w:right="1166"/>
        <w:rPr>
          <w:rFonts w:hint="default"/>
          <w:b w:val="0"/>
          <w:color w:val="auto"/>
        </w:rPr>
      </w:pPr>
      <w:bookmarkStart w:id="21" w:name="第二部分__投标人须知"/>
      <w:bookmarkEnd w:id="21"/>
      <w:bookmarkStart w:id="22" w:name="_Toc8075"/>
      <w:r>
        <w:rPr>
          <w:color w:val="auto"/>
          <w:w w:val="95"/>
        </w:rPr>
        <w:t>第二部分</w:t>
      </w:r>
      <w:r>
        <w:rPr>
          <w:rFonts w:hint="eastAsia"/>
          <w:color w:val="auto"/>
          <w:w w:val="95"/>
          <w:lang w:val="en-US" w:eastAsia="zh-CN"/>
        </w:rPr>
        <w:t xml:space="preserve"> </w:t>
      </w:r>
      <w:r>
        <w:rPr>
          <w:rFonts w:hint="eastAsia"/>
          <w:color w:val="auto"/>
          <w:lang w:eastAsia="zh-CN"/>
        </w:rPr>
        <w:t>供应商</w:t>
      </w:r>
      <w:r>
        <w:rPr>
          <w:color w:val="auto"/>
        </w:rPr>
        <w:t>须知</w:t>
      </w:r>
      <w:bookmarkEnd w:id="22"/>
    </w:p>
    <w:p w14:paraId="5BD29CE7">
      <w:pPr>
        <w:pStyle w:val="8"/>
        <w:kinsoku w:val="0"/>
        <w:overflowPunct w:val="0"/>
        <w:spacing w:before="10"/>
        <w:ind w:left="0"/>
        <w:rPr>
          <w:rFonts w:hint="default"/>
          <w:b/>
          <w:color w:val="auto"/>
          <w:sz w:val="14"/>
          <w:szCs w:val="14"/>
        </w:rPr>
      </w:pPr>
    </w:p>
    <w:p w14:paraId="6FF0E434">
      <w:pPr>
        <w:pStyle w:val="5"/>
        <w:kinsoku w:val="0"/>
        <w:overflowPunct w:val="0"/>
        <w:spacing w:before="14"/>
        <w:ind w:left="760" w:right="1166"/>
        <w:rPr>
          <w:rFonts w:hint="default"/>
          <w:b w:val="0"/>
          <w:color w:val="auto"/>
        </w:rPr>
      </w:pPr>
      <w:bookmarkStart w:id="23" w:name="投标人须知前附表"/>
      <w:bookmarkEnd w:id="23"/>
      <w:r>
        <w:rPr>
          <w:rFonts w:hint="eastAsia"/>
          <w:color w:val="auto"/>
          <w:lang w:eastAsia="zh-CN"/>
        </w:rPr>
        <w:t>供应商</w:t>
      </w:r>
      <w:r>
        <w:rPr>
          <w:color w:val="auto"/>
        </w:rPr>
        <w:t>须知前附表</w:t>
      </w:r>
    </w:p>
    <w:p w14:paraId="50B8CCCC">
      <w:pPr>
        <w:pStyle w:val="8"/>
        <w:kinsoku w:val="0"/>
        <w:overflowPunct w:val="0"/>
        <w:spacing w:before="6"/>
        <w:ind w:left="0"/>
        <w:rPr>
          <w:rFonts w:hint="default"/>
          <w:b/>
          <w:color w:val="auto"/>
          <w:sz w:val="4"/>
          <w:szCs w:val="4"/>
        </w:rPr>
      </w:pPr>
    </w:p>
    <w:tbl>
      <w:tblPr>
        <w:tblStyle w:val="20"/>
        <w:tblW w:w="5023" w:type="pct"/>
        <w:tblInd w:w="0" w:type="dxa"/>
        <w:tblLayout w:type="autofit"/>
        <w:tblCellMar>
          <w:top w:w="0" w:type="dxa"/>
          <w:left w:w="0" w:type="dxa"/>
          <w:bottom w:w="0" w:type="dxa"/>
          <w:right w:w="0" w:type="dxa"/>
        </w:tblCellMar>
      </w:tblPr>
      <w:tblGrid>
        <w:gridCol w:w="494"/>
        <w:gridCol w:w="945"/>
        <w:gridCol w:w="923"/>
        <w:gridCol w:w="7523"/>
      </w:tblGrid>
      <w:tr w14:paraId="22BE26BD">
        <w:tblPrEx>
          <w:tblCellMar>
            <w:top w:w="0" w:type="dxa"/>
            <w:left w:w="0" w:type="dxa"/>
            <w:bottom w:w="0" w:type="dxa"/>
            <w:right w:w="0" w:type="dxa"/>
          </w:tblCellMar>
        </w:tblPrEx>
        <w:trPr>
          <w:trHeight w:val="738"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tcPr>
          <w:p w14:paraId="48004DEA">
            <w:pPr>
              <w:pStyle w:val="25"/>
              <w:kinsoku w:val="0"/>
              <w:overflowPunct w:val="0"/>
              <w:spacing w:before="41"/>
              <w:ind w:left="120"/>
              <w:rPr>
                <w:rFonts w:hint="default" w:ascii="Times New Roman" w:eastAsia="Times New Roman"/>
                <w:color w:val="auto"/>
              </w:rPr>
            </w:pPr>
            <w:r>
              <w:rPr>
                <w:rFonts w:cs="宋体"/>
                <w:b/>
                <w:color w:val="auto"/>
              </w:rPr>
              <w:t>序号</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tcPr>
          <w:p w14:paraId="50ADEC46">
            <w:pPr>
              <w:pStyle w:val="25"/>
              <w:kinsoku w:val="0"/>
              <w:overflowPunct w:val="0"/>
              <w:spacing w:before="41"/>
              <w:ind w:right="1"/>
              <w:jc w:val="center"/>
              <w:rPr>
                <w:rFonts w:hint="default" w:ascii="Times New Roman" w:eastAsia="Times New Roman"/>
                <w:color w:val="auto"/>
              </w:rPr>
            </w:pPr>
            <w:r>
              <w:rPr>
                <w:rFonts w:cs="宋体"/>
                <w:b/>
                <w:color w:val="auto"/>
              </w:rPr>
              <w:t>内容</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417C0983">
            <w:pPr>
              <w:pStyle w:val="25"/>
              <w:keepNext w:val="0"/>
              <w:keepLines w:val="0"/>
              <w:pageBreakBefore w:val="0"/>
              <w:widowControl w:val="0"/>
              <w:kinsoku w:val="0"/>
              <w:wordWrap/>
              <w:overflowPunct w:val="0"/>
              <w:topLinePunct w:val="0"/>
              <w:autoSpaceDE w:val="0"/>
              <w:autoSpaceDN w:val="0"/>
              <w:bidi w:val="0"/>
              <w:adjustRightInd w:val="0"/>
              <w:ind w:left="0" w:right="0"/>
              <w:jc w:val="center"/>
              <w:textAlignment w:val="auto"/>
              <w:rPr>
                <w:rFonts w:hint="default" w:ascii="Times New Roman" w:eastAsia="Times New Roman"/>
                <w:color w:val="auto"/>
              </w:rPr>
            </w:pPr>
            <w:r>
              <w:rPr>
                <w:rFonts w:cs="宋体"/>
                <w:b/>
                <w:color w:val="auto"/>
              </w:rPr>
              <w:t>说明与要求</w:t>
            </w:r>
          </w:p>
        </w:tc>
      </w:tr>
      <w:tr w14:paraId="79725E74">
        <w:tblPrEx>
          <w:tblCellMar>
            <w:top w:w="0" w:type="dxa"/>
            <w:left w:w="0" w:type="dxa"/>
            <w:bottom w:w="0" w:type="dxa"/>
            <w:right w:w="0" w:type="dxa"/>
          </w:tblCellMar>
        </w:tblPrEx>
        <w:trPr>
          <w:trHeight w:val="601"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553BA9C0">
            <w:pPr>
              <w:pStyle w:val="25"/>
              <w:kinsoku w:val="0"/>
              <w:overflowPunct w:val="0"/>
              <w:spacing w:before="41"/>
              <w:jc w:val="center"/>
              <w:rPr>
                <w:rFonts w:hint="default" w:ascii="Times New Roman" w:eastAsia="Times New Roman"/>
                <w:color w:val="auto"/>
              </w:rPr>
            </w:pPr>
            <w:r>
              <w:rPr>
                <w:rFonts w:cs="宋体"/>
                <w:b/>
                <w:color w:val="auto"/>
                <w:w w:val="99"/>
              </w:rPr>
              <w:t>1</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8C11612">
            <w:pPr>
              <w:pStyle w:val="25"/>
              <w:kinsoku w:val="0"/>
              <w:overflowPunct w:val="0"/>
              <w:spacing w:before="41"/>
              <w:jc w:val="center"/>
              <w:rPr>
                <w:rFonts w:hint="default" w:ascii="Times New Roman" w:eastAsia="Times New Roman"/>
                <w:color w:val="auto"/>
              </w:rPr>
            </w:pPr>
            <w:r>
              <w:rPr>
                <w:rFonts w:cs="宋体"/>
                <w:b/>
                <w:color w:val="auto"/>
              </w:rPr>
              <w:t>项目名称</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4A95B07B">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rPr>
            </w:pPr>
            <w:r>
              <w:rPr>
                <w:rFonts w:hint="eastAsia" w:cs="宋体"/>
                <w:color w:val="auto"/>
                <w:lang w:eastAsia="zh-CN"/>
              </w:rPr>
              <w:t>尼勒克县人民医院血液透析机采购项目</w:t>
            </w:r>
            <w:r>
              <w:rPr>
                <w:rFonts w:cs="宋体"/>
                <w:color w:val="auto"/>
              </w:rPr>
              <w:t xml:space="preserve"> </w:t>
            </w:r>
          </w:p>
        </w:tc>
      </w:tr>
      <w:tr w14:paraId="29D791B4">
        <w:tblPrEx>
          <w:tblCellMar>
            <w:top w:w="0" w:type="dxa"/>
            <w:left w:w="0" w:type="dxa"/>
            <w:bottom w:w="0" w:type="dxa"/>
            <w:right w:w="0" w:type="dxa"/>
          </w:tblCellMar>
        </w:tblPrEx>
        <w:trPr>
          <w:trHeight w:val="1275"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286EE814">
            <w:pPr>
              <w:pStyle w:val="25"/>
              <w:kinsoku w:val="0"/>
              <w:overflowPunct w:val="0"/>
              <w:jc w:val="center"/>
              <w:rPr>
                <w:rFonts w:hint="default" w:cs="宋体"/>
                <w:b/>
                <w:color w:val="auto"/>
              </w:rPr>
            </w:pPr>
          </w:p>
          <w:p w14:paraId="00897111">
            <w:pPr>
              <w:pStyle w:val="25"/>
              <w:kinsoku w:val="0"/>
              <w:overflowPunct w:val="0"/>
              <w:jc w:val="center"/>
              <w:rPr>
                <w:rFonts w:hint="default" w:ascii="Times New Roman" w:eastAsia="Times New Roman"/>
                <w:color w:val="auto"/>
              </w:rPr>
            </w:pPr>
            <w:r>
              <w:rPr>
                <w:rFonts w:cs="宋体"/>
                <w:b/>
                <w:color w:val="auto"/>
                <w:w w:val="99"/>
              </w:rPr>
              <w:t>2</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5F3C225">
            <w:pPr>
              <w:pStyle w:val="25"/>
              <w:kinsoku w:val="0"/>
              <w:overflowPunct w:val="0"/>
              <w:ind w:right="1"/>
              <w:jc w:val="center"/>
              <w:rPr>
                <w:rFonts w:hint="default" w:ascii="Times New Roman" w:eastAsia="Times New Roman"/>
                <w:color w:val="auto"/>
              </w:rPr>
            </w:pPr>
            <w:r>
              <w:rPr>
                <w:rFonts w:cs="宋体"/>
                <w:b/>
                <w:color w:val="auto"/>
              </w:rPr>
              <w:t>采购人</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3DF4914A">
            <w:pPr>
              <w:keepNext w:val="0"/>
              <w:keepLines w:val="0"/>
              <w:pageBreakBefore w:val="0"/>
              <w:widowControl w:val="0"/>
              <w:wordWrap/>
              <w:topLinePunct w:val="0"/>
              <w:autoSpaceDE w:val="0"/>
              <w:autoSpaceDN w:val="0"/>
              <w:bidi w:val="0"/>
              <w:adjustRightInd w:val="0"/>
              <w:ind w:left="0" w:right="0"/>
              <w:textAlignment w:val="auto"/>
              <w:rPr>
                <w:rFonts w:hint="default" w:ascii="Times New Roman" w:eastAsia="Times New Roman"/>
                <w:color w:val="auto"/>
              </w:rPr>
            </w:pPr>
            <w:r>
              <w:rPr>
                <w:color w:val="auto"/>
              </w:rPr>
              <w:t>名称：</w:t>
            </w:r>
            <w:r>
              <w:rPr>
                <w:rFonts w:hint="eastAsia"/>
                <w:color w:val="auto"/>
                <w:lang w:eastAsia="zh-CN"/>
              </w:rPr>
              <w:t>尼勒克县人民医院</w:t>
            </w:r>
            <w:r>
              <w:rPr>
                <w:color w:val="auto"/>
              </w:rPr>
              <w:t xml:space="preserve">  </w:t>
            </w:r>
          </w:p>
          <w:p w14:paraId="4540D161">
            <w:pPr>
              <w:keepNext w:val="0"/>
              <w:keepLines w:val="0"/>
              <w:pageBreakBefore w:val="0"/>
              <w:widowControl w:val="0"/>
              <w:wordWrap/>
              <w:topLinePunct w:val="0"/>
              <w:autoSpaceDE w:val="0"/>
              <w:autoSpaceDN w:val="0"/>
              <w:bidi w:val="0"/>
              <w:adjustRightInd w:val="0"/>
              <w:ind w:left="0" w:right="0"/>
              <w:textAlignment w:val="auto"/>
              <w:rPr>
                <w:rFonts w:hint="default" w:ascii="Times New Roman" w:eastAsia="Times New Roman"/>
                <w:color w:val="auto"/>
              </w:rPr>
            </w:pPr>
            <w:r>
              <w:rPr>
                <w:color w:val="auto"/>
              </w:rPr>
              <w:t>地址：</w:t>
            </w:r>
            <w:r>
              <w:rPr>
                <w:rFonts w:hint="eastAsia"/>
                <w:color w:val="auto"/>
              </w:rPr>
              <w:t>尼勒克县城镇健康路12号</w:t>
            </w:r>
          </w:p>
          <w:p w14:paraId="68551944">
            <w:pPr>
              <w:keepNext w:val="0"/>
              <w:keepLines w:val="0"/>
              <w:pageBreakBefore w:val="0"/>
              <w:widowControl w:val="0"/>
              <w:wordWrap/>
              <w:topLinePunct w:val="0"/>
              <w:autoSpaceDE w:val="0"/>
              <w:autoSpaceDN w:val="0"/>
              <w:bidi w:val="0"/>
              <w:adjustRightInd w:val="0"/>
              <w:ind w:left="0" w:right="0"/>
              <w:textAlignment w:val="auto"/>
              <w:rPr>
                <w:rFonts w:hint="default"/>
                <w:color w:val="auto"/>
              </w:rPr>
            </w:pPr>
            <w:r>
              <w:rPr>
                <w:color w:val="auto"/>
              </w:rPr>
              <w:t>联系人：刘晓燕</w:t>
            </w:r>
          </w:p>
          <w:p w14:paraId="6C06F3FD">
            <w:pPr>
              <w:keepNext w:val="0"/>
              <w:keepLines w:val="0"/>
              <w:pageBreakBefore w:val="0"/>
              <w:widowControl w:val="0"/>
              <w:wordWrap/>
              <w:topLinePunct w:val="0"/>
              <w:autoSpaceDE w:val="0"/>
              <w:autoSpaceDN w:val="0"/>
              <w:bidi w:val="0"/>
              <w:adjustRightInd w:val="0"/>
              <w:ind w:left="0" w:right="0"/>
              <w:textAlignment w:val="auto"/>
              <w:rPr>
                <w:rFonts w:hint="default"/>
                <w:color w:val="auto"/>
              </w:rPr>
            </w:pPr>
            <w:r>
              <w:rPr>
                <w:color w:val="auto"/>
              </w:rPr>
              <w:t>联系电话：0999-4639238</w:t>
            </w:r>
          </w:p>
        </w:tc>
      </w:tr>
      <w:tr w14:paraId="2663B81E">
        <w:tblPrEx>
          <w:tblCellMar>
            <w:top w:w="0" w:type="dxa"/>
            <w:left w:w="0" w:type="dxa"/>
            <w:bottom w:w="0" w:type="dxa"/>
            <w:right w:w="0" w:type="dxa"/>
          </w:tblCellMar>
        </w:tblPrEx>
        <w:trPr>
          <w:trHeight w:val="1789"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533B5A9F">
            <w:pPr>
              <w:pStyle w:val="25"/>
              <w:kinsoku w:val="0"/>
              <w:overflowPunct w:val="0"/>
              <w:spacing w:before="8"/>
              <w:jc w:val="center"/>
              <w:rPr>
                <w:rFonts w:hint="default" w:cs="宋体"/>
                <w:b/>
                <w:color w:val="auto"/>
                <w:sz w:val="26"/>
                <w:szCs w:val="26"/>
              </w:rPr>
            </w:pPr>
          </w:p>
          <w:p w14:paraId="46FC2A31">
            <w:pPr>
              <w:pStyle w:val="25"/>
              <w:kinsoku w:val="0"/>
              <w:overflowPunct w:val="0"/>
              <w:jc w:val="center"/>
              <w:rPr>
                <w:rFonts w:hint="default" w:ascii="Times New Roman" w:eastAsia="Times New Roman"/>
                <w:color w:val="auto"/>
              </w:rPr>
            </w:pPr>
            <w:r>
              <w:rPr>
                <w:rFonts w:cs="宋体"/>
                <w:b/>
                <w:color w:val="auto"/>
                <w:w w:val="99"/>
              </w:rPr>
              <w:t>3</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BDB0D65">
            <w:pPr>
              <w:pStyle w:val="25"/>
              <w:kinsoku w:val="0"/>
              <w:overflowPunct w:val="0"/>
              <w:ind w:left="604"/>
              <w:jc w:val="center"/>
              <w:rPr>
                <w:rFonts w:hint="default" w:cs="宋体"/>
                <w:b/>
                <w:color w:val="auto"/>
              </w:rPr>
            </w:pPr>
          </w:p>
          <w:p w14:paraId="01F2480D">
            <w:pPr>
              <w:pStyle w:val="25"/>
              <w:kinsoku w:val="0"/>
              <w:overflowPunct w:val="0"/>
              <w:jc w:val="center"/>
              <w:rPr>
                <w:rFonts w:hint="default" w:ascii="Times New Roman" w:eastAsia="Times New Roman"/>
                <w:color w:val="auto"/>
              </w:rPr>
            </w:pPr>
            <w:r>
              <w:rPr>
                <w:rFonts w:cs="宋体"/>
                <w:b/>
                <w:color w:val="auto"/>
              </w:rPr>
              <w:t>采购代理机构</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206B2B9E">
            <w:pPr>
              <w:keepNext w:val="0"/>
              <w:keepLines w:val="0"/>
              <w:pageBreakBefore w:val="0"/>
              <w:widowControl w:val="0"/>
              <w:wordWrap/>
              <w:topLinePunct w:val="0"/>
              <w:autoSpaceDE w:val="0"/>
              <w:autoSpaceDN w:val="0"/>
              <w:bidi w:val="0"/>
              <w:adjustRightInd w:val="0"/>
              <w:ind w:left="0" w:right="0"/>
              <w:textAlignment w:val="auto"/>
              <w:rPr>
                <w:rFonts w:hint="default" w:ascii="Times New Roman" w:eastAsia="Times New Roman"/>
                <w:color w:val="auto"/>
              </w:rPr>
            </w:pPr>
            <w:r>
              <w:rPr>
                <w:color w:val="auto"/>
              </w:rPr>
              <w:t>名称：</w:t>
            </w:r>
            <w:r>
              <w:rPr>
                <w:rFonts w:hint="eastAsia"/>
                <w:color w:val="auto"/>
                <w:lang w:eastAsia="zh-CN"/>
              </w:rPr>
              <w:t>新疆崇途工程项目管理有限公司</w:t>
            </w:r>
            <w:r>
              <w:rPr>
                <w:rFonts w:ascii="Times New Roman" w:eastAsia="Times New Roman"/>
                <w:color w:val="auto"/>
              </w:rPr>
              <w:t xml:space="preserve"> </w:t>
            </w:r>
          </w:p>
          <w:p w14:paraId="03D97D46">
            <w:pPr>
              <w:keepNext w:val="0"/>
              <w:keepLines w:val="0"/>
              <w:pageBreakBefore w:val="0"/>
              <w:widowControl w:val="0"/>
              <w:wordWrap/>
              <w:topLinePunct w:val="0"/>
              <w:autoSpaceDE w:val="0"/>
              <w:autoSpaceDN w:val="0"/>
              <w:bidi w:val="0"/>
              <w:adjustRightInd w:val="0"/>
              <w:ind w:left="0" w:right="0"/>
              <w:textAlignment w:val="auto"/>
              <w:rPr>
                <w:rFonts w:hint="eastAsia" w:ascii="Times New Roman" w:eastAsia="宋体"/>
                <w:color w:val="auto"/>
                <w:lang w:eastAsia="zh-CN"/>
              </w:rPr>
            </w:pPr>
            <w:r>
              <w:rPr>
                <w:color w:val="auto"/>
              </w:rPr>
              <w:t>地址：</w:t>
            </w:r>
            <w:r>
              <w:rPr>
                <w:rFonts w:hint="eastAsia"/>
                <w:color w:val="auto"/>
                <w:lang w:eastAsia="zh-CN"/>
              </w:rPr>
              <w:t>新疆伊犁哈萨克自治州伊宁市解放西路273号伊犁路政海事小区综合楼245号</w:t>
            </w:r>
          </w:p>
          <w:p w14:paraId="0672A7DF">
            <w:pPr>
              <w:keepNext w:val="0"/>
              <w:keepLines w:val="0"/>
              <w:pageBreakBefore w:val="0"/>
              <w:widowControl w:val="0"/>
              <w:wordWrap/>
              <w:topLinePunct w:val="0"/>
              <w:autoSpaceDE w:val="0"/>
              <w:autoSpaceDN w:val="0"/>
              <w:bidi w:val="0"/>
              <w:adjustRightInd w:val="0"/>
              <w:ind w:left="0" w:right="0"/>
              <w:textAlignment w:val="auto"/>
              <w:rPr>
                <w:rFonts w:hint="eastAsia" w:ascii="Times New Roman" w:eastAsia="宋体"/>
                <w:color w:val="auto"/>
                <w:lang w:eastAsia="zh-CN"/>
              </w:rPr>
            </w:pPr>
            <w:r>
              <w:rPr>
                <w:color w:val="auto"/>
              </w:rPr>
              <w:t>联系人：</w:t>
            </w:r>
            <w:r>
              <w:rPr>
                <w:rFonts w:hint="eastAsia"/>
                <w:color w:val="auto"/>
                <w:lang w:eastAsia="zh-CN"/>
              </w:rPr>
              <w:t>淡家乐</w:t>
            </w:r>
          </w:p>
          <w:p w14:paraId="61CB75BC">
            <w:pPr>
              <w:keepNext w:val="0"/>
              <w:keepLines w:val="0"/>
              <w:pageBreakBefore w:val="0"/>
              <w:widowControl w:val="0"/>
              <w:wordWrap/>
              <w:topLinePunct w:val="0"/>
              <w:autoSpaceDE w:val="0"/>
              <w:autoSpaceDN w:val="0"/>
              <w:bidi w:val="0"/>
              <w:adjustRightInd w:val="0"/>
              <w:ind w:left="0" w:right="0"/>
              <w:textAlignment w:val="auto"/>
              <w:rPr>
                <w:rFonts w:hint="eastAsia" w:ascii="Times New Roman" w:eastAsia="宋体"/>
                <w:color w:val="auto"/>
                <w:lang w:eastAsia="zh-CN"/>
              </w:rPr>
            </w:pPr>
            <w:r>
              <w:rPr>
                <w:color w:val="auto"/>
              </w:rPr>
              <w:t>联系电话：</w:t>
            </w:r>
            <w:r>
              <w:rPr>
                <w:rFonts w:hint="eastAsia" w:ascii="Times New Roman" w:eastAsia="宋体"/>
                <w:color w:val="auto"/>
                <w:lang w:eastAsia="zh-CN"/>
              </w:rPr>
              <w:t>19990999923</w:t>
            </w:r>
          </w:p>
        </w:tc>
      </w:tr>
      <w:tr w14:paraId="0D0C3F88">
        <w:tblPrEx>
          <w:tblCellMar>
            <w:top w:w="0" w:type="dxa"/>
            <w:left w:w="0" w:type="dxa"/>
            <w:bottom w:w="0" w:type="dxa"/>
            <w:right w:w="0" w:type="dxa"/>
          </w:tblCellMar>
        </w:tblPrEx>
        <w:trPr>
          <w:trHeight w:val="951"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221E6079">
            <w:pPr>
              <w:pStyle w:val="25"/>
              <w:kinsoku w:val="0"/>
              <w:overflowPunct w:val="0"/>
              <w:spacing w:before="40"/>
              <w:jc w:val="center"/>
              <w:rPr>
                <w:rFonts w:hint="default" w:ascii="Times New Roman" w:eastAsia="Times New Roman"/>
                <w:color w:val="auto"/>
              </w:rPr>
            </w:pPr>
            <w:r>
              <w:rPr>
                <w:rFonts w:cs="宋体"/>
                <w:b/>
                <w:color w:val="auto"/>
                <w:w w:val="99"/>
              </w:rPr>
              <w:t>4</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5B51438">
            <w:pPr>
              <w:pStyle w:val="25"/>
              <w:kinsoku w:val="0"/>
              <w:overflowPunct w:val="0"/>
              <w:spacing w:before="40"/>
              <w:jc w:val="center"/>
              <w:rPr>
                <w:rFonts w:hint="default" w:ascii="Times New Roman" w:eastAsia="Times New Roman"/>
                <w:color w:val="000000" w:themeColor="text1"/>
                <w14:textFill>
                  <w14:solidFill>
                    <w14:schemeClr w14:val="tx1"/>
                  </w14:solidFill>
                </w14:textFill>
              </w:rPr>
            </w:pPr>
            <w:r>
              <w:rPr>
                <w:rFonts w:cs="宋体"/>
                <w:b/>
                <w:color w:val="000000" w:themeColor="text1"/>
                <w14:textFill>
                  <w14:solidFill>
                    <w14:schemeClr w14:val="tx1"/>
                  </w14:solidFill>
                </w14:textFill>
              </w:rPr>
              <w:t>采购内容</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6D22C891">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采购血液透析机（单泵）四台、血液透析机（双泵）一台及血液透析用制水设备一台（具体详见招标文件采购需求）</w:t>
            </w:r>
          </w:p>
        </w:tc>
      </w:tr>
      <w:tr w14:paraId="5CA5D2F7">
        <w:tblPrEx>
          <w:tblCellMar>
            <w:top w:w="0" w:type="dxa"/>
            <w:left w:w="0" w:type="dxa"/>
            <w:bottom w:w="0" w:type="dxa"/>
            <w:right w:w="0" w:type="dxa"/>
          </w:tblCellMar>
        </w:tblPrEx>
        <w:trPr>
          <w:trHeight w:val="6600"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3670902D">
            <w:pPr>
              <w:pStyle w:val="25"/>
              <w:kinsoku w:val="0"/>
              <w:overflowPunct w:val="0"/>
              <w:jc w:val="center"/>
              <w:rPr>
                <w:rFonts w:hint="default" w:ascii="Times New Roman" w:eastAsia="Times New Roman"/>
                <w:color w:val="auto"/>
              </w:rPr>
            </w:pPr>
            <w:r>
              <w:rPr>
                <w:rFonts w:cs="宋体"/>
                <w:b/>
                <w:color w:val="auto"/>
                <w:w w:val="99"/>
              </w:rPr>
              <w:t>5</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86E6C66">
            <w:pPr>
              <w:pStyle w:val="25"/>
              <w:kinsoku w:val="0"/>
              <w:overflowPunct w:val="0"/>
              <w:jc w:val="center"/>
              <w:rPr>
                <w:rFonts w:hint="default" w:ascii="Times New Roman" w:eastAsia="Times New Roman"/>
                <w:color w:val="auto"/>
              </w:rPr>
            </w:pPr>
            <w:r>
              <w:rPr>
                <w:rFonts w:cs="宋体"/>
                <w:color w:val="auto"/>
                <w:sz w:val="21"/>
                <w:szCs w:val="21"/>
              </w:rPr>
              <w:t>★</w:t>
            </w:r>
            <w:r>
              <w:rPr>
                <w:rFonts w:hint="eastAsia" w:cs="宋体"/>
                <w:b/>
                <w:color w:val="auto"/>
                <w:lang w:eastAsia="zh-CN"/>
              </w:rPr>
              <w:t>供应商</w:t>
            </w:r>
            <w:r>
              <w:rPr>
                <w:rFonts w:cs="宋体"/>
                <w:b/>
                <w:color w:val="auto"/>
              </w:rPr>
              <w:t>资格要求</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0DF4E450">
            <w:pPr>
              <w:pStyle w:val="25"/>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textAlignment w:val="auto"/>
              <w:rPr>
                <w:rFonts w:cs="宋体"/>
                <w:color w:val="auto"/>
                <w:spacing w:val="-1"/>
              </w:rPr>
            </w:pPr>
            <w:r>
              <w:rPr>
                <w:rFonts w:cs="宋体"/>
                <w:color w:val="auto"/>
                <w:spacing w:val="-1"/>
              </w:rPr>
              <w:t>(1)符合《中华人民共和国政府采购法》第二十二条规定条件，并提供《中华人民共和国政府采购法实施条例》第十七条规定提供的证明材料；</w:t>
            </w:r>
          </w:p>
          <w:p w14:paraId="19CAD5FB">
            <w:pPr>
              <w:pStyle w:val="25"/>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textAlignment w:val="auto"/>
              <w:rPr>
                <w:rFonts w:hint="default" w:cs="宋体"/>
                <w:color w:val="auto"/>
                <w:spacing w:val="-1"/>
              </w:rPr>
            </w:pPr>
            <w:r>
              <w:rPr>
                <w:rFonts w:cs="宋体"/>
                <w:color w:val="auto"/>
                <w:spacing w:val="-1"/>
              </w:rPr>
              <w:t>①具有独立承担民事责任的能力；</w:t>
            </w:r>
          </w:p>
          <w:p w14:paraId="1264F56F">
            <w:pPr>
              <w:pStyle w:val="25"/>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textAlignment w:val="auto"/>
              <w:rPr>
                <w:rFonts w:hint="default" w:cs="宋体"/>
                <w:color w:val="auto"/>
                <w:spacing w:val="-1"/>
              </w:rPr>
            </w:pPr>
            <w:r>
              <w:rPr>
                <w:rFonts w:cs="宋体"/>
                <w:color w:val="auto"/>
                <w:spacing w:val="-1"/>
              </w:rPr>
              <w:t>②具有良好的商业信誉和健全的财务会计制度；</w:t>
            </w:r>
          </w:p>
          <w:p w14:paraId="1E1C7AF3">
            <w:pPr>
              <w:pStyle w:val="25"/>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textAlignment w:val="auto"/>
              <w:rPr>
                <w:rFonts w:hint="default" w:cs="宋体"/>
                <w:color w:val="auto"/>
                <w:spacing w:val="-1"/>
              </w:rPr>
            </w:pPr>
            <w:r>
              <w:rPr>
                <w:rFonts w:cs="宋体"/>
                <w:color w:val="auto"/>
                <w:spacing w:val="-1"/>
              </w:rPr>
              <w:t>③具有履行合同所必需的设备和专业技术能力；</w:t>
            </w:r>
          </w:p>
          <w:p w14:paraId="0539BB7B">
            <w:pPr>
              <w:pStyle w:val="25"/>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textAlignment w:val="auto"/>
              <w:rPr>
                <w:rFonts w:hint="default" w:cs="宋体"/>
                <w:color w:val="auto"/>
                <w:spacing w:val="-1"/>
              </w:rPr>
            </w:pPr>
            <w:r>
              <w:rPr>
                <w:rFonts w:cs="宋体"/>
                <w:color w:val="auto"/>
                <w:spacing w:val="-1"/>
              </w:rPr>
              <w:t>④有依法缴纳税收和社会保障资金的良好记录；</w:t>
            </w:r>
          </w:p>
          <w:p w14:paraId="759A9645">
            <w:pPr>
              <w:pStyle w:val="25"/>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textAlignment w:val="auto"/>
              <w:rPr>
                <w:rFonts w:hint="default" w:cs="宋体"/>
                <w:color w:val="auto"/>
                <w:spacing w:val="-1"/>
              </w:rPr>
            </w:pPr>
            <w:r>
              <w:rPr>
                <w:rFonts w:cs="宋体"/>
                <w:color w:val="auto"/>
                <w:spacing w:val="-1"/>
              </w:rPr>
              <w:t>⑤参加招标采购活动前三年内，在经营活动中没有重大违法记录；</w:t>
            </w:r>
          </w:p>
          <w:p w14:paraId="15E9A266">
            <w:pPr>
              <w:pStyle w:val="25"/>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textAlignment w:val="auto"/>
              <w:rPr>
                <w:rFonts w:hint="default" w:cs="宋体"/>
                <w:color w:val="auto"/>
                <w:spacing w:val="-1"/>
              </w:rPr>
            </w:pPr>
            <w:r>
              <w:rPr>
                <w:rFonts w:cs="宋体"/>
                <w:color w:val="auto"/>
                <w:spacing w:val="-1"/>
              </w:rPr>
              <w:t>⑥法律、行政法规规定的其他条件。</w:t>
            </w:r>
          </w:p>
          <w:p w14:paraId="43C4367E">
            <w:pPr>
              <w:pStyle w:val="25"/>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textAlignment w:val="auto"/>
              <w:rPr>
                <w:rFonts w:cs="宋体"/>
                <w:color w:val="auto"/>
                <w:spacing w:val="-1"/>
              </w:rPr>
            </w:pPr>
            <w:r>
              <w:rPr>
                <w:rFonts w:cs="宋体"/>
                <w:color w:val="auto"/>
                <w:spacing w:val="-1"/>
              </w:rPr>
              <w:t>（2）</w:t>
            </w:r>
            <w:r>
              <w:rPr>
                <w:rFonts w:hint="eastAsia" w:cs="宋体"/>
                <w:color w:val="auto"/>
                <w:spacing w:val="-1"/>
              </w:rPr>
              <w:t>落实政府采购政策需满足的资格要求：无</w:t>
            </w:r>
          </w:p>
          <w:p w14:paraId="452B63EE">
            <w:pPr>
              <w:pStyle w:val="25"/>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textAlignment w:val="auto"/>
              <w:rPr>
                <w:rFonts w:hint="eastAsia" w:ascii="Times New Roman" w:eastAsia="宋体"/>
                <w:color w:val="auto"/>
                <w:lang w:eastAsia="zh-CN"/>
              </w:rPr>
            </w:pPr>
            <w:r>
              <w:rPr>
                <w:rFonts w:cs="宋体"/>
                <w:color w:val="auto"/>
                <w:spacing w:val="-1"/>
              </w:rPr>
              <w:t>（</w:t>
            </w:r>
            <w:r>
              <w:rPr>
                <w:rFonts w:hint="eastAsia" w:cs="宋体"/>
                <w:color w:val="auto"/>
                <w:spacing w:val="-1"/>
                <w:lang w:val="en-US" w:eastAsia="zh-CN"/>
              </w:rPr>
              <w:t>3</w:t>
            </w:r>
            <w:r>
              <w:rPr>
                <w:rFonts w:cs="宋体"/>
                <w:color w:val="auto"/>
                <w:spacing w:val="-1"/>
              </w:rPr>
              <w:t>）本项目的特定资格要求：</w:t>
            </w:r>
            <w:r>
              <w:rPr>
                <w:rFonts w:hint="eastAsia" w:cs="宋体"/>
                <w:color w:val="auto"/>
                <w:spacing w:val="-1"/>
                <w:lang w:eastAsia="zh-CN"/>
              </w:rPr>
              <w:t>供应商具有《医疗器械生产许可证》或《医疗器械经营许可证》，所投产品属于医疗器械管理的产品需根据《医疗器械监督管理条例》（国务院令第650号）有关内容办理医疗器械产品注册或备案。</w:t>
            </w:r>
          </w:p>
        </w:tc>
      </w:tr>
      <w:tr w14:paraId="7B4C6FFE">
        <w:tblPrEx>
          <w:tblCellMar>
            <w:top w:w="0" w:type="dxa"/>
            <w:left w:w="0" w:type="dxa"/>
            <w:bottom w:w="0" w:type="dxa"/>
            <w:right w:w="0" w:type="dxa"/>
          </w:tblCellMar>
        </w:tblPrEx>
        <w:trPr>
          <w:trHeight w:val="1389" w:hRule="exact"/>
          <w:tblHeader/>
          <w:jc w:val="center"/>
        </w:trPr>
        <w:tc>
          <w:tcPr>
            <w:tcW w:w="250" w:type="pct"/>
            <w:vMerge w:val="restart"/>
            <w:tcBorders>
              <w:top w:val="single" w:color="000000" w:sz="4" w:space="0"/>
              <w:left w:val="single" w:color="000000" w:sz="4" w:space="0"/>
              <w:right w:val="single" w:color="000000" w:sz="4" w:space="0"/>
              <w:tl2br w:val="nil"/>
              <w:tr2bl w:val="nil"/>
            </w:tcBorders>
            <w:vAlign w:val="center"/>
          </w:tcPr>
          <w:p w14:paraId="0417E377">
            <w:pPr>
              <w:pStyle w:val="25"/>
              <w:kinsoku w:val="0"/>
              <w:overflowPunct w:val="0"/>
              <w:spacing w:line="240" w:lineRule="auto"/>
              <w:jc w:val="center"/>
              <w:rPr>
                <w:rFonts w:hint="default" w:ascii="Times New Roman" w:eastAsia="Times New Roman"/>
                <w:color w:val="auto"/>
              </w:rPr>
            </w:pPr>
            <w:r>
              <w:rPr>
                <w:rFonts w:cs="宋体"/>
                <w:b/>
                <w:color w:val="auto"/>
                <w:w w:val="99"/>
              </w:rPr>
              <w:t>6</w:t>
            </w:r>
          </w:p>
        </w:tc>
        <w:tc>
          <w:tcPr>
            <w:tcW w:w="478" w:type="pct"/>
            <w:vMerge w:val="restart"/>
            <w:tcBorders>
              <w:top w:val="single" w:color="000000" w:sz="4" w:space="0"/>
              <w:left w:val="single" w:color="000000" w:sz="4" w:space="0"/>
              <w:right w:val="single" w:color="000000" w:sz="4" w:space="0"/>
              <w:tl2br w:val="nil"/>
              <w:tr2bl w:val="nil"/>
            </w:tcBorders>
            <w:vAlign w:val="center"/>
          </w:tcPr>
          <w:p w14:paraId="63D82126">
            <w:pPr>
              <w:pStyle w:val="25"/>
              <w:kinsoku w:val="0"/>
              <w:overflowPunct w:val="0"/>
              <w:spacing w:before="41"/>
              <w:jc w:val="center"/>
              <w:rPr>
                <w:rFonts w:hint="default" w:ascii="Times New Roman" w:eastAsia="Times New Roman"/>
                <w:color w:val="auto"/>
              </w:rPr>
            </w:pPr>
            <w:r>
              <w:rPr>
                <w:rFonts w:cs="宋体"/>
                <w:b/>
                <w:color w:val="auto"/>
              </w:rPr>
              <w:t>投标文件的组成部分</w:t>
            </w:r>
          </w:p>
        </w:tc>
        <w:tc>
          <w:tcPr>
            <w:tcW w:w="467" w:type="pct"/>
            <w:tcBorders>
              <w:top w:val="single" w:color="000000" w:sz="4" w:space="0"/>
              <w:left w:val="single" w:color="000000" w:sz="4" w:space="0"/>
              <w:bottom w:val="single" w:color="000000" w:sz="4" w:space="0"/>
              <w:right w:val="single" w:color="000000" w:sz="4" w:space="0"/>
              <w:tl2br w:val="nil"/>
              <w:tr2bl w:val="nil"/>
            </w:tcBorders>
            <w:vAlign w:val="center"/>
          </w:tcPr>
          <w:p w14:paraId="6A441B02">
            <w:pPr>
              <w:pStyle w:val="25"/>
              <w:kinsoku w:val="0"/>
              <w:overflowPunct w:val="0"/>
              <w:spacing w:before="40" w:line="240" w:lineRule="auto"/>
              <w:ind w:left="281"/>
              <w:jc w:val="center"/>
              <w:rPr>
                <w:rFonts w:hint="default" w:ascii="Times New Roman" w:eastAsia="Times New Roman"/>
                <w:color w:val="auto"/>
              </w:rPr>
            </w:pPr>
            <w:r>
              <w:rPr>
                <w:rFonts w:cs="宋体"/>
                <w:b/>
                <w:color w:val="auto"/>
              </w:rPr>
              <w:t>封面</w:t>
            </w:r>
          </w:p>
        </w:tc>
        <w:tc>
          <w:tcPr>
            <w:tcW w:w="3803" w:type="pct"/>
            <w:tcBorders>
              <w:top w:val="single" w:color="000000" w:sz="4" w:space="0"/>
              <w:left w:val="single" w:color="000000" w:sz="4" w:space="0"/>
              <w:bottom w:val="single" w:color="000000" w:sz="4" w:space="0"/>
              <w:right w:val="single" w:color="000000" w:sz="4" w:space="0"/>
              <w:tl2br w:val="nil"/>
              <w:tr2bl w:val="nil"/>
            </w:tcBorders>
            <w:vAlign w:val="center"/>
          </w:tcPr>
          <w:p w14:paraId="62C41760">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jc w:val="both"/>
              <w:textAlignment w:val="auto"/>
              <w:rPr>
                <w:rFonts w:hint="default" w:ascii="Times New Roman" w:eastAsia="Times New Roman"/>
                <w:color w:val="auto"/>
              </w:rPr>
            </w:pPr>
            <w:r>
              <w:rPr>
                <w:rFonts w:cs="宋体"/>
                <w:color w:val="auto"/>
              </w:rPr>
              <w:t>(1)投标文件封面；</w:t>
            </w:r>
          </w:p>
        </w:tc>
      </w:tr>
      <w:tr w14:paraId="01370823">
        <w:tblPrEx>
          <w:tblCellMar>
            <w:top w:w="0" w:type="dxa"/>
            <w:left w:w="0" w:type="dxa"/>
            <w:bottom w:w="0" w:type="dxa"/>
            <w:right w:w="0" w:type="dxa"/>
          </w:tblCellMar>
        </w:tblPrEx>
        <w:trPr>
          <w:trHeight w:val="11665" w:hRule="exact"/>
          <w:tblHeader/>
          <w:jc w:val="center"/>
        </w:trPr>
        <w:tc>
          <w:tcPr>
            <w:tcW w:w="250" w:type="pct"/>
            <w:vMerge w:val="continue"/>
            <w:tcBorders>
              <w:left w:val="single" w:color="000000" w:sz="4" w:space="0"/>
              <w:right w:val="single" w:color="000000" w:sz="4" w:space="0"/>
              <w:tl2br w:val="nil"/>
              <w:tr2bl w:val="nil"/>
            </w:tcBorders>
            <w:vAlign w:val="top"/>
          </w:tcPr>
          <w:p w14:paraId="0E4B9F77">
            <w:pPr>
              <w:pStyle w:val="25"/>
              <w:kinsoku w:val="0"/>
              <w:overflowPunct w:val="0"/>
              <w:spacing w:before="40" w:line="240" w:lineRule="auto"/>
              <w:ind w:left="102"/>
              <w:rPr>
                <w:rFonts w:hint="default" w:ascii="Times New Roman" w:eastAsia="Times New Roman"/>
                <w:color w:val="auto"/>
              </w:rPr>
            </w:pPr>
          </w:p>
        </w:tc>
        <w:tc>
          <w:tcPr>
            <w:tcW w:w="478" w:type="pct"/>
            <w:vMerge w:val="continue"/>
            <w:tcBorders>
              <w:left w:val="single" w:color="000000" w:sz="4" w:space="0"/>
              <w:right w:val="single" w:color="000000" w:sz="4" w:space="0"/>
              <w:tl2br w:val="nil"/>
              <w:tr2bl w:val="nil"/>
            </w:tcBorders>
            <w:vAlign w:val="top"/>
          </w:tcPr>
          <w:p w14:paraId="5C0FC86B">
            <w:pPr>
              <w:pStyle w:val="25"/>
              <w:kinsoku w:val="0"/>
              <w:overflowPunct w:val="0"/>
              <w:spacing w:before="40" w:line="240" w:lineRule="auto"/>
              <w:ind w:left="102"/>
              <w:jc w:val="center"/>
              <w:rPr>
                <w:rFonts w:hint="default" w:ascii="Times New Roman" w:eastAsia="Times New Roman"/>
                <w:color w:val="auto"/>
              </w:rPr>
            </w:pPr>
          </w:p>
        </w:tc>
        <w:tc>
          <w:tcPr>
            <w:tcW w:w="467" w:type="pct"/>
            <w:tcBorders>
              <w:top w:val="single" w:color="000000" w:sz="4" w:space="0"/>
              <w:left w:val="single" w:color="000000" w:sz="4" w:space="0"/>
              <w:right w:val="single" w:color="000000" w:sz="4" w:space="0"/>
              <w:tl2br w:val="nil"/>
              <w:tr2bl w:val="nil"/>
            </w:tcBorders>
            <w:vAlign w:val="center"/>
          </w:tcPr>
          <w:p w14:paraId="44350CAD">
            <w:pPr>
              <w:pStyle w:val="25"/>
              <w:kinsoku w:val="0"/>
              <w:overflowPunct w:val="0"/>
              <w:spacing w:before="41"/>
              <w:jc w:val="center"/>
              <w:rPr>
                <w:rFonts w:hint="default" w:ascii="Times New Roman" w:eastAsia="Times New Roman"/>
                <w:color w:val="auto"/>
              </w:rPr>
            </w:pPr>
            <w:r>
              <w:rPr>
                <w:rFonts w:cs="宋体"/>
                <w:b/>
                <w:color w:val="auto"/>
              </w:rPr>
              <w:t>资格审 查材料</w:t>
            </w:r>
          </w:p>
        </w:tc>
        <w:tc>
          <w:tcPr>
            <w:tcW w:w="3803" w:type="pct"/>
            <w:tcBorders>
              <w:top w:val="single" w:color="000000" w:sz="4" w:space="0"/>
              <w:left w:val="single" w:color="000000" w:sz="4" w:space="0"/>
              <w:right w:val="single" w:color="000000" w:sz="4" w:space="0"/>
              <w:tl2br w:val="nil"/>
              <w:tr2bl w:val="nil"/>
            </w:tcBorders>
            <w:vAlign w:val="top"/>
          </w:tcPr>
          <w:p w14:paraId="62DB1127">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r>
              <w:rPr>
                <w:rFonts w:cs="宋体"/>
                <w:color w:val="auto"/>
              </w:rPr>
              <w:t>(2)</w:t>
            </w:r>
            <w:r>
              <w:rPr>
                <w:rFonts w:cs="宋体"/>
                <w:color w:val="auto"/>
                <w:sz w:val="21"/>
                <w:szCs w:val="21"/>
              </w:rPr>
              <w:t>★</w:t>
            </w:r>
            <w:r>
              <w:rPr>
                <w:rFonts w:cs="宋体"/>
                <w:color w:val="auto"/>
              </w:rPr>
              <w:t>营业执照；</w:t>
            </w:r>
          </w:p>
          <w:p w14:paraId="6026EA51">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r>
              <w:rPr>
                <w:rFonts w:cs="宋体"/>
                <w:color w:val="auto"/>
              </w:rPr>
              <w:t>备注：自然人无需提供</w:t>
            </w:r>
          </w:p>
          <w:p w14:paraId="153CA704">
            <w:pPr>
              <w:pStyle w:val="25"/>
              <w:keepNext w:val="0"/>
              <w:keepLines w:val="0"/>
              <w:pageBreakBefore w:val="0"/>
              <w:widowControl w:val="0"/>
              <w:numPr>
                <w:ilvl w:val="0"/>
                <w:numId w:val="0"/>
              </w:numPr>
              <w:kinsoku w:val="0"/>
              <w:wordWrap/>
              <w:overflowPunct w:val="0"/>
              <w:topLinePunct w:val="0"/>
              <w:autoSpaceDE w:val="0"/>
              <w:autoSpaceDN w:val="0"/>
              <w:bidi w:val="0"/>
              <w:adjustRightInd w:val="0"/>
              <w:spacing w:line="240" w:lineRule="auto"/>
              <w:ind w:left="0" w:leftChars="0" w:right="0" w:rightChars="0"/>
              <w:textAlignment w:val="auto"/>
              <w:rPr>
                <w:rFonts w:cs="宋体"/>
                <w:color w:val="auto"/>
              </w:rPr>
            </w:pPr>
            <w:r>
              <w:rPr>
                <w:rFonts w:hint="eastAsia" w:ascii="宋体" w:hAnsi="Times New Roman" w:eastAsia="宋体" w:cs="宋体"/>
                <w:color w:val="auto"/>
                <w:sz w:val="24"/>
                <w:szCs w:val="24"/>
                <w:lang w:val="en-US" w:eastAsia="zh-CN" w:bidi="ar-SA"/>
              </w:rPr>
              <w:t>(3)</w:t>
            </w:r>
            <w:r>
              <w:rPr>
                <w:rFonts w:cs="宋体"/>
                <w:color w:val="auto"/>
                <w:sz w:val="21"/>
                <w:szCs w:val="21"/>
              </w:rPr>
              <w:t>★</w:t>
            </w:r>
            <w:r>
              <w:rPr>
                <w:rFonts w:cs="宋体"/>
                <w:color w:val="auto"/>
              </w:rPr>
              <w:t>法定代表人身份证明及授权委托书；</w:t>
            </w:r>
          </w:p>
          <w:p w14:paraId="1C353792">
            <w:pPr>
              <w:pStyle w:val="25"/>
              <w:keepNext w:val="0"/>
              <w:keepLines w:val="0"/>
              <w:pageBreakBefore w:val="0"/>
              <w:widowControl w:val="0"/>
              <w:numPr>
                <w:ilvl w:val="0"/>
                <w:numId w:val="0"/>
              </w:numPr>
              <w:kinsoku w:val="0"/>
              <w:wordWrap/>
              <w:overflowPunct w:val="0"/>
              <w:topLinePunct w:val="0"/>
              <w:autoSpaceDE w:val="0"/>
              <w:autoSpaceDN w:val="0"/>
              <w:bidi w:val="0"/>
              <w:adjustRightInd w:val="0"/>
              <w:spacing w:line="240" w:lineRule="auto"/>
              <w:ind w:left="0" w:right="0" w:rightChars="0" w:firstLine="240" w:firstLineChars="100"/>
              <w:textAlignment w:val="auto"/>
              <w:rPr>
                <w:rFonts w:hint="default" w:cs="宋体"/>
                <w:color w:val="auto"/>
              </w:rPr>
            </w:pPr>
            <w:r>
              <w:rPr>
                <w:rFonts w:cs="宋体"/>
                <w:color w:val="auto"/>
              </w:rPr>
              <w:t xml:space="preserve">备注：自然人提供身份证明 </w:t>
            </w:r>
          </w:p>
          <w:p w14:paraId="59037576">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r>
              <w:rPr>
                <w:rFonts w:cs="宋体"/>
                <w:color w:val="auto"/>
              </w:rPr>
              <w:t>(4)</w:t>
            </w:r>
            <w:r>
              <w:rPr>
                <w:rFonts w:cs="宋体"/>
                <w:color w:val="auto"/>
                <w:sz w:val="21"/>
                <w:szCs w:val="21"/>
              </w:rPr>
              <w:t>★</w:t>
            </w:r>
            <w:r>
              <w:rPr>
                <w:rFonts w:cs="宋体"/>
                <w:color w:val="auto"/>
              </w:rPr>
              <w:t>投标保证金；</w:t>
            </w:r>
          </w:p>
          <w:p w14:paraId="184EF347">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eastAsia="宋体" w:cs="宋体"/>
                <w:color w:val="auto"/>
                <w:lang w:eastAsia="zh-CN"/>
              </w:rPr>
            </w:pPr>
            <w:r>
              <w:rPr>
                <w:rFonts w:cs="宋体"/>
                <w:color w:val="auto"/>
              </w:rPr>
              <w:t>(5)</w:t>
            </w:r>
            <w:r>
              <w:rPr>
                <w:rFonts w:cs="宋体"/>
                <w:color w:val="auto"/>
                <w:sz w:val="21"/>
                <w:szCs w:val="21"/>
              </w:rPr>
              <w:t>★</w:t>
            </w:r>
            <w:r>
              <w:rPr>
                <w:rFonts w:hint="eastAsia" w:cs="宋体"/>
                <w:color w:val="auto"/>
                <w:sz w:val="21"/>
                <w:szCs w:val="21"/>
              </w:rPr>
              <w:t>中小企业声明函</w:t>
            </w:r>
          </w:p>
          <w:p w14:paraId="1FE81605">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eastAsia="宋体" w:cs="宋体"/>
                <w:color w:val="auto"/>
                <w:lang w:val="en-US" w:eastAsia="zh-CN"/>
              </w:rPr>
            </w:pPr>
            <w:r>
              <w:rPr>
                <w:rFonts w:cs="宋体"/>
                <w:color w:val="auto"/>
              </w:rPr>
              <w:t>(</w:t>
            </w:r>
            <w:r>
              <w:rPr>
                <w:rFonts w:hint="eastAsia" w:cs="宋体"/>
                <w:color w:val="auto"/>
                <w:lang w:val="en-US" w:eastAsia="zh-CN"/>
              </w:rPr>
              <w:t>6</w:t>
            </w:r>
            <w:r>
              <w:rPr>
                <w:rFonts w:cs="宋体"/>
                <w:color w:val="auto"/>
              </w:rPr>
              <w:t>)供应商认为有必要提供的声明及文件资料：</w:t>
            </w:r>
          </w:p>
          <w:p w14:paraId="2E6EF77E">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r>
              <w:rPr>
                <w:rFonts w:cs="宋体"/>
                <w:color w:val="auto"/>
              </w:rPr>
              <w:t>(</w:t>
            </w:r>
            <w:r>
              <w:rPr>
                <w:rFonts w:hint="eastAsia" w:cs="宋体"/>
                <w:color w:val="auto"/>
                <w:lang w:val="en-US" w:eastAsia="zh-CN"/>
              </w:rPr>
              <w:t>7</w:t>
            </w:r>
            <w:r>
              <w:rPr>
                <w:rFonts w:cs="宋体"/>
                <w:color w:val="auto"/>
              </w:rPr>
              <w:t xml:space="preserve">) </w:t>
            </w:r>
            <w:r>
              <w:rPr>
                <w:rFonts w:cs="宋体"/>
                <w:color w:val="auto"/>
                <w:spacing w:val="-4"/>
                <w:sz w:val="21"/>
                <w:szCs w:val="21"/>
              </w:rPr>
              <w:t>★</w:t>
            </w:r>
            <w:r>
              <w:rPr>
                <w:rFonts w:cs="宋体"/>
                <w:color w:val="auto"/>
                <w:spacing w:val="-4"/>
              </w:rPr>
              <w:t>《中华人民共和国政府采购法》第二十二条应当具备</w:t>
            </w:r>
            <w:r>
              <w:rPr>
                <w:rFonts w:cs="宋体"/>
                <w:color w:val="auto"/>
                <w:spacing w:val="-115"/>
              </w:rPr>
              <w:t xml:space="preserve"> </w:t>
            </w:r>
            <w:r>
              <w:rPr>
                <w:rFonts w:cs="宋体"/>
                <w:color w:val="auto"/>
              </w:rPr>
              <w:t>的条件</w:t>
            </w:r>
            <w:r>
              <w:rPr>
                <w:rFonts w:hint="eastAsia" w:cs="宋体"/>
                <w:color w:val="auto"/>
                <w:lang w:eastAsia="zh-CN"/>
              </w:rPr>
              <w:t>，</w:t>
            </w:r>
            <w:r>
              <w:rPr>
                <w:rFonts w:cs="宋体"/>
                <w:color w:val="auto"/>
              </w:rPr>
              <w:t>并在投标文件中提供下列材料：</w:t>
            </w:r>
          </w:p>
          <w:p w14:paraId="65C15740">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bookmarkStart w:id="24" w:name="①具有独立承担民事责任的能力；"/>
            <w:bookmarkEnd w:id="24"/>
            <w:r>
              <w:rPr>
                <w:rFonts w:cs="宋体"/>
                <w:b/>
                <w:color w:val="auto"/>
              </w:rPr>
              <w:t>①具有独立承担民事责任的能力；</w:t>
            </w:r>
          </w:p>
          <w:p w14:paraId="25AC9455">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bookmarkStart w:id="25" w:name="（法人或者其他组织的营业执照等证明文件，自然人的身份证明）"/>
            <w:bookmarkEnd w:id="25"/>
            <w:r>
              <w:rPr>
                <w:rFonts w:cs="宋体"/>
                <w:color w:val="auto"/>
                <w:spacing w:val="-1"/>
              </w:rPr>
              <w:t>（法人或者其他组织的营业执照等证明文件，自然人的身</w:t>
            </w:r>
            <w:r>
              <w:rPr>
                <w:rFonts w:cs="宋体"/>
                <w:color w:val="auto"/>
                <w:spacing w:val="-108"/>
              </w:rPr>
              <w:t xml:space="preserve"> </w:t>
            </w:r>
            <w:r>
              <w:rPr>
                <w:rFonts w:cs="宋体"/>
                <w:color w:val="auto"/>
              </w:rPr>
              <w:t>份证明）</w:t>
            </w:r>
          </w:p>
          <w:p w14:paraId="4D4D3209">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spacing w:val="9"/>
              </w:rPr>
            </w:pPr>
            <w:bookmarkStart w:id="26" w:name="②具有良好的商业信誉和健全的财务会计制度；"/>
            <w:bookmarkEnd w:id="26"/>
            <w:r>
              <w:rPr>
                <w:rFonts w:cs="宋体"/>
                <w:b/>
                <w:color w:val="auto"/>
              </w:rPr>
              <w:t>②具有良好的商业信誉和健全的财务会计制度；</w:t>
            </w:r>
            <w:r>
              <w:rPr>
                <w:rFonts w:cs="宋体"/>
                <w:b/>
                <w:color w:val="auto"/>
                <w:w w:val="99"/>
              </w:rPr>
              <w:t xml:space="preserve"> </w:t>
            </w:r>
            <w:r>
              <w:rPr>
                <w:rFonts w:cs="宋体"/>
                <w:color w:val="auto"/>
                <w:spacing w:val="9"/>
              </w:rPr>
              <w:t>供应商是法人的应提供经审计的</w:t>
            </w:r>
            <w:r>
              <w:rPr>
                <w:rFonts w:hint="eastAsia" w:cs="宋体"/>
                <w:color w:val="auto"/>
                <w:spacing w:val="9"/>
                <w:lang w:val="en-US" w:eastAsia="zh-CN"/>
              </w:rPr>
              <w:t>2023</w:t>
            </w:r>
            <w:r>
              <w:rPr>
                <w:rFonts w:cs="宋体"/>
                <w:color w:val="auto"/>
                <w:spacing w:val="9"/>
              </w:rPr>
              <w:t>年度的财务报告。</w:t>
            </w:r>
          </w:p>
          <w:p w14:paraId="15F03C6C">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jc w:val="both"/>
              <w:textAlignment w:val="auto"/>
              <w:rPr>
                <w:rFonts w:hint="default" w:cs="宋体"/>
                <w:color w:val="auto"/>
              </w:rPr>
            </w:pPr>
            <w:r>
              <w:rPr>
                <w:rFonts w:cs="宋体"/>
                <w:color w:val="auto"/>
                <w:spacing w:val="9"/>
              </w:rPr>
              <w:t>（财务审计报告必须为第三方提供并加盖第三方公章的</w:t>
            </w:r>
            <w:r>
              <w:rPr>
                <w:rFonts w:cs="宋体"/>
                <w:color w:val="auto"/>
              </w:rPr>
              <w:t xml:space="preserve"> 完整版）或截止开标前</w:t>
            </w:r>
            <w:r>
              <w:rPr>
                <w:rFonts w:cs="宋体"/>
                <w:color w:val="auto"/>
                <w:spacing w:val="-67"/>
              </w:rPr>
              <w:t xml:space="preserve"> </w:t>
            </w:r>
            <w:r>
              <w:rPr>
                <w:rFonts w:cs="宋体"/>
                <w:color w:val="auto"/>
              </w:rPr>
              <w:t>1</w:t>
            </w:r>
            <w:r>
              <w:rPr>
                <w:rFonts w:cs="宋体"/>
                <w:color w:val="auto"/>
                <w:spacing w:val="-66"/>
              </w:rPr>
              <w:t xml:space="preserve"> </w:t>
            </w:r>
            <w:r>
              <w:rPr>
                <w:rFonts w:cs="宋体"/>
                <w:color w:val="auto"/>
              </w:rPr>
              <w:t>个月的基本开户银行出具的资信证明</w:t>
            </w:r>
            <w:r>
              <w:rPr>
                <w:rFonts w:hint="eastAsia" w:cs="宋体"/>
                <w:color w:val="auto"/>
              </w:rPr>
              <w:t>（抬头、格式不限，证明应能说明该</w:t>
            </w:r>
            <w:r>
              <w:rPr>
                <w:rFonts w:hint="eastAsia" w:cs="宋体"/>
                <w:color w:val="auto"/>
                <w:lang w:val="en-US" w:eastAsia="zh-CN"/>
              </w:rPr>
              <w:t>供应商</w:t>
            </w:r>
            <w:r>
              <w:rPr>
                <w:rFonts w:hint="eastAsia" w:cs="宋体"/>
                <w:color w:val="auto"/>
              </w:rPr>
              <w:t>与银行之间业务往来正常，无不良记录，企业信誉良好等。银行出具的存款证明不能作为银行资信证明）</w:t>
            </w:r>
            <w:r>
              <w:rPr>
                <w:rFonts w:cs="宋体"/>
                <w:color w:val="auto"/>
              </w:rPr>
              <w:t>；</w:t>
            </w:r>
          </w:p>
          <w:p w14:paraId="6EEDCFF9">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bookmarkStart w:id="27" w:name="③具有履行合同所必需的设备和专业技术能力；"/>
            <w:bookmarkEnd w:id="27"/>
            <w:r>
              <w:rPr>
                <w:rFonts w:cs="宋体"/>
                <w:b/>
                <w:color w:val="auto"/>
              </w:rPr>
              <w:t>③具有履行合同所必需的设备和专业技术能力；</w:t>
            </w:r>
          </w:p>
          <w:p w14:paraId="0ECB6656">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r>
              <w:rPr>
                <w:rFonts w:cs="宋体"/>
                <w:color w:val="auto"/>
                <w:spacing w:val="8"/>
              </w:rPr>
              <w:t>（提供具有履行合同所必需的设备和专业技术能力相关</w:t>
            </w:r>
            <w:r>
              <w:rPr>
                <w:rFonts w:cs="宋体"/>
                <w:color w:val="auto"/>
                <w:spacing w:val="-100"/>
              </w:rPr>
              <w:t xml:space="preserve"> </w:t>
            </w:r>
            <w:r>
              <w:rPr>
                <w:rFonts w:cs="宋体"/>
                <w:color w:val="auto"/>
              </w:rPr>
              <w:t>证明材料或声明；）</w:t>
            </w:r>
          </w:p>
          <w:p w14:paraId="4717B5D8">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bookmarkStart w:id="28" w:name="④有依法缴纳税收和社会保障资金的良好记录；"/>
            <w:bookmarkEnd w:id="28"/>
            <w:r>
              <w:rPr>
                <w:rFonts w:cs="宋体"/>
                <w:b/>
                <w:color w:val="auto"/>
              </w:rPr>
              <w:t>④有依法缴纳税收和社会保障资金的良好记录；</w:t>
            </w:r>
            <w:bookmarkStart w:id="29" w:name="1、提供截止开标前近半年内任三个月税收缴纳完成的证明资料。"/>
            <w:bookmarkEnd w:id="29"/>
            <w:r>
              <w:rPr>
                <w:rFonts w:cs="宋体"/>
                <w:color w:val="auto"/>
                <w:spacing w:val="3"/>
              </w:rPr>
              <w:t>1、提供截止开标前近半年内任三个月税收缴纳完成的证</w:t>
            </w:r>
            <w:r>
              <w:rPr>
                <w:rFonts w:cs="宋体"/>
                <w:color w:val="auto"/>
              </w:rPr>
              <w:t>明资料。</w:t>
            </w:r>
            <w:r>
              <w:rPr>
                <w:rFonts w:cs="宋体"/>
                <w:color w:val="auto"/>
                <w:spacing w:val="8"/>
              </w:rPr>
              <w:t>（提供截止开标前近半年内任三个月税收部门出具的完</w:t>
            </w:r>
            <w:r>
              <w:rPr>
                <w:rFonts w:cs="宋体"/>
                <w:color w:val="auto"/>
                <w:spacing w:val="-1"/>
              </w:rPr>
              <w:t>成税收缴纳证明。其它无需纳税或免税的必须提供相关证</w:t>
            </w:r>
            <w:r>
              <w:rPr>
                <w:rFonts w:cs="宋体"/>
                <w:color w:val="auto"/>
                <w:spacing w:val="-107"/>
              </w:rPr>
              <w:t xml:space="preserve"> </w:t>
            </w:r>
            <w:r>
              <w:rPr>
                <w:rFonts w:cs="宋体"/>
                <w:color w:val="auto"/>
              </w:rPr>
              <w:t>明。）</w:t>
            </w:r>
          </w:p>
          <w:p w14:paraId="6F713C7D">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ascii="宋体" w:eastAsia="宋体" w:cs="宋体"/>
                <w:color w:val="auto"/>
                <w:spacing w:val="8"/>
              </w:rPr>
            </w:pPr>
            <w:bookmarkStart w:id="30" w:name="2、提供截止开标前近半年内任三个月税收部门或社保机构出具的完成社保缴纳证明（提供"/>
            <w:bookmarkEnd w:id="30"/>
            <w:r>
              <w:rPr>
                <w:rFonts w:ascii="宋体" w:eastAsia="宋体" w:cs="宋体"/>
                <w:color w:val="auto"/>
                <w:spacing w:val="8"/>
              </w:rPr>
              <w:t>2、</w:t>
            </w:r>
            <w:r>
              <w:rPr>
                <w:rFonts w:hint="eastAsia" w:ascii="宋体" w:eastAsia="宋体" w:cs="宋体"/>
                <w:color w:val="auto"/>
                <w:spacing w:val="8"/>
              </w:rPr>
              <w:t>提供截止开标前近半年内为授权代理人或法人缴纳任意一个月的社保资金证明或有电子专用章的缴费清单</w:t>
            </w:r>
            <w:r>
              <w:rPr>
                <w:rFonts w:ascii="宋体" w:eastAsia="宋体" w:cs="宋体"/>
                <w:color w:val="auto"/>
                <w:spacing w:val="8"/>
              </w:rPr>
              <w:t>；</w:t>
            </w:r>
          </w:p>
          <w:p w14:paraId="668CBC04">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cs="宋体"/>
                <w:color w:val="auto"/>
                <w:spacing w:val="-5"/>
              </w:rPr>
            </w:pPr>
            <w:r>
              <w:rPr>
                <w:rFonts w:cs="宋体"/>
                <w:b/>
                <w:color w:val="auto"/>
                <w:spacing w:val="-1"/>
                <w:w w:val="95"/>
              </w:rPr>
              <w:t>⑤参加政府采购活动前三年内，在经营活动中没有重大违</w:t>
            </w:r>
            <w:r>
              <w:rPr>
                <w:rFonts w:cs="宋体"/>
                <w:b/>
                <w:color w:val="auto"/>
                <w:spacing w:val="54"/>
                <w:w w:val="95"/>
              </w:rPr>
              <w:t xml:space="preserve"> </w:t>
            </w:r>
            <w:r>
              <w:rPr>
                <w:rFonts w:cs="宋体"/>
                <w:b/>
                <w:color w:val="auto"/>
              </w:rPr>
              <w:t>法记录；</w:t>
            </w:r>
            <w:r>
              <w:rPr>
                <w:rFonts w:cs="宋体"/>
                <w:color w:val="auto"/>
                <w:spacing w:val="-5"/>
              </w:rPr>
              <w:t>（提供参加政府采购活动近三年无重大违法记录声明书；）</w:t>
            </w:r>
          </w:p>
          <w:p w14:paraId="530074E1">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cs="宋体"/>
                <w:b/>
                <w:color w:val="auto"/>
              </w:rPr>
            </w:pPr>
            <w:r>
              <w:rPr>
                <w:rFonts w:cs="宋体"/>
                <w:b/>
                <w:color w:val="auto"/>
              </w:rPr>
              <w:t>⑥法律、行政法规规定的其他条件;</w:t>
            </w:r>
          </w:p>
          <w:p w14:paraId="6E94CD71">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hint="eastAsia" w:cs="宋体"/>
                <w:color w:val="auto"/>
                <w:lang w:eastAsia="zh-CN"/>
              </w:rPr>
            </w:pPr>
            <w:r>
              <w:rPr>
                <w:rFonts w:hint="eastAsia" w:cs="宋体"/>
                <w:color w:val="auto"/>
                <w:lang w:val="en-US" w:eastAsia="zh-CN"/>
              </w:rPr>
              <w:t>（8）</w:t>
            </w:r>
            <w:r>
              <w:rPr>
                <w:rFonts w:cs="宋体"/>
                <w:color w:val="auto"/>
                <w:sz w:val="21"/>
                <w:szCs w:val="21"/>
              </w:rPr>
              <w:t>★</w:t>
            </w:r>
            <w:r>
              <w:rPr>
                <w:rFonts w:cs="宋体"/>
                <w:color w:val="auto"/>
              </w:rPr>
              <w:t>不参与围标串标承诺书</w:t>
            </w:r>
            <w:r>
              <w:rPr>
                <w:rFonts w:hint="eastAsia" w:cs="宋体"/>
                <w:color w:val="auto"/>
                <w:lang w:eastAsia="zh-CN"/>
              </w:rPr>
              <w:t>；</w:t>
            </w:r>
          </w:p>
          <w:p w14:paraId="3E40882C">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hint="eastAsia" w:ascii="Times New Roman" w:eastAsia="宋体"/>
                <w:color w:val="auto"/>
                <w:lang w:eastAsia="zh-CN"/>
              </w:rPr>
            </w:pPr>
            <w:r>
              <w:rPr>
                <w:rFonts w:hint="eastAsia" w:ascii="Times New Roman"/>
                <w:color w:val="auto"/>
                <w:lang w:val="en-US" w:eastAsia="zh-CN"/>
              </w:rPr>
              <w:t>（9）</w:t>
            </w:r>
            <w:r>
              <w:rPr>
                <w:rFonts w:hint="eastAsia" w:cs="宋体"/>
                <w:color w:val="auto"/>
                <w:lang w:eastAsia="zh-CN"/>
              </w:rPr>
              <w:t>供应商具有《医疗器械生产许可证》或《医疗器械经营许可证》，所投产品属于医疗器械管理的产品需根据《医疗器械监督管理条例》（国务院令第650号）有关内容办理医疗器械产品注册或备案。</w:t>
            </w:r>
          </w:p>
        </w:tc>
      </w:tr>
      <w:tr w14:paraId="4F99BF62">
        <w:tblPrEx>
          <w:tblCellMar>
            <w:top w:w="0" w:type="dxa"/>
            <w:left w:w="0" w:type="dxa"/>
            <w:bottom w:w="0" w:type="dxa"/>
            <w:right w:w="0" w:type="dxa"/>
          </w:tblCellMar>
        </w:tblPrEx>
        <w:trPr>
          <w:trHeight w:val="2700" w:hRule="exact"/>
          <w:tblHeader/>
          <w:jc w:val="center"/>
        </w:trPr>
        <w:tc>
          <w:tcPr>
            <w:tcW w:w="250" w:type="pct"/>
            <w:vMerge w:val="continue"/>
            <w:tcBorders>
              <w:left w:val="single" w:color="000000" w:sz="4" w:space="0"/>
              <w:right w:val="single" w:color="000000" w:sz="4" w:space="0"/>
              <w:tl2br w:val="nil"/>
              <w:tr2bl w:val="nil"/>
            </w:tcBorders>
          </w:tcPr>
          <w:p w14:paraId="569CB5F1">
            <w:pPr>
              <w:pStyle w:val="25"/>
              <w:kinsoku w:val="0"/>
              <w:overflowPunct w:val="0"/>
              <w:spacing w:before="154"/>
              <w:ind w:left="102"/>
              <w:rPr>
                <w:rFonts w:hint="default" w:ascii="Times New Roman" w:eastAsia="Times New Roman"/>
                <w:color w:val="auto"/>
              </w:rPr>
            </w:pPr>
          </w:p>
        </w:tc>
        <w:tc>
          <w:tcPr>
            <w:tcW w:w="478" w:type="pct"/>
            <w:vMerge w:val="continue"/>
            <w:tcBorders>
              <w:left w:val="single" w:color="000000" w:sz="4" w:space="0"/>
              <w:right w:val="single" w:color="000000" w:sz="4" w:space="0"/>
              <w:tl2br w:val="nil"/>
              <w:tr2bl w:val="nil"/>
            </w:tcBorders>
          </w:tcPr>
          <w:p w14:paraId="4EB5B70C">
            <w:pPr>
              <w:pStyle w:val="25"/>
              <w:kinsoku w:val="0"/>
              <w:overflowPunct w:val="0"/>
              <w:spacing w:before="154"/>
              <w:ind w:left="102"/>
              <w:rPr>
                <w:rFonts w:hint="default" w:ascii="Times New Roman" w:eastAsia="Times New Roman"/>
                <w:color w:val="auto"/>
              </w:rPr>
            </w:pPr>
          </w:p>
        </w:tc>
        <w:tc>
          <w:tcPr>
            <w:tcW w:w="467" w:type="pct"/>
            <w:tcBorders>
              <w:top w:val="single" w:color="000000" w:sz="4" w:space="0"/>
              <w:left w:val="single" w:color="000000" w:sz="4" w:space="0"/>
              <w:bottom w:val="single" w:color="000000" w:sz="4" w:space="0"/>
              <w:right w:val="single" w:color="000000" w:sz="4" w:space="0"/>
              <w:tl2br w:val="nil"/>
              <w:tr2bl w:val="nil"/>
            </w:tcBorders>
            <w:vAlign w:val="center"/>
          </w:tcPr>
          <w:p w14:paraId="10CBBA5D">
            <w:pPr>
              <w:pStyle w:val="25"/>
              <w:kinsoku w:val="0"/>
              <w:overflowPunct w:val="0"/>
              <w:spacing w:before="41"/>
              <w:jc w:val="center"/>
              <w:rPr>
                <w:rFonts w:hint="default" w:cs="宋体"/>
                <w:b/>
                <w:color w:val="auto"/>
              </w:rPr>
            </w:pPr>
          </w:p>
          <w:p w14:paraId="4D57DCDF">
            <w:pPr>
              <w:pStyle w:val="25"/>
              <w:kinsoku w:val="0"/>
              <w:overflowPunct w:val="0"/>
              <w:spacing w:before="41"/>
              <w:jc w:val="center"/>
              <w:rPr>
                <w:rFonts w:hint="default" w:cs="宋体"/>
                <w:b/>
                <w:color w:val="auto"/>
              </w:rPr>
            </w:pPr>
            <w:r>
              <w:rPr>
                <w:rFonts w:cs="宋体"/>
                <w:b/>
                <w:color w:val="auto"/>
              </w:rPr>
              <w:t>商务文件</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05403AAD">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rPr>
            </w:pPr>
            <w:r>
              <w:rPr>
                <w:rFonts w:cs="宋体"/>
                <w:color w:val="auto"/>
              </w:rPr>
              <w:t>(1)</w:t>
            </w:r>
            <w:r>
              <w:rPr>
                <w:rFonts w:cs="宋体"/>
                <w:color w:val="auto"/>
                <w:sz w:val="21"/>
                <w:szCs w:val="21"/>
              </w:rPr>
              <w:t>★</w:t>
            </w:r>
            <w:r>
              <w:rPr>
                <w:rFonts w:cs="宋体"/>
                <w:color w:val="auto"/>
              </w:rPr>
              <w:t xml:space="preserve">投标函； </w:t>
            </w:r>
          </w:p>
          <w:p w14:paraId="22FE6F35">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rPr>
            </w:pPr>
            <w:r>
              <w:rPr>
                <w:rFonts w:cs="宋体"/>
                <w:color w:val="auto"/>
              </w:rPr>
              <w:t>(2)</w:t>
            </w:r>
            <w:r>
              <w:rPr>
                <w:rFonts w:cs="宋体"/>
                <w:color w:val="auto"/>
                <w:sz w:val="21"/>
                <w:szCs w:val="21"/>
              </w:rPr>
              <w:t>★</w:t>
            </w:r>
            <w:r>
              <w:rPr>
                <w:rFonts w:cs="宋体"/>
                <w:color w:val="auto"/>
              </w:rPr>
              <w:t xml:space="preserve">开标一览表； </w:t>
            </w:r>
          </w:p>
          <w:p w14:paraId="5896F147">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rPr>
            </w:pPr>
            <w:r>
              <w:rPr>
                <w:rFonts w:cs="宋体"/>
                <w:color w:val="auto"/>
              </w:rPr>
              <w:t>(3)</w:t>
            </w:r>
            <w:r>
              <w:rPr>
                <w:rFonts w:cs="宋体"/>
                <w:color w:val="auto"/>
                <w:sz w:val="21"/>
                <w:szCs w:val="21"/>
              </w:rPr>
              <w:t>★</w:t>
            </w:r>
            <w:r>
              <w:rPr>
                <w:rFonts w:cs="宋体"/>
                <w:color w:val="auto"/>
              </w:rPr>
              <w:t>投标报价明细表；</w:t>
            </w:r>
          </w:p>
          <w:p w14:paraId="49230A69">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cs="宋体"/>
                <w:color w:val="auto"/>
              </w:rPr>
            </w:pPr>
            <w:r>
              <w:rPr>
                <w:rFonts w:cs="宋体"/>
                <w:color w:val="auto"/>
              </w:rPr>
              <w:t>(</w:t>
            </w:r>
            <w:r>
              <w:rPr>
                <w:rFonts w:hint="eastAsia" w:cs="宋体"/>
                <w:color w:val="auto"/>
                <w:lang w:val="en-US" w:eastAsia="zh-CN"/>
              </w:rPr>
              <w:t>4</w:t>
            </w:r>
            <w:r>
              <w:rPr>
                <w:rFonts w:cs="宋体"/>
                <w:color w:val="auto"/>
              </w:rPr>
              <w:t>)</w:t>
            </w:r>
            <w:r>
              <w:rPr>
                <w:rFonts w:cs="宋体"/>
                <w:color w:val="auto"/>
                <w:sz w:val="21"/>
                <w:szCs w:val="21"/>
              </w:rPr>
              <w:t>★</w:t>
            </w:r>
            <w:r>
              <w:rPr>
                <w:rFonts w:cs="宋体"/>
                <w:color w:val="auto"/>
              </w:rPr>
              <w:t>商务条款偏离说明表；</w:t>
            </w:r>
          </w:p>
          <w:p w14:paraId="360A0685">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rPr>
            </w:pPr>
            <w:r>
              <w:rPr>
                <w:rFonts w:cs="宋体"/>
                <w:color w:val="auto"/>
              </w:rPr>
              <w:t>(</w:t>
            </w:r>
            <w:r>
              <w:rPr>
                <w:rFonts w:hint="eastAsia" w:cs="宋体"/>
                <w:color w:val="auto"/>
                <w:lang w:val="en-US" w:eastAsia="zh-CN"/>
              </w:rPr>
              <w:t>5</w:t>
            </w:r>
            <w:r>
              <w:rPr>
                <w:rFonts w:cs="宋体"/>
                <w:color w:val="auto"/>
              </w:rPr>
              <w:t>)</w:t>
            </w:r>
            <w:r>
              <w:rPr>
                <w:rFonts w:hint="eastAsia" w:cs="宋体"/>
                <w:color w:val="auto"/>
              </w:rPr>
              <w:t>商务响应文件</w:t>
            </w:r>
          </w:p>
          <w:p w14:paraId="429D08B9">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ascii="Times New Roman" w:eastAsia="Times New Roman"/>
                <w:color w:val="auto"/>
              </w:rPr>
            </w:pPr>
            <w:r>
              <w:rPr>
                <w:rFonts w:cs="宋体"/>
                <w:color w:val="auto"/>
              </w:rPr>
              <w:t>(</w:t>
            </w:r>
            <w:r>
              <w:rPr>
                <w:rFonts w:hint="eastAsia" w:cs="宋体"/>
                <w:color w:val="auto"/>
                <w:lang w:val="en-US" w:eastAsia="zh-CN"/>
              </w:rPr>
              <w:t>6</w:t>
            </w:r>
            <w:r>
              <w:rPr>
                <w:rFonts w:cs="宋体"/>
                <w:color w:val="auto"/>
              </w:rPr>
              <w:t>)供应商认为有必要提供的声明及文件资料</w:t>
            </w:r>
          </w:p>
        </w:tc>
      </w:tr>
      <w:tr w14:paraId="109AA082">
        <w:tblPrEx>
          <w:tblCellMar>
            <w:top w:w="0" w:type="dxa"/>
            <w:left w:w="0" w:type="dxa"/>
            <w:bottom w:w="0" w:type="dxa"/>
            <w:right w:w="0" w:type="dxa"/>
          </w:tblCellMar>
        </w:tblPrEx>
        <w:trPr>
          <w:trHeight w:val="2804" w:hRule="exact"/>
          <w:tblHeader/>
          <w:jc w:val="center"/>
        </w:trPr>
        <w:tc>
          <w:tcPr>
            <w:tcW w:w="250" w:type="pct"/>
            <w:vMerge w:val="continue"/>
            <w:tcBorders>
              <w:left w:val="single" w:color="000000" w:sz="4" w:space="0"/>
              <w:right w:val="single" w:color="000000" w:sz="4" w:space="0"/>
              <w:tl2br w:val="nil"/>
              <w:tr2bl w:val="nil"/>
            </w:tcBorders>
          </w:tcPr>
          <w:p w14:paraId="2AF2E6ED">
            <w:pPr>
              <w:pStyle w:val="25"/>
              <w:kinsoku w:val="0"/>
              <w:overflowPunct w:val="0"/>
              <w:spacing w:before="36"/>
              <w:ind w:left="102"/>
              <w:rPr>
                <w:rFonts w:hint="default" w:ascii="Times New Roman" w:eastAsia="Times New Roman"/>
                <w:color w:val="auto"/>
              </w:rPr>
            </w:pPr>
          </w:p>
        </w:tc>
        <w:tc>
          <w:tcPr>
            <w:tcW w:w="478" w:type="pct"/>
            <w:vMerge w:val="continue"/>
            <w:tcBorders>
              <w:left w:val="single" w:color="000000" w:sz="4" w:space="0"/>
              <w:right w:val="single" w:color="000000" w:sz="4" w:space="0"/>
              <w:tl2br w:val="nil"/>
              <w:tr2bl w:val="nil"/>
            </w:tcBorders>
          </w:tcPr>
          <w:p w14:paraId="7433983C">
            <w:pPr>
              <w:pStyle w:val="25"/>
              <w:kinsoku w:val="0"/>
              <w:overflowPunct w:val="0"/>
              <w:spacing w:before="36"/>
              <w:ind w:left="102"/>
              <w:rPr>
                <w:rFonts w:hint="default" w:ascii="Times New Roman" w:eastAsia="Times New Roman"/>
                <w:color w:val="auto"/>
              </w:rPr>
            </w:pPr>
          </w:p>
        </w:tc>
        <w:tc>
          <w:tcPr>
            <w:tcW w:w="467" w:type="pct"/>
            <w:tcBorders>
              <w:top w:val="single" w:color="000000" w:sz="4" w:space="0"/>
              <w:left w:val="single" w:color="000000" w:sz="4" w:space="0"/>
              <w:bottom w:val="single" w:color="000000" w:sz="4" w:space="0"/>
              <w:right w:val="single" w:color="000000" w:sz="4" w:space="0"/>
              <w:tl2br w:val="nil"/>
              <w:tr2bl w:val="nil"/>
            </w:tcBorders>
            <w:vAlign w:val="center"/>
          </w:tcPr>
          <w:p w14:paraId="18E4A850">
            <w:pPr>
              <w:pStyle w:val="25"/>
              <w:kinsoku w:val="0"/>
              <w:overflowPunct w:val="0"/>
              <w:spacing w:before="41"/>
              <w:jc w:val="center"/>
              <w:rPr>
                <w:rFonts w:hint="default" w:cs="宋体"/>
                <w:b/>
                <w:color w:val="auto"/>
              </w:rPr>
            </w:pPr>
            <w:r>
              <w:rPr>
                <w:rFonts w:cs="宋体"/>
                <w:b/>
                <w:color w:val="auto"/>
              </w:rPr>
              <w:t>技术文件</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388D4FE6">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cs="宋体"/>
                <w:color w:val="auto"/>
              </w:rPr>
            </w:pPr>
            <w:r>
              <w:rPr>
                <w:rFonts w:hint="eastAsia" w:cs="宋体"/>
                <w:color w:val="auto"/>
                <w:lang w:eastAsia="zh-CN"/>
              </w:rPr>
              <w:t>供应商</w:t>
            </w:r>
            <w:r>
              <w:rPr>
                <w:rFonts w:cs="宋体"/>
                <w:color w:val="auto"/>
              </w:rPr>
              <w:t>自行编写的技术文件：</w:t>
            </w:r>
          </w:p>
          <w:p w14:paraId="6FE75BA3">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rPr>
            </w:pPr>
            <w:r>
              <w:rPr>
                <w:rFonts w:cs="宋体"/>
                <w:color w:val="auto"/>
              </w:rPr>
              <w:t>主要技术内容：</w:t>
            </w:r>
          </w:p>
          <w:p w14:paraId="5BBAE4F2">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rPr>
            </w:pPr>
            <w:r>
              <w:rPr>
                <w:rFonts w:cs="宋体"/>
                <w:color w:val="auto"/>
              </w:rPr>
              <w:t>&lt;1&gt;工具表、人员表和备件及特殊工具清单；</w:t>
            </w:r>
          </w:p>
          <w:p w14:paraId="358B7EF4">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rPr>
            </w:pPr>
            <w:r>
              <w:rPr>
                <w:rFonts w:cs="宋体"/>
                <w:color w:val="auto"/>
              </w:rPr>
              <w:t>&lt;2&gt;方案及验收标准；</w:t>
            </w:r>
          </w:p>
          <w:p w14:paraId="2587959B">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cs="宋体"/>
                <w:color w:val="auto"/>
              </w:rPr>
            </w:pPr>
            <w:r>
              <w:rPr>
                <w:rFonts w:cs="宋体"/>
                <w:color w:val="auto"/>
              </w:rPr>
              <w:t>&lt;3&gt;保证服务期措施；</w:t>
            </w:r>
          </w:p>
          <w:p w14:paraId="5231DAAE">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rPr>
            </w:pPr>
            <w:r>
              <w:rPr>
                <w:b w:val="0"/>
                <w:bCs w:val="0"/>
                <w:color w:val="auto"/>
                <w:sz w:val="21"/>
                <w:szCs w:val="21"/>
              </w:rPr>
              <w:t>★</w:t>
            </w:r>
            <w:r>
              <w:rPr>
                <w:b w:val="0"/>
                <w:bCs w:val="0"/>
                <w:color w:val="auto"/>
              </w:rPr>
              <w:t>技术规范偏离表</w:t>
            </w:r>
            <w:r>
              <w:rPr>
                <w:b w:val="0"/>
                <w:bCs w:val="0"/>
                <w:color w:val="auto"/>
                <w:w w:val="99"/>
              </w:rPr>
              <w:t xml:space="preserve"> </w:t>
            </w:r>
          </w:p>
        </w:tc>
      </w:tr>
      <w:tr w14:paraId="4A20A07C">
        <w:tblPrEx>
          <w:tblCellMar>
            <w:top w:w="0" w:type="dxa"/>
            <w:left w:w="0" w:type="dxa"/>
            <w:bottom w:w="0" w:type="dxa"/>
            <w:right w:w="0" w:type="dxa"/>
          </w:tblCellMar>
        </w:tblPrEx>
        <w:trPr>
          <w:trHeight w:val="3468" w:hRule="exact"/>
          <w:tblHeader/>
          <w:jc w:val="center"/>
        </w:trPr>
        <w:tc>
          <w:tcPr>
            <w:tcW w:w="250" w:type="pct"/>
            <w:vMerge w:val="continue"/>
            <w:tcBorders>
              <w:left w:val="single" w:color="000000" w:sz="4" w:space="0"/>
              <w:bottom w:val="single" w:color="000000" w:sz="4" w:space="0"/>
              <w:right w:val="single" w:color="000000" w:sz="4" w:space="0"/>
              <w:tl2br w:val="nil"/>
              <w:tr2bl w:val="nil"/>
            </w:tcBorders>
          </w:tcPr>
          <w:p w14:paraId="0F5A40B1">
            <w:pPr>
              <w:pStyle w:val="25"/>
              <w:kinsoku w:val="0"/>
              <w:overflowPunct w:val="0"/>
              <w:spacing w:before="154"/>
              <w:ind w:left="102"/>
              <w:rPr>
                <w:rFonts w:hint="default" w:ascii="Times New Roman" w:eastAsia="Times New Roman"/>
                <w:color w:val="auto"/>
              </w:rPr>
            </w:pPr>
          </w:p>
        </w:tc>
        <w:tc>
          <w:tcPr>
            <w:tcW w:w="478" w:type="pct"/>
            <w:vMerge w:val="continue"/>
            <w:tcBorders>
              <w:left w:val="single" w:color="000000" w:sz="4" w:space="0"/>
              <w:bottom w:val="single" w:color="000000" w:sz="4" w:space="0"/>
              <w:right w:val="single" w:color="000000" w:sz="4" w:space="0"/>
              <w:tl2br w:val="nil"/>
              <w:tr2bl w:val="nil"/>
            </w:tcBorders>
          </w:tcPr>
          <w:p w14:paraId="49410E32">
            <w:pPr>
              <w:pStyle w:val="25"/>
              <w:kinsoku w:val="0"/>
              <w:overflowPunct w:val="0"/>
              <w:spacing w:before="154"/>
              <w:ind w:left="102"/>
              <w:rPr>
                <w:rFonts w:hint="default" w:ascii="Times New Roman" w:eastAsia="Times New Roman"/>
                <w:color w:val="auto"/>
              </w:rPr>
            </w:pPr>
          </w:p>
        </w:tc>
        <w:tc>
          <w:tcPr>
            <w:tcW w:w="467" w:type="pct"/>
            <w:tcBorders>
              <w:top w:val="single" w:color="000000" w:sz="4" w:space="0"/>
              <w:left w:val="single" w:color="000000" w:sz="4" w:space="0"/>
              <w:bottom w:val="single" w:color="000000" w:sz="4" w:space="0"/>
              <w:right w:val="single" w:color="000000" w:sz="4" w:space="0"/>
              <w:tl2br w:val="nil"/>
              <w:tr2bl w:val="nil"/>
            </w:tcBorders>
            <w:vAlign w:val="center"/>
          </w:tcPr>
          <w:p w14:paraId="286B964D">
            <w:pPr>
              <w:pStyle w:val="25"/>
              <w:kinsoku w:val="0"/>
              <w:overflowPunct w:val="0"/>
              <w:spacing w:before="41"/>
              <w:jc w:val="center"/>
              <w:rPr>
                <w:rFonts w:hint="default" w:cs="宋体"/>
                <w:b/>
                <w:color w:val="auto"/>
              </w:rPr>
            </w:pPr>
          </w:p>
          <w:p w14:paraId="42E2DDF3">
            <w:pPr>
              <w:pStyle w:val="25"/>
              <w:kinsoku w:val="0"/>
              <w:overflowPunct w:val="0"/>
              <w:spacing w:before="41"/>
              <w:jc w:val="center"/>
              <w:rPr>
                <w:rFonts w:hint="default" w:cs="宋体"/>
                <w:b/>
                <w:color w:val="auto"/>
              </w:rPr>
            </w:pPr>
            <w:r>
              <w:rPr>
                <w:rFonts w:cs="宋体"/>
                <w:b/>
                <w:color w:val="auto"/>
              </w:rPr>
              <w:t>服务文件</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2D01F1E6">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lang w:eastAsia="zh-CN"/>
              </w:rPr>
            </w:pPr>
            <w:r>
              <w:rPr>
                <w:rFonts w:hint="eastAsia" w:cs="宋体"/>
                <w:color w:val="auto"/>
                <w:lang w:eastAsia="zh-CN"/>
              </w:rPr>
              <w:t>供应商自行编写的服务文件：</w:t>
            </w:r>
          </w:p>
          <w:p w14:paraId="0A619175">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lang w:eastAsia="zh-CN"/>
              </w:rPr>
            </w:pPr>
            <w:r>
              <w:rPr>
                <w:rFonts w:hint="eastAsia" w:cs="宋体"/>
                <w:color w:val="auto"/>
                <w:lang w:eastAsia="zh-CN"/>
              </w:rPr>
              <w:t>①服务内容：</w:t>
            </w:r>
          </w:p>
          <w:p w14:paraId="59EDE30B">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rightChars="0"/>
              <w:textAlignment w:val="auto"/>
              <w:rPr>
                <w:rFonts w:hint="default" w:cs="宋体"/>
                <w:color w:val="auto"/>
                <w:lang w:eastAsia="zh-CN"/>
              </w:rPr>
            </w:pPr>
            <w:r>
              <w:rPr>
                <w:rFonts w:hint="eastAsia" w:cs="宋体"/>
                <w:color w:val="auto"/>
                <w:lang w:eastAsia="zh-CN"/>
              </w:rPr>
              <w:t>&lt;1&gt;后续服务的程序、内容、措施以及合理化建议；</w:t>
            </w:r>
          </w:p>
          <w:p w14:paraId="40E90D93">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lang w:eastAsia="zh-CN"/>
              </w:rPr>
            </w:pPr>
            <w:r>
              <w:rPr>
                <w:rFonts w:hint="eastAsia" w:cs="宋体"/>
                <w:color w:val="auto"/>
                <w:lang w:eastAsia="zh-CN"/>
              </w:rPr>
              <w:t>&lt;2&gt;响应时间；</w:t>
            </w:r>
          </w:p>
          <w:p w14:paraId="7BEF41EE">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rightChars="0"/>
              <w:textAlignment w:val="auto"/>
              <w:rPr>
                <w:rFonts w:hint="default" w:cs="宋体"/>
                <w:color w:val="auto"/>
                <w:lang w:eastAsia="zh-CN"/>
              </w:rPr>
            </w:pPr>
            <w:r>
              <w:rPr>
                <w:rFonts w:hint="eastAsia" w:cs="宋体"/>
                <w:color w:val="auto"/>
                <w:lang w:eastAsia="zh-CN"/>
              </w:rPr>
              <w:t>②服务网点明细表（包括联系人、详细地址、电话、传真） 及本地化服务情况一览表；</w:t>
            </w:r>
          </w:p>
          <w:p w14:paraId="5D04306C">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ascii="Times New Roman" w:eastAsia="Times New Roman"/>
                <w:color w:val="auto"/>
              </w:rPr>
            </w:pPr>
            <w:r>
              <w:rPr>
                <w:rFonts w:hint="eastAsia" w:cs="宋体"/>
                <w:color w:val="auto"/>
                <w:lang w:eastAsia="zh-CN"/>
              </w:rPr>
              <w:t>③服务项目偏离表。</w:t>
            </w:r>
          </w:p>
        </w:tc>
      </w:tr>
      <w:tr w14:paraId="2CB94A6C">
        <w:tblPrEx>
          <w:tblCellMar>
            <w:top w:w="0" w:type="dxa"/>
            <w:left w:w="0" w:type="dxa"/>
            <w:bottom w:w="0" w:type="dxa"/>
            <w:right w:w="0" w:type="dxa"/>
          </w:tblCellMar>
        </w:tblPrEx>
        <w:trPr>
          <w:trHeight w:val="1175" w:hRule="exact"/>
          <w:tblHeader/>
          <w:jc w:val="cent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26A2ED0F">
            <w:pPr>
              <w:pStyle w:val="25"/>
              <w:kinsoku w:val="0"/>
              <w:overflowPunct w:val="0"/>
              <w:jc w:val="center"/>
              <w:rPr>
                <w:rFonts w:hint="default" w:ascii="Times New Roman" w:eastAsia="Times New Roman"/>
                <w:color w:val="auto"/>
              </w:rPr>
            </w:pPr>
            <w:r>
              <w:rPr>
                <w:rFonts w:cs="宋体"/>
                <w:b/>
                <w:color w:val="auto"/>
                <w:w w:val="99"/>
              </w:rPr>
              <w:t>7</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0C52C34">
            <w:pPr>
              <w:pStyle w:val="25"/>
              <w:kinsoku w:val="0"/>
              <w:overflowPunct w:val="0"/>
              <w:ind w:left="244"/>
              <w:jc w:val="center"/>
              <w:rPr>
                <w:rFonts w:hint="default" w:ascii="Times New Roman" w:eastAsia="Times New Roman"/>
                <w:color w:val="auto"/>
              </w:rPr>
            </w:pPr>
            <w:r>
              <w:rPr>
                <w:rFonts w:cs="宋体"/>
                <w:b/>
                <w:color w:val="auto"/>
              </w:rPr>
              <w:t>是否允许联合体投标</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6B42D3A5">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hAnsi="Segoe UI Emoji" w:cs="宋体"/>
                <w:color w:val="auto"/>
                <w:spacing w:val="-45"/>
              </w:rPr>
            </w:pPr>
            <w:r>
              <w:rPr>
                <w:rFonts w:ascii="MS Gothic" w:hAnsi="MS Gothic" w:eastAsia="MS Gothic" w:cs="MS Gothic"/>
                <w:color w:val="auto"/>
                <w:spacing w:val="-45"/>
              </w:rPr>
              <w:t>☑</w:t>
            </w:r>
            <w:r>
              <w:rPr>
                <w:rFonts w:hAnsi="Segoe UI Emoji" w:cs="宋体"/>
                <w:color w:val="auto"/>
                <w:spacing w:val="-45"/>
              </w:rPr>
              <w:t>否</w:t>
            </w:r>
          </w:p>
          <w:p w14:paraId="2E041DD3">
            <w:pPr>
              <w:pStyle w:val="25"/>
              <w:keepNext w:val="0"/>
              <w:keepLines w:val="0"/>
              <w:pageBreakBefore w:val="0"/>
              <w:widowControl w:val="0"/>
              <w:kinsoku w:val="0"/>
              <w:wordWrap/>
              <w:overflowPunct w:val="0"/>
              <w:topLinePunct w:val="0"/>
              <w:autoSpaceDE w:val="0"/>
              <w:autoSpaceDN w:val="0"/>
              <w:bidi w:val="0"/>
              <w:adjustRightInd w:val="0"/>
              <w:spacing w:line="460" w:lineRule="atLeast"/>
              <w:ind w:left="0" w:right="0"/>
              <w:textAlignment w:val="auto"/>
              <w:rPr>
                <w:rFonts w:hint="eastAsia" w:ascii="Times New Roman" w:eastAsia="宋体"/>
                <w:color w:val="auto"/>
                <w:lang w:val="en-US" w:eastAsia="zh-CN"/>
              </w:rPr>
            </w:pPr>
            <w:r>
              <w:rPr>
                <w:rFonts w:cs="宋体"/>
                <w:color w:val="auto"/>
              </w:rPr>
              <w:t>□是 应满足要求：</w:t>
            </w:r>
            <w:r>
              <w:rPr>
                <w:rFonts w:hint="eastAsia" w:cs="宋体"/>
                <w:color w:val="auto"/>
                <w:lang w:val="en-US" w:eastAsia="zh-CN"/>
              </w:rPr>
              <w:t>/</w:t>
            </w:r>
          </w:p>
        </w:tc>
      </w:tr>
      <w:tr w14:paraId="12709F0F">
        <w:tblPrEx>
          <w:tblCellMar>
            <w:top w:w="0" w:type="dxa"/>
            <w:left w:w="0" w:type="dxa"/>
            <w:bottom w:w="0" w:type="dxa"/>
            <w:right w:w="0" w:type="dxa"/>
          </w:tblCellMar>
        </w:tblPrEx>
        <w:trPr>
          <w:trHeight w:val="2119" w:hRule="exact"/>
          <w:tblHeader/>
          <w:jc w:val="center"/>
        </w:trPr>
        <w:tc>
          <w:tcPr>
            <w:tcW w:w="250" w:type="pct"/>
            <w:tcBorders>
              <w:top w:val="single" w:color="000000" w:sz="4" w:space="0"/>
              <w:left w:val="single" w:color="000000" w:sz="4" w:space="0"/>
              <w:right w:val="single" w:color="000000" w:sz="4" w:space="0"/>
              <w:tl2br w:val="nil"/>
              <w:tr2bl w:val="nil"/>
            </w:tcBorders>
            <w:vAlign w:val="center"/>
          </w:tcPr>
          <w:p w14:paraId="0689BA08">
            <w:pPr>
              <w:pStyle w:val="25"/>
              <w:kinsoku w:val="0"/>
              <w:overflowPunct w:val="0"/>
              <w:jc w:val="center"/>
              <w:rPr>
                <w:rFonts w:hint="default" w:ascii="Times New Roman" w:eastAsia="Times New Roman"/>
                <w:color w:val="auto"/>
              </w:rPr>
            </w:pPr>
            <w:r>
              <w:rPr>
                <w:rFonts w:cs="宋体"/>
                <w:b/>
                <w:color w:val="auto"/>
                <w:w w:val="99"/>
              </w:rPr>
              <w:t>8</w:t>
            </w:r>
          </w:p>
        </w:tc>
        <w:tc>
          <w:tcPr>
            <w:tcW w:w="945" w:type="pct"/>
            <w:gridSpan w:val="2"/>
            <w:tcBorders>
              <w:top w:val="single" w:color="000000" w:sz="4" w:space="0"/>
              <w:left w:val="single" w:color="000000" w:sz="4" w:space="0"/>
              <w:right w:val="single" w:color="000000" w:sz="4" w:space="0"/>
              <w:tl2br w:val="nil"/>
              <w:tr2bl w:val="nil"/>
            </w:tcBorders>
            <w:vAlign w:val="center"/>
          </w:tcPr>
          <w:p w14:paraId="7D2759E0">
            <w:pPr>
              <w:pStyle w:val="25"/>
              <w:kinsoku w:val="0"/>
              <w:overflowPunct w:val="0"/>
              <w:spacing w:before="119" w:line="240" w:lineRule="auto"/>
              <w:ind w:left="121" w:right="121"/>
              <w:jc w:val="center"/>
              <w:rPr>
                <w:rFonts w:hint="default" w:ascii="Times New Roman" w:eastAsia="Times New Roman"/>
                <w:color w:val="auto"/>
              </w:rPr>
            </w:pPr>
            <w:r>
              <w:rPr>
                <w:rFonts w:cs="宋体"/>
                <w:b/>
                <w:color w:val="auto"/>
              </w:rPr>
              <w:t>是否允许</w:t>
            </w:r>
            <w:r>
              <w:rPr>
                <w:rFonts w:hint="eastAsia" w:cs="宋体"/>
                <w:b/>
                <w:color w:val="auto"/>
                <w:lang w:eastAsia="zh-CN"/>
              </w:rPr>
              <w:t>供应商</w:t>
            </w:r>
            <w:r>
              <w:rPr>
                <w:rFonts w:cs="宋体"/>
                <w:b/>
                <w:color w:val="auto"/>
              </w:rPr>
              <w:t>将项目非主体、非关键性工作交由他人完成</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4776751D">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Emoji" w:cs="宋体"/>
                <w:color w:val="auto"/>
                <w:spacing w:val="-45"/>
              </w:rPr>
            </w:pPr>
            <w:r>
              <w:rPr>
                <w:rFonts w:ascii="MS Gothic" w:hAnsi="MS Gothic" w:eastAsia="MS Gothic" w:cs="MS Gothic"/>
                <w:color w:val="auto"/>
                <w:spacing w:val="-45"/>
              </w:rPr>
              <w:t>☑</w:t>
            </w:r>
            <w:r>
              <w:rPr>
                <w:rFonts w:hAnsi="Segoe UI Emoji" w:cs="宋体"/>
                <w:color w:val="auto"/>
                <w:spacing w:val="-45"/>
              </w:rPr>
              <w:t>否</w:t>
            </w:r>
          </w:p>
          <w:p w14:paraId="2A8D8A96">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ascii="Times New Roman" w:eastAsia="Times New Roman"/>
                <w:color w:val="auto"/>
              </w:rPr>
            </w:pPr>
            <w:r>
              <w:rPr>
                <w:rFonts w:cs="宋体"/>
                <w:color w:val="auto"/>
              </w:rPr>
              <w:t>□是</w:t>
            </w:r>
            <w:r>
              <w:rPr>
                <w:rFonts w:hint="eastAsia" w:cs="宋体"/>
                <w:color w:val="auto"/>
                <w:lang w:eastAsia="zh-CN"/>
              </w:rPr>
              <w:t>：</w:t>
            </w:r>
            <w:r>
              <w:rPr>
                <w:rFonts w:cs="宋体"/>
                <w:color w:val="auto"/>
                <w:spacing w:val="-1"/>
              </w:rPr>
              <w:t>中标人按照合同约定或者经采购人同意，可以将项目非主</w:t>
            </w:r>
            <w:r>
              <w:rPr>
                <w:rFonts w:cs="宋体"/>
                <w:color w:val="auto"/>
                <w:spacing w:val="-108"/>
              </w:rPr>
              <w:t xml:space="preserve"> </w:t>
            </w:r>
            <w:r>
              <w:rPr>
                <w:rFonts w:cs="宋体"/>
                <w:color w:val="auto"/>
                <w:spacing w:val="-1"/>
              </w:rPr>
              <w:t>体、非关键性工作分包交由他人完成。此时，接受分包的</w:t>
            </w:r>
            <w:r>
              <w:rPr>
                <w:rFonts w:cs="宋体"/>
                <w:color w:val="auto"/>
              </w:rPr>
              <w:t>人应当具备相应的资格条件，并不得再次分包。</w:t>
            </w:r>
          </w:p>
        </w:tc>
      </w:tr>
      <w:tr w14:paraId="7273085A">
        <w:tblPrEx>
          <w:tblCellMar>
            <w:top w:w="0" w:type="dxa"/>
            <w:left w:w="0" w:type="dxa"/>
            <w:bottom w:w="0" w:type="dxa"/>
            <w:right w:w="0" w:type="dxa"/>
          </w:tblCellMar>
        </w:tblPrEx>
        <w:trPr>
          <w:trHeight w:val="1527" w:hRule="exact"/>
          <w:tblHeader/>
          <w:jc w:val="center"/>
        </w:trPr>
        <w:tc>
          <w:tcPr>
            <w:tcW w:w="250" w:type="pct"/>
            <w:tcBorders>
              <w:top w:val="single" w:color="000000" w:sz="4" w:space="0"/>
              <w:left w:val="single" w:color="000000" w:sz="4" w:space="0"/>
              <w:bottom w:val="single" w:color="000000" w:sz="4" w:space="0"/>
              <w:right w:val="single" w:color="000000" w:sz="4" w:space="0"/>
              <w:tl2br w:val="nil"/>
              <w:tr2bl w:val="nil"/>
            </w:tcBorders>
          </w:tcPr>
          <w:p w14:paraId="28E0B3AA">
            <w:pPr>
              <w:pStyle w:val="25"/>
              <w:kinsoku w:val="0"/>
              <w:overflowPunct w:val="0"/>
              <w:rPr>
                <w:rFonts w:hint="default" w:ascii="Times New Roman" w:eastAsia="Times New Roman"/>
                <w:color w:val="auto"/>
              </w:rPr>
            </w:pPr>
          </w:p>
          <w:p w14:paraId="2A136E4F">
            <w:pPr>
              <w:pStyle w:val="25"/>
              <w:kinsoku w:val="0"/>
              <w:overflowPunct w:val="0"/>
              <w:rPr>
                <w:rFonts w:hint="default" w:ascii="Times New Roman" w:eastAsia="Times New Roman"/>
                <w:color w:val="auto"/>
              </w:rPr>
            </w:pPr>
          </w:p>
          <w:p w14:paraId="2F498826">
            <w:pPr>
              <w:pStyle w:val="25"/>
              <w:kinsoku w:val="0"/>
              <w:overflowPunct w:val="0"/>
              <w:spacing w:before="5"/>
              <w:rPr>
                <w:rFonts w:hint="default" w:ascii="Times New Roman" w:eastAsia="Times New Roman"/>
                <w:color w:val="auto"/>
                <w:sz w:val="23"/>
                <w:szCs w:val="23"/>
              </w:rPr>
            </w:pPr>
          </w:p>
          <w:p w14:paraId="70BB807A">
            <w:pPr>
              <w:pStyle w:val="25"/>
              <w:kinsoku w:val="0"/>
              <w:overflowPunct w:val="0"/>
              <w:jc w:val="center"/>
              <w:rPr>
                <w:rFonts w:hint="default" w:ascii="Times New Roman" w:eastAsia="Times New Roman"/>
                <w:color w:val="auto"/>
              </w:rPr>
            </w:pPr>
            <w:r>
              <w:rPr>
                <w:rFonts w:cs="宋体"/>
                <w:b/>
                <w:color w:val="auto"/>
                <w:w w:val="99"/>
              </w:rPr>
              <w:t>9</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tcPr>
          <w:p w14:paraId="6948DF8E">
            <w:pPr>
              <w:pStyle w:val="25"/>
              <w:kinsoku w:val="0"/>
              <w:overflowPunct w:val="0"/>
              <w:jc w:val="center"/>
              <w:rPr>
                <w:rFonts w:hint="default" w:ascii="Times New Roman" w:eastAsia="Times New Roman"/>
                <w:color w:val="auto"/>
              </w:rPr>
            </w:pPr>
          </w:p>
          <w:p w14:paraId="0543CA32">
            <w:pPr>
              <w:pStyle w:val="25"/>
              <w:kinsoku w:val="0"/>
              <w:overflowPunct w:val="0"/>
              <w:jc w:val="center"/>
              <w:rPr>
                <w:rFonts w:hint="default" w:ascii="Times New Roman" w:eastAsia="Times New Roman"/>
                <w:color w:val="auto"/>
              </w:rPr>
            </w:pPr>
          </w:p>
          <w:p w14:paraId="540540CB">
            <w:pPr>
              <w:pStyle w:val="25"/>
              <w:kinsoku w:val="0"/>
              <w:overflowPunct w:val="0"/>
              <w:spacing w:before="5"/>
              <w:jc w:val="center"/>
              <w:rPr>
                <w:rFonts w:hint="default" w:ascii="Times New Roman" w:eastAsia="Times New Roman"/>
                <w:color w:val="auto"/>
                <w:sz w:val="23"/>
                <w:szCs w:val="23"/>
              </w:rPr>
            </w:pPr>
          </w:p>
          <w:p w14:paraId="01AEABB5">
            <w:pPr>
              <w:pStyle w:val="25"/>
              <w:kinsoku w:val="0"/>
              <w:overflowPunct w:val="0"/>
              <w:jc w:val="center"/>
              <w:rPr>
                <w:rFonts w:hint="default" w:ascii="Times New Roman" w:eastAsia="Times New Roman"/>
                <w:color w:val="auto"/>
              </w:rPr>
            </w:pPr>
            <w:r>
              <w:rPr>
                <w:rFonts w:cs="宋体"/>
                <w:b/>
                <w:color w:val="auto"/>
              </w:rPr>
              <w:t>踏勘现场</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186AE4EA">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hAnsi="Segoe UI Emoji" w:cs="宋体"/>
                <w:color w:val="auto"/>
                <w:spacing w:val="-18"/>
              </w:rPr>
            </w:pPr>
            <w:r>
              <w:rPr>
                <w:rFonts w:ascii="MS Gothic" w:hAnsi="MS Gothic" w:eastAsia="MS Gothic" w:cs="MS Gothic"/>
                <w:color w:val="auto"/>
                <w:spacing w:val="-18"/>
              </w:rPr>
              <w:t>☑</w:t>
            </w:r>
            <w:r>
              <w:rPr>
                <w:rFonts w:hAnsi="Segoe UI Emoji" w:cs="宋体"/>
                <w:color w:val="auto"/>
                <w:spacing w:val="-18"/>
              </w:rPr>
              <w:t>自行踏勘</w:t>
            </w:r>
          </w:p>
          <w:p w14:paraId="189B813F">
            <w:pPr>
              <w:pStyle w:val="25"/>
              <w:keepNext w:val="0"/>
              <w:keepLines w:val="0"/>
              <w:pageBreakBefore w:val="0"/>
              <w:widowControl w:val="0"/>
              <w:kinsoku w:val="0"/>
              <w:wordWrap/>
              <w:overflowPunct w:val="0"/>
              <w:topLinePunct w:val="0"/>
              <w:autoSpaceDE w:val="0"/>
              <w:autoSpaceDN w:val="0"/>
              <w:bidi w:val="0"/>
              <w:adjustRightInd w:val="0"/>
              <w:spacing w:line="460" w:lineRule="atLeast"/>
              <w:ind w:left="0" w:right="0"/>
              <w:textAlignment w:val="auto"/>
              <w:rPr>
                <w:rFonts w:hint="default" w:ascii="Times New Roman" w:eastAsia="Times New Roman"/>
                <w:color w:val="auto"/>
              </w:rPr>
            </w:pPr>
            <w:r>
              <w:rPr>
                <w:rFonts w:cs="宋体"/>
                <w:color w:val="auto"/>
              </w:rPr>
              <w:t xml:space="preserve">□统一组织 </w:t>
            </w:r>
            <w:r>
              <w:rPr>
                <w:rFonts w:cs="宋体"/>
                <w:color w:val="auto"/>
                <w:spacing w:val="-1"/>
              </w:rPr>
              <w:t>备注：不组织统一踏勘，为保证投标质量，建议投标供应</w:t>
            </w:r>
            <w:r>
              <w:rPr>
                <w:rFonts w:cs="宋体"/>
                <w:color w:val="auto"/>
                <w:spacing w:val="-109"/>
              </w:rPr>
              <w:t xml:space="preserve"> </w:t>
            </w:r>
            <w:r>
              <w:rPr>
                <w:rFonts w:cs="宋体"/>
                <w:color w:val="auto"/>
              </w:rPr>
              <w:t>商在投标截止时间前自行踏勘。</w:t>
            </w:r>
          </w:p>
        </w:tc>
      </w:tr>
      <w:tr w14:paraId="24F8701F">
        <w:tblPrEx>
          <w:tblCellMar>
            <w:top w:w="0" w:type="dxa"/>
            <w:left w:w="0" w:type="dxa"/>
            <w:bottom w:w="0" w:type="dxa"/>
            <w:right w:w="0" w:type="dxa"/>
          </w:tblCellMar>
        </w:tblPrEx>
        <w:trPr>
          <w:trHeight w:val="3743" w:hRule="exact"/>
          <w:tblHeader/>
          <w:jc w:val="cent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56D608DA">
            <w:pPr>
              <w:pStyle w:val="25"/>
              <w:kinsoku w:val="0"/>
              <w:overflowPunct w:val="0"/>
              <w:jc w:val="center"/>
              <w:rPr>
                <w:rFonts w:hint="default" w:ascii="Times New Roman" w:eastAsia="Times New Roman"/>
                <w:color w:val="auto"/>
              </w:rPr>
            </w:pPr>
            <w:r>
              <w:rPr>
                <w:rFonts w:cs="宋体"/>
                <w:b/>
                <w:color w:val="auto"/>
              </w:rPr>
              <w:t>10</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00E200E">
            <w:pPr>
              <w:pStyle w:val="25"/>
              <w:kinsoku w:val="0"/>
              <w:overflowPunct w:val="0"/>
              <w:jc w:val="center"/>
              <w:rPr>
                <w:rFonts w:hint="default" w:ascii="Times New Roman" w:eastAsia="Times New Roman"/>
                <w:color w:val="auto"/>
              </w:rPr>
            </w:pPr>
            <w:r>
              <w:rPr>
                <w:rFonts w:cs="宋体"/>
                <w:b/>
                <w:color w:val="auto"/>
              </w:rPr>
              <w:t>答疑接受时间</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22ED695D">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color w:val="auto"/>
              </w:rPr>
            </w:pPr>
            <w:r>
              <w:rPr>
                <w:rFonts w:cs="宋体"/>
                <w:color w:val="auto"/>
              </w:rPr>
              <w:t>公告发布后</w:t>
            </w:r>
            <w:r>
              <w:rPr>
                <w:rFonts w:cs="宋体"/>
                <w:color w:val="auto"/>
                <w:spacing w:val="-64"/>
              </w:rPr>
              <w:t xml:space="preserve"> </w:t>
            </w:r>
            <w:r>
              <w:rPr>
                <w:rFonts w:cs="宋体"/>
                <w:color w:val="auto"/>
              </w:rPr>
              <w:t>7</w:t>
            </w:r>
            <w:r>
              <w:rPr>
                <w:rFonts w:cs="宋体"/>
                <w:color w:val="auto"/>
                <w:spacing w:val="-64"/>
              </w:rPr>
              <w:t xml:space="preserve"> </w:t>
            </w:r>
            <w:r>
              <w:rPr>
                <w:rFonts w:cs="宋体"/>
                <w:color w:val="auto"/>
              </w:rPr>
              <w:t>个工作日内（含</w:t>
            </w:r>
            <w:r>
              <w:rPr>
                <w:rFonts w:cs="宋体"/>
                <w:color w:val="auto"/>
                <w:spacing w:val="-64"/>
              </w:rPr>
              <w:t xml:space="preserve"> </w:t>
            </w:r>
            <w:r>
              <w:rPr>
                <w:rFonts w:cs="宋体"/>
                <w:color w:val="auto"/>
              </w:rPr>
              <w:t>7</w:t>
            </w:r>
            <w:r>
              <w:rPr>
                <w:rFonts w:cs="宋体"/>
                <w:color w:val="auto"/>
                <w:spacing w:val="-64"/>
              </w:rPr>
              <w:t xml:space="preserve"> </w:t>
            </w:r>
            <w:r>
              <w:rPr>
                <w:rFonts w:cs="宋体"/>
                <w:color w:val="auto"/>
              </w:rPr>
              <w:t>个工作日）接受</w:t>
            </w:r>
            <w:r>
              <w:rPr>
                <w:rFonts w:hint="eastAsia" w:cs="宋体"/>
                <w:color w:val="auto"/>
                <w:lang w:eastAsia="zh-CN"/>
              </w:rPr>
              <w:t>供应商</w:t>
            </w:r>
            <w:r>
              <w:rPr>
                <w:rFonts w:cs="宋体"/>
                <w:color w:val="auto"/>
              </w:rPr>
              <w:t>疑 问或澄清要求（逾期视为理解和接受）。</w:t>
            </w:r>
          </w:p>
          <w:p w14:paraId="11D369A7">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ascii="宋体" w:eastAsia="宋体" w:cs="宋体"/>
                <w:color w:val="auto"/>
              </w:rPr>
            </w:pPr>
            <w:r>
              <w:rPr>
                <w:rFonts w:ascii="宋体" w:eastAsia="宋体" w:cs="宋体"/>
                <w:color w:val="auto"/>
              </w:rPr>
              <w:t>联系人：</w:t>
            </w:r>
            <w:r>
              <w:rPr>
                <w:rFonts w:hint="eastAsia" w:cs="宋体"/>
                <w:color w:val="auto"/>
                <w:lang w:eastAsia="zh-CN"/>
              </w:rPr>
              <w:t>淡家乐</w:t>
            </w:r>
            <w:r>
              <w:rPr>
                <w:rFonts w:ascii="宋体" w:eastAsia="宋体" w:cs="宋体"/>
                <w:color w:val="auto"/>
              </w:rPr>
              <w:t xml:space="preserve"> </w:t>
            </w:r>
          </w:p>
          <w:p w14:paraId="79C29209">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eastAsia" w:ascii="宋体" w:eastAsia="宋体" w:cs="宋体"/>
                <w:color w:val="auto"/>
                <w:lang w:eastAsia="zh-CN"/>
              </w:rPr>
            </w:pPr>
            <w:r>
              <w:rPr>
                <w:rFonts w:ascii="宋体" w:eastAsia="宋体" w:cs="宋体"/>
                <w:color w:val="auto"/>
              </w:rPr>
              <w:t>联系电话：</w:t>
            </w:r>
            <w:r>
              <w:rPr>
                <w:rFonts w:hint="eastAsia" w:cs="宋体"/>
                <w:color w:val="auto"/>
                <w:lang w:eastAsia="zh-CN"/>
              </w:rPr>
              <w:t>19990999923</w:t>
            </w:r>
          </w:p>
          <w:p w14:paraId="0A99F13E">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eastAsia" w:eastAsia="宋体" w:cs="宋体"/>
                <w:color w:val="auto"/>
                <w:lang w:eastAsia="zh-CN"/>
              </w:rPr>
            </w:pPr>
            <w:r>
              <w:rPr>
                <w:rFonts w:cs="宋体"/>
                <w:color w:val="auto"/>
              </w:rPr>
              <w:t>提交方式：纸质版递交至</w:t>
            </w:r>
            <w:r>
              <w:rPr>
                <w:rFonts w:hint="eastAsia" w:cs="宋体"/>
                <w:color w:val="auto"/>
                <w:lang w:eastAsia="zh-CN"/>
              </w:rPr>
              <w:t>新疆崇途工程项目管理有限公司</w:t>
            </w:r>
          </w:p>
          <w:p w14:paraId="4161A623">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ascii="Times New Roman" w:eastAsia="Times New Roman"/>
                <w:color w:val="auto"/>
              </w:rPr>
            </w:pPr>
            <w:r>
              <w:rPr>
                <w:rFonts w:cs="宋体"/>
                <w:color w:val="auto"/>
                <w:spacing w:val="-1"/>
              </w:rPr>
              <w:t>注：澄清、修改文件发出后，</w:t>
            </w:r>
            <w:r>
              <w:rPr>
                <w:rFonts w:hint="eastAsia" w:cs="宋体"/>
                <w:color w:val="auto"/>
                <w:spacing w:val="-1"/>
                <w:lang w:eastAsia="zh-CN"/>
              </w:rPr>
              <w:t>供应商</w:t>
            </w:r>
            <w:r>
              <w:rPr>
                <w:rFonts w:cs="宋体"/>
                <w:color w:val="auto"/>
                <w:spacing w:val="-1"/>
              </w:rPr>
              <w:t>必须使用最新的投标客户端制作电子投标文件，否则将无法完成上传。答疑接受</w:t>
            </w:r>
            <w:r>
              <w:rPr>
                <w:rFonts w:cs="宋体"/>
                <w:color w:val="auto"/>
                <w:spacing w:val="-108"/>
              </w:rPr>
              <w:t xml:space="preserve"> </w:t>
            </w:r>
            <w:r>
              <w:rPr>
                <w:rFonts w:cs="宋体"/>
                <w:color w:val="auto"/>
                <w:spacing w:val="9"/>
              </w:rPr>
              <w:t>时间内未要求澄清或答疑的视为接受招标文件中所有的内容。</w:t>
            </w:r>
          </w:p>
        </w:tc>
      </w:tr>
      <w:tr w14:paraId="2EA7FF63">
        <w:tblPrEx>
          <w:tblCellMar>
            <w:top w:w="0" w:type="dxa"/>
            <w:left w:w="0" w:type="dxa"/>
            <w:bottom w:w="0" w:type="dxa"/>
            <w:right w:w="0" w:type="dxa"/>
          </w:tblCellMar>
        </w:tblPrEx>
        <w:trPr>
          <w:trHeight w:val="478" w:hRule="exact"/>
          <w:tblHeader/>
          <w:jc w:val="cent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6271F4BD">
            <w:pPr>
              <w:pStyle w:val="25"/>
              <w:kinsoku w:val="0"/>
              <w:overflowPunct w:val="0"/>
              <w:spacing w:before="41"/>
              <w:jc w:val="center"/>
              <w:rPr>
                <w:rFonts w:hint="default" w:ascii="Times New Roman" w:eastAsia="Times New Roman"/>
                <w:color w:val="auto"/>
              </w:rPr>
            </w:pPr>
            <w:r>
              <w:rPr>
                <w:rFonts w:cs="宋体"/>
                <w:b/>
                <w:color w:val="auto"/>
              </w:rPr>
              <w:t>11</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5C2DEC6">
            <w:pPr>
              <w:pStyle w:val="25"/>
              <w:kinsoku w:val="0"/>
              <w:overflowPunct w:val="0"/>
              <w:spacing w:before="41"/>
              <w:jc w:val="center"/>
              <w:rPr>
                <w:rFonts w:hint="default" w:ascii="Times New Roman" w:eastAsia="Times New Roman"/>
                <w:color w:val="auto"/>
              </w:rPr>
            </w:pPr>
            <w:r>
              <w:rPr>
                <w:rFonts w:cs="宋体"/>
                <w:b/>
                <w:color w:val="auto"/>
              </w:rPr>
              <w:t>投标有效期</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162E2503">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rPr>
            </w:pPr>
            <w:r>
              <w:rPr>
                <w:rFonts w:cs="宋体"/>
                <w:color w:val="auto"/>
              </w:rPr>
              <w:t>自投标截止之日起</w:t>
            </w:r>
            <w:r>
              <w:rPr>
                <w:rFonts w:cs="宋体"/>
                <w:color w:val="auto"/>
                <w:spacing w:val="-60"/>
              </w:rPr>
              <w:t xml:space="preserve"> </w:t>
            </w:r>
            <w:r>
              <w:rPr>
                <w:rFonts w:cs="宋体"/>
                <w:color w:val="auto"/>
                <w:u w:val="single"/>
              </w:rPr>
              <w:t>90</w:t>
            </w:r>
            <w:r>
              <w:rPr>
                <w:rFonts w:cs="宋体"/>
                <w:color w:val="auto"/>
                <w:spacing w:val="-60"/>
                <w:u w:val="single"/>
              </w:rPr>
              <w:t xml:space="preserve"> </w:t>
            </w:r>
            <w:r>
              <w:rPr>
                <w:rFonts w:cs="宋体"/>
                <w:color w:val="auto"/>
              </w:rPr>
              <w:t>日历天。</w:t>
            </w:r>
          </w:p>
        </w:tc>
      </w:tr>
      <w:tr w14:paraId="70903FF0">
        <w:tblPrEx>
          <w:tblCellMar>
            <w:top w:w="0" w:type="dxa"/>
            <w:left w:w="0" w:type="dxa"/>
            <w:bottom w:w="0" w:type="dxa"/>
            <w:right w:w="0" w:type="dxa"/>
          </w:tblCellMar>
        </w:tblPrEx>
        <w:trPr>
          <w:trHeight w:val="906" w:hRule="exact"/>
          <w:tblHeader/>
          <w:jc w:val="cent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2DD03502">
            <w:pPr>
              <w:pStyle w:val="25"/>
              <w:kinsoku w:val="0"/>
              <w:overflowPunct w:val="0"/>
              <w:spacing w:before="11"/>
              <w:jc w:val="center"/>
              <w:rPr>
                <w:rFonts w:hint="default" w:ascii="Times New Roman" w:eastAsia="Times New Roman"/>
                <w:color w:val="auto"/>
                <w:sz w:val="23"/>
                <w:szCs w:val="23"/>
              </w:rPr>
            </w:pPr>
          </w:p>
          <w:p w14:paraId="10E53D8C">
            <w:pPr>
              <w:pStyle w:val="25"/>
              <w:kinsoku w:val="0"/>
              <w:overflowPunct w:val="0"/>
              <w:jc w:val="center"/>
              <w:rPr>
                <w:rFonts w:hint="default" w:ascii="Times New Roman" w:eastAsia="Times New Roman"/>
                <w:color w:val="auto"/>
              </w:rPr>
            </w:pPr>
            <w:r>
              <w:rPr>
                <w:rFonts w:cs="宋体"/>
                <w:b/>
                <w:color w:val="auto"/>
              </w:rPr>
              <w:t>12</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79DE387">
            <w:pPr>
              <w:pStyle w:val="25"/>
              <w:kinsoku w:val="0"/>
              <w:overflowPunct w:val="0"/>
              <w:spacing w:before="40"/>
              <w:jc w:val="center"/>
              <w:rPr>
                <w:rFonts w:hint="default" w:cs="宋体"/>
                <w:color w:val="auto"/>
              </w:rPr>
            </w:pPr>
            <w:r>
              <w:rPr>
                <w:rFonts w:cs="宋体"/>
                <w:b/>
                <w:color w:val="auto"/>
              </w:rPr>
              <w:t>投标截止时间</w:t>
            </w:r>
          </w:p>
          <w:p w14:paraId="61046512">
            <w:pPr>
              <w:pStyle w:val="25"/>
              <w:kinsoku w:val="0"/>
              <w:overflowPunct w:val="0"/>
              <w:spacing w:before="154"/>
              <w:jc w:val="center"/>
              <w:rPr>
                <w:rFonts w:hint="default" w:ascii="Times New Roman" w:eastAsia="Times New Roman"/>
                <w:color w:val="auto"/>
              </w:rPr>
            </w:pPr>
            <w:r>
              <w:rPr>
                <w:rFonts w:cs="宋体"/>
                <w:b/>
                <w:color w:val="auto"/>
              </w:rPr>
              <w:t>（开标时间）</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1D6C32AA">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sz w:val="23"/>
                <w:szCs w:val="23"/>
              </w:rPr>
            </w:pPr>
          </w:p>
          <w:p w14:paraId="02701E05">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rPr>
            </w:pPr>
            <w:r>
              <w:rPr>
                <w:rFonts w:cs="宋体"/>
                <w:color w:val="auto"/>
              </w:rPr>
              <w:t>截止时间：</w:t>
            </w:r>
            <w:r>
              <w:rPr>
                <w:rFonts w:hint="eastAsia" w:cs="宋体"/>
                <w:color w:val="auto"/>
                <w:lang w:eastAsia="zh-CN"/>
              </w:rPr>
              <w:t>2025年3月20日11:30</w:t>
            </w:r>
            <w:r>
              <w:rPr>
                <w:rFonts w:cs="宋体"/>
                <w:color w:val="auto"/>
              </w:rPr>
              <w:t>（北京时间）</w:t>
            </w:r>
          </w:p>
        </w:tc>
      </w:tr>
      <w:tr w14:paraId="2B4DB75E">
        <w:tblPrEx>
          <w:tblCellMar>
            <w:top w:w="0" w:type="dxa"/>
            <w:left w:w="0" w:type="dxa"/>
            <w:bottom w:w="0" w:type="dxa"/>
            <w:right w:w="0" w:type="dxa"/>
          </w:tblCellMar>
        </w:tblPrEx>
        <w:trPr>
          <w:trHeight w:val="1055" w:hRule="exact"/>
          <w:tblHeader/>
          <w:jc w:val="cent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08894429">
            <w:pPr>
              <w:pStyle w:val="25"/>
              <w:kinsoku w:val="0"/>
              <w:overflowPunct w:val="0"/>
              <w:jc w:val="center"/>
              <w:rPr>
                <w:rFonts w:hint="default" w:ascii="Times New Roman" w:eastAsia="Times New Roman"/>
                <w:color w:val="auto"/>
              </w:rPr>
            </w:pPr>
            <w:r>
              <w:rPr>
                <w:rFonts w:cs="宋体"/>
                <w:b/>
                <w:color w:val="auto"/>
              </w:rPr>
              <w:t>13</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EB9F454">
            <w:pPr>
              <w:pStyle w:val="25"/>
              <w:kinsoku w:val="0"/>
              <w:overflowPunct w:val="0"/>
              <w:spacing w:before="119" w:line="240" w:lineRule="auto"/>
              <w:ind w:left="121" w:right="121"/>
              <w:jc w:val="center"/>
              <w:rPr>
                <w:rFonts w:hint="default" w:ascii="Times New Roman" w:eastAsia="Times New Roman"/>
                <w:color w:val="auto"/>
              </w:rPr>
            </w:pPr>
            <w:r>
              <w:rPr>
                <w:rFonts w:hint="eastAsia" w:cs="宋体"/>
                <w:b/>
                <w:color w:val="auto"/>
                <w:lang w:eastAsia="zh-CN"/>
              </w:rPr>
              <w:t>供应商</w:t>
            </w:r>
            <w:r>
              <w:rPr>
                <w:rFonts w:cs="宋体"/>
                <w:b/>
                <w:color w:val="auto"/>
              </w:rPr>
              <w:t>在投标截止时间前提交的文件</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1AF61605">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sz w:val="21"/>
                <w:szCs w:val="21"/>
              </w:rPr>
            </w:pPr>
          </w:p>
          <w:p w14:paraId="00BBE7A8">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rPr>
            </w:pPr>
            <w:r>
              <w:rPr>
                <w:rFonts w:cs="宋体"/>
                <w:color w:val="auto"/>
              </w:rPr>
              <w:t>投标文件（具体要求见本表第</w:t>
            </w:r>
            <w:r>
              <w:rPr>
                <w:rFonts w:cs="宋体"/>
                <w:color w:val="auto"/>
                <w:spacing w:val="-61"/>
              </w:rPr>
              <w:t xml:space="preserve"> </w:t>
            </w:r>
            <w:r>
              <w:rPr>
                <w:rFonts w:cs="宋体"/>
                <w:color w:val="auto"/>
              </w:rPr>
              <w:t>15</w:t>
            </w:r>
            <w:r>
              <w:rPr>
                <w:rFonts w:cs="宋体"/>
                <w:color w:val="auto"/>
                <w:spacing w:val="-60"/>
              </w:rPr>
              <w:t xml:space="preserve"> </w:t>
            </w:r>
            <w:r>
              <w:rPr>
                <w:rFonts w:cs="宋体"/>
                <w:color w:val="auto"/>
              </w:rPr>
              <w:t>项）</w:t>
            </w:r>
          </w:p>
        </w:tc>
      </w:tr>
      <w:tr w14:paraId="581F035F">
        <w:tblPrEx>
          <w:tblCellMar>
            <w:top w:w="0" w:type="dxa"/>
            <w:left w:w="0" w:type="dxa"/>
            <w:bottom w:w="0" w:type="dxa"/>
            <w:right w:w="0" w:type="dxa"/>
          </w:tblCellMar>
        </w:tblPrEx>
        <w:trPr>
          <w:trHeight w:val="7435" w:hRule="exact"/>
          <w:tblHeader/>
          <w:jc w:val="cent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7E4782B4">
            <w:pPr>
              <w:pStyle w:val="25"/>
              <w:kinsoku w:val="0"/>
              <w:overflowPunct w:val="0"/>
              <w:jc w:val="center"/>
              <w:rPr>
                <w:rFonts w:hint="default" w:ascii="Times New Roman" w:eastAsia="Times New Roman"/>
                <w:color w:val="auto"/>
              </w:rPr>
            </w:pPr>
            <w:r>
              <w:rPr>
                <w:rFonts w:cs="宋体"/>
                <w:b/>
                <w:color w:val="auto"/>
              </w:rPr>
              <w:t>14</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9E1EA78">
            <w:pPr>
              <w:pStyle w:val="25"/>
              <w:kinsoku w:val="0"/>
              <w:overflowPunct w:val="0"/>
              <w:jc w:val="center"/>
              <w:rPr>
                <w:rFonts w:hint="default" w:ascii="Times New Roman" w:eastAsia="Times New Roman"/>
                <w:color w:val="auto"/>
              </w:rPr>
            </w:pPr>
            <w:r>
              <w:rPr>
                <w:rFonts w:cs="宋体"/>
                <w:b/>
                <w:color w:val="auto"/>
              </w:rPr>
              <w:t>投标文件份数</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4575EE2F">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cs="宋体"/>
                <w:color w:val="auto"/>
              </w:rPr>
            </w:pPr>
            <w:r>
              <w:rPr>
                <w:rFonts w:hAnsi="Segoe UI Symbol" w:cs="宋体"/>
                <w:color w:val="auto"/>
                <w:spacing w:val="3"/>
              </w:rPr>
              <w:t>1．本项目采用不见面开标、</w:t>
            </w:r>
            <w:r>
              <w:rPr>
                <w:rFonts w:hint="eastAsia" w:hAnsi="Segoe UI Symbol" w:cs="宋体"/>
                <w:color w:val="auto"/>
                <w:spacing w:val="3"/>
                <w:lang w:eastAsia="zh-CN"/>
              </w:rPr>
              <w:t>供应商</w:t>
            </w:r>
            <w:r>
              <w:rPr>
                <w:rFonts w:hAnsi="Segoe UI Symbol" w:cs="宋体"/>
                <w:color w:val="auto"/>
                <w:spacing w:val="3"/>
              </w:rPr>
              <w:t>需要递交电子投标文</w:t>
            </w:r>
            <w:r>
              <w:rPr>
                <w:rFonts w:cs="宋体"/>
                <w:color w:val="auto"/>
                <w:spacing w:val="-1"/>
              </w:rPr>
              <w:t>件，加密的电子投标文件，在投标截止时间前通过政采云</w:t>
            </w:r>
            <w:r>
              <w:rPr>
                <w:rFonts w:cs="宋体"/>
                <w:color w:val="auto"/>
                <w:spacing w:val="-108"/>
              </w:rPr>
              <w:t xml:space="preserve"> </w:t>
            </w:r>
            <w:r>
              <w:rPr>
                <w:rFonts w:cs="宋体"/>
                <w:color w:val="auto"/>
                <w:spacing w:val="-1"/>
              </w:rPr>
              <w:t>平台（</w:t>
            </w:r>
            <w:r>
              <w:rPr>
                <w:color w:val="auto"/>
              </w:rPr>
              <w:fldChar w:fldCharType="begin"/>
            </w:r>
            <w:r>
              <w:rPr>
                <w:color w:val="auto"/>
              </w:rPr>
              <w:instrText xml:space="preserve"> HYPERLINK "http://www.zcygov.cn/" </w:instrText>
            </w:r>
            <w:r>
              <w:rPr>
                <w:color w:val="auto"/>
              </w:rPr>
              <w:fldChar w:fldCharType="separate"/>
            </w:r>
            <w:r>
              <w:rPr>
                <w:rFonts w:cs="宋体"/>
                <w:color w:val="auto"/>
                <w:spacing w:val="-1"/>
              </w:rPr>
              <w:t>http://www.ccgp-xinjiang.gov.cn/</w:t>
            </w:r>
            <w:r>
              <w:rPr>
                <w:rFonts w:cs="宋体"/>
                <w:color w:val="auto"/>
                <w:spacing w:val="-1"/>
              </w:rPr>
              <w:fldChar w:fldCharType="end"/>
            </w:r>
            <w:r>
              <w:rPr>
                <w:rFonts w:cs="宋体"/>
                <w:color w:val="auto"/>
                <w:spacing w:val="-1"/>
              </w:rPr>
              <w:t>）上传到指定位置。无需</w:t>
            </w:r>
            <w:r>
              <w:rPr>
                <w:rFonts w:cs="宋体"/>
                <w:color w:val="auto"/>
              </w:rPr>
              <w:t>递交纸质文件。</w:t>
            </w:r>
          </w:p>
          <w:p w14:paraId="01CD1241">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jc w:val="both"/>
              <w:textAlignment w:val="auto"/>
              <w:rPr>
                <w:rFonts w:hint="default" w:cs="宋体"/>
                <w:color w:val="auto"/>
                <w:spacing w:val="19"/>
              </w:rPr>
            </w:pPr>
            <w:r>
              <w:rPr>
                <w:rFonts w:cs="宋体"/>
                <w:color w:val="auto"/>
                <w:spacing w:val="-1"/>
              </w:rPr>
              <w:t>2.本项目采用远程不见面交易的模式。开标当日，</w:t>
            </w:r>
            <w:r>
              <w:rPr>
                <w:rFonts w:hint="eastAsia" w:cs="宋体"/>
                <w:color w:val="auto"/>
                <w:spacing w:val="-1"/>
                <w:lang w:eastAsia="zh-CN"/>
              </w:rPr>
              <w:t>供应商</w:t>
            </w:r>
            <w:r>
              <w:rPr>
                <w:rFonts w:cs="宋体"/>
                <w:color w:val="auto"/>
                <w:spacing w:val="18"/>
              </w:rPr>
              <w:t>无需到达开标现场，</w:t>
            </w:r>
            <w:r>
              <w:rPr>
                <w:rFonts w:cs="宋体"/>
                <w:color w:val="auto"/>
                <w:spacing w:val="-95"/>
              </w:rPr>
              <w:t xml:space="preserve"> </w:t>
            </w:r>
            <w:r>
              <w:rPr>
                <w:rFonts w:cs="宋体"/>
                <w:color w:val="auto"/>
                <w:spacing w:val="19"/>
              </w:rPr>
              <w:t>仅需在任意地点通过政采云平台</w:t>
            </w:r>
          </w:p>
          <w:p w14:paraId="0092B70A">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jc w:val="both"/>
              <w:textAlignment w:val="auto"/>
              <w:rPr>
                <w:rFonts w:hint="default" w:cs="宋体"/>
                <w:color w:val="auto"/>
              </w:rPr>
            </w:pPr>
            <w:r>
              <w:rPr>
                <w:color w:val="auto"/>
              </w:rPr>
              <w:fldChar w:fldCharType="begin"/>
            </w:r>
            <w:r>
              <w:rPr>
                <w:color w:val="auto"/>
              </w:rPr>
              <w:instrText xml:space="preserve"> HYPERLINK "http://www.zcygov.cn/" </w:instrText>
            </w:r>
            <w:r>
              <w:rPr>
                <w:color w:val="auto"/>
              </w:rPr>
              <w:fldChar w:fldCharType="separate"/>
            </w:r>
            <w:r>
              <w:rPr>
                <w:rFonts w:cs="宋体"/>
                <w:color w:val="auto"/>
              </w:rPr>
              <w:t>（http://www.ccgp-xinjiang.gov.cn/</w:t>
            </w:r>
            <w:r>
              <w:rPr>
                <w:rFonts w:cs="宋体"/>
                <w:color w:val="auto"/>
              </w:rPr>
              <w:fldChar w:fldCharType="end"/>
            </w:r>
            <w:r>
              <w:rPr>
                <w:rFonts w:cs="宋体"/>
                <w:color w:val="auto"/>
              </w:rPr>
              <w:t>）完成远程解密、提疑澄清、开标唱标、结果公布等交互环节。</w:t>
            </w:r>
            <w:r>
              <w:rPr>
                <w:rFonts w:hint="eastAsia" w:cs="宋体"/>
                <w:color w:val="auto"/>
                <w:lang w:eastAsia="zh-CN"/>
              </w:rPr>
              <w:t>供应商</w:t>
            </w:r>
            <w:r>
              <w:rPr>
                <w:rFonts w:cs="宋体"/>
                <w:color w:val="auto"/>
              </w:rPr>
              <w:t>必须使用能正确解密投标文件的“CA</w:t>
            </w:r>
            <w:r>
              <w:rPr>
                <w:rFonts w:cs="宋体"/>
                <w:color w:val="auto"/>
                <w:spacing w:val="-61"/>
              </w:rPr>
              <w:t xml:space="preserve"> </w:t>
            </w:r>
            <w:r>
              <w:rPr>
                <w:rFonts w:cs="宋体"/>
                <w:color w:val="auto"/>
              </w:rPr>
              <w:t>锁”在规定的时间内完成远程解密，因</w:t>
            </w:r>
            <w:r>
              <w:rPr>
                <w:rFonts w:hint="eastAsia" w:cs="宋体"/>
                <w:color w:val="auto"/>
                <w:lang w:eastAsia="zh-CN"/>
              </w:rPr>
              <w:t>供应商</w:t>
            </w:r>
            <w:r>
              <w:rPr>
                <w:rFonts w:cs="宋体"/>
                <w:color w:val="auto"/>
              </w:rPr>
              <w:t>原因未能解密、解密失败或解密超时，视为</w:t>
            </w:r>
            <w:r>
              <w:rPr>
                <w:rFonts w:hint="eastAsia" w:cs="宋体"/>
                <w:color w:val="auto"/>
                <w:lang w:eastAsia="zh-CN"/>
              </w:rPr>
              <w:t>供应商</w:t>
            </w:r>
            <w:r>
              <w:rPr>
                <w:rFonts w:cs="宋体"/>
                <w:color w:val="auto"/>
              </w:rPr>
              <w:t>撤销其投标文件，系统内投标文件将被退回；因采购人原因或网上招投标平台发生故障，导致无法按时完成投标文件解密或开、评标工作无法进行的，可根据实际情况相应延迟解密时间或调整开、评标时间（友情提示：若</w:t>
            </w:r>
            <w:r>
              <w:rPr>
                <w:rFonts w:hint="eastAsia" w:cs="宋体"/>
                <w:color w:val="auto"/>
                <w:lang w:eastAsia="zh-CN"/>
              </w:rPr>
              <w:t>供应商</w:t>
            </w:r>
            <w:r>
              <w:rPr>
                <w:rFonts w:cs="宋体"/>
                <w:color w:val="auto"/>
              </w:rPr>
              <w:t>已领取副锁（含多把副锁）请注意正副锁的使用差别，务必使用生成投标文件的那把锁解密）。</w:t>
            </w:r>
          </w:p>
          <w:p w14:paraId="20615DB0">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jc w:val="both"/>
              <w:textAlignment w:val="auto"/>
              <w:rPr>
                <w:rFonts w:hint="eastAsia" w:ascii="Times New Roman" w:eastAsia="宋体"/>
                <w:color w:val="auto"/>
                <w:lang w:eastAsia="zh-CN"/>
              </w:rPr>
            </w:pPr>
            <w:r>
              <w:rPr>
                <w:rFonts w:cs="宋体"/>
                <w:color w:val="auto"/>
              </w:rPr>
              <w:t>3.</w:t>
            </w:r>
            <w:r>
              <w:rPr>
                <w:rFonts w:cs="宋体"/>
                <w:color w:val="auto"/>
                <w:spacing w:val="-22"/>
              </w:rPr>
              <w:t xml:space="preserve"> </w:t>
            </w:r>
            <w:r>
              <w:rPr>
                <w:rFonts w:cs="宋体"/>
                <w:color w:val="auto"/>
              </w:rPr>
              <w:t>远</w:t>
            </w:r>
            <w:r>
              <w:rPr>
                <w:rFonts w:cs="宋体"/>
                <w:color w:val="auto"/>
                <w:spacing w:val="-22"/>
              </w:rPr>
              <w:t xml:space="preserve"> </w:t>
            </w:r>
            <w:r>
              <w:rPr>
                <w:rFonts w:cs="宋体"/>
                <w:color w:val="auto"/>
              </w:rPr>
              <w:t>程</w:t>
            </w:r>
            <w:r>
              <w:rPr>
                <w:rFonts w:cs="宋体"/>
                <w:color w:val="auto"/>
                <w:spacing w:val="-22"/>
              </w:rPr>
              <w:t xml:space="preserve"> </w:t>
            </w:r>
            <w:r>
              <w:rPr>
                <w:rFonts w:cs="宋体"/>
                <w:color w:val="auto"/>
              </w:rPr>
              <w:t>开</w:t>
            </w:r>
            <w:r>
              <w:rPr>
                <w:rFonts w:cs="宋体"/>
                <w:color w:val="auto"/>
                <w:spacing w:val="-22"/>
              </w:rPr>
              <w:t xml:space="preserve"> </w:t>
            </w:r>
            <w:r>
              <w:rPr>
                <w:rFonts w:cs="宋体"/>
                <w:color w:val="auto"/>
              </w:rPr>
              <w:t>标</w:t>
            </w:r>
            <w:r>
              <w:rPr>
                <w:rFonts w:cs="宋体"/>
                <w:color w:val="auto"/>
                <w:spacing w:val="-24"/>
              </w:rPr>
              <w:t xml:space="preserve"> </w:t>
            </w:r>
            <w:r>
              <w:rPr>
                <w:rFonts w:cs="宋体"/>
                <w:color w:val="auto"/>
              </w:rPr>
              <w:t>前</w:t>
            </w:r>
            <w:r>
              <w:rPr>
                <w:rFonts w:cs="宋体"/>
                <w:color w:val="auto"/>
                <w:spacing w:val="-22"/>
              </w:rPr>
              <w:t xml:space="preserve"> </w:t>
            </w:r>
            <w:r>
              <w:rPr>
                <w:rFonts w:cs="宋体"/>
                <w:color w:val="auto"/>
              </w:rPr>
              <w:t>，</w:t>
            </w:r>
            <w:r>
              <w:rPr>
                <w:rFonts w:cs="宋体"/>
                <w:color w:val="auto"/>
                <w:spacing w:val="-22"/>
              </w:rPr>
              <w:t xml:space="preserve"> </w:t>
            </w:r>
            <w:r>
              <w:rPr>
                <w:rFonts w:cs="宋体"/>
                <w:color w:val="auto"/>
              </w:rPr>
              <w:t>投</w:t>
            </w:r>
            <w:r>
              <w:rPr>
                <w:rFonts w:cs="宋体"/>
                <w:color w:val="auto"/>
                <w:spacing w:val="-22"/>
              </w:rPr>
              <w:t xml:space="preserve"> </w:t>
            </w:r>
            <w:r>
              <w:rPr>
                <w:rFonts w:cs="宋体"/>
                <w:color w:val="auto"/>
              </w:rPr>
              <w:t>标</w:t>
            </w:r>
            <w:r>
              <w:rPr>
                <w:rFonts w:cs="宋体"/>
                <w:color w:val="auto"/>
                <w:spacing w:val="-22"/>
              </w:rPr>
              <w:t xml:space="preserve"> </w:t>
            </w:r>
            <w:r>
              <w:rPr>
                <w:rFonts w:cs="宋体"/>
                <w:color w:val="auto"/>
              </w:rPr>
              <w:t>人</w:t>
            </w:r>
            <w:r>
              <w:rPr>
                <w:rFonts w:cs="宋体"/>
                <w:color w:val="auto"/>
                <w:spacing w:val="-22"/>
              </w:rPr>
              <w:t xml:space="preserve"> </w:t>
            </w:r>
            <w:r>
              <w:rPr>
                <w:rFonts w:cs="宋体"/>
                <w:color w:val="auto"/>
              </w:rPr>
              <w:t>务</w:t>
            </w:r>
            <w:r>
              <w:rPr>
                <w:rFonts w:cs="宋体"/>
                <w:color w:val="auto"/>
                <w:spacing w:val="-22"/>
              </w:rPr>
              <w:t xml:space="preserve"> </w:t>
            </w:r>
            <w:r>
              <w:rPr>
                <w:rFonts w:cs="宋体"/>
                <w:color w:val="auto"/>
              </w:rPr>
              <w:t>必</w:t>
            </w:r>
            <w:r>
              <w:rPr>
                <w:rFonts w:cs="宋体"/>
                <w:color w:val="auto"/>
                <w:spacing w:val="-24"/>
              </w:rPr>
              <w:t xml:space="preserve"> </w:t>
            </w:r>
            <w:r>
              <w:rPr>
                <w:rFonts w:cs="宋体"/>
                <w:color w:val="auto"/>
              </w:rPr>
              <w:t>在</w:t>
            </w:r>
            <w:r>
              <w:rPr>
                <w:rFonts w:cs="宋体"/>
                <w:color w:val="auto"/>
                <w:spacing w:val="-22"/>
              </w:rPr>
              <w:t xml:space="preserve"> </w:t>
            </w:r>
            <w:r>
              <w:rPr>
                <w:rFonts w:cs="宋体"/>
                <w:color w:val="auto"/>
              </w:rPr>
              <w:t>政</w:t>
            </w:r>
            <w:r>
              <w:rPr>
                <w:rFonts w:cs="宋体"/>
                <w:color w:val="auto"/>
                <w:spacing w:val="-22"/>
              </w:rPr>
              <w:t xml:space="preserve"> </w:t>
            </w:r>
            <w:r>
              <w:rPr>
                <w:rFonts w:cs="宋体"/>
                <w:color w:val="auto"/>
              </w:rPr>
              <w:t>采</w:t>
            </w:r>
            <w:r>
              <w:rPr>
                <w:rFonts w:cs="宋体"/>
                <w:color w:val="auto"/>
                <w:spacing w:val="-22"/>
              </w:rPr>
              <w:t xml:space="preserve"> </w:t>
            </w:r>
            <w:r>
              <w:rPr>
                <w:rFonts w:cs="宋体"/>
                <w:color w:val="auto"/>
              </w:rPr>
              <w:t>云</w:t>
            </w:r>
            <w:r>
              <w:rPr>
                <w:rFonts w:cs="宋体"/>
                <w:color w:val="auto"/>
                <w:spacing w:val="-22"/>
              </w:rPr>
              <w:t xml:space="preserve"> </w:t>
            </w:r>
            <w:r>
              <w:rPr>
                <w:rFonts w:cs="宋体"/>
                <w:color w:val="auto"/>
              </w:rPr>
              <w:t>平</w:t>
            </w:r>
            <w:r>
              <w:rPr>
                <w:rFonts w:cs="宋体"/>
                <w:color w:val="auto"/>
                <w:spacing w:val="-24"/>
              </w:rPr>
              <w:t xml:space="preserve"> </w:t>
            </w:r>
            <w:r>
              <w:rPr>
                <w:rFonts w:cs="宋体"/>
                <w:color w:val="auto"/>
              </w:rPr>
              <w:t>台</w:t>
            </w:r>
            <w:r>
              <w:rPr>
                <w:rFonts w:cs="宋体"/>
                <w:color w:val="auto"/>
                <w:spacing w:val="6"/>
              </w:rPr>
              <w:t>（</w:t>
            </w:r>
            <w:r>
              <w:rPr>
                <w:color w:val="auto"/>
              </w:rPr>
              <w:fldChar w:fldCharType="begin"/>
            </w:r>
            <w:r>
              <w:rPr>
                <w:color w:val="auto"/>
              </w:rPr>
              <w:instrText xml:space="preserve"> HYPERLINK "http://www.zcygov.cn/" </w:instrText>
            </w:r>
            <w:r>
              <w:rPr>
                <w:color w:val="auto"/>
              </w:rPr>
              <w:fldChar w:fldCharType="separate"/>
            </w:r>
            <w:r>
              <w:rPr>
                <w:rFonts w:cs="宋体"/>
                <w:color w:val="auto"/>
                <w:spacing w:val="6"/>
              </w:rPr>
              <w:t>http://www.ccgp-xinjiang.gov.cn/</w:t>
            </w:r>
            <w:r>
              <w:rPr>
                <w:rFonts w:cs="宋体"/>
                <w:color w:val="auto"/>
                <w:spacing w:val="6"/>
              </w:rPr>
              <w:fldChar w:fldCharType="end"/>
            </w:r>
            <w:r>
              <w:rPr>
                <w:rFonts w:cs="宋体"/>
                <w:color w:val="auto"/>
                <w:spacing w:val="6"/>
              </w:rPr>
              <w:t>）投标文件上传模块中使用</w:t>
            </w:r>
            <w:r>
              <w:rPr>
                <w:rFonts w:cs="宋体"/>
                <w:color w:val="auto"/>
                <w:spacing w:val="-111"/>
              </w:rPr>
              <w:t xml:space="preserve"> </w:t>
            </w:r>
            <w:r>
              <w:rPr>
                <w:rFonts w:cs="宋体"/>
                <w:color w:val="auto"/>
              </w:rPr>
              <w:t>“模拟解密”功能，验证本机远程自助解密环境</w:t>
            </w:r>
            <w:r>
              <w:rPr>
                <w:rFonts w:hint="eastAsia" w:cs="宋体"/>
                <w:color w:val="auto"/>
                <w:lang w:eastAsia="zh-CN"/>
              </w:rPr>
              <w:t>。</w:t>
            </w:r>
          </w:p>
        </w:tc>
      </w:tr>
      <w:tr w14:paraId="3CFD089A">
        <w:tblPrEx>
          <w:tblCellMar>
            <w:top w:w="0" w:type="dxa"/>
            <w:left w:w="0" w:type="dxa"/>
            <w:bottom w:w="0" w:type="dxa"/>
            <w:right w:w="0" w:type="dxa"/>
          </w:tblCellMar>
        </w:tblPrEx>
        <w:trPr>
          <w:trHeight w:val="3162"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07C3CECA">
            <w:pPr>
              <w:pStyle w:val="25"/>
              <w:kinsoku w:val="0"/>
              <w:overflowPunct w:val="0"/>
              <w:jc w:val="center"/>
              <w:rPr>
                <w:rFonts w:hint="default" w:ascii="Times New Roman" w:eastAsia="Times New Roman"/>
                <w:color w:val="auto"/>
              </w:rPr>
            </w:pPr>
            <w:r>
              <w:rPr>
                <w:rFonts w:cs="宋体"/>
                <w:b/>
                <w:color w:val="auto"/>
              </w:rPr>
              <w:t>15</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4A4FB32">
            <w:pPr>
              <w:pStyle w:val="25"/>
              <w:kinsoku w:val="0"/>
              <w:overflowPunct w:val="0"/>
              <w:jc w:val="center"/>
              <w:rPr>
                <w:rFonts w:hint="default" w:ascii="Times New Roman" w:eastAsia="Times New Roman"/>
                <w:color w:val="auto"/>
              </w:rPr>
            </w:pPr>
            <w:r>
              <w:rPr>
                <w:rFonts w:cs="宋体"/>
                <w:b/>
                <w:color w:val="auto"/>
              </w:rPr>
              <w:t>开标时间及地点</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547891D3">
            <w:pPr>
              <w:pStyle w:val="25"/>
              <w:keepNext w:val="0"/>
              <w:keepLines w:val="0"/>
              <w:pageBreakBefore w:val="0"/>
              <w:widowControl w:val="0"/>
              <w:kinsoku w:val="0"/>
              <w:wordWrap/>
              <w:overflowPunct w:val="0"/>
              <w:topLinePunct w:val="0"/>
              <w:autoSpaceDE w:val="0"/>
              <w:autoSpaceDN w:val="0"/>
              <w:bidi w:val="0"/>
              <w:adjustRightInd w:val="0"/>
              <w:spacing w:line="318" w:lineRule="exact"/>
              <w:ind w:left="0" w:right="0" w:firstLine="2"/>
              <w:textAlignment w:val="auto"/>
              <w:rPr>
                <w:rFonts w:hint="default" w:hAnsi="Segoe UI Symbol" w:cs="宋体"/>
                <w:color w:val="auto"/>
              </w:rPr>
            </w:pPr>
            <w:r>
              <w:rPr>
                <w:rFonts w:hint="default" w:ascii="Segoe UI Symbol" w:hAnsi="Segoe UI Symbol" w:cs="Segoe UI Symbol"/>
                <w:color w:val="auto"/>
              </w:rPr>
              <w:t>☑</w:t>
            </w:r>
            <w:r>
              <w:rPr>
                <w:rFonts w:hint="default" w:ascii="Segoe UI Symbol" w:hAnsi="Segoe UI Symbol" w:cs="Segoe UI Symbol"/>
                <w:color w:val="auto"/>
                <w:spacing w:val="-35"/>
              </w:rPr>
              <w:t xml:space="preserve"> </w:t>
            </w:r>
            <w:r>
              <w:rPr>
                <w:rFonts w:hAnsi="Segoe UI Symbol" w:cs="宋体"/>
                <w:b/>
                <w:color w:val="auto"/>
              </w:rPr>
              <w:t>采用不见面开标：</w:t>
            </w:r>
          </w:p>
          <w:p w14:paraId="09499E60">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hanging="3"/>
              <w:textAlignment w:val="auto"/>
              <w:rPr>
                <w:rFonts w:cs="宋体"/>
                <w:color w:val="auto"/>
              </w:rPr>
            </w:pPr>
            <w:r>
              <w:rPr>
                <w:rFonts w:cs="宋体"/>
                <w:color w:val="auto"/>
              </w:rPr>
              <w:t>开标时间：同投标截止时间</w:t>
            </w:r>
          </w:p>
          <w:p w14:paraId="1B245F4B">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hanging="3"/>
              <w:textAlignment w:val="auto"/>
              <w:rPr>
                <w:rFonts w:cs="宋体"/>
                <w:color w:val="auto"/>
              </w:rPr>
            </w:pPr>
            <w:r>
              <w:rPr>
                <w:rFonts w:cs="宋体"/>
                <w:color w:val="auto"/>
              </w:rPr>
              <w:t>开标地点：远程不见面开标大厅</w:t>
            </w:r>
          </w:p>
          <w:p w14:paraId="047BDA1E">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hanging="3"/>
              <w:textAlignment w:val="auto"/>
              <w:rPr>
                <w:rFonts w:cs="宋体"/>
                <w:color w:val="auto"/>
                <w:u w:val="single"/>
              </w:rPr>
            </w:pPr>
            <w:r>
              <w:rPr>
                <w:rFonts w:cs="宋体"/>
                <w:color w:val="auto"/>
              </w:rPr>
              <w:t>不见面开标默认解密时长：</w:t>
            </w:r>
            <w:r>
              <w:rPr>
                <w:rFonts w:hint="eastAsia" w:cs="宋体"/>
                <w:color w:val="auto"/>
                <w:u w:val="single"/>
                <w:lang w:val="en-US" w:eastAsia="zh-CN"/>
              </w:rPr>
              <w:t>3</w:t>
            </w:r>
            <w:r>
              <w:rPr>
                <w:rFonts w:cs="宋体"/>
                <w:color w:val="auto"/>
                <w:u w:val="single"/>
              </w:rPr>
              <w:t>0</w:t>
            </w:r>
            <w:r>
              <w:rPr>
                <w:rFonts w:cs="宋体"/>
                <w:color w:val="auto"/>
                <w:spacing w:val="-61"/>
                <w:u w:val="single"/>
              </w:rPr>
              <w:t xml:space="preserve"> </w:t>
            </w:r>
            <w:r>
              <w:rPr>
                <w:rFonts w:cs="宋体"/>
                <w:color w:val="auto"/>
                <w:u w:val="single"/>
              </w:rPr>
              <w:t>分钟</w:t>
            </w:r>
          </w:p>
          <w:p w14:paraId="257A32E2">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hanging="3"/>
              <w:textAlignment w:val="auto"/>
              <w:rPr>
                <w:rFonts w:hint="default" w:ascii="Times New Roman" w:eastAsia="Times New Roman"/>
                <w:color w:val="auto"/>
              </w:rPr>
            </w:pPr>
            <w:r>
              <w:rPr>
                <w:rFonts w:cs="宋体"/>
                <w:color w:val="auto"/>
                <w:spacing w:val="-1"/>
              </w:rPr>
              <w:t>关于能否延长解密时间的约定：</w:t>
            </w:r>
            <w:r>
              <w:rPr>
                <w:rFonts w:cs="宋体"/>
                <w:b/>
                <w:color w:val="auto"/>
                <w:spacing w:val="-1"/>
              </w:rPr>
              <w:t>不进行延长，除因交易平</w:t>
            </w:r>
            <w:r>
              <w:rPr>
                <w:rFonts w:cs="宋体"/>
                <w:b/>
                <w:color w:val="auto"/>
                <w:spacing w:val="-1"/>
                <w:w w:val="95"/>
              </w:rPr>
              <w:t>台发生故障导致投标（响应）文件无法按时解密外，投标</w:t>
            </w:r>
            <w:r>
              <w:rPr>
                <w:rFonts w:cs="宋体"/>
                <w:b/>
                <w:color w:val="auto"/>
              </w:rPr>
              <w:t>（响应）文件未按时解密的，视为未按规定提交投标（响应）文件，后果自行承担。</w:t>
            </w:r>
          </w:p>
        </w:tc>
      </w:tr>
      <w:tr w14:paraId="77716DF1">
        <w:tblPrEx>
          <w:tblCellMar>
            <w:top w:w="0" w:type="dxa"/>
            <w:left w:w="0" w:type="dxa"/>
            <w:bottom w:w="0" w:type="dxa"/>
            <w:right w:w="0" w:type="dxa"/>
          </w:tblCellMar>
        </w:tblPrEx>
        <w:trPr>
          <w:trHeight w:val="911"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0C03230C">
            <w:pPr>
              <w:pStyle w:val="25"/>
              <w:kinsoku w:val="0"/>
              <w:overflowPunct w:val="0"/>
              <w:jc w:val="center"/>
              <w:rPr>
                <w:rFonts w:hint="default" w:ascii="Times New Roman" w:eastAsia="Times New Roman"/>
                <w:color w:val="auto"/>
              </w:rPr>
            </w:pPr>
            <w:r>
              <w:rPr>
                <w:rFonts w:cs="宋体"/>
                <w:b/>
                <w:color w:val="auto"/>
              </w:rPr>
              <w:t>16</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0EC9DDB">
            <w:pPr>
              <w:pStyle w:val="25"/>
              <w:kinsoku w:val="0"/>
              <w:overflowPunct w:val="0"/>
              <w:jc w:val="center"/>
              <w:rPr>
                <w:rFonts w:hint="default" w:ascii="Times New Roman" w:eastAsia="Times New Roman"/>
                <w:color w:val="auto"/>
              </w:rPr>
            </w:pPr>
            <w:r>
              <w:rPr>
                <w:rFonts w:cs="宋体"/>
                <w:b/>
                <w:color w:val="auto"/>
              </w:rPr>
              <w:t>评标委员会的组成</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4A92D308">
            <w:pPr>
              <w:pStyle w:val="25"/>
              <w:keepNext w:val="0"/>
              <w:keepLines w:val="0"/>
              <w:pageBreakBefore w:val="0"/>
              <w:widowControl w:val="0"/>
              <w:tabs>
                <w:tab w:val="left" w:pos="4800"/>
              </w:tabs>
              <w:kinsoku w:val="0"/>
              <w:wordWrap/>
              <w:overflowPunct w:val="0"/>
              <w:topLinePunct w:val="0"/>
              <w:autoSpaceDE w:val="0"/>
              <w:autoSpaceDN w:val="0"/>
              <w:bidi w:val="0"/>
              <w:adjustRightInd w:val="0"/>
              <w:spacing w:line="357" w:lineRule="auto"/>
              <w:ind w:left="0" w:right="0" w:rightChars="0"/>
              <w:textAlignment w:val="auto"/>
              <w:rPr>
                <w:rFonts w:ascii="宋体" w:eastAsia="宋体" w:cs="宋体"/>
                <w:color w:val="auto"/>
              </w:rPr>
            </w:pPr>
            <w:r>
              <w:rPr>
                <w:rFonts w:ascii="宋体" w:eastAsia="宋体" w:cs="宋体"/>
                <w:color w:val="auto"/>
              </w:rPr>
              <w:t>评标委员会构成：5 人，其中招标人代表 1 人</w:t>
            </w:r>
          </w:p>
          <w:p w14:paraId="3A2EA5F5">
            <w:pPr>
              <w:pStyle w:val="25"/>
              <w:keepNext w:val="0"/>
              <w:keepLines w:val="0"/>
              <w:pageBreakBefore w:val="0"/>
              <w:widowControl w:val="0"/>
              <w:tabs>
                <w:tab w:val="left" w:pos="4800"/>
              </w:tabs>
              <w:kinsoku w:val="0"/>
              <w:wordWrap/>
              <w:overflowPunct w:val="0"/>
              <w:topLinePunct w:val="0"/>
              <w:autoSpaceDE w:val="0"/>
              <w:autoSpaceDN w:val="0"/>
              <w:bidi w:val="0"/>
              <w:adjustRightInd w:val="0"/>
              <w:spacing w:line="357" w:lineRule="auto"/>
              <w:ind w:left="0" w:right="0" w:rightChars="0"/>
              <w:textAlignment w:val="auto"/>
              <w:rPr>
                <w:rFonts w:hint="default" w:ascii="Times New Roman" w:eastAsia="Times New Roman"/>
                <w:color w:val="auto"/>
              </w:rPr>
            </w:pPr>
            <w:r>
              <w:rPr>
                <w:rFonts w:ascii="宋体" w:eastAsia="宋体" w:cs="宋体"/>
                <w:color w:val="auto"/>
              </w:rPr>
              <w:t>评委确定方式：政采云专家库中抽取</w:t>
            </w:r>
          </w:p>
        </w:tc>
      </w:tr>
      <w:tr w14:paraId="40A648C3">
        <w:tblPrEx>
          <w:tblCellMar>
            <w:top w:w="0" w:type="dxa"/>
            <w:left w:w="0" w:type="dxa"/>
            <w:bottom w:w="0" w:type="dxa"/>
            <w:right w:w="0" w:type="dxa"/>
          </w:tblCellMar>
        </w:tblPrEx>
        <w:trPr>
          <w:trHeight w:val="6030" w:hRule="exact"/>
          <w:tblHeader/>
        </w:trPr>
        <w:tc>
          <w:tcPr>
            <w:tcW w:w="250" w:type="pct"/>
            <w:tcBorders>
              <w:top w:val="single" w:color="000000" w:sz="4" w:space="0"/>
              <w:left w:val="single" w:color="000000" w:sz="4" w:space="0"/>
              <w:right w:val="single" w:color="000000" w:sz="4" w:space="0"/>
              <w:tl2br w:val="nil"/>
              <w:tr2bl w:val="nil"/>
            </w:tcBorders>
            <w:vAlign w:val="center"/>
          </w:tcPr>
          <w:p w14:paraId="488A3818">
            <w:pPr>
              <w:pStyle w:val="25"/>
              <w:kinsoku w:val="0"/>
              <w:overflowPunct w:val="0"/>
              <w:jc w:val="center"/>
              <w:rPr>
                <w:rFonts w:hint="default" w:cs="宋体"/>
                <w:b/>
                <w:color w:val="auto"/>
              </w:rPr>
            </w:pPr>
            <w:r>
              <w:rPr>
                <w:rFonts w:cs="宋体"/>
                <w:b/>
                <w:color w:val="auto"/>
              </w:rPr>
              <w:t>17</w:t>
            </w:r>
          </w:p>
        </w:tc>
        <w:tc>
          <w:tcPr>
            <w:tcW w:w="945" w:type="pct"/>
            <w:gridSpan w:val="2"/>
            <w:tcBorders>
              <w:top w:val="single" w:color="000000" w:sz="4" w:space="0"/>
              <w:left w:val="single" w:color="000000" w:sz="4" w:space="0"/>
              <w:right w:val="single" w:color="000000" w:sz="4" w:space="0"/>
              <w:tl2br w:val="nil"/>
              <w:tr2bl w:val="nil"/>
            </w:tcBorders>
            <w:vAlign w:val="center"/>
          </w:tcPr>
          <w:p w14:paraId="44D46F61">
            <w:pPr>
              <w:pStyle w:val="25"/>
              <w:kinsoku w:val="0"/>
              <w:overflowPunct w:val="0"/>
              <w:jc w:val="center"/>
              <w:rPr>
                <w:rFonts w:hint="default" w:cs="宋体"/>
                <w:b/>
                <w:color w:val="auto"/>
              </w:rPr>
            </w:pPr>
            <w:r>
              <w:rPr>
                <w:rFonts w:cs="宋体"/>
                <w:b/>
                <w:color w:val="auto"/>
              </w:rPr>
              <w:t>投标保证金</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758D2421">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rPr>
            </w:pPr>
            <w:r>
              <w:rPr>
                <w:rFonts w:hint="eastAsia" w:cs="宋体"/>
                <w:color w:val="auto"/>
              </w:rPr>
              <w:t>缴纳方式：以支票、汇票、本票或者金融机构、担保机构出具的保函等非现金形式提交</w:t>
            </w:r>
          </w:p>
          <w:p w14:paraId="0255648A">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r>
              <w:rPr>
                <w:rFonts w:hint="eastAsia" w:cs="宋体"/>
                <w:color w:val="auto"/>
              </w:rPr>
              <w:t>金额（小写）：</w:t>
            </w:r>
            <w:r>
              <w:rPr>
                <w:rFonts w:hint="eastAsia" w:cs="宋体"/>
                <w:color w:val="auto"/>
                <w:lang w:val="en-US" w:eastAsia="zh-CN"/>
              </w:rPr>
              <w:t>15000.00</w:t>
            </w:r>
            <w:r>
              <w:rPr>
                <w:rFonts w:hint="eastAsia" w:cs="宋体"/>
                <w:color w:val="auto"/>
              </w:rPr>
              <w:t>元</w:t>
            </w:r>
          </w:p>
          <w:p w14:paraId="6F979CE5">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r>
              <w:rPr>
                <w:rFonts w:hint="eastAsia" w:cs="宋体"/>
                <w:color w:val="auto"/>
              </w:rPr>
              <w:t>金额（大写）：</w:t>
            </w:r>
            <w:r>
              <w:rPr>
                <w:rFonts w:hint="eastAsia" w:cs="宋体"/>
                <w:color w:val="auto"/>
                <w:lang w:val="en-US" w:eastAsia="zh-CN"/>
              </w:rPr>
              <w:t>壹万伍仟元整</w:t>
            </w:r>
          </w:p>
          <w:p w14:paraId="1BE09042">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lang w:eastAsia="zh-CN"/>
              </w:rPr>
            </w:pPr>
            <w:r>
              <w:rPr>
                <w:rFonts w:hint="eastAsia" w:cs="宋体"/>
                <w:color w:val="auto"/>
              </w:rPr>
              <w:t>单位名称：</w:t>
            </w:r>
            <w:r>
              <w:rPr>
                <w:rFonts w:hint="eastAsia" w:cs="宋体"/>
                <w:color w:val="auto"/>
                <w:lang w:eastAsia="zh-CN"/>
              </w:rPr>
              <w:t>新疆崇途工程项目管理有限公司</w:t>
            </w:r>
          </w:p>
          <w:p w14:paraId="314308A1">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lang w:eastAsia="zh-CN"/>
              </w:rPr>
            </w:pPr>
            <w:r>
              <w:rPr>
                <w:rFonts w:hint="eastAsia" w:cs="宋体"/>
                <w:color w:val="auto"/>
              </w:rPr>
              <w:t>开户银行：</w:t>
            </w:r>
            <w:r>
              <w:rPr>
                <w:rFonts w:hint="eastAsia" w:cs="宋体"/>
                <w:color w:val="auto"/>
                <w:lang w:eastAsia="zh-CN"/>
              </w:rPr>
              <w:t>中国建设银行股份有限公司伊犁哈萨克自治州分行营业部</w:t>
            </w:r>
          </w:p>
          <w:p w14:paraId="17450AA7">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lang w:eastAsia="zh-CN"/>
              </w:rPr>
            </w:pPr>
            <w:r>
              <w:rPr>
                <w:rFonts w:hint="eastAsia" w:cs="宋体"/>
                <w:color w:val="auto"/>
              </w:rPr>
              <w:t>银行账号：</w:t>
            </w:r>
            <w:r>
              <w:rPr>
                <w:rFonts w:hint="eastAsia" w:cs="宋体"/>
                <w:color w:val="auto"/>
                <w:lang w:eastAsia="zh-CN"/>
              </w:rPr>
              <w:t>65050165605700001964</w:t>
            </w:r>
          </w:p>
          <w:p w14:paraId="5EFFB10C">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lang w:eastAsia="zh-CN"/>
              </w:rPr>
            </w:pPr>
            <w:r>
              <w:rPr>
                <w:rFonts w:hint="eastAsia" w:cs="宋体"/>
                <w:color w:val="auto"/>
              </w:rPr>
              <w:t>行    号：</w:t>
            </w:r>
            <w:r>
              <w:rPr>
                <w:rFonts w:hint="eastAsia" w:cs="宋体"/>
                <w:color w:val="auto"/>
                <w:lang w:eastAsia="zh-CN"/>
              </w:rPr>
              <w:t>105898000026</w:t>
            </w:r>
          </w:p>
          <w:p w14:paraId="695CD14E">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r>
              <w:rPr>
                <w:rFonts w:hint="eastAsia" w:cs="宋体"/>
                <w:color w:val="auto"/>
              </w:rPr>
              <w:t>打款备注：项目名称、</w:t>
            </w:r>
            <w:r>
              <w:rPr>
                <w:rFonts w:hint="eastAsia" w:cs="宋体"/>
                <w:color w:val="auto"/>
                <w:lang w:val="en-US" w:eastAsia="zh-CN"/>
              </w:rPr>
              <w:t>编</w:t>
            </w:r>
            <w:r>
              <w:rPr>
                <w:rFonts w:hint="eastAsia" w:cs="宋体"/>
                <w:color w:val="auto"/>
              </w:rPr>
              <w:t>号</w:t>
            </w:r>
          </w:p>
          <w:p w14:paraId="144879DA">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lang w:eastAsia="zh-CN"/>
              </w:rPr>
            </w:pPr>
            <w:r>
              <w:rPr>
                <w:rFonts w:hint="eastAsia" w:cs="宋体"/>
                <w:color w:val="auto"/>
              </w:rPr>
              <w:t>到账截止时间：同投标截止时间</w:t>
            </w:r>
            <w:r>
              <w:rPr>
                <w:rFonts w:hint="eastAsia" w:cs="宋体"/>
                <w:color w:val="auto"/>
                <w:lang w:eastAsia="zh-CN"/>
              </w:rPr>
              <w:t>。</w:t>
            </w:r>
          </w:p>
          <w:p w14:paraId="0CC693B7">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lang w:eastAsia="zh-CN"/>
              </w:rPr>
            </w:pPr>
            <w:r>
              <w:rPr>
                <w:rFonts w:hint="eastAsia" w:cs="宋体"/>
                <w:color w:val="auto"/>
                <w:lang w:eastAsia="zh-CN"/>
              </w:rPr>
              <w:t>供应商应自行考虑保证金到账或者保函办理时间。</w:t>
            </w:r>
          </w:p>
          <w:p w14:paraId="097063F4">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rPr>
            </w:pPr>
            <w:r>
              <w:rPr>
                <w:rFonts w:hint="eastAsia" w:cs="宋体"/>
                <w:color w:val="auto"/>
              </w:rPr>
              <w:t xml:space="preserve"> 注：</w:t>
            </w:r>
          </w:p>
          <w:p w14:paraId="0DCF31BE">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rPr>
            </w:pPr>
            <w:r>
              <w:rPr>
                <w:rFonts w:hint="eastAsia" w:cs="宋体"/>
                <w:color w:val="auto"/>
              </w:rPr>
              <w:t>以保函形式应按以下要求办理：</w:t>
            </w:r>
          </w:p>
          <w:p w14:paraId="6C6564C5">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rPr>
            </w:pPr>
            <w:r>
              <w:rPr>
                <w:rFonts w:hint="eastAsia" w:cs="宋体"/>
                <w:color w:val="auto"/>
              </w:rPr>
              <w:t>（1）电子保函按照“一项目一保函”的原则。</w:t>
            </w:r>
          </w:p>
          <w:p w14:paraId="2514149F">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rPr>
            </w:pPr>
            <w:r>
              <w:rPr>
                <w:rFonts w:hint="eastAsia" w:cs="宋体"/>
                <w:color w:val="auto"/>
              </w:rPr>
              <w:t>（2）电子保函须在招标文件规定的投标截止时间前办理完成。</w:t>
            </w:r>
          </w:p>
          <w:p w14:paraId="72EF6BA1">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cs="宋体"/>
                <w:color w:val="auto"/>
              </w:rPr>
            </w:pPr>
            <w:r>
              <w:rPr>
                <w:rFonts w:hint="eastAsia" w:cs="宋体"/>
                <w:color w:val="auto"/>
              </w:rPr>
              <w:t>（3）提供合法真实有效的电子保函作为本项目缴纳保证金的证明材料；</w:t>
            </w:r>
          </w:p>
          <w:p w14:paraId="3B14E673">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r>
              <w:rPr>
                <w:rFonts w:hint="eastAsia" w:cs="宋体"/>
                <w:color w:val="auto"/>
              </w:rPr>
              <w:t>（4）已开具的电子保函，服务商不可单方面提出退保、注销等要求。</w:t>
            </w:r>
          </w:p>
        </w:tc>
      </w:tr>
      <w:tr w14:paraId="4D380000">
        <w:tblPrEx>
          <w:tblCellMar>
            <w:top w:w="0" w:type="dxa"/>
            <w:left w:w="0" w:type="dxa"/>
            <w:bottom w:w="0" w:type="dxa"/>
            <w:right w:w="0" w:type="dxa"/>
          </w:tblCellMar>
        </w:tblPrEx>
        <w:trPr>
          <w:trHeight w:val="3256"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55E04C88">
            <w:pPr>
              <w:pStyle w:val="25"/>
              <w:kinsoku w:val="0"/>
              <w:overflowPunct w:val="0"/>
              <w:jc w:val="center"/>
              <w:rPr>
                <w:rFonts w:hint="default" w:ascii="Times New Roman" w:eastAsia="Times New Roman"/>
                <w:color w:val="auto"/>
              </w:rPr>
            </w:pPr>
            <w:r>
              <w:rPr>
                <w:rFonts w:cs="宋体"/>
                <w:b/>
                <w:color w:val="auto"/>
              </w:rPr>
              <w:t>18</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9DE8FFE">
            <w:pPr>
              <w:pStyle w:val="25"/>
              <w:kinsoku w:val="0"/>
              <w:overflowPunct w:val="0"/>
              <w:jc w:val="center"/>
              <w:rPr>
                <w:rFonts w:hint="default" w:ascii="Times New Roman" w:eastAsia="Times New Roman"/>
                <w:color w:val="auto"/>
              </w:rPr>
            </w:pPr>
            <w:r>
              <w:rPr>
                <w:rFonts w:cs="宋体"/>
                <w:b/>
                <w:color w:val="auto"/>
              </w:rPr>
              <w:t>节能、环保要求</w:t>
            </w:r>
          </w:p>
        </w:tc>
        <w:tc>
          <w:tcPr>
            <w:tcW w:w="3803" w:type="pct"/>
            <w:tcBorders>
              <w:top w:val="single" w:color="000000" w:sz="4" w:space="0"/>
              <w:left w:val="single" w:color="000000" w:sz="4" w:space="0"/>
              <w:bottom w:val="single" w:color="000000" w:sz="4" w:space="0"/>
              <w:right w:val="single" w:color="000000" w:sz="4" w:space="0"/>
              <w:tl2br w:val="nil"/>
              <w:tr2bl w:val="nil"/>
            </w:tcBorders>
            <w:vAlign w:val="top"/>
          </w:tcPr>
          <w:p w14:paraId="059665BE">
            <w:pPr>
              <w:keepNext w:val="0"/>
              <w:keepLines w:val="0"/>
              <w:pageBreakBefore w:val="0"/>
              <w:widowControl w:val="0"/>
              <w:wordWrap/>
              <w:topLinePunct w:val="0"/>
              <w:autoSpaceDE w:val="0"/>
              <w:autoSpaceDN w:val="0"/>
              <w:bidi w:val="0"/>
              <w:adjustRightInd w:val="0"/>
              <w:snapToGrid w:val="0"/>
              <w:spacing w:line="240" w:lineRule="auto"/>
              <w:ind w:left="0" w:right="0"/>
              <w:textAlignment w:val="auto"/>
              <w:rPr>
                <w:rFonts w:hint="default" w:cs="宋体"/>
                <w:color w:val="auto"/>
              </w:rPr>
            </w:pPr>
            <w:r>
              <w:rPr>
                <w:rFonts w:hint="eastAsia" w:ascii="宋体" w:eastAsia="宋体"/>
                <w:color w:val="auto"/>
                <w:highlight w:val="none"/>
              </w:rPr>
              <w:t>按国家有关节能环保政策执行：采购产品为节能产品和环境标志产品参照财政部、国家发展改革委、生态环境部、市场监管总局《关于调整优化节能产品、环境标志产品政府采购执行机制的通知》（财库[2019]9号文）；财政部、生态环境部《关于印发环境标志产品政府采购品目清单的通知》（财库[2019]18 号文）；财政部、发展改革委《关于印发节能产品政府采购 品目清单的通知》（财库[2019]19号文）规定的品目范围内且符合标准（需提供证明材料），在投标报价时必须对此类产品单独分项报价，计算出小计及占合同包总金额的百分比，并提供属于品目内产品的证明资料，未单独分项 报价且未提供属于品目内且符合标准产品的证明资料的</w:t>
            </w:r>
            <w:r>
              <w:rPr>
                <w:rFonts w:cs="宋体"/>
                <w:color w:val="auto"/>
              </w:rPr>
              <w:t>不给予加分。</w:t>
            </w:r>
          </w:p>
        </w:tc>
      </w:tr>
      <w:tr w14:paraId="4BD0D885">
        <w:tblPrEx>
          <w:tblCellMar>
            <w:top w:w="0" w:type="dxa"/>
            <w:left w:w="0" w:type="dxa"/>
            <w:bottom w:w="0" w:type="dxa"/>
            <w:right w:w="0" w:type="dxa"/>
          </w:tblCellMar>
        </w:tblPrEx>
        <w:trPr>
          <w:trHeight w:val="7593"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1A8816AE">
            <w:pPr>
              <w:pStyle w:val="25"/>
              <w:kinsoku w:val="0"/>
              <w:overflowPunct w:val="0"/>
              <w:jc w:val="center"/>
              <w:rPr>
                <w:rFonts w:hint="default" w:ascii="Times New Roman" w:eastAsia="Times New Roman"/>
                <w:color w:val="auto"/>
              </w:rPr>
            </w:pPr>
            <w:r>
              <w:rPr>
                <w:rFonts w:cs="宋体"/>
                <w:b/>
                <w:color w:val="auto"/>
              </w:rPr>
              <w:t>19</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18EEB79">
            <w:pPr>
              <w:pStyle w:val="25"/>
              <w:tabs>
                <w:tab w:val="left" w:pos="2160"/>
              </w:tabs>
              <w:kinsoku w:val="0"/>
              <w:overflowPunct w:val="0"/>
              <w:spacing w:before="179" w:line="357" w:lineRule="auto"/>
              <w:ind w:right="-19" w:rightChars="0"/>
              <w:jc w:val="center"/>
              <w:rPr>
                <w:rFonts w:hint="default" w:ascii="Times New Roman" w:eastAsia="Times New Roman"/>
                <w:color w:val="auto"/>
              </w:rPr>
            </w:pPr>
            <w:r>
              <w:rPr>
                <w:rFonts w:cs="宋体"/>
                <w:b/>
                <w:color w:val="auto"/>
              </w:rPr>
              <w:t>中小微型企业有关政策</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22087761">
            <w:pPr>
              <w:pStyle w:val="25"/>
              <w:keepNext w:val="0"/>
              <w:keepLines w:val="0"/>
              <w:pageBreakBefore w:val="0"/>
              <w:widowControl w:val="0"/>
              <w:numPr>
                <w:ilvl w:val="0"/>
                <w:numId w:val="0"/>
              </w:numPr>
              <w:kinsoku w:val="0"/>
              <w:wordWrap/>
              <w:overflowPunct w:val="0"/>
              <w:topLinePunct w:val="0"/>
              <w:autoSpaceDE w:val="0"/>
              <w:autoSpaceDN w:val="0"/>
              <w:bidi w:val="0"/>
              <w:adjustRightInd w:val="0"/>
              <w:spacing w:line="240" w:lineRule="auto"/>
              <w:ind w:left="0" w:right="0"/>
              <w:textAlignment w:val="auto"/>
              <w:rPr>
                <w:rFonts w:hint="eastAsia" w:ascii="宋体" w:hAnsi="宋体" w:eastAsia="宋体" w:cs="Times New Roman"/>
                <w:color w:val="auto"/>
                <w:sz w:val="24"/>
                <w:szCs w:val="24"/>
                <w:u w:val="none"/>
              </w:rPr>
            </w:pPr>
            <w:r>
              <w:rPr>
                <w:rFonts w:hint="eastAsia" w:ascii="宋体" w:hAnsi="宋体" w:eastAsia="宋体" w:cs="Times New Roman"/>
                <w:color w:val="auto"/>
                <w:sz w:val="24"/>
                <w:szCs w:val="24"/>
                <w:u w:val="none"/>
              </w:rPr>
              <w:t>(1)根据财政部、工业和信息化部制定的《关于印发《政府采购促进中小企业发展管理办法》的通知》（财库〔2020〕46号）、《关于落实好政府采购支持中小企业发展的通知》（新财购 〔2022〕22号）规定执行；</w:t>
            </w:r>
          </w:p>
          <w:p w14:paraId="2A080F78">
            <w:pPr>
              <w:pStyle w:val="25"/>
              <w:keepNext w:val="0"/>
              <w:keepLines w:val="0"/>
              <w:pageBreakBefore w:val="0"/>
              <w:widowControl w:val="0"/>
              <w:numPr>
                <w:ilvl w:val="0"/>
                <w:numId w:val="0"/>
              </w:numPr>
              <w:kinsoku w:val="0"/>
              <w:wordWrap/>
              <w:overflowPunct w:val="0"/>
              <w:topLinePunct w:val="0"/>
              <w:autoSpaceDE w:val="0"/>
              <w:autoSpaceDN w:val="0"/>
              <w:bidi w:val="0"/>
              <w:adjustRightInd w:val="0"/>
              <w:spacing w:line="240" w:lineRule="auto"/>
              <w:ind w:left="0" w:right="0"/>
              <w:textAlignment w:val="auto"/>
              <w:rPr>
                <w:rFonts w:hint="default" w:ascii="宋体" w:hAnsi="宋体" w:eastAsia="宋体" w:cs="Times New Roman"/>
                <w:color w:val="auto"/>
                <w:sz w:val="24"/>
                <w:szCs w:val="24"/>
                <w:u w:val="none"/>
              </w:rPr>
            </w:pPr>
            <w:r>
              <w:rPr>
                <w:rFonts w:hint="eastAsia" w:ascii="宋体" w:hAnsi="宋体" w:eastAsia="宋体" w:cs="Times New Roman"/>
                <w:color w:val="auto"/>
                <w:sz w:val="24"/>
                <w:szCs w:val="24"/>
                <w:u w:val="none"/>
              </w:rPr>
              <w:t>(</w:t>
            </w:r>
            <w:r>
              <w:rPr>
                <w:rFonts w:hint="eastAsia" w:ascii="宋体" w:hAnsi="宋体" w:eastAsia="宋体" w:cs="Times New Roman"/>
                <w:color w:val="auto"/>
                <w:sz w:val="24"/>
                <w:szCs w:val="24"/>
                <w:u w:val="none"/>
                <w:lang w:val="en-US" w:eastAsia="zh-CN"/>
              </w:rPr>
              <w:t>2</w:t>
            </w:r>
            <w:r>
              <w:rPr>
                <w:rFonts w:hint="eastAsia" w:ascii="宋体" w:hAnsi="宋体" w:eastAsia="宋体" w:cs="Times New Roman"/>
                <w:color w:val="auto"/>
                <w:sz w:val="24"/>
                <w:szCs w:val="24"/>
                <w:u w:val="none"/>
              </w:rPr>
              <w:t>)供应商须根据《关于印发中小企业划型标准规定的通知》（工信部联企业[2011]300 号），按照物业管理行业标准自行判定本企业类型，并根据《政府采购促进中小企业发展管理办法》（财库【2020】46 号文）要求提供声明函；</w:t>
            </w:r>
          </w:p>
          <w:p w14:paraId="0B30C224">
            <w:pPr>
              <w:pStyle w:val="25"/>
              <w:keepNext w:val="0"/>
              <w:keepLines w:val="0"/>
              <w:pageBreakBefore w:val="0"/>
              <w:widowControl w:val="0"/>
              <w:numPr>
                <w:ilvl w:val="0"/>
                <w:numId w:val="0"/>
              </w:numPr>
              <w:kinsoku w:val="0"/>
              <w:wordWrap/>
              <w:overflowPunct w:val="0"/>
              <w:topLinePunct w:val="0"/>
              <w:autoSpaceDE w:val="0"/>
              <w:autoSpaceDN w:val="0"/>
              <w:bidi w:val="0"/>
              <w:adjustRightInd w:val="0"/>
              <w:spacing w:line="240" w:lineRule="auto"/>
              <w:ind w:left="0" w:right="0"/>
              <w:textAlignment w:val="auto"/>
              <w:rPr>
                <w:rFonts w:hint="default" w:ascii="宋体" w:hAnsi="宋体" w:eastAsia="宋体" w:cs="Times New Roman"/>
                <w:color w:val="auto"/>
                <w:sz w:val="24"/>
                <w:szCs w:val="24"/>
                <w:u w:val="none"/>
              </w:rPr>
            </w:pPr>
            <w:r>
              <w:rPr>
                <w:rFonts w:hint="eastAsia" w:ascii="宋体" w:hAnsi="宋体" w:eastAsia="宋体" w:cs="Times New Roman"/>
                <w:color w:val="auto"/>
                <w:sz w:val="24"/>
                <w:szCs w:val="24"/>
                <w:u w:val="none"/>
              </w:rPr>
              <w:t>（</w:t>
            </w:r>
            <w:r>
              <w:rPr>
                <w:rFonts w:hint="eastAsia" w:ascii="宋体" w:hAnsi="宋体" w:eastAsia="宋体" w:cs="Times New Roman"/>
                <w:color w:val="auto"/>
                <w:sz w:val="24"/>
                <w:szCs w:val="24"/>
                <w:u w:val="none"/>
                <w:lang w:val="en-US" w:eastAsia="zh-CN"/>
              </w:rPr>
              <w:t>3</w:t>
            </w:r>
            <w:r>
              <w:rPr>
                <w:rFonts w:hint="eastAsia" w:ascii="宋体" w:hAnsi="宋体" w:eastAsia="宋体" w:cs="Times New Roman"/>
                <w:color w:val="auto"/>
                <w:sz w:val="24"/>
                <w:szCs w:val="24"/>
                <w:u w:val="none"/>
              </w:rPr>
              <w:t>）根据中华人民共和国财政部、中华人民共和国民政部、中国残疾人联合会《关于促进残疾人就业政府采购政策的通知》（财库〔2017〕141 号）文件的规定：残疾人 福利性单位视同小型、微型企业。供应商若为残疾人福利性单位，须在投标文件中提供《残疾人福利性单位声明函》，否则将不给予认可。</w:t>
            </w:r>
          </w:p>
          <w:p w14:paraId="3DE1C6A2">
            <w:pPr>
              <w:pStyle w:val="25"/>
              <w:keepNext w:val="0"/>
              <w:keepLines w:val="0"/>
              <w:pageBreakBefore w:val="0"/>
              <w:widowControl w:val="0"/>
              <w:numPr>
                <w:ilvl w:val="0"/>
                <w:numId w:val="0"/>
              </w:numPr>
              <w:kinsoku w:val="0"/>
              <w:wordWrap/>
              <w:overflowPunct w:val="0"/>
              <w:topLinePunct w:val="0"/>
              <w:autoSpaceDE w:val="0"/>
              <w:autoSpaceDN w:val="0"/>
              <w:bidi w:val="0"/>
              <w:adjustRightInd w:val="0"/>
              <w:spacing w:line="240" w:lineRule="auto"/>
              <w:ind w:left="0" w:right="0"/>
              <w:textAlignment w:val="auto"/>
              <w:rPr>
                <w:rFonts w:hint="default" w:ascii="宋体" w:hAnsi="宋体" w:eastAsia="宋体" w:cs="Times New Roman"/>
                <w:color w:val="auto"/>
                <w:sz w:val="24"/>
                <w:szCs w:val="24"/>
                <w:u w:val="none"/>
              </w:rPr>
            </w:pPr>
            <w:r>
              <w:rPr>
                <w:rFonts w:hint="eastAsia" w:ascii="宋体" w:hAnsi="宋体" w:eastAsia="宋体" w:cs="Times New Roman"/>
                <w:color w:val="auto"/>
                <w:sz w:val="24"/>
                <w:szCs w:val="24"/>
                <w:u w:val="none"/>
              </w:rPr>
              <w:t>（</w:t>
            </w:r>
            <w:r>
              <w:rPr>
                <w:rFonts w:hint="eastAsia" w:ascii="宋体" w:hAnsi="宋体" w:eastAsia="宋体" w:cs="Times New Roman"/>
                <w:color w:val="auto"/>
                <w:sz w:val="24"/>
                <w:szCs w:val="24"/>
                <w:u w:val="none"/>
                <w:lang w:val="en-US" w:eastAsia="zh-CN"/>
              </w:rPr>
              <w:t>4</w:t>
            </w:r>
            <w:r>
              <w:rPr>
                <w:rFonts w:hint="eastAsia" w:ascii="宋体" w:hAnsi="宋体" w:eastAsia="宋体" w:cs="Times New Roman"/>
                <w:color w:val="auto"/>
                <w:sz w:val="24"/>
                <w:szCs w:val="24"/>
                <w:u w:val="none"/>
              </w:rPr>
              <w:t>）根据财政部、司法部《关于政府采购支持监狱企业发展有关问题的通知》(财库【2014】68 号)文件的规定：在政府采购活动中，监狱企业视同小型、微型企业。供应商若为监狱企业，须在投标文件中提供由省级以上监狱管理局、戒毒管理局(含新疆生产建设兵团)出具的属于监狱企业的证明文件，否则将不给予认可。</w:t>
            </w:r>
          </w:p>
          <w:p w14:paraId="5C52E48F">
            <w:pPr>
              <w:pStyle w:val="25"/>
              <w:keepNext w:val="0"/>
              <w:keepLines w:val="0"/>
              <w:pageBreakBefore w:val="0"/>
              <w:widowControl w:val="0"/>
              <w:numPr>
                <w:ilvl w:val="0"/>
                <w:numId w:val="0"/>
              </w:numPr>
              <w:kinsoku w:val="0"/>
              <w:wordWrap/>
              <w:overflowPunct w:val="0"/>
              <w:topLinePunct w:val="0"/>
              <w:autoSpaceDE w:val="0"/>
              <w:autoSpaceDN w:val="0"/>
              <w:bidi w:val="0"/>
              <w:adjustRightInd w:val="0"/>
              <w:spacing w:line="240" w:lineRule="auto"/>
              <w:ind w:left="0" w:right="0"/>
              <w:textAlignment w:val="auto"/>
              <w:rPr>
                <w:rFonts w:hint="eastAsia" w:ascii="宋体" w:hAnsi="宋体" w:eastAsia="宋体" w:cs="Times New Roman"/>
                <w:color w:val="auto"/>
                <w:sz w:val="24"/>
                <w:szCs w:val="24"/>
                <w:u w:val="none"/>
              </w:rPr>
            </w:pPr>
            <w:r>
              <w:rPr>
                <w:rFonts w:hint="eastAsia" w:ascii="宋体" w:hAnsi="宋体" w:eastAsia="宋体" w:cs="Times New Roman"/>
                <w:color w:val="auto"/>
                <w:sz w:val="24"/>
                <w:szCs w:val="24"/>
                <w:u w:val="none"/>
              </w:rPr>
              <w:t>（</w:t>
            </w:r>
            <w:r>
              <w:rPr>
                <w:rFonts w:hint="eastAsia" w:ascii="宋体" w:hAnsi="宋体" w:eastAsia="宋体" w:cs="Times New Roman"/>
                <w:color w:val="auto"/>
                <w:sz w:val="24"/>
                <w:szCs w:val="24"/>
                <w:u w:val="none"/>
                <w:lang w:val="en-US" w:eastAsia="zh-CN"/>
              </w:rPr>
              <w:t>5</w:t>
            </w:r>
            <w:r>
              <w:rPr>
                <w:rFonts w:hint="eastAsia" w:ascii="宋体" w:hAnsi="宋体" w:eastAsia="宋体" w:cs="Times New Roman"/>
                <w:color w:val="auto"/>
                <w:sz w:val="24"/>
                <w:szCs w:val="24"/>
                <w:u w:val="none"/>
              </w:rPr>
              <w:t>）供应商须对其声明的真实性负责，若与事实不符的，将依照《政府采购法》第七十七条第一款的规定追究法律责任。</w:t>
            </w:r>
          </w:p>
          <w:p w14:paraId="1665B8FC">
            <w:pPr>
              <w:pStyle w:val="25"/>
              <w:keepNext w:val="0"/>
              <w:keepLines w:val="0"/>
              <w:pageBreakBefore w:val="0"/>
              <w:widowControl w:val="0"/>
              <w:numPr>
                <w:ilvl w:val="0"/>
                <w:numId w:val="0"/>
              </w:numPr>
              <w:kinsoku w:val="0"/>
              <w:wordWrap/>
              <w:overflowPunct w:val="0"/>
              <w:topLinePunct w:val="0"/>
              <w:autoSpaceDE w:val="0"/>
              <w:autoSpaceDN w:val="0"/>
              <w:bidi w:val="0"/>
              <w:adjustRightInd w:val="0"/>
              <w:spacing w:line="240" w:lineRule="auto"/>
              <w:ind w:left="0" w:right="0"/>
              <w:textAlignment w:val="auto"/>
              <w:rPr>
                <w:rFonts w:hint="eastAsia" w:ascii="宋体" w:hAnsi="宋体" w:eastAsia="宋体" w:cs="Times New Roman"/>
                <w:color w:val="auto"/>
                <w:sz w:val="24"/>
                <w:szCs w:val="24"/>
                <w:u w:val="none"/>
                <w:lang w:eastAsia="zh-CN"/>
              </w:rPr>
            </w:pPr>
            <w:r>
              <w:rPr>
                <w:rFonts w:hint="eastAsia" w:ascii="宋体" w:hAnsi="宋体" w:eastAsia="宋体" w:cs="Times New Roman"/>
                <w:color w:val="auto"/>
                <w:sz w:val="24"/>
                <w:szCs w:val="24"/>
                <w:u w:val="none"/>
                <w:lang w:val="en-US" w:eastAsia="zh-CN"/>
              </w:rPr>
              <w:t>（6）</w:t>
            </w:r>
            <w:r>
              <w:rPr>
                <w:rFonts w:hint="eastAsia" w:ascii="宋体" w:hAnsi="宋体" w:eastAsia="宋体" w:cs="Times New Roman"/>
                <w:color w:val="auto"/>
                <w:sz w:val="24"/>
                <w:szCs w:val="24"/>
                <w:u w:val="none"/>
                <w:lang w:eastAsia="zh-CN"/>
              </w:rPr>
              <w:t>中小企业在融资、保证金、履约保证等方面有需求的，可查询当地政府采购管理部门相关政策，通过专业化的担保途径解决。</w:t>
            </w:r>
          </w:p>
          <w:p w14:paraId="4AAB4F7E">
            <w:pPr>
              <w:pStyle w:val="25"/>
              <w:keepNext w:val="0"/>
              <w:keepLines w:val="0"/>
              <w:pageBreakBefore w:val="0"/>
              <w:widowControl w:val="0"/>
              <w:numPr>
                <w:ilvl w:val="0"/>
                <w:numId w:val="0"/>
              </w:numPr>
              <w:kinsoku w:val="0"/>
              <w:wordWrap/>
              <w:overflowPunct w:val="0"/>
              <w:topLinePunct w:val="0"/>
              <w:autoSpaceDE w:val="0"/>
              <w:autoSpaceDN w:val="0"/>
              <w:bidi w:val="0"/>
              <w:adjustRightInd w:val="0"/>
              <w:spacing w:line="240" w:lineRule="auto"/>
              <w:ind w:left="0" w:right="0"/>
              <w:textAlignment w:val="auto"/>
              <w:rPr>
                <w:rFonts w:hint="eastAsia" w:ascii="宋体" w:hAnsi="宋体" w:eastAsia="宋体" w:cs="Times New Roman"/>
                <w:color w:val="auto"/>
                <w:sz w:val="24"/>
                <w:szCs w:val="24"/>
                <w:u w:val="none"/>
              </w:rPr>
            </w:pPr>
            <w:r>
              <w:rPr>
                <w:rFonts w:hint="eastAsia" w:ascii="宋体" w:hAnsi="宋体" w:eastAsia="宋体" w:cs="Times New Roman"/>
                <w:color w:val="auto"/>
                <w:sz w:val="24"/>
                <w:szCs w:val="24"/>
                <w:u w:val="none"/>
                <w:lang w:eastAsia="zh-CN"/>
              </w:rPr>
              <w:t>（</w:t>
            </w:r>
            <w:r>
              <w:rPr>
                <w:rFonts w:hint="eastAsia" w:ascii="宋体" w:hAnsi="宋体" w:eastAsia="宋体" w:cs="Times New Roman"/>
                <w:color w:val="auto"/>
                <w:sz w:val="24"/>
                <w:szCs w:val="24"/>
                <w:u w:val="none"/>
                <w:lang w:val="en-US" w:eastAsia="zh-CN"/>
              </w:rPr>
              <w:t>7）</w:t>
            </w:r>
            <w:r>
              <w:rPr>
                <w:rFonts w:hint="eastAsia" w:ascii="宋体" w:hAnsi="宋体" w:eastAsia="宋体" w:cs="Times New Roman"/>
                <w:color w:val="auto"/>
                <w:sz w:val="24"/>
                <w:szCs w:val="24"/>
                <w:u w:val="none"/>
              </w:rPr>
              <w:t>本项目所属行业：</w:t>
            </w:r>
            <w:r>
              <w:rPr>
                <w:rFonts w:hint="eastAsia" w:hAnsi="宋体" w:cs="Times New Roman"/>
                <w:color w:val="auto"/>
                <w:sz w:val="24"/>
                <w:szCs w:val="24"/>
                <w:u w:val="none"/>
                <w:lang w:val="en-US" w:eastAsia="zh-CN"/>
              </w:rPr>
              <w:t>工业</w:t>
            </w:r>
          </w:p>
          <w:p w14:paraId="346BB64C">
            <w:pPr>
              <w:pStyle w:val="25"/>
              <w:keepNext w:val="0"/>
              <w:keepLines w:val="0"/>
              <w:pageBreakBefore w:val="0"/>
              <w:widowControl w:val="0"/>
              <w:numPr>
                <w:ilvl w:val="0"/>
                <w:numId w:val="0"/>
              </w:numPr>
              <w:kinsoku w:val="0"/>
              <w:wordWrap/>
              <w:overflowPunct w:val="0"/>
              <w:topLinePunct w:val="0"/>
              <w:autoSpaceDE w:val="0"/>
              <w:autoSpaceDN w:val="0"/>
              <w:bidi w:val="0"/>
              <w:adjustRightInd w:val="0"/>
              <w:spacing w:line="240" w:lineRule="auto"/>
              <w:ind w:left="0" w:right="0"/>
              <w:textAlignment w:val="auto"/>
              <w:rPr>
                <w:rFonts w:hint="eastAsia" w:eastAsia="宋体" w:cs="宋体"/>
                <w:color w:val="auto"/>
                <w:lang w:val="en-US" w:eastAsia="zh-CN"/>
              </w:rPr>
            </w:pPr>
            <w:r>
              <w:rPr>
                <w:rFonts w:hint="eastAsia" w:ascii="宋体" w:hAnsi="宋体" w:eastAsia="宋体" w:cs="Times New Roman"/>
                <w:color w:val="auto"/>
                <w:sz w:val="24"/>
                <w:szCs w:val="24"/>
                <w:u w:val="none"/>
                <w:lang w:eastAsia="zh-CN"/>
              </w:rPr>
              <w:t>（</w:t>
            </w:r>
            <w:r>
              <w:rPr>
                <w:rFonts w:hint="eastAsia" w:ascii="宋体" w:hAnsi="宋体" w:eastAsia="宋体" w:cs="Times New Roman"/>
                <w:color w:val="auto"/>
                <w:sz w:val="24"/>
                <w:szCs w:val="24"/>
                <w:u w:val="none"/>
                <w:lang w:val="en-US" w:eastAsia="zh-CN"/>
              </w:rPr>
              <w:t>8）</w:t>
            </w:r>
            <w:r>
              <w:rPr>
                <w:rFonts w:hint="eastAsia" w:ascii="宋体" w:hAnsi="宋体" w:eastAsia="宋体" w:cs="Times New Roman"/>
                <w:color w:val="auto"/>
                <w:sz w:val="24"/>
                <w:szCs w:val="24"/>
                <w:u w:val="none"/>
              </w:rPr>
              <w:t>本项目为专门面向中小企业采购的项目，</w:t>
            </w:r>
            <w:r>
              <w:rPr>
                <w:rFonts w:hint="eastAsia" w:ascii="宋体" w:hAnsi="宋体" w:eastAsia="宋体" w:cs="Times New Roman"/>
                <w:color w:val="auto"/>
                <w:sz w:val="24"/>
                <w:szCs w:val="24"/>
                <w:u w:val="none"/>
                <w:lang w:eastAsia="zh-CN"/>
              </w:rPr>
              <w:t>不再做价格扣除。</w:t>
            </w:r>
          </w:p>
        </w:tc>
      </w:tr>
      <w:tr w14:paraId="49C08919">
        <w:tblPrEx>
          <w:tblCellMar>
            <w:top w:w="0" w:type="dxa"/>
            <w:left w:w="0" w:type="dxa"/>
            <w:bottom w:w="0" w:type="dxa"/>
            <w:right w:w="0" w:type="dxa"/>
          </w:tblCellMar>
        </w:tblPrEx>
        <w:trPr>
          <w:trHeight w:val="1082"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tcPr>
          <w:p w14:paraId="078EEFDF">
            <w:pPr>
              <w:pStyle w:val="25"/>
              <w:kinsoku w:val="0"/>
              <w:overflowPunct w:val="0"/>
              <w:spacing w:before="9"/>
              <w:jc w:val="center"/>
              <w:rPr>
                <w:rFonts w:hint="default" w:ascii="Times New Roman" w:eastAsia="Times New Roman"/>
                <w:color w:val="auto"/>
                <w:sz w:val="30"/>
                <w:szCs w:val="30"/>
              </w:rPr>
            </w:pPr>
          </w:p>
          <w:p w14:paraId="3BA9F427">
            <w:pPr>
              <w:pStyle w:val="25"/>
              <w:kinsoku w:val="0"/>
              <w:overflowPunct w:val="0"/>
              <w:jc w:val="center"/>
              <w:rPr>
                <w:rFonts w:hint="default" w:ascii="Times New Roman" w:eastAsia="Times New Roman"/>
                <w:color w:val="auto"/>
              </w:rPr>
            </w:pPr>
            <w:r>
              <w:rPr>
                <w:rFonts w:cs="宋体"/>
                <w:b/>
                <w:color w:val="auto"/>
              </w:rPr>
              <w:t>20</w:t>
            </w:r>
          </w:p>
        </w:tc>
        <w:tc>
          <w:tcPr>
            <w:tcW w:w="945" w:type="pct"/>
            <w:gridSpan w:val="2"/>
            <w:tcBorders>
              <w:top w:val="single" w:color="000000" w:sz="4" w:space="0"/>
              <w:left w:val="single" w:color="000000" w:sz="4" w:space="0"/>
              <w:right w:val="single" w:color="000000" w:sz="4" w:space="0"/>
              <w:tl2br w:val="nil"/>
              <w:tr2bl w:val="nil"/>
            </w:tcBorders>
          </w:tcPr>
          <w:p w14:paraId="65DD13C4">
            <w:pPr>
              <w:pStyle w:val="25"/>
              <w:kinsoku w:val="0"/>
              <w:overflowPunct w:val="0"/>
              <w:spacing w:before="118"/>
              <w:jc w:val="center"/>
              <w:rPr>
                <w:rFonts w:hint="default" w:ascii="Times New Roman" w:eastAsia="Times New Roman"/>
                <w:color w:val="auto"/>
              </w:rPr>
            </w:pPr>
            <w:r>
              <w:rPr>
                <w:rFonts w:cs="宋体"/>
                <w:b/>
                <w:color w:val="auto"/>
              </w:rPr>
              <w:t>技术部分是否采用“暗标”评审方式</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61709AF4">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cs="宋体"/>
                <w:color w:val="auto"/>
              </w:rPr>
            </w:pPr>
            <w:r>
              <w:rPr>
                <w:rFonts w:cs="宋体"/>
                <w:color w:val="auto"/>
              </w:rPr>
              <w:t>□是</w:t>
            </w:r>
          </w:p>
          <w:p w14:paraId="513382B6">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cs="宋体"/>
                <w:color w:val="auto"/>
              </w:rPr>
            </w:pPr>
          </w:p>
          <w:p w14:paraId="37E7A61F">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rPr>
            </w:pPr>
            <w:r>
              <w:rPr>
                <w:rFonts w:ascii="MS Gothic" w:hAnsi="MS Gothic" w:eastAsia="MS Gothic" w:cs="MS Gothic"/>
                <w:color w:val="auto"/>
                <w:spacing w:val="-45"/>
              </w:rPr>
              <w:t>☑</w:t>
            </w:r>
            <w:r>
              <w:rPr>
                <w:rFonts w:hAnsi="Segoe UI Emoji" w:cs="宋体"/>
                <w:color w:val="auto"/>
                <w:spacing w:val="-45"/>
              </w:rPr>
              <w:t>否</w:t>
            </w:r>
          </w:p>
        </w:tc>
      </w:tr>
      <w:tr w14:paraId="4EFE525F">
        <w:tblPrEx>
          <w:tblCellMar>
            <w:top w:w="0" w:type="dxa"/>
            <w:left w:w="0" w:type="dxa"/>
            <w:bottom w:w="0" w:type="dxa"/>
            <w:right w:w="0" w:type="dxa"/>
          </w:tblCellMar>
        </w:tblPrEx>
        <w:trPr>
          <w:trHeight w:val="4769"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34528D7F">
            <w:pPr>
              <w:pStyle w:val="25"/>
              <w:kinsoku w:val="0"/>
              <w:overflowPunct w:val="0"/>
              <w:spacing w:before="118"/>
              <w:jc w:val="center"/>
              <w:rPr>
                <w:rFonts w:hint="default" w:ascii="Times New Roman" w:eastAsia="Times New Roman"/>
                <w:color w:val="auto"/>
              </w:rPr>
            </w:pPr>
            <w:r>
              <w:rPr>
                <w:rFonts w:cs="宋体"/>
                <w:b/>
                <w:color w:val="auto"/>
              </w:rPr>
              <w:t>21</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41BE6A3">
            <w:pPr>
              <w:pStyle w:val="25"/>
              <w:kinsoku w:val="0"/>
              <w:overflowPunct w:val="0"/>
              <w:spacing w:before="118"/>
              <w:jc w:val="center"/>
              <w:rPr>
                <w:rFonts w:hint="default" w:ascii="Times New Roman" w:eastAsia="Times New Roman"/>
                <w:color w:val="auto"/>
              </w:rPr>
            </w:pPr>
            <w:r>
              <w:rPr>
                <w:rFonts w:cs="宋体"/>
                <w:b/>
                <w:color w:val="auto"/>
              </w:rPr>
              <w:t>评审方法</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2E11FF28">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Ansi="Segoe UI Emoji" w:cs="宋体"/>
                <w:color w:val="auto"/>
                <w:spacing w:val="-18"/>
              </w:rPr>
            </w:pPr>
            <w:r>
              <w:rPr>
                <w:rFonts w:ascii="MS Gothic" w:hAnsi="MS Gothic" w:eastAsia="MS Gothic" w:cs="MS Gothic"/>
                <w:color w:val="auto"/>
                <w:spacing w:val="-18"/>
              </w:rPr>
              <w:t>☑</w:t>
            </w:r>
            <w:r>
              <w:rPr>
                <w:rFonts w:hAnsi="Segoe UI Emoji" w:cs="宋体"/>
                <w:color w:val="auto"/>
                <w:spacing w:val="-18"/>
              </w:rPr>
              <w:t>资格后审</w:t>
            </w:r>
          </w:p>
          <w:p w14:paraId="5A6DD03A">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ascii="MS Gothic" w:hAnsi="MS Gothic" w:eastAsia="MS Gothic" w:cs="MS Gothic"/>
                <w:color w:val="auto"/>
                <w:spacing w:val="-15"/>
              </w:rPr>
            </w:pPr>
            <w:r>
              <w:rPr>
                <w:rFonts w:ascii="MS Gothic" w:hAnsi="MS Gothic" w:eastAsia="MS Gothic" w:cs="MS Gothic"/>
                <w:color w:val="auto"/>
                <w:spacing w:val="-15"/>
              </w:rPr>
              <w:t>☑</w:t>
            </w:r>
            <w:r>
              <w:rPr>
                <w:rFonts w:hAnsi="Segoe UI Emoji" w:cs="宋体"/>
                <w:color w:val="auto"/>
                <w:spacing w:val="-15"/>
              </w:rPr>
              <w:t>综合评分法</w:t>
            </w:r>
          </w:p>
          <w:p w14:paraId="02AA3F9E">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cs="宋体"/>
                <w:color w:val="auto"/>
                <w:sz w:val="24"/>
                <w:szCs w:val="24"/>
              </w:rPr>
            </w:pPr>
            <w:r>
              <w:rPr>
                <w:rFonts w:cs="宋体"/>
                <w:color w:val="auto"/>
              </w:rPr>
              <w:t>注</w:t>
            </w:r>
            <w:r>
              <w:rPr>
                <w:rFonts w:cs="宋体"/>
                <w:color w:val="auto"/>
                <w:sz w:val="24"/>
                <w:szCs w:val="24"/>
              </w:rPr>
              <w:t>：</w:t>
            </w:r>
            <w:r>
              <w:rPr>
                <w:rFonts w:cs="宋体"/>
                <w:color w:val="auto"/>
                <w:spacing w:val="4"/>
                <w:sz w:val="24"/>
                <w:szCs w:val="24"/>
              </w:rPr>
              <w:t>综合评分法是指在最大限度地满足招标文件实质性要求前提</w:t>
            </w:r>
            <w:r>
              <w:rPr>
                <w:rFonts w:cs="宋体"/>
                <w:color w:val="auto"/>
                <w:spacing w:val="-4"/>
                <w:sz w:val="24"/>
                <w:szCs w:val="24"/>
              </w:rPr>
              <w:t>下，按照招标文件中规定的评分细则评审后，以评标最终得分最高的</w:t>
            </w:r>
            <w:r>
              <w:rPr>
                <w:rFonts w:hint="eastAsia" w:cs="宋体"/>
                <w:color w:val="auto"/>
                <w:spacing w:val="-4"/>
                <w:sz w:val="24"/>
                <w:szCs w:val="24"/>
                <w:lang w:eastAsia="zh-CN"/>
              </w:rPr>
              <w:t>供应商</w:t>
            </w:r>
            <w:r>
              <w:rPr>
                <w:rFonts w:cs="宋体"/>
                <w:color w:val="auto"/>
                <w:spacing w:val="-4"/>
                <w:sz w:val="24"/>
                <w:szCs w:val="24"/>
              </w:rPr>
              <w:t>作为中标人的评标方法。每一</w:t>
            </w:r>
            <w:r>
              <w:rPr>
                <w:rFonts w:hint="eastAsia" w:cs="宋体"/>
                <w:color w:val="auto"/>
                <w:spacing w:val="-4"/>
                <w:sz w:val="24"/>
                <w:szCs w:val="24"/>
                <w:lang w:eastAsia="zh-CN"/>
              </w:rPr>
              <w:t>供应商</w:t>
            </w:r>
            <w:r>
              <w:rPr>
                <w:rFonts w:cs="宋体"/>
                <w:color w:val="auto"/>
                <w:spacing w:val="-4"/>
                <w:sz w:val="24"/>
                <w:szCs w:val="24"/>
              </w:rPr>
              <w:t>的最终得分为所有评委评分的算术平均值</w:t>
            </w:r>
            <w:r>
              <w:rPr>
                <w:rFonts w:cs="宋体"/>
                <w:b/>
                <w:color w:val="auto"/>
                <w:spacing w:val="-4"/>
                <w:sz w:val="24"/>
                <w:szCs w:val="24"/>
              </w:rPr>
              <w:t>。</w:t>
            </w:r>
            <w:r>
              <w:rPr>
                <w:rFonts w:cs="宋体"/>
                <w:color w:val="auto"/>
                <w:spacing w:val="-4"/>
                <w:sz w:val="24"/>
                <w:szCs w:val="24"/>
              </w:rPr>
              <w:t>得分相同的，报价较低的一方为中标人。得</w:t>
            </w:r>
            <w:r>
              <w:rPr>
                <w:rFonts w:cs="宋体"/>
                <w:color w:val="auto"/>
                <w:sz w:val="24"/>
                <w:szCs w:val="24"/>
              </w:rPr>
              <w:t>分且投标报价相同的，技术指标较优的一方为中标人。</w:t>
            </w:r>
          </w:p>
          <w:p w14:paraId="09937A4D">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cs="宋体"/>
                <w:color w:val="auto"/>
                <w:sz w:val="24"/>
                <w:szCs w:val="24"/>
              </w:rPr>
            </w:pPr>
            <w:r>
              <w:rPr>
                <w:rFonts w:cs="宋体"/>
                <w:color w:val="auto"/>
                <w:spacing w:val="-4"/>
                <w:sz w:val="24"/>
                <w:szCs w:val="24"/>
              </w:rPr>
              <w:t>使用综合评分法的采购项目，提供相同品牌产品且通过资格审查、符合性审查的不同</w:t>
            </w:r>
            <w:r>
              <w:rPr>
                <w:rFonts w:hint="eastAsia" w:cs="宋体"/>
                <w:color w:val="auto"/>
                <w:spacing w:val="-4"/>
                <w:sz w:val="24"/>
                <w:szCs w:val="24"/>
                <w:lang w:eastAsia="zh-CN"/>
              </w:rPr>
              <w:t>供应商</w:t>
            </w:r>
            <w:r>
              <w:rPr>
                <w:rFonts w:cs="宋体"/>
                <w:color w:val="auto"/>
                <w:spacing w:val="-4"/>
                <w:sz w:val="24"/>
                <w:szCs w:val="24"/>
              </w:rPr>
              <w:t>参加同一合同项下投标的，按一家投</w:t>
            </w:r>
            <w:r>
              <w:rPr>
                <w:rFonts w:cs="宋体"/>
                <w:color w:val="auto"/>
                <w:sz w:val="24"/>
                <w:szCs w:val="24"/>
              </w:rPr>
              <w:t>标人计算，评审后得分最高的同品牌</w:t>
            </w:r>
            <w:r>
              <w:rPr>
                <w:rFonts w:hint="eastAsia" w:cs="宋体"/>
                <w:color w:val="auto"/>
                <w:sz w:val="24"/>
                <w:szCs w:val="24"/>
                <w:lang w:eastAsia="zh-CN"/>
              </w:rPr>
              <w:t>供应商</w:t>
            </w:r>
            <w:r>
              <w:rPr>
                <w:rFonts w:cs="宋体"/>
                <w:color w:val="auto"/>
                <w:sz w:val="24"/>
                <w:szCs w:val="24"/>
              </w:rPr>
              <w:t>获得中标人推荐资格；</w:t>
            </w:r>
            <w:r>
              <w:rPr>
                <w:rFonts w:cs="宋体"/>
                <w:color w:val="auto"/>
                <w:spacing w:val="-4"/>
                <w:sz w:val="24"/>
                <w:szCs w:val="24"/>
              </w:rPr>
              <w:t>评审得分相同的，由采购人或者采购人委托评标委员会按照招标文件规定的方式确定一个</w:t>
            </w:r>
            <w:r>
              <w:rPr>
                <w:rFonts w:hint="eastAsia" w:cs="宋体"/>
                <w:color w:val="auto"/>
                <w:spacing w:val="-4"/>
                <w:sz w:val="24"/>
                <w:szCs w:val="24"/>
                <w:lang w:eastAsia="zh-CN"/>
              </w:rPr>
              <w:t>供应商</w:t>
            </w:r>
            <w:r>
              <w:rPr>
                <w:rFonts w:cs="宋体"/>
                <w:color w:val="auto"/>
                <w:spacing w:val="-4"/>
                <w:sz w:val="24"/>
                <w:szCs w:val="24"/>
              </w:rPr>
              <w:t>获得中标人推荐资格，招标文件未规</w:t>
            </w:r>
            <w:r>
              <w:rPr>
                <w:rFonts w:cs="宋体"/>
                <w:color w:val="auto"/>
                <w:spacing w:val="4"/>
                <w:sz w:val="24"/>
                <w:szCs w:val="24"/>
              </w:rPr>
              <w:t>定的采取随机抽取方式确定，其他同品牌</w:t>
            </w:r>
            <w:r>
              <w:rPr>
                <w:rFonts w:hint="eastAsia" w:cs="宋体"/>
                <w:color w:val="auto"/>
                <w:spacing w:val="4"/>
                <w:sz w:val="24"/>
                <w:szCs w:val="24"/>
                <w:lang w:eastAsia="zh-CN"/>
              </w:rPr>
              <w:t>供应商</w:t>
            </w:r>
            <w:r>
              <w:rPr>
                <w:rFonts w:cs="宋体"/>
                <w:color w:val="auto"/>
                <w:spacing w:val="4"/>
                <w:sz w:val="24"/>
                <w:szCs w:val="24"/>
              </w:rPr>
              <w:t>不作为中标候选</w:t>
            </w:r>
            <w:r>
              <w:rPr>
                <w:rFonts w:cs="宋体"/>
                <w:color w:val="auto"/>
                <w:sz w:val="24"/>
                <w:szCs w:val="24"/>
              </w:rPr>
              <w:t>人。</w:t>
            </w:r>
          </w:p>
          <w:p w14:paraId="40BE8700">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eastAsia="宋体" w:cs="宋体"/>
                <w:color w:val="auto"/>
                <w:sz w:val="24"/>
                <w:szCs w:val="24"/>
                <w:lang w:eastAsia="zh-CN"/>
              </w:rPr>
            </w:pPr>
            <w:r>
              <w:rPr>
                <w:rFonts w:hint="eastAsia" w:cs="宋体"/>
                <w:color w:val="auto"/>
                <w:sz w:val="24"/>
                <w:szCs w:val="24"/>
                <w:lang w:eastAsia="zh-CN"/>
              </w:rPr>
              <w:t>最低报价不作为中标的依据。</w:t>
            </w:r>
          </w:p>
        </w:tc>
      </w:tr>
      <w:tr w14:paraId="2290F281">
        <w:tblPrEx>
          <w:tblCellMar>
            <w:top w:w="0" w:type="dxa"/>
            <w:left w:w="0" w:type="dxa"/>
            <w:bottom w:w="0" w:type="dxa"/>
            <w:right w:w="0" w:type="dxa"/>
          </w:tblCellMar>
        </w:tblPrEx>
        <w:trPr>
          <w:trHeight w:val="1586" w:hRule="exact"/>
          <w:tblHeader/>
        </w:trPr>
        <w:tc>
          <w:tcPr>
            <w:tcW w:w="25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2BFF6A4">
            <w:pPr>
              <w:pStyle w:val="25"/>
              <w:kinsoku w:val="0"/>
              <w:overflowPunct w:val="0"/>
              <w:jc w:val="center"/>
              <w:rPr>
                <w:rFonts w:hint="default" w:ascii="Times New Roman" w:eastAsia="Times New Roman"/>
                <w:color w:val="auto"/>
              </w:rPr>
            </w:pPr>
            <w:r>
              <w:rPr>
                <w:rFonts w:cs="宋体"/>
                <w:b/>
                <w:color w:val="auto"/>
              </w:rPr>
              <w:t>22</w:t>
            </w:r>
          </w:p>
        </w:tc>
        <w:tc>
          <w:tcPr>
            <w:tcW w:w="945" w:type="pct"/>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18B5BB6">
            <w:pPr>
              <w:pStyle w:val="25"/>
              <w:kinsoku w:val="0"/>
              <w:overflowPunct w:val="0"/>
              <w:jc w:val="center"/>
              <w:rPr>
                <w:rFonts w:hint="default" w:ascii="Times New Roman" w:eastAsia="Times New Roman"/>
                <w:color w:val="auto"/>
              </w:rPr>
            </w:pPr>
            <w:r>
              <w:rPr>
                <w:rFonts w:cs="宋体"/>
                <w:b/>
                <w:color w:val="auto"/>
              </w:rPr>
              <w:t>履约保证金</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6798A241">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r>
              <w:rPr>
                <w:rFonts w:ascii="MS Gothic" w:hAnsi="MS Gothic" w:eastAsia="MS Gothic" w:cs="MS Gothic"/>
                <w:color w:val="auto"/>
                <w:spacing w:val="-15"/>
              </w:rPr>
              <w:t>☑</w:t>
            </w:r>
            <w:r>
              <w:rPr>
                <w:rFonts w:cs="宋体"/>
                <w:color w:val="auto"/>
              </w:rPr>
              <w:t>不交纳</w:t>
            </w:r>
          </w:p>
          <w:p w14:paraId="4C2B691F">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ascii="Times New Roman" w:eastAsia="Times New Roman"/>
                <w:color w:val="auto"/>
                <w:sz w:val="21"/>
                <w:szCs w:val="21"/>
              </w:rPr>
            </w:pPr>
          </w:p>
          <w:p w14:paraId="6A2EDF5D">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hAnsi="Segoe UI Emoji" w:cs="宋体"/>
                <w:color w:val="auto"/>
                <w:spacing w:val="-30"/>
              </w:rPr>
            </w:pPr>
            <w:r>
              <w:rPr>
                <w:rFonts w:hint="eastAsia" w:ascii="MS Gothic" w:hAnsi="MS Gothic" w:eastAsia="宋体" w:cs="MS Gothic"/>
                <w:color w:val="auto"/>
                <w:spacing w:val="-15"/>
                <w:lang w:eastAsia="zh-CN"/>
              </w:rPr>
              <w:t>□</w:t>
            </w:r>
            <w:r>
              <w:rPr>
                <w:rFonts w:hAnsi="Segoe UI Emoji" w:cs="宋体"/>
                <w:color w:val="auto"/>
                <w:spacing w:val="-30"/>
              </w:rPr>
              <w:t>交纳</w:t>
            </w:r>
          </w:p>
          <w:p w14:paraId="77B49F0E">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ascii="Times New Roman" w:eastAsia="Times New Roman"/>
                <w:color w:val="auto"/>
              </w:rPr>
            </w:pPr>
            <w:r>
              <w:rPr>
                <w:rFonts w:cs="宋体"/>
                <w:color w:val="auto"/>
                <w:spacing w:val="-1"/>
              </w:rPr>
              <w:t>履约保证金的交纳必须以公对公账户进行电汇或转账，否</w:t>
            </w:r>
            <w:r>
              <w:rPr>
                <w:rFonts w:cs="宋体"/>
                <w:color w:val="auto"/>
                <w:spacing w:val="-108"/>
              </w:rPr>
              <w:t xml:space="preserve"> </w:t>
            </w:r>
            <w:r>
              <w:rPr>
                <w:rFonts w:cs="宋体"/>
                <w:color w:val="auto"/>
              </w:rPr>
              <w:t>则不予认可。</w:t>
            </w:r>
          </w:p>
        </w:tc>
      </w:tr>
      <w:tr w14:paraId="50AAD9BC">
        <w:tblPrEx>
          <w:tblCellMar>
            <w:top w:w="0" w:type="dxa"/>
            <w:left w:w="0" w:type="dxa"/>
            <w:bottom w:w="0" w:type="dxa"/>
            <w:right w:w="0" w:type="dxa"/>
          </w:tblCellMar>
        </w:tblPrEx>
        <w:trPr>
          <w:trHeight w:val="478" w:hRule="exact"/>
          <w:tblHeader/>
        </w:trPr>
        <w:tc>
          <w:tcPr>
            <w:tcW w:w="250" w:type="pct"/>
            <w:vMerge w:val="continue"/>
            <w:tcBorders>
              <w:top w:val="single" w:color="000000" w:sz="4" w:space="0"/>
              <w:left w:val="single" w:color="000000" w:sz="4" w:space="0"/>
              <w:bottom w:val="single" w:color="000000" w:sz="4" w:space="0"/>
              <w:right w:val="single" w:color="000000" w:sz="4" w:space="0"/>
              <w:tl2br w:val="nil"/>
              <w:tr2bl w:val="nil"/>
            </w:tcBorders>
          </w:tcPr>
          <w:p w14:paraId="68505BEE">
            <w:pPr>
              <w:pStyle w:val="25"/>
              <w:kinsoku w:val="0"/>
              <w:overflowPunct w:val="0"/>
              <w:spacing w:before="48" w:line="460" w:lineRule="atLeast"/>
              <w:ind w:left="102" w:right="100"/>
              <w:rPr>
                <w:rFonts w:hint="default" w:ascii="Times New Roman" w:eastAsia="Times New Roman"/>
                <w:color w:val="auto"/>
              </w:rPr>
            </w:pPr>
          </w:p>
        </w:tc>
        <w:tc>
          <w:tcPr>
            <w:tcW w:w="945" w:type="pct"/>
            <w:gridSpan w:val="2"/>
            <w:vMerge w:val="continue"/>
            <w:tcBorders>
              <w:top w:val="single" w:color="000000" w:sz="4" w:space="0"/>
              <w:left w:val="single" w:color="000000" w:sz="4" w:space="0"/>
              <w:bottom w:val="single" w:color="000000" w:sz="4" w:space="0"/>
              <w:right w:val="single" w:color="000000" w:sz="4" w:space="0"/>
              <w:tl2br w:val="nil"/>
              <w:tr2bl w:val="nil"/>
            </w:tcBorders>
          </w:tcPr>
          <w:p w14:paraId="2E86BE93">
            <w:pPr>
              <w:pStyle w:val="25"/>
              <w:kinsoku w:val="0"/>
              <w:overflowPunct w:val="0"/>
              <w:spacing w:before="48" w:line="460" w:lineRule="atLeast"/>
              <w:ind w:left="102" w:right="100"/>
              <w:rPr>
                <w:rFonts w:hint="default" w:ascii="Times New Roman" w:eastAsia="Times New Roman"/>
                <w:color w:val="auto"/>
              </w:rPr>
            </w:pP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7C6CD957">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ascii="Times New Roman" w:eastAsia="宋体"/>
                <w:b/>
                <w:bCs/>
                <w:color w:val="auto"/>
                <w:lang w:val="en-US" w:eastAsia="zh-CN"/>
              </w:rPr>
            </w:pPr>
            <w:r>
              <w:rPr>
                <w:rFonts w:cs="宋体"/>
                <w:b/>
                <w:bCs/>
                <w:color w:val="auto"/>
              </w:rPr>
              <w:t>交纳时间：</w:t>
            </w:r>
            <w:r>
              <w:rPr>
                <w:rFonts w:hint="eastAsia" w:cs="宋体"/>
                <w:b/>
                <w:bCs/>
                <w:color w:val="auto"/>
                <w:lang w:val="en-US" w:eastAsia="zh-CN"/>
              </w:rPr>
              <w:t>/</w:t>
            </w:r>
          </w:p>
        </w:tc>
      </w:tr>
      <w:tr w14:paraId="1CB63E26">
        <w:tblPrEx>
          <w:tblCellMar>
            <w:top w:w="0" w:type="dxa"/>
            <w:left w:w="0" w:type="dxa"/>
            <w:bottom w:w="0" w:type="dxa"/>
            <w:right w:w="0" w:type="dxa"/>
          </w:tblCellMar>
        </w:tblPrEx>
        <w:trPr>
          <w:trHeight w:val="478" w:hRule="exact"/>
          <w:tblHeader/>
        </w:trPr>
        <w:tc>
          <w:tcPr>
            <w:tcW w:w="250" w:type="pct"/>
            <w:vMerge w:val="continue"/>
            <w:tcBorders>
              <w:top w:val="single" w:color="000000" w:sz="4" w:space="0"/>
              <w:left w:val="single" w:color="000000" w:sz="4" w:space="0"/>
              <w:bottom w:val="single" w:color="000000" w:sz="4" w:space="0"/>
              <w:right w:val="single" w:color="000000" w:sz="4" w:space="0"/>
              <w:tl2br w:val="nil"/>
              <w:tr2bl w:val="nil"/>
            </w:tcBorders>
          </w:tcPr>
          <w:p w14:paraId="06B6E6A2">
            <w:pPr>
              <w:pStyle w:val="25"/>
              <w:kinsoku w:val="0"/>
              <w:overflowPunct w:val="0"/>
              <w:spacing w:before="40"/>
              <w:ind w:left="102"/>
              <w:rPr>
                <w:rFonts w:hint="default" w:ascii="Times New Roman" w:eastAsia="Times New Roman"/>
                <w:color w:val="auto"/>
              </w:rPr>
            </w:pPr>
          </w:p>
        </w:tc>
        <w:tc>
          <w:tcPr>
            <w:tcW w:w="945" w:type="pct"/>
            <w:gridSpan w:val="2"/>
            <w:vMerge w:val="continue"/>
            <w:tcBorders>
              <w:top w:val="single" w:color="000000" w:sz="4" w:space="0"/>
              <w:left w:val="single" w:color="000000" w:sz="4" w:space="0"/>
              <w:bottom w:val="single" w:color="000000" w:sz="4" w:space="0"/>
              <w:right w:val="single" w:color="000000" w:sz="4" w:space="0"/>
              <w:tl2br w:val="nil"/>
              <w:tr2bl w:val="nil"/>
            </w:tcBorders>
          </w:tcPr>
          <w:p w14:paraId="711FE778">
            <w:pPr>
              <w:pStyle w:val="25"/>
              <w:kinsoku w:val="0"/>
              <w:overflowPunct w:val="0"/>
              <w:spacing w:before="40"/>
              <w:ind w:left="102"/>
              <w:rPr>
                <w:rFonts w:hint="default" w:ascii="Times New Roman" w:eastAsia="Times New Roman"/>
                <w:color w:val="auto"/>
              </w:rPr>
            </w:pP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682FE17D">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eastAsia" w:ascii="Times New Roman" w:eastAsia="宋体"/>
                <w:b/>
                <w:bCs/>
                <w:color w:val="auto"/>
                <w:lang w:val="en-US" w:eastAsia="zh-CN"/>
              </w:rPr>
            </w:pPr>
            <w:r>
              <w:rPr>
                <w:rFonts w:cs="宋体"/>
                <w:b/>
                <w:bCs/>
                <w:color w:val="auto"/>
              </w:rPr>
              <w:t>交纳金额：</w:t>
            </w:r>
            <w:r>
              <w:rPr>
                <w:rFonts w:hint="eastAsia" w:cs="宋体"/>
                <w:b/>
                <w:bCs/>
                <w:color w:val="auto"/>
                <w:lang w:val="en-US" w:eastAsia="zh-CN"/>
              </w:rPr>
              <w:t>/</w:t>
            </w:r>
          </w:p>
        </w:tc>
      </w:tr>
      <w:tr w14:paraId="3162B06A">
        <w:tblPrEx>
          <w:tblCellMar>
            <w:top w:w="0" w:type="dxa"/>
            <w:left w:w="0" w:type="dxa"/>
            <w:bottom w:w="0" w:type="dxa"/>
            <w:right w:w="0" w:type="dxa"/>
          </w:tblCellMar>
        </w:tblPrEx>
        <w:trPr>
          <w:trHeight w:val="1019" w:hRule="exact"/>
          <w:tblHeader/>
        </w:trPr>
        <w:tc>
          <w:tcPr>
            <w:tcW w:w="250" w:type="pct"/>
            <w:vMerge w:val="continue"/>
            <w:tcBorders>
              <w:top w:val="single" w:color="000000" w:sz="4" w:space="0"/>
              <w:left w:val="single" w:color="000000" w:sz="4" w:space="0"/>
              <w:bottom w:val="single" w:color="000000" w:sz="4" w:space="0"/>
              <w:right w:val="single" w:color="000000" w:sz="4" w:space="0"/>
              <w:tl2br w:val="nil"/>
              <w:tr2bl w:val="nil"/>
            </w:tcBorders>
          </w:tcPr>
          <w:p w14:paraId="23C16942">
            <w:pPr>
              <w:pStyle w:val="25"/>
              <w:kinsoku w:val="0"/>
              <w:overflowPunct w:val="0"/>
              <w:spacing w:before="40"/>
              <w:ind w:left="102"/>
              <w:rPr>
                <w:rFonts w:hint="default" w:ascii="Times New Roman" w:eastAsia="Times New Roman"/>
                <w:color w:val="auto"/>
              </w:rPr>
            </w:pPr>
          </w:p>
        </w:tc>
        <w:tc>
          <w:tcPr>
            <w:tcW w:w="945" w:type="pct"/>
            <w:gridSpan w:val="2"/>
            <w:vMerge w:val="continue"/>
            <w:tcBorders>
              <w:top w:val="single" w:color="000000" w:sz="4" w:space="0"/>
              <w:left w:val="single" w:color="000000" w:sz="4" w:space="0"/>
              <w:bottom w:val="single" w:color="000000" w:sz="4" w:space="0"/>
              <w:right w:val="single" w:color="000000" w:sz="4" w:space="0"/>
              <w:tl2br w:val="nil"/>
              <w:tr2bl w:val="nil"/>
            </w:tcBorders>
          </w:tcPr>
          <w:p w14:paraId="59343896">
            <w:pPr>
              <w:pStyle w:val="25"/>
              <w:kinsoku w:val="0"/>
              <w:overflowPunct w:val="0"/>
              <w:spacing w:before="40"/>
              <w:ind w:left="102"/>
              <w:rPr>
                <w:rFonts w:hint="default" w:ascii="Times New Roman" w:eastAsia="Times New Roman"/>
                <w:color w:val="auto"/>
              </w:rPr>
            </w:pP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33291A1B">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cs="宋体"/>
                <w:color w:val="auto"/>
              </w:rPr>
            </w:pPr>
            <w:r>
              <w:rPr>
                <w:rFonts w:cs="宋体"/>
                <w:color w:val="auto"/>
              </w:rPr>
              <w:t>收款单位：按采购人要求</w:t>
            </w:r>
          </w:p>
          <w:p w14:paraId="308EA2B4">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cs="宋体"/>
                <w:color w:val="auto"/>
              </w:rPr>
            </w:pPr>
            <w:r>
              <w:rPr>
                <w:rFonts w:cs="宋体"/>
                <w:color w:val="auto"/>
              </w:rPr>
              <w:t>开户银行：按采购人要求</w:t>
            </w:r>
          </w:p>
          <w:p w14:paraId="5D04285D">
            <w:pPr>
              <w:pStyle w:val="25"/>
              <w:keepNext w:val="0"/>
              <w:keepLines w:val="0"/>
              <w:pageBreakBefore w:val="0"/>
              <w:widowControl w:val="0"/>
              <w:kinsoku w:val="0"/>
              <w:wordWrap/>
              <w:overflowPunct w:val="0"/>
              <w:topLinePunct w:val="0"/>
              <w:autoSpaceDE w:val="0"/>
              <w:autoSpaceDN w:val="0"/>
              <w:bidi w:val="0"/>
              <w:adjustRightInd w:val="0"/>
              <w:spacing w:line="240" w:lineRule="auto"/>
              <w:ind w:left="0" w:right="0"/>
              <w:textAlignment w:val="auto"/>
              <w:rPr>
                <w:rFonts w:hint="default" w:ascii="Times New Roman" w:eastAsia="Times New Roman"/>
                <w:color w:val="auto"/>
              </w:rPr>
            </w:pPr>
            <w:r>
              <w:rPr>
                <w:rFonts w:cs="宋体"/>
                <w:color w:val="auto"/>
              </w:rPr>
              <w:t>银行账号：按采购人要求</w:t>
            </w:r>
          </w:p>
        </w:tc>
      </w:tr>
      <w:tr w14:paraId="41D2CC58">
        <w:tblPrEx>
          <w:tblCellMar>
            <w:top w:w="0" w:type="dxa"/>
            <w:left w:w="0" w:type="dxa"/>
            <w:bottom w:w="0" w:type="dxa"/>
            <w:right w:w="0" w:type="dxa"/>
          </w:tblCellMar>
        </w:tblPrEx>
        <w:trPr>
          <w:trHeight w:val="853" w:hRule="exact"/>
          <w:tblHeader/>
        </w:trPr>
        <w:tc>
          <w:tcPr>
            <w:tcW w:w="250" w:type="pct"/>
            <w:vMerge w:val="continue"/>
            <w:tcBorders>
              <w:top w:val="single" w:color="000000" w:sz="4" w:space="0"/>
              <w:left w:val="single" w:color="000000" w:sz="4" w:space="0"/>
              <w:bottom w:val="single" w:color="000000" w:sz="4" w:space="0"/>
              <w:right w:val="single" w:color="000000" w:sz="4" w:space="0"/>
              <w:tl2br w:val="nil"/>
              <w:tr2bl w:val="nil"/>
            </w:tcBorders>
          </w:tcPr>
          <w:p w14:paraId="1A5BFD43">
            <w:pPr>
              <w:pStyle w:val="25"/>
              <w:kinsoku w:val="0"/>
              <w:overflowPunct w:val="0"/>
              <w:spacing w:before="36"/>
              <w:ind w:left="102"/>
              <w:rPr>
                <w:rFonts w:hint="default" w:ascii="Times New Roman" w:eastAsia="Times New Roman"/>
                <w:color w:val="auto"/>
              </w:rPr>
            </w:pPr>
          </w:p>
        </w:tc>
        <w:tc>
          <w:tcPr>
            <w:tcW w:w="945" w:type="pct"/>
            <w:gridSpan w:val="2"/>
            <w:vMerge w:val="continue"/>
            <w:tcBorders>
              <w:top w:val="single" w:color="000000" w:sz="4" w:space="0"/>
              <w:left w:val="single" w:color="000000" w:sz="4" w:space="0"/>
              <w:bottom w:val="single" w:color="000000" w:sz="4" w:space="0"/>
              <w:right w:val="single" w:color="000000" w:sz="4" w:space="0"/>
              <w:tl2br w:val="nil"/>
              <w:tr2bl w:val="nil"/>
            </w:tcBorders>
          </w:tcPr>
          <w:p w14:paraId="7CEEDD58">
            <w:pPr>
              <w:pStyle w:val="25"/>
              <w:kinsoku w:val="0"/>
              <w:overflowPunct w:val="0"/>
              <w:spacing w:before="36"/>
              <w:ind w:left="102"/>
              <w:rPr>
                <w:rFonts w:hint="default" w:ascii="Times New Roman" w:eastAsia="Times New Roman"/>
                <w:color w:val="auto"/>
              </w:rPr>
            </w:pP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3F66B1EA">
            <w:pPr>
              <w:keepNext w:val="0"/>
              <w:keepLines w:val="0"/>
              <w:pageBreakBefore w:val="0"/>
              <w:widowControl w:val="0"/>
              <w:wordWrap/>
              <w:topLinePunct w:val="0"/>
              <w:autoSpaceDE w:val="0"/>
              <w:autoSpaceDN w:val="0"/>
              <w:bidi w:val="0"/>
              <w:adjustRightInd w:val="0"/>
              <w:spacing w:line="360" w:lineRule="exact"/>
              <w:ind w:left="0" w:right="0"/>
              <w:textAlignment w:val="auto"/>
              <w:rPr>
                <w:rFonts w:hint="default" w:ascii="Times New Roman" w:eastAsia="Times New Roman"/>
                <w:color w:val="auto"/>
              </w:rPr>
            </w:pPr>
            <w:r>
              <w:rPr>
                <w:rFonts w:cs="宋体"/>
                <w:color w:val="auto"/>
              </w:rPr>
              <w:t>履约保证金退还时间：供货安装完成经使用方验收后，履约保证金自动转为项目质保金，在质保期满后后退还(不计利息)。</w:t>
            </w:r>
          </w:p>
        </w:tc>
      </w:tr>
      <w:tr w14:paraId="422CA9E9">
        <w:tblPrEx>
          <w:tblCellMar>
            <w:top w:w="0" w:type="dxa"/>
            <w:left w:w="0" w:type="dxa"/>
            <w:bottom w:w="0" w:type="dxa"/>
            <w:right w:w="0" w:type="dxa"/>
          </w:tblCellMar>
        </w:tblPrEx>
        <w:trPr>
          <w:trHeight w:val="3874"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0A59B951">
            <w:pPr>
              <w:pStyle w:val="25"/>
              <w:kinsoku w:val="0"/>
              <w:overflowPunct w:val="0"/>
              <w:jc w:val="center"/>
              <w:rPr>
                <w:rFonts w:hint="default" w:ascii="Times New Roman" w:eastAsia="Times New Roman"/>
                <w:color w:val="auto"/>
              </w:rPr>
            </w:pPr>
            <w:r>
              <w:rPr>
                <w:rFonts w:cs="宋体"/>
                <w:b/>
                <w:color w:val="auto"/>
              </w:rPr>
              <w:t>23</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1C9013C">
            <w:pPr>
              <w:pStyle w:val="25"/>
              <w:kinsoku w:val="0"/>
              <w:overflowPunct w:val="0"/>
              <w:jc w:val="center"/>
              <w:rPr>
                <w:rFonts w:hint="default" w:ascii="Times New Roman" w:eastAsia="Times New Roman"/>
                <w:color w:val="auto"/>
              </w:rPr>
            </w:pPr>
            <w:r>
              <w:rPr>
                <w:rFonts w:cs="宋体"/>
                <w:b/>
                <w:color w:val="auto"/>
              </w:rPr>
              <w:t>代理服务费</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3053E803">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cs="宋体"/>
                <w:color w:val="auto"/>
              </w:rPr>
            </w:pPr>
            <w:r>
              <w:rPr>
                <w:rFonts w:cs="宋体"/>
                <w:color w:val="auto"/>
              </w:rPr>
              <w:t>□不交纳</w:t>
            </w:r>
          </w:p>
          <w:p w14:paraId="66D82AD9">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sz w:val="21"/>
                <w:szCs w:val="21"/>
              </w:rPr>
            </w:pPr>
          </w:p>
          <w:p w14:paraId="7BD318CC">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hint="default" w:ascii="宋体" w:eastAsia="宋体" w:cs="宋体"/>
                <w:color w:val="auto"/>
              </w:rPr>
            </w:pPr>
            <w:r>
              <w:rPr>
                <w:rFonts w:ascii="宋体" w:eastAsia="宋体" w:cs="宋体"/>
                <w:color w:val="auto"/>
              </w:rPr>
              <w:t>☑交纳 交纳时间：中标</w:t>
            </w:r>
            <w:r>
              <w:rPr>
                <w:rFonts w:hint="eastAsia" w:cs="宋体"/>
                <w:color w:val="auto"/>
                <w:lang w:eastAsia="zh-CN"/>
              </w:rPr>
              <w:t>结果</w:t>
            </w:r>
            <w:r>
              <w:rPr>
                <w:rFonts w:ascii="宋体" w:eastAsia="宋体" w:cs="宋体"/>
                <w:color w:val="auto"/>
              </w:rPr>
              <w:t>公示结束后</w:t>
            </w:r>
          </w:p>
          <w:p w14:paraId="4DEFB162">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hint="eastAsia" w:cs="宋体"/>
                <w:color w:val="auto"/>
                <w:spacing w:val="-3"/>
              </w:rPr>
            </w:pPr>
            <w:r>
              <w:rPr>
                <w:rFonts w:cs="宋体"/>
                <w:color w:val="auto"/>
                <w:spacing w:val="-3"/>
              </w:rPr>
              <w:t>交纳金额：参照</w:t>
            </w:r>
            <w:r>
              <w:rPr>
                <w:rFonts w:hint="eastAsia" w:cs="宋体"/>
                <w:color w:val="auto"/>
                <w:spacing w:val="-3"/>
              </w:rPr>
              <w:t>国家发展改革委《关于进一步放开建设项目专业服务价格的通知》(发改价[2015]299号)及国家计委关于印发《招标代理服务收费管理暂行办法》的通知计价格[2002]1980号文执行。</w:t>
            </w:r>
          </w:p>
          <w:p w14:paraId="60BCBC4D">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hint="default" w:cs="宋体"/>
                <w:color w:val="auto"/>
              </w:rPr>
            </w:pPr>
            <w:r>
              <w:rPr>
                <w:rFonts w:cs="宋体"/>
                <w:color w:val="auto"/>
              </w:rPr>
              <w:t>收款单位：</w:t>
            </w:r>
            <w:r>
              <w:rPr>
                <w:rFonts w:hint="eastAsia" w:cs="宋体"/>
                <w:color w:val="auto"/>
                <w:lang w:eastAsia="zh-CN"/>
              </w:rPr>
              <w:t>新疆崇途工程项目管理有限公司</w:t>
            </w:r>
            <w:r>
              <w:rPr>
                <w:rFonts w:cs="宋体"/>
                <w:color w:val="auto"/>
              </w:rPr>
              <w:t xml:space="preserve"> </w:t>
            </w:r>
          </w:p>
          <w:p w14:paraId="230CC7C8">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hint="eastAsia" w:eastAsia="宋体" w:cs="宋体"/>
                <w:color w:val="auto"/>
                <w:lang w:eastAsia="zh-CN"/>
              </w:rPr>
            </w:pPr>
            <w:r>
              <w:rPr>
                <w:rFonts w:cs="宋体"/>
                <w:color w:val="auto"/>
              </w:rPr>
              <w:t>开户银行：</w:t>
            </w:r>
            <w:r>
              <w:rPr>
                <w:rFonts w:hint="eastAsia" w:hAnsi="宋体" w:cs="宋体"/>
                <w:color w:val="auto"/>
                <w:spacing w:val="-10"/>
                <w:szCs w:val="21"/>
                <w:lang w:eastAsia="zh-CN"/>
              </w:rPr>
              <w:t>中国建设银行股份有限公司伊犁哈萨克自治州分行营业部</w:t>
            </w:r>
          </w:p>
          <w:p w14:paraId="2BBF7B4C">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eastAsia" w:ascii="Times New Roman" w:eastAsia="宋体"/>
                <w:color w:val="auto"/>
                <w:lang w:eastAsia="zh-CN"/>
              </w:rPr>
            </w:pPr>
            <w:r>
              <w:rPr>
                <w:rFonts w:cs="宋体"/>
                <w:color w:val="auto"/>
              </w:rPr>
              <w:t>银行账号：</w:t>
            </w:r>
            <w:r>
              <w:rPr>
                <w:rFonts w:hint="eastAsia" w:hAnsi="宋体" w:cs="宋体"/>
                <w:color w:val="auto"/>
                <w:szCs w:val="21"/>
                <w:lang w:eastAsia="zh-CN"/>
              </w:rPr>
              <w:t>65050165605700001964</w:t>
            </w:r>
          </w:p>
        </w:tc>
      </w:tr>
      <w:tr w14:paraId="72171A3F">
        <w:tblPrEx>
          <w:tblCellMar>
            <w:top w:w="0" w:type="dxa"/>
            <w:left w:w="0" w:type="dxa"/>
            <w:bottom w:w="0" w:type="dxa"/>
            <w:right w:w="0" w:type="dxa"/>
          </w:tblCellMar>
        </w:tblPrEx>
        <w:trPr>
          <w:trHeight w:val="907"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77020567">
            <w:pPr>
              <w:pStyle w:val="25"/>
              <w:kinsoku w:val="0"/>
              <w:overflowPunct w:val="0"/>
              <w:jc w:val="center"/>
              <w:rPr>
                <w:rFonts w:hint="default" w:ascii="Times New Roman" w:eastAsia="Times New Roman"/>
                <w:color w:val="auto"/>
              </w:rPr>
            </w:pPr>
            <w:r>
              <w:rPr>
                <w:rFonts w:cs="宋体"/>
                <w:b/>
                <w:color w:val="auto"/>
              </w:rPr>
              <w:t>24</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BAE43AB">
            <w:pPr>
              <w:pStyle w:val="25"/>
              <w:kinsoku w:val="0"/>
              <w:overflowPunct w:val="0"/>
              <w:jc w:val="center"/>
              <w:rPr>
                <w:rFonts w:hint="default" w:ascii="Times New Roman" w:eastAsia="Times New Roman"/>
                <w:color w:val="auto"/>
              </w:rPr>
            </w:pPr>
            <w:r>
              <w:rPr>
                <w:rFonts w:cs="宋体"/>
                <w:b/>
                <w:color w:val="auto"/>
              </w:rPr>
              <w:t>场地服务费</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7403F163">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Ansi="Wingdings" w:cs="宋体"/>
                <w:color w:val="auto"/>
              </w:rPr>
            </w:pPr>
            <w:r>
              <w:rPr>
                <w:rFonts w:ascii="MS Gothic" w:hAnsi="MS Gothic" w:eastAsia="MS Gothic" w:cs="MS Gothic"/>
                <w:color w:val="auto"/>
                <w:spacing w:val="-30"/>
              </w:rPr>
              <w:t>☑</w:t>
            </w:r>
            <w:r>
              <w:rPr>
                <w:rFonts w:hAnsi="Wingdings" w:cs="宋体"/>
                <w:color w:val="auto"/>
              </w:rPr>
              <w:t>不交纳</w:t>
            </w:r>
          </w:p>
          <w:p w14:paraId="08A16E59">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hint="default" w:ascii="Times New Roman" w:eastAsia="Times New Roman"/>
                <w:color w:val="auto"/>
              </w:rPr>
            </w:pPr>
            <w:r>
              <w:rPr>
                <w:rFonts w:cs="宋体"/>
                <w:color w:val="auto"/>
              </w:rPr>
              <w:t xml:space="preserve">□交纳 </w:t>
            </w:r>
          </w:p>
        </w:tc>
      </w:tr>
      <w:tr w14:paraId="01E011DF">
        <w:tblPrEx>
          <w:tblCellMar>
            <w:top w:w="0" w:type="dxa"/>
            <w:left w:w="0" w:type="dxa"/>
            <w:bottom w:w="0" w:type="dxa"/>
            <w:right w:w="0" w:type="dxa"/>
          </w:tblCellMar>
        </w:tblPrEx>
        <w:trPr>
          <w:trHeight w:val="946"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1E93D15A">
            <w:pPr>
              <w:pStyle w:val="25"/>
              <w:kinsoku w:val="0"/>
              <w:overflowPunct w:val="0"/>
              <w:spacing w:before="190"/>
              <w:jc w:val="center"/>
              <w:rPr>
                <w:rFonts w:hint="default" w:ascii="Times New Roman" w:eastAsia="Times New Roman"/>
                <w:color w:val="auto"/>
              </w:rPr>
            </w:pPr>
            <w:r>
              <w:rPr>
                <w:rFonts w:cs="宋体"/>
                <w:b/>
                <w:color w:val="auto"/>
              </w:rPr>
              <w:t>25</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DEE11D3">
            <w:pPr>
              <w:pStyle w:val="25"/>
              <w:kinsoku w:val="0"/>
              <w:overflowPunct w:val="0"/>
              <w:spacing w:before="190"/>
              <w:ind w:right="1"/>
              <w:jc w:val="center"/>
              <w:rPr>
                <w:rFonts w:hint="default" w:ascii="Times New Roman" w:eastAsia="Times New Roman"/>
                <w:color w:val="auto"/>
              </w:rPr>
            </w:pPr>
            <w:r>
              <w:rPr>
                <w:rFonts w:cs="宋体"/>
                <w:b/>
                <w:color w:val="auto"/>
              </w:rPr>
              <w:t>公证费</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06DE3420">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Ansi="Wingdings" w:cs="宋体"/>
                <w:color w:val="auto"/>
              </w:rPr>
            </w:pPr>
            <w:r>
              <w:rPr>
                <w:rFonts w:ascii="MS Gothic" w:hAnsi="MS Gothic" w:eastAsia="MS Gothic" w:cs="MS Gothic"/>
                <w:color w:val="auto"/>
                <w:spacing w:val="-30"/>
              </w:rPr>
              <w:t>☑</w:t>
            </w:r>
            <w:r>
              <w:rPr>
                <w:rFonts w:hAnsi="Wingdings" w:cs="宋体"/>
                <w:color w:val="auto"/>
              </w:rPr>
              <w:t>不交纳</w:t>
            </w:r>
          </w:p>
          <w:p w14:paraId="490CF27A">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hint="default" w:ascii="Times New Roman" w:eastAsia="Times New Roman"/>
                <w:color w:val="auto"/>
              </w:rPr>
            </w:pPr>
            <w:r>
              <w:rPr>
                <w:rFonts w:cs="宋体"/>
                <w:color w:val="auto"/>
              </w:rPr>
              <w:t xml:space="preserve">□交纳 </w:t>
            </w:r>
          </w:p>
          <w:p w14:paraId="62152FAE">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rPr>
            </w:pPr>
          </w:p>
        </w:tc>
      </w:tr>
      <w:tr w14:paraId="35E197FD">
        <w:tblPrEx>
          <w:tblCellMar>
            <w:top w:w="0" w:type="dxa"/>
            <w:left w:w="0" w:type="dxa"/>
            <w:bottom w:w="0" w:type="dxa"/>
            <w:right w:w="0" w:type="dxa"/>
          </w:tblCellMar>
        </w:tblPrEx>
        <w:trPr>
          <w:trHeight w:val="478"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193DB93A">
            <w:pPr>
              <w:pStyle w:val="25"/>
              <w:kinsoku w:val="0"/>
              <w:overflowPunct w:val="0"/>
              <w:spacing w:before="41"/>
              <w:jc w:val="center"/>
              <w:rPr>
                <w:rFonts w:hint="default" w:ascii="Times New Roman" w:eastAsia="Times New Roman"/>
                <w:color w:val="auto"/>
              </w:rPr>
            </w:pPr>
            <w:r>
              <w:rPr>
                <w:rFonts w:cs="宋体"/>
                <w:b/>
                <w:color w:val="auto"/>
              </w:rPr>
              <w:t>26</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603EF36">
            <w:pPr>
              <w:pStyle w:val="25"/>
              <w:kinsoku w:val="0"/>
              <w:overflowPunct w:val="0"/>
              <w:spacing w:before="41"/>
              <w:jc w:val="center"/>
              <w:rPr>
                <w:rFonts w:hint="default" w:ascii="Times New Roman" w:eastAsia="Times New Roman"/>
                <w:color w:val="auto"/>
              </w:rPr>
            </w:pPr>
            <w:r>
              <w:rPr>
                <w:rFonts w:cs="宋体"/>
                <w:b/>
                <w:color w:val="auto"/>
              </w:rPr>
              <w:t>付款途径</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2B8A96AD">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rPr>
            </w:pPr>
            <w:r>
              <w:rPr>
                <w:rFonts w:cs="宋体"/>
                <w:color w:val="auto"/>
              </w:rPr>
              <w:t>电汇或网银</w:t>
            </w:r>
          </w:p>
        </w:tc>
      </w:tr>
      <w:tr w14:paraId="48013D35">
        <w:tblPrEx>
          <w:tblCellMar>
            <w:top w:w="0" w:type="dxa"/>
            <w:left w:w="0" w:type="dxa"/>
            <w:bottom w:w="0" w:type="dxa"/>
            <w:right w:w="0" w:type="dxa"/>
          </w:tblCellMar>
        </w:tblPrEx>
        <w:trPr>
          <w:trHeight w:val="878"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197C1032">
            <w:pPr>
              <w:pStyle w:val="25"/>
              <w:kinsoku w:val="0"/>
              <w:overflowPunct w:val="0"/>
              <w:spacing w:before="156"/>
              <w:jc w:val="center"/>
              <w:rPr>
                <w:rFonts w:hint="default" w:ascii="Times New Roman" w:eastAsia="Times New Roman"/>
                <w:color w:val="auto"/>
              </w:rPr>
            </w:pPr>
            <w:r>
              <w:rPr>
                <w:rFonts w:cs="宋体"/>
                <w:b/>
                <w:color w:val="auto"/>
              </w:rPr>
              <w:t>27</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2E75215">
            <w:pPr>
              <w:pStyle w:val="25"/>
              <w:kinsoku w:val="0"/>
              <w:overflowPunct w:val="0"/>
              <w:spacing w:before="156"/>
              <w:jc w:val="center"/>
              <w:rPr>
                <w:rFonts w:hint="default" w:ascii="Times New Roman" w:eastAsia="Times New Roman"/>
                <w:color w:val="auto"/>
              </w:rPr>
            </w:pPr>
            <w:r>
              <w:rPr>
                <w:rFonts w:cs="宋体"/>
                <w:b/>
                <w:color w:val="auto"/>
              </w:rPr>
              <w:t>付款方式</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30D7A268">
            <w:pPr>
              <w:pStyle w:val="25"/>
              <w:keepNext w:val="0"/>
              <w:keepLines w:val="0"/>
              <w:pageBreakBefore w:val="0"/>
              <w:widowControl w:val="0"/>
              <w:kinsoku w:val="0"/>
              <w:wordWrap/>
              <w:overflowPunct w:val="0"/>
              <w:topLinePunct w:val="0"/>
              <w:autoSpaceDE w:val="0"/>
              <w:autoSpaceDN w:val="0"/>
              <w:bidi w:val="0"/>
              <w:adjustRightInd w:val="0"/>
              <w:spacing w:line="312" w:lineRule="exact"/>
              <w:ind w:left="0" w:right="0"/>
              <w:jc w:val="both"/>
              <w:textAlignment w:val="auto"/>
              <w:rPr>
                <w:rFonts w:hint="default" w:ascii="Times New Roman" w:eastAsia="Times New Roman"/>
                <w:color w:val="auto"/>
              </w:rPr>
            </w:pPr>
            <w:r>
              <w:rPr>
                <w:rFonts w:hint="eastAsia" w:cs="宋体"/>
                <w:color w:val="auto"/>
                <w:lang w:val="zh-CN"/>
              </w:rPr>
              <w:t>合同签订后支付合同价款的30%，货到验收合格后支付合同价款的30%，一年后支付合同价款的30%，二年后支付合同价款的10%。</w:t>
            </w:r>
          </w:p>
        </w:tc>
      </w:tr>
      <w:tr w14:paraId="3E951E98">
        <w:tblPrEx>
          <w:tblCellMar>
            <w:top w:w="0" w:type="dxa"/>
            <w:left w:w="0" w:type="dxa"/>
            <w:bottom w:w="0" w:type="dxa"/>
            <w:right w:w="0" w:type="dxa"/>
          </w:tblCellMar>
        </w:tblPrEx>
        <w:trPr>
          <w:trHeight w:val="627"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7FE26951">
            <w:pPr>
              <w:pStyle w:val="25"/>
              <w:kinsoku w:val="0"/>
              <w:overflowPunct w:val="0"/>
              <w:spacing w:before="40"/>
              <w:jc w:val="center"/>
              <w:rPr>
                <w:rFonts w:hint="default" w:ascii="Times New Roman" w:eastAsia="Times New Roman"/>
                <w:color w:val="auto"/>
              </w:rPr>
            </w:pPr>
            <w:r>
              <w:rPr>
                <w:rFonts w:cs="宋体"/>
                <w:b/>
                <w:color w:val="auto"/>
              </w:rPr>
              <w:t>28</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0DD1411">
            <w:pPr>
              <w:pStyle w:val="25"/>
              <w:kinsoku w:val="0"/>
              <w:overflowPunct w:val="0"/>
              <w:spacing w:before="40"/>
              <w:jc w:val="center"/>
              <w:rPr>
                <w:rFonts w:hint="default" w:ascii="Times New Roman" w:eastAsia="Times New Roman"/>
                <w:color w:val="auto"/>
              </w:rPr>
            </w:pPr>
            <w:r>
              <w:rPr>
                <w:rFonts w:cs="宋体"/>
                <w:b/>
                <w:color w:val="auto"/>
              </w:rPr>
              <w:t>★</w:t>
            </w:r>
            <w:r>
              <w:rPr>
                <w:rFonts w:hint="eastAsia" w:cs="宋体"/>
                <w:b/>
                <w:color w:val="auto"/>
              </w:rPr>
              <w:t>合同履约期限</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1312F746">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rPr>
            </w:pPr>
            <w:r>
              <w:rPr>
                <w:rFonts w:hint="eastAsia" w:hAnsi="宋体" w:cs="宋体"/>
                <w:b/>
                <w:bCs/>
                <w:color w:val="auto"/>
                <w:lang w:val="zh-CN"/>
              </w:rPr>
              <w:t>签订合同后30日内到货并安装完毕</w:t>
            </w:r>
            <w:r>
              <w:rPr>
                <w:rFonts w:hAnsi="宋体" w:cs="宋体"/>
                <w:b/>
                <w:bCs/>
                <w:color w:val="auto"/>
                <w:lang w:val="zh-CN"/>
              </w:rPr>
              <w:t>。</w:t>
            </w:r>
          </w:p>
        </w:tc>
      </w:tr>
      <w:tr w14:paraId="4C288881">
        <w:tblPrEx>
          <w:tblCellMar>
            <w:top w:w="0" w:type="dxa"/>
            <w:left w:w="0" w:type="dxa"/>
            <w:bottom w:w="0" w:type="dxa"/>
            <w:right w:w="0" w:type="dxa"/>
          </w:tblCellMar>
        </w:tblPrEx>
        <w:trPr>
          <w:trHeight w:val="664"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44B50447">
            <w:pPr>
              <w:pStyle w:val="25"/>
              <w:kinsoku w:val="0"/>
              <w:overflowPunct w:val="0"/>
              <w:spacing w:before="40"/>
              <w:jc w:val="center"/>
              <w:rPr>
                <w:rFonts w:hint="default" w:ascii="Times New Roman" w:eastAsia="Times New Roman"/>
                <w:color w:val="auto"/>
              </w:rPr>
            </w:pPr>
            <w:r>
              <w:rPr>
                <w:rFonts w:cs="宋体"/>
                <w:b/>
                <w:color w:val="auto"/>
              </w:rPr>
              <w:t>29</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F9F35F4">
            <w:pPr>
              <w:pStyle w:val="25"/>
              <w:kinsoku w:val="0"/>
              <w:overflowPunct w:val="0"/>
              <w:spacing w:before="40"/>
              <w:jc w:val="center"/>
              <w:rPr>
                <w:rFonts w:hint="default" w:ascii="Times New Roman" w:eastAsia="Times New Roman"/>
                <w:color w:val="auto"/>
              </w:rPr>
            </w:pPr>
            <w:r>
              <w:rPr>
                <w:rFonts w:cs="宋体"/>
                <w:b/>
                <w:color w:val="auto"/>
              </w:rPr>
              <w:t>质保期</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345EDF44">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eastAsia" w:ascii="Times New Roman" w:eastAsia="宋体"/>
                <w:color w:val="auto"/>
                <w:lang w:eastAsia="zh-CN"/>
              </w:rPr>
            </w:pPr>
            <w:r>
              <w:rPr>
                <w:rFonts w:cs="宋体"/>
                <w:color w:val="auto"/>
              </w:rPr>
              <w:t>2年</w:t>
            </w:r>
            <w:r>
              <w:rPr>
                <w:rFonts w:hint="eastAsia" w:cs="宋体"/>
                <w:color w:val="auto"/>
                <w:lang w:eastAsia="zh-CN"/>
              </w:rPr>
              <w:t>（质保期从终验结束后开始计算）</w:t>
            </w:r>
          </w:p>
        </w:tc>
      </w:tr>
      <w:tr w14:paraId="212C47BB">
        <w:tblPrEx>
          <w:tblCellMar>
            <w:top w:w="0" w:type="dxa"/>
            <w:left w:w="0" w:type="dxa"/>
            <w:bottom w:w="0" w:type="dxa"/>
            <w:right w:w="0" w:type="dxa"/>
          </w:tblCellMar>
        </w:tblPrEx>
        <w:trPr>
          <w:trHeight w:val="731"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0AA77915">
            <w:pPr>
              <w:pStyle w:val="25"/>
              <w:kinsoku w:val="0"/>
              <w:overflowPunct w:val="0"/>
              <w:jc w:val="center"/>
              <w:rPr>
                <w:rFonts w:hint="default" w:ascii="Times New Roman" w:eastAsia="Times New Roman"/>
                <w:color w:val="auto"/>
              </w:rPr>
            </w:pPr>
            <w:r>
              <w:rPr>
                <w:rFonts w:cs="宋体"/>
                <w:b/>
                <w:color w:val="auto"/>
              </w:rPr>
              <w:t>30</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56CE9E4">
            <w:pPr>
              <w:pStyle w:val="25"/>
              <w:kinsoku w:val="0"/>
              <w:overflowPunct w:val="0"/>
              <w:jc w:val="center"/>
              <w:rPr>
                <w:rFonts w:hint="default" w:ascii="Times New Roman" w:eastAsia="Times New Roman"/>
                <w:color w:val="auto"/>
              </w:rPr>
            </w:pPr>
            <w:r>
              <w:rPr>
                <w:rFonts w:cs="宋体"/>
                <w:b/>
                <w:color w:val="auto"/>
              </w:rPr>
              <w:t>争议的解决</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1FE7DD74">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eastAsia" w:ascii="Times New Roman" w:eastAsia="宋体"/>
                <w:color w:val="auto"/>
                <w:lang w:eastAsia="zh-CN"/>
              </w:rPr>
            </w:pPr>
            <w:r>
              <w:rPr>
                <w:rFonts w:cs="宋体"/>
                <w:color w:val="auto"/>
              </w:rPr>
              <w:t>若甲、乙双方发生纠纷，应首先友好协商解决，如不能达成一致意见，可向当地人民法院提起诉讼</w:t>
            </w:r>
            <w:r>
              <w:rPr>
                <w:rFonts w:hint="eastAsia" w:cs="宋体"/>
                <w:color w:val="auto"/>
                <w:lang w:eastAsia="zh-CN"/>
              </w:rPr>
              <w:t>。</w:t>
            </w:r>
          </w:p>
        </w:tc>
      </w:tr>
      <w:tr w14:paraId="48726916">
        <w:tblPrEx>
          <w:tblCellMar>
            <w:top w:w="0" w:type="dxa"/>
            <w:left w:w="0" w:type="dxa"/>
            <w:bottom w:w="0" w:type="dxa"/>
            <w:right w:w="0" w:type="dxa"/>
          </w:tblCellMar>
        </w:tblPrEx>
        <w:trPr>
          <w:trHeight w:val="1102"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259D0548">
            <w:pPr>
              <w:pStyle w:val="25"/>
              <w:kinsoku w:val="0"/>
              <w:overflowPunct w:val="0"/>
              <w:jc w:val="center"/>
              <w:rPr>
                <w:rFonts w:hint="default" w:ascii="Times New Roman" w:eastAsia="Times New Roman"/>
                <w:color w:val="auto"/>
              </w:rPr>
            </w:pPr>
            <w:r>
              <w:rPr>
                <w:rFonts w:cs="宋体"/>
                <w:b/>
                <w:color w:val="auto"/>
              </w:rPr>
              <w:t>31</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E9C004C">
            <w:pPr>
              <w:pStyle w:val="25"/>
              <w:kinsoku w:val="0"/>
              <w:overflowPunct w:val="0"/>
              <w:spacing w:before="118" w:line="357" w:lineRule="auto"/>
              <w:ind w:right="-74" w:rightChars="0"/>
              <w:jc w:val="center"/>
              <w:rPr>
                <w:rFonts w:cs="宋体"/>
                <w:b/>
                <w:color w:val="auto"/>
              </w:rPr>
            </w:pPr>
            <w:r>
              <w:rPr>
                <w:rFonts w:cs="宋体"/>
                <w:b/>
                <w:color w:val="auto"/>
              </w:rPr>
              <w:t>是否需要</w:t>
            </w:r>
          </w:p>
          <w:p w14:paraId="6D58D404">
            <w:pPr>
              <w:pStyle w:val="25"/>
              <w:kinsoku w:val="0"/>
              <w:overflowPunct w:val="0"/>
              <w:spacing w:before="118" w:line="357" w:lineRule="auto"/>
              <w:ind w:right="-74" w:rightChars="0"/>
              <w:jc w:val="center"/>
              <w:rPr>
                <w:rFonts w:hint="default" w:ascii="Times New Roman" w:eastAsia="Times New Roman"/>
                <w:color w:val="auto"/>
              </w:rPr>
            </w:pPr>
            <w:r>
              <w:rPr>
                <w:rFonts w:cs="宋体"/>
                <w:b/>
                <w:color w:val="auto"/>
              </w:rPr>
              <w:t>提交样品</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019653AB">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hAnsi="Segoe UI Emoji" w:cs="宋体"/>
                <w:color w:val="auto"/>
                <w:spacing w:val="-23"/>
              </w:rPr>
            </w:pPr>
            <w:r>
              <w:rPr>
                <w:rFonts w:ascii="MS Gothic" w:hAnsi="MS Gothic" w:eastAsia="MS Gothic" w:cs="MS Gothic"/>
                <w:color w:val="auto"/>
                <w:spacing w:val="-23"/>
              </w:rPr>
              <w:t>☑</w:t>
            </w:r>
            <w:r>
              <w:rPr>
                <w:rFonts w:hAnsi="Segoe UI Emoji" w:cs="宋体"/>
                <w:color w:val="auto"/>
                <w:spacing w:val="-23"/>
              </w:rPr>
              <w:t>不需要</w:t>
            </w:r>
          </w:p>
          <w:p w14:paraId="66501F27">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rPr>
            </w:pPr>
            <w:r>
              <w:rPr>
                <w:rFonts w:cs="宋体"/>
                <w:color w:val="auto"/>
              </w:rPr>
              <w:t>□需要，样品要求如下</w:t>
            </w:r>
          </w:p>
        </w:tc>
      </w:tr>
      <w:tr w14:paraId="0D11C9D6">
        <w:tblPrEx>
          <w:tblCellMar>
            <w:top w:w="0" w:type="dxa"/>
            <w:left w:w="0" w:type="dxa"/>
            <w:bottom w:w="0" w:type="dxa"/>
            <w:right w:w="0" w:type="dxa"/>
          </w:tblCellMar>
        </w:tblPrEx>
        <w:trPr>
          <w:trHeight w:val="3067" w:hRule="exact"/>
          <w:tblHeader/>
        </w:trPr>
        <w:tc>
          <w:tcPr>
            <w:tcW w:w="250" w:type="pct"/>
            <w:tcBorders>
              <w:top w:val="single" w:color="000000" w:sz="4" w:space="0"/>
              <w:left w:val="single" w:color="000000" w:sz="4" w:space="0"/>
              <w:right w:val="single" w:color="000000" w:sz="4" w:space="0"/>
              <w:tl2br w:val="nil"/>
              <w:tr2bl w:val="nil"/>
            </w:tcBorders>
            <w:vAlign w:val="center"/>
          </w:tcPr>
          <w:p w14:paraId="7DF5C522">
            <w:pPr>
              <w:pStyle w:val="25"/>
              <w:kinsoku w:val="0"/>
              <w:overflowPunct w:val="0"/>
              <w:jc w:val="center"/>
              <w:rPr>
                <w:rFonts w:hint="default" w:ascii="Times New Roman" w:eastAsia="Times New Roman"/>
                <w:color w:val="auto"/>
              </w:rPr>
            </w:pPr>
            <w:r>
              <w:rPr>
                <w:rFonts w:cs="宋体"/>
                <w:b/>
                <w:color w:val="auto"/>
              </w:rPr>
              <w:t>32</w:t>
            </w:r>
          </w:p>
        </w:tc>
        <w:tc>
          <w:tcPr>
            <w:tcW w:w="945" w:type="pct"/>
            <w:gridSpan w:val="2"/>
            <w:tcBorders>
              <w:top w:val="single" w:color="000000" w:sz="4" w:space="0"/>
              <w:left w:val="single" w:color="000000" w:sz="4" w:space="0"/>
              <w:right w:val="single" w:color="000000" w:sz="4" w:space="0"/>
              <w:tl2br w:val="nil"/>
              <w:tr2bl w:val="nil"/>
            </w:tcBorders>
            <w:vAlign w:val="center"/>
          </w:tcPr>
          <w:p w14:paraId="7E0640E5">
            <w:pPr>
              <w:pStyle w:val="25"/>
              <w:kinsoku w:val="0"/>
              <w:overflowPunct w:val="0"/>
              <w:jc w:val="center"/>
              <w:rPr>
                <w:rFonts w:hint="default" w:ascii="Times New Roman" w:eastAsia="Times New Roman"/>
                <w:color w:val="auto"/>
              </w:rPr>
            </w:pPr>
            <w:r>
              <w:rPr>
                <w:rFonts w:cs="宋体"/>
                <w:b/>
                <w:color w:val="auto"/>
              </w:rPr>
              <w:t>现场陈述</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750E7588">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hAnsi="Segoe UI Emoji" w:cs="宋体"/>
                <w:color w:val="auto"/>
                <w:spacing w:val="-23"/>
              </w:rPr>
            </w:pPr>
            <w:r>
              <w:rPr>
                <w:rFonts w:ascii="MS Gothic" w:hAnsi="MS Gothic" w:eastAsia="MS Gothic" w:cs="MS Gothic"/>
                <w:color w:val="auto"/>
                <w:spacing w:val="-23"/>
              </w:rPr>
              <w:t>☑</w:t>
            </w:r>
            <w:r>
              <w:rPr>
                <w:rFonts w:hAnsi="Segoe UI Emoji" w:cs="宋体"/>
                <w:color w:val="auto"/>
                <w:spacing w:val="-23"/>
              </w:rPr>
              <w:t>不需要</w:t>
            </w:r>
          </w:p>
          <w:p w14:paraId="2C2158B3">
            <w:pPr>
              <w:pStyle w:val="25"/>
              <w:keepNext w:val="0"/>
              <w:keepLines w:val="0"/>
              <w:pageBreakBefore w:val="0"/>
              <w:widowControl w:val="0"/>
              <w:kinsoku w:val="0"/>
              <w:wordWrap/>
              <w:overflowPunct w:val="0"/>
              <w:topLinePunct w:val="0"/>
              <w:autoSpaceDE w:val="0"/>
              <w:autoSpaceDN w:val="0"/>
              <w:bidi w:val="0"/>
              <w:adjustRightInd w:val="0"/>
              <w:spacing w:line="470" w:lineRule="atLeast"/>
              <w:ind w:left="0" w:right="0"/>
              <w:textAlignment w:val="auto"/>
              <w:rPr>
                <w:rFonts w:cs="宋体"/>
                <w:color w:val="auto"/>
              </w:rPr>
            </w:pPr>
            <w:r>
              <w:rPr>
                <w:rFonts w:cs="宋体"/>
                <w:color w:val="auto"/>
              </w:rPr>
              <w:t>□需要 陈述要求如下：</w:t>
            </w:r>
          </w:p>
          <w:p w14:paraId="1D14D717">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eastAsia" w:eastAsia="宋体" w:cs="宋体"/>
                <w:color w:val="auto"/>
                <w:lang w:val="en-US" w:eastAsia="zh-CN"/>
              </w:rPr>
            </w:pPr>
            <w:r>
              <w:rPr>
                <w:rFonts w:cs="宋体"/>
                <w:color w:val="auto"/>
              </w:rPr>
              <w:t>1、陈述内容：</w:t>
            </w:r>
            <w:r>
              <w:rPr>
                <w:rFonts w:hint="eastAsia" w:cs="宋体"/>
                <w:color w:val="auto"/>
                <w:lang w:val="en-US" w:eastAsia="zh-CN"/>
              </w:rPr>
              <w:t>/</w:t>
            </w:r>
          </w:p>
          <w:p w14:paraId="06093485">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eastAsia" w:eastAsia="宋体" w:cs="宋体"/>
                <w:color w:val="auto"/>
                <w:lang w:val="en-US" w:eastAsia="zh-CN"/>
              </w:rPr>
            </w:pPr>
            <w:r>
              <w:rPr>
                <w:rFonts w:cs="宋体"/>
                <w:color w:val="auto"/>
              </w:rPr>
              <w:t>2、陈述人员：</w:t>
            </w:r>
            <w:r>
              <w:rPr>
                <w:rFonts w:hint="eastAsia" w:cs="宋体"/>
                <w:color w:val="auto"/>
                <w:lang w:val="en-US" w:eastAsia="zh-CN"/>
              </w:rPr>
              <w:t>/</w:t>
            </w:r>
          </w:p>
          <w:p w14:paraId="415BF9E3">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cs="宋体"/>
                <w:color w:val="auto"/>
              </w:rPr>
            </w:pPr>
            <w:r>
              <w:rPr>
                <w:rFonts w:cs="宋体"/>
                <w:color w:val="auto"/>
              </w:rPr>
              <w:t>3、陈述时限：</w:t>
            </w:r>
            <w:r>
              <w:rPr>
                <w:rFonts w:hint="eastAsia" w:cs="宋体"/>
                <w:color w:val="auto"/>
                <w:lang w:val="en-US" w:eastAsia="zh-CN"/>
              </w:rPr>
              <w:t>/</w:t>
            </w:r>
            <w:r>
              <w:rPr>
                <w:rFonts w:cs="宋体"/>
                <w:color w:val="auto"/>
              </w:rPr>
              <w:t>分钟。</w:t>
            </w:r>
          </w:p>
          <w:p w14:paraId="04E68DD3">
            <w:pPr>
              <w:pStyle w:val="25"/>
              <w:keepNext w:val="0"/>
              <w:keepLines w:val="0"/>
              <w:pageBreakBefore w:val="0"/>
              <w:widowControl w:val="0"/>
              <w:kinsoku w:val="0"/>
              <w:wordWrap/>
              <w:overflowPunct w:val="0"/>
              <w:topLinePunct w:val="0"/>
              <w:autoSpaceDE w:val="0"/>
              <w:autoSpaceDN w:val="0"/>
              <w:bidi w:val="0"/>
              <w:adjustRightInd w:val="0"/>
              <w:ind w:left="0" w:right="0"/>
              <w:jc w:val="both"/>
              <w:textAlignment w:val="auto"/>
              <w:rPr>
                <w:rFonts w:hint="eastAsia" w:eastAsia="宋体" w:cs="宋体"/>
                <w:color w:val="auto"/>
                <w:lang w:val="en-US" w:eastAsia="zh-CN"/>
              </w:rPr>
            </w:pPr>
            <w:r>
              <w:rPr>
                <w:rFonts w:cs="宋体"/>
                <w:color w:val="auto"/>
              </w:rPr>
              <w:t>4、陈述形式：</w:t>
            </w:r>
            <w:r>
              <w:rPr>
                <w:rFonts w:hint="eastAsia" w:cs="宋体"/>
                <w:color w:val="auto"/>
                <w:lang w:val="en-US" w:eastAsia="zh-CN"/>
              </w:rPr>
              <w:t>/</w:t>
            </w:r>
          </w:p>
          <w:p w14:paraId="1A11449C">
            <w:pPr>
              <w:pStyle w:val="25"/>
              <w:keepNext w:val="0"/>
              <w:keepLines w:val="0"/>
              <w:pageBreakBefore w:val="0"/>
              <w:widowControl w:val="0"/>
              <w:kinsoku w:val="0"/>
              <w:wordWrap/>
              <w:overflowPunct w:val="0"/>
              <w:topLinePunct w:val="0"/>
              <w:autoSpaceDE w:val="0"/>
              <w:autoSpaceDN w:val="0"/>
              <w:bidi w:val="0"/>
              <w:adjustRightInd w:val="0"/>
              <w:spacing w:line="470" w:lineRule="atLeast"/>
              <w:ind w:left="0" w:right="0"/>
              <w:textAlignment w:val="auto"/>
              <w:rPr>
                <w:rFonts w:hint="default" w:ascii="Times New Roman" w:eastAsia="Times New Roman"/>
                <w:color w:val="auto"/>
              </w:rPr>
            </w:pPr>
            <w:r>
              <w:rPr>
                <w:rFonts w:cs="宋体"/>
                <w:color w:val="auto"/>
                <w:spacing w:val="3"/>
              </w:rPr>
              <w:t>5、其他：(1)依照签到顺序依次进行；(2)</w:t>
            </w:r>
            <w:r>
              <w:rPr>
                <w:rFonts w:hint="eastAsia" w:cs="宋体"/>
                <w:color w:val="auto"/>
                <w:spacing w:val="3"/>
                <w:lang w:eastAsia="zh-CN"/>
              </w:rPr>
              <w:t>供应商</w:t>
            </w:r>
            <w:r>
              <w:rPr>
                <w:rFonts w:cs="宋体"/>
                <w:color w:val="auto"/>
                <w:spacing w:val="3"/>
              </w:rPr>
              <w:t>可放弃</w:t>
            </w:r>
            <w:r>
              <w:rPr>
                <w:rFonts w:cs="宋体"/>
                <w:color w:val="auto"/>
                <w:spacing w:val="-114"/>
              </w:rPr>
              <w:t xml:space="preserve"> </w:t>
            </w:r>
            <w:r>
              <w:rPr>
                <w:rFonts w:cs="宋体"/>
                <w:color w:val="auto"/>
              </w:rPr>
              <w:t>陈述，但需要签字确认。</w:t>
            </w:r>
          </w:p>
        </w:tc>
      </w:tr>
      <w:tr w14:paraId="61612117">
        <w:tblPrEx>
          <w:tblCellMar>
            <w:top w:w="0" w:type="dxa"/>
            <w:left w:w="0" w:type="dxa"/>
            <w:bottom w:w="0" w:type="dxa"/>
            <w:right w:w="0" w:type="dxa"/>
          </w:tblCellMar>
        </w:tblPrEx>
        <w:trPr>
          <w:trHeight w:val="842"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75F030A7">
            <w:pPr>
              <w:pStyle w:val="25"/>
              <w:kinsoku w:val="0"/>
              <w:overflowPunct w:val="0"/>
              <w:jc w:val="center"/>
              <w:rPr>
                <w:rFonts w:hint="default" w:ascii="Times New Roman" w:eastAsia="Times New Roman"/>
                <w:color w:val="auto"/>
              </w:rPr>
            </w:pPr>
            <w:r>
              <w:rPr>
                <w:rFonts w:cs="宋体"/>
                <w:b/>
                <w:color w:val="auto"/>
              </w:rPr>
              <w:t>33</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1D112CE">
            <w:pPr>
              <w:pStyle w:val="25"/>
              <w:kinsoku w:val="0"/>
              <w:overflowPunct w:val="0"/>
              <w:jc w:val="center"/>
              <w:rPr>
                <w:rFonts w:hint="default" w:ascii="Times New Roman" w:eastAsia="宋体"/>
                <w:color w:val="auto"/>
                <w:lang w:val="en-US" w:eastAsia="zh-CN"/>
              </w:rPr>
            </w:pPr>
            <w:r>
              <w:rPr>
                <w:rFonts w:cs="宋体"/>
                <w:b/>
                <w:color w:val="auto"/>
              </w:rPr>
              <w:t>项目预算</w:t>
            </w:r>
            <w:r>
              <w:rPr>
                <w:rFonts w:hint="eastAsia" w:cs="宋体"/>
                <w:b/>
                <w:color w:val="auto"/>
                <w:lang w:val="en-US" w:eastAsia="zh-CN"/>
              </w:rPr>
              <w:t>及</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37F8DF7E">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eastAsia" w:eastAsia="宋体" w:cs="宋体"/>
                <w:color w:val="auto"/>
                <w:spacing w:val="3"/>
                <w:lang w:val="en-US" w:eastAsia="zh-CN"/>
              </w:rPr>
            </w:pPr>
            <w:r>
              <w:rPr>
                <w:rFonts w:cs="宋体"/>
                <w:color w:val="auto"/>
                <w:spacing w:val="3"/>
              </w:rPr>
              <w:t>本项目预算为</w:t>
            </w:r>
            <w:r>
              <w:rPr>
                <w:rFonts w:hint="eastAsia" w:cs="宋体"/>
                <w:color w:val="auto"/>
                <w:spacing w:val="3"/>
                <w:u w:val="single"/>
                <w:lang w:eastAsia="zh-CN"/>
              </w:rPr>
              <w:t>783000.00</w:t>
            </w:r>
            <w:r>
              <w:rPr>
                <w:rFonts w:cs="宋体"/>
                <w:color w:val="auto"/>
                <w:spacing w:val="3"/>
                <w:u w:val="single"/>
              </w:rPr>
              <w:t>元</w:t>
            </w:r>
            <w:r>
              <w:rPr>
                <w:rFonts w:cs="宋体"/>
                <w:color w:val="auto"/>
                <w:spacing w:val="3"/>
              </w:rPr>
              <w:t>，</w:t>
            </w:r>
            <w:r>
              <w:rPr>
                <w:rFonts w:hint="eastAsia" w:cs="宋体"/>
                <w:color w:val="auto"/>
                <w:spacing w:val="3"/>
              </w:rPr>
              <w:t>最高限价</w:t>
            </w:r>
            <w:r>
              <w:rPr>
                <w:rFonts w:cs="宋体"/>
                <w:color w:val="auto"/>
                <w:spacing w:val="3"/>
              </w:rPr>
              <w:t>为</w:t>
            </w:r>
            <w:r>
              <w:rPr>
                <w:rFonts w:hint="eastAsia" w:cs="宋体"/>
                <w:color w:val="auto"/>
                <w:spacing w:val="3"/>
                <w:u w:val="single"/>
                <w:lang w:eastAsia="zh-CN"/>
              </w:rPr>
              <w:t>783000.00</w:t>
            </w:r>
            <w:r>
              <w:rPr>
                <w:rFonts w:cs="宋体"/>
                <w:color w:val="auto"/>
                <w:spacing w:val="3"/>
                <w:u w:val="single"/>
              </w:rPr>
              <w:t>元</w:t>
            </w:r>
            <w:r>
              <w:rPr>
                <w:rFonts w:hint="eastAsia" w:cs="宋体"/>
                <w:color w:val="auto"/>
                <w:spacing w:val="3"/>
                <w:u w:val="single"/>
                <w:lang w:eastAsia="zh-CN"/>
              </w:rPr>
              <w:t>。</w:t>
            </w:r>
          </w:p>
          <w:p w14:paraId="5F037333">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cs="宋体"/>
                <w:color w:val="auto"/>
                <w:spacing w:val="3"/>
              </w:rPr>
            </w:pPr>
            <w:r>
              <w:rPr>
                <w:rFonts w:hint="eastAsia" w:cs="宋体"/>
                <w:color w:val="auto"/>
                <w:spacing w:val="3"/>
                <w:lang w:eastAsia="zh-CN"/>
              </w:rPr>
              <w:t>供应商</w:t>
            </w:r>
            <w:r>
              <w:rPr>
                <w:rFonts w:cs="宋体"/>
                <w:color w:val="auto"/>
                <w:spacing w:val="3"/>
              </w:rPr>
              <w:t>投标报价超过项目预算</w:t>
            </w:r>
            <w:r>
              <w:rPr>
                <w:rFonts w:hint="eastAsia" w:cs="宋体"/>
                <w:color w:val="auto"/>
                <w:spacing w:val="3"/>
                <w:lang w:val="en-US" w:eastAsia="zh-CN"/>
              </w:rPr>
              <w:t>或最高限价</w:t>
            </w:r>
            <w:r>
              <w:rPr>
                <w:rFonts w:cs="宋体"/>
                <w:color w:val="auto"/>
                <w:spacing w:val="3"/>
              </w:rPr>
              <w:t>的</w:t>
            </w:r>
            <w:r>
              <w:rPr>
                <w:rFonts w:cs="宋体"/>
                <w:color w:val="auto"/>
              </w:rPr>
              <w:t>按无效投标处理。</w:t>
            </w:r>
          </w:p>
        </w:tc>
      </w:tr>
      <w:tr w14:paraId="73F79B90">
        <w:tblPrEx>
          <w:tblCellMar>
            <w:top w:w="0" w:type="dxa"/>
            <w:left w:w="0" w:type="dxa"/>
            <w:bottom w:w="0" w:type="dxa"/>
            <w:right w:w="0" w:type="dxa"/>
          </w:tblCellMar>
        </w:tblPrEx>
        <w:trPr>
          <w:trHeight w:val="2913"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47A00912">
            <w:pPr>
              <w:pStyle w:val="25"/>
              <w:kinsoku w:val="0"/>
              <w:overflowPunct w:val="0"/>
              <w:jc w:val="center"/>
              <w:rPr>
                <w:rFonts w:hint="default" w:ascii="Times New Roman" w:eastAsia="Times New Roman"/>
                <w:color w:val="auto"/>
              </w:rPr>
            </w:pPr>
            <w:r>
              <w:rPr>
                <w:rFonts w:cs="宋体"/>
                <w:b/>
                <w:color w:val="auto"/>
              </w:rPr>
              <w:t>34</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6EAA9C8">
            <w:pPr>
              <w:pStyle w:val="25"/>
              <w:kinsoku w:val="0"/>
              <w:overflowPunct w:val="0"/>
              <w:ind w:right="1"/>
              <w:jc w:val="center"/>
              <w:rPr>
                <w:rFonts w:hint="default" w:ascii="Times New Roman" w:eastAsia="Times New Roman"/>
                <w:color w:val="auto"/>
              </w:rPr>
            </w:pPr>
            <w:r>
              <w:rPr>
                <w:rFonts w:cs="宋体"/>
                <w:b/>
                <w:color w:val="auto"/>
              </w:rPr>
              <w:t>其他</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3473BF11">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hint="default" w:cs="宋体"/>
                <w:color w:val="auto"/>
              </w:rPr>
            </w:pPr>
            <w:r>
              <w:rPr>
                <w:rFonts w:cs="宋体"/>
                <w:color w:val="auto"/>
                <w:spacing w:val="-1"/>
              </w:rPr>
              <w:t>1、各</w:t>
            </w:r>
            <w:r>
              <w:rPr>
                <w:rFonts w:hint="eastAsia" w:cs="宋体"/>
                <w:color w:val="auto"/>
                <w:spacing w:val="-1"/>
                <w:lang w:eastAsia="zh-CN"/>
              </w:rPr>
              <w:t>供应商</w:t>
            </w:r>
            <w:r>
              <w:rPr>
                <w:rFonts w:cs="宋体"/>
                <w:color w:val="auto"/>
                <w:spacing w:val="-1"/>
              </w:rPr>
              <w:t>必须针对每包项目分别制作投标文件并报价，</w:t>
            </w:r>
            <w:r>
              <w:rPr>
                <w:rFonts w:cs="宋体"/>
                <w:color w:val="auto"/>
                <w:spacing w:val="-106"/>
              </w:rPr>
              <w:t xml:space="preserve"> </w:t>
            </w:r>
            <w:r>
              <w:rPr>
                <w:rFonts w:cs="宋体"/>
                <w:color w:val="auto"/>
              </w:rPr>
              <w:t>每包的投标文件均必须满足招标文件份数与制作等要求， 否则将导致投标被拒绝。</w:t>
            </w:r>
          </w:p>
          <w:p w14:paraId="61A74E09">
            <w:pPr>
              <w:pStyle w:val="25"/>
              <w:keepNext w:val="0"/>
              <w:keepLines w:val="0"/>
              <w:pageBreakBefore w:val="0"/>
              <w:widowControl w:val="0"/>
              <w:kinsoku w:val="0"/>
              <w:wordWrap/>
              <w:overflowPunct w:val="0"/>
              <w:topLinePunct w:val="0"/>
              <w:autoSpaceDE w:val="0"/>
              <w:autoSpaceDN w:val="0"/>
              <w:bidi w:val="0"/>
              <w:adjustRightInd w:val="0"/>
              <w:spacing w:line="357" w:lineRule="auto"/>
              <w:ind w:left="0" w:right="0"/>
              <w:textAlignment w:val="auto"/>
              <w:rPr>
                <w:rFonts w:hint="default" w:cs="宋体"/>
                <w:color w:val="auto"/>
              </w:rPr>
            </w:pPr>
            <w:r>
              <w:rPr>
                <w:rFonts w:cs="宋体"/>
                <w:color w:val="auto"/>
              </w:rPr>
              <w:t xml:space="preserve"> </w:t>
            </w:r>
            <w:r>
              <w:rPr>
                <w:rFonts w:cs="宋体"/>
                <w:color w:val="auto"/>
                <w:spacing w:val="3"/>
              </w:rPr>
              <w:t>2、本项目的招标投标活动以及相关当事人须接受财政监</w:t>
            </w:r>
            <w:r>
              <w:rPr>
                <w:rFonts w:cs="宋体"/>
                <w:color w:val="auto"/>
                <w:spacing w:val="-106"/>
              </w:rPr>
              <w:t xml:space="preserve"> </w:t>
            </w:r>
            <w:r>
              <w:rPr>
                <w:rFonts w:cs="宋体"/>
                <w:color w:val="auto"/>
              </w:rPr>
              <w:t>督部门依法实施的监督。</w:t>
            </w:r>
          </w:p>
          <w:p w14:paraId="61462CFF">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rPr>
            </w:pPr>
            <w:r>
              <w:rPr>
                <w:rFonts w:cs="宋体"/>
                <w:color w:val="auto"/>
              </w:rPr>
              <w:t>3、本项目不接受任何可调整可选择的报价及备选方案。</w:t>
            </w:r>
          </w:p>
        </w:tc>
      </w:tr>
      <w:tr w14:paraId="66645C4D">
        <w:tblPrEx>
          <w:tblCellMar>
            <w:top w:w="0" w:type="dxa"/>
            <w:left w:w="0" w:type="dxa"/>
            <w:bottom w:w="0" w:type="dxa"/>
            <w:right w:w="0" w:type="dxa"/>
          </w:tblCellMar>
        </w:tblPrEx>
        <w:trPr>
          <w:trHeight w:val="5702"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vAlign w:val="center"/>
          </w:tcPr>
          <w:p w14:paraId="2096B522">
            <w:pPr>
              <w:pStyle w:val="25"/>
              <w:kinsoku w:val="0"/>
              <w:overflowPunct w:val="0"/>
              <w:jc w:val="center"/>
              <w:rPr>
                <w:rFonts w:hint="default" w:ascii="Times New Roman" w:eastAsia="Times New Roman"/>
                <w:color w:val="auto"/>
              </w:rPr>
            </w:pPr>
            <w:r>
              <w:rPr>
                <w:rFonts w:cs="宋体"/>
                <w:b/>
                <w:color w:val="auto"/>
              </w:rPr>
              <w:t>35</w:t>
            </w:r>
          </w:p>
        </w:tc>
        <w:tc>
          <w:tcPr>
            <w:tcW w:w="94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82F4830">
            <w:pPr>
              <w:pStyle w:val="25"/>
              <w:kinsoku w:val="0"/>
              <w:overflowPunct w:val="0"/>
              <w:ind w:left="126"/>
              <w:jc w:val="center"/>
              <w:rPr>
                <w:rFonts w:hint="default" w:ascii="Times New Roman" w:eastAsia="Times New Roman"/>
                <w:color w:val="auto"/>
              </w:rPr>
            </w:pPr>
            <w:r>
              <w:rPr>
                <w:rFonts w:cs="宋体"/>
                <w:color w:val="auto"/>
              </w:rPr>
              <w:t>招标人补充的其他内容</w:t>
            </w:r>
          </w:p>
        </w:tc>
        <w:tc>
          <w:tcPr>
            <w:tcW w:w="3803" w:type="pct"/>
            <w:tcBorders>
              <w:top w:val="single" w:color="000000" w:sz="4" w:space="0"/>
              <w:left w:val="single" w:color="000000" w:sz="4" w:space="0"/>
              <w:bottom w:val="single" w:color="000000" w:sz="4" w:space="0"/>
              <w:right w:val="single" w:color="000000" w:sz="4" w:space="0"/>
              <w:tl2br w:val="nil"/>
              <w:tr2bl w:val="nil"/>
            </w:tcBorders>
          </w:tcPr>
          <w:p w14:paraId="588AB1D3">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cs="宋体"/>
                <w:color w:val="auto"/>
              </w:rPr>
            </w:pPr>
            <w:r>
              <w:rPr>
                <w:rFonts w:cs="宋体"/>
                <w:color w:val="auto"/>
              </w:rPr>
              <w:t>中标人：</w:t>
            </w:r>
          </w:p>
          <w:p w14:paraId="036342B1">
            <w:pPr>
              <w:pStyle w:val="25"/>
              <w:keepNext w:val="0"/>
              <w:keepLines w:val="0"/>
              <w:pageBreakBefore w:val="0"/>
              <w:widowControl w:val="0"/>
              <w:kinsoku w:val="0"/>
              <w:wordWrap/>
              <w:overflowPunct w:val="0"/>
              <w:topLinePunct w:val="0"/>
              <w:autoSpaceDE w:val="0"/>
              <w:autoSpaceDN w:val="0"/>
              <w:bidi w:val="0"/>
              <w:adjustRightInd w:val="0"/>
              <w:ind w:left="0" w:right="0"/>
              <w:textAlignment w:val="auto"/>
              <w:rPr>
                <w:rFonts w:hint="default" w:ascii="Times New Roman" w:eastAsia="Times New Roman"/>
                <w:color w:val="auto"/>
                <w:sz w:val="20"/>
                <w:szCs w:val="20"/>
              </w:rPr>
            </w:pPr>
          </w:p>
          <w:p w14:paraId="27DC7B5A">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int="default" w:ascii="Segoe UI" w:hAnsi="Segoe UI" w:cs="Segoe UI"/>
                <w:color w:val="auto"/>
              </w:rPr>
              <w:t>1</w:t>
            </w:r>
            <w:r>
              <w:rPr>
                <w:rFonts w:hint="eastAsia" w:hAnsi="Segoe UI" w:cs="宋体"/>
                <w:color w:val="auto"/>
              </w:rPr>
              <w:t>、本次招标项目选</w:t>
            </w:r>
            <w:r>
              <w:rPr>
                <w:rFonts w:hint="default" w:hAnsi="Segoe UI" w:cs="宋体"/>
                <w:color w:val="auto"/>
              </w:rPr>
              <w:t>1</w:t>
            </w:r>
            <w:r>
              <w:rPr>
                <w:rFonts w:hint="eastAsia" w:hAnsi="Segoe UI" w:cs="宋体"/>
                <w:color w:val="auto"/>
              </w:rPr>
              <w:t>家中标单位。</w:t>
            </w:r>
          </w:p>
          <w:p w14:paraId="69DDA49A">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eastAsia" w:hAnsi="Segoe UI" w:cs="宋体"/>
                <w:color w:val="auto"/>
              </w:rPr>
            </w:pPr>
            <w:r>
              <w:rPr>
                <w:rFonts w:hint="default" w:hAnsi="Segoe UI" w:cs="宋体"/>
                <w:color w:val="auto"/>
              </w:rPr>
              <w:t>2</w:t>
            </w:r>
            <w:r>
              <w:rPr>
                <w:rFonts w:hint="eastAsia" w:hAnsi="Segoe UI" w:cs="宋体"/>
                <w:color w:val="auto"/>
              </w:rPr>
              <w:t>、合同价：按照中标单位的中标价作为执行合同的价格。</w:t>
            </w:r>
          </w:p>
          <w:p w14:paraId="029CAF96">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cs="宋体"/>
                <w:b/>
                <w:color w:val="auto"/>
              </w:rPr>
            </w:pPr>
            <w:r>
              <w:rPr>
                <w:rFonts w:hint="eastAsia" w:hAnsi="Segoe UI" w:cs="宋体"/>
                <w:color w:val="auto"/>
              </w:rPr>
              <w:t>本项目采用不见面开标，</w:t>
            </w:r>
            <w:r>
              <w:rPr>
                <w:rFonts w:hint="eastAsia" w:hAnsi="Segoe UI" w:cs="宋体"/>
                <w:color w:val="auto"/>
                <w:lang w:eastAsia="zh-CN"/>
              </w:rPr>
              <w:t>供应商</w:t>
            </w:r>
            <w:r>
              <w:rPr>
                <w:rFonts w:hint="eastAsia" w:hAnsi="Segoe UI" w:cs="宋体"/>
                <w:color w:val="auto"/>
              </w:rPr>
              <w:t>的法定代表人或其委托代理人无需到达开标现场，仅需在任意地点通过政采云平台（</w:t>
            </w:r>
            <w:r>
              <w:rPr>
                <w:rFonts w:hint="default" w:hAnsi="Segoe UI" w:cs="宋体"/>
                <w:color w:val="auto"/>
              </w:rPr>
              <w:t>https://</w:t>
            </w:r>
            <w:r>
              <w:rPr>
                <w:rFonts w:hint="eastAsia" w:hAnsi="Segoe UI" w:cs="宋体"/>
                <w:color w:val="auto"/>
              </w:rPr>
              <w:fldChar w:fldCharType="begin"/>
            </w:r>
            <w:r>
              <w:rPr>
                <w:rFonts w:hint="eastAsia" w:hAnsi="Segoe UI" w:cs="宋体"/>
                <w:color w:val="auto"/>
              </w:rPr>
              <w:instrText xml:space="preserve"> HYPERLINK "http://www.zcygov.cn/" </w:instrText>
            </w:r>
            <w:r>
              <w:rPr>
                <w:rFonts w:hint="eastAsia" w:hAnsi="Segoe UI" w:cs="宋体"/>
                <w:color w:val="auto"/>
              </w:rPr>
              <w:fldChar w:fldCharType="separate"/>
            </w:r>
            <w:r>
              <w:rPr>
                <w:rFonts w:hint="default" w:hAnsi="Segoe UI" w:cs="宋体"/>
                <w:color w:val="auto"/>
              </w:rPr>
              <w:t>www.zcygov.cn/</w:t>
            </w:r>
            <w:r>
              <w:rPr>
                <w:rFonts w:hint="default" w:hAnsi="Segoe UI" w:cs="宋体"/>
                <w:color w:val="auto"/>
              </w:rPr>
              <w:fldChar w:fldCharType="end"/>
            </w:r>
            <w:r>
              <w:rPr>
                <w:rFonts w:hint="eastAsia" w:hAnsi="Segoe UI" w:cs="宋体"/>
                <w:color w:val="auto"/>
              </w:rPr>
              <w:t>），使用</w:t>
            </w:r>
            <w:r>
              <w:rPr>
                <w:rFonts w:hint="default" w:hAnsi="Segoe UI" w:cs="宋体"/>
                <w:color w:val="auto"/>
              </w:rPr>
              <w:t>CA</w:t>
            </w:r>
            <w:r>
              <w:rPr>
                <w:rFonts w:hint="eastAsia" w:hAnsi="Segoe UI" w:cs="宋体"/>
                <w:color w:val="auto"/>
              </w:rPr>
              <w:t>密钥完成远程解密、提疑澄清、开标唱标、结果公布等交互环节。法定代表人或法定代表人授权委托人参与远程交互，中途不得更换，在废标、澄清、提疑、传送文件等特殊情况下 需要交互时，</w:t>
            </w:r>
            <w:r>
              <w:rPr>
                <w:rFonts w:hint="eastAsia" w:hAnsi="Segoe UI" w:cs="宋体"/>
                <w:color w:val="auto"/>
                <w:lang w:eastAsia="zh-CN"/>
              </w:rPr>
              <w:t>供应商</w:t>
            </w:r>
            <w:r>
              <w:rPr>
                <w:rFonts w:hint="eastAsia" w:hAnsi="Segoe UI" w:cs="宋体"/>
                <w:color w:val="auto"/>
              </w:rPr>
              <w:t>一端参与交互的人员将均被视为是投标人的授权委托人或法人代表，</w:t>
            </w:r>
            <w:r>
              <w:rPr>
                <w:rFonts w:hint="eastAsia" w:hAnsi="Segoe UI" w:cs="宋体"/>
                <w:color w:val="auto"/>
                <w:lang w:eastAsia="zh-CN"/>
              </w:rPr>
              <w:t>供应商</w:t>
            </w:r>
            <w:r>
              <w:rPr>
                <w:rFonts w:hint="eastAsia" w:hAnsi="Segoe UI" w:cs="宋体"/>
                <w:color w:val="auto"/>
              </w:rPr>
              <w:t>不得以不承认交互人员的资格或身份等为借口推脱，</w:t>
            </w:r>
            <w:r>
              <w:rPr>
                <w:rFonts w:hint="eastAsia" w:hAnsi="Segoe UI" w:cs="宋体"/>
                <w:color w:val="auto"/>
                <w:lang w:eastAsia="zh-CN"/>
              </w:rPr>
              <w:t>供应商</w:t>
            </w:r>
            <w:r>
              <w:rPr>
                <w:rFonts w:hint="eastAsia" w:hAnsi="Segoe UI" w:cs="宋体"/>
                <w:color w:val="auto"/>
              </w:rPr>
              <w:t>自行承担随意更换人员所导致的一切后果。</w:t>
            </w:r>
          </w:p>
        </w:tc>
      </w:tr>
      <w:tr w14:paraId="15E0A0E5">
        <w:tblPrEx>
          <w:tblCellMar>
            <w:top w:w="0" w:type="dxa"/>
            <w:left w:w="0" w:type="dxa"/>
            <w:bottom w:w="0" w:type="dxa"/>
            <w:right w:w="0" w:type="dxa"/>
          </w:tblCellMar>
        </w:tblPrEx>
        <w:trPr>
          <w:trHeight w:val="4558" w:hRule="exact"/>
          <w:tblHeader/>
        </w:trPr>
        <w:tc>
          <w:tcPr>
            <w:tcW w:w="250" w:type="pct"/>
            <w:tcBorders>
              <w:top w:val="single" w:color="000000" w:sz="4" w:space="0"/>
              <w:left w:val="single" w:color="000000" w:sz="4" w:space="0"/>
              <w:right w:val="single" w:color="000000" w:sz="4" w:space="0"/>
              <w:tl2br w:val="nil"/>
              <w:tr2bl w:val="nil"/>
            </w:tcBorders>
            <w:vAlign w:val="center"/>
          </w:tcPr>
          <w:p w14:paraId="5709EE76">
            <w:pPr>
              <w:pStyle w:val="25"/>
              <w:kinsoku w:val="0"/>
              <w:overflowPunct w:val="0"/>
              <w:ind w:left="102"/>
              <w:rPr>
                <w:rFonts w:hAnsi="Segoe UI" w:cs="宋体"/>
                <w:color w:val="auto"/>
              </w:rPr>
            </w:pPr>
            <w:r>
              <w:rPr>
                <w:rFonts w:hAnsi="Segoe UI" w:cs="宋体"/>
                <w:color w:val="auto"/>
              </w:rPr>
              <w:t>注意</w:t>
            </w:r>
          </w:p>
          <w:p w14:paraId="315203C8">
            <w:pPr>
              <w:pStyle w:val="25"/>
              <w:kinsoku w:val="0"/>
              <w:overflowPunct w:val="0"/>
              <w:ind w:left="102"/>
              <w:rPr>
                <w:rFonts w:hint="default" w:hAnsi="Segoe UI" w:cs="宋体"/>
                <w:color w:val="auto"/>
              </w:rPr>
            </w:pPr>
            <w:r>
              <w:rPr>
                <w:rFonts w:hAnsi="Segoe UI" w:cs="宋体"/>
                <w:color w:val="auto"/>
              </w:rPr>
              <w:t>事项</w:t>
            </w:r>
          </w:p>
        </w:tc>
        <w:tc>
          <w:tcPr>
            <w:tcW w:w="4749" w:type="pct"/>
            <w:gridSpan w:val="3"/>
            <w:tcBorders>
              <w:top w:val="single" w:color="000000" w:sz="4" w:space="0"/>
              <w:left w:val="single" w:color="000000" w:sz="4" w:space="0"/>
              <w:bottom w:val="single" w:color="000000" w:sz="4" w:space="0"/>
              <w:right w:val="single" w:color="000000" w:sz="4" w:space="0"/>
              <w:tl2br w:val="nil"/>
              <w:tr2bl w:val="nil"/>
            </w:tcBorders>
          </w:tcPr>
          <w:p w14:paraId="17B17BE7">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eastAsia" w:hAnsi="Segoe UI" w:cs="宋体"/>
                <w:color w:val="auto"/>
                <w:lang w:val="en-US" w:eastAsia="zh-CN"/>
              </w:rPr>
            </w:pPr>
          </w:p>
          <w:p w14:paraId="0B84BB91">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eastAsia" w:hAnsi="Segoe UI" w:cs="宋体"/>
                <w:color w:val="auto"/>
              </w:rPr>
            </w:pPr>
            <w:r>
              <w:rPr>
                <w:rFonts w:hint="eastAsia" w:hAnsi="Segoe UI" w:cs="宋体"/>
                <w:color w:val="auto"/>
                <w:lang w:val="en-US" w:eastAsia="zh-CN"/>
              </w:rPr>
              <w:t>1、</w:t>
            </w:r>
            <w:r>
              <w:rPr>
                <w:rFonts w:hint="eastAsia" w:hAnsi="Segoe UI" w:cs="宋体"/>
                <w:color w:val="auto"/>
              </w:rPr>
              <w:t>无论何种原因，在投标响应文件中的证书材料须提供与原件内容完全一致的扫描件，且内容完整、清晰可辨；提供不全、无法辨认或提供虚假证书材料的，评标委员会可以视同其未提供，并按照有关规定处理。</w:t>
            </w:r>
          </w:p>
          <w:p w14:paraId="456E8251">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Ansi="Segoe UI" w:cs="宋体"/>
                <w:color w:val="auto"/>
              </w:rPr>
              <w:t>2、第六部分投标文件格式文件要求盖单位章和（或）签字的地方，供应商均应使</w:t>
            </w:r>
          </w:p>
          <w:p w14:paraId="2DFE19C1">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Ansi="Segoe UI" w:cs="宋体"/>
                <w:color w:val="auto"/>
              </w:rPr>
              <w:t>用 CA 数字证书加盖供应商的单位电子印章和（或）法定代表人的个人电子印章或</w:t>
            </w:r>
          </w:p>
          <w:p w14:paraId="0820B26C">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Ansi="Segoe UI" w:cs="宋体"/>
                <w:color w:val="auto"/>
              </w:rPr>
              <w:t>电子签名章。</w:t>
            </w:r>
          </w:p>
          <w:p w14:paraId="0D8B6A11">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Ansi="Segoe UI" w:cs="宋体"/>
                <w:color w:val="auto"/>
              </w:rPr>
              <w:t>3、本项目不接受选择性报价，对于出现的政采云平台开标唱标环节经投标供应商</w:t>
            </w:r>
          </w:p>
          <w:p w14:paraId="64E6CDBB">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Ansi="Segoe UI" w:cs="宋体"/>
                <w:color w:val="auto"/>
              </w:rPr>
              <w:t>确认的投标报价与投标文件中开标一览表的报价不一致的现象，视作选择性报价，</w:t>
            </w:r>
          </w:p>
          <w:p w14:paraId="06679023">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eastAsia" w:hAnsi="Segoe UI" w:eastAsia="宋体" w:cs="宋体"/>
                <w:color w:val="auto"/>
                <w:lang w:val="en-US" w:eastAsia="zh-CN"/>
              </w:rPr>
            </w:pPr>
            <w:r>
              <w:rPr>
                <w:rFonts w:hAnsi="Segoe UI" w:cs="宋体"/>
                <w:color w:val="auto"/>
              </w:rPr>
              <w:t>将被作为无效投标处理。</w:t>
            </w:r>
          </w:p>
        </w:tc>
      </w:tr>
      <w:tr w14:paraId="689A3B00">
        <w:tblPrEx>
          <w:tblCellMar>
            <w:top w:w="0" w:type="dxa"/>
            <w:left w:w="0" w:type="dxa"/>
            <w:bottom w:w="0" w:type="dxa"/>
            <w:right w:w="0" w:type="dxa"/>
          </w:tblCellMar>
        </w:tblPrEx>
        <w:trPr>
          <w:trHeight w:val="7992" w:hRule="exact"/>
          <w:tblHeader/>
        </w:trPr>
        <w:tc>
          <w:tcPr>
            <w:tcW w:w="250" w:type="pct"/>
            <w:tcBorders>
              <w:top w:val="single" w:color="000000" w:sz="4" w:space="0"/>
              <w:left w:val="single" w:color="000000" w:sz="4" w:space="0"/>
              <w:bottom w:val="single" w:color="000000" w:sz="4" w:space="0"/>
              <w:right w:val="single" w:color="000000" w:sz="4" w:space="0"/>
              <w:tl2br w:val="nil"/>
              <w:tr2bl w:val="nil"/>
            </w:tcBorders>
          </w:tcPr>
          <w:p w14:paraId="19089F1F">
            <w:pPr>
              <w:pStyle w:val="25"/>
              <w:kinsoku w:val="0"/>
              <w:overflowPunct w:val="0"/>
              <w:spacing w:line="360" w:lineRule="auto"/>
              <w:ind w:left="102"/>
              <w:rPr>
                <w:rFonts w:hint="default" w:hAnsi="Segoe UI" w:cs="宋体"/>
                <w:color w:val="auto"/>
              </w:rPr>
            </w:pPr>
          </w:p>
          <w:p w14:paraId="36AEFBB7">
            <w:pPr>
              <w:pStyle w:val="25"/>
              <w:kinsoku w:val="0"/>
              <w:overflowPunct w:val="0"/>
              <w:spacing w:line="360" w:lineRule="auto"/>
              <w:ind w:left="102"/>
              <w:rPr>
                <w:rFonts w:hint="default" w:hAnsi="Segoe UI" w:cs="宋体"/>
                <w:color w:val="auto"/>
              </w:rPr>
            </w:pPr>
          </w:p>
          <w:p w14:paraId="66E9D8BD">
            <w:pPr>
              <w:pStyle w:val="25"/>
              <w:kinsoku w:val="0"/>
              <w:overflowPunct w:val="0"/>
              <w:spacing w:line="360" w:lineRule="auto"/>
              <w:ind w:left="102"/>
              <w:rPr>
                <w:rFonts w:hint="default" w:hAnsi="Segoe UI" w:cs="宋体"/>
                <w:color w:val="auto"/>
              </w:rPr>
            </w:pPr>
          </w:p>
          <w:p w14:paraId="71C38A7F">
            <w:pPr>
              <w:pStyle w:val="25"/>
              <w:kinsoku w:val="0"/>
              <w:overflowPunct w:val="0"/>
              <w:spacing w:line="360" w:lineRule="auto"/>
              <w:ind w:left="102"/>
              <w:rPr>
                <w:rFonts w:hint="default" w:hAnsi="Segoe UI" w:cs="宋体"/>
                <w:color w:val="auto"/>
              </w:rPr>
            </w:pPr>
          </w:p>
          <w:p w14:paraId="2F3DB784">
            <w:pPr>
              <w:pStyle w:val="25"/>
              <w:kinsoku w:val="0"/>
              <w:overflowPunct w:val="0"/>
              <w:spacing w:line="360" w:lineRule="auto"/>
              <w:ind w:left="102"/>
              <w:rPr>
                <w:rFonts w:hint="default" w:hAnsi="Segoe UI" w:cs="宋体"/>
                <w:color w:val="auto"/>
              </w:rPr>
            </w:pPr>
          </w:p>
          <w:p w14:paraId="7314E7D5">
            <w:pPr>
              <w:pStyle w:val="25"/>
              <w:kinsoku w:val="0"/>
              <w:overflowPunct w:val="0"/>
              <w:spacing w:line="360" w:lineRule="auto"/>
              <w:ind w:left="102"/>
              <w:rPr>
                <w:rFonts w:hint="default" w:hAnsi="Segoe UI" w:cs="宋体"/>
                <w:color w:val="auto"/>
              </w:rPr>
            </w:pPr>
          </w:p>
          <w:p w14:paraId="31919F05">
            <w:pPr>
              <w:pStyle w:val="25"/>
              <w:kinsoku w:val="0"/>
              <w:overflowPunct w:val="0"/>
              <w:spacing w:line="360" w:lineRule="auto"/>
              <w:ind w:left="102"/>
              <w:rPr>
                <w:rFonts w:hint="default" w:hAnsi="Segoe UI" w:cs="宋体"/>
                <w:color w:val="auto"/>
              </w:rPr>
            </w:pPr>
          </w:p>
          <w:p w14:paraId="56B19080">
            <w:pPr>
              <w:pStyle w:val="25"/>
              <w:kinsoku w:val="0"/>
              <w:overflowPunct w:val="0"/>
              <w:spacing w:line="360" w:lineRule="auto"/>
              <w:ind w:left="102"/>
              <w:rPr>
                <w:rFonts w:hint="default" w:hAnsi="Segoe UI" w:cs="宋体"/>
                <w:color w:val="auto"/>
              </w:rPr>
            </w:pPr>
            <w:r>
              <w:rPr>
                <w:rFonts w:hint="eastAsia" w:hAnsi="Segoe UI" w:cs="宋体"/>
                <w:color w:val="auto"/>
              </w:rPr>
              <w:t>备注</w:t>
            </w:r>
          </w:p>
        </w:tc>
        <w:tc>
          <w:tcPr>
            <w:tcW w:w="4749" w:type="pct"/>
            <w:gridSpan w:val="3"/>
            <w:tcBorders>
              <w:top w:val="single" w:color="000000" w:sz="4" w:space="0"/>
              <w:left w:val="single" w:color="000000" w:sz="4" w:space="0"/>
              <w:bottom w:val="single" w:color="000000" w:sz="4" w:space="0"/>
              <w:right w:val="single" w:color="000000" w:sz="4" w:space="0"/>
              <w:tl2br w:val="nil"/>
              <w:tr2bl w:val="nil"/>
            </w:tcBorders>
          </w:tcPr>
          <w:p w14:paraId="5E4B2B48">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eastAsia" w:hAnsi="Segoe UI" w:cs="宋体"/>
                <w:color w:val="auto"/>
              </w:rPr>
            </w:pPr>
            <w:r>
              <w:rPr>
                <w:rFonts w:hint="eastAsia" w:hAnsi="Segoe UI" w:cs="宋体"/>
                <w:color w:val="auto"/>
              </w:rPr>
              <w:t>有下列情况之一的，采购响应无效:</w:t>
            </w:r>
          </w:p>
          <w:p w14:paraId="7B3B746E">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int="eastAsia" w:hAnsi="Segoe UI" w:cs="宋体"/>
                <w:color w:val="auto"/>
              </w:rPr>
              <w:t>1.</w:t>
            </w:r>
            <w:r>
              <w:rPr>
                <w:rFonts w:hint="eastAsia" w:hAnsi="Segoe UI" w:cs="宋体"/>
                <w:color w:val="auto"/>
                <w:lang w:eastAsia="zh-CN"/>
              </w:rPr>
              <w:t>供应商</w:t>
            </w:r>
            <w:r>
              <w:rPr>
                <w:rFonts w:hint="eastAsia" w:hAnsi="Segoe UI" w:cs="宋体"/>
                <w:color w:val="auto"/>
              </w:rPr>
              <w:t>不具备《中华人民共和国政府采购法》第二十二条规定条件;</w:t>
            </w:r>
          </w:p>
          <w:p w14:paraId="484E3E7E">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int="eastAsia" w:hAnsi="Segoe UI" w:cs="宋体"/>
                <w:color w:val="auto"/>
              </w:rPr>
              <w:t>2.采购响应文件没有按采购文件的要求盖章或签名;</w:t>
            </w:r>
          </w:p>
          <w:p w14:paraId="6E0D1BBE">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int="eastAsia" w:hAnsi="Segoe UI" w:cs="宋体"/>
                <w:color w:val="auto"/>
              </w:rPr>
              <w:t>3.</w:t>
            </w:r>
            <w:r>
              <w:rPr>
                <w:rFonts w:hint="eastAsia" w:hAnsi="Segoe UI" w:cs="宋体"/>
                <w:color w:val="auto"/>
                <w:lang w:eastAsia="zh-CN"/>
              </w:rPr>
              <w:t>供应商</w:t>
            </w:r>
            <w:r>
              <w:rPr>
                <w:rFonts w:hint="eastAsia" w:hAnsi="Segoe UI" w:cs="宋体"/>
                <w:color w:val="auto"/>
              </w:rPr>
              <w:t>不符合资格条件;</w:t>
            </w:r>
          </w:p>
          <w:p w14:paraId="2960540F">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int="eastAsia" w:hAnsi="Segoe UI" w:cs="宋体"/>
                <w:color w:val="auto"/>
              </w:rPr>
              <w:t>4.采购响应文件提供虚假材料;</w:t>
            </w:r>
          </w:p>
          <w:p w14:paraId="37E0709D">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int="eastAsia" w:hAnsi="Segoe UI" w:cs="宋体"/>
                <w:color w:val="auto"/>
                <w:lang w:val="en-US" w:eastAsia="zh-CN"/>
              </w:rPr>
              <w:t>5</w:t>
            </w:r>
            <w:r>
              <w:rPr>
                <w:rFonts w:hint="eastAsia" w:hAnsi="Segoe UI" w:cs="宋体"/>
                <w:color w:val="auto"/>
              </w:rPr>
              <w:t>.</w:t>
            </w:r>
            <w:r>
              <w:rPr>
                <w:rFonts w:hint="eastAsia" w:hAnsi="Segoe UI" w:cs="宋体"/>
                <w:color w:val="auto"/>
                <w:lang w:eastAsia="zh-CN"/>
              </w:rPr>
              <w:t>供应商</w:t>
            </w:r>
            <w:r>
              <w:rPr>
                <w:rFonts w:hint="eastAsia" w:hAnsi="Segoe UI" w:cs="宋体"/>
                <w:color w:val="auto"/>
              </w:rPr>
              <w:t>报价不确定或超过采购文件中列出的采购预算(最高限价);</w:t>
            </w:r>
          </w:p>
          <w:p w14:paraId="291E2480">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int="eastAsia" w:hAnsi="Segoe UI" w:cs="宋体"/>
                <w:color w:val="auto"/>
                <w:lang w:val="en-US" w:eastAsia="zh-CN"/>
              </w:rPr>
              <w:t>6</w:t>
            </w:r>
            <w:r>
              <w:rPr>
                <w:rFonts w:hint="eastAsia" w:hAnsi="Segoe UI" w:cs="宋体"/>
                <w:color w:val="auto"/>
              </w:rPr>
              <w:t>.联合体的</w:t>
            </w:r>
            <w:r>
              <w:rPr>
                <w:rFonts w:hint="eastAsia" w:hAnsi="Segoe UI" w:cs="宋体"/>
                <w:color w:val="auto"/>
                <w:lang w:eastAsia="zh-CN"/>
              </w:rPr>
              <w:t>供应商</w:t>
            </w:r>
            <w:r>
              <w:rPr>
                <w:rFonts w:hint="eastAsia" w:hAnsi="Segoe UI" w:cs="宋体"/>
                <w:color w:val="auto"/>
              </w:rPr>
              <w:t>未提交各方共同签署的协议;</w:t>
            </w:r>
          </w:p>
          <w:p w14:paraId="06C81534">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int="eastAsia" w:hAnsi="Segoe UI" w:cs="宋体"/>
                <w:color w:val="auto"/>
                <w:lang w:val="en-US" w:eastAsia="zh-CN"/>
              </w:rPr>
              <w:t>7</w:t>
            </w:r>
            <w:r>
              <w:rPr>
                <w:rFonts w:hint="eastAsia" w:hAnsi="Segoe UI" w:cs="宋体"/>
                <w:color w:val="auto"/>
              </w:rPr>
              <w:t>.</w:t>
            </w:r>
            <w:r>
              <w:rPr>
                <w:rFonts w:hint="eastAsia" w:hAnsi="Segoe UI" w:cs="宋体"/>
                <w:color w:val="auto"/>
                <w:lang w:eastAsia="zh-CN"/>
              </w:rPr>
              <w:t>供应商</w:t>
            </w:r>
            <w:r>
              <w:rPr>
                <w:rFonts w:hint="eastAsia" w:hAnsi="Segoe UI" w:cs="宋体"/>
                <w:color w:val="auto"/>
              </w:rPr>
              <w:t>未按采购文件要求交纳投标保证金;</w:t>
            </w:r>
          </w:p>
          <w:p w14:paraId="70FAC97B">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int="eastAsia" w:hAnsi="Segoe UI" w:cs="宋体"/>
                <w:color w:val="auto"/>
                <w:lang w:val="en-US" w:eastAsia="zh-CN"/>
              </w:rPr>
              <w:t>8</w:t>
            </w:r>
            <w:r>
              <w:rPr>
                <w:rFonts w:hint="eastAsia" w:hAnsi="Segoe UI" w:cs="宋体"/>
                <w:color w:val="auto"/>
              </w:rPr>
              <w:t>.</w:t>
            </w:r>
            <w:r>
              <w:rPr>
                <w:rFonts w:hint="eastAsia" w:hAnsi="Segoe UI" w:cs="宋体"/>
                <w:color w:val="auto"/>
                <w:lang w:eastAsia="zh-CN"/>
              </w:rPr>
              <w:t>供应商</w:t>
            </w:r>
            <w:r>
              <w:rPr>
                <w:rFonts w:hint="eastAsia" w:hAnsi="Segoe UI" w:cs="宋体"/>
                <w:color w:val="auto"/>
              </w:rPr>
              <w:t>提供可调整的投标方案和报价。</w:t>
            </w:r>
          </w:p>
          <w:p w14:paraId="5B2F560C">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int="eastAsia" w:hAnsi="Segoe UI" w:cs="宋体"/>
                <w:color w:val="auto"/>
                <w:lang w:val="en-US" w:eastAsia="zh-CN"/>
              </w:rPr>
              <w:t>9</w:t>
            </w:r>
            <w:r>
              <w:rPr>
                <w:rFonts w:hint="eastAsia" w:hAnsi="Segoe UI" w:cs="宋体"/>
                <w:color w:val="auto"/>
              </w:rPr>
              <w:t>.</w:t>
            </w:r>
            <w:r>
              <w:rPr>
                <w:rFonts w:hint="eastAsia" w:hAnsi="Segoe UI" w:cs="宋体"/>
                <w:color w:val="auto"/>
                <w:lang w:eastAsia="zh-CN"/>
              </w:rPr>
              <w:t>供应商</w:t>
            </w:r>
            <w:r>
              <w:rPr>
                <w:rFonts w:hint="eastAsia" w:hAnsi="Segoe UI" w:cs="宋体"/>
                <w:color w:val="auto"/>
              </w:rPr>
              <w:t>投标文件填报的内容不详，或没有提供招标文件中所要求的全部资料及数据的。</w:t>
            </w:r>
          </w:p>
          <w:p w14:paraId="151BA5F1">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eastAsia" w:hAnsi="Segoe UI" w:cs="宋体"/>
                <w:color w:val="auto"/>
              </w:rPr>
            </w:pPr>
            <w:r>
              <w:rPr>
                <w:rFonts w:hint="eastAsia" w:hAnsi="Segoe UI" w:cs="宋体"/>
                <w:color w:val="auto"/>
                <w:lang w:val="en-US" w:eastAsia="zh-CN"/>
              </w:rPr>
              <w:t>10.</w:t>
            </w:r>
            <w:r>
              <w:rPr>
                <w:rFonts w:hint="eastAsia" w:hAnsi="Segoe UI" w:cs="宋体"/>
                <w:color w:val="auto"/>
              </w:rPr>
              <w:t>评审期间，</w:t>
            </w:r>
            <w:r>
              <w:rPr>
                <w:rFonts w:hint="eastAsia" w:hAnsi="Segoe UI" w:cs="宋体"/>
                <w:color w:val="auto"/>
                <w:lang w:eastAsia="zh-CN"/>
              </w:rPr>
              <w:t>供应商</w:t>
            </w:r>
            <w:r>
              <w:rPr>
                <w:rFonts w:hint="eastAsia" w:hAnsi="Segoe UI" w:cs="宋体"/>
                <w:color w:val="auto"/>
              </w:rPr>
              <w:t xml:space="preserve">没有按评标委员会的要求提交经授权代表签字的澄清、说明、补正或改变了采购响应文件的实质性内容; </w:t>
            </w:r>
          </w:p>
          <w:p w14:paraId="0234C248">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eastAsia" w:hAnsi="Segoe UI" w:cs="宋体"/>
                <w:color w:val="auto"/>
                <w:lang w:eastAsia="zh-CN"/>
              </w:rPr>
            </w:pPr>
            <w:r>
              <w:rPr>
                <w:rFonts w:hint="eastAsia" w:hAnsi="Segoe UI" w:cs="宋体"/>
                <w:color w:val="auto"/>
                <w:lang w:val="en-US" w:eastAsia="zh-CN"/>
              </w:rPr>
              <w:t>11.</w:t>
            </w:r>
            <w:r>
              <w:rPr>
                <w:rFonts w:hint="eastAsia" w:hAnsi="Segoe UI" w:cs="宋体"/>
                <w:color w:val="auto"/>
                <w:lang w:eastAsia="zh-CN"/>
              </w:rPr>
              <w:t>供应商</w:t>
            </w:r>
            <w:r>
              <w:rPr>
                <w:rFonts w:hint="eastAsia" w:hAnsi="Segoe UI" w:cs="宋体"/>
                <w:color w:val="auto"/>
              </w:rPr>
              <w:t>对采购人、采购代理机构、评标委员会及其工作人员施加影响，有碍公平、公正</w:t>
            </w:r>
            <w:r>
              <w:rPr>
                <w:rFonts w:hint="eastAsia" w:hAnsi="Segoe UI" w:cs="宋体"/>
                <w:color w:val="auto"/>
                <w:lang w:eastAsia="zh-CN"/>
              </w:rPr>
              <w:t>；</w:t>
            </w:r>
          </w:p>
          <w:p w14:paraId="48599450">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eastAsia" w:hAnsi="Segoe UI" w:cs="宋体"/>
                <w:color w:val="auto"/>
                <w:lang w:eastAsia="zh-CN"/>
              </w:rPr>
            </w:pPr>
            <w:r>
              <w:rPr>
                <w:rFonts w:hint="eastAsia" w:hAnsi="Segoe UI" w:cs="宋体"/>
                <w:color w:val="auto"/>
                <w:lang w:val="en-US" w:eastAsia="zh-CN"/>
              </w:rPr>
              <w:t>12</w:t>
            </w:r>
            <w:r>
              <w:rPr>
                <w:rFonts w:hint="eastAsia" w:hAnsi="Segoe UI" w:cs="宋体"/>
                <w:color w:val="auto"/>
              </w:rPr>
              <w:t>.经评审委员会认定投标文件技术参数及要求复制、粘贴采购文件的</w:t>
            </w:r>
            <w:r>
              <w:rPr>
                <w:rFonts w:hint="eastAsia" w:hAnsi="Segoe UI" w:cs="宋体"/>
                <w:color w:val="auto"/>
                <w:lang w:eastAsia="zh-CN"/>
              </w:rPr>
              <w:t>。</w:t>
            </w:r>
          </w:p>
          <w:p w14:paraId="3C48A55D">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default" w:hAnsi="Segoe UI" w:cs="宋体"/>
                <w:color w:val="auto"/>
              </w:rPr>
            </w:pPr>
            <w:r>
              <w:rPr>
                <w:rFonts w:hint="eastAsia" w:hAnsi="Segoe UI" w:cs="宋体"/>
                <w:color w:val="auto"/>
              </w:rPr>
              <w:t>1</w:t>
            </w:r>
            <w:r>
              <w:rPr>
                <w:rFonts w:hint="eastAsia" w:hAnsi="Segoe UI" w:cs="宋体"/>
                <w:color w:val="auto"/>
                <w:lang w:val="en-US" w:eastAsia="zh-CN"/>
              </w:rPr>
              <w:t>3</w:t>
            </w:r>
            <w:r>
              <w:rPr>
                <w:rFonts w:hint="eastAsia" w:hAnsi="Segoe UI" w:cs="宋体"/>
                <w:color w:val="auto"/>
              </w:rPr>
              <w:t>.法律、法规、规章及招标文件中规定属于响应无效的其他情形。</w:t>
            </w:r>
          </w:p>
          <w:p w14:paraId="62D422FA">
            <w:pPr>
              <w:pStyle w:val="25"/>
              <w:keepNext w:val="0"/>
              <w:keepLines w:val="0"/>
              <w:pageBreakBefore w:val="0"/>
              <w:widowControl w:val="0"/>
              <w:kinsoku w:val="0"/>
              <w:wordWrap/>
              <w:overflowPunct w:val="0"/>
              <w:topLinePunct w:val="0"/>
              <w:autoSpaceDE w:val="0"/>
              <w:autoSpaceDN w:val="0"/>
              <w:bidi w:val="0"/>
              <w:adjustRightInd w:val="0"/>
              <w:spacing w:line="360" w:lineRule="auto"/>
              <w:ind w:left="0" w:right="0"/>
              <w:textAlignment w:val="auto"/>
              <w:rPr>
                <w:rFonts w:hint="eastAsia" w:hAnsi="Segoe UI" w:cs="宋体"/>
                <w:color w:val="auto"/>
                <w:lang w:eastAsia="zh-CN"/>
              </w:rPr>
            </w:pPr>
            <w:r>
              <w:rPr>
                <w:rFonts w:hint="eastAsia" w:hAnsi="Segoe UI" w:cs="宋体"/>
                <w:color w:val="auto"/>
              </w:rPr>
              <w:t>1</w:t>
            </w:r>
            <w:r>
              <w:rPr>
                <w:rFonts w:hint="eastAsia" w:hAnsi="Segoe UI" w:cs="宋体"/>
                <w:color w:val="auto"/>
                <w:lang w:val="en-US" w:eastAsia="zh-CN"/>
              </w:rPr>
              <w:t>4</w:t>
            </w:r>
            <w:r>
              <w:rPr>
                <w:rFonts w:hint="eastAsia" w:hAnsi="Segoe UI" w:cs="宋体"/>
                <w:color w:val="auto"/>
              </w:rPr>
              <w:t>.不允许递交备选投标方案</w:t>
            </w:r>
            <w:r>
              <w:rPr>
                <w:rFonts w:hint="eastAsia" w:hAnsi="Segoe UI" w:cs="宋体"/>
                <w:color w:val="auto"/>
                <w:lang w:eastAsia="zh-CN"/>
              </w:rPr>
              <w:t>。</w:t>
            </w:r>
          </w:p>
        </w:tc>
      </w:tr>
    </w:tbl>
    <w:p w14:paraId="061BCE3B">
      <w:pPr>
        <w:pStyle w:val="8"/>
        <w:kinsoku w:val="0"/>
        <w:overflowPunct w:val="0"/>
        <w:spacing w:before="6"/>
        <w:ind w:left="0"/>
        <w:rPr>
          <w:rFonts w:hint="default" w:ascii="Times New Roman" w:eastAsia="Times New Roman" w:cs="Times New Roman"/>
          <w:color w:val="auto"/>
          <w:sz w:val="27"/>
          <w:szCs w:val="27"/>
        </w:rPr>
      </w:pPr>
      <w:bookmarkStart w:id="31" w:name="投标人须知正文部分"/>
      <w:bookmarkEnd w:id="31"/>
    </w:p>
    <w:p w14:paraId="0F49C885">
      <w:pPr>
        <w:pStyle w:val="8"/>
        <w:kinsoku w:val="0"/>
        <w:overflowPunct w:val="0"/>
        <w:spacing w:before="26" w:line="338" w:lineRule="auto"/>
        <w:ind w:left="760" w:right="1166"/>
        <w:rPr>
          <w:rFonts w:hint="default"/>
          <w:color w:val="auto"/>
        </w:rPr>
      </w:pPr>
      <w:r>
        <w:rPr>
          <w:color w:val="auto"/>
        </w:rPr>
        <w:t xml:space="preserve">注：一、本表内容与招标文件其它内容不一致的，应当以本表内容为准。 </w:t>
      </w:r>
    </w:p>
    <w:p w14:paraId="36C455A4">
      <w:pPr>
        <w:pStyle w:val="8"/>
        <w:kinsoku w:val="0"/>
        <w:overflowPunct w:val="0"/>
        <w:spacing w:before="26" w:line="338" w:lineRule="auto"/>
        <w:ind w:left="760" w:right="1166"/>
        <w:rPr>
          <w:rFonts w:hint="default"/>
          <w:color w:val="auto"/>
          <w:spacing w:val="-9"/>
        </w:rPr>
      </w:pPr>
      <w:r>
        <w:rPr>
          <w:color w:val="auto"/>
          <w:spacing w:val="-9"/>
        </w:rPr>
        <w:t>本表中“□√”标示选择使用该项，“□”标示不选择使用该项。</w:t>
      </w:r>
    </w:p>
    <w:p w14:paraId="566D1FF1">
      <w:pPr>
        <w:pStyle w:val="8"/>
        <w:kinsoku w:val="0"/>
        <w:overflowPunct w:val="0"/>
        <w:spacing w:before="26"/>
        <w:ind w:left="760" w:right="1166"/>
        <w:rPr>
          <w:rFonts w:hint="default"/>
          <w:color w:val="auto"/>
        </w:rPr>
        <w:sectPr>
          <w:footerReference r:id="rId4" w:type="default"/>
          <w:pgSz w:w="11910" w:h="16840"/>
          <w:pgMar w:top="1340" w:right="1040" w:bottom="1580" w:left="1040" w:header="0" w:footer="1395" w:gutter="0"/>
          <w:cols w:space="720" w:num="1"/>
        </w:sectPr>
      </w:pPr>
    </w:p>
    <w:p w14:paraId="136E467D">
      <w:pPr>
        <w:pStyle w:val="5"/>
        <w:kinsoku w:val="0"/>
        <w:overflowPunct w:val="0"/>
        <w:spacing w:line="363" w:lineRule="exact"/>
        <w:ind w:left="120" w:right="237"/>
        <w:jc w:val="center"/>
        <w:rPr>
          <w:rFonts w:hint="default"/>
          <w:b w:val="0"/>
          <w:color w:val="auto"/>
        </w:rPr>
      </w:pPr>
      <w:r>
        <w:rPr>
          <w:rFonts w:hint="eastAsia"/>
          <w:color w:val="auto"/>
          <w:lang w:eastAsia="zh-CN"/>
        </w:rPr>
        <w:t>供应商</w:t>
      </w:r>
      <w:r>
        <w:rPr>
          <w:color w:val="auto"/>
        </w:rPr>
        <w:t>须知正文部分</w:t>
      </w:r>
    </w:p>
    <w:p w14:paraId="5556298B">
      <w:pPr>
        <w:pStyle w:val="6"/>
        <w:kinsoku w:val="0"/>
        <w:overflowPunct w:val="0"/>
        <w:spacing w:before="0" w:line="650" w:lineRule="atLeast"/>
        <w:ind w:right="6878"/>
        <w:rPr>
          <w:rFonts w:hint="default"/>
          <w:color w:val="auto"/>
        </w:rPr>
      </w:pPr>
      <w:bookmarkStart w:id="32" w:name="一、总则"/>
      <w:bookmarkEnd w:id="32"/>
      <w:r>
        <w:rPr>
          <w:color w:val="auto"/>
        </w:rPr>
        <w:t>一、总则</w:t>
      </w:r>
    </w:p>
    <w:p w14:paraId="1973EC7A">
      <w:pPr>
        <w:pStyle w:val="6"/>
        <w:kinsoku w:val="0"/>
        <w:overflowPunct w:val="0"/>
        <w:spacing w:before="0" w:line="650" w:lineRule="atLeast"/>
        <w:ind w:right="6878"/>
        <w:rPr>
          <w:rFonts w:hint="default"/>
          <w:b w:val="0"/>
          <w:color w:val="auto"/>
        </w:rPr>
      </w:pPr>
      <w:r>
        <w:rPr>
          <w:color w:val="auto"/>
        </w:rPr>
        <w:t>1.说明</w:t>
      </w:r>
    </w:p>
    <w:p w14:paraId="4968C486">
      <w:pPr>
        <w:pStyle w:val="8"/>
        <w:kinsoku w:val="0"/>
        <w:overflowPunct w:val="0"/>
        <w:spacing w:before="154"/>
        <w:ind w:left="600" w:right="237"/>
        <w:rPr>
          <w:rFonts w:hint="default"/>
          <w:color w:val="auto"/>
        </w:rPr>
      </w:pPr>
      <w:r>
        <w:rPr>
          <w:color w:val="auto"/>
        </w:rPr>
        <w:t>1.1</w:t>
      </w:r>
      <w:r>
        <w:rPr>
          <w:color w:val="auto"/>
          <w:spacing w:val="-60"/>
        </w:rPr>
        <w:t xml:space="preserve"> </w:t>
      </w:r>
      <w:r>
        <w:rPr>
          <w:color w:val="auto"/>
        </w:rPr>
        <w:t>本招标文件适用于本次招标采购项目的招标投标。</w:t>
      </w:r>
    </w:p>
    <w:p w14:paraId="55166DC9">
      <w:pPr>
        <w:pStyle w:val="6"/>
        <w:kinsoku w:val="0"/>
        <w:overflowPunct w:val="0"/>
        <w:spacing w:before="154"/>
        <w:ind w:right="237"/>
        <w:rPr>
          <w:rFonts w:hint="default"/>
          <w:b w:val="0"/>
          <w:color w:val="auto"/>
        </w:rPr>
      </w:pPr>
      <w:r>
        <w:rPr>
          <w:color w:val="auto"/>
        </w:rPr>
        <w:t>2.定义</w:t>
      </w:r>
    </w:p>
    <w:p w14:paraId="00563998">
      <w:pPr>
        <w:pStyle w:val="8"/>
        <w:kinsoku w:val="0"/>
        <w:overflowPunct w:val="0"/>
        <w:spacing w:before="154"/>
        <w:ind w:left="600"/>
        <w:rPr>
          <w:rFonts w:hint="default"/>
          <w:color w:val="auto"/>
        </w:rPr>
      </w:pPr>
      <w:r>
        <w:rPr>
          <w:color w:val="auto"/>
          <w:spacing w:val="-3"/>
        </w:rPr>
        <w:t>2.1“采购人”名称见本招标文件第二部分“</w:t>
      </w:r>
      <w:r>
        <w:rPr>
          <w:rFonts w:hint="eastAsia"/>
          <w:color w:val="auto"/>
          <w:spacing w:val="-3"/>
          <w:lang w:eastAsia="zh-CN"/>
        </w:rPr>
        <w:t>供应商</w:t>
      </w:r>
      <w:r>
        <w:rPr>
          <w:color w:val="auto"/>
          <w:spacing w:val="-3"/>
        </w:rPr>
        <w:t>须知前附表”中第</w:t>
      </w:r>
      <w:r>
        <w:rPr>
          <w:color w:val="auto"/>
          <w:spacing w:val="-61"/>
        </w:rPr>
        <w:t xml:space="preserve"> </w:t>
      </w:r>
      <w:r>
        <w:rPr>
          <w:color w:val="auto"/>
        </w:rPr>
        <w:t>1</w:t>
      </w:r>
      <w:r>
        <w:rPr>
          <w:color w:val="auto"/>
          <w:spacing w:val="-60"/>
        </w:rPr>
        <w:t xml:space="preserve"> </w:t>
      </w:r>
      <w:r>
        <w:rPr>
          <w:color w:val="auto"/>
        </w:rPr>
        <w:t>项。</w:t>
      </w:r>
    </w:p>
    <w:p w14:paraId="6940E6F9">
      <w:pPr>
        <w:pStyle w:val="8"/>
        <w:kinsoku w:val="0"/>
        <w:overflowPunct w:val="0"/>
        <w:spacing w:before="154" w:line="357" w:lineRule="auto"/>
        <w:ind w:right="237" w:firstLine="480"/>
        <w:rPr>
          <w:rFonts w:hint="default"/>
          <w:color w:val="auto"/>
        </w:rPr>
      </w:pPr>
      <w:r>
        <w:rPr>
          <w:color w:val="auto"/>
        </w:rPr>
        <w:t>2.2“采购代理机构”名称见本招标文件第二部分“</w:t>
      </w:r>
      <w:r>
        <w:rPr>
          <w:rFonts w:hint="eastAsia"/>
          <w:color w:val="auto"/>
          <w:lang w:eastAsia="zh-CN"/>
        </w:rPr>
        <w:t>供应商</w:t>
      </w:r>
      <w:r>
        <w:rPr>
          <w:color w:val="auto"/>
        </w:rPr>
        <w:t>须知前附表”中 第</w:t>
      </w:r>
      <w:r>
        <w:rPr>
          <w:color w:val="auto"/>
          <w:spacing w:val="-60"/>
        </w:rPr>
        <w:t xml:space="preserve"> </w:t>
      </w:r>
      <w:r>
        <w:rPr>
          <w:color w:val="auto"/>
        </w:rPr>
        <w:t>2</w:t>
      </w:r>
      <w:r>
        <w:rPr>
          <w:color w:val="auto"/>
          <w:spacing w:val="-60"/>
        </w:rPr>
        <w:t xml:space="preserve"> </w:t>
      </w:r>
      <w:r>
        <w:rPr>
          <w:color w:val="auto"/>
        </w:rPr>
        <w:t>项。</w:t>
      </w:r>
    </w:p>
    <w:p w14:paraId="218D774A">
      <w:pPr>
        <w:pStyle w:val="8"/>
        <w:kinsoku w:val="0"/>
        <w:overflowPunct w:val="0"/>
        <w:spacing w:line="357" w:lineRule="auto"/>
        <w:ind w:right="237" w:firstLine="480"/>
        <w:rPr>
          <w:rFonts w:hint="default"/>
          <w:color w:val="auto"/>
        </w:rPr>
      </w:pPr>
      <w:r>
        <w:rPr>
          <w:color w:val="auto"/>
        </w:rPr>
        <w:t>2.3“招标货物”指招标文件第三部分所述所有货物；“服务”指招标文件 第三部分所述</w:t>
      </w:r>
      <w:r>
        <w:rPr>
          <w:rFonts w:hint="eastAsia"/>
          <w:color w:val="auto"/>
          <w:lang w:eastAsia="zh-CN"/>
        </w:rPr>
        <w:t>供应商</w:t>
      </w:r>
      <w:r>
        <w:rPr>
          <w:color w:val="auto"/>
        </w:rPr>
        <w:t>应该履行的承诺和义务。</w:t>
      </w:r>
    </w:p>
    <w:p w14:paraId="580886AF">
      <w:pPr>
        <w:pStyle w:val="8"/>
        <w:kinsoku w:val="0"/>
        <w:overflowPunct w:val="0"/>
        <w:ind w:left="600" w:right="237"/>
        <w:rPr>
          <w:rFonts w:hint="default"/>
          <w:color w:val="auto"/>
        </w:rPr>
      </w:pPr>
      <w:r>
        <w:rPr>
          <w:color w:val="auto"/>
        </w:rPr>
        <w:t>2.4“潜在</w:t>
      </w:r>
      <w:r>
        <w:rPr>
          <w:rFonts w:hint="eastAsia"/>
          <w:color w:val="auto"/>
          <w:lang w:eastAsia="zh-CN"/>
        </w:rPr>
        <w:t>供应商</w:t>
      </w:r>
      <w:r>
        <w:rPr>
          <w:color w:val="auto"/>
        </w:rPr>
        <w:t>”指符合招标文件各项规定的供应商。</w:t>
      </w:r>
    </w:p>
    <w:p w14:paraId="6898B449">
      <w:pPr>
        <w:pStyle w:val="8"/>
        <w:kinsoku w:val="0"/>
        <w:overflowPunct w:val="0"/>
        <w:spacing w:before="154"/>
        <w:ind w:left="600" w:right="237"/>
        <w:rPr>
          <w:rFonts w:hint="default"/>
          <w:color w:val="auto"/>
        </w:rPr>
      </w:pPr>
      <w:r>
        <w:rPr>
          <w:color w:val="auto"/>
        </w:rPr>
        <w:t>2.5“</w:t>
      </w:r>
      <w:r>
        <w:rPr>
          <w:rFonts w:hint="eastAsia"/>
          <w:color w:val="auto"/>
          <w:lang w:eastAsia="zh-CN"/>
        </w:rPr>
        <w:t>供应商</w:t>
      </w:r>
      <w:r>
        <w:rPr>
          <w:color w:val="auto"/>
        </w:rPr>
        <w:t>”指符合招标文件规定并参加投标的供应商。</w:t>
      </w:r>
    </w:p>
    <w:p w14:paraId="490EE12F">
      <w:pPr>
        <w:pStyle w:val="8"/>
        <w:kinsoku w:val="0"/>
        <w:overflowPunct w:val="0"/>
        <w:spacing w:before="154" w:line="357" w:lineRule="auto"/>
        <w:ind w:right="237" w:firstLine="480"/>
        <w:rPr>
          <w:rFonts w:hint="default"/>
          <w:color w:val="auto"/>
        </w:rPr>
      </w:pPr>
      <w:r>
        <w:rPr>
          <w:color w:val="auto"/>
        </w:rPr>
        <w:t>2.6“</w:t>
      </w:r>
      <w:r>
        <w:rPr>
          <w:rFonts w:hint="eastAsia"/>
          <w:color w:val="auto"/>
          <w:lang w:eastAsia="zh-CN"/>
        </w:rPr>
        <w:t>供应商</w:t>
      </w:r>
      <w:r>
        <w:rPr>
          <w:color w:val="auto"/>
        </w:rPr>
        <w:t>公章”在投标文件中指与</w:t>
      </w:r>
      <w:r>
        <w:rPr>
          <w:rFonts w:hint="eastAsia"/>
          <w:color w:val="auto"/>
          <w:lang w:eastAsia="zh-CN"/>
        </w:rPr>
        <w:t>供应商</w:t>
      </w:r>
      <w:r>
        <w:rPr>
          <w:color w:val="auto"/>
        </w:rPr>
        <w:t>标准公章一致的</w:t>
      </w:r>
      <w:r>
        <w:rPr>
          <w:rFonts w:hint="eastAsia"/>
          <w:color w:val="auto"/>
          <w:lang w:eastAsia="zh-CN"/>
        </w:rPr>
        <w:t>供应商</w:t>
      </w:r>
      <w:r>
        <w:rPr>
          <w:color w:val="auto"/>
        </w:rPr>
        <w:t>电子签 章。</w:t>
      </w:r>
    </w:p>
    <w:p w14:paraId="59EA53C5">
      <w:pPr>
        <w:pStyle w:val="8"/>
        <w:kinsoku w:val="0"/>
        <w:overflowPunct w:val="0"/>
        <w:spacing w:line="357" w:lineRule="auto"/>
        <w:ind w:right="237" w:firstLine="480"/>
        <w:rPr>
          <w:rFonts w:hint="default"/>
          <w:color w:val="auto"/>
        </w:rPr>
      </w:pPr>
      <w:r>
        <w:rPr>
          <w:color w:val="auto"/>
        </w:rPr>
        <w:t>2.7“电子投标文件”指利用政采云平台提供的“电子投标文件制作工具” 编制加密和未加密的投标文件。</w:t>
      </w:r>
    </w:p>
    <w:p w14:paraId="63872864">
      <w:pPr>
        <w:pStyle w:val="6"/>
        <w:kinsoku w:val="0"/>
        <w:overflowPunct w:val="0"/>
        <w:ind w:right="237"/>
        <w:rPr>
          <w:rFonts w:hint="default"/>
          <w:b w:val="0"/>
          <w:color w:val="auto"/>
        </w:rPr>
      </w:pPr>
      <w:r>
        <w:rPr>
          <w:color w:val="auto"/>
        </w:rPr>
        <w:t>3.合格</w:t>
      </w:r>
      <w:r>
        <w:rPr>
          <w:rFonts w:hint="eastAsia"/>
          <w:color w:val="auto"/>
          <w:lang w:eastAsia="zh-CN"/>
        </w:rPr>
        <w:t>供应商</w:t>
      </w:r>
      <w:r>
        <w:rPr>
          <w:color w:val="auto"/>
        </w:rPr>
        <w:t>的条件</w:t>
      </w:r>
    </w:p>
    <w:p w14:paraId="4916A7B6">
      <w:pPr>
        <w:pStyle w:val="8"/>
        <w:kinsoku w:val="0"/>
        <w:overflowPunct w:val="0"/>
        <w:spacing w:before="154" w:line="357" w:lineRule="auto"/>
        <w:ind w:right="237" w:firstLine="480"/>
        <w:rPr>
          <w:rFonts w:hint="default"/>
          <w:color w:val="auto"/>
        </w:rPr>
      </w:pPr>
      <w:r>
        <w:rPr>
          <w:color w:val="auto"/>
        </w:rPr>
        <w:t>3.1</w:t>
      </w:r>
      <w:r>
        <w:rPr>
          <w:color w:val="auto"/>
          <w:spacing w:val="-92"/>
        </w:rPr>
        <w:t xml:space="preserve"> </w:t>
      </w:r>
      <w:r>
        <w:rPr>
          <w:color w:val="auto"/>
        </w:rPr>
        <w:t>具有本项目生产、制造、供应或实施能力，符合、承认并承诺履行本文 件各项规定的国内法人、其他组织或自然人均可参加投标。</w:t>
      </w:r>
    </w:p>
    <w:p w14:paraId="6CA660C8">
      <w:pPr>
        <w:pStyle w:val="8"/>
        <w:kinsoku w:val="0"/>
        <w:overflowPunct w:val="0"/>
        <w:spacing w:line="357" w:lineRule="auto"/>
        <w:ind w:right="117" w:firstLine="480"/>
        <w:rPr>
          <w:rFonts w:hint="default"/>
          <w:color w:val="auto"/>
        </w:rPr>
      </w:pPr>
      <w:r>
        <w:rPr>
          <w:color w:val="auto"/>
        </w:rPr>
        <w:t>3.2</w:t>
      </w:r>
      <w:r>
        <w:rPr>
          <w:color w:val="auto"/>
          <w:spacing w:val="-57"/>
        </w:rPr>
        <w:t xml:space="preserve"> </w:t>
      </w:r>
      <w:r>
        <w:rPr>
          <w:color w:val="auto"/>
          <w:spacing w:val="-5"/>
        </w:rPr>
        <w:t>遵守有关的国家法律、法规和条例，具备《中华人民共和国政府采购法》</w:t>
      </w:r>
      <w:r>
        <w:rPr>
          <w:color w:val="auto"/>
        </w:rPr>
        <w:t xml:space="preserve"> 和本文件中规定的条件：</w:t>
      </w:r>
    </w:p>
    <w:p w14:paraId="109CFCD6">
      <w:pPr>
        <w:pStyle w:val="8"/>
        <w:kinsoku w:val="0"/>
        <w:overflowPunct w:val="0"/>
        <w:ind w:left="600" w:right="237"/>
        <w:rPr>
          <w:rFonts w:hint="default"/>
          <w:color w:val="auto"/>
        </w:rPr>
      </w:pPr>
      <w:r>
        <w:rPr>
          <w:color w:val="auto"/>
        </w:rPr>
        <w:t>1)具有独立承担民事责任的能力；</w:t>
      </w:r>
    </w:p>
    <w:p w14:paraId="7E372D7F">
      <w:pPr>
        <w:pStyle w:val="8"/>
        <w:kinsoku w:val="0"/>
        <w:overflowPunct w:val="0"/>
        <w:spacing w:before="154"/>
        <w:ind w:left="600" w:right="237"/>
        <w:rPr>
          <w:rFonts w:hint="default"/>
          <w:color w:val="auto"/>
        </w:rPr>
      </w:pPr>
      <w:r>
        <w:rPr>
          <w:color w:val="auto"/>
        </w:rPr>
        <w:t>2)具有良好的商业信誉和健全的财务会计制度；</w:t>
      </w:r>
    </w:p>
    <w:p w14:paraId="29CD3613">
      <w:pPr>
        <w:pStyle w:val="8"/>
        <w:kinsoku w:val="0"/>
        <w:overflowPunct w:val="0"/>
        <w:spacing w:before="154"/>
        <w:ind w:left="600" w:right="237"/>
        <w:rPr>
          <w:rFonts w:hint="default"/>
          <w:color w:val="auto"/>
        </w:rPr>
      </w:pPr>
      <w:r>
        <w:rPr>
          <w:color w:val="auto"/>
        </w:rPr>
        <w:t>3)具有履行合同所必需的设备和专业技术能力；</w:t>
      </w:r>
    </w:p>
    <w:p w14:paraId="7CF9E9CD">
      <w:pPr>
        <w:pStyle w:val="8"/>
        <w:kinsoku w:val="0"/>
        <w:overflowPunct w:val="0"/>
        <w:spacing w:before="154"/>
        <w:ind w:left="600" w:right="237"/>
        <w:rPr>
          <w:rFonts w:hint="default"/>
          <w:color w:val="auto"/>
        </w:rPr>
      </w:pPr>
      <w:r>
        <w:rPr>
          <w:color w:val="auto"/>
        </w:rPr>
        <w:t>4)具有依法缴纳税收和社会保障资金的良好记录；</w:t>
      </w:r>
    </w:p>
    <w:p w14:paraId="60DEAE23">
      <w:pPr>
        <w:pStyle w:val="8"/>
        <w:kinsoku w:val="0"/>
        <w:overflowPunct w:val="0"/>
        <w:spacing w:before="154"/>
        <w:ind w:left="600" w:right="237"/>
        <w:rPr>
          <w:rFonts w:hint="default"/>
          <w:color w:val="auto"/>
        </w:rPr>
      </w:pPr>
      <w:r>
        <w:rPr>
          <w:color w:val="auto"/>
        </w:rPr>
        <w:t>5)参加政府采购活动前三年内，在经营活动中没有重大违法记录；</w:t>
      </w:r>
    </w:p>
    <w:p w14:paraId="756F8CB4">
      <w:pPr>
        <w:pStyle w:val="8"/>
        <w:kinsoku w:val="0"/>
        <w:overflowPunct w:val="0"/>
        <w:spacing w:before="154"/>
        <w:ind w:left="600" w:right="237"/>
        <w:rPr>
          <w:rFonts w:hint="default"/>
          <w:color w:val="auto"/>
        </w:rPr>
      </w:pPr>
      <w:r>
        <w:rPr>
          <w:color w:val="auto"/>
        </w:rPr>
        <w:t>6)法律、行政法规规定的其他条件；</w:t>
      </w:r>
    </w:p>
    <w:p w14:paraId="1F906356">
      <w:pPr>
        <w:pStyle w:val="8"/>
        <w:kinsoku w:val="0"/>
        <w:overflowPunct w:val="0"/>
        <w:spacing w:before="154"/>
        <w:ind w:left="600" w:right="237"/>
        <w:rPr>
          <w:rFonts w:hint="default"/>
          <w:color w:val="auto"/>
        </w:rPr>
        <w:sectPr>
          <w:pgSz w:w="11910" w:h="16840"/>
          <w:pgMar w:top="1500" w:right="1560" w:bottom="1580" w:left="1680" w:header="0" w:footer="1395" w:gutter="0"/>
          <w:cols w:space="720" w:num="1"/>
        </w:sectPr>
      </w:pPr>
    </w:p>
    <w:p w14:paraId="5FF88D8B">
      <w:pPr>
        <w:pStyle w:val="8"/>
        <w:kinsoku w:val="0"/>
        <w:overflowPunct w:val="0"/>
        <w:spacing w:before="2"/>
        <w:ind w:left="600" w:right="237"/>
        <w:rPr>
          <w:rFonts w:hint="default"/>
          <w:color w:val="auto"/>
        </w:rPr>
      </w:pPr>
      <w:r>
        <w:rPr>
          <w:color w:val="auto"/>
        </w:rPr>
        <w:t>7)具有本招标文件第二部分“</w:t>
      </w:r>
      <w:r>
        <w:rPr>
          <w:rFonts w:hint="eastAsia"/>
          <w:color w:val="auto"/>
          <w:lang w:eastAsia="zh-CN"/>
        </w:rPr>
        <w:t>供应商</w:t>
      </w:r>
      <w:r>
        <w:rPr>
          <w:color w:val="auto"/>
        </w:rPr>
        <w:t>须知前附表”中规定的资格条件。</w:t>
      </w:r>
    </w:p>
    <w:p w14:paraId="7A08171C">
      <w:pPr>
        <w:pStyle w:val="8"/>
        <w:kinsoku w:val="0"/>
        <w:overflowPunct w:val="0"/>
        <w:spacing w:before="154" w:line="357" w:lineRule="auto"/>
        <w:ind w:right="237" w:firstLine="480"/>
        <w:rPr>
          <w:rFonts w:hint="default"/>
          <w:color w:val="auto"/>
        </w:rPr>
      </w:pPr>
      <w:r>
        <w:rPr>
          <w:color w:val="auto"/>
        </w:rPr>
        <w:t>3.3</w:t>
      </w:r>
      <w:r>
        <w:rPr>
          <w:color w:val="auto"/>
          <w:spacing w:val="-91"/>
        </w:rPr>
        <w:t xml:space="preserve"> </w:t>
      </w:r>
      <w:r>
        <w:rPr>
          <w:rFonts w:hint="eastAsia"/>
          <w:color w:val="auto"/>
          <w:lang w:eastAsia="zh-CN"/>
        </w:rPr>
        <w:t>供应商</w:t>
      </w:r>
      <w:r>
        <w:rPr>
          <w:color w:val="auto"/>
        </w:rPr>
        <w:t>之间如果存在下列情形之一的，不得同时参加同一包（标段）或 者不分包（标段）的同一项目投标：</w:t>
      </w:r>
    </w:p>
    <w:p w14:paraId="3543548C">
      <w:pPr>
        <w:pStyle w:val="8"/>
        <w:kinsoku w:val="0"/>
        <w:overflowPunct w:val="0"/>
        <w:ind w:left="600" w:right="237"/>
        <w:rPr>
          <w:rFonts w:hint="default"/>
          <w:color w:val="auto"/>
        </w:rPr>
      </w:pPr>
      <w:r>
        <w:rPr>
          <w:color w:val="auto"/>
        </w:rPr>
        <w:t>3.3.1</w:t>
      </w:r>
      <w:r>
        <w:rPr>
          <w:color w:val="auto"/>
          <w:spacing w:val="-60"/>
        </w:rPr>
        <w:t xml:space="preserve"> </w:t>
      </w:r>
      <w:r>
        <w:rPr>
          <w:color w:val="auto"/>
        </w:rPr>
        <w:t>法定代表人为同一个人的两个及两个以上法人；</w:t>
      </w:r>
    </w:p>
    <w:p w14:paraId="35BCBBD8">
      <w:pPr>
        <w:pStyle w:val="8"/>
        <w:kinsoku w:val="0"/>
        <w:overflowPunct w:val="0"/>
        <w:spacing w:before="154"/>
        <w:ind w:left="600" w:right="237"/>
        <w:rPr>
          <w:rFonts w:hint="default"/>
          <w:color w:val="auto"/>
        </w:rPr>
      </w:pPr>
      <w:r>
        <w:rPr>
          <w:color w:val="auto"/>
        </w:rPr>
        <w:t>3.3.2</w:t>
      </w:r>
      <w:r>
        <w:rPr>
          <w:color w:val="auto"/>
          <w:spacing w:val="-60"/>
        </w:rPr>
        <w:t xml:space="preserve"> </w:t>
      </w:r>
      <w:r>
        <w:rPr>
          <w:color w:val="auto"/>
        </w:rPr>
        <w:t>母公司、全资子公司及其控股公司；</w:t>
      </w:r>
    </w:p>
    <w:p w14:paraId="47812960">
      <w:pPr>
        <w:pStyle w:val="8"/>
        <w:kinsoku w:val="0"/>
        <w:overflowPunct w:val="0"/>
        <w:spacing w:before="154"/>
        <w:ind w:left="600" w:right="237"/>
        <w:rPr>
          <w:rFonts w:hint="default"/>
          <w:color w:val="auto"/>
        </w:rPr>
      </w:pPr>
      <w:r>
        <w:rPr>
          <w:color w:val="auto"/>
        </w:rPr>
        <w:t>3.3.3</w:t>
      </w:r>
      <w:r>
        <w:rPr>
          <w:color w:val="auto"/>
          <w:spacing w:val="-60"/>
        </w:rPr>
        <w:t xml:space="preserve"> </w:t>
      </w:r>
      <w:r>
        <w:rPr>
          <w:color w:val="auto"/>
        </w:rPr>
        <w:t>参加投标的其他组织之间存在特殊的利害关系的；</w:t>
      </w:r>
    </w:p>
    <w:p w14:paraId="5FEA20D2">
      <w:pPr>
        <w:pStyle w:val="8"/>
        <w:kinsoku w:val="0"/>
        <w:overflowPunct w:val="0"/>
        <w:spacing w:before="154"/>
        <w:ind w:left="600" w:right="237"/>
        <w:rPr>
          <w:rFonts w:hint="default"/>
          <w:color w:val="auto"/>
        </w:rPr>
      </w:pPr>
      <w:r>
        <w:rPr>
          <w:color w:val="auto"/>
        </w:rPr>
        <w:t>3.3.4</w:t>
      </w:r>
      <w:r>
        <w:rPr>
          <w:color w:val="auto"/>
          <w:spacing w:val="-60"/>
        </w:rPr>
        <w:t xml:space="preserve"> </w:t>
      </w:r>
      <w:r>
        <w:rPr>
          <w:color w:val="auto"/>
        </w:rPr>
        <w:t>法律和行政法规规定的其他情形。</w:t>
      </w:r>
    </w:p>
    <w:p w14:paraId="0D901093">
      <w:pPr>
        <w:pStyle w:val="8"/>
        <w:kinsoku w:val="0"/>
        <w:overflowPunct w:val="0"/>
        <w:spacing w:before="154"/>
        <w:ind w:left="600" w:right="237"/>
        <w:rPr>
          <w:rFonts w:hint="default"/>
          <w:color w:val="auto"/>
        </w:rPr>
      </w:pPr>
      <w:r>
        <w:rPr>
          <w:color w:val="auto"/>
        </w:rPr>
        <w:t>3.4</w:t>
      </w:r>
      <w:r>
        <w:rPr>
          <w:color w:val="auto"/>
          <w:spacing w:val="-60"/>
        </w:rPr>
        <w:t xml:space="preserve"> </w:t>
      </w:r>
      <w:r>
        <w:rPr>
          <w:rFonts w:hint="eastAsia"/>
          <w:color w:val="auto"/>
          <w:lang w:eastAsia="zh-CN"/>
        </w:rPr>
        <w:t>供应商</w:t>
      </w:r>
      <w:r>
        <w:rPr>
          <w:color w:val="auto"/>
        </w:rPr>
        <w:t>须持有《法定代表人授权委托书》。</w:t>
      </w:r>
    </w:p>
    <w:p w14:paraId="2E2E0D61">
      <w:pPr>
        <w:pStyle w:val="8"/>
        <w:kinsoku w:val="0"/>
        <w:overflowPunct w:val="0"/>
        <w:spacing w:before="154"/>
        <w:ind w:left="600" w:right="237"/>
        <w:rPr>
          <w:rFonts w:hint="default"/>
          <w:color w:val="auto"/>
        </w:rPr>
      </w:pPr>
      <w:r>
        <w:rPr>
          <w:color w:val="auto"/>
        </w:rPr>
        <w:t>3.5</w:t>
      </w:r>
      <w:r>
        <w:rPr>
          <w:color w:val="auto"/>
          <w:spacing w:val="-60"/>
        </w:rPr>
        <w:t xml:space="preserve"> </w:t>
      </w:r>
      <w:r>
        <w:rPr>
          <w:rFonts w:hint="eastAsia"/>
          <w:color w:val="auto"/>
          <w:lang w:eastAsia="zh-CN"/>
        </w:rPr>
        <w:t>供应商</w:t>
      </w:r>
      <w:r>
        <w:rPr>
          <w:color w:val="auto"/>
        </w:rPr>
        <w:t>在政采云平台内针对本项目下载了电子采购文件。</w:t>
      </w:r>
    </w:p>
    <w:p w14:paraId="6604E631">
      <w:pPr>
        <w:pStyle w:val="8"/>
        <w:kinsoku w:val="0"/>
        <w:overflowPunct w:val="0"/>
        <w:spacing w:before="154"/>
        <w:ind w:left="600" w:right="237"/>
        <w:rPr>
          <w:rFonts w:hint="default"/>
          <w:color w:val="auto"/>
        </w:rPr>
      </w:pPr>
      <w:r>
        <w:rPr>
          <w:color w:val="auto"/>
        </w:rPr>
        <w:t>3.6</w:t>
      </w:r>
      <w:r>
        <w:rPr>
          <w:color w:val="auto"/>
          <w:spacing w:val="-60"/>
        </w:rPr>
        <w:t xml:space="preserve"> </w:t>
      </w:r>
      <w:r>
        <w:rPr>
          <w:rFonts w:hint="eastAsia"/>
          <w:color w:val="auto"/>
          <w:lang w:eastAsia="zh-CN"/>
        </w:rPr>
        <w:t>供应商</w:t>
      </w:r>
      <w:r>
        <w:rPr>
          <w:color w:val="auto"/>
        </w:rPr>
        <w:t>按时足额交纳投标保证金。</w:t>
      </w:r>
    </w:p>
    <w:p w14:paraId="64C4BD91">
      <w:pPr>
        <w:pStyle w:val="8"/>
        <w:kinsoku w:val="0"/>
        <w:overflowPunct w:val="0"/>
        <w:spacing w:before="154" w:line="357" w:lineRule="auto"/>
        <w:ind w:right="117" w:firstLine="480"/>
        <w:rPr>
          <w:rFonts w:hint="default"/>
          <w:color w:val="auto"/>
        </w:rPr>
      </w:pPr>
      <w:r>
        <w:rPr>
          <w:color w:val="auto"/>
        </w:rPr>
        <w:t>3.7</w:t>
      </w:r>
      <w:r>
        <w:rPr>
          <w:color w:val="auto"/>
          <w:spacing w:val="-53"/>
        </w:rPr>
        <w:t xml:space="preserve"> </w:t>
      </w:r>
      <w:r>
        <w:rPr>
          <w:color w:val="auto"/>
          <w:spacing w:val="6"/>
        </w:rPr>
        <w:t>本次招标是否允许由两个以上</w:t>
      </w:r>
      <w:r>
        <w:rPr>
          <w:rFonts w:hint="eastAsia"/>
          <w:color w:val="auto"/>
          <w:spacing w:val="6"/>
          <w:lang w:eastAsia="zh-CN"/>
        </w:rPr>
        <w:t>供应商</w:t>
      </w:r>
      <w:r>
        <w:rPr>
          <w:color w:val="auto"/>
          <w:spacing w:val="6"/>
        </w:rPr>
        <w:t>组成一个联合体以一个</w:t>
      </w:r>
      <w:r>
        <w:rPr>
          <w:rFonts w:hint="eastAsia"/>
          <w:color w:val="auto"/>
          <w:spacing w:val="6"/>
          <w:lang w:eastAsia="zh-CN"/>
        </w:rPr>
        <w:t>供应商</w:t>
      </w:r>
      <w:r>
        <w:rPr>
          <w:color w:val="auto"/>
          <w:spacing w:val="6"/>
        </w:rPr>
        <w:t>身</w:t>
      </w:r>
      <w:r>
        <w:rPr>
          <w:color w:val="auto"/>
        </w:rPr>
        <w:t xml:space="preserve"> </w:t>
      </w:r>
      <w:r>
        <w:rPr>
          <w:color w:val="auto"/>
          <w:spacing w:val="-6"/>
        </w:rPr>
        <w:t>份共同投标，按照招标文件第二部分“</w:t>
      </w:r>
      <w:r>
        <w:rPr>
          <w:rFonts w:hint="eastAsia"/>
          <w:color w:val="auto"/>
          <w:spacing w:val="-6"/>
          <w:lang w:eastAsia="zh-CN"/>
        </w:rPr>
        <w:t>供应商</w:t>
      </w:r>
      <w:r>
        <w:rPr>
          <w:color w:val="auto"/>
          <w:spacing w:val="-6"/>
        </w:rPr>
        <w:t>须知前附表”中的规定。如果允许，</w:t>
      </w:r>
      <w:r>
        <w:rPr>
          <w:color w:val="auto"/>
        </w:rPr>
        <w:t xml:space="preserve"> 除均应符合上述规定外，还应符合下列要求：</w:t>
      </w:r>
    </w:p>
    <w:p w14:paraId="4C00BBFB">
      <w:pPr>
        <w:pStyle w:val="8"/>
        <w:kinsoku w:val="0"/>
        <w:overflowPunct w:val="0"/>
        <w:spacing w:line="357" w:lineRule="auto"/>
        <w:ind w:right="117" w:firstLine="480"/>
        <w:rPr>
          <w:rFonts w:hint="default"/>
          <w:color w:val="auto"/>
        </w:rPr>
      </w:pPr>
      <w:r>
        <w:rPr>
          <w:color w:val="auto"/>
        </w:rPr>
        <w:t xml:space="preserve">1）联合投标体应提供“联合投标协议书”，该协议书对联合投标各方均具 有法律约束力。联合投标体必须确定其中一方为投标的全权代表参加投标活动， 并承担投标及履约活动中的全部责任与义务，且联合体各方无论是否实际参加、 </w:t>
      </w:r>
      <w:r>
        <w:rPr>
          <w:color w:val="auto"/>
          <w:spacing w:val="-3"/>
        </w:rPr>
        <w:t>发生的情形怎样，一旦该联合体实际开始投标，联合体各方均应当就本次采购所</w:t>
      </w:r>
      <w:r>
        <w:rPr>
          <w:color w:val="auto"/>
          <w:spacing w:val="-109"/>
        </w:rPr>
        <w:t xml:space="preserve"> </w:t>
      </w:r>
      <w:r>
        <w:rPr>
          <w:color w:val="auto"/>
          <w:spacing w:val="-3"/>
        </w:rPr>
        <w:t>引起或相关的任何或所有事项、义务、责任、损失等承担连带责任。申请参与本</w:t>
      </w:r>
      <w:r>
        <w:rPr>
          <w:color w:val="auto"/>
          <w:spacing w:val="-109"/>
        </w:rPr>
        <w:t xml:space="preserve"> </w:t>
      </w:r>
      <w:r>
        <w:rPr>
          <w:color w:val="auto"/>
          <w:spacing w:val="-3"/>
        </w:rPr>
        <w:t>项目联合投标成员各自均应具备政府有权机构核发的有效营业执照；均应是自主</w:t>
      </w:r>
      <w:r>
        <w:rPr>
          <w:color w:val="auto"/>
          <w:spacing w:val="-109"/>
        </w:rPr>
        <w:t xml:space="preserve"> </w:t>
      </w:r>
      <w:r>
        <w:rPr>
          <w:color w:val="auto"/>
        </w:rPr>
        <w:t>经营、独立核算、处于持续正常经营状态的经济实体。</w:t>
      </w:r>
    </w:p>
    <w:p w14:paraId="2B9CB344">
      <w:pPr>
        <w:pStyle w:val="8"/>
        <w:kinsoku w:val="0"/>
        <w:overflowPunct w:val="0"/>
        <w:spacing w:line="357" w:lineRule="auto"/>
        <w:ind w:right="237" w:firstLine="480"/>
        <w:jc w:val="both"/>
        <w:rPr>
          <w:rFonts w:hint="default"/>
          <w:color w:val="auto"/>
        </w:rPr>
      </w:pPr>
      <w:r>
        <w:rPr>
          <w:color w:val="auto"/>
        </w:rPr>
        <w:t xml:space="preserve">2）联合体各方中至少应当有一方对应满足本项目规定的相应资质条件，并 </w:t>
      </w:r>
      <w:r>
        <w:rPr>
          <w:color w:val="auto"/>
          <w:spacing w:val="-3"/>
        </w:rPr>
        <w:t>且联合体</w:t>
      </w:r>
      <w:r>
        <w:rPr>
          <w:rFonts w:hint="eastAsia"/>
          <w:color w:val="auto"/>
          <w:spacing w:val="-3"/>
          <w:lang w:eastAsia="zh-CN"/>
        </w:rPr>
        <w:t>供应商</w:t>
      </w:r>
      <w:r>
        <w:rPr>
          <w:color w:val="auto"/>
          <w:spacing w:val="-3"/>
        </w:rPr>
        <w:t>整体应当符合本项目的资质要求，否则，其提交的联合投标将被</w:t>
      </w:r>
      <w:r>
        <w:rPr>
          <w:color w:val="auto"/>
          <w:spacing w:val="-109"/>
        </w:rPr>
        <w:t xml:space="preserve"> </w:t>
      </w:r>
      <w:r>
        <w:rPr>
          <w:color w:val="auto"/>
        </w:rPr>
        <w:t>拒绝。</w:t>
      </w:r>
    </w:p>
    <w:p w14:paraId="1B86F32F">
      <w:pPr>
        <w:pStyle w:val="8"/>
        <w:kinsoku w:val="0"/>
        <w:overflowPunct w:val="0"/>
        <w:spacing w:line="357" w:lineRule="auto"/>
        <w:ind w:right="237" w:firstLine="480"/>
        <w:jc w:val="both"/>
        <w:rPr>
          <w:rFonts w:hint="default"/>
          <w:color w:val="auto"/>
        </w:rPr>
      </w:pPr>
      <w:r>
        <w:rPr>
          <w:color w:val="auto"/>
        </w:rPr>
        <w:t>3）由不同专业的</w:t>
      </w:r>
      <w:r>
        <w:rPr>
          <w:rFonts w:hint="eastAsia"/>
          <w:color w:val="auto"/>
          <w:lang w:eastAsia="zh-CN"/>
        </w:rPr>
        <w:t>供应商</w:t>
      </w:r>
      <w:r>
        <w:rPr>
          <w:color w:val="auto"/>
        </w:rPr>
        <w:t>组成的联合体,</w:t>
      </w:r>
      <w:r>
        <w:rPr>
          <w:color w:val="auto"/>
          <w:spacing w:val="20"/>
        </w:rPr>
        <w:t xml:space="preserve"> </w:t>
      </w:r>
      <w:r>
        <w:rPr>
          <w:color w:val="auto"/>
        </w:rPr>
        <w:t>首先以投标的全权代表方的应答材 料作为认定资质以及商务评审的依据；涉及行业专属的资质,按照所属行业所对</w:t>
      </w:r>
      <w:r>
        <w:rPr>
          <w:color w:val="auto"/>
          <w:spacing w:val="-101"/>
        </w:rPr>
        <w:t xml:space="preserve"> </w:t>
      </w:r>
      <w:r>
        <w:rPr>
          <w:color w:val="auto"/>
        </w:rPr>
        <w:t>应的</w:t>
      </w:r>
      <w:r>
        <w:rPr>
          <w:rFonts w:hint="eastAsia"/>
          <w:color w:val="auto"/>
          <w:lang w:eastAsia="zh-CN"/>
        </w:rPr>
        <w:t>供应商</w:t>
      </w:r>
      <w:r>
        <w:rPr>
          <w:color w:val="auto"/>
        </w:rPr>
        <w:t>的应答材料确定。</w:t>
      </w:r>
    </w:p>
    <w:p w14:paraId="4B2869C2">
      <w:pPr>
        <w:pStyle w:val="8"/>
        <w:kinsoku w:val="0"/>
        <w:overflowPunct w:val="0"/>
        <w:spacing w:line="357" w:lineRule="auto"/>
        <w:ind w:right="117" w:firstLine="480"/>
        <w:rPr>
          <w:rFonts w:hint="default"/>
          <w:color w:val="auto"/>
          <w:spacing w:val="-3"/>
        </w:rPr>
      </w:pPr>
      <w:r>
        <w:rPr>
          <w:color w:val="auto"/>
          <w:spacing w:val="-3"/>
        </w:rPr>
        <w:t>4）联合体中标后，合同应由各成员的合法授权代表签字并加盖各成员公章，</w:t>
      </w:r>
      <w:r>
        <w:rPr>
          <w:color w:val="auto"/>
        </w:rPr>
        <w:t xml:space="preserve"> </w:t>
      </w:r>
      <w:r>
        <w:rPr>
          <w:color w:val="auto"/>
          <w:spacing w:val="-3"/>
        </w:rPr>
        <w:t>以便对联合体成员作为整体和他们各自作为独立体均具有法律约束力，但若该等</w:t>
      </w:r>
      <w:r>
        <w:rPr>
          <w:color w:val="auto"/>
          <w:spacing w:val="-109"/>
        </w:rPr>
        <w:t xml:space="preserve"> </w:t>
      </w:r>
      <w:r>
        <w:rPr>
          <w:color w:val="auto"/>
          <w:spacing w:val="-3"/>
        </w:rPr>
        <w:t>签字或公章不齐全或缺乏，该联合体的牵头人的签署或类似的意思表示人具有代</w:t>
      </w:r>
    </w:p>
    <w:p w14:paraId="042AC814">
      <w:pPr>
        <w:pStyle w:val="8"/>
        <w:kinsoku w:val="0"/>
        <w:overflowPunct w:val="0"/>
        <w:spacing w:line="357" w:lineRule="auto"/>
        <w:ind w:right="117" w:firstLine="480"/>
        <w:rPr>
          <w:rFonts w:hint="default"/>
          <w:color w:val="auto"/>
          <w:spacing w:val="-3"/>
        </w:rPr>
        <w:sectPr>
          <w:footerReference r:id="rId5" w:type="default"/>
          <w:pgSz w:w="11910" w:h="16840"/>
          <w:pgMar w:top="1460" w:right="1560" w:bottom="1600" w:left="1680" w:header="0" w:footer="1415" w:gutter="0"/>
          <w:pgNumType w:start="20"/>
          <w:cols w:space="720" w:num="1"/>
        </w:sectPr>
      </w:pPr>
    </w:p>
    <w:p w14:paraId="1CED9E17">
      <w:pPr>
        <w:pStyle w:val="8"/>
        <w:kinsoku w:val="0"/>
        <w:overflowPunct w:val="0"/>
        <w:spacing w:before="2" w:line="357" w:lineRule="auto"/>
        <w:rPr>
          <w:rFonts w:hint="default"/>
          <w:color w:val="auto"/>
        </w:rPr>
      </w:pPr>
      <w:r>
        <w:rPr>
          <w:color w:val="auto"/>
          <w:spacing w:val="-3"/>
        </w:rPr>
        <w:t>表该联合体的签署或意思表示的法律效力，并且据此各成员为履行合同应向采购</w:t>
      </w:r>
      <w:r>
        <w:rPr>
          <w:color w:val="auto"/>
          <w:spacing w:val="-110"/>
        </w:rPr>
        <w:t xml:space="preserve"> </w:t>
      </w:r>
      <w:r>
        <w:rPr>
          <w:color w:val="auto"/>
        </w:rPr>
        <w:t>代理机构与采购人承担连带责任。</w:t>
      </w:r>
    </w:p>
    <w:p w14:paraId="44857200">
      <w:pPr>
        <w:pStyle w:val="8"/>
        <w:kinsoku w:val="0"/>
        <w:overflowPunct w:val="0"/>
        <w:spacing w:line="357" w:lineRule="auto"/>
        <w:ind w:right="117" w:firstLine="480"/>
        <w:jc w:val="both"/>
        <w:rPr>
          <w:rFonts w:hint="default"/>
          <w:color w:val="auto"/>
        </w:rPr>
      </w:pPr>
      <w:r>
        <w:rPr>
          <w:color w:val="auto"/>
        </w:rPr>
        <w:t xml:space="preserve">5）联合体或其成员不得将其在合同项下的权利或义务全部或部分转让给第 </w:t>
      </w:r>
      <w:r>
        <w:rPr>
          <w:color w:val="auto"/>
          <w:spacing w:val="-3"/>
        </w:rPr>
        <w:t>三人，有关分包事项或服务委托等须事先取得采购代理机构书面同意并且须遵守</w:t>
      </w:r>
      <w:r>
        <w:rPr>
          <w:color w:val="auto"/>
          <w:spacing w:val="-109"/>
        </w:rPr>
        <w:t xml:space="preserve"> </w:t>
      </w:r>
      <w:r>
        <w:rPr>
          <w:color w:val="auto"/>
        </w:rPr>
        <w:t>相关法律、法规、本次招标的全部相关规定。</w:t>
      </w:r>
    </w:p>
    <w:p w14:paraId="6C7F39EA">
      <w:pPr>
        <w:pStyle w:val="8"/>
        <w:kinsoku w:val="0"/>
        <w:overflowPunct w:val="0"/>
        <w:spacing w:line="357" w:lineRule="auto"/>
        <w:ind w:right="117" w:firstLine="480"/>
        <w:jc w:val="both"/>
        <w:rPr>
          <w:rFonts w:hint="default"/>
          <w:color w:val="auto"/>
        </w:rPr>
      </w:pPr>
      <w:r>
        <w:rPr>
          <w:color w:val="auto"/>
        </w:rPr>
        <w:t xml:space="preserve">6）联合体各方均不得同时再以自己独立的名义单独投标，也不得再同时参 </w:t>
      </w:r>
      <w:r>
        <w:rPr>
          <w:color w:val="auto"/>
          <w:spacing w:val="-3"/>
        </w:rPr>
        <w:t>加其他的联合体投标。若该等情形被发现，其单独的投标和与此有关的联合体的</w:t>
      </w:r>
      <w:r>
        <w:rPr>
          <w:color w:val="auto"/>
          <w:spacing w:val="-109"/>
        </w:rPr>
        <w:t xml:space="preserve"> </w:t>
      </w:r>
      <w:r>
        <w:rPr>
          <w:color w:val="auto"/>
        </w:rPr>
        <w:t>投标均将被一并拒绝。</w:t>
      </w:r>
    </w:p>
    <w:p w14:paraId="3338D17D">
      <w:pPr>
        <w:pStyle w:val="8"/>
        <w:kinsoku w:val="0"/>
        <w:overflowPunct w:val="0"/>
        <w:ind w:left="600"/>
        <w:rPr>
          <w:rFonts w:hint="default"/>
          <w:color w:val="auto"/>
        </w:rPr>
      </w:pPr>
      <w:r>
        <w:rPr>
          <w:color w:val="auto"/>
        </w:rPr>
        <w:t>3.7</w:t>
      </w:r>
      <w:r>
        <w:rPr>
          <w:color w:val="auto"/>
          <w:spacing w:val="-60"/>
        </w:rPr>
        <w:t xml:space="preserve"> </w:t>
      </w:r>
      <w:r>
        <w:rPr>
          <w:rFonts w:hint="eastAsia"/>
          <w:color w:val="auto"/>
          <w:lang w:eastAsia="zh-CN"/>
        </w:rPr>
        <w:t>供应商</w:t>
      </w:r>
      <w:r>
        <w:rPr>
          <w:color w:val="auto"/>
        </w:rPr>
        <w:t>不得与采购人、采购代理机构等有利害关系。</w:t>
      </w:r>
    </w:p>
    <w:p w14:paraId="0EE7290B">
      <w:pPr>
        <w:pStyle w:val="6"/>
        <w:kinsoku w:val="0"/>
        <w:overflowPunct w:val="0"/>
        <w:spacing w:before="154"/>
        <w:rPr>
          <w:rFonts w:hint="default"/>
          <w:b w:val="0"/>
          <w:color w:val="auto"/>
        </w:rPr>
      </w:pPr>
      <w:r>
        <w:rPr>
          <w:color w:val="auto"/>
        </w:rPr>
        <w:t>4.投标费用</w:t>
      </w:r>
    </w:p>
    <w:p w14:paraId="41B0B19C">
      <w:pPr>
        <w:pStyle w:val="8"/>
        <w:kinsoku w:val="0"/>
        <w:overflowPunct w:val="0"/>
        <w:spacing w:before="154"/>
        <w:ind w:left="600"/>
        <w:rPr>
          <w:rFonts w:hint="default"/>
          <w:color w:val="auto"/>
        </w:rPr>
      </w:pPr>
      <w:r>
        <w:rPr>
          <w:color w:val="auto"/>
        </w:rPr>
        <w:t>4.1</w:t>
      </w:r>
      <w:r>
        <w:rPr>
          <w:color w:val="auto"/>
          <w:spacing w:val="-60"/>
        </w:rPr>
        <w:t xml:space="preserve"> </w:t>
      </w:r>
      <w:r>
        <w:rPr>
          <w:rFonts w:hint="eastAsia"/>
          <w:color w:val="auto"/>
          <w:lang w:eastAsia="zh-CN"/>
        </w:rPr>
        <w:t>供应商</w:t>
      </w:r>
      <w:r>
        <w:rPr>
          <w:color w:val="auto"/>
        </w:rPr>
        <w:t>应承担所有与准备和参加投标有关的费用。</w:t>
      </w:r>
    </w:p>
    <w:p w14:paraId="3B5D370D">
      <w:pPr>
        <w:pStyle w:val="6"/>
        <w:kinsoku w:val="0"/>
        <w:overflowPunct w:val="0"/>
        <w:spacing w:before="154"/>
        <w:rPr>
          <w:rFonts w:hint="default"/>
          <w:b w:val="0"/>
          <w:color w:val="auto"/>
        </w:rPr>
      </w:pPr>
      <w:r>
        <w:rPr>
          <w:color w:val="auto"/>
        </w:rPr>
        <w:t>5.纪律</w:t>
      </w:r>
    </w:p>
    <w:p w14:paraId="7FF20FE4">
      <w:pPr>
        <w:pStyle w:val="8"/>
        <w:kinsoku w:val="0"/>
        <w:overflowPunct w:val="0"/>
        <w:spacing w:before="154"/>
        <w:ind w:left="600"/>
        <w:rPr>
          <w:rFonts w:hint="default"/>
          <w:color w:val="auto"/>
        </w:rPr>
      </w:pPr>
      <w:r>
        <w:rPr>
          <w:color w:val="auto"/>
        </w:rPr>
        <w:t>5.1</w:t>
      </w:r>
      <w:r>
        <w:rPr>
          <w:color w:val="auto"/>
          <w:spacing w:val="-60"/>
        </w:rPr>
        <w:t xml:space="preserve"> </w:t>
      </w:r>
      <w:r>
        <w:rPr>
          <w:rFonts w:hint="eastAsia"/>
          <w:color w:val="auto"/>
          <w:lang w:eastAsia="zh-CN"/>
        </w:rPr>
        <w:t>供应商</w:t>
      </w:r>
      <w:r>
        <w:rPr>
          <w:color w:val="auto"/>
        </w:rPr>
        <w:t>的投标行为应遵守中国的有关法律、法规和规章。</w:t>
      </w:r>
    </w:p>
    <w:p w14:paraId="0E32C1F4">
      <w:pPr>
        <w:pStyle w:val="8"/>
        <w:kinsoku w:val="0"/>
        <w:overflowPunct w:val="0"/>
        <w:spacing w:before="154" w:line="357" w:lineRule="auto"/>
        <w:ind w:right="117" w:firstLine="480"/>
        <w:jc w:val="both"/>
        <w:rPr>
          <w:rFonts w:hint="default"/>
          <w:color w:val="auto"/>
        </w:rPr>
      </w:pPr>
      <w:r>
        <w:rPr>
          <w:color w:val="auto"/>
        </w:rPr>
        <w:t>5.2</w:t>
      </w:r>
      <w:r>
        <w:rPr>
          <w:color w:val="auto"/>
          <w:spacing w:val="-91"/>
        </w:rPr>
        <w:t xml:space="preserve"> </w:t>
      </w:r>
      <w:r>
        <w:rPr>
          <w:rFonts w:hint="eastAsia"/>
          <w:color w:val="auto"/>
          <w:lang w:eastAsia="zh-CN"/>
        </w:rPr>
        <w:t>供应商</w:t>
      </w:r>
      <w:r>
        <w:rPr>
          <w:color w:val="auto"/>
        </w:rPr>
        <w:t>不得相互串通投标报价，不得妨碍其他</w:t>
      </w:r>
      <w:r>
        <w:rPr>
          <w:rFonts w:hint="eastAsia"/>
          <w:color w:val="auto"/>
          <w:lang w:eastAsia="zh-CN"/>
        </w:rPr>
        <w:t>供应商</w:t>
      </w:r>
      <w:r>
        <w:rPr>
          <w:color w:val="auto"/>
        </w:rPr>
        <w:t xml:space="preserve">的公平竞争，不得 </w:t>
      </w:r>
      <w:r>
        <w:rPr>
          <w:color w:val="auto"/>
          <w:spacing w:val="-3"/>
        </w:rPr>
        <w:t>损害采购人或其他</w:t>
      </w:r>
      <w:r>
        <w:rPr>
          <w:rFonts w:hint="eastAsia"/>
          <w:color w:val="auto"/>
          <w:spacing w:val="-3"/>
          <w:lang w:eastAsia="zh-CN"/>
        </w:rPr>
        <w:t>供应商</w:t>
      </w:r>
      <w:r>
        <w:rPr>
          <w:color w:val="auto"/>
          <w:spacing w:val="-3"/>
        </w:rPr>
        <w:t>的合法权益，</w:t>
      </w:r>
      <w:r>
        <w:rPr>
          <w:rFonts w:hint="eastAsia"/>
          <w:color w:val="auto"/>
          <w:spacing w:val="-3"/>
          <w:lang w:eastAsia="zh-CN"/>
        </w:rPr>
        <w:t>供应商</w:t>
      </w:r>
      <w:r>
        <w:rPr>
          <w:color w:val="auto"/>
          <w:spacing w:val="-3"/>
        </w:rPr>
        <w:t>不得以向采购人、评标委员会成员</w:t>
      </w:r>
      <w:r>
        <w:rPr>
          <w:color w:val="auto"/>
          <w:spacing w:val="-109"/>
        </w:rPr>
        <w:t xml:space="preserve"> </w:t>
      </w:r>
      <w:r>
        <w:rPr>
          <w:color w:val="auto"/>
        </w:rPr>
        <w:t>行贿或者采取其他不正当手段谋取中标。</w:t>
      </w:r>
    </w:p>
    <w:p w14:paraId="63527627">
      <w:pPr>
        <w:pStyle w:val="8"/>
        <w:kinsoku w:val="0"/>
        <w:overflowPunct w:val="0"/>
        <w:ind w:left="600"/>
        <w:rPr>
          <w:rFonts w:hint="default"/>
          <w:color w:val="auto"/>
        </w:rPr>
      </w:pPr>
      <w:r>
        <w:rPr>
          <w:color w:val="auto"/>
        </w:rPr>
        <w:t>5.2.1</w:t>
      </w:r>
      <w:r>
        <w:rPr>
          <w:color w:val="auto"/>
          <w:spacing w:val="-60"/>
        </w:rPr>
        <w:t xml:space="preserve"> </w:t>
      </w:r>
      <w:r>
        <w:rPr>
          <w:color w:val="auto"/>
        </w:rPr>
        <w:t>有下列情形之一的，属于</w:t>
      </w:r>
      <w:r>
        <w:rPr>
          <w:rFonts w:hint="eastAsia"/>
          <w:color w:val="auto"/>
          <w:lang w:eastAsia="zh-CN"/>
        </w:rPr>
        <w:t>供应商</w:t>
      </w:r>
      <w:r>
        <w:rPr>
          <w:color w:val="auto"/>
        </w:rPr>
        <w:t>相互串通投标：</w:t>
      </w:r>
    </w:p>
    <w:p w14:paraId="732AB67B">
      <w:pPr>
        <w:pStyle w:val="8"/>
        <w:kinsoku w:val="0"/>
        <w:overflowPunct w:val="0"/>
        <w:spacing w:before="154"/>
        <w:ind w:left="600"/>
        <w:rPr>
          <w:rFonts w:hint="default"/>
          <w:color w:val="auto"/>
        </w:rPr>
      </w:pPr>
      <w:r>
        <w:rPr>
          <w:color w:val="auto"/>
        </w:rPr>
        <w:t>5.2.1.1</w:t>
      </w:r>
      <w:r>
        <w:rPr>
          <w:color w:val="auto"/>
          <w:spacing w:val="-60"/>
        </w:rPr>
        <w:t xml:space="preserve"> </w:t>
      </w:r>
      <w:r>
        <w:rPr>
          <w:rFonts w:hint="eastAsia"/>
          <w:color w:val="auto"/>
          <w:lang w:eastAsia="zh-CN"/>
        </w:rPr>
        <w:t>供应商</w:t>
      </w:r>
      <w:r>
        <w:rPr>
          <w:color w:val="auto"/>
        </w:rPr>
        <w:t>之间协商投标报价等投标文件的实质性内容；</w:t>
      </w:r>
    </w:p>
    <w:p w14:paraId="46233632">
      <w:pPr>
        <w:pStyle w:val="8"/>
        <w:kinsoku w:val="0"/>
        <w:overflowPunct w:val="0"/>
        <w:spacing w:before="154"/>
        <w:ind w:left="600"/>
        <w:rPr>
          <w:rFonts w:hint="default"/>
          <w:color w:val="auto"/>
        </w:rPr>
      </w:pPr>
      <w:r>
        <w:rPr>
          <w:color w:val="auto"/>
        </w:rPr>
        <w:t>5.2.1.2</w:t>
      </w:r>
      <w:r>
        <w:rPr>
          <w:color w:val="auto"/>
          <w:spacing w:val="-60"/>
        </w:rPr>
        <w:t xml:space="preserve"> </w:t>
      </w:r>
      <w:r>
        <w:rPr>
          <w:rFonts w:hint="eastAsia"/>
          <w:color w:val="auto"/>
          <w:lang w:eastAsia="zh-CN"/>
        </w:rPr>
        <w:t>供应商</w:t>
      </w:r>
      <w:r>
        <w:rPr>
          <w:color w:val="auto"/>
        </w:rPr>
        <w:t>之间约定中标人；</w:t>
      </w:r>
    </w:p>
    <w:p w14:paraId="0376E255">
      <w:pPr>
        <w:pStyle w:val="8"/>
        <w:kinsoku w:val="0"/>
        <w:overflowPunct w:val="0"/>
        <w:spacing w:before="154"/>
        <w:ind w:left="600"/>
        <w:rPr>
          <w:rFonts w:hint="default"/>
          <w:color w:val="auto"/>
        </w:rPr>
      </w:pPr>
      <w:r>
        <w:rPr>
          <w:color w:val="auto"/>
        </w:rPr>
        <w:t>5.2.1.3</w:t>
      </w:r>
      <w:r>
        <w:rPr>
          <w:color w:val="auto"/>
          <w:spacing w:val="-60"/>
        </w:rPr>
        <w:t xml:space="preserve"> </w:t>
      </w:r>
      <w:r>
        <w:rPr>
          <w:rFonts w:hint="eastAsia"/>
          <w:color w:val="auto"/>
          <w:lang w:eastAsia="zh-CN"/>
        </w:rPr>
        <w:t>供应商</w:t>
      </w:r>
      <w:r>
        <w:rPr>
          <w:color w:val="auto"/>
        </w:rPr>
        <w:t>之间约定部分</w:t>
      </w:r>
      <w:r>
        <w:rPr>
          <w:rFonts w:hint="eastAsia"/>
          <w:color w:val="auto"/>
          <w:lang w:eastAsia="zh-CN"/>
        </w:rPr>
        <w:t>供应商</w:t>
      </w:r>
      <w:r>
        <w:rPr>
          <w:color w:val="auto"/>
        </w:rPr>
        <w:t>放弃投标或者中标；</w:t>
      </w:r>
    </w:p>
    <w:p w14:paraId="7FD68118">
      <w:pPr>
        <w:pStyle w:val="8"/>
        <w:kinsoku w:val="0"/>
        <w:overflowPunct w:val="0"/>
        <w:spacing w:before="154" w:line="357" w:lineRule="auto"/>
        <w:ind w:right="117" w:firstLine="480"/>
        <w:jc w:val="both"/>
        <w:rPr>
          <w:rFonts w:hint="default"/>
          <w:color w:val="auto"/>
        </w:rPr>
      </w:pPr>
      <w:r>
        <w:rPr>
          <w:color w:val="auto"/>
        </w:rPr>
        <w:t>5.2.1.4</w:t>
      </w:r>
      <w:r>
        <w:rPr>
          <w:color w:val="auto"/>
          <w:spacing w:val="-91"/>
        </w:rPr>
        <w:t xml:space="preserve"> </w:t>
      </w:r>
      <w:r>
        <w:rPr>
          <w:color w:val="auto"/>
        </w:rPr>
        <w:t>属于同一集团、协会、商会等组织成员的</w:t>
      </w:r>
      <w:r>
        <w:rPr>
          <w:rFonts w:hint="eastAsia"/>
          <w:color w:val="auto"/>
          <w:lang w:eastAsia="zh-CN"/>
        </w:rPr>
        <w:t>供应商</w:t>
      </w:r>
      <w:r>
        <w:rPr>
          <w:color w:val="auto"/>
        </w:rPr>
        <w:t>按照该组织要求协 同投标；</w:t>
      </w:r>
    </w:p>
    <w:p w14:paraId="6A5BA09F">
      <w:pPr>
        <w:pStyle w:val="8"/>
        <w:kinsoku w:val="0"/>
        <w:overflowPunct w:val="0"/>
        <w:spacing w:line="357" w:lineRule="auto"/>
        <w:ind w:right="117" w:firstLine="480"/>
        <w:jc w:val="both"/>
        <w:rPr>
          <w:rFonts w:hint="default"/>
          <w:color w:val="auto"/>
        </w:rPr>
      </w:pPr>
      <w:r>
        <w:rPr>
          <w:color w:val="auto"/>
        </w:rPr>
        <w:t>5.2.1.5</w:t>
      </w:r>
      <w:r>
        <w:rPr>
          <w:color w:val="auto"/>
          <w:spacing w:val="-33"/>
        </w:rPr>
        <w:t xml:space="preserve"> </w:t>
      </w:r>
      <w:r>
        <w:rPr>
          <w:rFonts w:hint="eastAsia"/>
          <w:color w:val="auto"/>
          <w:spacing w:val="6"/>
          <w:lang w:eastAsia="zh-CN"/>
        </w:rPr>
        <w:t>供应商</w:t>
      </w:r>
      <w:r>
        <w:rPr>
          <w:color w:val="auto"/>
          <w:spacing w:val="6"/>
        </w:rPr>
        <w:t>之间为谋取中标或者排斥特定</w:t>
      </w:r>
      <w:r>
        <w:rPr>
          <w:rFonts w:hint="eastAsia"/>
          <w:color w:val="auto"/>
          <w:spacing w:val="6"/>
          <w:lang w:eastAsia="zh-CN"/>
        </w:rPr>
        <w:t>供应商</w:t>
      </w:r>
      <w:r>
        <w:rPr>
          <w:color w:val="auto"/>
          <w:spacing w:val="6"/>
        </w:rPr>
        <w:t>而采取的其他联合行</w:t>
      </w:r>
      <w:r>
        <w:rPr>
          <w:color w:val="auto"/>
        </w:rPr>
        <w:t xml:space="preserve"> 动。</w:t>
      </w:r>
    </w:p>
    <w:p w14:paraId="7C26D125">
      <w:pPr>
        <w:pStyle w:val="8"/>
        <w:kinsoku w:val="0"/>
        <w:overflowPunct w:val="0"/>
        <w:ind w:left="600"/>
        <w:rPr>
          <w:rFonts w:hint="default"/>
          <w:color w:val="auto"/>
        </w:rPr>
      </w:pPr>
      <w:r>
        <w:rPr>
          <w:color w:val="auto"/>
        </w:rPr>
        <w:t>5.2.2</w:t>
      </w:r>
      <w:r>
        <w:rPr>
          <w:color w:val="auto"/>
          <w:spacing w:val="-60"/>
        </w:rPr>
        <w:t xml:space="preserve"> </w:t>
      </w:r>
      <w:r>
        <w:rPr>
          <w:color w:val="auto"/>
        </w:rPr>
        <w:t>有下列情形之一的，视为</w:t>
      </w:r>
      <w:r>
        <w:rPr>
          <w:rFonts w:hint="eastAsia"/>
          <w:color w:val="auto"/>
          <w:lang w:eastAsia="zh-CN"/>
        </w:rPr>
        <w:t>供应商</w:t>
      </w:r>
      <w:r>
        <w:rPr>
          <w:color w:val="auto"/>
        </w:rPr>
        <w:t>相互串通投标：</w:t>
      </w:r>
    </w:p>
    <w:p w14:paraId="03574198">
      <w:pPr>
        <w:pStyle w:val="8"/>
        <w:kinsoku w:val="0"/>
        <w:overflowPunct w:val="0"/>
        <w:spacing w:before="154"/>
        <w:ind w:left="600"/>
        <w:rPr>
          <w:rFonts w:hint="default"/>
          <w:color w:val="auto"/>
        </w:rPr>
      </w:pPr>
      <w:r>
        <w:rPr>
          <w:color w:val="auto"/>
        </w:rPr>
        <w:t>5.2.2.1</w:t>
      </w:r>
      <w:r>
        <w:rPr>
          <w:color w:val="auto"/>
          <w:spacing w:val="-60"/>
        </w:rPr>
        <w:t xml:space="preserve"> </w:t>
      </w:r>
      <w:r>
        <w:rPr>
          <w:color w:val="auto"/>
        </w:rPr>
        <w:t>不同</w:t>
      </w:r>
      <w:r>
        <w:rPr>
          <w:rFonts w:hint="eastAsia"/>
          <w:color w:val="auto"/>
          <w:lang w:eastAsia="zh-CN"/>
        </w:rPr>
        <w:t>供应商</w:t>
      </w:r>
      <w:r>
        <w:rPr>
          <w:color w:val="auto"/>
        </w:rPr>
        <w:t>的投标文件由同一单位或者个人编制；</w:t>
      </w:r>
    </w:p>
    <w:p w14:paraId="78765F2F">
      <w:pPr>
        <w:pStyle w:val="8"/>
        <w:kinsoku w:val="0"/>
        <w:overflowPunct w:val="0"/>
        <w:spacing w:before="154" w:line="357" w:lineRule="auto"/>
        <w:ind w:right="117" w:firstLine="480"/>
        <w:jc w:val="both"/>
        <w:rPr>
          <w:rFonts w:hint="default"/>
          <w:color w:val="auto"/>
        </w:rPr>
      </w:pPr>
      <w:r>
        <w:rPr>
          <w:color w:val="auto"/>
        </w:rPr>
        <w:t>5.2.2.2</w:t>
      </w:r>
      <w:r>
        <w:rPr>
          <w:color w:val="auto"/>
          <w:spacing w:val="-91"/>
        </w:rPr>
        <w:t xml:space="preserve"> </w:t>
      </w:r>
      <w:r>
        <w:rPr>
          <w:color w:val="auto"/>
        </w:rPr>
        <w:t>不同</w:t>
      </w:r>
      <w:r>
        <w:rPr>
          <w:rFonts w:hint="eastAsia"/>
          <w:color w:val="auto"/>
          <w:lang w:eastAsia="zh-CN"/>
        </w:rPr>
        <w:t>供应商</w:t>
      </w:r>
      <w:r>
        <w:rPr>
          <w:color w:val="auto"/>
        </w:rPr>
        <w:t>委托同一单位或者个人办理投标事宜，或制作电子投标 文件的文件制作机器码（mac</w:t>
      </w:r>
      <w:r>
        <w:rPr>
          <w:color w:val="auto"/>
          <w:spacing w:val="-92"/>
        </w:rPr>
        <w:t xml:space="preserve"> </w:t>
      </w:r>
      <w:r>
        <w:rPr>
          <w:color w:val="auto"/>
        </w:rPr>
        <w:t>地址）一致，或制作电子投标文件的文件创建标识 码一致；</w:t>
      </w:r>
    </w:p>
    <w:p w14:paraId="3AFCDABE">
      <w:pPr>
        <w:pStyle w:val="8"/>
        <w:kinsoku w:val="0"/>
        <w:overflowPunct w:val="0"/>
        <w:spacing w:before="154" w:line="357" w:lineRule="auto"/>
        <w:ind w:right="117" w:firstLine="480"/>
        <w:jc w:val="both"/>
        <w:rPr>
          <w:rFonts w:hint="default"/>
          <w:color w:val="auto"/>
        </w:rPr>
        <w:sectPr>
          <w:footerReference r:id="rId6" w:type="default"/>
          <w:pgSz w:w="11910" w:h="16840"/>
          <w:pgMar w:top="1460" w:right="1680" w:bottom="1600" w:left="1680" w:header="0" w:footer="1415" w:gutter="0"/>
          <w:pgNumType w:start="21"/>
          <w:cols w:space="720" w:num="1"/>
        </w:sectPr>
      </w:pPr>
    </w:p>
    <w:p w14:paraId="1A858936">
      <w:pPr>
        <w:pStyle w:val="8"/>
        <w:kinsoku w:val="0"/>
        <w:overflowPunct w:val="0"/>
        <w:spacing w:before="2"/>
        <w:ind w:left="600" w:right="237"/>
        <w:rPr>
          <w:rFonts w:hint="default"/>
          <w:color w:val="auto"/>
        </w:rPr>
      </w:pPr>
      <w:r>
        <w:rPr>
          <w:color w:val="auto"/>
        </w:rPr>
        <w:t>5.2.2.3</w:t>
      </w:r>
      <w:r>
        <w:rPr>
          <w:color w:val="auto"/>
          <w:spacing w:val="-60"/>
        </w:rPr>
        <w:t xml:space="preserve"> </w:t>
      </w:r>
      <w:r>
        <w:rPr>
          <w:color w:val="auto"/>
        </w:rPr>
        <w:t>不同</w:t>
      </w:r>
      <w:r>
        <w:rPr>
          <w:rFonts w:hint="eastAsia"/>
          <w:color w:val="auto"/>
          <w:lang w:eastAsia="zh-CN"/>
        </w:rPr>
        <w:t>供应商</w:t>
      </w:r>
      <w:r>
        <w:rPr>
          <w:color w:val="auto"/>
        </w:rPr>
        <w:t>的投标文件载明的项目管理成员为同一人；</w:t>
      </w:r>
    </w:p>
    <w:p w14:paraId="2B739E98">
      <w:pPr>
        <w:pStyle w:val="8"/>
        <w:kinsoku w:val="0"/>
        <w:overflowPunct w:val="0"/>
        <w:spacing w:before="154"/>
        <w:ind w:left="600" w:right="237"/>
        <w:rPr>
          <w:rFonts w:hint="default"/>
          <w:color w:val="auto"/>
        </w:rPr>
      </w:pPr>
      <w:r>
        <w:rPr>
          <w:color w:val="auto"/>
        </w:rPr>
        <w:t>5.2.2.4</w:t>
      </w:r>
      <w:r>
        <w:rPr>
          <w:color w:val="auto"/>
          <w:spacing w:val="-60"/>
        </w:rPr>
        <w:t xml:space="preserve"> </w:t>
      </w:r>
      <w:r>
        <w:rPr>
          <w:color w:val="auto"/>
        </w:rPr>
        <w:t>不同</w:t>
      </w:r>
      <w:r>
        <w:rPr>
          <w:rFonts w:hint="eastAsia"/>
          <w:color w:val="auto"/>
          <w:lang w:eastAsia="zh-CN"/>
        </w:rPr>
        <w:t>供应商</w:t>
      </w:r>
      <w:r>
        <w:rPr>
          <w:color w:val="auto"/>
        </w:rPr>
        <w:t>的投标文件异常一致或者投标报价呈规律性差异；</w:t>
      </w:r>
    </w:p>
    <w:p w14:paraId="19DD2A1C">
      <w:pPr>
        <w:pStyle w:val="8"/>
        <w:kinsoku w:val="0"/>
        <w:overflowPunct w:val="0"/>
        <w:spacing w:before="154"/>
        <w:ind w:left="600" w:right="237"/>
        <w:rPr>
          <w:rFonts w:hint="default"/>
          <w:color w:val="auto"/>
        </w:rPr>
      </w:pPr>
      <w:r>
        <w:rPr>
          <w:color w:val="auto"/>
        </w:rPr>
        <w:t>5.2.2.5</w:t>
      </w:r>
      <w:r>
        <w:rPr>
          <w:color w:val="auto"/>
          <w:spacing w:val="-60"/>
        </w:rPr>
        <w:t xml:space="preserve"> </w:t>
      </w:r>
      <w:r>
        <w:rPr>
          <w:color w:val="auto"/>
        </w:rPr>
        <w:t>不同</w:t>
      </w:r>
      <w:r>
        <w:rPr>
          <w:rFonts w:hint="eastAsia"/>
          <w:color w:val="auto"/>
          <w:lang w:eastAsia="zh-CN"/>
        </w:rPr>
        <w:t>供应商</w:t>
      </w:r>
      <w:r>
        <w:rPr>
          <w:color w:val="auto"/>
        </w:rPr>
        <w:t>的投标文件相互混装；</w:t>
      </w:r>
    </w:p>
    <w:p w14:paraId="62A9C9C8">
      <w:pPr>
        <w:pStyle w:val="8"/>
        <w:kinsoku w:val="0"/>
        <w:overflowPunct w:val="0"/>
        <w:spacing w:before="154"/>
        <w:ind w:left="600" w:right="237"/>
        <w:rPr>
          <w:rFonts w:hint="default"/>
          <w:color w:val="auto"/>
        </w:rPr>
      </w:pPr>
      <w:r>
        <w:rPr>
          <w:color w:val="auto"/>
        </w:rPr>
        <w:t>5.2.2.6</w:t>
      </w:r>
      <w:r>
        <w:rPr>
          <w:color w:val="auto"/>
          <w:spacing w:val="-60"/>
        </w:rPr>
        <w:t xml:space="preserve"> </w:t>
      </w:r>
      <w:r>
        <w:rPr>
          <w:color w:val="auto"/>
        </w:rPr>
        <w:t>不同</w:t>
      </w:r>
      <w:r>
        <w:rPr>
          <w:rFonts w:hint="eastAsia"/>
          <w:color w:val="auto"/>
          <w:lang w:eastAsia="zh-CN"/>
        </w:rPr>
        <w:t>供应商</w:t>
      </w:r>
      <w:r>
        <w:rPr>
          <w:color w:val="auto"/>
        </w:rPr>
        <w:t>的投标保证金从同一单位或者个人的账户转出。</w:t>
      </w:r>
    </w:p>
    <w:p w14:paraId="3625AFDB">
      <w:pPr>
        <w:pStyle w:val="6"/>
        <w:kinsoku w:val="0"/>
        <w:overflowPunct w:val="0"/>
        <w:spacing w:before="154"/>
        <w:ind w:right="237"/>
        <w:rPr>
          <w:rFonts w:hint="default"/>
          <w:b w:val="0"/>
          <w:color w:val="auto"/>
        </w:rPr>
      </w:pPr>
      <w:r>
        <w:rPr>
          <w:color w:val="auto"/>
        </w:rPr>
        <w:t>6.通知</w:t>
      </w:r>
    </w:p>
    <w:p w14:paraId="28BD9186">
      <w:pPr>
        <w:pStyle w:val="8"/>
        <w:kinsoku w:val="0"/>
        <w:overflowPunct w:val="0"/>
        <w:spacing w:before="154" w:line="357" w:lineRule="auto"/>
        <w:ind w:right="117" w:firstLine="480"/>
        <w:rPr>
          <w:rFonts w:hint="default"/>
          <w:color w:val="auto"/>
        </w:rPr>
      </w:pPr>
      <w:r>
        <w:rPr>
          <w:color w:val="auto"/>
        </w:rPr>
        <w:t>6.1</w:t>
      </w:r>
      <w:r>
        <w:rPr>
          <w:color w:val="auto"/>
          <w:spacing w:val="-56"/>
        </w:rPr>
        <w:t xml:space="preserve"> </w:t>
      </w:r>
      <w:r>
        <w:rPr>
          <w:color w:val="auto"/>
          <w:spacing w:val="-5"/>
        </w:rPr>
        <w:t>对与本项目有关的通知，采购代理机构将以书面（包括书面材料、信函、</w:t>
      </w:r>
      <w:r>
        <w:rPr>
          <w:color w:val="auto"/>
        </w:rPr>
        <w:t xml:space="preserve"> </w:t>
      </w:r>
      <w:r>
        <w:rPr>
          <w:color w:val="auto"/>
          <w:spacing w:val="-3"/>
        </w:rPr>
        <w:t>传真等，下同）或在本次招标公告刊登的媒体上发布公告并在政采云平台内发送</w:t>
      </w:r>
      <w:r>
        <w:rPr>
          <w:color w:val="auto"/>
          <w:spacing w:val="-109"/>
        </w:rPr>
        <w:t xml:space="preserve"> </w:t>
      </w:r>
      <w:r>
        <w:rPr>
          <w:color w:val="auto"/>
        </w:rPr>
        <w:t>变更通知及/或答疑文件的形式，向潜在</w:t>
      </w:r>
      <w:r>
        <w:rPr>
          <w:rFonts w:hint="eastAsia"/>
          <w:color w:val="auto"/>
          <w:lang w:eastAsia="zh-CN"/>
        </w:rPr>
        <w:t>供应商</w:t>
      </w:r>
      <w:r>
        <w:rPr>
          <w:color w:val="auto"/>
        </w:rPr>
        <w:t>发出，传真和电话号码以潜在投</w:t>
      </w:r>
      <w:r>
        <w:rPr>
          <w:color w:val="auto"/>
          <w:spacing w:val="-99"/>
        </w:rPr>
        <w:t xml:space="preserve"> </w:t>
      </w:r>
      <w:r>
        <w:rPr>
          <w:color w:val="auto"/>
          <w:spacing w:val="-3"/>
        </w:rPr>
        <w:t>标人的登记为准。收到通知的</w:t>
      </w:r>
      <w:r>
        <w:rPr>
          <w:rFonts w:hint="eastAsia"/>
          <w:color w:val="auto"/>
          <w:spacing w:val="-3"/>
          <w:lang w:eastAsia="zh-CN"/>
        </w:rPr>
        <w:t>供应商</w:t>
      </w:r>
      <w:r>
        <w:rPr>
          <w:color w:val="auto"/>
          <w:spacing w:val="-3"/>
        </w:rPr>
        <w:t>须立即予以回复确认，但</w:t>
      </w:r>
      <w:r>
        <w:rPr>
          <w:rFonts w:hint="eastAsia"/>
          <w:color w:val="auto"/>
          <w:spacing w:val="-3"/>
          <w:lang w:eastAsia="zh-CN"/>
        </w:rPr>
        <w:t>供应商</w:t>
      </w:r>
      <w:r>
        <w:rPr>
          <w:color w:val="auto"/>
          <w:spacing w:val="-3"/>
        </w:rPr>
        <w:t>未回复或采</w:t>
      </w:r>
      <w:r>
        <w:rPr>
          <w:color w:val="auto"/>
          <w:spacing w:val="-109"/>
        </w:rPr>
        <w:t xml:space="preserve"> </w:t>
      </w:r>
      <w:r>
        <w:rPr>
          <w:color w:val="auto"/>
          <w:spacing w:val="-3"/>
        </w:rPr>
        <w:t>购代理机构未收到回复时，并不应当被理解为采购代理机构知道或应当知道投标</w:t>
      </w:r>
      <w:r>
        <w:rPr>
          <w:color w:val="auto"/>
          <w:spacing w:val="-109"/>
        </w:rPr>
        <w:t xml:space="preserve"> </w:t>
      </w:r>
      <w:r>
        <w:rPr>
          <w:color w:val="auto"/>
          <w:spacing w:val="-3"/>
        </w:rPr>
        <w:t>人是否收到通知。因登记有误、传真线路故障或其它任何意外情形，导致所发出</w:t>
      </w:r>
      <w:r>
        <w:rPr>
          <w:color w:val="auto"/>
          <w:spacing w:val="-111"/>
        </w:rPr>
        <w:t xml:space="preserve"> </w:t>
      </w:r>
      <w:r>
        <w:rPr>
          <w:color w:val="auto"/>
          <w:spacing w:val="-3"/>
        </w:rPr>
        <w:t>的通知延迟送达或无法到达</w:t>
      </w:r>
      <w:r>
        <w:rPr>
          <w:rFonts w:hint="eastAsia"/>
          <w:color w:val="auto"/>
          <w:spacing w:val="-3"/>
          <w:lang w:eastAsia="zh-CN"/>
        </w:rPr>
        <w:t>供应商</w:t>
      </w:r>
      <w:r>
        <w:rPr>
          <w:color w:val="auto"/>
          <w:spacing w:val="-3"/>
        </w:rPr>
        <w:t>，采购代理机构不因此承担任何责任，有关的</w:t>
      </w:r>
      <w:r>
        <w:rPr>
          <w:color w:val="auto"/>
          <w:spacing w:val="-109"/>
        </w:rPr>
        <w:t xml:space="preserve"> </w:t>
      </w:r>
      <w:r>
        <w:rPr>
          <w:color w:val="auto"/>
        </w:rPr>
        <w:t>招标活动可以继续有效地进行。</w:t>
      </w:r>
    </w:p>
    <w:p w14:paraId="1EEDC690">
      <w:pPr>
        <w:pStyle w:val="6"/>
        <w:kinsoku w:val="0"/>
        <w:overflowPunct w:val="0"/>
        <w:spacing w:before="0" w:line="650" w:lineRule="atLeast"/>
        <w:ind w:right="6859"/>
        <w:rPr>
          <w:rFonts w:hint="default"/>
          <w:b w:val="0"/>
          <w:color w:val="auto"/>
        </w:rPr>
      </w:pPr>
      <w:bookmarkStart w:id="33" w:name="二、招标文件"/>
      <w:bookmarkEnd w:id="33"/>
      <w:r>
        <w:rPr>
          <w:color w:val="auto"/>
        </w:rPr>
        <w:t>二、招标文件</w:t>
      </w:r>
      <w:r>
        <w:rPr>
          <w:color w:val="auto"/>
          <w:w w:val="99"/>
        </w:rPr>
        <w:t xml:space="preserve"> </w:t>
      </w:r>
      <w:r>
        <w:rPr>
          <w:color w:val="auto"/>
        </w:rPr>
        <w:t>7.招标文件组成</w:t>
      </w:r>
    </w:p>
    <w:p w14:paraId="6B0DEA19">
      <w:pPr>
        <w:pStyle w:val="8"/>
        <w:kinsoku w:val="0"/>
        <w:overflowPunct w:val="0"/>
        <w:spacing w:before="154"/>
        <w:ind w:left="600" w:right="237"/>
        <w:rPr>
          <w:rFonts w:hint="default"/>
          <w:color w:val="auto"/>
        </w:rPr>
      </w:pPr>
      <w:r>
        <w:rPr>
          <w:color w:val="auto"/>
        </w:rPr>
        <w:t>7.1</w:t>
      </w:r>
      <w:r>
        <w:rPr>
          <w:color w:val="auto"/>
          <w:spacing w:val="-60"/>
        </w:rPr>
        <w:t xml:space="preserve"> </w:t>
      </w:r>
      <w:r>
        <w:rPr>
          <w:color w:val="auto"/>
        </w:rPr>
        <w:t>招标文件由招标文件目录所列内容组成。</w:t>
      </w:r>
    </w:p>
    <w:p w14:paraId="658340E5">
      <w:pPr>
        <w:pStyle w:val="6"/>
        <w:kinsoku w:val="0"/>
        <w:overflowPunct w:val="0"/>
        <w:spacing w:before="154"/>
        <w:ind w:right="237"/>
        <w:rPr>
          <w:rFonts w:hint="default"/>
          <w:b w:val="0"/>
          <w:color w:val="auto"/>
        </w:rPr>
      </w:pPr>
      <w:r>
        <w:rPr>
          <w:color w:val="auto"/>
        </w:rPr>
        <w:t>8.踏勘现场</w:t>
      </w:r>
    </w:p>
    <w:p w14:paraId="6924B799">
      <w:pPr>
        <w:pStyle w:val="8"/>
        <w:kinsoku w:val="0"/>
        <w:overflowPunct w:val="0"/>
        <w:spacing w:before="154" w:line="357" w:lineRule="auto"/>
        <w:ind w:right="117" w:firstLine="480"/>
        <w:rPr>
          <w:rFonts w:hint="default"/>
          <w:color w:val="auto"/>
        </w:rPr>
      </w:pPr>
      <w:r>
        <w:rPr>
          <w:color w:val="auto"/>
        </w:rPr>
        <w:t>8.1</w:t>
      </w:r>
      <w:r>
        <w:rPr>
          <w:color w:val="auto"/>
          <w:spacing w:val="-71"/>
        </w:rPr>
        <w:t xml:space="preserve"> </w:t>
      </w:r>
      <w:r>
        <w:rPr>
          <w:color w:val="auto"/>
        </w:rPr>
        <w:t>本项目是否统一组织</w:t>
      </w:r>
      <w:r>
        <w:rPr>
          <w:rFonts w:hint="eastAsia"/>
          <w:color w:val="auto"/>
          <w:lang w:eastAsia="zh-CN"/>
        </w:rPr>
        <w:t>供应商</w:t>
      </w:r>
      <w:r>
        <w:rPr>
          <w:color w:val="auto"/>
        </w:rPr>
        <w:t>踏勘现场见招标文件第二部分“</w:t>
      </w:r>
      <w:r>
        <w:rPr>
          <w:rFonts w:hint="eastAsia"/>
          <w:color w:val="auto"/>
          <w:lang w:eastAsia="zh-CN"/>
        </w:rPr>
        <w:t>供应商</w:t>
      </w:r>
      <w:r>
        <w:rPr>
          <w:color w:val="auto"/>
        </w:rPr>
        <w:t xml:space="preserve">须知 </w:t>
      </w:r>
      <w:r>
        <w:rPr>
          <w:color w:val="auto"/>
          <w:spacing w:val="-6"/>
        </w:rPr>
        <w:t>前附表”中规定。无论是否统一组织，</w:t>
      </w:r>
      <w:r>
        <w:rPr>
          <w:rFonts w:hint="eastAsia"/>
          <w:color w:val="auto"/>
          <w:spacing w:val="-6"/>
          <w:lang w:eastAsia="zh-CN"/>
        </w:rPr>
        <w:t>供应商</w:t>
      </w:r>
      <w:r>
        <w:rPr>
          <w:color w:val="auto"/>
          <w:spacing w:val="-6"/>
        </w:rPr>
        <w:t>应对供货现场和周围环境进行勘察，</w:t>
      </w:r>
      <w:r>
        <w:rPr>
          <w:color w:val="auto"/>
        </w:rPr>
        <w:t xml:space="preserve"> 以获取编制投标文件所需的资料。</w:t>
      </w:r>
    </w:p>
    <w:p w14:paraId="6B33EC12">
      <w:pPr>
        <w:pStyle w:val="8"/>
        <w:kinsoku w:val="0"/>
        <w:overflowPunct w:val="0"/>
        <w:spacing w:line="357" w:lineRule="auto"/>
        <w:ind w:right="117" w:firstLine="480"/>
        <w:rPr>
          <w:rFonts w:hint="default"/>
          <w:color w:val="auto"/>
        </w:rPr>
      </w:pPr>
      <w:r>
        <w:rPr>
          <w:color w:val="auto"/>
        </w:rPr>
        <w:t>8.2</w:t>
      </w:r>
      <w:r>
        <w:rPr>
          <w:color w:val="auto"/>
          <w:spacing w:val="-73"/>
        </w:rPr>
        <w:t xml:space="preserve"> </w:t>
      </w:r>
      <w:r>
        <w:rPr>
          <w:color w:val="auto"/>
        </w:rPr>
        <w:t>踏勘现场所发生的费用由</w:t>
      </w:r>
      <w:r>
        <w:rPr>
          <w:rFonts w:hint="eastAsia"/>
          <w:color w:val="auto"/>
          <w:lang w:eastAsia="zh-CN"/>
        </w:rPr>
        <w:t>供应商</w:t>
      </w:r>
      <w:r>
        <w:rPr>
          <w:color w:val="auto"/>
        </w:rPr>
        <w:t>自行承担。采购人向</w:t>
      </w:r>
      <w:r>
        <w:rPr>
          <w:rFonts w:hint="eastAsia"/>
          <w:color w:val="auto"/>
          <w:lang w:eastAsia="zh-CN"/>
        </w:rPr>
        <w:t>供应商</w:t>
      </w:r>
      <w:r>
        <w:rPr>
          <w:color w:val="auto"/>
        </w:rPr>
        <w:t xml:space="preserve">提供的有关 </w:t>
      </w:r>
      <w:r>
        <w:rPr>
          <w:color w:val="auto"/>
          <w:spacing w:val="-3"/>
        </w:rPr>
        <w:t>供货现场的资料和数据，是采购人现有的能使</w:t>
      </w:r>
      <w:r>
        <w:rPr>
          <w:rFonts w:hint="eastAsia"/>
          <w:color w:val="auto"/>
          <w:spacing w:val="-3"/>
          <w:lang w:eastAsia="zh-CN"/>
        </w:rPr>
        <w:t>供应商</w:t>
      </w:r>
      <w:r>
        <w:rPr>
          <w:color w:val="auto"/>
          <w:spacing w:val="-3"/>
        </w:rPr>
        <w:t>利用的资料。采购人对投标</w:t>
      </w:r>
      <w:r>
        <w:rPr>
          <w:color w:val="auto"/>
          <w:spacing w:val="-109"/>
        </w:rPr>
        <w:t xml:space="preserve"> </w:t>
      </w:r>
      <w:r>
        <w:rPr>
          <w:color w:val="auto"/>
        </w:rPr>
        <w:t>人由此而做出的推论、理解和结论概不负责。</w:t>
      </w:r>
      <w:r>
        <w:rPr>
          <w:rFonts w:hint="eastAsia"/>
          <w:color w:val="auto"/>
          <w:lang w:eastAsia="zh-CN"/>
        </w:rPr>
        <w:t>供应商</w:t>
      </w:r>
      <w:r>
        <w:rPr>
          <w:color w:val="auto"/>
        </w:rPr>
        <w:t xml:space="preserve">未到供货现场实地踏勘的， </w:t>
      </w:r>
      <w:r>
        <w:rPr>
          <w:color w:val="auto"/>
          <w:spacing w:val="-3"/>
        </w:rPr>
        <w:t>中标后签订合同时和履约过程中，不得以不完全了解现场情况为由，提出任何形</w:t>
      </w:r>
      <w:r>
        <w:rPr>
          <w:color w:val="auto"/>
          <w:spacing w:val="-109"/>
        </w:rPr>
        <w:t xml:space="preserve"> </w:t>
      </w:r>
      <w:r>
        <w:rPr>
          <w:color w:val="auto"/>
        </w:rPr>
        <w:t>式的增加合同价款或索赔的要求。</w:t>
      </w:r>
    </w:p>
    <w:p w14:paraId="14CEC784">
      <w:pPr>
        <w:pStyle w:val="8"/>
        <w:kinsoku w:val="0"/>
        <w:overflowPunct w:val="0"/>
        <w:spacing w:line="357" w:lineRule="auto"/>
        <w:ind w:right="237" w:firstLine="480"/>
        <w:rPr>
          <w:rFonts w:hint="default"/>
          <w:color w:val="auto"/>
        </w:rPr>
      </w:pPr>
      <w:r>
        <w:rPr>
          <w:color w:val="auto"/>
        </w:rPr>
        <w:t>8.3</w:t>
      </w:r>
      <w:r>
        <w:rPr>
          <w:color w:val="auto"/>
          <w:spacing w:val="-91"/>
        </w:rPr>
        <w:t xml:space="preserve"> </w:t>
      </w:r>
      <w:r>
        <w:rPr>
          <w:color w:val="auto"/>
        </w:rPr>
        <w:t>除非有特殊要求，招标文件不单独提供供货使用地的自然环境、气候条 件、公用设施等情况，</w:t>
      </w:r>
      <w:r>
        <w:rPr>
          <w:rFonts w:hint="eastAsia"/>
          <w:color w:val="auto"/>
          <w:lang w:eastAsia="zh-CN"/>
        </w:rPr>
        <w:t>供应商</w:t>
      </w:r>
      <w:r>
        <w:rPr>
          <w:color w:val="auto"/>
        </w:rPr>
        <w:t>被视为熟悉上述与履行合同有关的一切情况。</w:t>
      </w:r>
    </w:p>
    <w:p w14:paraId="16E98A4F">
      <w:pPr>
        <w:pStyle w:val="8"/>
        <w:kinsoku w:val="0"/>
        <w:overflowPunct w:val="0"/>
        <w:spacing w:line="357" w:lineRule="auto"/>
        <w:ind w:right="237" w:firstLine="480"/>
        <w:rPr>
          <w:rFonts w:hint="default"/>
          <w:color w:val="auto"/>
        </w:rPr>
        <w:sectPr>
          <w:footerReference r:id="rId7" w:type="default"/>
          <w:pgSz w:w="11910" w:h="16840"/>
          <w:pgMar w:top="1460" w:right="1560" w:bottom="1600" w:left="1680" w:header="0" w:footer="1415" w:gutter="0"/>
          <w:pgNumType w:start="22"/>
          <w:cols w:space="720" w:num="1"/>
        </w:sectPr>
      </w:pPr>
    </w:p>
    <w:p w14:paraId="5256E082">
      <w:pPr>
        <w:pStyle w:val="8"/>
        <w:kinsoku w:val="0"/>
        <w:overflowPunct w:val="0"/>
        <w:spacing w:before="2" w:line="357" w:lineRule="auto"/>
        <w:ind w:right="357" w:firstLine="480"/>
        <w:jc w:val="both"/>
        <w:rPr>
          <w:rFonts w:hint="default"/>
          <w:color w:val="auto"/>
        </w:rPr>
      </w:pPr>
      <w:r>
        <w:rPr>
          <w:color w:val="auto"/>
        </w:rPr>
        <w:t>8.4</w:t>
      </w:r>
      <w:r>
        <w:rPr>
          <w:color w:val="auto"/>
          <w:spacing w:val="-91"/>
        </w:rPr>
        <w:t xml:space="preserve"> </w:t>
      </w:r>
      <w:r>
        <w:rPr>
          <w:color w:val="auto"/>
        </w:rPr>
        <w:t>除采购人原因外，</w:t>
      </w:r>
      <w:r>
        <w:rPr>
          <w:rFonts w:hint="eastAsia"/>
          <w:color w:val="auto"/>
          <w:lang w:eastAsia="zh-CN"/>
        </w:rPr>
        <w:t>供应商</w:t>
      </w:r>
      <w:r>
        <w:rPr>
          <w:color w:val="auto"/>
        </w:rPr>
        <w:t>自行负责在踏勘现场中所发生的人员伤亡和财 产损失。</w:t>
      </w:r>
    </w:p>
    <w:p w14:paraId="585C86E8">
      <w:pPr>
        <w:pStyle w:val="6"/>
        <w:kinsoku w:val="0"/>
        <w:overflowPunct w:val="0"/>
        <w:ind w:right="117"/>
        <w:rPr>
          <w:rFonts w:hint="default"/>
          <w:b w:val="0"/>
          <w:color w:val="auto"/>
        </w:rPr>
      </w:pPr>
      <w:r>
        <w:rPr>
          <w:color w:val="auto"/>
        </w:rPr>
        <w:t>9.知识产权</w:t>
      </w:r>
    </w:p>
    <w:p w14:paraId="2D0A99F5">
      <w:pPr>
        <w:pStyle w:val="8"/>
        <w:kinsoku w:val="0"/>
        <w:overflowPunct w:val="0"/>
        <w:spacing w:before="154" w:line="357" w:lineRule="auto"/>
        <w:ind w:right="357" w:firstLine="480"/>
        <w:jc w:val="both"/>
        <w:rPr>
          <w:rFonts w:hint="default"/>
          <w:color w:val="auto"/>
        </w:rPr>
      </w:pPr>
      <w:r>
        <w:rPr>
          <w:color w:val="auto"/>
        </w:rPr>
        <w:t>9.1</w:t>
      </w:r>
      <w:r>
        <w:rPr>
          <w:color w:val="auto"/>
          <w:spacing w:val="-91"/>
        </w:rPr>
        <w:t xml:space="preserve"> </w:t>
      </w:r>
      <w:r>
        <w:rPr>
          <w:rFonts w:hint="eastAsia"/>
          <w:color w:val="auto"/>
          <w:lang w:eastAsia="zh-CN"/>
        </w:rPr>
        <w:t>供应商</w:t>
      </w:r>
      <w:r>
        <w:rPr>
          <w:color w:val="auto"/>
        </w:rPr>
        <w:t xml:space="preserve">须保证，采购人在中华人民共和国境内使用投标货物、资料、技 </w:t>
      </w:r>
      <w:r>
        <w:rPr>
          <w:color w:val="auto"/>
          <w:spacing w:val="-3"/>
        </w:rPr>
        <w:t>术、服务或其任何一部分时，享有不受限制的无偿使用权，不会产生因第三方提</w:t>
      </w:r>
      <w:r>
        <w:rPr>
          <w:color w:val="auto"/>
          <w:spacing w:val="-111"/>
        </w:rPr>
        <w:t xml:space="preserve"> </w:t>
      </w:r>
      <w:r>
        <w:rPr>
          <w:color w:val="auto"/>
          <w:spacing w:val="-3"/>
        </w:rPr>
        <w:t>出侵犯其专利权、商标权或其它知识产权而引起的法律或经济纠纷。如</w:t>
      </w:r>
      <w:r>
        <w:rPr>
          <w:rFonts w:hint="eastAsia"/>
          <w:color w:val="auto"/>
          <w:spacing w:val="-3"/>
          <w:lang w:eastAsia="zh-CN"/>
        </w:rPr>
        <w:t>供应商</w:t>
      </w:r>
      <w:r>
        <w:rPr>
          <w:color w:val="auto"/>
          <w:spacing w:val="-3"/>
        </w:rPr>
        <w:t>不</w:t>
      </w:r>
      <w:r>
        <w:rPr>
          <w:color w:val="auto"/>
          <w:spacing w:val="-109"/>
        </w:rPr>
        <w:t xml:space="preserve"> </w:t>
      </w:r>
      <w:r>
        <w:rPr>
          <w:color w:val="auto"/>
          <w:spacing w:val="-3"/>
        </w:rPr>
        <w:t>拥有相应的知识产权，则在投标报价中必须包括合法获取该知识产权的一切相关</w:t>
      </w:r>
      <w:r>
        <w:rPr>
          <w:color w:val="auto"/>
          <w:spacing w:val="-109"/>
        </w:rPr>
        <w:t xml:space="preserve"> </w:t>
      </w:r>
      <w:r>
        <w:rPr>
          <w:color w:val="auto"/>
        </w:rPr>
        <w:t>费用。如因此导致采购人损失的，</w:t>
      </w:r>
      <w:r>
        <w:rPr>
          <w:rFonts w:hint="eastAsia"/>
          <w:color w:val="auto"/>
          <w:lang w:eastAsia="zh-CN"/>
        </w:rPr>
        <w:t>供应商</w:t>
      </w:r>
      <w:r>
        <w:rPr>
          <w:color w:val="auto"/>
        </w:rPr>
        <w:t>须承担全部赔偿责任。</w:t>
      </w:r>
    </w:p>
    <w:p w14:paraId="74226E08">
      <w:pPr>
        <w:pStyle w:val="8"/>
        <w:kinsoku w:val="0"/>
        <w:overflowPunct w:val="0"/>
        <w:spacing w:line="357" w:lineRule="auto"/>
        <w:ind w:right="117" w:firstLine="480"/>
        <w:rPr>
          <w:rFonts w:hint="default"/>
          <w:color w:val="auto"/>
        </w:rPr>
      </w:pPr>
      <w:r>
        <w:rPr>
          <w:color w:val="auto"/>
        </w:rPr>
        <w:t>9.2</w:t>
      </w:r>
      <w:r>
        <w:rPr>
          <w:color w:val="auto"/>
          <w:spacing w:val="-91"/>
        </w:rPr>
        <w:t xml:space="preserve"> </w:t>
      </w:r>
      <w:r>
        <w:rPr>
          <w:rFonts w:hint="eastAsia"/>
          <w:color w:val="auto"/>
          <w:lang w:eastAsia="zh-CN"/>
        </w:rPr>
        <w:t>供应商</w:t>
      </w:r>
      <w:r>
        <w:rPr>
          <w:color w:val="auto"/>
        </w:rPr>
        <w:t xml:space="preserve">如欲在项目实施过程中采用自有知识成果，须在投标文件中声明， </w:t>
      </w:r>
      <w:r>
        <w:rPr>
          <w:color w:val="auto"/>
          <w:spacing w:val="-3"/>
        </w:rPr>
        <w:t>并提供相关知识产权证明文件。使用该知识成果后，</w:t>
      </w:r>
      <w:r>
        <w:rPr>
          <w:rFonts w:hint="eastAsia"/>
          <w:color w:val="auto"/>
          <w:spacing w:val="-3"/>
          <w:lang w:eastAsia="zh-CN"/>
        </w:rPr>
        <w:t>供应商</w:t>
      </w:r>
      <w:r>
        <w:rPr>
          <w:color w:val="auto"/>
          <w:spacing w:val="-3"/>
        </w:rPr>
        <w:t>须提供开发接口和开</w:t>
      </w:r>
      <w:r>
        <w:rPr>
          <w:color w:val="auto"/>
          <w:spacing w:val="-109"/>
        </w:rPr>
        <w:t xml:space="preserve"> </w:t>
      </w:r>
      <w:r>
        <w:rPr>
          <w:color w:val="auto"/>
        </w:rPr>
        <w:t>发手册等技术文档。</w:t>
      </w:r>
    </w:p>
    <w:p w14:paraId="04B24A93">
      <w:pPr>
        <w:pStyle w:val="6"/>
        <w:kinsoku w:val="0"/>
        <w:overflowPunct w:val="0"/>
        <w:ind w:right="117"/>
        <w:rPr>
          <w:rFonts w:hint="default"/>
          <w:b w:val="0"/>
          <w:color w:val="auto"/>
        </w:rPr>
      </w:pPr>
      <w:r>
        <w:rPr>
          <w:color w:val="auto"/>
        </w:rPr>
        <w:t>10.答疑及招标文件的澄清和修改</w:t>
      </w:r>
    </w:p>
    <w:p w14:paraId="41355265">
      <w:pPr>
        <w:pStyle w:val="8"/>
        <w:kinsoku w:val="0"/>
        <w:overflowPunct w:val="0"/>
        <w:spacing w:before="154" w:line="357" w:lineRule="auto"/>
        <w:ind w:right="357" w:firstLine="480"/>
        <w:jc w:val="both"/>
        <w:rPr>
          <w:rFonts w:hint="default"/>
          <w:color w:val="auto"/>
        </w:rPr>
      </w:pPr>
      <w:r>
        <w:rPr>
          <w:color w:val="auto"/>
        </w:rPr>
        <w:t>10.1</w:t>
      </w:r>
      <w:r>
        <w:rPr>
          <w:color w:val="auto"/>
          <w:spacing w:val="-51"/>
        </w:rPr>
        <w:t xml:space="preserve"> </w:t>
      </w:r>
      <w:r>
        <w:rPr>
          <w:rFonts w:hint="eastAsia"/>
          <w:color w:val="auto"/>
          <w:spacing w:val="2"/>
          <w:lang w:eastAsia="zh-CN"/>
        </w:rPr>
        <w:t>供应商</w:t>
      </w:r>
      <w:r>
        <w:rPr>
          <w:color w:val="auto"/>
          <w:spacing w:val="2"/>
        </w:rPr>
        <w:t>如果对招标文件有疑问或要求进行澄清的，应按照招标文件第</w:t>
      </w:r>
      <w:r>
        <w:rPr>
          <w:color w:val="auto"/>
        </w:rPr>
        <w:t xml:space="preserve"> </w:t>
      </w:r>
      <w:r>
        <w:rPr>
          <w:color w:val="auto"/>
          <w:spacing w:val="-3"/>
        </w:rPr>
        <w:t>二部分“</w:t>
      </w:r>
      <w:r>
        <w:rPr>
          <w:rFonts w:hint="eastAsia"/>
          <w:color w:val="auto"/>
          <w:spacing w:val="-3"/>
          <w:lang w:eastAsia="zh-CN"/>
        </w:rPr>
        <w:t>供应商</w:t>
      </w:r>
      <w:r>
        <w:rPr>
          <w:color w:val="auto"/>
          <w:spacing w:val="-3"/>
        </w:rPr>
        <w:t>须知前附表”中规定向采购代理机构提出。提出后，请</w:t>
      </w:r>
      <w:r>
        <w:rPr>
          <w:rFonts w:hint="eastAsia"/>
          <w:color w:val="auto"/>
          <w:spacing w:val="-3"/>
          <w:lang w:eastAsia="zh-CN"/>
        </w:rPr>
        <w:t>供应商</w:t>
      </w:r>
      <w:r>
        <w:rPr>
          <w:color w:val="auto"/>
          <w:spacing w:val="-3"/>
        </w:rPr>
        <w:t>及</w:t>
      </w:r>
      <w:r>
        <w:rPr>
          <w:color w:val="auto"/>
          <w:spacing w:val="-109"/>
        </w:rPr>
        <w:t xml:space="preserve"> </w:t>
      </w:r>
      <w:r>
        <w:rPr>
          <w:color w:val="auto"/>
          <w:spacing w:val="-3"/>
        </w:rPr>
        <w:t>时通过平台查看答疑文件或澄清文件。必要时，采购代理机构将组织相关专家召</w:t>
      </w:r>
      <w:r>
        <w:rPr>
          <w:color w:val="auto"/>
          <w:spacing w:val="-109"/>
        </w:rPr>
        <w:t xml:space="preserve"> </w:t>
      </w:r>
      <w:r>
        <w:rPr>
          <w:color w:val="auto"/>
        </w:rPr>
        <w:t>开答疑会，如召开，答疑会安排另行通知。</w:t>
      </w:r>
    </w:p>
    <w:p w14:paraId="55ADBF0A">
      <w:pPr>
        <w:pStyle w:val="8"/>
        <w:kinsoku w:val="0"/>
        <w:overflowPunct w:val="0"/>
        <w:spacing w:line="357" w:lineRule="auto"/>
        <w:ind w:right="357" w:firstLine="480"/>
        <w:jc w:val="both"/>
        <w:rPr>
          <w:rFonts w:hint="default"/>
          <w:color w:val="auto"/>
        </w:rPr>
      </w:pPr>
      <w:r>
        <w:rPr>
          <w:rFonts w:hint="eastAsia"/>
          <w:color w:val="auto"/>
          <w:spacing w:val="-3"/>
          <w:lang w:eastAsia="zh-CN"/>
        </w:rPr>
        <w:t>供应商</w:t>
      </w:r>
      <w:r>
        <w:rPr>
          <w:color w:val="auto"/>
          <w:spacing w:val="-3"/>
        </w:rPr>
        <w:t>在规定的时间内未对招标文件提出疑问或要求澄清的，采购代理机构</w:t>
      </w:r>
      <w:r>
        <w:rPr>
          <w:color w:val="auto"/>
        </w:rPr>
        <w:t xml:space="preserve"> </w:t>
      </w:r>
      <w:r>
        <w:rPr>
          <w:color w:val="auto"/>
          <w:spacing w:val="-3"/>
        </w:rPr>
        <w:t>将视其为同意，对在“答疑接受时间”后就招标文件内容提出的疑问及澄清要求</w:t>
      </w:r>
      <w:r>
        <w:rPr>
          <w:color w:val="auto"/>
          <w:spacing w:val="-111"/>
        </w:rPr>
        <w:t xml:space="preserve"> </w:t>
      </w:r>
      <w:r>
        <w:rPr>
          <w:color w:val="auto"/>
        </w:rPr>
        <w:t>将不予受理。</w:t>
      </w:r>
    </w:p>
    <w:p w14:paraId="05BC57C6">
      <w:pPr>
        <w:pStyle w:val="8"/>
        <w:kinsoku w:val="0"/>
        <w:overflowPunct w:val="0"/>
        <w:spacing w:line="357" w:lineRule="auto"/>
        <w:ind w:right="357" w:firstLine="480"/>
        <w:jc w:val="both"/>
        <w:rPr>
          <w:rFonts w:hint="default"/>
          <w:color w:val="auto"/>
        </w:rPr>
      </w:pPr>
      <w:r>
        <w:rPr>
          <w:color w:val="auto"/>
        </w:rPr>
        <w:t>10.2</w:t>
      </w:r>
      <w:r>
        <w:rPr>
          <w:color w:val="auto"/>
          <w:spacing w:val="-51"/>
        </w:rPr>
        <w:t xml:space="preserve"> </w:t>
      </w:r>
      <w:r>
        <w:rPr>
          <w:color w:val="auto"/>
          <w:spacing w:val="2"/>
        </w:rPr>
        <w:t>无论出于何种原因，采购代理机构主动或出于解答</w:t>
      </w:r>
      <w:r>
        <w:rPr>
          <w:rFonts w:hint="eastAsia"/>
          <w:color w:val="auto"/>
          <w:spacing w:val="2"/>
          <w:lang w:eastAsia="zh-CN"/>
        </w:rPr>
        <w:t>供应商</w:t>
      </w:r>
      <w:r>
        <w:rPr>
          <w:color w:val="auto"/>
          <w:spacing w:val="2"/>
        </w:rPr>
        <w:t>疑问对已发</w:t>
      </w:r>
      <w:r>
        <w:rPr>
          <w:color w:val="auto"/>
        </w:rPr>
        <w:t xml:space="preserve"> </w:t>
      </w:r>
      <w:r>
        <w:rPr>
          <w:color w:val="auto"/>
          <w:spacing w:val="-3"/>
        </w:rPr>
        <w:t>出的招标文件进行必要澄清或修改的，应当在招标文件要求提交投标文件截止时</w:t>
      </w:r>
      <w:r>
        <w:rPr>
          <w:color w:val="auto"/>
          <w:spacing w:val="-109"/>
        </w:rPr>
        <w:t xml:space="preserve"> </w:t>
      </w:r>
      <w:r>
        <w:rPr>
          <w:color w:val="auto"/>
        </w:rPr>
        <w:t>间</w:t>
      </w:r>
      <w:r>
        <w:rPr>
          <w:color w:val="auto"/>
          <w:spacing w:val="-51"/>
        </w:rPr>
        <w:t xml:space="preserve"> </w:t>
      </w:r>
      <w:r>
        <w:rPr>
          <w:color w:val="auto"/>
        </w:rPr>
        <w:t>15</w:t>
      </w:r>
      <w:r>
        <w:rPr>
          <w:color w:val="auto"/>
          <w:spacing w:val="-51"/>
        </w:rPr>
        <w:t xml:space="preserve"> </w:t>
      </w:r>
      <w:r>
        <w:rPr>
          <w:color w:val="auto"/>
        </w:rPr>
        <w:t xml:space="preserve">日前，以当面交接、邮寄、传真或电子邮件、网站披露等其中至少一种方 </w:t>
      </w:r>
      <w:r>
        <w:rPr>
          <w:color w:val="auto"/>
          <w:spacing w:val="-3"/>
        </w:rPr>
        <w:t>式，向潜在</w:t>
      </w:r>
      <w:r>
        <w:rPr>
          <w:rFonts w:hint="eastAsia"/>
          <w:color w:val="auto"/>
          <w:spacing w:val="-3"/>
          <w:lang w:eastAsia="zh-CN"/>
        </w:rPr>
        <w:t>供应商</w:t>
      </w:r>
      <w:r>
        <w:rPr>
          <w:color w:val="auto"/>
          <w:spacing w:val="-3"/>
        </w:rPr>
        <w:t>发出澄清、修改的补充文件。需要为此调整投标文件提交截止</w:t>
      </w:r>
      <w:r>
        <w:rPr>
          <w:color w:val="auto"/>
          <w:spacing w:val="-111"/>
        </w:rPr>
        <w:t xml:space="preserve"> </w:t>
      </w:r>
      <w:r>
        <w:rPr>
          <w:color w:val="auto"/>
        </w:rPr>
        <w:t>时间的，应当重新确定，并就变更后的投标截止时间重新发出通知。</w:t>
      </w:r>
    </w:p>
    <w:p w14:paraId="0701BBDC">
      <w:pPr>
        <w:pStyle w:val="8"/>
        <w:kinsoku w:val="0"/>
        <w:overflowPunct w:val="0"/>
        <w:spacing w:line="357" w:lineRule="auto"/>
        <w:ind w:right="357" w:firstLine="480"/>
        <w:jc w:val="both"/>
        <w:rPr>
          <w:rFonts w:hint="default"/>
          <w:color w:val="auto"/>
        </w:rPr>
      </w:pPr>
      <w:r>
        <w:rPr>
          <w:color w:val="auto"/>
          <w:spacing w:val="-3"/>
        </w:rPr>
        <w:t>特殊情况下，采购代理机构发布澄清、修改文件后，征得</w:t>
      </w:r>
      <w:r>
        <w:rPr>
          <w:rFonts w:hint="eastAsia"/>
          <w:color w:val="auto"/>
          <w:spacing w:val="-3"/>
          <w:lang w:eastAsia="zh-CN"/>
        </w:rPr>
        <w:t>供应商</w:t>
      </w:r>
      <w:r>
        <w:rPr>
          <w:color w:val="auto"/>
          <w:spacing w:val="-3"/>
        </w:rPr>
        <w:t>同意，可不</w:t>
      </w:r>
      <w:r>
        <w:rPr>
          <w:color w:val="auto"/>
        </w:rPr>
        <w:t xml:space="preserve"> 改变投标截止时间和开标时间。</w:t>
      </w:r>
    </w:p>
    <w:p w14:paraId="71AC8AF0">
      <w:pPr>
        <w:pStyle w:val="8"/>
        <w:kinsoku w:val="0"/>
        <w:overflowPunct w:val="0"/>
        <w:spacing w:line="357" w:lineRule="auto"/>
        <w:ind w:right="357" w:firstLine="480"/>
        <w:jc w:val="both"/>
        <w:rPr>
          <w:rFonts w:hint="default"/>
          <w:color w:val="auto"/>
          <w:spacing w:val="-3"/>
        </w:rPr>
      </w:pPr>
      <w:r>
        <w:rPr>
          <w:color w:val="auto"/>
        </w:rPr>
        <w:t>10.3</w:t>
      </w:r>
      <w:r>
        <w:rPr>
          <w:color w:val="auto"/>
          <w:spacing w:val="-51"/>
        </w:rPr>
        <w:t xml:space="preserve"> </w:t>
      </w:r>
      <w:r>
        <w:rPr>
          <w:color w:val="auto"/>
          <w:spacing w:val="2"/>
        </w:rPr>
        <w:t>采购代理机构一旦对招标文件作出了澄清、修改，即刻发生效力，采</w:t>
      </w:r>
      <w:r>
        <w:rPr>
          <w:color w:val="auto"/>
        </w:rPr>
        <w:t xml:space="preserve"> </w:t>
      </w:r>
      <w:r>
        <w:rPr>
          <w:color w:val="auto"/>
          <w:spacing w:val="-3"/>
        </w:rPr>
        <w:t>购代理机构有关的补充文件，将作为招标文件的组成部分，对所有现实的或潜在</w:t>
      </w:r>
      <w:r>
        <w:rPr>
          <w:color w:val="auto"/>
          <w:spacing w:val="-109"/>
        </w:rPr>
        <w:t xml:space="preserve"> </w:t>
      </w:r>
      <w:r>
        <w:rPr>
          <w:color w:val="auto"/>
          <w:spacing w:val="-3"/>
        </w:rPr>
        <w:t>的</w:t>
      </w:r>
      <w:r>
        <w:rPr>
          <w:rFonts w:hint="eastAsia"/>
          <w:color w:val="auto"/>
          <w:spacing w:val="-3"/>
          <w:lang w:eastAsia="zh-CN"/>
        </w:rPr>
        <w:t>供应商</w:t>
      </w:r>
      <w:r>
        <w:rPr>
          <w:color w:val="auto"/>
          <w:spacing w:val="-3"/>
        </w:rPr>
        <w:t>均具有约束力，而无论是否已经实际收到上述文件。同时，采购代理机</w:t>
      </w:r>
    </w:p>
    <w:p w14:paraId="21B0C8DF">
      <w:pPr>
        <w:pStyle w:val="8"/>
        <w:kinsoku w:val="0"/>
        <w:overflowPunct w:val="0"/>
        <w:spacing w:line="357" w:lineRule="auto"/>
        <w:ind w:right="357" w:firstLine="480"/>
        <w:jc w:val="both"/>
        <w:rPr>
          <w:rFonts w:hint="default"/>
          <w:color w:val="auto"/>
          <w:spacing w:val="-3"/>
        </w:rPr>
        <w:sectPr>
          <w:footerReference r:id="rId8" w:type="default"/>
          <w:pgSz w:w="11910" w:h="16840"/>
          <w:pgMar w:top="1460" w:right="1440" w:bottom="1600" w:left="1680" w:header="0" w:footer="1415" w:gutter="0"/>
          <w:pgNumType w:start="23"/>
          <w:cols w:space="720" w:num="1"/>
        </w:sectPr>
      </w:pPr>
    </w:p>
    <w:p w14:paraId="12A88022">
      <w:pPr>
        <w:pStyle w:val="8"/>
        <w:kinsoku w:val="0"/>
        <w:overflowPunct w:val="0"/>
        <w:spacing w:before="2"/>
        <w:ind w:right="237"/>
        <w:rPr>
          <w:rFonts w:hint="default"/>
          <w:color w:val="auto"/>
        </w:rPr>
      </w:pPr>
      <w:r>
        <w:rPr>
          <w:color w:val="auto"/>
        </w:rPr>
        <w:t>构和</w:t>
      </w:r>
      <w:r>
        <w:rPr>
          <w:rFonts w:hint="eastAsia"/>
          <w:color w:val="auto"/>
          <w:lang w:eastAsia="zh-CN"/>
        </w:rPr>
        <w:t>供应商</w:t>
      </w:r>
      <w:r>
        <w:rPr>
          <w:color w:val="auto"/>
        </w:rPr>
        <w:t>的权利及义务将受到新的截止期的约束。</w:t>
      </w:r>
    </w:p>
    <w:p w14:paraId="1F190706">
      <w:pPr>
        <w:pStyle w:val="8"/>
        <w:kinsoku w:val="0"/>
        <w:overflowPunct w:val="0"/>
        <w:spacing w:before="154" w:line="357" w:lineRule="auto"/>
        <w:ind w:right="117" w:firstLine="480"/>
        <w:rPr>
          <w:rFonts w:hint="default"/>
          <w:color w:val="auto"/>
        </w:rPr>
      </w:pPr>
      <w:r>
        <w:rPr>
          <w:color w:val="auto"/>
        </w:rPr>
        <w:t>10.4</w:t>
      </w:r>
      <w:r>
        <w:rPr>
          <w:color w:val="auto"/>
          <w:spacing w:val="-91"/>
        </w:rPr>
        <w:t xml:space="preserve"> </w:t>
      </w:r>
      <w:r>
        <w:rPr>
          <w:color w:val="auto"/>
        </w:rPr>
        <w:t xml:space="preserve">采购代理机构对招标文件作出的澄清、修改在政采云平台内进行披露， </w:t>
      </w:r>
      <w:r>
        <w:rPr>
          <w:color w:val="auto"/>
          <w:spacing w:val="-6"/>
        </w:rPr>
        <w:t>请</w:t>
      </w:r>
      <w:r>
        <w:rPr>
          <w:rFonts w:hint="eastAsia"/>
          <w:color w:val="auto"/>
          <w:spacing w:val="-6"/>
          <w:lang w:eastAsia="zh-CN"/>
        </w:rPr>
        <w:t>供应商</w:t>
      </w:r>
      <w:r>
        <w:rPr>
          <w:color w:val="auto"/>
          <w:spacing w:val="-6"/>
        </w:rPr>
        <w:t>及时关注并获取相关资料。因登记有误、线路故障或其它任何意外情形，</w:t>
      </w:r>
      <w:r>
        <w:rPr>
          <w:color w:val="auto"/>
        </w:rPr>
        <w:t xml:space="preserve"> </w:t>
      </w:r>
      <w:r>
        <w:rPr>
          <w:color w:val="auto"/>
          <w:spacing w:val="-3"/>
        </w:rPr>
        <w:t>导致</w:t>
      </w:r>
      <w:r>
        <w:rPr>
          <w:rFonts w:hint="eastAsia"/>
          <w:color w:val="auto"/>
          <w:spacing w:val="-3"/>
          <w:lang w:eastAsia="zh-CN"/>
        </w:rPr>
        <w:t>供应商</w:t>
      </w:r>
      <w:r>
        <w:rPr>
          <w:color w:val="auto"/>
          <w:spacing w:val="-3"/>
        </w:rPr>
        <w:t>未及时获取的，采购代理机构不因此承担任何责任，且有关的招标活</w:t>
      </w:r>
      <w:r>
        <w:rPr>
          <w:color w:val="auto"/>
          <w:spacing w:val="-109"/>
        </w:rPr>
        <w:t xml:space="preserve"> </w:t>
      </w:r>
      <w:r>
        <w:rPr>
          <w:color w:val="auto"/>
          <w:spacing w:val="-3"/>
        </w:rPr>
        <w:t>动继续有效地进行。当招标文件的澄清、修改及进行其他答复等就同一内容的表</w:t>
      </w:r>
      <w:r>
        <w:rPr>
          <w:color w:val="auto"/>
          <w:spacing w:val="-109"/>
        </w:rPr>
        <w:t xml:space="preserve"> </w:t>
      </w:r>
      <w:r>
        <w:rPr>
          <w:color w:val="auto"/>
        </w:rPr>
        <w:t>述不一致时，以最后发布的内容为准。</w:t>
      </w:r>
    </w:p>
    <w:p w14:paraId="5B4F9F59">
      <w:pPr>
        <w:pStyle w:val="8"/>
        <w:kinsoku w:val="0"/>
        <w:overflowPunct w:val="0"/>
        <w:spacing w:line="357" w:lineRule="auto"/>
        <w:ind w:right="117" w:firstLine="480"/>
        <w:rPr>
          <w:rFonts w:hint="default"/>
          <w:color w:val="auto"/>
        </w:rPr>
      </w:pPr>
      <w:r>
        <w:rPr>
          <w:color w:val="auto"/>
          <w:spacing w:val="-3"/>
        </w:rPr>
        <w:t>上述澄清、修改在交易平台上发布的同时，交易平台将通过第三方短信群发</w:t>
      </w:r>
      <w:r>
        <w:rPr>
          <w:color w:val="auto"/>
        </w:rPr>
        <w:t xml:space="preserve"> </w:t>
      </w:r>
      <w:r>
        <w:rPr>
          <w:color w:val="auto"/>
          <w:spacing w:val="-6"/>
        </w:rPr>
        <w:t>方式提醒</w:t>
      </w:r>
      <w:r>
        <w:rPr>
          <w:rFonts w:hint="eastAsia"/>
          <w:color w:val="auto"/>
          <w:spacing w:val="-6"/>
          <w:lang w:eastAsia="zh-CN"/>
        </w:rPr>
        <w:t>供应商</w:t>
      </w:r>
      <w:r>
        <w:rPr>
          <w:color w:val="auto"/>
          <w:spacing w:val="-6"/>
        </w:rPr>
        <w:t>进行查询。此短信仅系友情提示，并不具有任何约束性和必要性，</w:t>
      </w:r>
      <w:r>
        <w:rPr>
          <w:color w:val="auto"/>
        </w:rPr>
        <w:t xml:space="preserve"> 采购代理机构不承担</w:t>
      </w:r>
      <w:r>
        <w:rPr>
          <w:rFonts w:hint="eastAsia"/>
          <w:color w:val="auto"/>
          <w:lang w:eastAsia="zh-CN"/>
        </w:rPr>
        <w:t>供应商</w:t>
      </w:r>
      <w:r>
        <w:rPr>
          <w:color w:val="auto"/>
        </w:rPr>
        <w:t>未收到短信而引起的一切后果和法律责任。</w:t>
      </w:r>
    </w:p>
    <w:p w14:paraId="4A77DF14">
      <w:pPr>
        <w:pStyle w:val="8"/>
        <w:kinsoku w:val="0"/>
        <w:overflowPunct w:val="0"/>
        <w:spacing w:line="357" w:lineRule="auto"/>
        <w:ind w:right="237" w:firstLine="480"/>
        <w:rPr>
          <w:rFonts w:hint="default"/>
          <w:color w:val="auto"/>
        </w:rPr>
      </w:pPr>
      <w:r>
        <w:rPr>
          <w:color w:val="auto"/>
        </w:rPr>
        <w:t>10.5</w:t>
      </w:r>
      <w:r>
        <w:rPr>
          <w:color w:val="auto"/>
          <w:spacing w:val="-51"/>
        </w:rPr>
        <w:t xml:space="preserve"> </w:t>
      </w:r>
      <w:r>
        <w:rPr>
          <w:color w:val="auto"/>
          <w:spacing w:val="2"/>
        </w:rPr>
        <w:t>澄清、修改文件发出后，</w:t>
      </w:r>
      <w:r>
        <w:rPr>
          <w:rFonts w:hint="eastAsia"/>
          <w:color w:val="auto"/>
          <w:spacing w:val="2"/>
          <w:lang w:eastAsia="zh-CN"/>
        </w:rPr>
        <w:t>供应商</w:t>
      </w:r>
      <w:r>
        <w:rPr>
          <w:color w:val="auto"/>
          <w:spacing w:val="2"/>
        </w:rPr>
        <w:t>必须使用最新的答疑、澄清文件制作</w:t>
      </w:r>
      <w:r>
        <w:rPr>
          <w:color w:val="auto"/>
        </w:rPr>
        <w:t xml:space="preserve"> 电子投标文件，否则将无法完成上传。</w:t>
      </w:r>
    </w:p>
    <w:p w14:paraId="67C374AC">
      <w:pPr>
        <w:pStyle w:val="8"/>
        <w:kinsoku w:val="0"/>
        <w:overflowPunct w:val="0"/>
        <w:spacing w:line="357" w:lineRule="auto"/>
        <w:ind w:right="117" w:firstLine="480"/>
        <w:rPr>
          <w:rFonts w:hint="default"/>
          <w:color w:val="auto"/>
        </w:rPr>
      </w:pPr>
      <w:r>
        <w:rPr>
          <w:color w:val="auto"/>
        </w:rPr>
        <w:t>10.6采购人以</w:t>
      </w:r>
      <w:r>
        <w:rPr>
          <w:rFonts w:hint="eastAsia"/>
          <w:color w:val="auto"/>
          <w:lang w:eastAsia="zh-CN"/>
        </w:rPr>
        <w:t>供应商</w:t>
      </w:r>
      <w:r>
        <w:rPr>
          <w:color w:val="auto"/>
        </w:rPr>
        <w:t>须知前附表规定的形式修改招标文件，并通知所有获取采购文件的</w:t>
      </w:r>
      <w:r>
        <w:rPr>
          <w:rFonts w:hint="eastAsia"/>
          <w:color w:val="auto"/>
          <w:lang w:eastAsia="zh-CN"/>
        </w:rPr>
        <w:t>供应商</w:t>
      </w:r>
      <w:r>
        <w:rPr>
          <w:color w:val="auto"/>
        </w:rPr>
        <w:t>。修改招标文件的时间距规定的投标截止时间不足 15 日的，并且修改内容可能影响投标文件编制的，将相应延长投标截止时间。</w:t>
      </w:r>
    </w:p>
    <w:p w14:paraId="35A5CEAB">
      <w:pPr>
        <w:pStyle w:val="8"/>
        <w:kinsoku w:val="0"/>
        <w:overflowPunct w:val="0"/>
        <w:spacing w:line="357" w:lineRule="auto"/>
        <w:ind w:right="237" w:firstLine="480"/>
        <w:rPr>
          <w:rFonts w:hint="default"/>
          <w:color w:val="auto"/>
        </w:rPr>
      </w:pPr>
      <w:r>
        <w:rPr>
          <w:color w:val="auto"/>
        </w:rPr>
        <w:t xml:space="preserve">10.7 </w:t>
      </w:r>
      <w:r>
        <w:rPr>
          <w:rFonts w:hint="eastAsia"/>
          <w:color w:val="auto"/>
          <w:lang w:eastAsia="zh-CN"/>
        </w:rPr>
        <w:t>供应商</w:t>
      </w:r>
      <w:r>
        <w:rPr>
          <w:color w:val="auto"/>
        </w:rPr>
        <w:t>或者其他利害关系人对招标文件有异议的，应当在投标截止时间 10 日前以书面形式提出。采购人将在收到异议之日起 3 日内作出答复；作出答复前，将暂停招标投标活动。</w:t>
      </w:r>
    </w:p>
    <w:p w14:paraId="62BA551A">
      <w:pPr>
        <w:pStyle w:val="6"/>
        <w:kinsoku w:val="0"/>
        <w:overflowPunct w:val="0"/>
        <w:spacing w:before="0" w:line="650" w:lineRule="atLeast"/>
        <w:ind w:right="5292"/>
        <w:rPr>
          <w:rFonts w:hint="default"/>
          <w:color w:val="auto"/>
        </w:rPr>
      </w:pPr>
      <w:bookmarkStart w:id="34" w:name="三、投标文件"/>
      <w:bookmarkEnd w:id="34"/>
      <w:r>
        <w:rPr>
          <w:color w:val="auto"/>
        </w:rPr>
        <w:t>三、投标文件</w:t>
      </w:r>
    </w:p>
    <w:p w14:paraId="12856550">
      <w:pPr>
        <w:pStyle w:val="6"/>
        <w:kinsoku w:val="0"/>
        <w:overflowPunct w:val="0"/>
        <w:spacing w:before="0" w:line="650" w:lineRule="atLeast"/>
        <w:ind w:right="5292"/>
        <w:rPr>
          <w:rFonts w:hint="default"/>
          <w:b w:val="0"/>
          <w:color w:val="auto"/>
        </w:rPr>
      </w:pPr>
      <w:r>
        <w:rPr>
          <w:color w:val="auto"/>
          <w:w w:val="99"/>
        </w:rPr>
        <w:t xml:space="preserve"> </w:t>
      </w:r>
      <w:r>
        <w:rPr>
          <w:color w:val="auto"/>
        </w:rPr>
        <w:t>11.投标文件的语言及计量位</w:t>
      </w:r>
    </w:p>
    <w:p w14:paraId="3C7AE296">
      <w:pPr>
        <w:pStyle w:val="8"/>
        <w:kinsoku w:val="0"/>
        <w:overflowPunct w:val="0"/>
        <w:spacing w:before="154" w:line="357" w:lineRule="auto"/>
        <w:ind w:right="237" w:firstLine="480"/>
        <w:rPr>
          <w:rFonts w:hint="default"/>
          <w:color w:val="auto"/>
        </w:rPr>
      </w:pPr>
      <w:r>
        <w:rPr>
          <w:color w:val="auto"/>
        </w:rPr>
        <w:t>11.1</w:t>
      </w:r>
      <w:r>
        <w:rPr>
          <w:color w:val="auto"/>
          <w:spacing w:val="-51"/>
        </w:rPr>
        <w:t xml:space="preserve"> </w:t>
      </w:r>
      <w:r>
        <w:rPr>
          <w:rFonts w:hint="eastAsia"/>
          <w:color w:val="auto"/>
          <w:spacing w:val="2"/>
          <w:lang w:eastAsia="zh-CN"/>
        </w:rPr>
        <w:t>供应商</w:t>
      </w:r>
      <w:r>
        <w:rPr>
          <w:color w:val="auto"/>
          <w:spacing w:val="2"/>
        </w:rPr>
        <w:t>提交的投标文件（包括技术文件和资料、图纸中的说明）以及</w:t>
      </w:r>
      <w:r>
        <w:rPr>
          <w:color w:val="auto"/>
        </w:rPr>
        <w:t xml:space="preserve"> </w:t>
      </w:r>
      <w:r>
        <w:rPr>
          <w:rFonts w:hint="eastAsia"/>
          <w:color w:val="auto"/>
          <w:lang w:eastAsia="zh-CN"/>
        </w:rPr>
        <w:t>供应商</w:t>
      </w:r>
      <w:r>
        <w:rPr>
          <w:color w:val="auto"/>
        </w:rPr>
        <w:t>与采购代理机构就有关投标的所有来往函电均应使用中文简体字。</w:t>
      </w:r>
    </w:p>
    <w:p w14:paraId="7B7BC73E">
      <w:pPr>
        <w:pStyle w:val="8"/>
        <w:kinsoku w:val="0"/>
        <w:overflowPunct w:val="0"/>
        <w:spacing w:line="357" w:lineRule="auto"/>
        <w:ind w:right="117" w:firstLine="480"/>
        <w:rPr>
          <w:rFonts w:hint="default"/>
          <w:color w:val="auto"/>
        </w:rPr>
      </w:pPr>
      <w:r>
        <w:rPr>
          <w:color w:val="auto"/>
        </w:rPr>
        <w:t>11.2</w:t>
      </w:r>
      <w:r>
        <w:rPr>
          <w:color w:val="auto"/>
          <w:spacing w:val="-55"/>
        </w:rPr>
        <w:t xml:space="preserve"> </w:t>
      </w:r>
      <w:r>
        <w:rPr>
          <w:color w:val="auto"/>
          <w:spacing w:val="2"/>
        </w:rPr>
        <w:t>原版为外文的证书类文件，以及由外国人作出的本人签名、外国公司</w:t>
      </w:r>
      <w:r>
        <w:rPr>
          <w:color w:val="auto"/>
        </w:rPr>
        <w:t xml:space="preserve"> 的名称或外国印章等可以是外文，但应当提供中文翻译文件并加盖</w:t>
      </w:r>
      <w:r>
        <w:rPr>
          <w:rFonts w:hint="eastAsia"/>
          <w:color w:val="auto"/>
          <w:lang w:eastAsia="zh-CN"/>
        </w:rPr>
        <w:t>供应商</w:t>
      </w:r>
      <w:r>
        <w:rPr>
          <w:color w:val="auto"/>
        </w:rPr>
        <w:t xml:space="preserve">公章。 </w:t>
      </w:r>
      <w:r>
        <w:rPr>
          <w:color w:val="auto"/>
          <w:spacing w:val="3"/>
        </w:rPr>
        <w:t>必要时评标委员会可以要求</w:t>
      </w:r>
      <w:r>
        <w:rPr>
          <w:rFonts w:hint="eastAsia"/>
          <w:color w:val="auto"/>
          <w:spacing w:val="3"/>
          <w:lang w:eastAsia="zh-CN"/>
        </w:rPr>
        <w:t>供应商</w:t>
      </w:r>
      <w:r>
        <w:rPr>
          <w:color w:val="auto"/>
          <w:spacing w:val="3"/>
        </w:rPr>
        <w:t>提供附有公证书的中文翻译文件或者与原版</w:t>
      </w:r>
      <w:r>
        <w:rPr>
          <w:color w:val="auto"/>
          <w:spacing w:val="-101"/>
        </w:rPr>
        <w:t xml:space="preserve"> </w:t>
      </w:r>
      <w:r>
        <w:rPr>
          <w:color w:val="auto"/>
          <w:spacing w:val="-3"/>
        </w:rPr>
        <w:t>文件签章相一致的中文翻译文件。原版为外文的证书类、证明类文件，与</w:t>
      </w:r>
      <w:r>
        <w:rPr>
          <w:rFonts w:hint="eastAsia"/>
          <w:color w:val="auto"/>
          <w:spacing w:val="-3"/>
          <w:lang w:eastAsia="zh-CN"/>
        </w:rPr>
        <w:t>供应商</w:t>
      </w:r>
      <w:r>
        <w:rPr>
          <w:color w:val="auto"/>
          <w:spacing w:val="-111"/>
        </w:rPr>
        <w:t xml:space="preserve"> </w:t>
      </w:r>
      <w:r>
        <w:rPr>
          <w:color w:val="auto"/>
        </w:rPr>
        <w:t>名称或其他实际情况不符的，</w:t>
      </w:r>
      <w:r>
        <w:rPr>
          <w:rFonts w:hint="eastAsia"/>
          <w:color w:val="auto"/>
          <w:lang w:eastAsia="zh-CN"/>
        </w:rPr>
        <w:t>供应商</w:t>
      </w:r>
      <w:r>
        <w:rPr>
          <w:color w:val="auto"/>
        </w:rPr>
        <w:t>应当提供相关证明文件。</w:t>
      </w:r>
    </w:p>
    <w:p w14:paraId="509C893F">
      <w:pPr>
        <w:pStyle w:val="8"/>
        <w:kinsoku w:val="0"/>
        <w:overflowPunct w:val="0"/>
        <w:spacing w:line="357" w:lineRule="auto"/>
        <w:ind w:right="237" w:firstLine="480"/>
        <w:rPr>
          <w:rFonts w:hint="default"/>
          <w:color w:val="auto"/>
        </w:rPr>
      </w:pPr>
      <w:r>
        <w:rPr>
          <w:color w:val="auto"/>
        </w:rPr>
        <w:t>11.3</w:t>
      </w:r>
      <w:r>
        <w:rPr>
          <w:color w:val="auto"/>
          <w:spacing w:val="-51"/>
        </w:rPr>
        <w:t xml:space="preserve"> </w:t>
      </w:r>
      <w:r>
        <w:rPr>
          <w:color w:val="auto"/>
          <w:spacing w:val="2"/>
        </w:rPr>
        <w:t>除非招标文件另有规定，投标文件所使用的计量单位，应使用国家法</w:t>
      </w:r>
      <w:r>
        <w:rPr>
          <w:color w:val="auto"/>
        </w:rPr>
        <w:t xml:space="preserve"> 定计量单位。</w:t>
      </w:r>
    </w:p>
    <w:p w14:paraId="25D5A797">
      <w:pPr>
        <w:pStyle w:val="8"/>
        <w:kinsoku w:val="0"/>
        <w:overflowPunct w:val="0"/>
        <w:spacing w:line="357" w:lineRule="auto"/>
        <w:ind w:right="237" w:firstLine="480"/>
        <w:rPr>
          <w:rFonts w:hint="default"/>
          <w:color w:val="auto"/>
        </w:rPr>
      </w:pPr>
      <w:r>
        <w:rPr>
          <w:color w:val="auto"/>
        </w:rPr>
        <w:t>11.4</w:t>
      </w:r>
      <w:r>
        <w:rPr>
          <w:color w:val="auto"/>
          <w:spacing w:val="-51"/>
        </w:rPr>
        <w:t xml:space="preserve"> </w:t>
      </w:r>
      <w:r>
        <w:rPr>
          <w:color w:val="auto"/>
          <w:spacing w:val="2"/>
        </w:rPr>
        <w:t>对违反上述规定情形的，评标委员会有权要求</w:t>
      </w:r>
      <w:r>
        <w:rPr>
          <w:rFonts w:hint="eastAsia"/>
          <w:color w:val="auto"/>
          <w:spacing w:val="2"/>
          <w:lang w:eastAsia="zh-CN"/>
        </w:rPr>
        <w:t>供应商</w:t>
      </w:r>
      <w:r>
        <w:rPr>
          <w:color w:val="auto"/>
          <w:spacing w:val="2"/>
        </w:rPr>
        <w:t>限期提供相应文</w:t>
      </w:r>
      <w:r>
        <w:rPr>
          <w:color w:val="auto"/>
        </w:rPr>
        <w:t xml:space="preserve"> 件或决定对其投标予以拒绝。</w:t>
      </w:r>
    </w:p>
    <w:p w14:paraId="13A8DBED">
      <w:pPr>
        <w:pStyle w:val="8"/>
        <w:kinsoku w:val="0"/>
        <w:overflowPunct w:val="0"/>
        <w:spacing w:line="357" w:lineRule="auto"/>
        <w:ind w:right="237" w:firstLine="480"/>
        <w:rPr>
          <w:rFonts w:hint="default"/>
          <w:color w:val="auto"/>
        </w:rPr>
      </w:pPr>
      <w:r>
        <w:rPr>
          <w:color w:val="auto"/>
        </w:rPr>
        <w:t>11.5</w:t>
      </w:r>
      <w:r>
        <w:rPr>
          <w:color w:val="auto"/>
          <w:spacing w:val="-51"/>
        </w:rPr>
        <w:t xml:space="preserve"> </w:t>
      </w:r>
      <w:r>
        <w:rPr>
          <w:color w:val="auto"/>
          <w:spacing w:val="2"/>
        </w:rPr>
        <w:t>电报、电话、传真形式的投标概不接受。</w:t>
      </w:r>
      <w:r>
        <w:rPr>
          <w:rFonts w:hint="eastAsia"/>
          <w:color w:val="auto"/>
          <w:spacing w:val="2"/>
          <w:lang w:eastAsia="zh-CN"/>
        </w:rPr>
        <w:t>供应商</w:t>
      </w:r>
      <w:r>
        <w:rPr>
          <w:color w:val="auto"/>
          <w:spacing w:val="2"/>
        </w:rPr>
        <w:t>的投标文件一律不予</w:t>
      </w:r>
      <w:r>
        <w:rPr>
          <w:color w:val="auto"/>
        </w:rPr>
        <w:t xml:space="preserve"> 退还。</w:t>
      </w:r>
    </w:p>
    <w:p w14:paraId="38596CF8">
      <w:pPr>
        <w:pStyle w:val="6"/>
        <w:kinsoku w:val="0"/>
        <w:overflowPunct w:val="0"/>
        <w:ind w:right="237"/>
        <w:rPr>
          <w:rFonts w:hint="default"/>
          <w:color w:val="auto"/>
        </w:rPr>
      </w:pPr>
      <w:r>
        <w:rPr>
          <w:color w:val="auto"/>
        </w:rPr>
        <w:t>12.投标文件组成及编制</w:t>
      </w:r>
    </w:p>
    <w:p w14:paraId="4A3D08D1">
      <w:pPr>
        <w:pStyle w:val="8"/>
        <w:kinsoku w:val="0"/>
        <w:overflowPunct w:val="0"/>
        <w:spacing w:before="2" w:line="357" w:lineRule="auto"/>
        <w:ind w:left="600" w:right="237"/>
        <w:rPr>
          <w:rFonts w:hint="default"/>
          <w:color w:val="auto"/>
          <w:spacing w:val="3"/>
        </w:rPr>
      </w:pPr>
      <w:r>
        <w:rPr>
          <w:color w:val="auto"/>
        </w:rPr>
        <w:t>12.1</w:t>
      </w:r>
      <w:r>
        <w:rPr>
          <w:color w:val="auto"/>
          <w:spacing w:val="-60"/>
        </w:rPr>
        <w:t xml:space="preserve"> </w:t>
      </w:r>
      <w:r>
        <w:rPr>
          <w:color w:val="auto"/>
        </w:rPr>
        <w:t xml:space="preserve">投标文件分为资格审查资料、商务文件、技术文件和服务文件。 </w:t>
      </w:r>
      <w:r>
        <w:rPr>
          <w:color w:val="auto"/>
          <w:spacing w:val="3"/>
        </w:rPr>
        <w:t>商务文件指</w:t>
      </w:r>
      <w:r>
        <w:rPr>
          <w:rFonts w:hint="eastAsia"/>
          <w:color w:val="auto"/>
          <w:spacing w:val="3"/>
          <w:lang w:eastAsia="zh-CN"/>
        </w:rPr>
        <w:t>供应商</w:t>
      </w:r>
      <w:r>
        <w:rPr>
          <w:color w:val="auto"/>
          <w:spacing w:val="3"/>
        </w:rPr>
        <w:t>提交的证明其有资格参加投标和中标后有能力履行合同</w:t>
      </w:r>
    </w:p>
    <w:p w14:paraId="5BDDD055">
      <w:pPr>
        <w:pStyle w:val="8"/>
        <w:kinsoku w:val="0"/>
        <w:overflowPunct w:val="0"/>
        <w:spacing w:line="357" w:lineRule="auto"/>
        <w:ind w:right="117"/>
        <w:rPr>
          <w:rFonts w:hint="default"/>
          <w:color w:val="auto"/>
        </w:rPr>
      </w:pPr>
      <w:r>
        <w:rPr>
          <w:color w:val="auto"/>
          <w:spacing w:val="-3"/>
        </w:rPr>
        <w:t>的文件。技术和服务文件指</w:t>
      </w:r>
      <w:r>
        <w:rPr>
          <w:rFonts w:hint="eastAsia"/>
          <w:color w:val="auto"/>
          <w:spacing w:val="-3"/>
          <w:lang w:eastAsia="zh-CN"/>
        </w:rPr>
        <w:t>供应商</w:t>
      </w:r>
      <w:r>
        <w:rPr>
          <w:color w:val="auto"/>
          <w:spacing w:val="-3"/>
        </w:rPr>
        <w:t>提交的能够证明其提供的货物及服务符合招标</w:t>
      </w:r>
      <w:r>
        <w:rPr>
          <w:color w:val="auto"/>
          <w:spacing w:val="-109"/>
        </w:rPr>
        <w:t xml:space="preserve"> </w:t>
      </w:r>
      <w:r>
        <w:rPr>
          <w:color w:val="auto"/>
          <w:spacing w:val="-6"/>
        </w:rPr>
        <w:t>文件规定的文件。本次招标，</w:t>
      </w:r>
      <w:r>
        <w:rPr>
          <w:rFonts w:hint="eastAsia"/>
          <w:color w:val="auto"/>
          <w:spacing w:val="-6"/>
          <w:lang w:eastAsia="zh-CN"/>
        </w:rPr>
        <w:t>供应商</w:t>
      </w:r>
      <w:r>
        <w:rPr>
          <w:color w:val="auto"/>
          <w:spacing w:val="-6"/>
        </w:rPr>
        <w:t>须按招标文件第二部分“</w:t>
      </w:r>
      <w:r>
        <w:rPr>
          <w:rFonts w:hint="eastAsia"/>
          <w:color w:val="auto"/>
          <w:spacing w:val="-6"/>
          <w:lang w:eastAsia="zh-CN"/>
        </w:rPr>
        <w:t>供应商</w:t>
      </w:r>
      <w:r>
        <w:rPr>
          <w:color w:val="auto"/>
          <w:spacing w:val="-6"/>
        </w:rPr>
        <w:t>须知前附表”</w:t>
      </w:r>
      <w:r>
        <w:rPr>
          <w:color w:val="auto"/>
        </w:rPr>
        <w:t xml:space="preserve"> </w:t>
      </w:r>
      <w:r>
        <w:rPr>
          <w:color w:val="auto"/>
          <w:spacing w:val="-3"/>
        </w:rPr>
        <w:t>中规定提交资格审查资料、商务文件、技术文件和服务文件，其中加★项目</w:t>
      </w:r>
      <w:r>
        <w:rPr>
          <w:rFonts w:hint="eastAsia"/>
          <w:color w:val="auto"/>
          <w:spacing w:val="-3"/>
          <w:lang w:eastAsia="zh-CN"/>
        </w:rPr>
        <w:t>（</w:t>
      </w:r>
      <w:r>
        <w:rPr>
          <w:color w:val="auto"/>
          <w:spacing w:val="-3"/>
        </w:rPr>
        <w:t>技术文件和服务文件</w:t>
      </w:r>
      <w:r>
        <w:rPr>
          <w:rFonts w:hint="eastAsia"/>
          <w:color w:val="auto"/>
          <w:spacing w:val="-3"/>
          <w:lang w:eastAsia="zh-CN"/>
        </w:rPr>
        <w:t>除外）</w:t>
      </w:r>
      <w:r>
        <w:rPr>
          <w:color w:val="auto"/>
          <w:spacing w:val="-3"/>
        </w:rPr>
        <w:t>若有</w:t>
      </w:r>
      <w:r>
        <w:rPr>
          <w:color w:val="auto"/>
          <w:spacing w:val="-111"/>
        </w:rPr>
        <w:t xml:space="preserve"> </w:t>
      </w:r>
      <w:r>
        <w:rPr>
          <w:color w:val="auto"/>
        </w:rPr>
        <w:t>缺失或无效，将导致投标被拒绝且不允许在开标后补正。</w:t>
      </w:r>
    </w:p>
    <w:p w14:paraId="340C2D71">
      <w:pPr>
        <w:pStyle w:val="8"/>
        <w:kinsoku w:val="0"/>
        <w:overflowPunct w:val="0"/>
        <w:spacing w:line="357" w:lineRule="auto"/>
        <w:ind w:right="237" w:firstLine="480"/>
        <w:jc w:val="both"/>
        <w:rPr>
          <w:rFonts w:hint="default"/>
          <w:color w:val="auto"/>
        </w:rPr>
      </w:pPr>
      <w:r>
        <w:rPr>
          <w:color w:val="auto"/>
        </w:rPr>
        <w:t>12.2</w:t>
      </w:r>
      <w:r>
        <w:rPr>
          <w:color w:val="auto"/>
          <w:spacing w:val="-51"/>
        </w:rPr>
        <w:t xml:space="preserve"> </w:t>
      </w:r>
      <w:r>
        <w:rPr>
          <w:rFonts w:hint="eastAsia"/>
          <w:color w:val="auto"/>
          <w:spacing w:val="2"/>
          <w:lang w:eastAsia="zh-CN"/>
        </w:rPr>
        <w:t>供应商</w:t>
      </w:r>
      <w:r>
        <w:rPr>
          <w:color w:val="auto"/>
          <w:spacing w:val="2"/>
        </w:rPr>
        <w:t>递交的投标文件及相关要求按照招标文件第二部分“</w:t>
      </w:r>
      <w:r>
        <w:rPr>
          <w:rFonts w:hint="eastAsia"/>
          <w:color w:val="auto"/>
          <w:spacing w:val="2"/>
          <w:lang w:eastAsia="zh-CN"/>
        </w:rPr>
        <w:t>供应商</w:t>
      </w:r>
      <w:r>
        <w:rPr>
          <w:color w:val="auto"/>
          <w:spacing w:val="2"/>
        </w:rPr>
        <w:t>须</w:t>
      </w:r>
      <w:r>
        <w:rPr>
          <w:color w:val="auto"/>
        </w:rPr>
        <w:t xml:space="preserve"> 知前附表”中的规定。</w:t>
      </w:r>
    </w:p>
    <w:p w14:paraId="0822DD42">
      <w:pPr>
        <w:pStyle w:val="8"/>
        <w:kinsoku w:val="0"/>
        <w:overflowPunct w:val="0"/>
        <w:ind w:left="600" w:right="237"/>
        <w:rPr>
          <w:rFonts w:hint="default"/>
          <w:color w:val="auto"/>
        </w:rPr>
      </w:pPr>
      <w:r>
        <w:rPr>
          <w:color w:val="auto"/>
        </w:rPr>
        <w:t>12.2.1</w:t>
      </w:r>
      <w:r>
        <w:rPr>
          <w:color w:val="auto"/>
          <w:spacing w:val="-60"/>
        </w:rPr>
        <w:t xml:space="preserve"> </w:t>
      </w:r>
      <w:r>
        <w:rPr>
          <w:color w:val="auto"/>
        </w:rPr>
        <w:t>电子投标文件的编制</w:t>
      </w:r>
    </w:p>
    <w:p w14:paraId="75EBCB4B">
      <w:pPr>
        <w:pStyle w:val="8"/>
        <w:kinsoku w:val="0"/>
        <w:overflowPunct w:val="0"/>
        <w:spacing w:before="154" w:line="357" w:lineRule="auto"/>
        <w:ind w:right="237" w:firstLine="480"/>
        <w:jc w:val="both"/>
        <w:rPr>
          <w:rFonts w:hint="default"/>
          <w:color w:val="auto"/>
        </w:rPr>
      </w:pPr>
      <w:r>
        <w:rPr>
          <w:color w:val="auto"/>
        </w:rPr>
        <w:t>12.2.1.1</w:t>
      </w:r>
      <w:r>
        <w:rPr>
          <w:color w:val="auto"/>
          <w:spacing w:val="-48"/>
        </w:rPr>
        <w:t xml:space="preserve"> </w:t>
      </w:r>
      <w:r>
        <w:rPr>
          <w:color w:val="auto"/>
          <w:spacing w:val="2"/>
        </w:rPr>
        <w:t>电子投标文件使用政采云平台提供的投标文件制作工具以及招标</w:t>
      </w:r>
      <w:r>
        <w:rPr>
          <w:color w:val="auto"/>
        </w:rPr>
        <w:t xml:space="preserve"> </w:t>
      </w:r>
      <w:r>
        <w:rPr>
          <w:color w:val="auto"/>
          <w:spacing w:val="-3"/>
        </w:rPr>
        <w:t>文件要求进行制作编制。投标文件制作时，不同内容按标签提示制作导入，按照</w:t>
      </w:r>
      <w:r>
        <w:rPr>
          <w:color w:val="auto"/>
          <w:spacing w:val="-111"/>
        </w:rPr>
        <w:t xml:space="preserve"> </w:t>
      </w:r>
      <w:r>
        <w:rPr>
          <w:color w:val="auto"/>
        </w:rPr>
        <w:t>招标文件中明确的投标文件目录和格式进行编制，保证目录清晰、内容完整。</w:t>
      </w:r>
    </w:p>
    <w:p w14:paraId="7DC87397">
      <w:pPr>
        <w:pStyle w:val="8"/>
        <w:kinsoku w:val="0"/>
        <w:overflowPunct w:val="0"/>
        <w:spacing w:line="357" w:lineRule="auto"/>
        <w:ind w:right="237" w:firstLine="480"/>
        <w:jc w:val="both"/>
        <w:rPr>
          <w:rFonts w:hint="default"/>
          <w:color w:val="auto"/>
        </w:rPr>
      </w:pPr>
      <w:r>
        <w:rPr>
          <w:color w:val="auto"/>
        </w:rPr>
        <w:t>12.2.1.2</w:t>
      </w:r>
      <w:r>
        <w:rPr>
          <w:color w:val="auto"/>
          <w:spacing w:val="-48"/>
        </w:rPr>
        <w:t xml:space="preserve"> </w:t>
      </w:r>
      <w:r>
        <w:rPr>
          <w:color w:val="auto"/>
          <w:spacing w:val="2"/>
        </w:rPr>
        <w:t>电子投标文件须使用</w:t>
      </w:r>
      <w:r>
        <w:rPr>
          <w:rFonts w:hint="eastAsia"/>
          <w:color w:val="auto"/>
          <w:spacing w:val="2"/>
          <w:lang w:eastAsia="zh-CN"/>
        </w:rPr>
        <w:t>供应商</w:t>
      </w:r>
      <w:r>
        <w:rPr>
          <w:color w:val="auto"/>
          <w:spacing w:val="2"/>
        </w:rPr>
        <w:t>公章的电子签章以及法定代表人的电</w:t>
      </w:r>
      <w:r>
        <w:rPr>
          <w:color w:val="auto"/>
        </w:rPr>
        <w:t xml:space="preserve"> 子签章。若无电子签章，则视为无效投标。</w:t>
      </w:r>
    </w:p>
    <w:p w14:paraId="088FB902">
      <w:pPr>
        <w:pStyle w:val="8"/>
        <w:kinsoku w:val="0"/>
        <w:overflowPunct w:val="0"/>
        <w:spacing w:before="122" w:line="364" w:lineRule="auto"/>
        <w:ind w:right="145" w:firstLine="480"/>
        <w:jc w:val="both"/>
        <w:rPr>
          <w:rFonts w:hint="default" w:hAnsi="Segoe UI"/>
          <w:color w:val="auto"/>
        </w:rPr>
      </w:pPr>
      <w:r>
        <w:rPr>
          <w:rFonts w:hint="default" w:ascii="Segoe UI" w:hAnsi="Segoe UI" w:cs="Segoe UI"/>
          <w:color w:val="auto"/>
        </w:rPr>
        <w:t>1</w:t>
      </w:r>
      <w:r>
        <w:rPr>
          <w:rFonts w:hAnsi="Segoe UI"/>
          <w:color w:val="auto"/>
        </w:rPr>
        <w:t>2.2.1.3</w:t>
      </w:r>
      <w:r>
        <w:rPr>
          <w:rFonts w:hAnsi="Segoe UI"/>
          <w:color w:val="auto"/>
          <w:spacing w:val="-56"/>
        </w:rPr>
        <w:t xml:space="preserve"> </w:t>
      </w:r>
      <w:r>
        <w:rPr>
          <w:rFonts w:hAnsi="Segoe UI"/>
          <w:color w:val="auto"/>
          <w:spacing w:val="2"/>
        </w:rPr>
        <w:t>电子招投标文件具有法律效力，与其他形式的招投标文件在内容</w:t>
      </w:r>
      <w:r>
        <w:rPr>
          <w:rFonts w:hAnsi="Segoe UI"/>
          <w:color w:val="auto"/>
        </w:rPr>
        <w:t xml:space="preserve"> </w:t>
      </w:r>
      <w:r>
        <w:rPr>
          <w:rFonts w:hAnsi="Segoe UI"/>
          <w:color w:val="auto"/>
          <w:spacing w:val="-3"/>
        </w:rPr>
        <w:t>和格式上等同，若投标文件与招标文件要求不一致，其内容影响中标结果时，责</w:t>
      </w:r>
      <w:r>
        <w:rPr>
          <w:rFonts w:hAnsi="Segoe UI"/>
          <w:color w:val="auto"/>
          <w:spacing w:val="-111"/>
        </w:rPr>
        <w:t xml:space="preserve"> </w:t>
      </w:r>
      <w:r>
        <w:rPr>
          <w:rFonts w:hAnsi="Segoe UI"/>
          <w:color w:val="auto"/>
          <w:spacing w:val="-3"/>
        </w:rPr>
        <w:t>任由</w:t>
      </w:r>
      <w:r>
        <w:rPr>
          <w:rFonts w:hint="eastAsia" w:hAnsi="Segoe UI"/>
          <w:color w:val="auto"/>
          <w:spacing w:val="-3"/>
          <w:lang w:eastAsia="zh-CN"/>
        </w:rPr>
        <w:t>供应商</w:t>
      </w:r>
      <w:r>
        <w:rPr>
          <w:rFonts w:hAnsi="Segoe UI"/>
          <w:color w:val="auto"/>
          <w:spacing w:val="-3"/>
        </w:rPr>
        <w:t>自行承担。</w:t>
      </w:r>
      <w:r>
        <w:rPr>
          <w:rFonts w:hint="eastAsia" w:hAnsi="Segoe UI"/>
          <w:color w:val="auto"/>
          <w:spacing w:val="-3"/>
          <w:lang w:eastAsia="zh-CN"/>
        </w:rPr>
        <w:t>供应商</w:t>
      </w:r>
      <w:r>
        <w:rPr>
          <w:rFonts w:hAnsi="Segoe UI"/>
          <w:color w:val="auto"/>
          <w:spacing w:val="-3"/>
        </w:rPr>
        <w:t>递交的电子投标文件因</w:t>
      </w:r>
      <w:r>
        <w:rPr>
          <w:rFonts w:hint="eastAsia" w:hAnsi="Segoe UI"/>
          <w:color w:val="auto"/>
          <w:spacing w:val="-3"/>
          <w:lang w:eastAsia="zh-CN"/>
        </w:rPr>
        <w:t>供应商</w:t>
      </w:r>
      <w:r>
        <w:rPr>
          <w:rFonts w:hAnsi="Segoe UI"/>
          <w:color w:val="auto"/>
          <w:spacing w:val="-3"/>
        </w:rPr>
        <w:t>自身原因而导致无法</w:t>
      </w:r>
      <w:r>
        <w:rPr>
          <w:rFonts w:hAnsi="Segoe UI"/>
          <w:color w:val="auto"/>
          <w:spacing w:val="-109"/>
        </w:rPr>
        <w:t xml:space="preserve"> </w:t>
      </w:r>
      <w:r>
        <w:rPr>
          <w:rFonts w:hAnsi="Segoe UI"/>
          <w:color w:val="auto"/>
        </w:rPr>
        <w:t>导入电子辅助评标系统，该投标文件视为无效投标文件，将导致其投标被拒绝。</w:t>
      </w:r>
    </w:p>
    <w:p w14:paraId="599B2EB5">
      <w:pPr>
        <w:pStyle w:val="8"/>
        <w:kinsoku w:val="0"/>
        <w:overflowPunct w:val="0"/>
        <w:spacing w:before="29" w:line="357" w:lineRule="auto"/>
        <w:ind w:right="237" w:firstLine="480"/>
        <w:jc w:val="both"/>
        <w:rPr>
          <w:rFonts w:hint="default"/>
          <w:color w:val="auto"/>
        </w:rPr>
      </w:pPr>
      <w:r>
        <w:rPr>
          <w:color w:val="auto"/>
        </w:rPr>
        <w:t>12.2.1.4</w:t>
      </w:r>
      <w:r>
        <w:rPr>
          <w:color w:val="auto"/>
          <w:spacing w:val="-48"/>
        </w:rPr>
        <w:t xml:space="preserve"> </w:t>
      </w:r>
      <w:r>
        <w:rPr>
          <w:color w:val="auto"/>
          <w:spacing w:val="2"/>
        </w:rPr>
        <w:t>电子投标文件制作工具在生成加密投标文件时，同时生成非加密</w:t>
      </w:r>
      <w:r>
        <w:rPr>
          <w:color w:val="auto"/>
        </w:rPr>
        <w:t xml:space="preserve"> </w:t>
      </w:r>
      <w:r>
        <w:rPr>
          <w:color w:val="auto"/>
          <w:spacing w:val="-3"/>
        </w:rPr>
        <w:t>投标文件一份。未加密的电子投标文件由</w:t>
      </w:r>
      <w:r>
        <w:rPr>
          <w:rFonts w:hint="eastAsia"/>
          <w:color w:val="auto"/>
          <w:spacing w:val="-3"/>
          <w:lang w:eastAsia="zh-CN"/>
        </w:rPr>
        <w:t>供应商</w:t>
      </w:r>
      <w:r>
        <w:rPr>
          <w:color w:val="auto"/>
          <w:spacing w:val="-3"/>
        </w:rPr>
        <w:t>使用光盘制作（</w:t>
      </w:r>
      <w:r>
        <w:rPr>
          <w:rFonts w:hint="eastAsia"/>
          <w:color w:val="auto"/>
          <w:spacing w:val="-3"/>
          <w:lang w:eastAsia="zh-CN"/>
        </w:rPr>
        <w:t>供应商</w:t>
      </w:r>
      <w:r>
        <w:rPr>
          <w:color w:val="auto"/>
          <w:spacing w:val="-3"/>
        </w:rPr>
        <w:t>须保证启</w:t>
      </w:r>
      <w:r>
        <w:rPr>
          <w:color w:val="auto"/>
          <w:spacing w:val="-109"/>
        </w:rPr>
        <w:t xml:space="preserve"> </w:t>
      </w:r>
      <w:r>
        <w:rPr>
          <w:color w:val="auto"/>
        </w:rPr>
        <w:t>用光盘时能正常读取）。</w:t>
      </w:r>
    </w:p>
    <w:p w14:paraId="0DAB0BF5">
      <w:pPr>
        <w:pStyle w:val="6"/>
        <w:kinsoku w:val="0"/>
        <w:overflowPunct w:val="0"/>
        <w:ind w:right="237"/>
        <w:rPr>
          <w:rFonts w:hint="default"/>
          <w:b w:val="0"/>
          <w:color w:val="auto"/>
        </w:rPr>
      </w:pPr>
      <w:r>
        <w:rPr>
          <w:color w:val="auto"/>
        </w:rPr>
        <w:t>13.投标报价</w:t>
      </w:r>
    </w:p>
    <w:p w14:paraId="05A9521A">
      <w:pPr>
        <w:pStyle w:val="8"/>
        <w:kinsoku w:val="0"/>
        <w:overflowPunct w:val="0"/>
        <w:spacing w:before="154" w:line="357" w:lineRule="auto"/>
        <w:ind w:right="237" w:firstLine="480"/>
        <w:jc w:val="both"/>
        <w:rPr>
          <w:rFonts w:hint="default"/>
          <w:color w:val="auto"/>
        </w:rPr>
      </w:pPr>
      <w:r>
        <w:rPr>
          <w:color w:val="auto"/>
        </w:rPr>
        <w:t>13.1</w:t>
      </w:r>
      <w:r>
        <w:rPr>
          <w:color w:val="auto"/>
          <w:spacing w:val="-51"/>
        </w:rPr>
        <w:t xml:space="preserve"> </w:t>
      </w:r>
      <w:r>
        <w:rPr>
          <w:color w:val="auto"/>
          <w:spacing w:val="2"/>
        </w:rPr>
        <w:t>所有投标报价均以人民币元为计算单位。只要投报了一个确定数额的</w:t>
      </w:r>
      <w:r>
        <w:rPr>
          <w:color w:val="auto"/>
        </w:rPr>
        <w:t xml:space="preserve"> </w:t>
      </w:r>
      <w:r>
        <w:rPr>
          <w:color w:val="auto"/>
          <w:spacing w:val="-3"/>
        </w:rPr>
        <w:t>总价，无论分项价格是否全部填报了相应的金额或免费字样，报价应被视为已经</w:t>
      </w:r>
      <w:r>
        <w:rPr>
          <w:color w:val="auto"/>
          <w:spacing w:val="-109"/>
        </w:rPr>
        <w:t xml:space="preserve"> </w:t>
      </w:r>
      <w:r>
        <w:rPr>
          <w:color w:val="auto"/>
          <w:spacing w:val="-3"/>
        </w:rPr>
        <w:t>包含了但并不限于各项购买货物及其运送、安装、调试、验收、保险和相关服务</w:t>
      </w:r>
      <w:r>
        <w:rPr>
          <w:color w:val="auto"/>
          <w:spacing w:val="-109"/>
        </w:rPr>
        <w:t xml:space="preserve"> </w:t>
      </w:r>
      <w:r>
        <w:rPr>
          <w:color w:val="auto"/>
          <w:spacing w:val="-3"/>
        </w:rPr>
        <w:t>等的费用和所需缴纳的所有价格、税、费。在其他情况下，由于分项报价填报不</w:t>
      </w:r>
      <w:r>
        <w:rPr>
          <w:color w:val="auto"/>
          <w:spacing w:val="-109"/>
        </w:rPr>
        <w:t xml:space="preserve"> </w:t>
      </w:r>
      <w:r>
        <w:rPr>
          <w:color w:val="auto"/>
          <w:spacing w:val="-3"/>
        </w:rPr>
        <w:t>完整、不清楚或存在其他任何失误，所导致的任何不利后果均应当由</w:t>
      </w:r>
      <w:r>
        <w:rPr>
          <w:rFonts w:hint="eastAsia"/>
          <w:color w:val="auto"/>
          <w:spacing w:val="-3"/>
          <w:lang w:eastAsia="zh-CN"/>
        </w:rPr>
        <w:t>供应商</w:t>
      </w:r>
      <w:r>
        <w:rPr>
          <w:color w:val="auto"/>
          <w:spacing w:val="-3"/>
        </w:rPr>
        <w:t>自行</w:t>
      </w:r>
      <w:r>
        <w:rPr>
          <w:color w:val="auto"/>
          <w:spacing w:val="-109"/>
        </w:rPr>
        <w:t xml:space="preserve"> </w:t>
      </w:r>
      <w:r>
        <w:rPr>
          <w:color w:val="auto"/>
        </w:rPr>
        <w:t>承担。</w:t>
      </w:r>
    </w:p>
    <w:p w14:paraId="32F38BC1">
      <w:pPr>
        <w:pStyle w:val="8"/>
        <w:kinsoku w:val="0"/>
        <w:overflowPunct w:val="0"/>
        <w:spacing w:before="154" w:line="357" w:lineRule="auto"/>
        <w:ind w:right="117" w:firstLine="480"/>
        <w:rPr>
          <w:rFonts w:hint="default" w:ascii="宋体" w:eastAsia="宋体" w:cs="宋体"/>
          <w:color w:val="auto"/>
        </w:rPr>
      </w:pPr>
      <w:r>
        <w:rPr>
          <w:rFonts w:ascii="宋体" w:eastAsia="宋体" w:cs="宋体"/>
          <w:color w:val="auto"/>
        </w:rPr>
        <w:t xml:space="preserve">13.2 </w:t>
      </w:r>
      <w:r>
        <w:rPr>
          <w:rFonts w:hint="eastAsia" w:ascii="宋体" w:eastAsia="宋体" w:cs="宋体"/>
          <w:color w:val="auto"/>
          <w:lang w:eastAsia="zh-CN"/>
        </w:rPr>
        <w:t>供应商</w:t>
      </w:r>
      <w:r>
        <w:rPr>
          <w:rFonts w:ascii="宋体" w:eastAsia="宋体" w:cs="宋体"/>
          <w:color w:val="auto"/>
        </w:rPr>
        <w:t>投报多包的，须对每包分别制作投标文件并报价。</w:t>
      </w:r>
    </w:p>
    <w:p w14:paraId="2DB70690">
      <w:pPr>
        <w:pStyle w:val="8"/>
        <w:kinsoku w:val="0"/>
        <w:overflowPunct w:val="0"/>
        <w:spacing w:before="154" w:line="357" w:lineRule="auto"/>
        <w:ind w:right="117" w:firstLine="480"/>
        <w:rPr>
          <w:rFonts w:hint="default" w:ascii="宋体" w:eastAsia="宋体" w:cs="宋体"/>
          <w:color w:val="auto"/>
        </w:rPr>
      </w:pPr>
      <w:r>
        <w:rPr>
          <w:rFonts w:ascii="宋体" w:eastAsia="宋体" w:cs="宋体"/>
          <w:color w:val="auto"/>
        </w:rPr>
        <w:t>13.3 除非招标文件另有规定，不接受可选择或可调整的投标方案和报价， 任何有选择的或可调整的投标方案和报价将被视为非响应性投标而被拒绝。</w:t>
      </w:r>
    </w:p>
    <w:p w14:paraId="4DC14BE0">
      <w:pPr>
        <w:pStyle w:val="8"/>
        <w:kinsoku w:val="0"/>
        <w:overflowPunct w:val="0"/>
        <w:spacing w:before="154" w:line="357" w:lineRule="auto"/>
        <w:ind w:right="117" w:firstLine="480"/>
        <w:rPr>
          <w:rFonts w:hint="default" w:ascii="宋体" w:eastAsia="宋体" w:cs="宋体"/>
          <w:color w:val="auto"/>
        </w:rPr>
      </w:pPr>
      <w:r>
        <w:rPr>
          <w:rFonts w:ascii="宋体" w:eastAsia="宋体" w:cs="宋体"/>
          <w:color w:val="auto"/>
        </w:rPr>
        <w:t>13.4 本项目是否接受进口产品按照招标文件第二部分“</w:t>
      </w:r>
      <w:r>
        <w:rPr>
          <w:rFonts w:hint="eastAsia" w:ascii="宋体" w:eastAsia="宋体" w:cs="宋体"/>
          <w:color w:val="auto"/>
          <w:lang w:eastAsia="zh-CN"/>
        </w:rPr>
        <w:t>供应商</w:t>
      </w:r>
      <w:r>
        <w:rPr>
          <w:rFonts w:ascii="宋体" w:eastAsia="宋体" w:cs="宋体"/>
          <w:color w:val="auto"/>
        </w:rPr>
        <w:t>须知前附表 中”中的规定（本项目不适用）。</w:t>
      </w:r>
    </w:p>
    <w:p w14:paraId="76873B8B">
      <w:pPr>
        <w:pStyle w:val="8"/>
        <w:kinsoku w:val="0"/>
        <w:overflowPunct w:val="0"/>
        <w:spacing w:before="154" w:line="357" w:lineRule="auto"/>
        <w:ind w:right="117" w:firstLine="480"/>
        <w:rPr>
          <w:rFonts w:hint="default" w:ascii="宋体" w:eastAsia="宋体" w:cs="宋体"/>
          <w:color w:val="auto"/>
        </w:rPr>
      </w:pPr>
      <w:r>
        <w:rPr>
          <w:rFonts w:ascii="宋体" w:eastAsia="宋体" w:cs="宋体"/>
          <w:color w:val="auto"/>
        </w:rPr>
        <w:t>13.5 本项目是否允许</w:t>
      </w:r>
      <w:r>
        <w:rPr>
          <w:rFonts w:hint="eastAsia" w:ascii="宋体" w:eastAsia="宋体" w:cs="宋体"/>
          <w:color w:val="auto"/>
          <w:lang w:eastAsia="zh-CN"/>
        </w:rPr>
        <w:t>供应商</w:t>
      </w:r>
      <w:r>
        <w:rPr>
          <w:rFonts w:ascii="宋体" w:eastAsia="宋体" w:cs="宋体"/>
          <w:color w:val="auto"/>
        </w:rPr>
        <w:t>将项目的非主体、非关键性工作交由他人完成 按照招标文件第二部分“</w:t>
      </w:r>
      <w:r>
        <w:rPr>
          <w:rFonts w:hint="eastAsia" w:ascii="宋体" w:eastAsia="宋体" w:cs="宋体"/>
          <w:color w:val="auto"/>
          <w:lang w:eastAsia="zh-CN"/>
        </w:rPr>
        <w:t>供应商</w:t>
      </w:r>
      <w:r>
        <w:rPr>
          <w:rFonts w:ascii="宋体" w:eastAsia="宋体" w:cs="宋体"/>
          <w:color w:val="auto"/>
        </w:rPr>
        <w:t>须知前附表”中的规定。如允许，</w:t>
      </w:r>
      <w:r>
        <w:rPr>
          <w:rFonts w:hint="eastAsia" w:ascii="宋体" w:eastAsia="宋体" w:cs="宋体"/>
          <w:color w:val="auto"/>
          <w:lang w:eastAsia="zh-CN"/>
        </w:rPr>
        <w:t>供应商</w:t>
      </w:r>
      <w:r>
        <w:rPr>
          <w:rFonts w:ascii="宋体" w:eastAsia="宋体" w:cs="宋体"/>
          <w:color w:val="auto"/>
        </w:rPr>
        <w:t>根据采购项目的实际情况，拟在中标后将中标项目的非主体、非关键性工作交由他人完成，须在技术文件中载明。</w:t>
      </w:r>
    </w:p>
    <w:p w14:paraId="4AC96201">
      <w:pPr>
        <w:pStyle w:val="8"/>
        <w:kinsoku w:val="0"/>
        <w:overflowPunct w:val="0"/>
        <w:spacing w:before="154" w:line="357" w:lineRule="auto"/>
        <w:ind w:right="117" w:firstLine="480"/>
        <w:rPr>
          <w:rFonts w:hint="default" w:ascii="宋体" w:eastAsia="宋体" w:cs="宋体"/>
          <w:color w:val="auto"/>
        </w:rPr>
      </w:pPr>
      <w:r>
        <w:rPr>
          <w:rFonts w:ascii="宋体" w:eastAsia="宋体" w:cs="宋体"/>
          <w:color w:val="auto"/>
        </w:rPr>
        <w:t xml:space="preserve">13.6 </w:t>
      </w:r>
      <w:r>
        <w:rPr>
          <w:rFonts w:hint="eastAsia" w:ascii="宋体" w:eastAsia="宋体" w:cs="宋体"/>
          <w:color w:val="auto"/>
          <w:lang w:eastAsia="zh-CN"/>
        </w:rPr>
        <w:t>供应商</w:t>
      </w:r>
      <w:r>
        <w:rPr>
          <w:rFonts w:ascii="宋体" w:eastAsia="宋体" w:cs="宋体"/>
          <w:color w:val="auto"/>
        </w:rPr>
        <w:t>须严格按照报价明细表规定的内容填写单价以及其他事项。</w:t>
      </w:r>
    </w:p>
    <w:p w14:paraId="5664C7F0">
      <w:pPr>
        <w:pStyle w:val="8"/>
        <w:kinsoku w:val="0"/>
        <w:overflowPunct w:val="0"/>
        <w:spacing w:before="154" w:line="357" w:lineRule="auto"/>
        <w:ind w:right="117" w:firstLine="480"/>
        <w:rPr>
          <w:rFonts w:hint="default" w:ascii="宋体" w:eastAsia="宋体" w:cs="宋体"/>
          <w:color w:val="auto"/>
        </w:rPr>
      </w:pPr>
      <w:r>
        <w:rPr>
          <w:rFonts w:ascii="宋体" w:eastAsia="宋体" w:cs="宋体"/>
          <w:color w:val="auto"/>
        </w:rPr>
        <w:t xml:space="preserve">13.7 </w:t>
      </w:r>
      <w:r>
        <w:rPr>
          <w:rFonts w:hint="eastAsia" w:ascii="宋体" w:eastAsia="宋体" w:cs="宋体"/>
          <w:color w:val="auto"/>
          <w:lang w:eastAsia="zh-CN"/>
        </w:rPr>
        <w:t>供应商</w:t>
      </w:r>
      <w:r>
        <w:rPr>
          <w:rFonts w:ascii="宋体" w:eastAsia="宋体" w:cs="宋体"/>
          <w:color w:val="auto"/>
        </w:rPr>
        <w:t>对投标报价若有说明应在投标文件中显著处注明。除政策性文件规定以外，</w:t>
      </w:r>
      <w:r>
        <w:rPr>
          <w:rFonts w:hint="eastAsia" w:ascii="宋体" w:eastAsia="宋体" w:cs="宋体"/>
          <w:color w:val="auto"/>
          <w:lang w:eastAsia="zh-CN"/>
        </w:rPr>
        <w:t>供应商</w:t>
      </w:r>
      <w:r>
        <w:rPr>
          <w:rFonts w:ascii="宋体" w:eastAsia="宋体" w:cs="宋体"/>
          <w:color w:val="auto"/>
        </w:rPr>
        <w:t>所报价格在合同实施期间不因市场变化因素而变动。</w:t>
      </w:r>
    </w:p>
    <w:p w14:paraId="4C0FE14E">
      <w:pPr>
        <w:pStyle w:val="8"/>
        <w:kinsoku w:val="0"/>
        <w:overflowPunct w:val="0"/>
        <w:spacing w:before="154" w:line="357" w:lineRule="auto"/>
        <w:ind w:right="117" w:firstLine="480"/>
        <w:rPr>
          <w:rFonts w:hint="default"/>
          <w:color w:val="auto"/>
        </w:rPr>
      </w:pPr>
      <w:r>
        <w:rPr>
          <w:color w:val="auto"/>
        </w:rPr>
        <w:t>13.8</w:t>
      </w:r>
      <w:r>
        <w:rPr>
          <w:color w:val="auto"/>
          <w:spacing w:val="-55"/>
        </w:rPr>
        <w:t xml:space="preserve"> </w:t>
      </w:r>
      <w:r>
        <w:rPr>
          <w:color w:val="auto"/>
          <w:spacing w:val="2"/>
        </w:rPr>
        <w:t>对于有配件、耗材、选件、备件和特殊工具的货物，还应填报投标货</w:t>
      </w:r>
      <w:r>
        <w:rPr>
          <w:color w:val="auto"/>
        </w:rPr>
        <w:t xml:space="preserve"> 物配件、耗材、选件表和备件及特殊工具清单，注明品牌、型号、产地、功能、</w:t>
      </w:r>
      <w:r>
        <w:rPr>
          <w:color w:val="auto"/>
          <w:spacing w:val="-3"/>
        </w:rPr>
        <w:t>单价、批量折扣等内容，该表格格式由</w:t>
      </w:r>
      <w:r>
        <w:rPr>
          <w:rFonts w:hint="eastAsia"/>
          <w:color w:val="auto"/>
          <w:spacing w:val="-3"/>
          <w:lang w:eastAsia="zh-CN"/>
        </w:rPr>
        <w:t>供应商</w:t>
      </w:r>
      <w:r>
        <w:rPr>
          <w:color w:val="auto"/>
          <w:spacing w:val="-3"/>
        </w:rPr>
        <w:t>自行设计。</w:t>
      </w:r>
      <w:r>
        <w:rPr>
          <w:rFonts w:hint="eastAsia"/>
          <w:color w:val="auto"/>
          <w:spacing w:val="-3"/>
          <w:lang w:eastAsia="zh-CN"/>
        </w:rPr>
        <w:t>供应商</w:t>
      </w:r>
      <w:r>
        <w:rPr>
          <w:color w:val="auto"/>
          <w:spacing w:val="-3"/>
        </w:rPr>
        <w:t>按照上述要求分</w:t>
      </w:r>
      <w:r>
        <w:rPr>
          <w:color w:val="auto"/>
          <w:spacing w:val="-111"/>
        </w:rPr>
        <w:t xml:space="preserve"> </w:t>
      </w:r>
      <w:r>
        <w:rPr>
          <w:color w:val="auto"/>
          <w:spacing w:val="-3"/>
        </w:rPr>
        <w:t>类报价，其目的是便于评标，但在任何情况下并不限制采购人以其他条款签订合</w:t>
      </w:r>
      <w:r>
        <w:rPr>
          <w:color w:val="auto"/>
          <w:spacing w:val="-109"/>
        </w:rPr>
        <w:t xml:space="preserve"> </w:t>
      </w:r>
      <w:r>
        <w:rPr>
          <w:color w:val="auto"/>
        </w:rPr>
        <w:t>同的权利。</w:t>
      </w:r>
    </w:p>
    <w:p w14:paraId="21F8C6F0">
      <w:pPr>
        <w:pStyle w:val="8"/>
        <w:kinsoku w:val="0"/>
        <w:overflowPunct w:val="0"/>
        <w:spacing w:line="357" w:lineRule="auto"/>
        <w:ind w:right="237" w:firstLine="480"/>
        <w:jc w:val="both"/>
        <w:rPr>
          <w:rFonts w:hint="default"/>
          <w:color w:val="auto"/>
        </w:rPr>
      </w:pPr>
      <w:r>
        <w:rPr>
          <w:color w:val="auto"/>
        </w:rPr>
        <w:t>13.9</w:t>
      </w:r>
      <w:r>
        <w:rPr>
          <w:color w:val="auto"/>
          <w:spacing w:val="72"/>
        </w:rPr>
        <w:t xml:space="preserve"> </w:t>
      </w:r>
      <w:r>
        <w:rPr>
          <w:color w:val="auto"/>
          <w:spacing w:val="2"/>
        </w:rPr>
        <w:t>本项目不接受选择性报价，对于出现的政采云平台开标唱标环节经</w:t>
      </w:r>
      <w:r>
        <w:rPr>
          <w:color w:val="auto"/>
        </w:rPr>
        <w:t xml:space="preserve"> </w:t>
      </w:r>
      <w:r>
        <w:rPr>
          <w:color w:val="auto"/>
          <w:spacing w:val="-3"/>
        </w:rPr>
        <w:t>投标供应商确认的投标报价与投标文件中开标一览表的报价不一致的现象，视作</w:t>
      </w:r>
      <w:r>
        <w:rPr>
          <w:color w:val="auto"/>
          <w:spacing w:val="-109"/>
        </w:rPr>
        <w:t xml:space="preserve"> </w:t>
      </w:r>
      <w:r>
        <w:rPr>
          <w:color w:val="auto"/>
        </w:rPr>
        <w:t>选择性报价，将被作为无效投标处理。</w:t>
      </w:r>
    </w:p>
    <w:p w14:paraId="573538E3">
      <w:pPr>
        <w:pStyle w:val="6"/>
        <w:kinsoku w:val="0"/>
        <w:overflowPunct w:val="0"/>
        <w:ind w:right="237"/>
        <w:rPr>
          <w:rFonts w:hint="default"/>
          <w:b w:val="0"/>
          <w:color w:val="auto"/>
        </w:rPr>
      </w:pPr>
      <w:r>
        <w:rPr>
          <w:color w:val="auto"/>
        </w:rPr>
        <w:t>14.投标有效期</w:t>
      </w:r>
    </w:p>
    <w:p w14:paraId="319D83CA">
      <w:pPr>
        <w:pStyle w:val="8"/>
        <w:kinsoku w:val="0"/>
        <w:overflowPunct w:val="0"/>
        <w:spacing w:line="357" w:lineRule="auto"/>
        <w:ind w:leftChars="50" w:right="117" w:firstLine="244" w:firstLineChars="100"/>
        <w:rPr>
          <w:rFonts w:hint="default" w:ascii="宋体" w:eastAsia="宋体" w:cs="宋体"/>
          <w:color w:val="auto"/>
          <w:spacing w:val="2"/>
        </w:rPr>
      </w:pPr>
      <w:r>
        <w:rPr>
          <w:rFonts w:ascii="宋体" w:eastAsia="宋体" w:cs="宋体"/>
          <w:color w:val="auto"/>
          <w:spacing w:val="2"/>
        </w:rPr>
        <w:t>14.1 本项目的投标有效期按照招标文件第二部分“</w:t>
      </w:r>
      <w:r>
        <w:rPr>
          <w:rFonts w:hint="eastAsia" w:ascii="宋体" w:eastAsia="宋体" w:cs="宋体"/>
          <w:color w:val="auto"/>
          <w:spacing w:val="2"/>
          <w:lang w:eastAsia="zh-CN"/>
        </w:rPr>
        <w:t>供应商</w:t>
      </w:r>
      <w:r>
        <w:rPr>
          <w:rFonts w:ascii="宋体" w:eastAsia="宋体" w:cs="宋体"/>
          <w:color w:val="auto"/>
          <w:spacing w:val="2"/>
        </w:rPr>
        <w:t>须知前附表中”</w:t>
      </w:r>
    </w:p>
    <w:p w14:paraId="44398072">
      <w:pPr>
        <w:pStyle w:val="8"/>
        <w:kinsoku w:val="0"/>
        <w:overflowPunct w:val="0"/>
        <w:spacing w:line="357" w:lineRule="auto"/>
        <w:ind w:leftChars="50" w:right="117" w:firstLine="244" w:firstLineChars="100"/>
        <w:rPr>
          <w:rFonts w:hint="default" w:ascii="宋体" w:eastAsia="宋体" w:cs="宋体"/>
          <w:color w:val="auto"/>
          <w:spacing w:val="2"/>
        </w:rPr>
      </w:pPr>
      <w:r>
        <w:rPr>
          <w:rFonts w:ascii="宋体" w:eastAsia="宋体" w:cs="宋体"/>
          <w:color w:val="auto"/>
          <w:spacing w:val="2"/>
        </w:rPr>
        <w:t>，投标有效期为90天。</w:t>
      </w:r>
    </w:p>
    <w:p w14:paraId="259BBFA2">
      <w:pPr>
        <w:pStyle w:val="8"/>
        <w:kinsoku w:val="0"/>
        <w:overflowPunct w:val="0"/>
        <w:spacing w:line="357" w:lineRule="auto"/>
        <w:ind w:leftChars="50" w:right="117" w:firstLine="244" w:firstLineChars="100"/>
        <w:rPr>
          <w:rFonts w:hint="default" w:ascii="宋体" w:eastAsia="宋体" w:cs="宋体"/>
          <w:color w:val="auto"/>
          <w:spacing w:val="2"/>
        </w:rPr>
      </w:pPr>
      <w:r>
        <w:rPr>
          <w:rFonts w:ascii="宋体" w:eastAsia="宋体" w:cs="宋体"/>
          <w:color w:val="auto"/>
          <w:spacing w:val="2"/>
        </w:rPr>
        <w:t>14.2在投标有效期内，</w:t>
      </w:r>
      <w:r>
        <w:rPr>
          <w:rFonts w:hint="eastAsia" w:ascii="宋体" w:eastAsia="宋体" w:cs="宋体"/>
          <w:color w:val="auto"/>
          <w:spacing w:val="2"/>
          <w:lang w:eastAsia="zh-CN"/>
        </w:rPr>
        <w:t>供应商</w:t>
      </w:r>
      <w:r>
        <w:rPr>
          <w:rFonts w:ascii="宋体" w:eastAsia="宋体" w:cs="宋体"/>
          <w:color w:val="auto"/>
          <w:spacing w:val="2"/>
        </w:rPr>
        <w:t>撤销投标文件的，应承担招标文件和法律规定的责任。</w:t>
      </w:r>
    </w:p>
    <w:p w14:paraId="31476C0A">
      <w:pPr>
        <w:pStyle w:val="8"/>
        <w:kinsoku w:val="0"/>
        <w:overflowPunct w:val="0"/>
        <w:spacing w:line="357" w:lineRule="auto"/>
        <w:ind w:leftChars="50" w:right="117" w:firstLine="244" w:firstLineChars="100"/>
        <w:rPr>
          <w:rFonts w:hint="default"/>
          <w:color w:val="auto"/>
          <w:spacing w:val="2"/>
        </w:rPr>
      </w:pPr>
      <w:r>
        <w:rPr>
          <w:color w:val="auto"/>
          <w:spacing w:val="2"/>
        </w:rPr>
        <w:t>14.3 出现特殊情况需要延长投标有效期的，采购人以书面形式通知所有</w:t>
      </w:r>
      <w:r>
        <w:rPr>
          <w:rFonts w:hint="eastAsia"/>
          <w:color w:val="auto"/>
          <w:spacing w:val="2"/>
          <w:lang w:eastAsia="zh-CN"/>
        </w:rPr>
        <w:t>供应商</w:t>
      </w:r>
      <w:r>
        <w:rPr>
          <w:color w:val="auto"/>
          <w:spacing w:val="2"/>
        </w:rPr>
        <w:t>延长投标有效期。</w:t>
      </w:r>
      <w:r>
        <w:rPr>
          <w:rFonts w:hint="eastAsia"/>
          <w:color w:val="auto"/>
          <w:spacing w:val="2"/>
          <w:lang w:eastAsia="zh-CN"/>
        </w:rPr>
        <w:t>供应商</w:t>
      </w:r>
      <w:r>
        <w:rPr>
          <w:color w:val="auto"/>
          <w:spacing w:val="2"/>
        </w:rPr>
        <w:t>应予以书面答复，同意延长的，应相应延长其投标保证金的有效期，但不得要求或被允许修改其投标文件；</w:t>
      </w:r>
      <w:r>
        <w:rPr>
          <w:rFonts w:hint="eastAsia"/>
          <w:color w:val="auto"/>
          <w:spacing w:val="2"/>
          <w:lang w:eastAsia="zh-CN"/>
        </w:rPr>
        <w:t>供应商</w:t>
      </w:r>
      <w:r>
        <w:rPr>
          <w:color w:val="auto"/>
          <w:spacing w:val="2"/>
        </w:rPr>
        <w:t>拒绝延长的，其投标失效，但</w:t>
      </w:r>
      <w:r>
        <w:rPr>
          <w:rFonts w:hint="eastAsia"/>
          <w:color w:val="auto"/>
          <w:spacing w:val="2"/>
          <w:lang w:eastAsia="zh-CN"/>
        </w:rPr>
        <w:t>供应商</w:t>
      </w:r>
      <w:r>
        <w:rPr>
          <w:color w:val="auto"/>
          <w:spacing w:val="2"/>
        </w:rPr>
        <w:t xml:space="preserve">有权收回其投标保证金及以现金或者支票形式递交的投标保证金的银行同期存款利息。 </w:t>
      </w:r>
    </w:p>
    <w:p w14:paraId="28C107B5">
      <w:pPr>
        <w:pStyle w:val="8"/>
        <w:kinsoku w:val="0"/>
        <w:overflowPunct w:val="0"/>
        <w:spacing w:line="357" w:lineRule="auto"/>
        <w:ind w:right="117"/>
        <w:rPr>
          <w:rFonts w:hint="default"/>
          <w:color w:val="auto"/>
        </w:rPr>
      </w:pPr>
      <w:r>
        <w:rPr>
          <w:b/>
          <w:color w:val="auto"/>
        </w:rPr>
        <w:t>15.投标内容填写说明</w:t>
      </w:r>
    </w:p>
    <w:p w14:paraId="3A1BB463">
      <w:pPr>
        <w:pStyle w:val="8"/>
        <w:kinsoku w:val="0"/>
        <w:overflowPunct w:val="0"/>
        <w:spacing w:before="2" w:line="357" w:lineRule="auto"/>
        <w:ind w:right="117" w:firstLine="480"/>
        <w:jc w:val="both"/>
        <w:rPr>
          <w:rFonts w:hint="default"/>
          <w:color w:val="auto"/>
        </w:rPr>
      </w:pPr>
      <w:r>
        <w:rPr>
          <w:color w:val="auto"/>
        </w:rPr>
        <w:t>15.1</w:t>
      </w:r>
      <w:r>
        <w:rPr>
          <w:color w:val="auto"/>
          <w:spacing w:val="-51"/>
        </w:rPr>
        <w:t xml:space="preserve"> </w:t>
      </w:r>
      <w:r>
        <w:rPr>
          <w:rFonts w:hint="eastAsia"/>
          <w:color w:val="auto"/>
          <w:spacing w:val="2"/>
          <w:lang w:eastAsia="zh-CN"/>
        </w:rPr>
        <w:t>供应商</w:t>
      </w:r>
      <w:r>
        <w:rPr>
          <w:color w:val="auto"/>
          <w:spacing w:val="2"/>
        </w:rPr>
        <w:t>应详细阅读招标文件的全部内容。投标文件须对招标文件中的</w:t>
      </w:r>
      <w:r>
        <w:rPr>
          <w:color w:val="auto"/>
        </w:rPr>
        <w:t xml:space="preserve"> </w:t>
      </w:r>
      <w:r>
        <w:rPr>
          <w:color w:val="auto"/>
          <w:spacing w:val="-3"/>
        </w:rPr>
        <w:t>内容作出实质性和完整的响应，如果投标文件填报的内容不详，或没有提供招标</w:t>
      </w:r>
      <w:r>
        <w:rPr>
          <w:color w:val="auto"/>
          <w:spacing w:val="-109"/>
        </w:rPr>
        <w:t xml:space="preserve"> </w:t>
      </w:r>
      <w:r>
        <w:rPr>
          <w:color w:val="auto"/>
        </w:rPr>
        <w:t>文件中所要求的全部资料及数据，将可能导致投标被拒绝。</w:t>
      </w:r>
    </w:p>
    <w:p w14:paraId="273EA229">
      <w:pPr>
        <w:pStyle w:val="8"/>
        <w:kinsoku w:val="0"/>
        <w:overflowPunct w:val="0"/>
        <w:spacing w:line="357" w:lineRule="auto"/>
        <w:ind w:right="117" w:firstLine="480"/>
        <w:jc w:val="both"/>
        <w:rPr>
          <w:rFonts w:hint="default"/>
          <w:color w:val="auto"/>
        </w:rPr>
      </w:pPr>
      <w:r>
        <w:rPr>
          <w:color w:val="auto"/>
        </w:rPr>
        <w:t>15.2</w:t>
      </w:r>
      <w:r>
        <w:rPr>
          <w:color w:val="auto"/>
          <w:spacing w:val="-51"/>
        </w:rPr>
        <w:t xml:space="preserve"> </w:t>
      </w:r>
      <w:r>
        <w:rPr>
          <w:color w:val="auto"/>
          <w:spacing w:val="2"/>
        </w:rPr>
        <w:t>投标文件须严格按照招标文件第六部分规定的格式提交，并按规定的</w:t>
      </w:r>
      <w:r>
        <w:rPr>
          <w:color w:val="auto"/>
        </w:rPr>
        <w:t xml:space="preserve"> </w:t>
      </w:r>
      <w:r>
        <w:rPr>
          <w:color w:val="auto"/>
          <w:spacing w:val="-3"/>
        </w:rPr>
        <w:t>统一格式逐项填写，不准有空项；无相应内容可填的项，应填写“无”、“未测</w:t>
      </w:r>
      <w:r>
        <w:rPr>
          <w:color w:val="auto"/>
          <w:spacing w:val="-114"/>
        </w:rPr>
        <w:t xml:space="preserve"> </w:t>
      </w:r>
      <w:r>
        <w:rPr>
          <w:color w:val="auto"/>
          <w:spacing w:val="-3"/>
        </w:rPr>
        <w:t>试”、“没有相应指标”等明确的回答文字。由于编排混乱导致投标文件被误读</w:t>
      </w:r>
      <w:r>
        <w:rPr>
          <w:color w:val="auto"/>
          <w:spacing w:val="-111"/>
        </w:rPr>
        <w:t xml:space="preserve"> </w:t>
      </w:r>
      <w:r>
        <w:rPr>
          <w:color w:val="auto"/>
          <w:spacing w:val="-3"/>
        </w:rPr>
        <w:t>或查找不到，其责任由</w:t>
      </w:r>
      <w:r>
        <w:rPr>
          <w:rFonts w:hint="eastAsia"/>
          <w:color w:val="auto"/>
          <w:spacing w:val="-3"/>
          <w:lang w:eastAsia="zh-CN"/>
        </w:rPr>
        <w:t>供应商</w:t>
      </w:r>
      <w:r>
        <w:rPr>
          <w:color w:val="auto"/>
          <w:spacing w:val="-3"/>
        </w:rPr>
        <w:t>承担。投标文件未按规定提交或留有空项，将被视</w:t>
      </w:r>
      <w:r>
        <w:rPr>
          <w:color w:val="auto"/>
          <w:spacing w:val="-111"/>
        </w:rPr>
        <w:t xml:space="preserve"> </w:t>
      </w:r>
      <w:r>
        <w:rPr>
          <w:color w:val="auto"/>
        </w:rPr>
        <w:t>为不完整响应的投标文件，其投标有可能被拒绝</w:t>
      </w:r>
      <w:r>
        <w:rPr>
          <w:b/>
          <w:color w:val="auto"/>
        </w:rPr>
        <w:t>。</w:t>
      </w:r>
    </w:p>
    <w:p w14:paraId="4AD219DD">
      <w:pPr>
        <w:pStyle w:val="8"/>
        <w:kinsoku w:val="0"/>
        <w:overflowPunct w:val="0"/>
        <w:spacing w:line="357" w:lineRule="auto"/>
        <w:ind w:right="117" w:firstLine="480"/>
        <w:jc w:val="both"/>
        <w:rPr>
          <w:rFonts w:hint="default"/>
          <w:color w:val="auto"/>
        </w:rPr>
      </w:pPr>
      <w:r>
        <w:rPr>
          <w:color w:val="auto"/>
        </w:rPr>
        <w:t>15.3</w:t>
      </w:r>
      <w:r>
        <w:rPr>
          <w:color w:val="auto"/>
          <w:spacing w:val="-51"/>
        </w:rPr>
        <w:t xml:space="preserve"> </w:t>
      </w:r>
      <w:r>
        <w:rPr>
          <w:color w:val="auto"/>
          <w:spacing w:val="2"/>
        </w:rPr>
        <w:t>开标一览表为在开标仪式上唱标的内容，要求按格式统一填写，不得</w:t>
      </w:r>
      <w:r>
        <w:rPr>
          <w:color w:val="auto"/>
        </w:rPr>
        <w:t xml:space="preserve"> 自行增减内容。</w:t>
      </w:r>
    </w:p>
    <w:p w14:paraId="0FB3C37C">
      <w:pPr>
        <w:pStyle w:val="8"/>
        <w:kinsoku w:val="0"/>
        <w:overflowPunct w:val="0"/>
        <w:spacing w:line="357" w:lineRule="auto"/>
        <w:ind w:right="117" w:firstLine="480"/>
        <w:jc w:val="both"/>
        <w:rPr>
          <w:rFonts w:hint="default"/>
          <w:color w:val="auto"/>
        </w:rPr>
      </w:pPr>
      <w:r>
        <w:rPr>
          <w:color w:val="auto"/>
        </w:rPr>
        <w:t>15.4</w:t>
      </w:r>
      <w:r>
        <w:rPr>
          <w:color w:val="auto"/>
          <w:spacing w:val="-51"/>
        </w:rPr>
        <w:t xml:space="preserve"> </w:t>
      </w:r>
      <w:r>
        <w:rPr>
          <w:rFonts w:hint="eastAsia"/>
          <w:color w:val="auto"/>
          <w:spacing w:val="2"/>
          <w:lang w:eastAsia="zh-CN"/>
        </w:rPr>
        <w:t>供应商</w:t>
      </w:r>
      <w:r>
        <w:rPr>
          <w:color w:val="auto"/>
          <w:spacing w:val="2"/>
        </w:rPr>
        <w:t>须注意：为合理节约政府采购评审成本，提倡诚实信用的投标</w:t>
      </w:r>
      <w:r>
        <w:rPr>
          <w:color w:val="auto"/>
        </w:rPr>
        <w:t xml:space="preserve"> </w:t>
      </w:r>
      <w:r>
        <w:rPr>
          <w:color w:val="auto"/>
          <w:spacing w:val="-3"/>
        </w:rPr>
        <w:t>行为，特别要求</w:t>
      </w:r>
      <w:r>
        <w:rPr>
          <w:rFonts w:hint="eastAsia"/>
          <w:color w:val="auto"/>
          <w:spacing w:val="-3"/>
          <w:lang w:eastAsia="zh-CN"/>
        </w:rPr>
        <w:t>供应商</w:t>
      </w:r>
      <w:r>
        <w:rPr>
          <w:color w:val="auto"/>
          <w:spacing w:val="-3"/>
        </w:rPr>
        <w:t>应本着诚信精神，在本次投标文件的偏离表中，均以审慎</w:t>
      </w:r>
      <w:r>
        <w:rPr>
          <w:color w:val="auto"/>
          <w:spacing w:val="-111"/>
        </w:rPr>
        <w:t xml:space="preserve"> </w:t>
      </w:r>
      <w:r>
        <w:rPr>
          <w:color w:val="auto"/>
          <w:spacing w:val="-3"/>
        </w:rPr>
        <w:t>的态度明确、清楚地披露各项偏离。若</w:t>
      </w:r>
      <w:r>
        <w:rPr>
          <w:rFonts w:hint="eastAsia"/>
          <w:color w:val="auto"/>
          <w:spacing w:val="-3"/>
          <w:lang w:eastAsia="zh-CN"/>
        </w:rPr>
        <w:t>供应商</w:t>
      </w:r>
      <w:r>
        <w:rPr>
          <w:color w:val="auto"/>
          <w:spacing w:val="-3"/>
        </w:rPr>
        <w:t>对某一事项是否存在或是否属于偏</w:t>
      </w:r>
      <w:r>
        <w:rPr>
          <w:color w:val="auto"/>
          <w:spacing w:val="-109"/>
        </w:rPr>
        <w:t xml:space="preserve"> </w:t>
      </w:r>
      <w:r>
        <w:rPr>
          <w:color w:val="auto"/>
          <w:spacing w:val="-3"/>
        </w:rPr>
        <w:t>离不能确定，亦必须在偏离表中清楚地表明该偏离事项，并可以注明不能确定的</w:t>
      </w:r>
      <w:r>
        <w:rPr>
          <w:color w:val="auto"/>
          <w:spacing w:val="-109"/>
        </w:rPr>
        <w:t xml:space="preserve"> </w:t>
      </w:r>
      <w:r>
        <w:rPr>
          <w:color w:val="auto"/>
          <w:spacing w:val="-3"/>
        </w:rPr>
        <w:t>字样。任何情况下，对于</w:t>
      </w:r>
      <w:r>
        <w:rPr>
          <w:rFonts w:hint="eastAsia"/>
          <w:color w:val="auto"/>
          <w:spacing w:val="-3"/>
          <w:lang w:eastAsia="zh-CN"/>
        </w:rPr>
        <w:t>供应商</w:t>
      </w:r>
      <w:r>
        <w:rPr>
          <w:color w:val="auto"/>
          <w:spacing w:val="-3"/>
        </w:rPr>
        <w:t>没有在偏离表中明确、清楚地披露的事项，包括</w:t>
      </w:r>
      <w:r>
        <w:rPr>
          <w:color w:val="auto"/>
          <w:spacing w:val="-109"/>
        </w:rPr>
        <w:t xml:space="preserve"> </w:t>
      </w:r>
      <w:r>
        <w:rPr>
          <w:color w:val="auto"/>
          <w:spacing w:val="-3"/>
        </w:rPr>
        <w:t>可能属于被</w:t>
      </w:r>
      <w:r>
        <w:rPr>
          <w:rFonts w:hint="eastAsia"/>
          <w:color w:val="auto"/>
          <w:spacing w:val="-3"/>
          <w:lang w:eastAsia="zh-CN"/>
        </w:rPr>
        <w:t>供应商</w:t>
      </w:r>
      <w:r>
        <w:rPr>
          <w:color w:val="auto"/>
          <w:spacing w:val="-3"/>
        </w:rPr>
        <w:t>在偏离表中遗漏披露的事项，一旦在评审中被发现存在偏离或</w:t>
      </w:r>
      <w:r>
        <w:rPr>
          <w:color w:val="auto"/>
          <w:spacing w:val="-109"/>
        </w:rPr>
        <w:t xml:space="preserve"> </w:t>
      </w:r>
      <w:r>
        <w:rPr>
          <w:color w:val="auto"/>
          <w:spacing w:val="-3"/>
        </w:rPr>
        <w:t>被认定为属于偏离，则评标委员会有权视具体情形评审时予以处理，乃至对该投</w:t>
      </w:r>
      <w:r>
        <w:rPr>
          <w:color w:val="auto"/>
          <w:spacing w:val="-109"/>
        </w:rPr>
        <w:t xml:space="preserve"> </w:t>
      </w:r>
      <w:r>
        <w:rPr>
          <w:color w:val="auto"/>
        </w:rPr>
        <w:t>标予以拒绝。</w:t>
      </w:r>
    </w:p>
    <w:p w14:paraId="1EA0110E">
      <w:pPr>
        <w:pStyle w:val="8"/>
        <w:kinsoku w:val="0"/>
        <w:overflowPunct w:val="0"/>
        <w:spacing w:line="357" w:lineRule="auto"/>
        <w:ind w:right="117" w:firstLine="480"/>
        <w:jc w:val="both"/>
        <w:rPr>
          <w:rFonts w:hint="default"/>
          <w:color w:val="auto"/>
        </w:rPr>
      </w:pPr>
      <w:r>
        <w:rPr>
          <w:color w:val="auto"/>
        </w:rPr>
        <w:t>15.5</w:t>
      </w:r>
      <w:r>
        <w:rPr>
          <w:color w:val="auto"/>
          <w:spacing w:val="-51"/>
        </w:rPr>
        <w:t xml:space="preserve"> </w:t>
      </w:r>
      <w:r>
        <w:rPr>
          <w:rFonts w:hint="eastAsia"/>
          <w:color w:val="auto"/>
          <w:spacing w:val="2"/>
          <w:lang w:eastAsia="zh-CN"/>
        </w:rPr>
        <w:t>供应商</w:t>
      </w:r>
      <w:r>
        <w:rPr>
          <w:color w:val="auto"/>
          <w:spacing w:val="2"/>
        </w:rPr>
        <w:t>必须保证投标文件所提供的全部资料真实可靠，并接受采购代</w:t>
      </w:r>
      <w:r>
        <w:rPr>
          <w:color w:val="auto"/>
        </w:rPr>
        <w:t xml:space="preserve"> 理机构或评标委员会对其中任何资料进一步审查的要求。</w:t>
      </w:r>
    </w:p>
    <w:p w14:paraId="129C0C8A">
      <w:pPr>
        <w:pStyle w:val="8"/>
        <w:kinsoku w:val="0"/>
        <w:overflowPunct w:val="0"/>
        <w:spacing w:line="357" w:lineRule="auto"/>
        <w:ind w:right="117" w:firstLine="480"/>
        <w:jc w:val="both"/>
        <w:rPr>
          <w:rFonts w:hint="default"/>
          <w:color w:val="auto"/>
        </w:rPr>
      </w:pPr>
      <w:r>
        <w:rPr>
          <w:color w:val="auto"/>
        </w:rPr>
        <w:t>15.6</w:t>
      </w:r>
      <w:r>
        <w:rPr>
          <w:color w:val="auto"/>
          <w:spacing w:val="-51"/>
        </w:rPr>
        <w:t xml:space="preserve"> </w:t>
      </w:r>
      <w:r>
        <w:rPr>
          <w:rFonts w:hint="eastAsia"/>
          <w:color w:val="auto"/>
          <w:spacing w:val="2"/>
          <w:lang w:eastAsia="zh-CN"/>
        </w:rPr>
        <w:t>供应商</w:t>
      </w:r>
      <w:r>
        <w:rPr>
          <w:color w:val="auto"/>
          <w:spacing w:val="2"/>
        </w:rPr>
        <w:t>在投标文件及相关文件的签订、履行、通知等事项的文件中的</w:t>
      </w:r>
      <w:r>
        <w:rPr>
          <w:color w:val="auto"/>
        </w:rPr>
        <w:t xml:space="preserve"> </w:t>
      </w:r>
      <w:r>
        <w:rPr>
          <w:color w:val="auto"/>
          <w:spacing w:val="-3"/>
        </w:rPr>
        <w:t>单位盖章、印章、公章等处均指与当事人全称相一致的电子签章或标准公章，不</w:t>
      </w:r>
      <w:r>
        <w:rPr>
          <w:color w:val="auto"/>
          <w:spacing w:val="-111"/>
        </w:rPr>
        <w:t xml:space="preserve"> </w:t>
      </w:r>
      <w:r>
        <w:rPr>
          <w:color w:val="auto"/>
          <w:spacing w:val="-3"/>
        </w:rPr>
        <w:t>得使用其他形式（如带有“专用章”等字样的印章）。不符合本条规定的按无效</w:t>
      </w:r>
      <w:r>
        <w:rPr>
          <w:color w:val="auto"/>
          <w:spacing w:val="-112"/>
        </w:rPr>
        <w:t xml:space="preserve"> </w:t>
      </w:r>
      <w:r>
        <w:rPr>
          <w:color w:val="auto"/>
        </w:rPr>
        <w:t>投标处理。</w:t>
      </w:r>
    </w:p>
    <w:p w14:paraId="0D53DDA2">
      <w:pPr>
        <w:pStyle w:val="8"/>
        <w:kinsoku w:val="0"/>
        <w:overflowPunct w:val="0"/>
        <w:spacing w:line="357" w:lineRule="auto"/>
        <w:ind w:right="117" w:firstLine="480"/>
        <w:jc w:val="both"/>
        <w:rPr>
          <w:rFonts w:hint="default"/>
          <w:color w:val="auto"/>
        </w:rPr>
      </w:pPr>
      <w:r>
        <w:rPr>
          <w:color w:val="auto"/>
        </w:rPr>
        <w:t>15.7</w:t>
      </w:r>
      <w:r>
        <w:rPr>
          <w:color w:val="auto"/>
          <w:spacing w:val="-34"/>
        </w:rPr>
        <w:t xml:space="preserve"> </w:t>
      </w:r>
      <w:r>
        <w:rPr>
          <w:color w:val="auto"/>
          <w:spacing w:val="-6"/>
        </w:rPr>
        <w:t>本项目技术部分是否采用“暗标”评审方式按照招标文件第二部分“投</w:t>
      </w:r>
      <w:r>
        <w:rPr>
          <w:color w:val="auto"/>
        </w:rPr>
        <w:t xml:space="preserve"> </w:t>
      </w:r>
      <w:r>
        <w:rPr>
          <w:color w:val="auto"/>
          <w:spacing w:val="-3"/>
        </w:rPr>
        <w:t>标人须知前附表中”中的规定。如果采用暗标评审方式的，</w:t>
      </w:r>
      <w:r>
        <w:rPr>
          <w:rFonts w:hint="eastAsia"/>
          <w:color w:val="auto"/>
          <w:spacing w:val="-3"/>
          <w:lang w:eastAsia="zh-CN"/>
        </w:rPr>
        <w:t>供应商</w:t>
      </w:r>
      <w:r>
        <w:rPr>
          <w:color w:val="auto"/>
          <w:spacing w:val="-3"/>
        </w:rPr>
        <w:t>在制作投标文</w:t>
      </w:r>
      <w:r>
        <w:rPr>
          <w:color w:val="auto"/>
          <w:spacing w:val="-111"/>
        </w:rPr>
        <w:t xml:space="preserve"> </w:t>
      </w:r>
      <w:r>
        <w:rPr>
          <w:color w:val="auto"/>
        </w:rPr>
        <w:t>件时应当以能够隐去</w:t>
      </w:r>
      <w:r>
        <w:rPr>
          <w:rFonts w:hint="eastAsia"/>
          <w:color w:val="auto"/>
          <w:lang w:eastAsia="zh-CN"/>
        </w:rPr>
        <w:t>供应商</w:t>
      </w:r>
      <w:r>
        <w:rPr>
          <w:color w:val="auto"/>
        </w:rPr>
        <w:t>的身份为原则并需严格遵守以下各项规定：</w:t>
      </w:r>
    </w:p>
    <w:p w14:paraId="5EBBE033">
      <w:pPr>
        <w:pStyle w:val="8"/>
        <w:kinsoku w:val="0"/>
        <w:overflowPunct w:val="0"/>
        <w:ind w:left="600"/>
        <w:rPr>
          <w:rFonts w:hint="default"/>
          <w:color w:val="auto"/>
        </w:rPr>
      </w:pPr>
      <w:r>
        <w:rPr>
          <w:color w:val="auto"/>
        </w:rPr>
        <w:t>15.7.1</w:t>
      </w:r>
      <w:r>
        <w:rPr>
          <w:color w:val="auto"/>
          <w:spacing w:val="-60"/>
        </w:rPr>
        <w:t xml:space="preserve"> </w:t>
      </w:r>
      <w:r>
        <w:rPr>
          <w:color w:val="auto"/>
        </w:rPr>
        <w:t>技术部分中纳入“暗标”部分的内容：样品。</w:t>
      </w:r>
    </w:p>
    <w:p w14:paraId="3B67CD76">
      <w:pPr>
        <w:pStyle w:val="8"/>
        <w:kinsoku w:val="0"/>
        <w:overflowPunct w:val="0"/>
        <w:spacing w:line="357" w:lineRule="auto"/>
        <w:ind w:right="117" w:firstLine="480"/>
        <w:jc w:val="both"/>
        <w:rPr>
          <w:rFonts w:ascii="宋体" w:eastAsia="宋体" w:cs="宋体"/>
          <w:color w:val="auto"/>
          <w:spacing w:val="-3"/>
        </w:rPr>
      </w:pPr>
      <w:r>
        <w:rPr>
          <w:rFonts w:ascii="宋体" w:eastAsia="宋体" w:cs="宋体"/>
          <w:color w:val="auto"/>
          <w:spacing w:val="-3"/>
        </w:rPr>
        <w:t>15.7.2 暗标的编制要求</w:t>
      </w:r>
    </w:p>
    <w:p w14:paraId="70BFC1BC">
      <w:pPr>
        <w:pStyle w:val="8"/>
        <w:kinsoku w:val="0"/>
        <w:overflowPunct w:val="0"/>
        <w:spacing w:line="357" w:lineRule="auto"/>
        <w:ind w:right="117" w:firstLine="480"/>
        <w:jc w:val="both"/>
        <w:rPr>
          <w:rFonts w:hint="default"/>
          <w:color w:val="auto"/>
        </w:rPr>
      </w:pPr>
      <w:r>
        <w:rPr>
          <w:rFonts w:ascii="宋体" w:eastAsia="宋体" w:cs="宋体"/>
          <w:color w:val="auto"/>
          <w:spacing w:val="-3"/>
        </w:rPr>
        <w:t>15.7.2.1 投标文件技术部分全</w:t>
      </w:r>
      <w:r>
        <w:rPr>
          <w:color w:val="auto"/>
          <w:spacing w:val="2"/>
        </w:rPr>
        <w:t>部内容中不能出现任何本</w:t>
      </w:r>
      <w:r>
        <w:rPr>
          <w:rFonts w:hint="eastAsia"/>
          <w:color w:val="auto"/>
          <w:spacing w:val="2"/>
          <w:lang w:eastAsia="zh-CN"/>
        </w:rPr>
        <w:t>供应商</w:t>
      </w:r>
      <w:r>
        <w:rPr>
          <w:color w:val="auto"/>
          <w:spacing w:val="2"/>
        </w:rPr>
        <w:t>的名称和其</w:t>
      </w:r>
      <w:r>
        <w:rPr>
          <w:color w:val="auto"/>
        </w:rPr>
        <w:t xml:space="preserve"> </w:t>
      </w:r>
      <w:r>
        <w:rPr>
          <w:color w:val="auto"/>
          <w:spacing w:val="-10"/>
        </w:rPr>
        <w:t>它可识别</w:t>
      </w:r>
      <w:r>
        <w:rPr>
          <w:rFonts w:hint="eastAsia"/>
          <w:color w:val="auto"/>
          <w:spacing w:val="-10"/>
          <w:lang w:eastAsia="zh-CN"/>
        </w:rPr>
        <w:t>供应商</w:t>
      </w:r>
      <w:r>
        <w:rPr>
          <w:color w:val="auto"/>
          <w:spacing w:val="-10"/>
        </w:rPr>
        <w:t>身份的字符、企业徽标或符号、人员名称以及其他特殊标记等（如</w:t>
      </w:r>
      <w:r>
        <w:rPr>
          <w:color w:val="auto"/>
          <w:spacing w:val="-95"/>
        </w:rPr>
        <w:t xml:space="preserve"> </w:t>
      </w:r>
      <w:r>
        <w:rPr>
          <w:color w:val="auto"/>
          <w:spacing w:val="-3"/>
        </w:rPr>
        <w:t>有此类文件应放于商务文件“用于评审的证明材料”中），否则将导致投标被拒</w:t>
      </w:r>
      <w:r>
        <w:rPr>
          <w:color w:val="auto"/>
          <w:spacing w:val="-109"/>
        </w:rPr>
        <w:t xml:space="preserve"> </w:t>
      </w:r>
      <w:r>
        <w:rPr>
          <w:color w:val="auto"/>
        </w:rPr>
        <w:t>绝。</w:t>
      </w:r>
    </w:p>
    <w:p w14:paraId="1FA980F3">
      <w:pPr>
        <w:pStyle w:val="8"/>
        <w:kinsoku w:val="0"/>
        <w:overflowPunct w:val="0"/>
        <w:spacing w:line="357" w:lineRule="auto"/>
        <w:ind w:right="137" w:firstLine="480"/>
        <w:rPr>
          <w:rFonts w:hint="default"/>
          <w:color w:val="auto"/>
        </w:rPr>
      </w:pPr>
      <w:r>
        <w:rPr>
          <w:color w:val="auto"/>
        </w:rPr>
        <w:t>15.7.2.2</w:t>
      </w:r>
      <w:r>
        <w:rPr>
          <w:color w:val="auto"/>
          <w:spacing w:val="-60"/>
        </w:rPr>
        <w:t xml:space="preserve"> </w:t>
      </w:r>
      <w:r>
        <w:rPr>
          <w:color w:val="auto"/>
        </w:rPr>
        <w:t>页面设置及字体要求：采用标准</w:t>
      </w:r>
      <w:r>
        <w:rPr>
          <w:color w:val="auto"/>
          <w:spacing w:val="-60"/>
        </w:rPr>
        <w:t xml:space="preserve"> </w:t>
      </w:r>
      <w:r>
        <w:rPr>
          <w:color w:val="auto"/>
        </w:rPr>
        <w:t>A4</w:t>
      </w:r>
      <w:r>
        <w:rPr>
          <w:color w:val="auto"/>
          <w:spacing w:val="-60"/>
        </w:rPr>
        <w:t xml:space="preserve"> </w:t>
      </w:r>
      <w:r>
        <w:rPr>
          <w:color w:val="auto"/>
        </w:rPr>
        <w:t>纸张，上下页边距为</w:t>
      </w:r>
      <w:r>
        <w:rPr>
          <w:color w:val="auto"/>
          <w:spacing w:val="-60"/>
        </w:rPr>
        <w:t xml:space="preserve"> </w:t>
      </w:r>
      <w:r>
        <w:rPr>
          <w:color w:val="auto"/>
        </w:rPr>
        <w:t>2.54cm， 左右页边距为</w:t>
      </w:r>
      <w:r>
        <w:rPr>
          <w:color w:val="auto"/>
          <w:spacing w:val="-91"/>
        </w:rPr>
        <w:t xml:space="preserve"> </w:t>
      </w:r>
      <w:r>
        <w:rPr>
          <w:color w:val="auto"/>
        </w:rPr>
        <w:t xml:space="preserve">3.17cm，装订线位置为左；不得设置页码；正文使用四号宋体字， </w:t>
      </w:r>
      <w:r>
        <w:rPr>
          <w:color w:val="auto"/>
          <w:spacing w:val="-3"/>
        </w:rPr>
        <w:t>单倍行距，段前段后</w:t>
      </w:r>
      <w:r>
        <w:rPr>
          <w:color w:val="auto"/>
          <w:spacing w:val="-59"/>
        </w:rPr>
        <w:t xml:space="preserve"> </w:t>
      </w:r>
      <w:r>
        <w:rPr>
          <w:color w:val="auto"/>
        </w:rPr>
        <w:t>0</w:t>
      </w:r>
      <w:r>
        <w:rPr>
          <w:color w:val="auto"/>
          <w:spacing w:val="-59"/>
        </w:rPr>
        <w:t xml:space="preserve"> </w:t>
      </w:r>
      <w:r>
        <w:rPr>
          <w:color w:val="auto"/>
          <w:spacing w:val="-3"/>
        </w:rPr>
        <w:t>行间距；标题为二号黑体字，图、表中的字体统一用宋体</w:t>
      </w:r>
      <w:r>
        <w:rPr>
          <w:color w:val="auto"/>
          <w:spacing w:val="-116"/>
        </w:rPr>
        <w:t xml:space="preserve"> </w:t>
      </w:r>
      <w:r>
        <w:rPr>
          <w:color w:val="auto"/>
        </w:rPr>
        <w:t>小四，1.5</w:t>
      </w:r>
      <w:r>
        <w:rPr>
          <w:color w:val="auto"/>
          <w:spacing w:val="-60"/>
        </w:rPr>
        <w:t xml:space="preserve"> </w:t>
      </w:r>
      <w:r>
        <w:rPr>
          <w:color w:val="auto"/>
        </w:rPr>
        <w:t>倍行距，段前段后</w:t>
      </w:r>
      <w:r>
        <w:rPr>
          <w:color w:val="auto"/>
          <w:spacing w:val="-60"/>
        </w:rPr>
        <w:t xml:space="preserve"> </w:t>
      </w:r>
      <w:r>
        <w:rPr>
          <w:color w:val="auto"/>
        </w:rPr>
        <w:t>0</w:t>
      </w:r>
      <w:r>
        <w:rPr>
          <w:color w:val="auto"/>
          <w:spacing w:val="-60"/>
        </w:rPr>
        <w:t xml:space="preserve"> </w:t>
      </w:r>
      <w:r>
        <w:rPr>
          <w:color w:val="auto"/>
        </w:rPr>
        <w:t>行间距。</w:t>
      </w:r>
    </w:p>
    <w:p w14:paraId="2FCA5C32">
      <w:pPr>
        <w:pStyle w:val="8"/>
        <w:kinsoku w:val="0"/>
        <w:overflowPunct w:val="0"/>
        <w:spacing w:line="357" w:lineRule="auto"/>
        <w:ind w:right="137" w:firstLine="480"/>
        <w:rPr>
          <w:rFonts w:hint="default"/>
          <w:color w:val="auto"/>
        </w:rPr>
      </w:pPr>
      <w:r>
        <w:rPr>
          <w:color w:val="auto"/>
        </w:rPr>
        <w:t>15.7.2.3</w:t>
      </w:r>
      <w:r>
        <w:rPr>
          <w:color w:val="auto"/>
          <w:spacing w:val="-49"/>
        </w:rPr>
        <w:t xml:space="preserve"> </w:t>
      </w:r>
      <w:r>
        <w:rPr>
          <w:color w:val="auto"/>
          <w:spacing w:val="2"/>
        </w:rPr>
        <w:t>任何情况下，技术部分（“暗标”部分）中不得出现任何</w:t>
      </w:r>
      <w:r>
        <w:rPr>
          <w:rFonts w:hint="eastAsia"/>
          <w:color w:val="auto"/>
          <w:spacing w:val="2"/>
          <w:lang w:eastAsia="zh-CN"/>
        </w:rPr>
        <w:t>供应商</w:t>
      </w:r>
      <w:r>
        <w:rPr>
          <w:color w:val="auto"/>
        </w:rPr>
        <w:t xml:space="preserve"> 的审阅或者批注痕迹，否则将导致投标被拒绝。</w:t>
      </w:r>
    </w:p>
    <w:p w14:paraId="51AE0733">
      <w:pPr>
        <w:pStyle w:val="6"/>
        <w:kinsoku w:val="0"/>
        <w:overflowPunct w:val="0"/>
        <w:spacing w:before="0" w:line="650" w:lineRule="atLeast"/>
        <w:ind w:right="5331"/>
        <w:rPr>
          <w:rFonts w:hint="default"/>
          <w:color w:val="auto"/>
        </w:rPr>
      </w:pPr>
      <w:bookmarkStart w:id="35" w:name="四、投标保证金"/>
      <w:bookmarkEnd w:id="35"/>
      <w:r>
        <w:rPr>
          <w:color w:val="auto"/>
        </w:rPr>
        <w:t>四、投标保证金</w:t>
      </w:r>
    </w:p>
    <w:p w14:paraId="3B96518A">
      <w:pPr>
        <w:pStyle w:val="6"/>
        <w:kinsoku w:val="0"/>
        <w:overflowPunct w:val="0"/>
        <w:spacing w:before="0" w:line="650" w:lineRule="atLeast"/>
        <w:ind w:right="5331"/>
        <w:rPr>
          <w:rFonts w:hint="default"/>
          <w:b w:val="0"/>
          <w:color w:val="auto"/>
        </w:rPr>
      </w:pPr>
      <w:r>
        <w:rPr>
          <w:color w:val="auto"/>
          <w:w w:val="99"/>
        </w:rPr>
        <w:t xml:space="preserve"> </w:t>
      </w:r>
      <w:r>
        <w:rPr>
          <w:color w:val="auto"/>
        </w:rPr>
        <w:t>16.投标保证金</w:t>
      </w:r>
    </w:p>
    <w:p w14:paraId="2F9FF416">
      <w:pPr>
        <w:pStyle w:val="8"/>
        <w:kinsoku w:val="0"/>
        <w:overflowPunct w:val="0"/>
        <w:spacing w:before="154" w:line="357" w:lineRule="auto"/>
        <w:ind w:right="137" w:firstLine="480"/>
        <w:rPr>
          <w:rFonts w:hint="default"/>
          <w:color w:val="auto"/>
        </w:rPr>
      </w:pPr>
      <w:r>
        <w:rPr>
          <w:color w:val="auto"/>
        </w:rPr>
        <w:t>16.1</w:t>
      </w:r>
      <w:r>
        <w:rPr>
          <w:color w:val="auto"/>
          <w:spacing w:val="-91"/>
        </w:rPr>
        <w:t xml:space="preserve"> </w:t>
      </w:r>
      <w:r>
        <w:rPr>
          <w:rFonts w:hint="eastAsia"/>
          <w:color w:val="auto"/>
          <w:lang w:eastAsia="zh-CN"/>
        </w:rPr>
        <w:t>供应商</w:t>
      </w:r>
      <w:r>
        <w:rPr>
          <w:color w:val="auto"/>
        </w:rPr>
        <w:t>应按照招标文件第二部分“</w:t>
      </w:r>
      <w:r>
        <w:rPr>
          <w:rFonts w:hint="eastAsia"/>
          <w:color w:val="auto"/>
          <w:lang w:eastAsia="zh-CN"/>
        </w:rPr>
        <w:t>供应商</w:t>
      </w:r>
      <w:r>
        <w:rPr>
          <w:color w:val="auto"/>
        </w:rPr>
        <w:t>须知前附表”中的规定交纳。 投标保证金须于到账截止时间前到帐，并经采购代理机构确认。</w:t>
      </w:r>
    </w:p>
    <w:p w14:paraId="2886116E">
      <w:pPr>
        <w:pStyle w:val="8"/>
        <w:kinsoku w:val="0"/>
        <w:overflowPunct w:val="0"/>
        <w:spacing w:line="357" w:lineRule="auto"/>
        <w:ind w:right="137" w:firstLine="480"/>
        <w:rPr>
          <w:rFonts w:hint="default"/>
          <w:color w:val="auto"/>
        </w:rPr>
      </w:pPr>
      <w:r>
        <w:rPr>
          <w:color w:val="auto"/>
        </w:rPr>
        <w:t>16.2</w:t>
      </w:r>
      <w:r>
        <w:rPr>
          <w:color w:val="auto"/>
          <w:spacing w:val="-51"/>
        </w:rPr>
        <w:t xml:space="preserve"> </w:t>
      </w:r>
      <w:r>
        <w:rPr>
          <w:color w:val="auto"/>
          <w:spacing w:val="2"/>
        </w:rPr>
        <w:t>采购代理机构不接收以现金或汇票等其他形式递交的投标保证金。未</w:t>
      </w:r>
      <w:r>
        <w:rPr>
          <w:color w:val="auto"/>
        </w:rPr>
        <w:t xml:space="preserve"> 按要求提交投标保证金的，将被视为无效投标。</w:t>
      </w:r>
    </w:p>
    <w:p w14:paraId="42DBF38D">
      <w:pPr>
        <w:pStyle w:val="8"/>
        <w:kinsoku w:val="0"/>
        <w:overflowPunct w:val="0"/>
        <w:ind w:left="600" w:right="137"/>
        <w:rPr>
          <w:rFonts w:hint="default"/>
          <w:color w:val="auto"/>
        </w:rPr>
      </w:pPr>
      <w:r>
        <w:rPr>
          <w:color w:val="auto"/>
        </w:rPr>
        <w:t>16.3</w:t>
      </w:r>
      <w:r>
        <w:rPr>
          <w:color w:val="auto"/>
          <w:spacing w:val="-53"/>
        </w:rPr>
        <w:t xml:space="preserve"> </w:t>
      </w:r>
      <w:r>
        <w:rPr>
          <w:color w:val="auto"/>
          <w:spacing w:val="2"/>
        </w:rPr>
        <w:t>未中标的</w:t>
      </w:r>
      <w:r>
        <w:rPr>
          <w:rFonts w:hint="eastAsia"/>
          <w:color w:val="auto"/>
          <w:spacing w:val="2"/>
          <w:lang w:eastAsia="zh-CN"/>
        </w:rPr>
        <w:t>供应商</w:t>
      </w:r>
      <w:r>
        <w:rPr>
          <w:color w:val="auto"/>
          <w:spacing w:val="2"/>
        </w:rPr>
        <w:t>的投标保证金在中标通知书发出之日起</w:t>
      </w:r>
      <w:r>
        <w:rPr>
          <w:color w:val="auto"/>
          <w:spacing w:val="-50"/>
        </w:rPr>
        <w:t xml:space="preserve"> </w:t>
      </w:r>
      <w:r>
        <w:rPr>
          <w:color w:val="auto"/>
        </w:rPr>
        <w:t>5</w:t>
      </w:r>
      <w:r>
        <w:rPr>
          <w:color w:val="auto"/>
          <w:spacing w:val="-53"/>
        </w:rPr>
        <w:t xml:space="preserve"> </w:t>
      </w:r>
      <w:r>
        <w:rPr>
          <w:color w:val="auto"/>
        </w:rPr>
        <w:t>个工作日内</w:t>
      </w:r>
    </w:p>
    <w:p w14:paraId="23E7718D">
      <w:pPr>
        <w:pStyle w:val="8"/>
        <w:kinsoku w:val="0"/>
        <w:overflowPunct w:val="0"/>
        <w:spacing w:before="154" w:line="357" w:lineRule="auto"/>
        <w:ind w:right="137"/>
        <w:rPr>
          <w:rFonts w:hint="default"/>
          <w:color w:val="auto"/>
        </w:rPr>
      </w:pPr>
      <w:r>
        <w:rPr>
          <w:color w:val="auto"/>
          <w:spacing w:val="-4"/>
        </w:rPr>
        <w:t>退还；中标人的投标保证金将在交纳履约保证金并于合同生效后</w:t>
      </w:r>
      <w:r>
        <w:rPr>
          <w:color w:val="auto"/>
          <w:spacing w:val="-52"/>
        </w:rPr>
        <w:t xml:space="preserve"> </w:t>
      </w:r>
      <w:r>
        <w:rPr>
          <w:color w:val="auto"/>
        </w:rPr>
        <w:t>5</w:t>
      </w:r>
      <w:r>
        <w:rPr>
          <w:color w:val="auto"/>
          <w:spacing w:val="-52"/>
        </w:rPr>
        <w:t xml:space="preserve"> </w:t>
      </w:r>
      <w:r>
        <w:rPr>
          <w:color w:val="auto"/>
        </w:rPr>
        <w:t>个工作日内退 还。</w:t>
      </w:r>
    </w:p>
    <w:p w14:paraId="622A591F">
      <w:pPr>
        <w:pStyle w:val="8"/>
        <w:kinsoku w:val="0"/>
        <w:overflowPunct w:val="0"/>
        <w:spacing w:line="357" w:lineRule="auto"/>
        <w:ind w:firstLine="480"/>
        <w:rPr>
          <w:rFonts w:hint="default"/>
          <w:color w:val="auto"/>
        </w:rPr>
      </w:pPr>
      <w:r>
        <w:rPr>
          <w:color w:val="auto"/>
        </w:rPr>
        <w:t>16.4</w:t>
      </w:r>
      <w:r>
        <w:rPr>
          <w:color w:val="auto"/>
          <w:spacing w:val="-60"/>
        </w:rPr>
        <w:t xml:space="preserve"> </w:t>
      </w:r>
      <w:r>
        <w:rPr>
          <w:color w:val="auto"/>
        </w:rPr>
        <w:t>投标保证金退还一律采用网上银行转帐方式退还至</w:t>
      </w:r>
      <w:r>
        <w:rPr>
          <w:rFonts w:hint="eastAsia"/>
          <w:color w:val="auto"/>
          <w:lang w:eastAsia="zh-CN"/>
        </w:rPr>
        <w:t>供应商</w:t>
      </w:r>
      <w:r>
        <w:rPr>
          <w:color w:val="auto"/>
        </w:rPr>
        <w:t>的汇款帐户， 资金原路返回。</w:t>
      </w:r>
    </w:p>
    <w:p w14:paraId="160E2A7A">
      <w:pPr>
        <w:pStyle w:val="8"/>
        <w:kinsoku w:val="0"/>
        <w:overflowPunct w:val="0"/>
        <w:spacing w:line="357" w:lineRule="auto"/>
        <w:ind w:right="257" w:firstLine="480"/>
        <w:jc w:val="both"/>
        <w:rPr>
          <w:rFonts w:hint="default"/>
          <w:color w:val="auto"/>
        </w:rPr>
      </w:pPr>
      <w:r>
        <w:rPr>
          <w:color w:val="auto"/>
        </w:rPr>
        <w:t>16.5</w:t>
      </w:r>
      <w:r>
        <w:rPr>
          <w:color w:val="auto"/>
          <w:spacing w:val="-51"/>
        </w:rPr>
        <w:t xml:space="preserve"> </w:t>
      </w:r>
      <w:r>
        <w:rPr>
          <w:color w:val="auto"/>
          <w:spacing w:val="2"/>
        </w:rPr>
        <w:t>如开标时</w:t>
      </w:r>
      <w:r>
        <w:rPr>
          <w:rFonts w:hint="eastAsia"/>
          <w:color w:val="auto"/>
          <w:spacing w:val="2"/>
          <w:lang w:eastAsia="zh-CN"/>
        </w:rPr>
        <w:t>供应商</w:t>
      </w:r>
      <w:r>
        <w:rPr>
          <w:color w:val="auto"/>
          <w:spacing w:val="2"/>
        </w:rPr>
        <w:t>对本单位投标保证金缴纳情况有疑义，</w:t>
      </w:r>
      <w:r>
        <w:rPr>
          <w:rFonts w:hint="eastAsia"/>
          <w:color w:val="auto"/>
          <w:spacing w:val="2"/>
          <w:lang w:eastAsia="zh-CN"/>
        </w:rPr>
        <w:t>供应商</w:t>
      </w:r>
      <w:r>
        <w:rPr>
          <w:color w:val="auto"/>
          <w:spacing w:val="2"/>
        </w:rPr>
        <w:t>应在开</w:t>
      </w:r>
      <w:r>
        <w:rPr>
          <w:color w:val="auto"/>
        </w:rPr>
        <w:t xml:space="preserve"> </w:t>
      </w:r>
      <w:r>
        <w:rPr>
          <w:color w:val="auto"/>
          <w:spacing w:val="-3"/>
        </w:rPr>
        <w:t>标结束前向招标人提交书面申请核实保证金缴纳情况。由银行或保险公司核实后</w:t>
      </w:r>
      <w:r>
        <w:rPr>
          <w:color w:val="auto"/>
          <w:spacing w:val="-109"/>
        </w:rPr>
        <w:t xml:space="preserve"> </w:t>
      </w:r>
      <w:r>
        <w:rPr>
          <w:color w:val="auto"/>
        </w:rPr>
        <w:t>出具书面材料予以答复。</w:t>
      </w:r>
    </w:p>
    <w:p w14:paraId="5E37B82D">
      <w:pPr>
        <w:pStyle w:val="8"/>
        <w:kinsoku w:val="0"/>
        <w:overflowPunct w:val="0"/>
        <w:spacing w:before="154" w:line="357" w:lineRule="auto"/>
        <w:ind w:right="357" w:firstLine="480"/>
        <w:jc w:val="both"/>
        <w:rPr>
          <w:rFonts w:hint="default" w:ascii="宋体" w:eastAsia="宋体" w:cs="宋体"/>
          <w:color w:val="auto"/>
          <w:spacing w:val="2"/>
        </w:rPr>
      </w:pPr>
      <w:r>
        <w:rPr>
          <w:rFonts w:ascii="宋体" w:eastAsia="宋体" w:cs="宋体"/>
          <w:color w:val="auto"/>
          <w:spacing w:val="2"/>
        </w:rPr>
        <w:t>16.6 开标结束后，转账、电汇、网银形式缴纳的保证金由招标代理或招标 人统一办理中标人和未中标人的保证金退还事宜。如本项目招标中遇质疑，投诉， 复议等特殊情况，保证金退还时间按相关规定执行。银行电子保函、保险电子保函等形式缴纳的投标保证金按协议执行，无需办理退款手续。</w:t>
      </w:r>
    </w:p>
    <w:p w14:paraId="2F00216B">
      <w:pPr>
        <w:pStyle w:val="6"/>
        <w:kinsoku w:val="0"/>
        <w:overflowPunct w:val="0"/>
        <w:spacing w:before="0" w:line="650" w:lineRule="atLeast"/>
        <w:ind w:right="5331"/>
        <w:rPr>
          <w:rFonts w:hint="default" w:ascii="宋体" w:eastAsia="宋体" w:cs="宋体"/>
          <w:color w:val="auto"/>
        </w:rPr>
      </w:pPr>
      <w:bookmarkStart w:id="36" w:name="五、投标文件的递交"/>
      <w:bookmarkEnd w:id="36"/>
      <w:r>
        <w:rPr>
          <w:rFonts w:ascii="宋体" w:eastAsia="宋体" w:cs="宋体"/>
          <w:color w:val="auto"/>
        </w:rPr>
        <w:t>五、投标文件的递交</w:t>
      </w:r>
    </w:p>
    <w:p w14:paraId="74EAE7F7">
      <w:pPr>
        <w:pStyle w:val="6"/>
        <w:kinsoku w:val="0"/>
        <w:overflowPunct w:val="0"/>
        <w:spacing w:before="0" w:line="650" w:lineRule="atLeast"/>
        <w:ind w:right="5190"/>
        <w:rPr>
          <w:rFonts w:hint="default"/>
          <w:b w:val="0"/>
          <w:color w:val="auto"/>
        </w:rPr>
      </w:pPr>
      <w:r>
        <w:rPr>
          <w:color w:val="auto"/>
        </w:rPr>
        <w:t>17.投标文件的密封和标记</w:t>
      </w:r>
    </w:p>
    <w:p w14:paraId="3CFDDB34">
      <w:pPr>
        <w:pStyle w:val="8"/>
        <w:kinsoku w:val="0"/>
        <w:overflowPunct w:val="0"/>
        <w:spacing w:before="154" w:line="357" w:lineRule="auto"/>
        <w:ind w:right="357" w:firstLine="480"/>
        <w:jc w:val="both"/>
        <w:rPr>
          <w:rFonts w:hint="default"/>
          <w:color w:val="auto"/>
        </w:rPr>
      </w:pPr>
      <w:r>
        <w:rPr>
          <w:color w:val="auto"/>
        </w:rPr>
        <w:t>17.1</w:t>
      </w:r>
      <w:r>
        <w:rPr>
          <w:color w:val="auto"/>
          <w:spacing w:val="-51"/>
        </w:rPr>
        <w:t xml:space="preserve"> </w:t>
      </w:r>
      <w:r>
        <w:rPr>
          <w:rFonts w:hint="eastAsia"/>
          <w:color w:val="auto"/>
          <w:spacing w:val="2"/>
          <w:lang w:eastAsia="zh-CN"/>
        </w:rPr>
        <w:t>供应商</w:t>
      </w:r>
      <w:r>
        <w:rPr>
          <w:color w:val="auto"/>
          <w:spacing w:val="2"/>
        </w:rPr>
        <w:t>应通过电子投标文件制作工具严格按招标文件要求制作投标文</w:t>
      </w:r>
      <w:r>
        <w:rPr>
          <w:color w:val="auto"/>
        </w:rPr>
        <w:t xml:space="preserve"> </w:t>
      </w:r>
      <w:r>
        <w:rPr>
          <w:color w:val="auto"/>
          <w:spacing w:val="-3"/>
        </w:rPr>
        <w:t>件，在投标截止时间前完成上传经过数字证书电子签章并加密的投标文件（加密</w:t>
      </w:r>
      <w:r>
        <w:rPr>
          <w:color w:val="auto"/>
          <w:spacing w:val="-109"/>
        </w:rPr>
        <w:t xml:space="preserve"> </w:t>
      </w:r>
      <w:r>
        <w:rPr>
          <w:color w:val="auto"/>
          <w:spacing w:val="-3"/>
        </w:rPr>
        <w:t>和解密须用同一把数字证书）。</w:t>
      </w:r>
      <w:r>
        <w:rPr>
          <w:rFonts w:hint="eastAsia"/>
          <w:color w:val="auto"/>
          <w:spacing w:val="-3"/>
          <w:lang w:eastAsia="zh-CN"/>
        </w:rPr>
        <w:t>供应商</w:t>
      </w:r>
      <w:r>
        <w:rPr>
          <w:color w:val="auto"/>
          <w:spacing w:val="-3"/>
        </w:rPr>
        <w:t>在投标截止时间前，可以对其所递交的投</w:t>
      </w:r>
      <w:r>
        <w:rPr>
          <w:color w:val="auto"/>
          <w:spacing w:val="-113"/>
        </w:rPr>
        <w:t xml:space="preserve"> </w:t>
      </w:r>
      <w:r>
        <w:rPr>
          <w:color w:val="auto"/>
          <w:spacing w:val="-3"/>
        </w:rPr>
        <w:t>标文件进行修改并重新上传，但以投标截止时间前最后一次上传的投标文件为有</w:t>
      </w:r>
      <w:r>
        <w:rPr>
          <w:color w:val="auto"/>
          <w:spacing w:val="-109"/>
        </w:rPr>
        <w:t xml:space="preserve"> </w:t>
      </w:r>
      <w:r>
        <w:rPr>
          <w:color w:val="auto"/>
        </w:rPr>
        <w:t>效投标文件。</w:t>
      </w:r>
    </w:p>
    <w:p w14:paraId="29C85F83">
      <w:pPr>
        <w:pStyle w:val="8"/>
        <w:kinsoku w:val="0"/>
        <w:overflowPunct w:val="0"/>
        <w:spacing w:line="357" w:lineRule="auto"/>
        <w:ind w:right="117" w:firstLine="480"/>
        <w:rPr>
          <w:rFonts w:hint="default"/>
          <w:color w:val="auto"/>
        </w:rPr>
      </w:pPr>
      <w:r>
        <w:rPr>
          <w:color w:val="auto"/>
          <w:spacing w:val="-3"/>
        </w:rPr>
        <w:t>投标截止时间以政采云中心交易平台显示的时间为准，逾期系统将自动关闭，</w:t>
      </w:r>
      <w:r>
        <w:rPr>
          <w:color w:val="auto"/>
        </w:rPr>
        <w:t xml:space="preserve"> 未完成上传的投标文件视为逾期送达，将被拒绝。</w:t>
      </w:r>
    </w:p>
    <w:p w14:paraId="663F4C04">
      <w:pPr>
        <w:pStyle w:val="8"/>
        <w:kinsoku w:val="0"/>
        <w:overflowPunct w:val="0"/>
        <w:spacing w:line="357" w:lineRule="auto"/>
        <w:ind w:right="357" w:firstLine="480"/>
        <w:jc w:val="both"/>
        <w:rPr>
          <w:rFonts w:hint="default"/>
          <w:color w:val="auto"/>
        </w:rPr>
      </w:pPr>
      <w:r>
        <w:rPr>
          <w:color w:val="auto"/>
        </w:rPr>
        <w:t>17.2</w:t>
      </w:r>
      <w:r>
        <w:rPr>
          <w:color w:val="auto"/>
          <w:spacing w:val="-51"/>
        </w:rPr>
        <w:t xml:space="preserve"> </w:t>
      </w:r>
      <w:r>
        <w:rPr>
          <w:color w:val="auto"/>
          <w:spacing w:val="2"/>
        </w:rPr>
        <w:t>是否采用不见面开标方式详见</w:t>
      </w:r>
      <w:r>
        <w:rPr>
          <w:rFonts w:hint="eastAsia"/>
          <w:color w:val="auto"/>
          <w:spacing w:val="2"/>
          <w:lang w:eastAsia="zh-CN"/>
        </w:rPr>
        <w:t>供应商</w:t>
      </w:r>
      <w:r>
        <w:rPr>
          <w:color w:val="auto"/>
          <w:spacing w:val="2"/>
        </w:rPr>
        <w:t>须知前附表，若本项目采用不见</w:t>
      </w:r>
      <w:r>
        <w:rPr>
          <w:color w:val="auto"/>
        </w:rPr>
        <w:t xml:space="preserve"> 面开标，无需提供电子投标文件</w:t>
      </w:r>
      <w:r>
        <w:rPr>
          <w:color w:val="auto"/>
          <w:spacing w:val="-60"/>
        </w:rPr>
        <w:t xml:space="preserve"> </w:t>
      </w:r>
      <w:r>
        <w:rPr>
          <w:color w:val="auto"/>
        </w:rPr>
        <w:t>U</w:t>
      </w:r>
      <w:r>
        <w:rPr>
          <w:color w:val="auto"/>
          <w:spacing w:val="-60"/>
        </w:rPr>
        <w:t xml:space="preserve"> </w:t>
      </w:r>
      <w:r>
        <w:rPr>
          <w:color w:val="auto"/>
        </w:rPr>
        <w:t>盘、纸质投标文件。</w:t>
      </w:r>
    </w:p>
    <w:p w14:paraId="0A423214">
      <w:pPr>
        <w:pStyle w:val="6"/>
        <w:kinsoku w:val="0"/>
        <w:overflowPunct w:val="0"/>
        <w:ind w:right="117"/>
        <w:rPr>
          <w:rFonts w:hint="default"/>
          <w:b w:val="0"/>
          <w:color w:val="auto"/>
        </w:rPr>
      </w:pPr>
      <w:r>
        <w:rPr>
          <w:color w:val="auto"/>
        </w:rPr>
        <w:t>18.投标文件的递交</w:t>
      </w:r>
    </w:p>
    <w:p w14:paraId="544C1653">
      <w:pPr>
        <w:pStyle w:val="8"/>
        <w:kinsoku w:val="0"/>
        <w:overflowPunct w:val="0"/>
        <w:spacing w:before="154" w:line="357" w:lineRule="auto"/>
        <w:ind w:right="357" w:firstLine="480"/>
        <w:jc w:val="both"/>
        <w:rPr>
          <w:rFonts w:hint="default"/>
          <w:color w:val="auto"/>
        </w:rPr>
      </w:pPr>
      <w:r>
        <w:rPr>
          <w:color w:val="auto"/>
        </w:rPr>
        <w:t>18.1</w:t>
      </w:r>
      <w:r>
        <w:rPr>
          <w:color w:val="auto"/>
          <w:spacing w:val="-51"/>
        </w:rPr>
        <w:t xml:space="preserve"> </w:t>
      </w:r>
      <w:r>
        <w:rPr>
          <w:rFonts w:hint="eastAsia"/>
          <w:color w:val="auto"/>
          <w:spacing w:val="2"/>
          <w:lang w:eastAsia="zh-CN"/>
        </w:rPr>
        <w:t>供应商</w:t>
      </w:r>
      <w:r>
        <w:rPr>
          <w:color w:val="auto"/>
          <w:spacing w:val="2"/>
        </w:rPr>
        <w:t>应当在招标文件要求提交投标文件的截止时间前网上投标，并</w:t>
      </w:r>
      <w:r>
        <w:rPr>
          <w:color w:val="auto"/>
        </w:rPr>
        <w:t xml:space="preserve"> 将未加密的电子投标文件光盘密封送达指定开标地点。</w:t>
      </w:r>
    </w:p>
    <w:p w14:paraId="48B939BC">
      <w:pPr>
        <w:pStyle w:val="8"/>
        <w:kinsoku w:val="0"/>
        <w:overflowPunct w:val="0"/>
        <w:spacing w:line="357" w:lineRule="auto"/>
        <w:ind w:right="357" w:firstLine="480"/>
        <w:jc w:val="both"/>
        <w:rPr>
          <w:rFonts w:hint="default"/>
          <w:color w:val="auto"/>
        </w:rPr>
      </w:pPr>
      <w:r>
        <w:rPr>
          <w:color w:val="auto"/>
        </w:rPr>
        <w:t>18.2</w:t>
      </w:r>
      <w:r>
        <w:rPr>
          <w:color w:val="auto"/>
          <w:spacing w:val="-51"/>
        </w:rPr>
        <w:t xml:space="preserve"> </w:t>
      </w:r>
      <w:r>
        <w:rPr>
          <w:color w:val="auto"/>
          <w:spacing w:val="2"/>
        </w:rPr>
        <w:t>在招标文件要求提交投标文件的截止时间之后送达的投标文件，为无</w:t>
      </w:r>
      <w:r>
        <w:rPr>
          <w:color w:val="auto"/>
        </w:rPr>
        <w:t xml:space="preserve"> 效投标文件，采购代理机构将拒绝接收。</w:t>
      </w:r>
    </w:p>
    <w:p w14:paraId="19206BAD">
      <w:pPr>
        <w:pStyle w:val="8"/>
        <w:kinsoku w:val="0"/>
        <w:overflowPunct w:val="0"/>
        <w:spacing w:line="357" w:lineRule="auto"/>
        <w:ind w:right="237" w:firstLine="480"/>
        <w:rPr>
          <w:rFonts w:hint="default"/>
          <w:color w:val="auto"/>
        </w:rPr>
      </w:pPr>
      <w:r>
        <w:rPr>
          <w:color w:val="auto"/>
        </w:rPr>
        <w:t>18.3</w:t>
      </w:r>
      <w:r>
        <w:rPr>
          <w:color w:val="auto"/>
          <w:spacing w:val="-91"/>
        </w:rPr>
        <w:t xml:space="preserve"> </w:t>
      </w:r>
      <w:r>
        <w:rPr>
          <w:color w:val="auto"/>
        </w:rPr>
        <w:t>是否采用不见面开标详见</w:t>
      </w:r>
      <w:r>
        <w:rPr>
          <w:rFonts w:hint="eastAsia"/>
          <w:color w:val="auto"/>
          <w:lang w:eastAsia="zh-CN"/>
        </w:rPr>
        <w:t>供应商</w:t>
      </w:r>
      <w:r>
        <w:rPr>
          <w:color w:val="auto"/>
        </w:rPr>
        <w:t xml:space="preserve">须知前附表，若项目采用不见面开标。 </w:t>
      </w:r>
      <w:r>
        <w:rPr>
          <w:color w:val="auto"/>
          <w:spacing w:val="-3"/>
        </w:rPr>
        <w:t>只需将加密电子投标文件在投标截止时间前通过政采云平台上传完成。上传时必</w:t>
      </w:r>
      <w:r>
        <w:rPr>
          <w:color w:val="auto"/>
          <w:spacing w:val="-109"/>
        </w:rPr>
        <w:t xml:space="preserve"> </w:t>
      </w:r>
      <w:r>
        <w:rPr>
          <w:color w:val="auto"/>
          <w:spacing w:val="-3"/>
        </w:rPr>
        <w:t>须得到电脑“上传成功”的确认回复后方为上传成功。逾期上传的或者未上传到</w:t>
      </w:r>
      <w:r>
        <w:rPr>
          <w:color w:val="auto"/>
          <w:spacing w:val="-111"/>
        </w:rPr>
        <w:t xml:space="preserve"> </w:t>
      </w:r>
      <w:r>
        <w:rPr>
          <w:color w:val="auto"/>
        </w:rPr>
        <w:t>平台的投标文件，采购人不予受理。</w:t>
      </w:r>
    </w:p>
    <w:p w14:paraId="6B0FEC47">
      <w:pPr>
        <w:pStyle w:val="6"/>
        <w:kinsoku w:val="0"/>
        <w:overflowPunct w:val="0"/>
        <w:ind w:right="117"/>
        <w:rPr>
          <w:rFonts w:hint="default"/>
          <w:b w:val="0"/>
          <w:color w:val="auto"/>
        </w:rPr>
      </w:pPr>
      <w:r>
        <w:rPr>
          <w:color w:val="auto"/>
        </w:rPr>
        <w:t>19.投标文件的修改和撤回</w:t>
      </w:r>
    </w:p>
    <w:p w14:paraId="45DDABEC">
      <w:pPr>
        <w:pStyle w:val="8"/>
        <w:kinsoku w:val="0"/>
        <w:overflowPunct w:val="0"/>
        <w:spacing w:before="154" w:line="357" w:lineRule="auto"/>
        <w:ind w:right="357" w:firstLine="480"/>
        <w:jc w:val="both"/>
        <w:rPr>
          <w:rFonts w:hint="default"/>
          <w:color w:val="auto"/>
        </w:rPr>
      </w:pPr>
      <w:r>
        <w:rPr>
          <w:color w:val="auto"/>
        </w:rPr>
        <w:t>19.1</w:t>
      </w:r>
      <w:r>
        <w:rPr>
          <w:color w:val="auto"/>
          <w:spacing w:val="-51"/>
        </w:rPr>
        <w:t xml:space="preserve"> </w:t>
      </w:r>
      <w:r>
        <w:rPr>
          <w:rFonts w:hint="eastAsia"/>
          <w:color w:val="auto"/>
          <w:spacing w:val="2"/>
          <w:lang w:eastAsia="zh-CN"/>
        </w:rPr>
        <w:t>供应商</w:t>
      </w:r>
      <w:r>
        <w:rPr>
          <w:color w:val="auto"/>
          <w:spacing w:val="2"/>
        </w:rPr>
        <w:t>在递交投标文件后，可以修改或撤回其投标，但这种修改和撤</w:t>
      </w:r>
      <w:r>
        <w:rPr>
          <w:color w:val="auto"/>
        </w:rPr>
        <w:t xml:space="preserve"> </w:t>
      </w:r>
      <w:r>
        <w:rPr>
          <w:color w:val="auto"/>
          <w:spacing w:val="-3"/>
        </w:rPr>
        <w:t>回，必须在规定的投标截止时间前。在投标截止时间后，</w:t>
      </w:r>
      <w:r>
        <w:rPr>
          <w:rFonts w:hint="eastAsia"/>
          <w:color w:val="auto"/>
          <w:spacing w:val="-3"/>
          <w:lang w:eastAsia="zh-CN"/>
        </w:rPr>
        <w:t>供应商</w:t>
      </w:r>
      <w:r>
        <w:rPr>
          <w:color w:val="auto"/>
          <w:spacing w:val="-3"/>
        </w:rPr>
        <w:t>不得要求修改或</w:t>
      </w:r>
      <w:r>
        <w:rPr>
          <w:color w:val="auto"/>
          <w:spacing w:val="-111"/>
        </w:rPr>
        <w:t xml:space="preserve"> </w:t>
      </w:r>
      <w:r>
        <w:rPr>
          <w:color w:val="auto"/>
        </w:rPr>
        <w:t>撤回其投标文件。</w:t>
      </w:r>
    </w:p>
    <w:p w14:paraId="1B5D8682">
      <w:pPr>
        <w:pStyle w:val="6"/>
        <w:kinsoku w:val="0"/>
        <w:overflowPunct w:val="0"/>
        <w:spacing w:before="8" w:line="496" w:lineRule="auto"/>
        <w:ind w:right="6877"/>
        <w:rPr>
          <w:rFonts w:hint="default"/>
          <w:color w:val="auto"/>
        </w:rPr>
      </w:pPr>
      <w:bookmarkStart w:id="37" w:name="六、开标"/>
      <w:bookmarkEnd w:id="37"/>
      <w:r>
        <w:rPr>
          <w:color w:val="auto"/>
        </w:rPr>
        <w:t>六、开标</w:t>
      </w:r>
    </w:p>
    <w:p w14:paraId="2BA77CE5">
      <w:pPr>
        <w:pStyle w:val="6"/>
        <w:kinsoku w:val="0"/>
        <w:overflowPunct w:val="0"/>
        <w:spacing w:before="8" w:line="496" w:lineRule="auto"/>
        <w:ind w:right="6877"/>
        <w:rPr>
          <w:rFonts w:hint="default"/>
          <w:color w:val="auto"/>
        </w:rPr>
      </w:pPr>
      <w:r>
        <w:rPr>
          <w:color w:val="auto"/>
        </w:rPr>
        <w:t>20.开标</w:t>
      </w:r>
    </w:p>
    <w:p w14:paraId="56BBC53B">
      <w:pPr>
        <w:pStyle w:val="8"/>
        <w:kinsoku w:val="0"/>
        <w:overflowPunct w:val="0"/>
        <w:spacing w:before="0" w:line="290" w:lineRule="exact"/>
        <w:ind w:right="117"/>
        <w:rPr>
          <w:rFonts w:hint="default"/>
          <w:color w:val="auto"/>
        </w:rPr>
      </w:pPr>
      <w:r>
        <w:rPr>
          <w:b/>
          <w:color w:val="auto"/>
        </w:rPr>
        <w:t>A．采用见面开标方式</w:t>
      </w:r>
    </w:p>
    <w:p w14:paraId="6EB82346">
      <w:pPr>
        <w:pStyle w:val="8"/>
        <w:kinsoku w:val="0"/>
        <w:overflowPunct w:val="0"/>
        <w:spacing w:before="106" w:line="357" w:lineRule="auto"/>
        <w:ind w:right="357" w:firstLine="480"/>
        <w:jc w:val="both"/>
        <w:rPr>
          <w:rFonts w:hint="default"/>
          <w:color w:val="auto"/>
        </w:rPr>
      </w:pPr>
      <w:r>
        <w:rPr>
          <w:color w:val="auto"/>
        </w:rPr>
        <w:t>20.1</w:t>
      </w:r>
      <w:r>
        <w:rPr>
          <w:color w:val="auto"/>
          <w:spacing w:val="-51"/>
        </w:rPr>
        <w:t xml:space="preserve"> </w:t>
      </w:r>
      <w:r>
        <w:rPr>
          <w:color w:val="auto"/>
          <w:spacing w:val="2"/>
        </w:rPr>
        <w:t>采购代理机构按照招标文件规定的时间、地点主持开标。</w:t>
      </w:r>
      <w:r>
        <w:rPr>
          <w:rFonts w:hint="eastAsia"/>
          <w:color w:val="auto"/>
          <w:spacing w:val="2"/>
          <w:lang w:eastAsia="zh-CN"/>
        </w:rPr>
        <w:t>供应商</w:t>
      </w:r>
      <w:r>
        <w:rPr>
          <w:color w:val="auto"/>
          <w:spacing w:val="2"/>
        </w:rPr>
        <w:t>法定</w:t>
      </w:r>
      <w:r>
        <w:rPr>
          <w:color w:val="auto"/>
        </w:rPr>
        <w:t xml:space="preserve"> </w:t>
      </w:r>
      <w:r>
        <w:rPr>
          <w:color w:val="auto"/>
          <w:spacing w:val="-3"/>
        </w:rPr>
        <w:t>代表人或授权代理人应携带身份证明、电子密钥（电子证书）、未加密的电子投</w:t>
      </w:r>
      <w:r>
        <w:rPr>
          <w:color w:val="auto"/>
          <w:spacing w:val="-109"/>
        </w:rPr>
        <w:t xml:space="preserve"> </w:t>
      </w:r>
      <w:r>
        <w:rPr>
          <w:color w:val="auto"/>
        </w:rPr>
        <w:t>标文件（用信封密封）及应当提交的其他资料参加开标并签到。</w:t>
      </w:r>
    </w:p>
    <w:p w14:paraId="56479424">
      <w:pPr>
        <w:pStyle w:val="8"/>
        <w:kinsoku w:val="0"/>
        <w:overflowPunct w:val="0"/>
        <w:spacing w:line="357" w:lineRule="auto"/>
        <w:ind w:right="117" w:firstLine="480"/>
        <w:rPr>
          <w:rFonts w:hint="default"/>
          <w:color w:val="auto"/>
        </w:rPr>
      </w:pPr>
      <w:r>
        <w:rPr>
          <w:color w:val="auto"/>
        </w:rPr>
        <w:t>20.2</w:t>
      </w:r>
      <w:r>
        <w:rPr>
          <w:color w:val="auto"/>
          <w:spacing w:val="-57"/>
        </w:rPr>
        <w:t xml:space="preserve"> </w:t>
      </w:r>
      <w:r>
        <w:rPr>
          <w:color w:val="auto"/>
          <w:spacing w:val="2"/>
        </w:rPr>
        <w:t>开标前，采购代理机构将会同监督人员或公证人员进行验标（检查网</w:t>
      </w:r>
      <w:r>
        <w:rPr>
          <w:color w:val="auto"/>
        </w:rPr>
        <w:t xml:space="preserve"> </w:t>
      </w:r>
      <w:r>
        <w:rPr>
          <w:color w:val="auto"/>
          <w:spacing w:val="-10"/>
        </w:rPr>
        <w:t>上招标系统正常与否，检查未加密的电子投标文件，检查</w:t>
      </w:r>
      <w:r>
        <w:rPr>
          <w:rFonts w:hint="eastAsia"/>
          <w:color w:val="auto"/>
          <w:spacing w:val="-10"/>
          <w:lang w:eastAsia="zh-CN"/>
        </w:rPr>
        <w:t>供应商</w:t>
      </w:r>
      <w:r>
        <w:rPr>
          <w:color w:val="auto"/>
          <w:spacing w:val="-10"/>
        </w:rPr>
        <w:t>保证金交纳情况），</w:t>
      </w:r>
      <w:r>
        <w:rPr>
          <w:color w:val="auto"/>
          <w:spacing w:val="-85"/>
        </w:rPr>
        <w:t xml:space="preserve"> </w:t>
      </w:r>
      <w:r>
        <w:rPr>
          <w:color w:val="auto"/>
          <w:spacing w:val="-6"/>
        </w:rPr>
        <w:t>确认无误后开标。开标时，各</w:t>
      </w:r>
      <w:r>
        <w:rPr>
          <w:rFonts w:hint="eastAsia"/>
          <w:color w:val="auto"/>
          <w:spacing w:val="-6"/>
          <w:lang w:eastAsia="zh-CN"/>
        </w:rPr>
        <w:t>供应商</w:t>
      </w:r>
      <w:r>
        <w:rPr>
          <w:color w:val="auto"/>
          <w:spacing w:val="-6"/>
        </w:rPr>
        <w:t>应对本单位的加密的电子投标文件现场解密，</w:t>
      </w:r>
      <w:r>
        <w:rPr>
          <w:color w:val="auto"/>
        </w:rPr>
        <w:t xml:space="preserve"> 采购代理机构工作人员在监督人员或公证人员监督下解密所有投标文件。</w:t>
      </w:r>
      <w:r>
        <w:rPr>
          <w:color w:val="auto"/>
          <w:spacing w:val="-3"/>
        </w:rPr>
        <w:t>因网上招标系统故障导致所有</w:t>
      </w:r>
      <w:r>
        <w:rPr>
          <w:rFonts w:hint="eastAsia"/>
          <w:color w:val="auto"/>
          <w:spacing w:val="-3"/>
          <w:lang w:eastAsia="zh-CN"/>
        </w:rPr>
        <w:t>供应商</w:t>
      </w:r>
      <w:r>
        <w:rPr>
          <w:color w:val="auto"/>
          <w:spacing w:val="-3"/>
        </w:rPr>
        <w:t>均解密失败时，</w:t>
      </w:r>
      <w:r>
        <w:rPr>
          <w:rFonts w:hint="eastAsia"/>
          <w:color w:val="auto"/>
          <w:spacing w:val="-3"/>
          <w:lang w:eastAsia="zh-CN"/>
        </w:rPr>
        <w:t>供应商</w:t>
      </w:r>
      <w:r>
        <w:rPr>
          <w:color w:val="auto"/>
          <w:spacing w:val="-3"/>
        </w:rPr>
        <w:t>使用未加密的电</w:t>
      </w:r>
      <w:r>
        <w:rPr>
          <w:color w:val="auto"/>
        </w:rPr>
        <w:t xml:space="preserve"> 子投标文件进行开评标。</w:t>
      </w:r>
    </w:p>
    <w:p w14:paraId="7AC42CB0">
      <w:pPr>
        <w:pStyle w:val="8"/>
        <w:kinsoku w:val="0"/>
        <w:overflowPunct w:val="0"/>
        <w:spacing w:line="357" w:lineRule="auto"/>
        <w:ind w:right="265" w:firstLine="480"/>
        <w:jc w:val="both"/>
        <w:rPr>
          <w:rFonts w:hint="default"/>
          <w:color w:val="auto"/>
        </w:rPr>
      </w:pPr>
      <w:r>
        <w:rPr>
          <w:color w:val="auto"/>
        </w:rPr>
        <w:t>20.3</w:t>
      </w:r>
      <w:r>
        <w:rPr>
          <w:color w:val="auto"/>
          <w:spacing w:val="-55"/>
        </w:rPr>
        <w:t xml:space="preserve"> </w:t>
      </w:r>
      <w:r>
        <w:rPr>
          <w:color w:val="auto"/>
          <w:spacing w:val="2"/>
        </w:rPr>
        <w:t>开标时，采购代理机构将通过网上开标系统公布</w:t>
      </w:r>
      <w:r>
        <w:rPr>
          <w:rFonts w:hint="eastAsia"/>
          <w:color w:val="auto"/>
          <w:spacing w:val="2"/>
          <w:lang w:eastAsia="zh-CN"/>
        </w:rPr>
        <w:t>供应商</w:t>
      </w:r>
      <w:r>
        <w:rPr>
          <w:color w:val="auto"/>
          <w:spacing w:val="2"/>
        </w:rPr>
        <w:t>名称、投标价</w:t>
      </w:r>
      <w:r>
        <w:rPr>
          <w:color w:val="auto"/>
        </w:rPr>
        <w:t xml:space="preserve"> </w:t>
      </w:r>
      <w:r>
        <w:rPr>
          <w:color w:val="auto"/>
          <w:spacing w:val="-3"/>
        </w:rPr>
        <w:t>格，以及采购代理机构认为合适的其它详细内容。</w:t>
      </w:r>
      <w:r>
        <w:rPr>
          <w:rFonts w:hint="eastAsia"/>
          <w:color w:val="auto"/>
          <w:spacing w:val="-3"/>
          <w:lang w:eastAsia="zh-CN"/>
        </w:rPr>
        <w:t>供应商</w:t>
      </w:r>
      <w:r>
        <w:rPr>
          <w:color w:val="auto"/>
          <w:spacing w:val="-3"/>
        </w:rPr>
        <w:t>若有报价和优惠未被唱</w:t>
      </w:r>
      <w:r>
        <w:rPr>
          <w:color w:val="auto"/>
          <w:spacing w:val="-109"/>
        </w:rPr>
        <w:t xml:space="preserve"> </w:t>
      </w:r>
      <w:r>
        <w:rPr>
          <w:color w:val="auto"/>
        </w:rPr>
        <w:t>出，应在开标时及时声明或提请注意，否则采购代理机构对此不承担任何责任。</w:t>
      </w:r>
    </w:p>
    <w:p w14:paraId="76188AE9">
      <w:pPr>
        <w:pStyle w:val="8"/>
        <w:kinsoku w:val="0"/>
        <w:overflowPunct w:val="0"/>
        <w:spacing w:line="357" w:lineRule="auto"/>
        <w:ind w:right="117" w:firstLine="480"/>
        <w:rPr>
          <w:rFonts w:hint="default"/>
          <w:color w:val="auto"/>
        </w:rPr>
      </w:pPr>
      <w:r>
        <w:rPr>
          <w:color w:val="auto"/>
        </w:rPr>
        <w:t>20.4</w:t>
      </w:r>
      <w:r>
        <w:rPr>
          <w:color w:val="auto"/>
          <w:spacing w:val="-51"/>
        </w:rPr>
        <w:t xml:space="preserve"> </w:t>
      </w:r>
      <w:r>
        <w:rPr>
          <w:color w:val="auto"/>
          <w:spacing w:val="2"/>
        </w:rPr>
        <w:t>在评审结束前，未得到采购代理机构允许，</w:t>
      </w:r>
      <w:r>
        <w:rPr>
          <w:rFonts w:hint="eastAsia"/>
          <w:color w:val="auto"/>
          <w:spacing w:val="2"/>
          <w:lang w:eastAsia="zh-CN"/>
        </w:rPr>
        <w:t>供应商</w:t>
      </w:r>
      <w:r>
        <w:rPr>
          <w:color w:val="auto"/>
          <w:spacing w:val="2"/>
        </w:rPr>
        <w:t>法定代表人或授权</w:t>
      </w:r>
      <w:r>
        <w:rPr>
          <w:color w:val="auto"/>
        </w:rPr>
        <w:t xml:space="preserve"> 代理人不得离开开标现场。</w:t>
      </w:r>
    </w:p>
    <w:p w14:paraId="3086E7E0">
      <w:pPr>
        <w:pStyle w:val="8"/>
        <w:kinsoku w:val="0"/>
        <w:overflowPunct w:val="0"/>
        <w:spacing w:line="420" w:lineRule="auto"/>
        <w:ind w:leftChars="50" w:right="117" w:firstLine="241" w:firstLineChars="100"/>
        <w:rPr>
          <w:rFonts w:hint="default"/>
          <w:color w:val="auto"/>
        </w:rPr>
      </w:pPr>
      <w:r>
        <w:rPr>
          <w:b/>
          <w:color w:val="auto"/>
        </w:rPr>
        <w:t>B．采用不见面开标方式</w:t>
      </w:r>
      <w:r>
        <w:rPr>
          <w:color w:val="auto"/>
        </w:rPr>
        <w:t>（是否采用详见</w:t>
      </w:r>
      <w:r>
        <w:rPr>
          <w:rFonts w:hint="eastAsia"/>
          <w:color w:val="auto"/>
          <w:lang w:eastAsia="zh-CN"/>
        </w:rPr>
        <w:t>供应商</w:t>
      </w:r>
      <w:r>
        <w:rPr>
          <w:color w:val="auto"/>
        </w:rPr>
        <w:t>须知前附表）</w:t>
      </w:r>
    </w:p>
    <w:p w14:paraId="174E5205">
      <w:pPr>
        <w:pStyle w:val="8"/>
        <w:kinsoku w:val="0"/>
        <w:overflowPunct w:val="0"/>
        <w:spacing w:before="5" w:line="360" w:lineRule="auto"/>
        <w:ind w:right="117" w:firstLine="480"/>
        <w:rPr>
          <w:rFonts w:hint="default"/>
          <w:color w:val="auto"/>
        </w:rPr>
      </w:pPr>
      <w:r>
        <w:rPr>
          <w:color w:val="auto"/>
          <w:spacing w:val="-3"/>
        </w:rPr>
        <w:t>招标人在规定的投标截止时间（开标时间）和</w:t>
      </w:r>
      <w:r>
        <w:rPr>
          <w:rFonts w:hint="eastAsia"/>
          <w:color w:val="auto"/>
          <w:spacing w:val="-3"/>
          <w:lang w:eastAsia="zh-CN"/>
        </w:rPr>
        <w:t>供应商</w:t>
      </w:r>
      <w:r>
        <w:rPr>
          <w:color w:val="auto"/>
          <w:spacing w:val="-3"/>
        </w:rPr>
        <w:t>须知前附表规定的地点</w:t>
      </w:r>
      <w:r>
        <w:rPr>
          <w:color w:val="auto"/>
        </w:rPr>
        <w:t xml:space="preserve"> </w:t>
      </w:r>
      <w:r>
        <w:rPr>
          <w:color w:val="auto"/>
          <w:spacing w:val="-3"/>
        </w:rPr>
        <w:t>开标。</w:t>
      </w:r>
      <w:r>
        <w:rPr>
          <w:rFonts w:hint="eastAsia"/>
          <w:color w:val="auto"/>
          <w:spacing w:val="-3"/>
          <w:lang w:eastAsia="zh-CN"/>
        </w:rPr>
        <w:t>供应商</w:t>
      </w:r>
      <w:r>
        <w:rPr>
          <w:color w:val="auto"/>
          <w:spacing w:val="-3"/>
        </w:rPr>
        <w:t>的法定代表人或其委托代理人无需到达开标现场，仅需在任意地点</w:t>
      </w:r>
      <w:r>
        <w:rPr>
          <w:color w:val="auto"/>
          <w:spacing w:val="-109"/>
        </w:rPr>
        <w:t xml:space="preserve"> </w:t>
      </w:r>
      <w:r>
        <w:rPr>
          <w:color w:val="auto"/>
          <w:spacing w:val="-3"/>
        </w:rPr>
        <w:t xml:space="preserve">通过政采云不见面开标系统，使用 </w:t>
      </w:r>
      <w:r>
        <w:rPr>
          <w:color w:val="auto"/>
        </w:rPr>
        <w:t>CA</w:t>
      </w:r>
      <w:r>
        <w:rPr>
          <w:color w:val="auto"/>
          <w:spacing w:val="-95"/>
        </w:rPr>
        <w:t xml:space="preserve"> </w:t>
      </w:r>
      <w:r>
        <w:rPr>
          <w:color w:val="auto"/>
          <w:spacing w:val="-4"/>
        </w:rPr>
        <w:t>密钥完成远程解密、提疑澄清、开标唱标、</w:t>
      </w:r>
      <w:r>
        <w:rPr>
          <w:color w:val="auto"/>
        </w:rPr>
        <w:t xml:space="preserve"> 结果公布等交互环节。</w:t>
      </w:r>
      <w:r>
        <w:rPr>
          <w:color w:val="auto"/>
          <w:spacing w:val="-7"/>
        </w:rPr>
        <w:t>法定代表人或法定代表人授权委托人参与远程交互，中途不得更换，在废标、</w:t>
      </w:r>
      <w:r>
        <w:rPr>
          <w:color w:val="auto"/>
        </w:rPr>
        <w:t xml:space="preserve"> </w:t>
      </w:r>
      <w:r>
        <w:rPr>
          <w:color w:val="auto"/>
          <w:spacing w:val="-3"/>
        </w:rPr>
        <w:t>澄清、提疑、传送文件等特殊情况下需要交互时，</w:t>
      </w:r>
      <w:r>
        <w:rPr>
          <w:rFonts w:hint="eastAsia"/>
          <w:color w:val="auto"/>
          <w:spacing w:val="-3"/>
          <w:lang w:eastAsia="zh-CN"/>
        </w:rPr>
        <w:t>供应商</w:t>
      </w:r>
      <w:r>
        <w:rPr>
          <w:color w:val="auto"/>
          <w:spacing w:val="-3"/>
        </w:rPr>
        <w:t>一端参与交互的人员将</w:t>
      </w:r>
      <w:r>
        <w:rPr>
          <w:color w:val="auto"/>
          <w:spacing w:val="-111"/>
        </w:rPr>
        <w:t xml:space="preserve"> </w:t>
      </w:r>
      <w:r>
        <w:rPr>
          <w:color w:val="auto"/>
          <w:spacing w:val="-3"/>
        </w:rPr>
        <w:t>均被视为是</w:t>
      </w:r>
      <w:r>
        <w:rPr>
          <w:rFonts w:hint="eastAsia"/>
          <w:color w:val="auto"/>
          <w:spacing w:val="-3"/>
          <w:lang w:eastAsia="zh-CN"/>
        </w:rPr>
        <w:t>供应商</w:t>
      </w:r>
      <w:r>
        <w:rPr>
          <w:color w:val="auto"/>
          <w:spacing w:val="-3"/>
        </w:rPr>
        <w:t>的授权委托人或法人代表，</w:t>
      </w:r>
      <w:r>
        <w:rPr>
          <w:rFonts w:hint="eastAsia"/>
          <w:color w:val="auto"/>
          <w:spacing w:val="-3"/>
          <w:lang w:eastAsia="zh-CN"/>
        </w:rPr>
        <w:t>供应商</w:t>
      </w:r>
      <w:r>
        <w:rPr>
          <w:color w:val="auto"/>
          <w:spacing w:val="-3"/>
        </w:rPr>
        <w:t>不得以不承认交互人员的资</w:t>
      </w:r>
      <w:r>
        <w:rPr>
          <w:color w:val="auto"/>
          <w:spacing w:val="-109"/>
        </w:rPr>
        <w:t xml:space="preserve"> </w:t>
      </w:r>
      <w:r>
        <w:rPr>
          <w:color w:val="auto"/>
        </w:rPr>
        <w:t>格或身份等为借口推脱，</w:t>
      </w:r>
      <w:r>
        <w:rPr>
          <w:rFonts w:hint="eastAsia"/>
          <w:color w:val="auto"/>
          <w:lang w:eastAsia="zh-CN"/>
        </w:rPr>
        <w:t>供应商</w:t>
      </w:r>
      <w:r>
        <w:rPr>
          <w:color w:val="auto"/>
        </w:rPr>
        <w:t>自行承担随意更换人员所导致的一切后果。</w:t>
      </w:r>
    </w:p>
    <w:p w14:paraId="3A4EAFD8">
      <w:pPr>
        <w:pStyle w:val="6"/>
        <w:kinsoku w:val="0"/>
        <w:overflowPunct w:val="0"/>
        <w:spacing w:before="8" w:line="360" w:lineRule="auto"/>
        <w:rPr>
          <w:rFonts w:hint="default"/>
          <w:b w:val="0"/>
          <w:color w:val="auto"/>
        </w:rPr>
      </w:pPr>
      <w:bookmarkStart w:id="38" w:name="七、评标步骤和要求"/>
      <w:bookmarkEnd w:id="38"/>
      <w:r>
        <w:rPr>
          <w:color w:val="auto"/>
        </w:rPr>
        <w:t>七、评标步骤和要求</w:t>
      </w:r>
    </w:p>
    <w:p w14:paraId="5C6DEF0F">
      <w:pPr>
        <w:pStyle w:val="8"/>
        <w:kinsoku w:val="0"/>
        <w:overflowPunct w:val="0"/>
        <w:spacing w:before="0" w:line="360" w:lineRule="auto"/>
        <w:rPr>
          <w:rFonts w:hint="default"/>
          <w:color w:val="auto"/>
        </w:rPr>
      </w:pPr>
      <w:r>
        <w:rPr>
          <w:b/>
          <w:color w:val="auto"/>
        </w:rPr>
        <w:t>21.组建评标委员会</w:t>
      </w:r>
    </w:p>
    <w:p w14:paraId="7FD37F80">
      <w:pPr>
        <w:pStyle w:val="8"/>
        <w:kinsoku w:val="0"/>
        <w:overflowPunct w:val="0"/>
        <w:spacing w:before="154" w:line="357" w:lineRule="auto"/>
        <w:ind w:right="117" w:firstLine="480"/>
        <w:jc w:val="both"/>
        <w:rPr>
          <w:rFonts w:hint="default"/>
          <w:color w:val="auto"/>
        </w:rPr>
      </w:pPr>
      <w:r>
        <w:rPr>
          <w:color w:val="auto"/>
        </w:rPr>
        <w:t>21.1</w:t>
      </w:r>
      <w:r>
        <w:rPr>
          <w:color w:val="auto"/>
          <w:spacing w:val="-51"/>
        </w:rPr>
        <w:t xml:space="preserve"> </w:t>
      </w:r>
      <w:r>
        <w:rPr>
          <w:color w:val="auto"/>
          <w:spacing w:val="2"/>
        </w:rPr>
        <w:t>采购代理机构根据有关法律法规和本招标文件的规定，结合招标项目</w:t>
      </w:r>
      <w:r>
        <w:rPr>
          <w:color w:val="auto"/>
        </w:rPr>
        <w:t xml:space="preserve"> </w:t>
      </w:r>
      <w:r>
        <w:rPr>
          <w:color w:val="auto"/>
          <w:spacing w:val="-3"/>
        </w:rPr>
        <w:t>的特点组建评标委员会，对投标文件进行评估和比较。评标委员会由五人以上单</w:t>
      </w:r>
      <w:r>
        <w:rPr>
          <w:color w:val="auto"/>
          <w:spacing w:val="-109"/>
        </w:rPr>
        <w:t xml:space="preserve"> </w:t>
      </w:r>
      <w:r>
        <w:rPr>
          <w:color w:val="auto"/>
        </w:rPr>
        <w:t>数组成，其中经济、技术等方面的专家不少于三分之二。</w:t>
      </w:r>
    </w:p>
    <w:p w14:paraId="68FC2767">
      <w:pPr>
        <w:pStyle w:val="8"/>
        <w:kinsoku w:val="0"/>
        <w:overflowPunct w:val="0"/>
        <w:spacing w:line="357" w:lineRule="auto"/>
        <w:ind w:right="117" w:firstLine="480"/>
        <w:jc w:val="both"/>
        <w:rPr>
          <w:rFonts w:hint="default"/>
          <w:color w:val="auto"/>
        </w:rPr>
      </w:pPr>
      <w:r>
        <w:rPr>
          <w:color w:val="auto"/>
        </w:rPr>
        <w:t>21.2</w:t>
      </w:r>
      <w:r>
        <w:rPr>
          <w:color w:val="auto"/>
          <w:spacing w:val="-51"/>
        </w:rPr>
        <w:t xml:space="preserve"> </w:t>
      </w:r>
      <w:r>
        <w:rPr>
          <w:color w:val="auto"/>
          <w:spacing w:val="2"/>
        </w:rPr>
        <w:t>参与过本项目的论证专家不得作为评标专家参加评标，采购人不得以</w:t>
      </w:r>
      <w:r>
        <w:rPr>
          <w:color w:val="auto"/>
        </w:rPr>
        <w:t xml:space="preserve"> 专家身份参与评标。</w:t>
      </w:r>
    </w:p>
    <w:p w14:paraId="6ABFC7E8">
      <w:pPr>
        <w:pStyle w:val="6"/>
        <w:kinsoku w:val="0"/>
        <w:overflowPunct w:val="0"/>
        <w:rPr>
          <w:rFonts w:hint="default"/>
          <w:b w:val="0"/>
          <w:color w:val="auto"/>
        </w:rPr>
      </w:pPr>
      <w:r>
        <w:rPr>
          <w:color w:val="auto"/>
        </w:rPr>
        <w:t>22、资格审查</w:t>
      </w:r>
    </w:p>
    <w:p w14:paraId="160098BF">
      <w:pPr>
        <w:pStyle w:val="8"/>
        <w:kinsoku w:val="0"/>
        <w:overflowPunct w:val="0"/>
        <w:spacing w:before="154"/>
        <w:ind w:left="600"/>
        <w:rPr>
          <w:rFonts w:hint="default"/>
          <w:color w:val="auto"/>
          <w:spacing w:val="2"/>
        </w:rPr>
      </w:pPr>
      <w:r>
        <w:rPr>
          <w:color w:val="auto"/>
        </w:rPr>
        <w:t>22.1</w:t>
      </w:r>
      <w:r>
        <w:rPr>
          <w:color w:val="auto"/>
          <w:spacing w:val="-49"/>
        </w:rPr>
        <w:t xml:space="preserve"> </w:t>
      </w:r>
      <w:r>
        <w:rPr>
          <w:color w:val="auto"/>
          <w:spacing w:val="2"/>
        </w:rPr>
        <w:t>公开招标采购项目开标结束后，采购人或者采购代理机构应当依法对</w:t>
      </w:r>
    </w:p>
    <w:p w14:paraId="4E15C11F">
      <w:pPr>
        <w:pStyle w:val="8"/>
        <w:kinsoku w:val="0"/>
        <w:overflowPunct w:val="0"/>
        <w:spacing w:before="154" w:line="357" w:lineRule="auto"/>
        <w:ind w:right="1180"/>
        <w:rPr>
          <w:rFonts w:hint="default"/>
          <w:color w:val="auto"/>
        </w:rPr>
      </w:pPr>
      <w:r>
        <w:rPr>
          <w:rFonts w:hint="eastAsia"/>
          <w:color w:val="auto"/>
          <w:lang w:eastAsia="zh-CN"/>
        </w:rPr>
        <w:t>供应商</w:t>
      </w:r>
      <w:r>
        <w:rPr>
          <w:color w:val="auto"/>
        </w:rPr>
        <w:t>的资格进行审查。合格</w:t>
      </w:r>
      <w:r>
        <w:rPr>
          <w:rFonts w:hint="eastAsia"/>
          <w:color w:val="auto"/>
          <w:lang w:eastAsia="zh-CN"/>
        </w:rPr>
        <w:t>供应商</w:t>
      </w:r>
      <w:r>
        <w:rPr>
          <w:color w:val="auto"/>
        </w:rPr>
        <w:t>不足</w:t>
      </w:r>
      <w:r>
        <w:rPr>
          <w:color w:val="auto"/>
          <w:spacing w:val="-60"/>
        </w:rPr>
        <w:t xml:space="preserve"> </w:t>
      </w:r>
      <w:r>
        <w:rPr>
          <w:color w:val="auto"/>
        </w:rPr>
        <w:t>3</w:t>
      </w:r>
      <w:r>
        <w:rPr>
          <w:color w:val="auto"/>
          <w:spacing w:val="-60"/>
        </w:rPr>
        <w:t xml:space="preserve"> </w:t>
      </w:r>
      <w:r>
        <w:rPr>
          <w:color w:val="auto"/>
        </w:rPr>
        <w:t xml:space="preserve">家的，不得评标。 </w:t>
      </w:r>
    </w:p>
    <w:p w14:paraId="1B44263E">
      <w:pPr>
        <w:pStyle w:val="8"/>
        <w:kinsoku w:val="0"/>
        <w:overflowPunct w:val="0"/>
        <w:spacing w:before="154" w:line="357" w:lineRule="auto"/>
        <w:ind w:right="1180"/>
        <w:rPr>
          <w:rFonts w:hint="default"/>
          <w:color w:val="auto"/>
        </w:rPr>
      </w:pPr>
      <w:r>
        <w:rPr>
          <w:b/>
          <w:color w:val="auto"/>
        </w:rPr>
        <w:t>23.初步评审</w:t>
      </w:r>
    </w:p>
    <w:p w14:paraId="2D8872BE">
      <w:pPr>
        <w:pStyle w:val="8"/>
        <w:kinsoku w:val="0"/>
        <w:overflowPunct w:val="0"/>
        <w:spacing w:line="357" w:lineRule="auto"/>
        <w:ind w:right="117" w:firstLine="480"/>
        <w:jc w:val="both"/>
        <w:rPr>
          <w:rFonts w:hint="default"/>
          <w:color w:val="auto"/>
        </w:rPr>
      </w:pPr>
      <w:r>
        <w:rPr>
          <w:color w:val="auto"/>
        </w:rPr>
        <w:t>23.1</w:t>
      </w:r>
      <w:r>
        <w:rPr>
          <w:color w:val="auto"/>
          <w:spacing w:val="-51"/>
        </w:rPr>
        <w:t xml:space="preserve"> </w:t>
      </w:r>
      <w:r>
        <w:rPr>
          <w:color w:val="auto"/>
          <w:spacing w:val="2"/>
        </w:rPr>
        <w:t>评标委员会审查投标文件是否符合招标文件的基本要求：内容是否完</w:t>
      </w:r>
      <w:r>
        <w:rPr>
          <w:color w:val="auto"/>
        </w:rPr>
        <w:t xml:space="preserve"> 整、资格证明文件是否合格、文件签署是否齐全、有无计算错误等。</w:t>
      </w:r>
    </w:p>
    <w:p w14:paraId="26A501CC">
      <w:pPr>
        <w:pStyle w:val="8"/>
        <w:kinsoku w:val="0"/>
        <w:overflowPunct w:val="0"/>
        <w:ind w:left="600"/>
        <w:rPr>
          <w:rFonts w:hint="default"/>
          <w:color w:val="auto"/>
        </w:rPr>
      </w:pPr>
      <w:r>
        <w:rPr>
          <w:color w:val="auto"/>
        </w:rPr>
        <w:t>23.2</w:t>
      </w:r>
      <w:r>
        <w:rPr>
          <w:color w:val="auto"/>
          <w:spacing w:val="-60"/>
        </w:rPr>
        <w:t xml:space="preserve"> </w:t>
      </w:r>
      <w:r>
        <w:rPr>
          <w:color w:val="auto"/>
        </w:rPr>
        <w:t>评标委员会审查投标文件是否实质上响应招标文件的要求。</w:t>
      </w:r>
    </w:p>
    <w:p w14:paraId="05978074">
      <w:pPr>
        <w:pStyle w:val="8"/>
        <w:kinsoku w:val="0"/>
        <w:overflowPunct w:val="0"/>
        <w:spacing w:before="154" w:line="357" w:lineRule="auto"/>
        <w:ind w:right="120" w:firstLine="480"/>
        <w:jc w:val="both"/>
        <w:rPr>
          <w:rFonts w:hint="default"/>
          <w:color w:val="auto"/>
        </w:rPr>
      </w:pPr>
      <w:r>
        <w:rPr>
          <w:color w:val="auto"/>
        </w:rPr>
        <w:t>1）实质上响应的投标是指与招标文件上的条款、条件和规格相符，没有重 大偏离或保留，否则将视为无效投标。</w:t>
      </w:r>
    </w:p>
    <w:p w14:paraId="7A0BA9CF">
      <w:pPr>
        <w:pStyle w:val="8"/>
        <w:kinsoku w:val="0"/>
        <w:overflowPunct w:val="0"/>
        <w:spacing w:line="357" w:lineRule="auto"/>
        <w:ind w:right="117" w:firstLine="480"/>
        <w:jc w:val="both"/>
        <w:rPr>
          <w:rFonts w:hint="default"/>
          <w:color w:val="auto"/>
        </w:rPr>
      </w:pPr>
      <w:r>
        <w:rPr>
          <w:color w:val="auto"/>
        </w:rPr>
        <w:t xml:space="preserve">2）重大偏离或保留系指投标货物的质量、数量和交付日期等明显不能满足 </w:t>
      </w:r>
      <w:r>
        <w:rPr>
          <w:color w:val="auto"/>
          <w:spacing w:val="-3"/>
        </w:rPr>
        <w:t>招标文件的要求，或者实质上与招标文件不一致，纠正这些偏离或保留将对其他</w:t>
      </w:r>
      <w:r>
        <w:rPr>
          <w:color w:val="auto"/>
          <w:spacing w:val="-109"/>
        </w:rPr>
        <w:t xml:space="preserve"> </w:t>
      </w:r>
      <w:r>
        <w:rPr>
          <w:color w:val="auto"/>
        </w:rPr>
        <w:t>实质上响应要求的</w:t>
      </w:r>
      <w:r>
        <w:rPr>
          <w:rFonts w:hint="eastAsia"/>
          <w:color w:val="auto"/>
          <w:lang w:eastAsia="zh-CN"/>
        </w:rPr>
        <w:t>供应商</w:t>
      </w:r>
      <w:r>
        <w:rPr>
          <w:color w:val="auto"/>
        </w:rPr>
        <w:t>的竞争地位产生不公正的影响。包括但不限于：</w:t>
      </w:r>
    </w:p>
    <w:p w14:paraId="48EFE9DD">
      <w:pPr>
        <w:pStyle w:val="8"/>
        <w:kinsoku w:val="0"/>
        <w:overflowPunct w:val="0"/>
        <w:spacing w:line="357" w:lineRule="auto"/>
        <w:ind w:right="117" w:firstLine="470"/>
        <w:jc w:val="both"/>
        <w:rPr>
          <w:rFonts w:hint="default"/>
          <w:color w:val="auto"/>
        </w:rPr>
      </w:pPr>
      <w:r>
        <w:rPr>
          <w:color w:val="auto"/>
        </w:rPr>
        <w:t>A、招标文件第二部分“</w:t>
      </w:r>
      <w:r>
        <w:rPr>
          <w:rFonts w:hint="eastAsia"/>
          <w:color w:val="auto"/>
          <w:lang w:eastAsia="zh-CN"/>
        </w:rPr>
        <w:t>供应商</w:t>
      </w:r>
      <w:r>
        <w:rPr>
          <w:color w:val="auto"/>
        </w:rPr>
        <w:t>须知前附表”“投标文件组成”部分中，带 “★”号部分的证明文件不全或无效的；</w:t>
      </w:r>
    </w:p>
    <w:p w14:paraId="2A512954">
      <w:pPr>
        <w:pStyle w:val="8"/>
        <w:kinsoku w:val="0"/>
        <w:overflowPunct w:val="0"/>
        <w:spacing w:line="357" w:lineRule="auto"/>
        <w:ind w:left="590" w:right="1180"/>
        <w:rPr>
          <w:color w:val="auto"/>
        </w:rPr>
      </w:pPr>
      <w:r>
        <w:rPr>
          <w:color w:val="auto"/>
        </w:rPr>
        <w:t>B、投标文件未按招标文件的规定签章的；</w:t>
      </w:r>
    </w:p>
    <w:p w14:paraId="0FEFBA0F">
      <w:pPr>
        <w:pStyle w:val="8"/>
        <w:kinsoku w:val="0"/>
        <w:overflowPunct w:val="0"/>
        <w:spacing w:line="357" w:lineRule="auto"/>
        <w:ind w:left="590" w:right="1180"/>
        <w:rPr>
          <w:color w:val="auto"/>
        </w:rPr>
      </w:pPr>
      <w:r>
        <w:rPr>
          <w:color w:val="auto"/>
        </w:rPr>
        <w:t xml:space="preserve"> C、未按投标文件份数要求提交投标文件的；</w:t>
      </w:r>
    </w:p>
    <w:p w14:paraId="692A6CD4">
      <w:pPr>
        <w:pStyle w:val="8"/>
        <w:kinsoku w:val="0"/>
        <w:overflowPunct w:val="0"/>
        <w:spacing w:line="357" w:lineRule="auto"/>
        <w:ind w:left="590" w:right="1180"/>
        <w:rPr>
          <w:color w:val="auto"/>
        </w:rPr>
      </w:pPr>
      <w:r>
        <w:rPr>
          <w:color w:val="auto"/>
        </w:rPr>
        <w:t>D、报价超过项目预算或经评标委员会认定低于成本的；</w:t>
      </w:r>
    </w:p>
    <w:p w14:paraId="3BF4952D">
      <w:pPr>
        <w:pStyle w:val="8"/>
        <w:kinsoku w:val="0"/>
        <w:overflowPunct w:val="0"/>
        <w:spacing w:line="357" w:lineRule="auto"/>
        <w:ind w:left="590" w:right="1180"/>
        <w:rPr>
          <w:color w:val="auto"/>
        </w:rPr>
      </w:pPr>
      <w:r>
        <w:rPr>
          <w:color w:val="auto"/>
        </w:rPr>
        <w:t>E、投标有效期不足的；</w:t>
      </w:r>
    </w:p>
    <w:p w14:paraId="617A091E">
      <w:pPr>
        <w:pStyle w:val="8"/>
        <w:kinsoku w:val="0"/>
        <w:overflowPunct w:val="0"/>
        <w:spacing w:line="357" w:lineRule="auto"/>
        <w:ind w:left="590" w:right="1180"/>
        <w:rPr>
          <w:color w:val="auto"/>
        </w:rPr>
      </w:pPr>
      <w:r>
        <w:rPr>
          <w:color w:val="auto"/>
        </w:rPr>
        <w:t>F、联合体投标文件未附联合体投标协议书的；</w:t>
      </w:r>
    </w:p>
    <w:p w14:paraId="7915CE13">
      <w:pPr>
        <w:pStyle w:val="8"/>
        <w:kinsoku w:val="0"/>
        <w:overflowPunct w:val="0"/>
        <w:spacing w:line="357" w:lineRule="auto"/>
        <w:ind w:left="590" w:right="1180"/>
        <w:rPr>
          <w:color w:val="auto"/>
        </w:rPr>
      </w:pPr>
      <w:r>
        <w:rPr>
          <w:color w:val="auto"/>
        </w:rPr>
        <w:t>G、不符合招标文件中有关分包规定的；</w:t>
      </w:r>
    </w:p>
    <w:p w14:paraId="6028D555">
      <w:pPr>
        <w:pStyle w:val="8"/>
        <w:kinsoku w:val="0"/>
        <w:overflowPunct w:val="0"/>
        <w:spacing w:line="357" w:lineRule="auto"/>
        <w:ind w:left="590" w:right="1180"/>
        <w:rPr>
          <w:rFonts w:hint="default"/>
          <w:color w:val="auto"/>
        </w:rPr>
      </w:pPr>
      <w:r>
        <w:rPr>
          <w:color w:val="auto"/>
        </w:rPr>
        <w:t>H、</w:t>
      </w:r>
      <w:r>
        <w:rPr>
          <w:rFonts w:ascii="宋体" w:eastAsia="宋体" w:cs="宋体"/>
          <w:color w:val="auto"/>
          <w:spacing w:val="-6"/>
        </w:rPr>
        <w:t>有串通投标或弄虚作假或有其他违法行为的；</w:t>
      </w:r>
    </w:p>
    <w:p w14:paraId="7B423D5F">
      <w:pPr>
        <w:pStyle w:val="8"/>
        <w:kinsoku w:val="0"/>
        <w:overflowPunct w:val="0"/>
        <w:spacing w:line="357" w:lineRule="auto"/>
        <w:ind w:right="117" w:firstLine="480"/>
        <w:jc w:val="both"/>
        <w:rPr>
          <w:rFonts w:ascii="宋体" w:eastAsia="宋体" w:cs="宋体"/>
          <w:color w:val="auto"/>
          <w:spacing w:val="-6"/>
        </w:rPr>
      </w:pPr>
      <w:r>
        <w:rPr>
          <w:rFonts w:ascii="宋体" w:eastAsia="宋体" w:cs="宋体"/>
          <w:color w:val="auto"/>
          <w:spacing w:val="-6"/>
        </w:rPr>
        <w:t>I、</w:t>
      </w:r>
      <w:r>
        <w:rPr>
          <w:rFonts w:hint="eastAsia" w:ascii="宋体" w:eastAsia="宋体" w:cs="宋体"/>
          <w:color w:val="auto"/>
          <w:spacing w:val="-6"/>
          <w:lang w:eastAsia="zh-CN"/>
        </w:rPr>
        <w:t>供应商</w:t>
      </w:r>
      <w:r>
        <w:rPr>
          <w:rFonts w:ascii="宋体" w:eastAsia="宋体" w:cs="宋体"/>
          <w:color w:val="auto"/>
          <w:spacing w:val="-6"/>
        </w:rPr>
        <w:t>递交的电子投标文件（加密电子投标文件和未加密电子投标文件） 均无法满足正常开标、评标使用功能的；</w:t>
      </w:r>
    </w:p>
    <w:p w14:paraId="3D40F439">
      <w:pPr>
        <w:pStyle w:val="8"/>
        <w:kinsoku w:val="0"/>
        <w:overflowPunct w:val="0"/>
        <w:spacing w:line="357" w:lineRule="auto"/>
        <w:ind w:right="117" w:firstLine="480"/>
        <w:jc w:val="both"/>
        <w:rPr>
          <w:rFonts w:hint="default" w:ascii="宋体" w:eastAsia="宋体" w:cs="宋体"/>
          <w:color w:val="auto"/>
          <w:spacing w:val="-6"/>
        </w:rPr>
      </w:pPr>
      <w:r>
        <w:rPr>
          <w:rFonts w:ascii="宋体" w:eastAsia="宋体" w:cs="宋体"/>
          <w:color w:val="auto"/>
          <w:spacing w:val="-6"/>
        </w:rPr>
        <w:t>J、</w:t>
      </w:r>
      <w:r>
        <w:rPr>
          <w:rFonts w:hint="eastAsia" w:ascii="宋体" w:eastAsia="宋体" w:cs="宋体"/>
          <w:color w:val="auto"/>
          <w:spacing w:val="-6"/>
          <w:lang w:eastAsia="zh-CN"/>
        </w:rPr>
        <w:t>供应商</w:t>
      </w:r>
      <w:r>
        <w:rPr>
          <w:rFonts w:ascii="宋体" w:eastAsia="宋体" w:cs="宋体"/>
          <w:color w:val="auto"/>
          <w:spacing w:val="-6"/>
        </w:rPr>
        <w:t>名称或组织结构与领取采购文件时不一致且无有效变更证明的； L、不符合招标文件中规定的其他实质性要求。</w:t>
      </w:r>
    </w:p>
    <w:p w14:paraId="61A28E2F">
      <w:pPr>
        <w:pStyle w:val="8"/>
        <w:kinsoku w:val="0"/>
        <w:overflowPunct w:val="0"/>
        <w:spacing w:line="357" w:lineRule="auto"/>
        <w:ind w:right="117" w:firstLine="480"/>
        <w:jc w:val="both"/>
        <w:rPr>
          <w:rFonts w:hint="default"/>
          <w:color w:val="auto"/>
          <w:spacing w:val="-6"/>
        </w:rPr>
      </w:pPr>
      <w:r>
        <w:rPr>
          <w:color w:val="auto"/>
        </w:rPr>
        <w:t>23.3</w:t>
      </w:r>
      <w:r>
        <w:rPr>
          <w:color w:val="auto"/>
          <w:spacing w:val="-56"/>
        </w:rPr>
        <w:t xml:space="preserve"> </w:t>
      </w:r>
      <w:r>
        <w:rPr>
          <w:color w:val="auto"/>
          <w:spacing w:val="2"/>
        </w:rPr>
        <w:t>投标文件的细微偏差是指在实质上响应招标文件要求，但在个别地方</w:t>
      </w:r>
      <w:r>
        <w:rPr>
          <w:color w:val="auto"/>
        </w:rPr>
        <w:t xml:space="preserve"> </w:t>
      </w:r>
      <w:r>
        <w:rPr>
          <w:color w:val="auto"/>
          <w:spacing w:val="-3"/>
        </w:rPr>
        <w:t>存在漏项或者提供了不完整的技术信息和数据等情况，并且补正这些遗漏或者不</w:t>
      </w:r>
      <w:r>
        <w:rPr>
          <w:color w:val="auto"/>
          <w:spacing w:val="-109"/>
        </w:rPr>
        <w:t xml:space="preserve"> </w:t>
      </w:r>
      <w:r>
        <w:rPr>
          <w:color w:val="auto"/>
          <w:spacing w:val="-6"/>
        </w:rPr>
        <w:t>完整，不会对其他</w:t>
      </w:r>
      <w:r>
        <w:rPr>
          <w:rFonts w:hint="eastAsia"/>
          <w:color w:val="auto"/>
          <w:spacing w:val="-6"/>
          <w:lang w:eastAsia="zh-CN"/>
        </w:rPr>
        <w:t>供应商</w:t>
      </w:r>
      <w:r>
        <w:rPr>
          <w:color w:val="auto"/>
          <w:spacing w:val="-6"/>
        </w:rPr>
        <w:t>造成不公正的结果。细微偏差不影响投标文件的有效性。</w:t>
      </w:r>
    </w:p>
    <w:p w14:paraId="1857C1AD">
      <w:pPr>
        <w:pStyle w:val="8"/>
        <w:kinsoku w:val="0"/>
        <w:overflowPunct w:val="0"/>
        <w:spacing w:line="357" w:lineRule="auto"/>
        <w:ind w:right="237" w:firstLine="480"/>
        <w:rPr>
          <w:rFonts w:hint="default"/>
          <w:color w:val="auto"/>
        </w:rPr>
      </w:pPr>
      <w:r>
        <w:rPr>
          <w:color w:val="auto"/>
        </w:rPr>
        <w:t>23.4</w:t>
      </w:r>
      <w:r>
        <w:rPr>
          <w:color w:val="auto"/>
          <w:spacing w:val="-51"/>
        </w:rPr>
        <w:t xml:space="preserve"> </w:t>
      </w:r>
      <w:r>
        <w:rPr>
          <w:color w:val="auto"/>
          <w:spacing w:val="2"/>
        </w:rPr>
        <w:t>初步评审中，对明显的文字和计算错误按下述原则处理，若出现相互</w:t>
      </w:r>
      <w:r>
        <w:rPr>
          <w:color w:val="auto"/>
        </w:rPr>
        <w:t xml:space="preserve"> 矛盾之处，应以排列在先的原则为准优先处理：</w:t>
      </w:r>
    </w:p>
    <w:p w14:paraId="363C73A2">
      <w:pPr>
        <w:pStyle w:val="8"/>
        <w:kinsoku w:val="0"/>
        <w:overflowPunct w:val="0"/>
        <w:ind w:left="590" w:right="237"/>
        <w:rPr>
          <w:rFonts w:hint="default"/>
          <w:color w:val="auto"/>
        </w:rPr>
      </w:pPr>
      <w:r>
        <w:rPr>
          <w:color w:val="auto"/>
        </w:rPr>
        <w:t>1）投标文件中的开标一览表与明细表内容不一致的，以开标一览表为准。</w:t>
      </w:r>
    </w:p>
    <w:p w14:paraId="5C843427">
      <w:pPr>
        <w:pStyle w:val="8"/>
        <w:kinsoku w:val="0"/>
        <w:overflowPunct w:val="0"/>
        <w:spacing w:before="154" w:line="357" w:lineRule="auto"/>
        <w:ind w:right="237" w:firstLine="480"/>
        <w:rPr>
          <w:rFonts w:hint="default"/>
          <w:color w:val="auto"/>
        </w:rPr>
      </w:pPr>
      <w:r>
        <w:rPr>
          <w:color w:val="auto"/>
        </w:rPr>
        <w:t>2）如果以文字表示的数据与数字表示的有差别，以文字为准修正数字。如 果大写金额和小写金额不一致的，以大写金额为准；</w:t>
      </w:r>
    </w:p>
    <w:p w14:paraId="0A4915CF">
      <w:pPr>
        <w:pStyle w:val="8"/>
        <w:kinsoku w:val="0"/>
        <w:overflowPunct w:val="0"/>
        <w:spacing w:line="357" w:lineRule="auto"/>
        <w:ind w:right="237" w:firstLine="480"/>
        <w:jc w:val="both"/>
        <w:rPr>
          <w:rFonts w:hint="default"/>
          <w:color w:val="auto"/>
        </w:rPr>
      </w:pPr>
      <w:r>
        <w:rPr>
          <w:color w:val="auto"/>
        </w:rPr>
        <w:t xml:space="preserve">3）如果单价乘以数量不等于总价，以单价为准修正总价，但单价金额小数 </w:t>
      </w:r>
      <w:r>
        <w:rPr>
          <w:color w:val="auto"/>
          <w:spacing w:val="-3"/>
        </w:rPr>
        <w:t>点有明显错位的，应以总价为准，并修改单价。如果明细价格相加不等于汇总价</w:t>
      </w:r>
      <w:r>
        <w:rPr>
          <w:color w:val="auto"/>
          <w:spacing w:val="-111"/>
        </w:rPr>
        <w:t xml:space="preserve"> </w:t>
      </w:r>
      <w:r>
        <w:rPr>
          <w:color w:val="auto"/>
        </w:rPr>
        <w:t>格，以明细价格为准。</w:t>
      </w:r>
    </w:p>
    <w:p w14:paraId="710B26B3">
      <w:pPr>
        <w:pStyle w:val="8"/>
        <w:kinsoku w:val="0"/>
        <w:overflowPunct w:val="0"/>
        <w:spacing w:line="357" w:lineRule="auto"/>
        <w:ind w:right="237" w:firstLine="480"/>
        <w:rPr>
          <w:rFonts w:hint="default"/>
          <w:color w:val="auto"/>
        </w:rPr>
      </w:pPr>
      <w:r>
        <w:rPr>
          <w:color w:val="auto"/>
        </w:rPr>
        <w:t>4）调整后的数据对</w:t>
      </w:r>
      <w:r>
        <w:rPr>
          <w:rFonts w:hint="eastAsia"/>
          <w:color w:val="auto"/>
          <w:lang w:eastAsia="zh-CN"/>
        </w:rPr>
        <w:t>供应商</w:t>
      </w:r>
      <w:r>
        <w:rPr>
          <w:color w:val="auto"/>
        </w:rPr>
        <w:t>具有约束力，</w:t>
      </w:r>
      <w:r>
        <w:rPr>
          <w:rFonts w:hint="eastAsia"/>
          <w:color w:val="auto"/>
          <w:lang w:eastAsia="zh-CN"/>
        </w:rPr>
        <w:t>供应商</w:t>
      </w:r>
      <w:r>
        <w:rPr>
          <w:color w:val="auto"/>
        </w:rPr>
        <w:t>不同意以上修正，其投标将 被拒绝。</w:t>
      </w:r>
    </w:p>
    <w:p w14:paraId="29A5D2EA">
      <w:pPr>
        <w:pStyle w:val="8"/>
        <w:kinsoku w:val="0"/>
        <w:overflowPunct w:val="0"/>
        <w:spacing w:line="357" w:lineRule="auto"/>
        <w:ind w:right="237" w:firstLine="480"/>
        <w:rPr>
          <w:rFonts w:hint="default"/>
          <w:color w:val="auto"/>
        </w:rPr>
      </w:pPr>
      <w:r>
        <w:rPr>
          <w:color w:val="auto"/>
        </w:rPr>
        <w:t>23.5</w:t>
      </w:r>
      <w:r>
        <w:rPr>
          <w:color w:val="auto"/>
          <w:spacing w:val="-51"/>
        </w:rPr>
        <w:t xml:space="preserve"> </w:t>
      </w:r>
      <w:r>
        <w:rPr>
          <w:color w:val="auto"/>
          <w:spacing w:val="2"/>
        </w:rPr>
        <w:t>评标委员会对投标文件的判定，只依据投标文件内容本身，不依据其</w:t>
      </w:r>
      <w:r>
        <w:rPr>
          <w:color w:val="auto"/>
        </w:rPr>
        <w:t xml:space="preserve"> 他外来证明。</w:t>
      </w:r>
    </w:p>
    <w:p w14:paraId="1B106AA3">
      <w:pPr>
        <w:pStyle w:val="6"/>
        <w:kinsoku w:val="0"/>
        <w:overflowPunct w:val="0"/>
        <w:ind w:right="237"/>
        <w:rPr>
          <w:rFonts w:hint="default"/>
          <w:b w:val="0"/>
          <w:color w:val="auto"/>
        </w:rPr>
      </w:pPr>
      <w:r>
        <w:rPr>
          <w:color w:val="auto"/>
        </w:rPr>
        <w:t>24.投标的澄清</w:t>
      </w:r>
    </w:p>
    <w:p w14:paraId="4C4D8F66">
      <w:pPr>
        <w:pStyle w:val="8"/>
        <w:kinsoku w:val="0"/>
        <w:overflowPunct w:val="0"/>
        <w:spacing w:before="154" w:line="357" w:lineRule="auto"/>
        <w:ind w:right="237" w:firstLine="480"/>
        <w:jc w:val="both"/>
        <w:rPr>
          <w:rFonts w:hint="default"/>
          <w:color w:val="auto"/>
        </w:rPr>
      </w:pPr>
      <w:r>
        <w:rPr>
          <w:color w:val="auto"/>
        </w:rPr>
        <w:t>24.1</w:t>
      </w:r>
      <w:r>
        <w:rPr>
          <w:color w:val="auto"/>
          <w:spacing w:val="-51"/>
        </w:rPr>
        <w:t xml:space="preserve"> </w:t>
      </w:r>
      <w:r>
        <w:rPr>
          <w:color w:val="auto"/>
          <w:spacing w:val="2"/>
        </w:rPr>
        <w:t>评标委员会有权要求</w:t>
      </w:r>
      <w:r>
        <w:rPr>
          <w:rFonts w:hint="eastAsia"/>
          <w:color w:val="auto"/>
          <w:spacing w:val="2"/>
          <w:lang w:eastAsia="zh-CN"/>
        </w:rPr>
        <w:t>供应商</w:t>
      </w:r>
      <w:r>
        <w:rPr>
          <w:color w:val="auto"/>
          <w:spacing w:val="2"/>
        </w:rPr>
        <w:t>对投标文件中含义不明确、对同类问题表</w:t>
      </w:r>
      <w:r>
        <w:rPr>
          <w:color w:val="auto"/>
        </w:rPr>
        <w:t xml:space="preserve"> </w:t>
      </w:r>
      <w:r>
        <w:rPr>
          <w:color w:val="auto"/>
          <w:spacing w:val="-3"/>
        </w:rPr>
        <w:t>述不一致或者有明显文字和计算错误等内容作必要的澄清、说明或者补正。该要</w:t>
      </w:r>
      <w:r>
        <w:rPr>
          <w:color w:val="auto"/>
          <w:spacing w:val="-109"/>
        </w:rPr>
        <w:t xml:space="preserve"> </w:t>
      </w:r>
      <w:r>
        <w:rPr>
          <w:color w:val="auto"/>
          <w:spacing w:val="-3"/>
        </w:rPr>
        <w:t>求应当采用书面形式，并由评标委员会成员签字。评标委员会不接受</w:t>
      </w:r>
      <w:r>
        <w:rPr>
          <w:rFonts w:hint="eastAsia"/>
          <w:color w:val="auto"/>
          <w:spacing w:val="-3"/>
          <w:lang w:eastAsia="zh-CN"/>
        </w:rPr>
        <w:t>供应商</w:t>
      </w:r>
      <w:r>
        <w:rPr>
          <w:color w:val="auto"/>
          <w:spacing w:val="-3"/>
        </w:rPr>
        <w:t>主动</w:t>
      </w:r>
      <w:r>
        <w:rPr>
          <w:color w:val="auto"/>
          <w:spacing w:val="-109"/>
        </w:rPr>
        <w:t xml:space="preserve"> </w:t>
      </w:r>
      <w:r>
        <w:rPr>
          <w:color w:val="auto"/>
        </w:rPr>
        <w:t>提出的澄清、说明或者补正。</w:t>
      </w:r>
    </w:p>
    <w:p w14:paraId="6CC1CBDC">
      <w:pPr>
        <w:pStyle w:val="8"/>
        <w:kinsoku w:val="0"/>
        <w:overflowPunct w:val="0"/>
        <w:spacing w:line="357" w:lineRule="auto"/>
        <w:ind w:right="197" w:firstLine="480"/>
        <w:jc w:val="both"/>
        <w:rPr>
          <w:rFonts w:hint="default" w:ascii="宋体" w:eastAsia="宋体" w:cs="宋体"/>
          <w:color w:val="auto"/>
          <w:spacing w:val="2"/>
        </w:rPr>
      </w:pPr>
      <w:r>
        <w:rPr>
          <w:rFonts w:ascii="宋体" w:eastAsia="宋体" w:cs="宋体"/>
          <w:color w:val="auto"/>
          <w:spacing w:val="2"/>
        </w:rPr>
        <w:t xml:space="preserve">24.2 </w:t>
      </w:r>
      <w:r>
        <w:rPr>
          <w:rFonts w:hint="eastAsia" w:ascii="宋体" w:eastAsia="宋体" w:cs="宋体"/>
          <w:color w:val="auto"/>
          <w:spacing w:val="2"/>
          <w:lang w:eastAsia="zh-CN"/>
        </w:rPr>
        <w:t>供应商</w:t>
      </w:r>
      <w:r>
        <w:rPr>
          <w:rFonts w:ascii="宋体" w:eastAsia="宋体" w:cs="宋体"/>
          <w:color w:val="auto"/>
          <w:spacing w:val="2"/>
        </w:rPr>
        <w:t>必须按照评标委员会通知的内容和时间做出书面答复，该答复 经法定代表人或授权代理人的签字认可，将作为投标文件内容的一部分。澄清、 说明或者补正不得超出投标文件的范围或者改变投标文件的实质性内容。</w:t>
      </w:r>
      <w:r>
        <w:rPr>
          <w:rFonts w:hint="eastAsia" w:ascii="宋体" w:eastAsia="宋体" w:cs="宋体"/>
          <w:color w:val="auto"/>
          <w:spacing w:val="2"/>
          <w:lang w:eastAsia="zh-CN"/>
        </w:rPr>
        <w:t>供应商</w:t>
      </w:r>
      <w:r>
        <w:rPr>
          <w:rFonts w:ascii="宋体" w:eastAsia="宋体" w:cs="宋体"/>
          <w:color w:val="auto"/>
          <w:spacing w:val="2"/>
        </w:rPr>
        <w:t xml:space="preserve"> 拒不按照要求对投标文件进行澄清、说明或者补正的，评标委员会可拒绝该投标。</w:t>
      </w:r>
    </w:p>
    <w:p w14:paraId="505686BA">
      <w:pPr>
        <w:pStyle w:val="8"/>
        <w:kinsoku w:val="0"/>
        <w:overflowPunct w:val="0"/>
        <w:spacing w:line="357" w:lineRule="auto"/>
        <w:ind w:right="197" w:firstLine="480"/>
        <w:jc w:val="both"/>
        <w:rPr>
          <w:rFonts w:hint="default" w:ascii="宋体" w:eastAsia="宋体" w:cs="宋体"/>
          <w:color w:val="auto"/>
          <w:spacing w:val="2"/>
        </w:rPr>
      </w:pPr>
      <w:r>
        <w:rPr>
          <w:rFonts w:ascii="宋体" w:eastAsia="宋体" w:cs="宋体"/>
          <w:color w:val="auto"/>
          <w:spacing w:val="2"/>
        </w:rPr>
        <w:t>24.3 如评标委员会一致认为某个</w:t>
      </w:r>
      <w:r>
        <w:rPr>
          <w:rFonts w:hint="eastAsia" w:ascii="宋体" w:eastAsia="宋体" w:cs="宋体"/>
          <w:color w:val="auto"/>
          <w:spacing w:val="2"/>
          <w:lang w:eastAsia="zh-CN"/>
        </w:rPr>
        <w:t>供应商</w:t>
      </w:r>
      <w:r>
        <w:rPr>
          <w:rFonts w:ascii="宋体" w:eastAsia="宋体" w:cs="宋体"/>
          <w:color w:val="auto"/>
          <w:spacing w:val="2"/>
        </w:rPr>
        <w:t>的报价明显不合理，有降低质量、不能诚信履行的可能时，评标委员会有权决定是否通知</w:t>
      </w:r>
      <w:r>
        <w:rPr>
          <w:rFonts w:hint="eastAsia" w:ascii="宋体" w:eastAsia="宋体" w:cs="宋体"/>
          <w:color w:val="auto"/>
          <w:spacing w:val="2"/>
          <w:lang w:eastAsia="zh-CN"/>
        </w:rPr>
        <w:t>供应商</w:t>
      </w:r>
      <w:r>
        <w:rPr>
          <w:rFonts w:ascii="宋体" w:eastAsia="宋体" w:cs="宋体"/>
          <w:color w:val="auto"/>
          <w:spacing w:val="2"/>
        </w:rPr>
        <w:t>限期进行书面解释 或提供相关证明材料。若已要求，而该</w:t>
      </w:r>
      <w:r>
        <w:rPr>
          <w:rFonts w:hint="eastAsia" w:ascii="宋体" w:eastAsia="宋体" w:cs="宋体"/>
          <w:color w:val="auto"/>
          <w:spacing w:val="2"/>
          <w:lang w:eastAsia="zh-CN"/>
        </w:rPr>
        <w:t>供应商</w:t>
      </w:r>
      <w:r>
        <w:rPr>
          <w:rFonts w:ascii="宋体" w:eastAsia="宋体" w:cs="宋体"/>
          <w:color w:val="auto"/>
          <w:spacing w:val="2"/>
        </w:rPr>
        <w:t>在规定期限内未做出解释、作出的 解释不合理或不能提供证明材料的，经评标委员会取得一致意见后，可拒绝该投标。</w:t>
      </w:r>
    </w:p>
    <w:p w14:paraId="54B1D2D8">
      <w:pPr>
        <w:pStyle w:val="6"/>
        <w:kinsoku w:val="0"/>
        <w:overflowPunct w:val="0"/>
        <w:jc w:val="both"/>
        <w:rPr>
          <w:rFonts w:hint="default"/>
          <w:b w:val="0"/>
          <w:color w:val="auto"/>
        </w:rPr>
      </w:pPr>
      <w:r>
        <w:rPr>
          <w:color w:val="auto"/>
        </w:rPr>
        <w:t>25.详细评审</w:t>
      </w:r>
    </w:p>
    <w:p w14:paraId="1D11611F">
      <w:pPr>
        <w:pStyle w:val="8"/>
        <w:kinsoku w:val="0"/>
        <w:overflowPunct w:val="0"/>
        <w:spacing w:before="154" w:line="357" w:lineRule="auto"/>
        <w:ind w:right="197" w:firstLine="480"/>
        <w:jc w:val="both"/>
        <w:rPr>
          <w:rFonts w:hint="default"/>
          <w:color w:val="auto"/>
        </w:rPr>
      </w:pPr>
      <w:r>
        <w:rPr>
          <w:color w:val="auto"/>
        </w:rPr>
        <w:t>25.1</w:t>
      </w:r>
      <w:r>
        <w:rPr>
          <w:color w:val="auto"/>
          <w:spacing w:val="-51"/>
        </w:rPr>
        <w:t xml:space="preserve"> </w:t>
      </w:r>
      <w:r>
        <w:rPr>
          <w:color w:val="auto"/>
          <w:spacing w:val="2"/>
        </w:rPr>
        <w:t>评标委员会只对实质上响应招标文件的投标进行评价和比较；评审应</w:t>
      </w:r>
      <w:r>
        <w:rPr>
          <w:color w:val="auto"/>
        </w:rPr>
        <w:t xml:space="preserve"> </w:t>
      </w:r>
      <w:r>
        <w:rPr>
          <w:color w:val="auto"/>
          <w:spacing w:val="-3"/>
        </w:rPr>
        <w:t>严格按照招标文件第二部分“</w:t>
      </w:r>
      <w:r>
        <w:rPr>
          <w:rFonts w:hint="eastAsia"/>
          <w:color w:val="auto"/>
          <w:spacing w:val="-3"/>
          <w:lang w:eastAsia="zh-CN"/>
        </w:rPr>
        <w:t>供应商</w:t>
      </w:r>
      <w:r>
        <w:rPr>
          <w:color w:val="auto"/>
          <w:spacing w:val="-3"/>
        </w:rPr>
        <w:t>须知前附表”中的规定以及招标文件的要求</w:t>
      </w:r>
      <w:r>
        <w:rPr>
          <w:color w:val="auto"/>
          <w:spacing w:val="-109"/>
        </w:rPr>
        <w:t xml:space="preserve"> </w:t>
      </w:r>
      <w:r>
        <w:rPr>
          <w:color w:val="auto"/>
        </w:rPr>
        <w:t>进行。具体要求等详见招标文件第五部分“评审方法”。</w:t>
      </w:r>
    </w:p>
    <w:p w14:paraId="55506324">
      <w:pPr>
        <w:pStyle w:val="8"/>
        <w:kinsoku w:val="0"/>
        <w:overflowPunct w:val="0"/>
        <w:spacing w:line="357" w:lineRule="auto"/>
        <w:ind w:right="197" w:firstLine="480"/>
        <w:jc w:val="both"/>
        <w:rPr>
          <w:rFonts w:hint="default"/>
          <w:color w:val="auto"/>
        </w:rPr>
      </w:pPr>
      <w:r>
        <w:rPr>
          <w:color w:val="auto"/>
        </w:rPr>
        <w:t>25.2</w:t>
      </w:r>
      <w:r>
        <w:rPr>
          <w:color w:val="auto"/>
          <w:spacing w:val="-51"/>
        </w:rPr>
        <w:t xml:space="preserve"> </w:t>
      </w:r>
      <w:r>
        <w:rPr>
          <w:color w:val="auto"/>
          <w:spacing w:val="2"/>
        </w:rPr>
        <w:t>评标委员会依法独立评审，严格遵守评审工作纪律。对需要共同认定</w:t>
      </w:r>
      <w:r>
        <w:rPr>
          <w:color w:val="auto"/>
        </w:rPr>
        <w:t xml:space="preserve"> </w:t>
      </w:r>
      <w:r>
        <w:rPr>
          <w:color w:val="auto"/>
          <w:spacing w:val="-3"/>
        </w:rPr>
        <w:t>的事项存在争议的，按照少数服从多数的原则作出评审结论。持不同意见的评标</w:t>
      </w:r>
      <w:r>
        <w:rPr>
          <w:color w:val="auto"/>
          <w:spacing w:val="-109"/>
        </w:rPr>
        <w:t xml:space="preserve"> </w:t>
      </w:r>
      <w:r>
        <w:rPr>
          <w:color w:val="auto"/>
          <w:spacing w:val="-3"/>
        </w:rPr>
        <w:t>委员会成员应当在评标报告上签署不同意见并说明理由，不签署不同意见的视为</w:t>
      </w:r>
      <w:r>
        <w:rPr>
          <w:color w:val="auto"/>
          <w:spacing w:val="-109"/>
        </w:rPr>
        <w:t xml:space="preserve"> </w:t>
      </w:r>
      <w:r>
        <w:rPr>
          <w:color w:val="auto"/>
        </w:rPr>
        <w:t>同意。</w:t>
      </w:r>
    </w:p>
    <w:p w14:paraId="4FA790AE">
      <w:pPr>
        <w:pStyle w:val="6"/>
        <w:kinsoku w:val="0"/>
        <w:overflowPunct w:val="0"/>
        <w:jc w:val="both"/>
        <w:rPr>
          <w:rFonts w:hint="default"/>
          <w:b w:val="0"/>
          <w:color w:val="auto"/>
        </w:rPr>
      </w:pPr>
      <w:r>
        <w:rPr>
          <w:color w:val="auto"/>
        </w:rPr>
        <w:t>26.中标候选人</w:t>
      </w:r>
    </w:p>
    <w:p w14:paraId="0AB2819E">
      <w:pPr>
        <w:pStyle w:val="8"/>
        <w:kinsoku w:val="0"/>
        <w:overflowPunct w:val="0"/>
        <w:spacing w:before="154" w:line="357" w:lineRule="auto"/>
        <w:ind w:right="200" w:firstLine="480"/>
        <w:jc w:val="both"/>
        <w:rPr>
          <w:rFonts w:hint="default"/>
          <w:color w:val="auto"/>
        </w:rPr>
      </w:pPr>
      <w:r>
        <w:rPr>
          <w:color w:val="auto"/>
        </w:rPr>
        <w:t>26.1</w:t>
      </w:r>
      <w:r>
        <w:rPr>
          <w:color w:val="auto"/>
          <w:spacing w:val="-53"/>
        </w:rPr>
        <w:t xml:space="preserve"> </w:t>
      </w:r>
      <w:r>
        <w:rPr>
          <w:color w:val="auto"/>
          <w:spacing w:val="2"/>
        </w:rPr>
        <w:t>采用综合评分法的采购项目，评标委员会根据评审结果及招标文件的</w:t>
      </w:r>
      <w:r>
        <w:rPr>
          <w:color w:val="auto"/>
        </w:rPr>
        <w:t xml:space="preserve"> 规定推荐中标候选人。</w:t>
      </w:r>
    </w:p>
    <w:p w14:paraId="329612B8">
      <w:pPr>
        <w:pStyle w:val="6"/>
        <w:kinsoku w:val="0"/>
        <w:overflowPunct w:val="0"/>
        <w:jc w:val="both"/>
        <w:rPr>
          <w:rFonts w:hint="default"/>
          <w:b w:val="0"/>
          <w:color w:val="auto"/>
        </w:rPr>
      </w:pPr>
      <w:r>
        <w:rPr>
          <w:color w:val="auto"/>
        </w:rPr>
        <w:t>27.评标过程要求</w:t>
      </w:r>
    </w:p>
    <w:p w14:paraId="78214E7B">
      <w:pPr>
        <w:pStyle w:val="8"/>
        <w:kinsoku w:val="0"/>
        <w:overflowPunct w:val="0"/>
        <w:spacing w:before="154" w:line="357" w:lineRule="auto"/>
        <w:ind w:right="197" w:firstLine="480"/>
        <w:jc w:val="both"/>
        <w:rPr>
          <w:rFonts w:hint="default"/>
          <w:color w:val="auto"/>
        </w:rPr>
      </w:pPr>
      <w:r>
        <w:rPr>
          <w:color w:val="auto"/>
        </w:rPr>
        <w:t>27.1</w:t>
      </w:r>
      <w:r>
        <w:rPr>
          <w:color w:val="auto"/>
          <w:spacing w:val="-51"/>
        </w:rPr>
        <w:t xml:space="preserve"> </w:t>
      </w:r>
      <w:r>
        <w:rPr>
          <w:color w:val="auto"/>
          <w:spacing w:val="2"/>
        </w:rPr>
        <w:t>开标之后，直到签订合同止，凡是属于审查、澄清、评价和比较投标</w:t>
      </w:r>
      <w:r>
        <w:rPr>
          <w:color w:val="auto"/>
        </w:rPr>
        <w:t xml:space="preserve"> 的有关资料以及定标意向等，均不向</w:t>
      </w:r>
      <w:r>
        <w:rPr>
          <w:rFonts w:hint="eastAsia"/>
          <w:color w:val="auto"/>
          <w:lang w:eastAsia="zh-CN"/>
        </w:rPr>
        <w:t>供应商</w:t>
      </w:r>
      <w:r>
        <w:rPr>
          <w:color w:val="auto"/>
        </w:rPr>
        <w:t>或者其他与评标无关的人员透露。</w:t>
      </w:r>
    </w:p>
    <w:p w14:paraId="4857C32E">
      <w:pPr>
        <w:pStyle w:val="8"/>
        <w:kinsoku w:val="0"/>
        <w:overflowPunct w:val="0"/>
        <w:spacing w:line="357" w:lineRule="auto"/>
        <w:ind w:right="105" w:firstLine="480"/>
        <w:jc w:val="both"/>
        <w:rPr>
          <w:rFonts w:hint="default"/>
          <w:color w:val="auto"/>
        </w:rPr>
      </w:pPr>
      <w:r>
        <w:rPr>
          <w:color w:val="auto"/>
        </w:rPr>
        <w:t>27.2</w:t>
      </w:r>
      <w:r>
        <w:rPr>
          <w:color w:val="auto"/>
          <w:spacing w:val="-55"/>
        </w:rPr>
        <w:t xml:space="preserve"> </w:t>
      </w:r>
      <w:r>
        <w:rPr>
          <w:color w:val="auto"/>
          <w:spacing w:val="2"/>
        </w:rPr>
        <w:t>在确定中标人之前，</w:t>
      </w:r>
      <w:r>
        <w:rPr>
          <w:rFonts w:hint="eastAsia"/>
          <w:color w:val="auto"/>
          <w:spacing w:val="2"/>
          <w:lang w:eastAsia="zh-CN"/>
        </w:rPr>
        <w:t>供应商</w:t>
      </w:r>
      <w:r>
        <w:rPr>
          <w:color w:val="auto"/>
          <w:spacing w:val="2"/>
        </w:rPr>
        <w:t>试图在投标文件审查、澄清、比较和评标</w:t>
      </w:r>
      <w:r>
        <w:rPr>
          <w:color w:val="auto"/>
        </w:rPr>
        <w:t xml:space="preserve"> 时对评标委员会、采购人和采购代理机构施加任何影响都可能导致其投标无效。</w:t>
      </w:r>
    </w:p>
    <w:p w14:paraId="2934BE05">
      <w:pPr>
        <w:pStyle w:val="8"/>
        <w:kinsoku w:val="0"/>
        <w:overflowPunct w:val="0"/>
        <w:ind w:left="600"/>
        <w:rPr>
          <w:rFonts w:hint="default"/>
          <w:color w:val="auto"/>
        </w:rPr>
      </w:pPr>
      <w:r>
        <w:rPr>
          <w:color w:val="auto"/>
        </w:rPr>
        <w:t>27.3</w:t>
      </w:r>
      <w:r>
        <w:rPr>
          <w:color w:val="auto"/>
          <w:spacing w:val="-60"/>
        </w:rPr>
        <w:t xml:space="preserve"> </w:t>
      </w:r>
      <w:r>
        <w:rPr>
          <w:color w:val="auto"/>
        </w:rPr>
        <w:t>电子招投标的应急措施</w:t>
      </w:r>
    </w:p>
    <w:p w14:paraId="7E6B386B">
      <w:pPr>
        <w:pStyle w:val="8"/>
        <w:kinsoku w:val="0"/>
        <w:overflowPunct w:val="0"/>
        <w:spacing w:before="154" w:line="357" w:lineRule="auto"/>
        <w:ind w:right="197" w:firstLine="480"/>
        <w:jc w:val="both"/>
        <w:rPr>
          <w:rFonts w:hint="default"/>
          <w:color w:val="auto"/>
        </w:rPr>
      </w:pPr>
      <w:r>
        <w:rPr>
          <w:color w:val="auto"/>
        </w:rPr>
        <w:t>27.3.1</w:t>
      </w:r>
      <w:r>
        <w:rPr>
          <w:color w:val="auto"/>
          <w:spacing w:val="-50"/>
        </w:rPr>
        <w:t xml:space="preserve"> </w:t>
      </w:r>
      <w:r>
        <w:rPr>
          <w:color w:val="auto"/>
          <w:spacing w:val="2"/>
        </w:rPr>
        <w:t>电子开标、评标如出现下列原因，导致系统无法正常运行或无法正</w:t>
      </w:r>
      <w:r>
        <w:rPr>
          <w:color w:val="auto"/>
        </w:rPr>
        <w:t xml:space="preserve"> 常评标时，应采取应急措施。</w:t>
      </w:r>
    </w:p>
    <w:p w14:paraId="20CBD9F9">
      <w:pPr>
        <w:pStyle w:val="8"/>
        <w:kinsoku w:val="0"/>
        <w:overflowPunct w:val="0"/>
        <w:ind w:left="600"/>
        <w:rPr>
          <w:rFonts w:hint="default"/>
          <w:color w:val="auto"/>
        </w:rPr>
      </w:pPr>
      <w:r>
        <w:rPr>
          <w:color w:val="auto"/>
        </w:rPr>
        <w:t>（1）系统服务器发生故障，无法访问或无法使用系统；</w:t>
      </w:r>
    </w:p>
    <w:p w14:paraId="503F1A1C">
      <w:pPr>
        <w:pStyle w:val="8"/>
        <w:kinsoku w:val="0"/>
        <w:overflowPunct w:val="0"/>
        <w:spacing w:before="154"/>
        <w:ind w:left="600"/>
        <w:rPr>
          <w:rFonts w:hint="default"/>
          <w:color w:val="auto"/>
        </w:rPr>
      </w:pPr>
      <w:r>
        <w:rPr>
          <w:color w:val="auto"/>
        </w:rPr>
        <w:t>（2）系统的软件或数据库出现错误，不能进行正常操作；</w:t>
      </w:r>
    </w:p>
    <w:p w14:paraId="42E5E3FD">
      <w:pPr>
        <w:pStyle w:val="8"/>
        <w:kinsoku w:val="0"/>
        <w:overflowPunct w:val="0"/>
        <w:spacing w:before="154"/>
        <w:ind w:left="600"/>
        <w:rPr>
          <w:rFonts w:hint="default"/>
          <w:color w:val="auto"/>
        </w:rPr>
      </w:pPr>
      <w:r>
        <w:rPr>
          <w:color w:val="auto"/>
        </w:rPr>
        <w:t>（3）系统发现有安全漏洞，有潜在的泄密危险；</w:t>
      </w:r>
    </w:p>
    <w:p w14:paraId="40A2ACEF">
      <w:pPr>
        <w:pStyle w:val="8"/>
        <w:kinsoku w:val="0"/>
        <w:overflowPunct w:val="0"/>
        <w:spacing w:before="154"/>
        <w:ind w:left="600"/>
        <w:rPr>
          <w:rFonts w:hint="default"/>
          <w:color w:val="auto"/>
        </w:rPr>
      </w:pPr>
      <w:r>
        <w:rPr>
          <w:color w:val="auto"/>
        </w:rPr>
        <w:t>（4）病毒发作或受到外来病毒的攻击；</w:t>
      </w:r>
    </w:p>
    <w:p w14:paraId="26E823C2">
      <w:pPr>
        <w:pStyle w:val="8"/>
        <w:kinsoku w:val="0"/>
        <w:overflowPunct w:val="0"/>
        <w:spacing w:line="357" w:lineRule="auto"/>
        <w:ind w:right="105" w:firstLine="480"/>
        <w:jc w:val="both"/>
        <w:rPr>
          <w:rFonts w:hint="default" w:ascii="宋体" w:eastAsia="宋体" w:cs="宋体"/>
          <w:color w:val="auto"/>
        </w:rPr>
      </w:pPr>
      <w:r>
        <w:rPr>
          <w:rFonts w:ascii="宋体" w:eastAsia="宋体" w:cs="宋体"/>
          <w:color w:val="auto"/>
        </w:rPr>
        <w:t>（5）出现其他不可抗拒的客观原因造成开评标系统无法正常使用。 出现上述情况时，应对未开标的暂停开标。已在系统内开标、评标的立即停止。采取应急措施时，必须对原有资料及信息作出妥善保密处理。</w:t>
      </w:r>
    </w:p>
    <w:p w14:paraId="5D9AB909">
      <w:pPr>
        <w:pStyle w:val="8"/>
        <w:kinsoku w:val="0"/>
        <w:overflowPunct w:val="0"/>
        <w:spacing w:before="154" w:line="357" w:lineRule="auto"/>
        <w:ind w:right="117" w:firstLine="480"/>
        <w:jc w:val="both"/>
        <w:rPr>
          <w:rFonts w:hint="default"/>
          <w:color w:val="auto"/>
        </w:rPr>
      </w:pPr>
      <w:r>
        <w:rPr>
          <w:color w:val="auto"/>
        </w:rPr>
        <w:t>27.3.2</w:t>
      </w:r>
      <w:r>
        <w:rPr>
          <w:color w:val="auto"/>
          <w:spacing w:val="-50"/>
        </w:rPr>
        <w:t xml:space="preserve"> </w:t>
      </w:r>
      <w:r>
        <w:rPr>
          <w:color w:val="auto"/>
          <w:spacing w:val="2"/>
        </w:rPr>
        <w:t>因系统原因导致</w:t>
      </w:r>
      <w:r>
        <w:rPr>
          <w:rFonts w:hint="eastAsia"/>
          <w:color w:val="auto"/>
          <w:spacing w:val="2"/>
          <w:lang w:eastAsia="zh-CN"/>
        </w:rPr>
        <w:t>供应商</w:t>
      </w:r>
      <w:r>
        <w:rPr>
          <w:color w:val="auto"/>
          <w:spacing w:val="2"/>
        </w:rPr>
        <w:t>均无法解密电子投标文件时，采购代理机构</w:t>
      </w:r>
      <w:r>
        <w:rPr>
          <w:color w:val="auto"/>
        </w:rPr>
        <w:t xml:space="preserve"> </w:t>
      </w:r>
      <w:r>
        <w:rPr>
          <w:color w:val="auto"/>
          <w:spacing w:val="3"/>
        </w:rPr>
        <w:t>可在开标现场直接导入</w:t>
      </w:r>
      <w:r>
        <w:rPr>
          <w:rFonts w:hint="eastAsia"/>
          <w:color w:val="auto"/>
          <w:spacing w:val="3"/>
          <w:lang w:eastAsia="zh-CN"/>
        </w:rPr>
        <w:t>供应商</w:t>
      </w:r>
      <w:r>
        <w:rPr>
          <w:color w:val="auto"/>
          <w:spacing w:val="3"/>
        </w:rPr>
        <w:t>在投标截止时间前递交的未加密的电子投标文件</w:t>
      </w:r>
      <w:r>
        <w:rPr>
          <w:color w:val="auto"/>
          <w:spacing w:val="-101"/>
        </w:rPr>
        <w:t xml:space="preserve"> </w:t>
      </w:r>
      <w:r>
        <w:rPr>
          <w:color w:val="auto"/>
        </w:rPr>
        <w:t>进行开标、评标。</w:t>
      </w:r>
    </w:p>
    <w:p w14:paraId="769DC7AB">
      <w:pPr>
        <w:pStyle w:val="6"/>
        <w:kinsoku w:val="0"/>
        <w:overflowPunct w:val="0"/>
        <w:rPr>
          <w:rFonts w:hint="default"/>
          <w:b w:val="0"/>
          <w:color w:val="auto"/>
        </w:rPr>
      </w:pPr>
      <w:r>
        <w:rPr>
          <w:color w:val="auto"/>
        </w:rPr>
        <w:t>28.</w:t>
      </w:r>
      <w:r>
        <w:rPr>
          <w:rFonts w:hint="eastAsia"/>
          <w:color w:val="auto"/>
          <w:lang w:eastAsia="zh-CN"/>
        </w:rPr>
        <w:t>供应商</w:t>
      </w:r>
      <w:r>
        <w:rPr>
          <w:color w:val="auto"/>
        </w:rPr>
        <w:t>瑕疵滞后发现的处理规则</w:t>
      </w:r>
    </w:p>
    <w:p w14:paraId="751C11F9">
      <w:pPr>
        <w:pStyle w:val="8"/>
        <w:kinsoku w:val="0"/>
        <w:overflowPunct w:val="0"/>
        <w:spacing w:before="154" w:line="357" w:lineRule="auto"/>
        <w:ind w:right="117" w:firstLine="480"/>
        <w:jc w:val="both"/>
        <w:rPr>
          <w:rFonts w:hint="default"/>
          <w:color w:val="auto"/>
        </w:rPr>
      </w:pPr>
      <w:r>
        <w:rPr>
          <w:color w:val="auto"/>
        </w:rPr>
        <w:t>28.1</w:t>
      </w:r>
      <w:r>
        <w:rPr>
          <w:color w:val="auto"/>
          <w:spacing w:val="-51"/>
        </w:rPr>
        <w:t xml:space="preserve"> </w:t>
      </w:r>
      <w:r>
        <w:rPr>
          <w:color w:val="auto"/>
          <w:spacing w:val="2"/>
        </w:rPr>
        <w:t>无论基于何种原因，各项本应作拒绝处理的情形即便未被及时发现而</w:t>
      </w:r>
      <w:r>
        <w:rPr>
          <w:color w:val="auto"/>
        </w:rPr>
        <w:t xml:space="preserve"> </w:t>
      </w:r>
      <w:r>
        <w:rPr>
          <w:color w:val="auto"/>
          <w:spacing w:val="-3"/>
        </w:rPr>
        <w:t>使该</w:t>
      </w:r>
      <w:r>
        <w:rPr>
          <w:rFonts w:hint="eastAsia"/>
          <w:color w:val="auto"/>
          <w:spacing w:val="-3"/>
          <w:lang w:eastAsia="zh-CN"/>
        </w:rPr>
        <w:t>供应商</w:t>
      </w:r>
      <w:r>
        <w:rPr>
          <w:color w:val="auto"/>
          <w:spacing w:val="-3"/>
        </w:rPr>
        <w:t>进入初审、综合评审或其他后续程序，包括已经签订合同的情形，一</w:t>
      </w:r>
      <w:r>
        <w:rPr>
          <w:color w:val="auto"/>
          <w:spacing w:val="-111"/>
        </w:rPr>
        <w:t xml:space="preserve"> </w:t>
      </w:r>
      <w:r>
        <w:rPr>
          <w:color w:val="auto"/>
          <w:spacing w:val="-3"/>
        </w:rPr>
        <w:t>旦</w:t>
      </w:r>
      <w:r>
        <w:rPr>
          <w:rFonts w:hint="eastAsia"/>
          <w:color w:val="auto"/>
          <w:spacing w:val="-3"/>
          <w:lang w:eastAsia="zh-CN"/>
        </w:rPr>
        <w:t>供应商</w:t>
      </w:r>
      <w:r>
        <w:rPr>
          <w:color w:val="auto"/>
          <w:spacing w:val="-3"/>
        </w:rPr>
        <w:t>被拒绝或该</w:t>
      </w:r>
      <w:r>
        <w:rPr>
          <w:rFonts w:hint="eastAsia"/>
          <w:color w:val="auto"/>
          <w:spacing w:val="-3"/>
          <w:lang w:eastAsia="zh-CN"/>
        </w:rPr>
        <w:t>供应商</w:t>
      </w:r>
      <w:r>
        <w:rPr>
          <w:color w:val="auto"/>
          <w:spacing w:val="-3"/>
        </w:rPr>
        <w:t>的此前评议结果被取消，其现有的位置将被其他投标</w:t>
      </w:r>
      <w:r>
        <w:rPr>
          <w:color w:val="auto"/>
          <w:spacing w:val="-109"/>
        </w:rPr>
        <w:t xml:space="preserve"> </w:t>
      </w:r>
      <w:r>
        <w:rPr>
          <w:color w:val="auto"/>
        </w:rPr>
        <w:t>人依序替代，相关的一切损失均由该</w:t>
      </w:r>
      <w:r>
        <w:rPr>
          <w:rFonts w:hint="eastAsia"/>
          <w:color w:val="auto"/>
          <w:lang w:eastAsia="zh-CN"/>
        </w:rPr>
        <w:t>供应商</w:t>
      </w:r>
      <w:r>
        <w:rPr>
          <w:color w:val="auto"/>
        </w:rPr>
        <w:t>承担。</w:t>
      </w:r>
    </w:p>
    <w:p w14:paraId="323D75FC">
      <w:pPr>
        <w:pStyle w:val="6"/>
        <w:kinsoku w:val="0"/>
        <w:overflowPunct w:val="0"/>
        <w:rPr>
          <w:rFonts w:hint="default"/>
          <w:b w:val="0"/>
          <w:color w:val="auto"/>
        </w:rPr>
      </w:pPr>
      <w:r>
        <w:rPr>
          <w:color w:val="auto"/>
        </w:rPr>
        <w:t>29.采购项目废标</w:t>
      </w:r>
    </w:p>
    <w:p w14:paraId="2C8272FC">
      <w:pPr>
        <w:pStyle w:val="8"/>
        <w:kinsoku w:val="0"/>
        <w:overflowPunct w:val="0"/>
        <w:spacing w:before="154" w:line="357" w:lineRule="auto"/>
        <w:ind w:right="117" w:firstLine="480"/>
        <w:jc w:val="both"/>
        <w:rPr>
          <w:rFonts w:hint="default"/>
          <w:color w:val="auto"/>
        </w:rPr>
      </w:pPr>
      <w:r>
        <w:rPr>
          <w:color w:val="auto"/>
        </w:rPr>
        <w:t>29.1</w:t>
      </w:r>
      <w:r>
        <w:rPr>
          <w:color w:val="auto"/>
          <w:spacing w:val="-51"/>
        </w:rPr>
        <w:t xml:space="preserve"> </w:t>
      </w:r>
      <w:r>
        <w:rPr>
          <w:color w:val="auto"/>
          <w:spacing w:val="2"/>
        </w:rPr>
        <w:t>在评标过程中，评标委员会发现有下列情形之一的，应对采购项目予</w:t>
      </w:r>
      <w:r>
        <w:rPr>
          <w:color w:val="auto"/>
        </w:rPr>
        <w:t xml:space="preserve"> 以废标：</w:t>
      </w:r>
    </w:p>
    <w:p w14:paraId="76ADA1B7">
      <w:pPr>
        <w:pStyle w:val="8"/>
        <w:kinsoku w:val="0"/>
        <w:overflowPunct w:val="0"/>
        <w:spacing w:line="357" w:lineRule="auto"/>
        <w:ind w:right="120" w:firstLine="480"/>
        <w:jc w:val="both"/>
        <w:rPr>
          <w:rFonts w:hint="default"/>
          <w:color w:val="auto"/>
        </w:rPr>
      </w:pPr>
      <w:r>
        <w:rPr>
          <w:color w:val="auto"/>
        </w:rPr>
        <w:t>1）符合专业条件的供应商或者对招标文件作实质响应的供应商数量不足， 导致进入详细评审阶段的供应商不足</w:t>
      </w:r>
      <w:r>
        <w:rPr>
          <w:color w:val="auto"/>
          <w:spacing w:val="-60"/>
        </w:rPr>
        <w:t xml:space="preserve"> </w:t>
      </w:r>
      <w:r>
        <w:rPr>
          <w:color w:val="auto"/>
        </w:rPr>
        <w:t>3</w:t>
      </w:r>
      <w:r>
        <w:rPr>
          <w:color w:val="auto"/>
          <w:spacing w:val="-60"/>
        </w:rPr>
        <w:t xml:space="preserve"> </w:t>
      </w:r>
      <w:r>
        <w:rPr>
          <w:color w:val="auto"/>
        </w:rPr>
        <w:t>家的；</w:t>
      </w:r>
    </w:p>
    <w:p w14:paraId="56F2D7B8">
      <w:pPr>
        <w:pStyle w:val="8"/>
        <w:kinsoku w:val="0"/>
        <w:overflowPunct w:val="0"/>
        <w:ind w:left="600"/>
        <w:rPr>
          <w:rFonts w:hint="default"/>
          <w:color w:val="auto"/>
        </w:rPr>
      </w:pPr>
      <w:r>
        <w:rPr>
          <w:color w:val="auto"/>
        </w:rPr>
        <w:t>2）</w:t>
      </w:r>
      <w:r>
        <w:rPr>
          <w:rFonts w:hint="eastAsia"/>
          <w:color w:val="auto"/>
          <w:lang w:eastAsia="zh-CN"/>
        </w:rPr>
        <w:t>供应商</w:t>
      </w:r>
      <w:r>
        <w:rPr>
          <w:color w:val="auto"/>
        </w:rPr>
        <w:t>的报价均超过了采购预算；</w:t>
      </w:r>
    </w:p>
    <w:p w14:paraId="0C2AB0AE">
      <w:pPr>
        <w:pStyle w:val="8"/>
        <w:kinsoku w:val="0"/>
        <w:overflowPunct w:val="0"/>
        <w:spacing w:before="154"/>
        <w:ind w:left="600"/>
        <w:rPr>
          <w:rFonts w:hint="default"/>
          <w:color w:val="auto"/>
        </w:rPr>
      </w:pPr>
      <w:r>
        <w:rPr>
          <w:color w:val="auto"/>
        </w:rPr>
        <w:t>3）出现影响采购公正的违法、违规行为的；</w:t>
      </w:r>
    </w:p>
    <w:p w14:paraId="44DFCCAD">
      <w:pPr>
        <w:pStyle w:val="8"/>
        <w:kinsoku w:val="0"/>
        <w:overflowPunct w:val="0"/>
        <w:spacing w:before="154"/>
        <w:ind w:left="600"/>
        <w:rPr>
          <w:rFonts w:hint="default"/>
          <w:color w:val="auto"/>
        </w:rPr>
      </w:pPr>
      <w:r>
        <w:rPr>
          <w:color w:val="auto"/>
        </w:rPr>
        <w:t>4）因重大变故，采购任务取消的。</w:t>
      </w:r>
    </w:p>
    <w:p w14:paraId="0E6BBDA7">
      <w:pPr>
        <w:pStyle w:val="8"/>
        <w:kinsoku w:val="0"/>
        <w:overflowPunct w:val="0"/>
        <w:spacing w:before="154" w:line="357" w:lineRule="auto"/>
        <w:ind w:left="600"/>
        <w:rPr>
          <w:rFonts w:hint="default"/>
          <w:color w:val="auto"/>
        </w:rPr>
      </w:pPr>
      <w:r>
        <w:rPr>
          <w:color w:val="auto"/>
        </w:rPr>
        <w:t>29.2</w:t>
      </w:r>
      <w:r>
        <w:rPr>
          <w:color w:val="auto"/>
          <w:spacing w:val="-60"/>
        </w:rPr>
        <w:t xml:space="preserve"> </w:t>
      </w:r>
      <w:r>
        <w:rPr>
          <w:rFonts w:hint="eastAsia"/>
          <w:color w:val="auto"/>
          <w:lang w:eastAsia="zh-CN"/>
        </w:rPr>
        <w:t>供应商</w:t>
      </w:r>
      <w:r>
        <w:rPr>
          <w:color w:val="auto"/>
        </w:rPr>
        <w:t>存在下列情况之一的,投标无效； (一)未按照招标文件的规定提交投标保证金的； (二)投标文件未按招标文件要求签署、盖章的； (三)不具备招标文件中规定的资格要求的； (四)报价超过招标文件中规定的预算金额或者最高限价的； (五)投标文件含有采购人不能接受的附加条件的； (六)法律、法规和招标文件规定的其他无效情形；</w:t>
      </w:r>
      <w:r>
        <w:rPr>
          <w:color w:val="auto"/>
          <w:spacing w:val="-3"/>
        </w:rPr>
        <w:t>（七）本项目不接受选择性报价，对于出现的政采云平台开标唱标环节经投</w:t>
      </w:r>
      <w:r>
        <w:rPr>
          <w:color w:val="auto"/>
        </w:rPr>
        <w:t xml:space="preserve"> </w:t>
      </w:r>
      <w:r>
        <w:rPr>
          <w:color w:val="auto"/>
          <w:spacing w:val="-3"/>
        </w:rPr>
        <w:t>标供应商确认的投标报价与投标文件中开标一览表的报价不一致的现象，视作选</w:t>
      </w:r>
      <w:r>
        <w:rPr>
          <w:color w:val="auto"/>
          <w:spacing w:val="-109"/>
        </w:rPr>
        <w:t xml:space="preserve"> </w:t>
      </w:r>
      <w:r>
        <w:rPr>
          <w:color w:val="auto"/>
        </w:rPr>
        <w:t>择性报价，将被作为无效投标处理。</w:t>
      </w:r>
    </w:p>
    <w:p w14:paraId="67DDA6C1">
      <w:pPr>
        <w:pStyle w:val="6"/>
        <w:kinsoku w:val="0"/>
        <w:overflowPunct w:val="0"/>
        <w:spacing w:before="8" w:line="360" w:lineRule="auto"/>
        <w:rPr>
          <w:rFonts w:hint="default"/>
          <w:b w:val="0"/>
          <w:color w:val="auto"/>
        </w:rPr>
      </w:pPr>
      <w:bookmarkStart w:id="39" w:name="八、履约保证金"/>
      <w:bookmarkEnd w:id="39"/>
      <w:r>
        <w:rPr>
          <w:color w:val="auto"/>
        </w:rPr>
        <w:t>八、履约保证金</w:t>
      </w:r>
    </w:p>
    <w:p w14:paraId="2C538D9D">
      <w:pPr>
        <w:pStyle w:val="8"/>
        <w:kinsoku w:val="0"/>
        <w:overflowPunct w:val="0"/>
        <w:spacing w:before="0" w:line="360" w:lineRule="auto"/>
        <w:rPr>
          <w:rFonts w:hint="default"/>
          <w:color w:val="auto"/>
        </w:rPr>
      </w:pPr>
      <w:r>
        <w:rPr>
          <w:b/>
          <w:color w:val="auto"/>
        </w:rPr>
        <w:t>30.履约保证金</w:t>
      </w:r>
    </w:p>
    <w:p w14:paraId="2EE46E3C">
      <w:pPr>
        <w:pStyle w:val="8"/>
        <w:kinsoku w:val="0"/>
        <w:overflowPunct w:val="0"/>
        <w:spacing w:before="154" w:line="357" w:lineRule="auto"/>
        <w:ind w:firstLine="480"/>
        <w:rPr>
          <w:rFonts w:hint="default"/>
          <w:color w:val="auto"/>
        </w:rPr>
      </w:pPr>
      <w:r>
        <w:rPr>
          <w:color w:val="auto"/>
        </w:rPr>
        <w:t>30.1</w:t>
      </w:r>
      <w:r>
        <w:rPr>
          <w:color w:val="auto"/>
          <w:spacing w:val="-51"/>
        </w:rPr>
        <w:t xml:space="preserve"> </w:t>
      </w:r>
      <w:r>
        <w:rPr>
          <w:color w:val="auto"/>
          <w:spacing w:val="2"/>
        </w:rPr>
        <w:t>履约保证金按照招标文件第二部分“</w:t>
      </w:r>
      <w:r>
        <w:rPr>
          <w:rFonts w:hint="eastAsia"/>
          <w:color w:val="auto"/>
          <w:spacing w:val="2"/>
          <w:lang w:eastAsia="zh-CN"/>
        </w:rPr>
        <w:t>供应商</w:t>
      </w:r>
      <w:r>
        <w:rPr>
          <w:color w:val="auto"/>
          <w:spacing w:val="2"/>
        </w:rPr>
        <w:t>须知前附表”中规定，在</w:t>
      </w:r>
      <w:r>
        <w:rPr>
          <w:color w:val="auto"/>
        </w:rPr>
        <w:t xml:space="preserve"> 签订合同前交纳。</w:t>
      </w:r>
    </w:p>
    <w:p w14:paraId="45E87010">
      <w:pPr>
        <w:pStyle w:val="8"/>
        <w:kinsoku w:val="0"/>
        <w:overflowPunct w:val="0"/>
        <w:ind w:firstLine="480"/>
        <w:jc w:val="both"/>
        <w:rPr>
          <w:rFonts w:hint="default"/>
          <w:color w:val="auto"/>
        </w:rPr>
      </w:pPr>
      <w:r>
        <w:rPr>
          <w:color w:val="auto"/>
        </w:rPr>
        <w:t>30.2</w:t>
      </w:r>
      <w:r>
        <w:rPr>
          <w:color w:val="auto"/>
          <w:spacing w:val="-60"/>
        </w:rPr>
        <w:t xml:space="preserve"> </w:t>
      </w:r>
      <w:r>
        <w:rPr>
          <w:color w:val="auto"/>
        </w:rPr>
        <w:t>中标人在中标公告发布后及时足额交纳履约保证金。</w:t>
      </w:r>
    </w:p>
    <w:p w14:paraId="20D2470B">
      <w:pPr>
        <w:pStyle w:val="6"/>
        <w:kinsoku w:val="0"/>
        <w:overflowPunct w:val="0"/>
        <w:spacing w:before="0" w:line="650" w:lineRule="atLeast"/>
        <w:ind w:right="3646"/>
        <w:rPr>
          <w:rFonts w:hint="eastAsia" w:eastAsia="宋体"/>
          <w:b w:val="0"/>
          <w:color w:val="auto"/>
          <w:lang w:val="en-US" w:eastAsia="zh-CN"/>
        </w:rPr>
      </w:pPr>
      <w:bookmarkStart w:id="40" w:name="九、代理服务费、公证费"/>
      <w:bookmarkEnd w:id="40"/>
      <w:r>
        <w:rPr>
          <w:color w:val="auto"/>
        </w:rPr>
        <w:t>九、代理服务费、公证费</w:t>
      </w:r>
      <w:r>
        <w:rPr>
          <w:color w:val="auto"/>
          <w:w w:val="99"/>
        </w:rPr>
        <w:t xml:space="preserve"> </w:t>
      </w:r>
    </w:p>
    <w:p w14:paraId="55511815">
      <w:pPr>
        <w:pStyle w:val="8"/>
        <w:kinsoku w:val="0"/>
        <w:overflowPunct w:val="0"/>
        <w:spacing w:before="154" w:line="357" w:lineRule="auto"/>
        <w:ind w:firstLine="470"/>
        <w:rPr>
          <w:rFonts w:hint="default"/>
          <w:color w:val="auto"/>
        </w:rPr>
      </w:pPr>
      <w:r>
        <w:rPr>
          <w:color w:val="auto"/>
        </w:rPr>
        <w:t>31.1</w:t>
      </w:r>
      <w:r>
        <w:rPr>
          <w:color w:val="auto"/>
          <w:spacing w:val="-46"/>
        </w:rPr>
        <w:t xml:space="preserve"> </w:t>
      </w:r>
      <w:r>
        <w:rPr>
          <w:color w:val="auto"/>
          <w:spacing w:val="2"/>
        </w:rPr>
        <w:t>代理服务费、公证费按照招标文件第二部分“</w:t>
      </w:r>
      <w:r>
        <w:rPr>
          <w:rFonts w:hint="eastAsia"/>
          <w:color w:val="auto"/>
          <w:spacing w:val="2"/>
          <w:lang w:eastAsia="zh-CN"/>
        </w:rPr>
        <w:t>供应商</w:t>
      </w:r>
      <w:r>
        <w:rPr>
          <w:color w:val="auto"/>
          <w:spacing w:val="2"/>
        </w:rPr>
        <w:t>须知前附表”中</w:t>
      </w:r>
      <w:r>
        <w:rPr>
          <w:color w:val="auto"/>
        </w:rPr>
        <w:t xml:space="preserve"> 的规定由中标人交纳，请</w:t>
      </w:r>
      <w:r>
        <w:rPr>
          <w:rFonts w:hint="eastAsia"/>
          <w:color w:val="auto"/>
          <w:lang w:eastAsia="zh-CN"/>
        </w:rPr>
        <w:t>供应商</w:t>
      </w:r>
      <w:r>
        <w:rPr>
          <w:color w:val="auto"/>
        </w:rPr>
        <w:t>在测算投标报价时充分考虑这一因素。</w:t>
      </w:r>
    </w:p>
    <w:p w14:paraId="3E06076C">
      <w:pPr>
        <w:pStyle w:val="6"/>
        <w:kinsoku w:val="0"/>
        <w:overflowPunct w:val="0"/>
        <w:spacing w:before="0" w:line="650" w:lineRule="atLeast"/>
        <w:ind w:right="4950"/>
        <w:rPr>
          <w:rFonts w:hint="default"/>
          <w:color w:val="auto"/>
        </w:rPr>
      </w:pPr>
      <w:bookmarkStart w:id="41" w:name="十、签订、审核合同"/>
      <w:bookmarkEnd w:id="41"/>
      <w:r>
        <w:rPr>
          <w:color w:val="auto"/>
        </w:rPr>
        <w:t>十、签订、审核合同</w:t>
      </w:r>
    </w:p>
    <w:p w14:paraId="68DB94F3">
      <w:pPr>
        <w:pStyle w:val="6"/>
        <w:kinsoku w:val="0"/>
        <w:overflowPunct w:val="0"/>
        <w:spacing w:before="0" w:line="650" w:lineRule="atLeast"/>
        <w:ind w:right="4950"/>
        <w:rPr>
          <w:rFonts w:hint="default"/>
          <w:b w:val="0"/>
          <w:color w:val="auto"/>
        </w:rPr>
      </w:pPr>
      <w:r>
        <w:rPr>
          <w:color w:val="auto"/>
          <w:w w:val="99"/>
        </w:rPr>
        <w:t xml:space="preserve"> </w:t>
      </w:r>
      <w:r>
        <w:rPr>
          <w:color w:val="auto"/>
        </w:rPr>
        <w:t>32.中标通知</w:t>
      </w:r>
    </w:p>
    <w:p w14:paraId="00CD56DC">
      <w:pPr>
        <w:pStyle w:val="8"/>
        <w:kinsoku w:val="0"/>
        <w:overflowPunct w:val="0"/>
        <w:spacing w:before="154" w:line="357" w:lineRule="auto"/>
        <w:ind w:right="117" w:firstLine="480"/>
        <w:jc w:val="both"/>
        <w:rPr>
          <w:rFonts w:hint="default"/>
          <w:color w:val="auto"/>
        </w:rPr>
      </w:pPr>
      <w:r>
        <w:rPr>
          <w:color w:val="auto"/>
        </w:rPr>
        <w:t>32.1</w:t>
      </w:r>
      <w:r>
        <w:rPr>
          <w:color w:val="auto"/>
          <w:spacing w:val="-49"/>
        </w:rPr>
        <w:t xml:space="preserve"> </w:t>
      </w:r>
      <w:r>
        <w:rPr>
          <w:color w:val="auto"/>
          <w:spacing w:val="6"/>
        </w:rPr>
        <w:t>中标人确定后,采购代理机构将在相关政府采购信息发布媒体上发布</w:t>
      </w:r>
      <w:r>
        <w:rPr>
          <w:color w:val="auto"/>
        </w:rPr>
        <w:t xml:space="preserve"> </w:t>
      </w:r>
      <w:r>
        <w:rPr>
          <w:color w:val="auto"/>
          <w:spacing w:val="-3"/>
        </w:rPr>
        <w:t>中标公告，并以书面形式向中标人发出中标通知书，但该中标结果的有效性不依</w:t>
      </w:r>
      <w:r>
        <w:rPr>
          <w:color w:val="auto"/>
          <w:spacing w:val="-109"/>
        </w:rPr>
        <w:t xml:space="preserve"> </w:t>
      </w:r>
      <w:r>
        <w:rPr>
          <w:color w:val="auto"/>
          <w:spacing w:val="-3"/>
        </w:rPr>
        <w:t>赖于未中标的</w:t>
      </w:r>
      <w:r>
        <w:rPr>
          <w:rFonts w:hint="eastAsia"/>
          <w:color w:val="auto"/>
          <w:spacing w:val="-3"/>
          <w:lang w:eastAsia="zh-CN"/>
        </w:rPr>
        <w:t>供应商</w:t>
      </w:r>
      <w:r>
        <w:rPr>
          <w:color w:val="auto"/>
          <w:spacing w:val="-3"/>
        </w:rPr>
        <w:t>是否已经收到该通知。中标人应按照相关规定交纳履约保证</w:t>
      </w:r>
      <w:r>
        <w:rPr>
          <w:color w:val="auto"/>
          <w:spacing w:val="-109"/>
        </w:rPr>
        <w:t xml:space="preserve"> </w:t>
      </w:r>
      <w:r>
        <w:rPr>
          <w:color w:val="auto"/>
          <w:spacing w:val="-3"/>
        </w:rPr>
        <w:t>金、代理服务费和公证费并经采购代理机构确认后，委派专人持介绍信或授权书</w:t>
      </w:r>
      <w:r>
        <w:rPr>
          <w:color w:val="auto"/>
          <w:spacing w:val="-109"/>
        </w:rPr>
        <w:t xml:space="preserve"> </w:t>
      </w:r>
      <w:r>
        <w:rPr>
          <w:color w:val="auto"/>
          <w:spacing w:val="-3"/>
        </w:rPr>
        <w:t>和身份证件前往采购代理机构领取中标通知书。中标通知书对采购人和中标人具</w:t>
      </w:r>
      <w:r>
        <w:rPr>
          <w:color w:val="auto"/>
          <w:spacing w:val="-109"/>
        </w:rPr>
        <w:t xml:space="preserve"> </w:t>
      </w:r>
      <w:r>
        <w:rPr>
          <w:color w:val="auto"/>
          <w:spacing w:val="-3"/>
        </w:rPr>
        <w:t>有同等法律效力。中标通知书发出以后，采购人改变中标结果或者中标人放弃中</w:t>
      </w:r>
      <w:r>
        <w:rPr>
          <w:color w:val="auto"/>
          <w:spacing w:val="-109"/>
        </w:rPr>
        <w:t xml:space="preserve"> </w:t>
      </w:r>
      <w:r>
        <w:rPr>
          <w:color w:val="auto"/>
        </w:rPr>
        <w:t>标，应当承担相应的法律责任。</w:t>
      </w:r>
    </w:p>
    <w:p w14:paraId="61B9AF7A">
      <w:pPr>
        <w:pStyle w:val="8"/>
        <w:kinsoku w:val="0"/>
        <w:overflowPunct w:val="0"/>
        <w:spacing w:line="357" w:lineRule="auto"/>
        <w:ind w:firstLine="480"/>
        <w:rPr>
          <w:rFonts w:hint="default"/>
          <w:color w:val="auto"/>
        </w:rPr>
      </w:pPr>
      <w:r>
        <w:rPr>
          <w:color w:val="auto"/>
        </w:rPr>
        <w:t>32.2</w:t>
      </w:r>
      <w:r>
        <w:rPr>
          <w:color w:val="auto"/>
          <w:spacing w:val="-51"/>
        </w:rPr>
        <w:t xml:space="preserve"> </w:t>
      </w:r>
      <w:r>
        <w:rPr>
          <w:color w:val="auto"/>
          <w:spacing w:val="2"/>
        </w:rPr>
        <w:t>采购代理机构对未中标的</w:t>
      </w:r>
      <w:r>
        <w:rPr>
          <w:rFonts w:hint="eastAsia"/>
          <w:color w:val="auto"/>
          <w:spacing w:val="2"/>
          <w:lang w:eastAsia="zh-CN"/>
        </w:rPr>
        <w:t>供应商</w:t>
      </w:r>
      <w:r>
        <w:rPr>
          <w:color w:val="auto"/>
          <w:spacing w:val="2"/>
        </w:rPr>
        <w:t>不作未中标原因的解释，但中标结果</w:t>
      </w:r>
      <w:r>
        <w:rPr>
          <w:color w:val="auto"/>
        </w:rPr>
        <w:t xml:space="preserve"> 的有效性不以未中标的</w:t>
      </w:r>
      <w:r>
        <w:rPr>
          <w:rFonts w:hint="eastAsia"/>
          <w:color w:val="auto"/>
          <w:lang w:eastAsia="zh-CN"/>
        </w:rPr>
        <w:t>供应商</w:t>
      </w:r>
      <w:r>
        <w:rPr>
          <w:color w:val="auto"/>
        </w:rPr>
        <w:t>是否收到相应的通知为前提。</w:t>
      </w:r>
    </w:p>
    <w:p w14:paraId="22A1EF54">
      <w:pPr>
        <w:pStyle w:val="8"/>
        <w:kinsoku w:val="0"/>
        <w:overflowPunct w:val="0"/>
        <w:ind w:left="600"/>
        <w:rPr>
          <w:rFonts w:hint="default"/>
          <w:color w:val="auto"/>
        </w:rPr>
      </w:pPr>
      <w:r>
        <w:rPr>
          <w:color w:val="auto"/>
        </w:rPr>
        <w:t>32.3</w:t>
      </w:r>
      <w:r>
        <w:rPr>
          <w:color w:val="auto"/>
          <w:spacing w:val="-60"/>
        </w:rPr>
        <w:t xml:space="preserve"> </w:t>
      </w:r>
      <w:r>
        <w:rPr>
          <w:color w:val="auto"/>
        </w:rPr>
        <w:t>中标通知书是合同的组成部分。</w:t>
      </w:r>
    </w:p>
    <w:p w14:paraId="586FD371">
      <w:pPr>
        <w:pStyle w:val="6"/>
        <w:kinsoku w:val="0"/>
        <w:overflowPunct w:val="0"/>
        <w:spacing w:before="154"/>
        <w:rPr>
          <w:rFonts w:hint="default"/>
          <w:b w:val="0"/>
          <w:color w:val="auto"/>
        </w:rPr>
      </w:pPr>
      <w:r>
        <w:rPr>
          <w:color w:val="auto"/>
        </w:rPr>
        <w:t>33.签订合同</w:t>
      </w:r>
    </w:p>
    <w:p w14:paraId="3BF6DFD0">
      <w:pPr>
        <w:pStyle w:val="8"/>
        <w:kinsoku w:val="0"/>
        <w:overflowPunct w:val="0"/>
        <w:spacing w:before="154"/>
        <w:ind w:left="600"/>
        <w:rPr>
          <w:rFonts w:hint="default"/>
          <w:color w:val="auto"/>
        </w:rPr>
      </w:pPr>
      <w:r>
        <w:rPr>
          <w:color w:val="auto"/>
        </w:rPr>
        <w:t>33.1</w:t>
      </w:r>
      <w:r>
        <w:rPr>
          <w:color w:val="auto"/>
          <w:spacing w:val="-60"/>
        </w:rPr>
        <w:t xml:space="preserve"> </w:t>
      </w:r>
      <w:r>
        <w:rPr>
          <w:color w:val="auto"/>
        </w:rPr>
        <w:t>中标人须在中标通知书发出之日起</w:t>
      </w:r>
      <w:r>
        <w:rPr>
          <w:color w:val="auto"/>
          <w:spacing w:val="-60"/>
        </w:rPr>
        <w:t xml:space="preserve"> </w:t>
      </w:r>
      <w:r>
        <w:rPr>
          <w:color w:val="auto"/>
        </w:rPr>
        <w:t>15</w:t>
      </w:r>
      <w:r>
        <w:rPr>
          <w:color w:val="auto"/>
          <w:spacing w:val="-60"/>
        </w:rPr>
        <w:t xml:space="preserve"> </w:t>
      </w:r>
      <w:r>
        <w:rPr>
          <w:color w:val="auto"/>
        </w:rPr>
        <w:t>日内与采购人签订采购合同。</w:t>
      </w:r>
    </w:p>
    <w:p w14:paraId="4262A5CF">
      <w:pPr>
        <w:pStyle w:val="8"/>
        <w:kinsoku w:val="0"/>
        <w:overflowPunct w:val="0"/>
        <w:spacing w:before="154" w:line="357" w:lineRule="auto"/>
        <w:ind w:firstLine="480"/>
        <w:rPr>
          <w:rFonts w:hint="default"/>
          <w:color w:val="auto"/>
          <w:spacing w:val="-3"/>
        </w:rPr>
      </w:pPr>
      <w:r>
        <w:rPr>
          <w:color w:val="auto"/>
        </w:rPr>
        <w:t>33.2</w:t>
      </w:r>
      <w:r>
        <w:rPr>
          <w:color w:val="auto"/>
          <w:spacing w:val="-51"/>
        </w:rPr>
        <w:t xml:space="preserve"> </w:t>
      </w:r>
      <w:r>
        <w:rPr>
          <w:color w:val="auto"/>
          <w:spacing w:val="2"/>
        </w:rPr>
        <w:t>中标人须按照招标文件、投标文件及评标过程中的有关澄清、说明或</w:t>
      </w:r>
      <w:r>
        <w:rPr>
          <w:color w:val="auto"/>
        </w:rPr>
        <w:t xml:space="preserve"> </w:t>
      </w:r>
      <w:r>
        <w:rPr>
          <w:color w:val="auto"/>
          <w:spacing w:val="-3"/>
        </w:rPr>
        <w:t>者补正文件的内容与采购人签订合同。中标人不得再与采购人签订背离合同实质</w:t>
      </w:r>
    </w:p>
    <w:p w14:paraId="639DCF99">
      <w:pPr>
        <w:pStyle w:val="8"/>
        <w:kinsoku w:val="0"/>
        <w:overflowPunct w:val="0"/>
        <w:spacing w:before="2"/>
        <w:ind w:right="237"/>
        <w:rPr>
          <w:rFonts w:hint="default"/>
          <w:color w:val="auto"/>
        </w:rPr>
      </w:pPr>
      <w:r>
        <w:rPr>
          <w:color w:val="auto"/>
        </w:rPr>
        <w:t>性内容的其他协议或声明。</w:t>
      </w:r>
    </w:p>
    <w:p w14:paraId="44EAEA7E">
      <w:pPr>
        <w:pStyle w:val="8"/>
        <w:kinsoku w:val="0"/>
        <w:overflowPunct w:val="0"/>
        <w:spacing w:before="154" w:line="357" w:lineRule="auto"/>
        <w:ind w:right="117" w:firstLine="480"/>
        <w:rPr>
          <w:rFonts w:hint="default"/>
          <w:color w:val="auto"/>
        </w:rPr>
      </w:pPr>
      <w:r>
        <w:rPr>
          <w:color w:val="auto"/>
        </w:rPr>
        <w:t>33.3</w:t>
      </w:r>
      <w:r>
        <w:rPr>
          <w:color w:val="auto"/>
          <w:spacing w:val="-56"/>
        </w:rPr>
        <w:t xml:space="preserve"> </w:t>
      </w:r>
      <w:r>
        <w:rPr>
          <w:color w:val="auto"/>
          <w:spacing w:val="2"/>
        </w:rPr>
        <w:t>采购人如需追加与合同标的相同的符合，在不改变合同其他条款的前</w:t>
      </w:r>
      <w:r>
        <w:rPr>
          <w:color w:val="auto"/>
        </w:rPr>
        <w:t xml:space="preserve"> </w:t>
      </w:r>
      <w:r>
        <w:rPr>
          <w:color w:val="auto"/>
          <w:spacing w:val="-6"/>
        </w:rPr>
        <w:t>提下，提交追加合同的申请报经同级财政部门审核后，可与中标人签订补充合同，</w:t>
      </w:r>
      <w:r>
        <w:rPr>
          <w:color w:val="auto"/>
        </w:rPr>
        <w:t xml:space="preserve"> 但所有补充合同的采购金额不得超过原合同金额的百分之十。</w:t>
      </w:r>
    </w:p>
    <w:p w14:paraId="20C7DAEC">
      <w:pPr>
        <w:pStyle w:val="8"/>
        <w:kinsoku w:val="0"/>
        <w:overflowPunct w:val="0"/>
        <w:spacing w:line="357" w:lineRule="auto"/>
        <w:ind w:right="237" w:firstLine="480"/>
        <w:rPr>
          <w:rFonts w:hint="default"/>
          <w:color w:val="auto"/>
        </w:rPr>
      </w:pPr>
      <w:r>
        <w:rPr>
          <w:color w:val="auto"/>
        </w:rPr>
        <w:t>33.4</w:t>
      </w:r>
      <w:r>
        <w:rPr>
          <w:color w:val="auto"/>
          <w:spacing w:val="-51"/>
        </w:rPr>
        <w:t xml:space="preserve"> </w:t>
      </w:r>
      <w:r>
        <w:rPr>
          <w:color w:val="auto"/>
          <w:spacing w:val="2"/>
        </w:rPr>
        <w:t>中标人一旦中标及签订合同后，不得转包，亦不得将合同全部及任何</w:t>
      </w:r>
      <w:r>
        <w:rPr>
          <w:color w:val="auto"/>
        </w:rPr>
        <w:t xml:space="preserve"> 权利、义务向第三方转让。</w:t>
      </w:r>
    </w:p>
    <w:p w14:paraId="630427CE">
      <w:pPr>
        <w:pStyle w:val="8"/>
        <w:kinsoku w:val="0"/>
        <w:overflowPunct w:val="0"/>
        <w:spacing w:line="357" w:lineRule="auto"/>
        <w:ind w:right="117" w:firstLine="480"/>
        <w:rPr>
          <w:rFonts w:hint="default"/>
          <w:color w:val="auto"/>
        </w:rPr>
      </w:pPr>
      <w:r>
        <w:rPr>
          <w:color w:val="auto"/>
        </w:rPr>
        <w:t>33.5</w:t>
      </w:r>
      <w:r>
        <w:rPr>
          <w:color w:val="auto"/>
          <w:spacing w:val="-91"/>
        </w:rPr>
        <w:t xml:space="preserve"> </w:t>
      </w:r>
      <w:r>
        <w:rPr>
          <w:color w:val="auto"/>
        </w:rPr>
        <w:t xml:space="preserve">中标人不履行合同的，采购人可在报经同级人民政府财政部门核准后， </w:t>
      </w:r>
      <w:r>
        <w:rPr>
          <w:color w:val="auto"/>
          <w:spacing w:val="-3"/>
        </w:rPr>
        <w:t>与排位在中标人之后的第一位中标候选供应商签订合同，以此类推；或在报经同</w:t>
      </w:r>
      <w:r>
        <w:rPr>
          <w:color w:val="auto"/>
          <w:spacing w:val="-110"/>
        </w:rPr>
        <w:t xml:space="preserve"> </w:t>
      </w:r>
      <w:r>
        <w:rPr>
          <w:color w:val="auto"/>
        </w:rPr>
        <w:t>级人民政府财政部门核准后重新组织采购。</w:t>
      </w:r>
    </w:p>
    <w:p w14:paraId="341266A1">
      <w:pPr>
        <w:pStyle w:val="8"/>
        <w:kinsoku w:val="0"/>
        <w:overflowPunct w:val="0"/>
        <w:ind w:left="600" w:right="117"/>
        <w:rPr>
          <w:rFonts w:hint="default"/>
          <w:color w:val="auto"/>
        </w:rPr>
      </w:pPr>
      <w:r>
        <w:rPr>
          <w:color w:val="auto"/>
        </w:rPr>
        <w:t>33.6</w:t>
      </w:r>
      <w:r>
        <w:rPr>
          <w:color w:val="auto"/>
          <w:spacing w:val="-60"/>
        </w:rPr>
        <w:t xml:space="preserve"> </w:t>
      </w:r>
      <w:r>
        <w:rPr>
          <w:color w:val="auto"/>
        </w:rPr>
        <w:t>违反</w:t>
      </w:r>
      <w:r>
        <w:rPr>
          <w:color w:val="auto"/>
          <w:spacing w:val="-60"/>
        </w:rPr>
        <w:t xml:space="preserve"> </w:t>
      </w:r>
      <w:r>
        <w:rPr>
          <w:color w:val="auto"/>
        </w:rPr>
        <w:t>32.1</w:t>
      </w:r>
      <w:r>
        <w:rPr>
          <w:color w:val="auto"/>
          <w:spacing w:val="-60"/>
        </w:rPr>
        <w:t xml:space="preserve"> </w:t>
      </w:r>
      <w:r>
        <w:rPr>
          <w:color w:val="auto"/>
        </w:rPr>
        <w:t>条、32.2</w:t>
      </w:r>
      <w:r>
        <w:rPr>
          <w:color w:val="auto"/>
          <w:spacing w:val="-60"/>
        </w:rPr>
        <w:t xml:space="preserve"> </w:t>
      </w:r>
      <w:r>
        <w:rPr>
          <w:color w:val="auto"/>
        </w:rPr>
        <w:t>条的规定，给对方造成损失的，应承担赔偿责任。</w:t>
      </w:r>
    </w:p>
    <w:p w14:paraId="742AD261">
      <w:pPr>
        <w:pStyle w:val="6"/>
        <w:kinsoku w:val="0"/>
        <w:overflowPunct w:val="0"/>
        <w:spacing w:before="154"/>
        <w:ind w:right="237"/>
        <w:rPr>
          <w:rFonts w:hint="default"/>
          <w:b w:val="0"/>
          <w:color w:val="auto"/>
        </w:rPr>
      </w:pPr>
      <w:r>
        <w:rPr>
          <w:color w:val="auto"/>
        </w:rPr>
        <w:t>34.审核合同</w:t>
      </w:r>
    </w:p>
    <w:p w14:paraId="5661E58C">
      <w:pPr>
        <w:pStyle w:val="8"/>
        <w:kinsoku w:val="0"/>
        <w:overflowPunct w:val="0"/>
        <w:spacing w:before="154" w:line="357" w:lineRule="auto"/>
        <w:ind w:right="237" w:firstLine="480"/>
        <w:rPr>
          <w:rFonts w:hint="default"/>
          <w:color w:val="auto"/>
        </w:rPr>
      </w:pPr>
      <w:r>
        <w:rPr>
          <w:color w:val="auto"/>
        </w:rPr>
        <w:t>34.1</w:t>
      </w:r>
      <w:r>
        <w:rPr>
          <w:color w:val="auto"/>
          <w:spacing w:val="-57"/>
        </w:rPr>
        <w:t xml:space="preserve"> </w:t>
      </w:r>
      <w:r>
        <w:rPr>
          <w:color w:val="auto"/>
          <w:spacing w:val="2"/>
        </w:rPr>
        <w:t>中标人持政府采购合同于签订合同之日起</w:t>
      </w:r>
      <w:r>
        <w:rPr>
          <w:color w:val="auto"/>
          <w:spacing w:val="-57"/>
        </w:rPr>
        <w:t xml:space="preserve"> </w:t>
      </w:r>
      <w:r>
        <w:rPr>
          <w:color w:val="auto"/>
        </w:rPr>
        <w:t>3</w:t>
      </w:r>
      <w:r>
        <w:rPr>
          <w:color w:val="auto"/>
          <w:spacing w:val="-55"/>
        </w:rPr>
        <w:t xml:space="preserve"> </w:t>
      </w:r>
      <w:r>
        <w:rPr>
          <w:color w:val="auto"/>
          <w:spacing w:val="2"/>
        </w:rPr>
        <w:t>个工作日内到本项目招标</w:t>
      </w:r>
      <w:r>
        <w:rPr>
          <w:color w:val="auto"/>
        </w:rPr>
        <w:t xml:space="preserve"> 公司进行备案留存。</w:t>
      </w:r>
    </w:p>
    <w:p w14:paraId="2B83D541">
      <w:pPr>
        <w:pStyle w:val="6"/>
        <w:kinsoku w:val="0"/>
        <w:overflowPunct w:val="0"/>
        <w:spacing w:before="0" w:line="650" w:lineRule="atLeast"/>
        <w:ind w:right="5292"/>
        <w:rPr>
          <w:rFonts w:hint="default"/>
          <w:color w:val="auto"/>
          <w:w w:val="99"/>
        </w:rPr>
      </w:pPr>
      <w:bookmarkStart w:id="42" w:name="十一、处罚、询问和质疑"/>
      <w:bookmarkEnd w:id="42"/>
      <w:r>
        <w:rPr>
          <w:color w:val="auto"/>
        </w:rPr>
        <w:t>十一、处罚、询问和质疑</w:t>
      </w:r>
      <w:r>
        <w:rPr>
          <w:color w:val="auto"/>
          <w:w w:val="99"/>
        </w:rPr>
        <w:t xml:space="preserve"> </w:t>
      </w:r>
    </w:p>
    <w:p w14:paraId="36C51855">
      <w:pPr>
        <w:pStyle w:val="6"/>
        <w:kinsoku w:val="0"/>
        <w:overflowPunct w:val="0"/>
        <w:spacing w:before="0" w:line="650" w:lineRule="atLeast"/>
        <w:ind w:right="5292"/>
        <w:rPr>
          <w:rFonts w:hint="default"/>
          <w:b w:val="0"/>
          <w:color w:val="auto"/>
        </w:rPr>
      </w:pPr>
      <w:r>
        <w:rPr>
          <w:color w:val="auto"/>
        </w:rPr>
        <w:t>35.处罚</w:t>
      </w:r>
    </w:p>
    <w:p w14:paraId="3DF95004">
      <w:pPr>
        <w:pStyle w:val="8"/>
        <w:kinsoku w:val="0"/>
        <w:overflowPunct w:val="0"/>
        <w:spacing w:before="154" w:line="357" w:lineRule="auto"/>
        <w:ind w:right="237" w:firstLine="480"/>
        <w:rPr>
          <w:rFonts w:hint="default"/>
          <w:color w:val="auto"/>
        </w:rPr>
      </w:pPr>
      <w:r>
        <w:rPr>
          <w:color w:val="auto"/>
        </w:rPr>
        <w:t>35.1</w:t>
      </w:r>
      <w:r>
        <w:rPr>
          <w:color w:val="auto"/>
          <w:spacing w:val="-51"/>
        </w:rPr>
        <w:t xml:space="preserve"> </w:t>
      </w:r>
      <w:r>
        <w:rPr>
          <w:color w:val="auto"/>
          <w:spacing w:val="2"/>
        </w:rPr>
        <w:t>发生下列情况之一，</w:t>
      </w:r>
      <w:r>
        <w:rPr>
          <w:rFonts w:hint="eastAsia"/>
          <w:color w:val="auto"/>
          <w:spacing w:val="2"/>
          <w:lang w:eastAsia="zh-CN"/>
        </w:rPr>
        <w:t>供应商</w:t>
      </w:r>
      <w:r>
        <w:rPr>
          <w:color w:val="auto"/>
          <w:spacing w:val="2"/>
        </w:rPr>
        <w:t>的保证金不予退还；情节严重的将其列入</w:t>
      </w:r>
      <w:r>
        <w:rPr>
          <w:color w:val="auto"/>
        </w:rPr>
        <w:t xml:space="preserve"> 不良记录名单。</w:t>
      </w:r>
    </w:p>
    <w:p w14:paraId="5CE32647">
      <w:pPr>
        <w:pStyle w:val="8"/>
        <w:kinsoku w:val="0"/>
        <w:overflowPunct w:val="0"/>
        <w:ind w:left="600" w:right="237"/>
        <w:rPr>
          <w:rFonts w:hint="default"/>
          <w:color w:val="auto"/>
        </w:rPr>
      </w:pPr>
      <w:r>
        <w:rPr>
          <w:color w:val="auto"/>
        </w:rPr>
        <w:t>1）开标后在投标有效期内，</w:t>
      </w:r>
      <w:r>
        <w:rPr>
          <w:rFonts w:hint="eastAsia"/>
          <w:color w:val="auto"/>
          <w:lang w:eastAsia="zh-CN"/>
        </w:rPr>
        <w:t>供应商</w:t>
      </w:r>
      <w:r>
        <w:rPr>
          <w:color w:val="auto"/>
        </w:rPr>
        <w:t>撤回其投标；</w:t>
      </w:r>
    </w:p>
    <w:p w14:paraId="35C4486A">
      <w:pPr>
        <w:pStyle w:val="8"/>
        <w:kinsoku w:val="0"/>
        <w:overflowPunct w:val="0"/>
        <w:spacing w:before="154"/>
        <w:ind w:left="600" w:right="237"/>
        <w:rPr>
          <w:rFonts w:hint="default"/>
          <w:color w:val="auto"/>
        </w:rPr>
      </w:pPr>
      <w:r>
        <w:rPr>
          <w:color w:val="auto"/>
        </w:rPr>
        <w:t>2）中标后无正当理由不与采购人签订合同的；</w:t>
      </w:r>
    </w:p>
    <w:p w14:paraId="0301EFBD">
      <w:pPr>
        <w:pStyle w:val="8"/>
        <w:kinsoku w:val="0"/>
        <w:overflowPunct w:val="0"/>
        <w:spacing w:before="154"/>
        <w:ind w:left="600" w:right="237"/>
        <w:rPr>
          <w:rFonts w:hint="default"/>
          <w:color w:val="auto"/>
        </w:rPr>
      </w:pPr>
      <w:r>
        <w:rPr>
          <w:color w:val="auto"/>
        </w:rPr>
        <w:t>3）中标人与采购人订立背离合同实质性内容的其他协议；</w:t>
      </w:r>
    </w:p>
    <w:p w14:paraId="3535A5D9">
      <w:pPr>
        <w:pStyle w:val="8"/>
        <w:kinsoku w:val="0"/>
        <w:overflowPunct w:val="0"/>
        <w:spacing w:before="154" w:line="357" w:lineRule="auto"/>
        <w:ind w:right="237" w:firstLine="480"/>
        <w:rPr>
          <w:rFonts w:hint="default"/>
          <w:color w:val="auto"/>
        </w:rPr>
      </w:pPr>
      <w:r>
        <w:rPr>
          <w:color w:val="auto"/>
        </w:rPr>
        <w:t>4）将中标项目转让给他人，或者在投标文件中未说明，且未经采购代理机 构同意，将中标项目分包给他人的；</w:t>
      </w:r>
    </w:p>
    <w:p w14:paraId="0F1C8976">
      <w:pPr>
        <w:pStyle w:val="8"/>
        <w:kinsoku w:val="0"/>
        <w:overflowPunct w:val="0"/>
        <w:ind w:left="600" w:right="237"/>
        <w:rPr>
          <w:rFonts w:hint="default"/>
          <w:color w:val="auto"/>
        </w:rPr>
      </w:pPr>
      <w:r>
        <w:rPr>
          <w:color w:val="auto"/>
        </w:rPr>
        <w:t>5）存在串通投标行为的；</w:t>
      </w:r>
    </w:p>
    <w:p w14:paraId="278B6E4F">
      <w:pPr>
        <w:pStyle w:val="8"/>
        <w:kinsoku w:val="0"/>
        <w:overflowPunct w:val="0"/>
        <w:spacing w:before="154"/>
        <w:ind w:left="600" w:right="237"/>
        <w:rPr>
          <w:rFonts w:hint="default"/>
          <w:color w:val="auto"/>
        </w:rPr>
      </w:pPr>
      <w:r>
        <w:rPr>
          <w:color w:val="auto"/>
        </w:rPr>
        <w:t>6）存在弄虚作假或提供虚假材料谋取中标的；</w:t>
      </w:r>
    </w:p>
    <w:p w14:paraId="592B6FCA">
      <w:pPr>
        <w:pStyle w:val="8"/>
        <w:kinsoku w:val="0"/>
        <w:overflowPunct w:val="0"/>
        <w:spacing w:before="154"/>
        <w:ind w:left="600" w:right="237"/>
        <w:rPr>
          <w:rFonts w:hint="default"/>
          <w:color w:val="auto"/>
        </w:rPr>
      </w:pPr>
      <w:r>
        <w:rPr>
          <w:color w:val="auto"/>
        </w:rPr>
        <w:t>7）</w:t>
      </w:r>
      <w:r>
        <w:rPr>
          <w:rFonts w:hint="eastAsia"/>
          <w:color w:val="auto"/>
          <w:lang w:eastAsia="zh-CN"/>
        </w:rPr>
        <w:t>供应商</w:t>
      </w:r>
      <w:r>
        <w:rPr>
          <w:color w:val="auto"/>
        </w:rPr>
        <w:t>其他未按招标文件规定和合同约定履行义务的行为。</w:t>
      </w:r>
    </w:p>
    <w:p w14:paraId="4DBC1283">
      <w:pPr>
        <w:pStyle w:val="6"/>
        <w:kinsoku w:val="0"/>
        <w:overflowPunct w:val="0"/>
        <w:spacing w:before="154"/>
        <w:ind w:right="237"/>
        <w:rPr>
          <w:rFonts w:hint="default"/>
          <w:b w:val="0"/>
          <w:color w:val="auto"/>
        </w:rPr>
      </w:pPr>
      <w:r>
        <w:rPr>
          <w:color w:val="auto"/>
        </w:rPr>
        <w:t>36．询问</w:t>
      </w:r>
    </w:p>
    <w:p w14:paraId="33C5BAA9">
      <w:pPr>
        <w:pStyle w:val="8"/>
        <w:kinsoku w:val="0"/>
        <w:overflowPunct w:val="0"/>
        <w:spacing w:before="154"/>
        <w:ind w:left="600"/>
        <w:rPr>
          <w:rFonts w:hint="default"/>
          <w:color w:val="auto"/>
        </w:rPr>
      </w:pPr>
      <w:r>
        <w:rPr>
          <w:color w:val="auto"/>
        </w:rPr>
        <w:t>36.1</w:t>
      </w:r>
      <w:r>
        <w:rPr>
          <w:color w:val="auto"/>
          <w:spacing w:val="-95"/>
        </w:rPr>
        <w:t xml:space="preserve"> </w:t>
      </w:r>
      <w:r>
        <w:rPr>
          <w:rFonts w:hint="eastAsia"/>
          <w:color w:val="auto"/>
          <w:lang w:eastAsia="zh-CN"/>
        </w:rPr>
        <w:t>供应商</w:t>
      </w:r>
      <w:r>
        <w:rPr>
          <w:color w:val="auto"/>
        </w:rPr>
        <w:t>对采购事项有疑问的，可以向采购人或采购代理机构提出询问。</w:t>
      </w:r>
    </w:p>
    <w:p w14:paraId="30669B44">
      <w:pPr>
        <w:pStyle w:val="8"/>
        <w:kinsoku w:val="0"/>
        <w:overflowPunct w:val="0"/>
        <w:spacing w:before="154"/>
        <w:ind w:left="600"/>
        <w:rPr>
          <w:rFonts w:hint="default"/>
          <w:color w:val="auto"/>
        </w:rPr>
        <w:sectPr>
          <w:footerReference r:id="rId9" w:type="default"/>
          <w:pgSz w:w="11910" w:h="16840"/>
          <w:pgMar w:top="1460" w:right="1560" w:bottom="1600" w:left="1680" w:header="0" w:footer="1415" w:gutter="0"/>
          <w:cols w:space="720" w:num="1"/>
        </w:sectPr>
      </w:pPr>
    </w:p>
    <w:p w14:paraId="707349B2">
      <w:pPr>
        <w:pStyle w:val="6"/>
        <w:kinsoku w:val="0"/>
        <w:overflowPunct w:val="0"/>
        <w:spacing w:before="2"/>
        <w:ind w:right="117"/>
        <w:rPr>
          <w:rFonts w:hint="default"/>
          <w:b w:val="0"/>
          <w:color w:val="auto"/>
        </w:rPr>
      </w:pPr>
      <w:r>
        <w:rPr>
          <w:color w:val="auto"/>
        </w:rPr>
        <w:t>37.</w:t>
      </w:r>
      <w:r>
        <w:rPr>
          <w:rFonts w:hint="eastAsia"/>
          <w:color w:val="auto"/>
          <w:lang w:eastAsia="zh-CN"/>
        </w:rPr>
        <w:t>供应商</w:t>
      </w:r>
      <w:r>
        <w:rPr>
          <w:color w:val="auto"/>
        </w:rPr>
        <w:t>有权就招标事宜提出质疑</w:t>
      </w:r>
    </w:p>
    <w:p w14:paraId="25061BB7">
      <w:pPr>
        <w:pStyle w:val="8"/>
        <w:kinsoku w:val="0"/>
        <w:overflowPunct w:val="0"/>
        <w:spacing w:line="357" w:lineRule="auto"/>
        <w:ind w:right="117" w:firstLine="480"/>
        <w:rPr>
          <w:rFonts w:hint="default"/>
          <w:color w:val="auto"/>
        </w:rPr>
      </w:pPr>
      <w:r>
        <w:rPr>
          <w:color w:val="auto"/>
        </w:rPr>
        <w:t xml:space="preserve">37.1 </w:t>
      </w:r>
      <w:r>
        <w:rPr>
          <w:rFonts w:hint="eastAsia"/>
          <w:color w:val="auto"/>
          <w:lang w:eastAsia="zh-CN"/>
        </w:rPr>
        <w:t>供应商</w:t>
      </w:r>
      <w:r>
        <w:rPr>
          <w:color w:val="auto"/>
        </w:rPr>
        <w:t xml:space="preserve">或者其他利害关系人认为招标投标活动不符合法律、行政法规规定的，可以自知道或者应当知道之日起 10 日内向有关行政监督部门投诉。 </w:t>
      </w:r>
      <w:r>
        <w:rPr>
          <w:rFonts w:hint="eastAsia"/>
          <w:color w:val="auto"/>
          <w:lang w:eastAsia="zh-CN"/>
        </w:rPr>
        <w:t>供应商</w:t>
      </w:r>
      <w:r>
        <w:rPr>
          <w:color w:val="auto"/>
        </w:rPr>
        <w:t>或者其他利害关系人在法定质疑期内一次性提出针对同一采购程序环节的质疑。</w:t>
      </w:r>
    </w:p>
    <w:p w14:paraId="7483E606">
      <w:pPr>
        <w:pStyle w:val="8"/>
        <w:kinsoku w:val="0"/>
        <w:overflowPunct w:val="0"/>
        <w:spacing w:line="357" w:lineRule="auto"/>
        <w:ind w:right="357" w:firstLine="480"/>
        <w:jc w:val="both"/>
        <w:rPr>
          <w:rFonts w:hint="default"/>
          <w:color w:val="auto"/>
        </w:rPr>
      </w:pPr>
      <w:r>
        <w:rPr>
          <w:color w:val="auto"/>
        </w:rPr>
        <w:t>37.2</w:t>
      </w:r>
      <w:r>
        <w:rPr>
          <w:color w:val="auto"/>
          <w:spacing w:val="-51"/>
        </w:rPr>
        <w:t xml:space="preserve"> </w:t>
      </w:r>
      <w:r>
        <w:rPr>
          <w:color w:val="auto"/>
          <w:spacing w:val="2"/>
        </w:rPr>
        <w:t>质疑应当按照《中华人民共和国政府采购法》、《中华人民共和国政</w:t>
      </w:r>
      <w:r>
        <w:rPr>
          <w:color w:val="auto"/>
        </w:rPr>
        <w:t xml:space="preserve"> </w:t>
      </w:r>
      <w:r>
        <w:rPr>
          <w:color w:val="auto"/>
          <w:spacing w:val="-3"/>
        </w:rPr>
        <w:t>府采购法实施条例》、《政府采购质疑和投诉办法》等法律法规的相关规定，以</w:t>
      </w:r>
      <w:r>
        <w:rPr>
          <w:color w:val="auto"/>
          <w:spacing w:val="-111"/>
        </w:rPr>
        <w:t xml:space="preserve"> </w:t>
      </w:r>
      <w:r>
        <w:rPr>
          <w:color w:val="auto"/>
        </w:rPr>
        <w:t>书面形式向采购代理机构提出。</w:t>
      </w:r>
    </w:p>
    <w:p w14:paraId="4413245B">
      <w:pPr>
        <w:pStyle w:val="8"/>
        <w:kinsoku w:val="0"/>
        <w:overflowPunct w:val="0"/>
        <w:spacing w:line="357" w:lineRule="auto"/>
        <w:ind w:right="117" w:firstLine="480"/>
        <w:rPr>
          <w:rFonts w:hint="default"/>
          <w:color w:val="auto"/>
        </w:rPr>
      </w:pPr>
      <w:r>
        <w:rPr>
          <w:color w:val="auto"/>
        </w:rPr>
        <w:t>37.3</w:t>
      </w:r>
      <w:r>
        <w:rPr>
          <w:color w:val="auto"/>
          <w:spacing w:val="-56"/>
        </w:rPr>
        <w:t xml:space="preserve"> </w:t>
      </w:r>
      <w:r>
        <w:rPr>
          <w:color w:val="auto"/>
          <w:spacing w:val="2"/>
        </w:rPr>
        <w:t>质疑书应当附上相关证明材料，否则质疑将视为无有效证据支持，将</w:t>
      </w:r>
      <w:r>
        <w:rPr>
          <w:color w:val="auto"/>
        </w:rPr>
        <w:t xml:space="preserve"> </w:t>
      </w:r>
      <w:r>
        <w:rPr>
          <w:color w:val="auto"/>
          <w:spacing w:val="-6"/>
        </w:rPr>
        <w:t>被予以驳回，并不得以上述理由要求延长质疑有效期。未递交投标文件的供应商，</w:t>
      </w:r>
      <w:r>
        <w:rPr>
          <w:color w:val="auto"/>
        </w:rPr>
        <w:t xml:space="preserve"> </w:t>
      </w:r>
      <w:r>
        <w:rPr>
          <w:color w:val="auto"/>
          <w:spacing w:val="-3"/>
        </w:rPr>
        <w:t>其未参加后续采购活动，不得对递交投标文件截止后的采购过程、采购结果提出</w:t>
      </w:r>
      <w:r>
        <w:rPr>
          <w:color w:val="auto"/>
          <w:spacing w:val="-109"/>
        </w:rPr>
        <w:t xml:space="preserve"> </w:t>
      </w:r>
      <w:r>
        <w:rPr>
          <w:color w:val="auto"/>
        </w:rPr>
        <w:t>质疑。</w:t>
      </w:r>
    </w:p>
    <w:p w14:paraId="27B01FD5">
      <w:pPr>
        <w:pStyle w:val="8"/>
        <w:kinsoku w:val="0"/>
        <w:overflowPunct w:val="0"/>
        <w:spacing w:line="357" w:lineRule="auto"/>
        <w:ind w:right="357" w:firstLine="480"/>
        <w:jc w:val="both"/>
        <w:rPr>
          <w:rFonts w:hint="default"/>
          <w:color w:val="auto"/>
        </w:rPr>
      </w:pPr>
      <w:r>
        <w:rPr>
          <w:color w:val="auto"/>
        </w:rPr>
        <w:t>37.4</w:t>
      </w:r>
      <w:r>
        <w:rPr>
          <w:color w:val="auto"/>
          <w:spacing w:val="-51"/>
        </w:rPr>
        <w:t xml:space="preserve"> </w:t>
      </w:r>
      <w:r>
        <w:rPr>
          <w:color w:val="auto"/>
          <w:spacing w:val="2"/>
        </w:rPr>
        <w:t>质疑人可以采取直接送达或者邮寄方式提交质疑书。采购代理机构收</w:t>
      </w:r>
      <w:r>
        <w:rPr>
          <w:color w:val="auto"/>
        </w:rPr>
        <w:t xml:space="preserve"> </w:t>
      </w:r>
      <w:r>
        <w:rPr>
          <w:color w:val="auto"/>
          <w:spacing w:val="-3"/>
        </w:rPr>
        <w:t>到质疑书后，对质疑书进行审查，对符合质疑条件的将办理签收手续，自签收质</w:t>
      </w:r>
      <w:r>
        <w:rPr>
          <w:color w:val="auto"/>
          <w:spacing w:val="-111"/>
        </w:rPr>
        <w:t xml:space="preserve"> </w:t>
      </w:r>
      <w:r>
        <w:rPr>
          <w:color w:val="auto"/>
        </w:rPr>
        <w:t>疑书之日起即为受理。</w:t>
      </w:r>
    </w:p>
    <w:p w14:paraId="061251FD">
      <w:pPr>
        <w:pStyle w:val="8"/>
        <w:kinsoku w:val="0"/>
        <w:overflowPunct w:val="0"/>
        <w:spacing w:line="357" w:lineRule="auto"/>
        <w:ind w:right="357" w:firstLine="480"/>
        <w:jc w:val="both"/>
        <w:rPr>
          <w:rFonts w:hint="default"/>
          <w:color w:val="auto"/>
        </w:rPr>
      </w:pPr>
      <w:r>
        <w:rPr>
          <w:color w:val="auto"/>
        </w:rPr>
        <w:t>37.5</w:t>
      </w:r>
      <w:r>
        <w:rPr>
          <w:color w:val="auto"/>
          <w:spacing w:val="-56"/>
        </w:rPr>
        <w:t xml:space="preserve"> </w:t>
      </w:r>
      <w:r>
        <w:rPr>
          <w:color w:val="auto"/>
          <w:spacing w:val="2"/>
        </w:rPr>
        <w:t>采购代理机构将在受理书面质疑后</w:t>
      </w:r>
      <w:r>
        <w:rPr>
          <w:color w:val="auto"/>
          <w:spacing w:val="-56"/>
        </w:rPr>
        <w:t xml:space="preserve"> </w:t>
      </w:r>
      <w:r>
        <w:rPr>
          <w:color w:val="auto"/>
        </w:rPr>
        <w:t>7</w:t>
      </w:r>
      <w:r>
        <w:rPr>
          <w:color w:val="auto"/>
          <w:spacing w:val="-56"/>
        </w:rPr>
        <w:t xml:space="preserve"> </w:t>
      </w:r>
      <w:r>
        <w:rPr>
          <w:color w:val="auto"/>
          <w:spacing w:val="2"/>
        </w:rPr>
        <w:t>个工作日内审查质疑事项，作出</w:t>
      </w:r>
      <w:r>
        <w:rPr>
          <w:color w:val="auto"/>
        </w:rPr>
        <w:t xml:space="preserve"> </w:t>
      </w:r>
      <w:r>
        <w:rPr>
          <w:color w:val="auto"/>
          <w:spacing w:val="-3"/>
        </w:rPr>
        <w:t>答复或相关处理决定，并以书面形式通知质疑人和其他相关供应商，但答复的内</w:t>
      </w:r>
      <w:r>
        <w:rPr>
          <w:color w:val="auto"/>
          <w:spacing w:val="-109"/>
        </w:rPr>
        <w:t xml:space="preserve"> </w:t>
      </w:r>
      <w:r>
        <w:rPr>
          <w:color w:val="auto"/>
        </w:rPr>
        <w:t>容不涉及商业秘密。</w:t>
      </w:r>
    </w:p>
    <w:p w14:paraId="02E85FA7">
      <w:pPr>
        <w:pStyle w:val="8"/>
        <w:kinsoku w:val="0"/>
        <w:overflowPunct w:val="0"/>
        <w:spacing w:line="357" w:lineRule="auto"/>
        <w:ind w:right="357" w:firstLine="480"/>
        <w:jc w:val="both"/>
        <w:rPr>
          <w:rFonts w:hint="default"/>
          <w:color w:val="auto"/>
        </w:rPr>
      </w:pPr>
      <w:r>
        <w:rPr>
          <w:color w:val="auto"/>
        </w:rPr>
        <w:t>37.6</w:t>
      </w:r>
      <w:r>
        <w:rPr>
          <w:color w:val="auto"/>
          <w:spacing w:val="-51"/>
        </w:rPr>
        <w:t xml:space="preserve"> </w:t>
      </w:r>
      <w:r>
        <w:rPr>
          <w:rFonts w:hint="eastAsia"/>
          <w:color w:val="auto"/>
          <w:spacing w:val="2"/>
          <w:lang w:eastAsia="zh-CN"/>
        </w:rPr>
        <w:t>供应商</w:t>
      </w:r>
      <w:r>
        <w:rPr>
          <w:color w:val="auto"/>
          <w:spacing w:val="2"/>
        </w:rPr>
        <w:t>进行虚假和恶意质疑的，采购代理机构将提请有关部门将其列</w:t>
      </w:r>
      <w:r>
        <w:rPr>
          <w:color w:val="auto"/>
        </w:rPr>
        <w:t xml:space="preserve"> </w:t>
      </w:r>
      <w:r>
        <w:rPr>
          <w:color w:val="auto"/>
          <w:spacing w:val="-3"/>
        </w:rPr>
        <w:t>入不良记录名单，在一至三年内禁止参加政府采购活动，并将处理决定在相关政</w:t>
      </w:r>
      <w:r>
        <w:rPr>
          <w:color w:val="auto"/>
          <w:spacing w:val="-109"/>
        </w:rPr>
        <w:t xml:space="preserve"> </w:t>
      </w:r>
      <w:r>
        <w:rPr>
          <w:color w:val="auto"/>
        </w:rPr>
        <w:t>府采购媒体上公布。</w:t>
      </w:r>
    </w:p>
    <w:p w14:paraId="582AEF75">
      <w:pPr>
        <w:pStyle w:val="8"/>
        <w:kinsoku w:val="0"/>
        <w:overflowPunct w:val="0"/>
        <w:ind w:left="600" w:right="117"/>
        <w:rPr>
          <w:rFonts w:hint="default"/>
          <w:color w:val="auto"/>
        </w:rPr>
      </w:pPr>
      <w:r>
        <w:rPr>
          <w:color w:val="auto"/>
        </w:rPr>
        <w:t>37.7</w:t>
      </w:r>
      <w:r>
        <w:rPr>
          <w:color w:val="auto"/>
          <w:spacing w:val="-60"/>
        </w:rPr>
        <w:t xml:space="preserve"> </w:t>
      </w:r>
      <w:r>
        <w:rPr>
          <w:color w:val="auto"/>
        </w:rPr>
        <w:t>质疑人对答复不满意以及采购代理机构未在规定的时间内作出答复的，</w:t>
      </w:r>
    </w:p>
    <w:p w14:paraId="780A2AF8">
      <w:pPr>
        <w:pStyle w:val="8"/>
        <w:kinsoku w:val="0"/>
        <w:overflowPunct w:val="0"/>
        <w:spacing w:before="154"/>
        <w:ind w:right="117"/>
        <w:rPr>
          <w:rFonts w:hint="default"/>
          <w:color w:val="auto"/>
        </w:rPr>
      </w:pPr>
      <w:r>
        <w:rPr>
          <w:color w:val="auto"/>
        </w:rPr>
        <w:t>可以在答复期满后</w:t>
      </w:r>
      <w:r>
        <w:rPr>
          <w:color w:val="auto"/>
          <w:spacing w:val="-60"/>
        </w:rPr>
        <w:t xml:space="preserve"> </w:t>
      </w:r>
      <w:r>
        <w:rPr>
          <w:color w:val="auto"/>
        </w:rPr>
        <w:t>15</w:t>
      </w:r>
      <w:r>
        <w:rPr>
          <w:color w:val="auto"/>
          <w:spacing w:val="-60"/>
        </w:rPr>
        <w:t xml:space="preserve"> </w:t>
      </w:r>
      <w:r>
        <w:rPr>
          <w:color w:val="auto"/>
        </w:rPr>
        <w:t>个工作日内向财政部门投拆。</w:t>
      </w:r>
    </w:p>
    <w:p w14:paraId="09322A29">
      <w:pPr>
        <w:pStyle w:val="6"/>
        <w:kinsoku w:val="0"/>
        <w:overflowPunct w:val="0"/>
        <w:spacing w:before="0" w:line="650" w:lineRule="atLeast"/>
        <w:ind w:right="5190"/>
        <w:rPr>
          <w:rFonts w:hint="default"/>
          <w:color w:val="auto"/>
          <w:w w:val="99"/>
        </w:rPr>
      </w:pPr>
      <w:bookmarkStart w:id="43" w:name="十二、保密和披露"/>
      <w:bookmarkEnd w:id="43"/>
      <w:r>
        <w:rPr>
          <w:color w:val="auto"/>
        </w:rPr>
        <w:t>十二、保密和披露</w:t>
      </w:r>
      <w:r>
        <w:rPr>
          <w:color w:val="auto"/>
          <w:w w:val="99"/>
        </w:rPr>
        <w:t xml:space="preserve"> </w:t>
      </w:r>
    </w:p>
    <w:p w14:paraId="28113E22">
      <w:pPr>
        <w:pStyle w:val="6"/>
        <w:kinsoku w:val="0"/>
        <w:overflowPunct w:val="0"/>
        <w:spacing w:before="0" w:line="650" w:lineRule="atLeast"/>
        <w:ind w:right="5190"/>
        <w:rPr>
          <w:rFonts w:hint="default"/>
          <w:b w:val="0"/>
          <w:color w:val="auto"/>
        </w:rPr>
      </w:pPr>
      <w:r>
        <w:rPr>
          <w:color w:val="auto"/>
        </w:rPr>
        <w:t>38.保密和披露</w:t>
      </w:r>
    </w:p>
    <w:p w14:paraId="764F9827">
      <w:pPr>
        <w:pStyle w:val="8"/>
        <w:kinsoku w:val="0"/>
        <w:overflowPunct w:val="0"/>
        <w:spacing w:before="154" w:line="357" w:lineRule="auto"/>
        <w:ind w:right="117" w:firstLine="480"/>
        <w:rPr>
          <w:rFonts w:hint="default"/>
          <w:color w:val="auto"/>
          <w:spacing w:val="-6"/>
        </w:rPr>
      </w:pPr>
      <w:r>
        <w:rPr>
          <w:color w:val="auto"/>
        </w:rPr>
        <w:t>38.1</w:t>
      </w:r>
      <w:r>
        <w:rPr>
          <w:color w:val="auto"/>
          <w:spacing w:val="-56"/>
        </w:rPr>
        <w:t xml:space="preserve"> </w:t>
      </w:r>
      <w:r>
        <w:rPr>
          <w:rFonts w:hint="eastAsia"/>
          <w:color w:val="auto"/>
          <w:spacing w:val="2"/>
          <w:lang w:eastAsia="zh-CN"/>
        </w:rPr>
        <w:t>供应商</w:t>
      </w:r>
      <w:r>
        <w:rPr>
          <w:color w:val="auto"/>
          <w:spacing w:val="2"/>
        </w:rPr>
        <w:t>自领取招标文件之日起，须承担本招标项目保密义务，不得将</w:t>
      </w:r>
      <w:r>
        <w:rPr>
          <w:color w:val="auto"/>
        </w:rPr>
        <w:t xml:space="preserve"> </w:t>
      </w:r>
      <w:r>
        <w:rPr>
          <w:color w:val="auto"/>
          <w:spacing w:val="-6"/>
        </w:rPr>
        <w:t>因本次招标获得的信息向第三人外传。由采购人向</w:t>
      </w:r>
      <w:r>
        <w:rPr>
          <w:rFonts w:hint="eastAsia"/>
          <w:color w:val="auto"/>
          <w:spacing w:val="-6"/>
          <w:lang w:eastAsia="zh-CN"/>
        </w:rPr>
        <w:t>供应商</w:t>
      </w:r>
      <w:r>
        <w:rPr>
          <w:color w:val="auto"/>
          <w:spacing w:val="-6"/>
        </w:rPr>
        <w:t>提供的图纸、详细资料、</w:t>
      </w:r>
      <w:r>
        <w:rPr>
          <w:color w:val="auto"/>
        </w:rPr>
        <w:t xml:space="preserve"> </w:t>
      </w:r>
      <w:r>
        <w:rPr>
          <w:color w:val="auto"/>
          <w:spacing w:val="-6"/>
        </w:rPr>
        <w:t>样品、模型、模件和所有其它资料，被视为保密资料，仅被用于它所规定的用途。</w:t>
      </w:r>
    </w:p>
    <w:p w14:paraId="7776DE07">
      <w:pPr>
        <w:pStyle w:val="8"/>
        <w:kinsoku w:val="0"/>
        <w:overflowPunct w:val="0"/>
        <w:spacing w:before="154" w:line="357" w:lineRule="auto"/>
        <w:ind w:right="117" w:firstLine="480"/>
        <w:rPr>
          <w:rFonts w:hint="default"/>
          <w:color w:val="auto"/>
          <w:spacing w:val="-6"/>
        </w:rPr>
        <w:sectPr>
          <w:pgSz w:w="11910" w:h="16840"/>
          <w:pgMar w:top="1460" w:right="1440" w:bottom="1600" w:left="1680" w:header="0" w:footer="1415" w:gutter="0"/>
          <w:cols w:space="720" w:num="1"/>
        </w:sectPr>
      </w:pPr>
    </w:p>
    <w:p w14:paraId="27DBEDA3">
      <w:pPr>
        <w:pStyle w:val="8"/>
        <w:kinsoku w:val="0"/>
        <w:overflowPunct w:val="0"/>
        <w:spacing w:before="2" w:line="357" w:lineRule="auto"/>
        <w:rPr>
          <w:rFonts w:hint="default"/>
          <w:color w:val="auto"/>
        </w:rPr>
      </w:pPr>
      <w:bookmarkStart w:id="44" w:name="第三部分_采购需求"/>
      <w:bookmarkEnd w:id="44"/>
      <w:r>
        <w:rPr>
          <w:color w:val="auto"/>
        </w:rPr>
        <w:t xml:space="preserve">除非得到采购人的同意，不能向任何第三方透露。开标结束后，应采购人要求， </w:t>
      </w:r>
      <w:r>
        <w:rPr>
          <w:rFonts w:hint="eastAsia"/>
          <w:color w:val="auto"/>
          <w:lang w:eastAsia="zh-CN"/>
        </w:rPr>
        <w:t>供应商</w:t>
      </w:r>
      <w:r>
        <w:rPr>
          <w:color w:val="auto"/>
        </w:rPr>
        <w:t>应归还所有从采购人处获得的保密资料。</w:t>
      </w:r>
    </w:p>
    <w:p w14:paraId="6F677F5E">
      <w:pPr>
        <w:pStyle w:val="8"/>
        <w:kinsoku w:val="0"/>
        <w:overflowPunct w:val="0"/>
        <w:spacing w:line="357" w:lineRule="auto"/>
        <w:ind w:right="197" w:firstLine="480"/>
        <w:jc w:val="both"/>
        <w:rPr>
          <w:rFonts w:hint="default"/>
          <w:color w:val="auto"/>
        </w:rPr>
      </w:pPr>
      <w:r>
        <w:rPr>
          <w:color w:val="auto"/>
        </w:rPr>
        <w:t>38.2</w:t>
      </w:r>
      <w:r>
        <w:rPr>
          <w:color w:val="auto"/>
          <w:spacing w:val="-51"/>
        </w:rPr>
        <w:t xml:space="preserve"> </w:t>
      </w:r>
      <w:r>
        <w:rPr>
          <w:color w:val="auto"/>
          <w:spacing w:val="2"/>
        </w:rPr>
        <w:t>采购代理机构有权将</w:t>
      </w:r>
      <w:r>
        <w:rPr>
          <w:rFonts w:hint="eastAsia"/>
          <w:color w:val="auto"/>
          <w:spacing w:val="2"/>
          <w:lang w:eastAsia="zh-CN"/>
        </w:rPr>
        <w:t>供应商</w:t>
      </w:r>
      <w:r>
        <w:rPr>
          <w:color w:val="auto"/>
          <w:spacing w:val="2"/>
        </w:rPr>
        <w:t>提供的所有资料向有关政府部门或评审标</w:t>
      </w:r>
      <w:r>
        <w:rPr>
          <w:color w:val="auto"/>
        </w:rPr>
        <w:t xml:space="preserve"> 书的有关人员披露。</w:t>
      </w:r>
    </w:p>
    <w:p w14:paraId="2F077FC9">
      <w:pPr>
        <w:spacing w:line="360" w:lineRule="auto"/>
        <w:ind w:firstLine="480" w:firstLineChars="200"/>
        <w:rPr>
          <w:rFonts w:hint="default" w:ascii="Times New Roman" w:eastAsia="Times New Roman"/>
          <w:color w:val="auto"/>
        </w:rPr>
        <w:sectPr>
          <w:footerReference r:id="rId10" w:type="default"/>
          <w:pgSz w:w="11910" w:h="16840"/>
          <w:pgMar w:top="1460" w:right="1560" w:bottom="1600" w:left="1680" w:header="0" w:footer="1415" w:gutter="0"/>
          <w:cols w:space="720" w:num="1"/>
        </w:sectPr>
      </w:pPr>
      <w:r>
        <w:rPr>
          <w:rFonts w:hint="eastAsia" w:ascii="宋体" w:hAnsi="Times New Roman" w:eastAsia="宋体" w:cs="宋体"/>
          <w:color w:val="auto"/>
          <w:sz w:val="24"/>
          <w:szCs w:val="24"/>
          <w:lang w:val="en-US" w:eastAsia="zh-CN" w:bidi="ar-SA"/>
        </w:rPr>
        <w:t>38.3 在采购代理机构认为适当时、国家机关调查、审查、审计时以及其他 符合法律规定的情形下，采购代理机构无须事先征求供应商同意而可以披露关于 采购过程、合同文本、签署情况的资料、供应商的名称及地址、投标文件的有关 信息以及补充条款等，但应当在合理的必要范围内。对任何已经公布过的内容或 与之内容相同的资料，以及供应商已经泄露或公开的，无须再承担保密责任。</w:t>
      </w:r>
    </w:p>
    <w:p w14:paraId="3C1D6D47">
      <w:pPr>
        <w:kinsoku w:val="0"/>
        <w:overflowPunct w:val="0"/>
        <w:spacing w:before="7"/>
        <w:ind w:right="45"/>
        <w:jc w:val="center"/>
        <w:outlineLvl w:val="0"/>
        <w:rPr>
          <w:rFonts w:hint="default"/>
          <w:color w:val="auto"/>
          <w:sz w:val="30"/>
          <w:szCs w:val="30"/>
        </w:rPr>
      </w:pPr>
      <w:bookmarkStart w:id="45" w:name="_Toc11509"/>
      <w:r>
        <w:rPr>
          <w:color w:val="auto"/>
          <w:sz w:val="30"/>
          <w:szCs w:val="30"/>
        </w:rPr>
        <w:t>第三部分采购需求</w:t>
      </w:r>
      <w:bookmarkEnd w:id="45"/>
    </w:p>
    <w:p w14:paraId="23835854">
      <w:pPr>
        <w:pStyle w:val="27"/>
        <w:keepNext w:val="0"/>
        <w:keepLines w:val="0"/>
        <w:pageBreakBefore w:val="0"/>
        <w:widowControl w:val="0"/>
        <w:kinsoku/>
        <w:wordWrap/>
        <w:overflowPunct/>
        <w:topLinePunct w:val="0"/>
        <w:autoSpaceDE w:val="0"/>
        <w:autoSpaceDN w:val="0"/>
        <w:bidi w:val="0"/>
        <w:adjustRightInd w:val="0"/>
        <w:snapToGrid/>
        <w:spacing w:line="800" w:lineRule="exact"/>
        <w:ind w:firstLine="0" w:firstLineChars="0"/>
        <w:textAlignment w:val="auto"/>
        <w:rPr>
          <w:rFonts w:hint="eastAsia" w:ascii="宋体" w:hAnsi="宋体" w:eastAsia="宋体" w:cs="宋体"/>
          <w:b w:val="0"/>
          <w:bCs w:val="0"/>
          <w:color w:val="auto"/>
          <w:sz w:val="28"/>
          <w:szCs w:val="28"/>
          <w:lang w:eastAsia="zh-CN"/>
        </w:rPr>
      </w:pPr>
      <w:r>
        <w:rPr>
          <w:rFonts w:hint="eastAsia" w:hAnsi="宋体" w:cs="宋体"/>
          <w:b w:val="0"/>
          <w:bCs w:val="0"/>
          <w:color w:val="auto"/>
          <w:sz w:val="28"/>
          <w:szCs w:val="28"/>
          <w:lang w:eastAsia="zh-CN"/>
        </w:rPr>
        <w:t>（</w:t>
      </w:r>
      <w:r>
        <w:rPr>
          <w:rFonts w:hint="eastAsia" w:hAnsi="宋体" w:cs="宋体"/>
          <w:b w:val="0"/>
          <w:bCs w:val="0"/>
          <w:color w:val="auto"/>
          <w:sz w:val="28"/>
          <w:szCs w:val="28"/>
          <w:lang w:val="en-US" w:eastAsia="zh-CN"/>
        </w:rPr>
        <w:t>一</w:t>
      </w:r>
      <w:r>
        <w:rPr>
          <w:rFonts w:hint="eastAsia" w:hAnsi="宋体" w:cs="宋体"/>
          <w:b w:val="0"/>
          <w:bCs w:val="0"/>
          <w:color w:val="auto"/>
          <w:sz w:val="28"/>
          <w:szCs w:val="28"/>
          <w:lang w:eastAsia="zh-CN"/>
        </w:rPr>
        <w:t>）血液透析机（单泵）</w:t>
      </w:r>
    </w:p>
    <w:p w14:paraId="3C7B0513">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1.供电：220V AC。</w:t>
      </w:r>
    </w:p>
    <w:p w14:paraId="271A714C">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2.设备使用年限：≥10年</w:t>
      </w:r>
    </w:p>
    <w:p w14:paraId="3F62FD0C">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ascii="Segoe UI Symbol" w:hAnsi="Segoe UI Symbol" w:eastAsia="仿宋" w:cs="Segoe UI Symbol"/>
          <w:b w:val="0"/>
          <w:bCs w:val="0"/>
          <w:color w:val="auto"/>
          <w:spacing w:val="-5"/>
          <w:sz w:val="28"/>
          <w:szCs w:val="28"/>
        </w:rPr>
        <w:t>★</w:t>
      </w:r>
      <w:r>
        <w:rPr>
          <w:rFonts w:hint="eastAsia" w:ascii="宋体" w:hAnsi="宋体" w:eastAsia="宋体" w:cs="宋体"/>
          <w:b w:val="0"/>
          <w:bCs w:val="0"/>
          <w:color w:val="auto"/>
          <w:sz w:val="24"/>
          <w:szCs w:val="24"/>
          <w:lang w:val="en-US" w:eastAsia="zh-CN"/>
        </w:rPr>
        <w:t>机身尺寸（mm）：机身宽度≤450  深度≤520</w:t>
      </w:r>
    </w:p>
    <w:p w14:paraId="054A33D7">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4.供水: 压力范围：1-6.5bar；温度范围：5 ℃~30 ℃。</w:t>
      </w:r>
    </w:p>
    <w:p w14:paraId="71DE9036">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5.透析液流速300-700mL/min。</w:t>
      </w:r>
    </w:p>
    <w:p w14:paraId="73DC0E41">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6.透析液温度：33.0~40.0°C，有超温保护装置。</w:t>
      </w:r>
    </w:p>
    <w:p w14:paraId="74E791A4">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7.超滤速度：0.50~4.00L/h。</w:t>
      </w:r>
    </w:p>
    <w:p w14:paraId="6D500572">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8.漏血检测器：光学检测。</w:t>
      </w:r>
    </w:p>
    <w:p w14:paraId="06B2DFDF">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9.动脉血泵：40~600mL/min。</w:t>
      </w:r>
    </w:p>
    <w:p w14:paraId="428BE5E7">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10.肝素泵：设置范围：0.0~9.0mL/h。</w:t>
      </w:r>
    </w:p>
    <w:p w14:paraId="7BE58DC3">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11.空气监测器：超声波检测；检测精度：≤0.03mL。</w:t>
      </w:r>
    </w:p>
    <w:p w14:paraId="2D1244A7">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12.动脉压：测量范围：-300~+450mmHg；测量精确度：±10mmHg。</w:t>
      </w:r>
    </w:p>
    <w:p w14:paraId="64B87CFE">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13.静脉压：测量范围：-300~+450mmHg；测量精确度：±10mmHg。</w:t>
      </w:r>
    </w:p>
    <w:p w14:paraId="5CDDC1E8">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14.TMP：测量范围：-100~+450mmHg；测量精确度：±10mmHg。</w:t>
      </w:r>
    </w:p>
    <w:p w14:paraId="4D2F47AD">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15.透析液浓度：12.5 ~16.0mS/cm。</w:t>
      </w:r>
    </w:p>
    <w:p w14:paraId="740FBBFA">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16.治疗模式：用于血液净化治疗，具有血液透析、单纯超滤、序贯透析。</w:t>
      </w:r>
    </w:p>
    <w:p w14:paraId="44903807">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w:t>
      </w:r>
      <w:r>
        <w:rPr>
          <w:rFonts w:ascii="Segoe UI Symbol" w:hAnsi="Segoe UI Symbol" w:eastAsia="仿宋" w:cs="Segoe UI Symbol"/>
          <w:b w:val="0"/>
          <w:bCs w:val="0"/>
          <w:color w:val="auto"/>
          <w:spacing w:val="-5"/>
          <w:sz w:val="28"/>
          <w:szCs w:val="28"/>
        </w:rPr>
        <w:t>★</w:t>
      </w:r>
      <w:r>
        <w:rPr>
          <w:rFonts w:hint="eastAsia" w:ascii="宋体" w:hAnsi="宋体" w:eastAsia="宋体" w:cs="宋体"/>
          <w:b w:val="0"/>
          <w:bCs w:val="0"/>
          <w:color w:val="auto"/>
          <w:sz w:val="24"/>
          <w:szCs w:val="24"/>
          <w:lang w:val="en-US" w:eastAsia="zh-CN"/>
        </w:rPr>
        <w:t>人机交互：≥15英寸彩色液晶显示器，可旋转。可以在屏幕上调节动脉壶液位。</w:t>
      </w:r>
    </w:p>
    <w:p w14:paraId="0CF6D9C9">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18.可实时图文显示参数，包括动脉压、静脉压、跨膜压、总电导度、碳酸氢盐电导度、透析液温度、血流速度、超滤速度等 。</w:t>
      </w:r>
    </w:p>
    <w:p w14:paraId="76201014">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19.报警提示功能：多种颜色报警指示灯，具有声光报警指示。 </w:t>
      </w:r>
    </w:p>
    <w:p w14:paraId="15BE1356">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20.消毒模式：支持使用柠檬酸、次氯酸钠、过氧乙酸等多种消毒液。热水柠檬酸消毒温度最高可达90℃。</w:t>
      </w:r>
    </w:p>
    <w:p w14:paraId="3A2497F6">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21.后备电池：停电时自动跳转后备电池供电，支持体外循环监测，报警系统。运行时间不少于20分钟 </w:t>
      </w:r>
    </w:p>
    <w:p w14:paraId="368A4EA0">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22.设备内部可同时存储多种不同原液配方</w:t>
      </w:r>
    </w:p>
    <w:p w14:paraId="36E9A5F5">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23.超滤系统：采用容量式平衡与超滤控制系统。</w:t>
      </w:r>
    </w:p>
    <w:p w14:paraId="316CFD13">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w:t>
      </w:r>
      <w:r>
        <w:rPr>
          <w:rFonts w:ascii="Segoe UI Symbol" w:hAnsi="Segoe UI Symbol" w:eastAsia="仿宋" w:cs="Segoe UI Symbol"/>
          <w:b w:val="0"/>
          <w:bCs w:val="0"/>
          <w:color w:val="auto"/>
          <w:spacing w:val="-5"/>
          <w:sz w:val="28"/>
          <w:szCs w:val="28"/>
        </w:rPr>
        <w:t>★</w:t>
      </w:r>
      <w:r>
        <w:rPr>
          <w:rFonts w:hint="eastAsia" w:ascii="宋体" w:hAnsi="宋体" w:eastAsia="宋体" w:cs="宋体"/>
          <w:b w:val="0"/>
          <w:bCs w:val="0"/>
          <w:color w:val="auto"/>
          <w:sz w:val="24"/>
          <w:szCs w:val="24"/>
          <w:lang w:val="en-US" w:eastAsia="zh-CN"/>
        </w:rPr>
        <w:t>浓度曲线：可进行透析液浓度曲线治疗，可预存≥8条曲线，实现个性化透析。</w:t>
      </w:r>
    </w:p>
    <w:p w14:paraId="31C2DA20">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25.超滤曲线：可预存≥8条超滤曲线，实现个性化透析。</w:t>
      </w:r>
    </w:p>
    <w:p w14:paraId="3C666070">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26.</w:t>
      </w:r>
      <w:r>
        <w:rPr>
          <w:rFonts w:ascii="Segoe UI Symbol" w:hAnsi="Segoe UI Symbol" w:eastAsia="仿宋" w:cs="Segoe UI Symbol"/>
          <w:b w:val="0"/>
          <w:bCs w:val="0"/>
          <w:color w:val="auto"/>
          <w:spacing w:val="-5"/>
          <w:sz w:val="28"/>
          <w:szCs w:val="28"/>
        </w:rPr>
        <w:t>★</w:t>
      </w:r>
      <w:r>
        <w:rPr>
          <w:rFonts w:hint="eastAsia" w:ascii="宋体" w:hAnsi="宋体" w:eastAsia="宋体" w:cs="宋体"/>
          <w:b w:val="0"/>
          <w:bCs w:val="0"/>
          <w:color w:val="auto"/>
          <w:sz w:val="24"/>
          <w:szCs w:val="24"/>
          <w:lang w:val="en-US" w:eastAsia="zh-CN"/>
        </w:rPr>
        <w:t>透析液过滤：标配透析液过滤器支架组件。机身深度≤520 mm，过滤器更换空间更大、更便捷。</w:t>
      </w:r>
    </w:p>
    <w:p w14:paraId="1AEE45CD">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27.</w:t>
      </w:r>
      <w:r>
        <w:rPr>
          <w:rFonts w:ascii="Segoe UI Symbol" w:hAnsi="Segoe UI Symbol" w:eastAsia="仿宋" w:cs="Segoe UI Symbol"/>
          <w:b w:val="0"/>
          <w:bCs w:val="0"/>
          <w:color w:val="auto"/>
          <w:spacing w:val="-5"/>
          <w:sz w:val="28"/>
          <w:szCs w:val="28"/>
        </w:rPr>
        <w:t>★</w:t>
      </w:r>
      <w:r>
        <w:rPr>
          <w:rFonts w:hint="eastAsia" w:ascii="宋体" w:hAnsi="宋体" w:eastAsia="宋体" w:cs="宋体"/>
          <w:b w:val="0"/>
          <w:bCs w:val="0"/>
          <w:color w:val="auto"/>
          <w:sz w:val="24"/>
          <w:szCs w:val="24"/>
          <w:lang w:val="en-US" w:eastAsia="zh-CN"/>
        </w:rPr>
        <w:t>液面调整：具备动静脉壶液面电动调整功能，操作更加简便。</w:t>
      </w:r>
    </w:p>
    <w:p w14:paraId="7B38AD52">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28.标配网络接口。</w:t>
      </w:r>
    </w:p>
    <w:p w14:paraId="7B7AAEC8">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29.</w:t>
      </w:r>
      <w:r>
        <w:rPr>
          <w:rFonts w:ascii="Segoe UI Symbol" w:hAnsi="Segoe UI Symbol" w:eastAsia="仿宋" w:cs="Segoe UI Symbol"/>
          <w:b w:val="0"/>
          <w:bCs w:val="0"/>
          <w:color w:val="auto"/>
          <w:spacing w:val="-5"/>
          <w:sz w:val="28"/>
          <w:szCs w:val="28"/>
        </w:rPr>
        <w:t>★</w:t>
      </w:r>
      <w:r>
        <w:rPr>
          <w:rFonts w:hint="eastAsia" w:ascii="宋体" w:hAnsi="宋体" w:eastAsia="宋体" w:cs="宋体"/>
          <w:b w:val="0"/>
          <w:bCs w:val="0"/>
          <w:color w:val="auto"/>
          <w:sz w:val="24"/>
          <w:szCs w:val="24"/>
          <w:lang w:val="en-US" w:eastAsia="zh-CN"/>
        </w:rPr>
        <w:t>为节约科室不能收费成本，预冲液联机排放，无需废液袋，置换液代替生理盐水自动预充无需生理盐水。</w:t>
      </w:r>
    </w:p>
    <w:p w14:paraId="31D59311">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具有自动预充系统，管路安装图文动画指导。自动引血、回血，程序一键启动，可显示剩余时间。</w:t>
      </w:r>
    </w:p>
    <w:p w14:paraId="6BCE93D8">
      <w:pPr>
        <w:pStyle w:val="23"/>
        <w:rPr>
          <w:rFonts w:hint="eastAsia"/>
          <w:b w:val="0"/>
          <w:bCs w:val="0"/>
          <w:color w:val="auto"/>
          <w:lang w:val="en-US" w:eastAsia="zh-CN"/>
        </w:rPr>
      </w:pPr>
    </w:p>
    <w:p w14:paraId="45C6F3D7">
      <w:pPr>
        <w:pStyle w:val="27"/>
        <w:keepNext w:val="0"/>
        <w:keepLines w:val="0"/>
        <w:pageBreakBefore w:val="0"/>
        <w:widowControl w:val="0"/>
        <w:kinsoku/>
        <w:wordWrap/>
        <w:overflowPunct/>
        <w:topLinePunct w:val="0"/>
        <w:autoSpaceDE w:val="0"/>
        <w:autoSpaceDN w:val="0"/>
        <w:bidi w:val="0"/>
        <w:adjustRightInd w:val="0"/>
        <w:snapToGrid/>
        <w:spacing w:line="800" w:lineRule="exact"/>
        <w:ind w:firstLine="0" w:firstLineChars="0"/>
        <w:textAlignment w:val="auto"/>
        <w:rPr>
          <w:rFonts w:hint="eastAsia" w:ascii="宋体" w:hAnsi="宋体" w:eastAsia="宋体" w:cs="宋体"/>
          <w:b w:val="0"/>
          <w:bCs w:val="0"/>
          <w:color w:val="auto"/>
          <w:sz w:val="28"/>
          <w:szCs w:val="28"/>
          <w:lang w:eastAsia="zh-CN"/>
        </w:rPr>
      </w:pPr>
      <w:r>
        <w:rPr>
          <w:rFonts w:hint="eastAsia" w:hAnsi="宋体" w:cs="宋体"/>
          <w:b w:val="0"/>
          <w:bCs w:val="0"/>
          <w:color w:val="auto"/>
          <w:sz w:val="28"/>
          <w:szCs w:val="28"/>
          <w:lang w:eastAsia="zh-CN"/>
        </w:rPr>
        <w:t>（</w:t>
      </w:r>
      <w:r>
        <w:rPr>
          <w:rFonts w:hint="eastAsia" w:hAnsi="宋体" w:cs="宋体"/>
          <w:b w:val="0"/>
          <w:bCs w:val="0"/>
          <w:color w:val="auto"/>
          <w:sz w:val="28"/>
          <w:szCs w:val="28"/>
          <w:lang w:val="en-US" w:eastAsia="zh-CN"/>
        </w:rPr>
        <w:t>二</w:t>
      </w:r>
      <w:r>
        <w:rPr>
          <w:rFonts w:hint="eastAsia" w:hAnsi="宋体" w:cs="宋体"/>
          <w:b w:val="0"/>
          <w:bCs w:val="0"/>
          <w:color w:val="auto"/>
          <w:sz w:val="28"/>
          <w:szCs w:val="28"/>
          <w:lang w:eastAsia="zh-CN"/>
        </w:rPr>
        <w:t>）血液透析机（</w:t>
      </w:r>
      <w:r>
        <w:rPr>
          <w:rFonts w:hint="eastAsia" w:hAnsi="宋体" w:cs="宋体"/>
          <w:b w:val="0"/>
          <w:bCs w:val="0"/>
          <w:color w:val="auto"/>
          <w:sz w:val="28"/>
          <w:szCs w:val="28"/>
          <w:lang w:val="en-US" w:eastAsia="zh-CN"/>
        </w:rPr>
        <w:t>双</w:t>
      </w:r>
      <w:r>
        <w:rPr>
          <w:rFonts w:hint="eastAsia" w:hAnsi="宋体" w:cs="宋体"/>
          <w:b w:val="0"/>
          <w:bCs w:val="0"/>
          <w:color w:val="auto"/>
          <w:sz w:val="28"/>
          <w:szCs w:val="28"/>
          <w:lang w:eastAsia="zh-CN"/>
        </w:rPr>
        <w:t>泵）</w:t>
      </w:r>
    </w:p>
    <w:p w14:paraId="24F223B0">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一．主要技术参数 </w:t>
      </w:r>
    </w:p>
    <w:p w14:paraId="22886BF3">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1.供电：220V ±10%AC, 50 /60Hz ±1Hz。</w:t>
      </w:r>
    </w:p>
    <w:p w14:paraId="21E731C8">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2.供水: 压力范围：1-7bar；温度范围：5 °C~30 °C。</w:t>
      </w:r>
    </w:p>
    <w:p w14:paraId="7A94960C">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3.透析液流速：300~600mL/min。</w:t>
      </w:r>
    </w:p>
    <w:p w14:paraId="67B2B7BB">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4.透析液温度：33.0~39.0°C。</w:t>
      </w:r>
    </w:p>
    <w:p w14:paraId="50A9AF34">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5.超滤速度：0.00; 0.10~4.00L/h。</w:t>
      </w:r>
    </w:p>
    <w:p w14:paraId="713D4322">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6.漏血检测器：方法：光学检测；灵敏度：0.3mL血液/1L透析液。*</w:t>
      </w:r>
    </w:p>
    <w:p w14:paraId="6F2E3690">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7.动脉血泵：40~500mL/min。</w:t>
      </w:r>
    </w:p>
    <w:p w14:paraId="492FE06F">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8.肝素泵：设置范围：0.0~9.9mL/h；注射器类型：10mL、20mL。</w:t>
      </w:r>
    </w:p>
    <w:p w14:paraId="2CC75ABD">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9.空气监测器：监测方法 ：超声波；检测精度：普通气泡：0.02mL（普通气泡）；微小气泡0.005mL 。</w:t>
      </w:r>
    </w:p>
    <w:p w14:paraId="47D26181">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10.在线HDF/HF置换液泵：0.00; 0.10~30.00L/h。</w:t>
      </w:r>
    </w:p>
    <w:p w14:paraId="0BACC568">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11.一次性注入补液：40~500mL/min。</w:t>
      </w:r>
    </w:p>
    <w:p w14:paraId="00BDBF23">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12.动脉压力：测量范围：-300~+500mmHg；测量精确度：±10mmHg。</w:t>
      </w:r>
    </w:p>
    <w:p w14:paraId="72489F19">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13.静脉压力：测量范围：-300~+500mmHg；测量精确度：±10mmHg。</w:t>
      </w:r>
    </w:p>
    <w:p w14:paraId="39A12631">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14.TMP：测量范围：-100~+500mmHg；测量精确度：±10mmHg。</w:t>
      </w:r>
    </w:p>
    <w:p w14:paraId="5A0138A5">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15.透析液压：测量范围：-600~+600mmHg；测量精确度：±10mmHg。</w:t>
      </w:r>
    </w:p>
    <w:p w14:paraId="79E51795">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16.透析液浓度：10.0 ~20.0mS/cm。</w:t>
      </w:r>
    </w:p>
    <w:p w14:paraId="14D662BD">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17.碳酸氢盐浓度：2.00~8.00mS/cm。</w:t>
      </w:r>
    </w:p>
    <w:p w14:paraId="16203616">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二．系统功能概述 </w:t>
      </w:r>
    </w:p>
    <w:p w14:paraId="581EDDB6">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1.治疗模式：用于血液净化治疗，具有血液透析、单纯超滤、序贯透析、On-line HDF和On-line HF治疗模式，可使用碳酸氢盐干粉筒或浓缩液进行透析 。</w:t>
      </w:r>
    </w:p>
    <w:p w14:paraId="6151A50D">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2.人机交互：15英寸彩色液晶显示器，触摸屏操作，可旋转，全中文操作系统。</w:t>
      </w:r>
    </w:p>
    <w:p w14:paraId="636BD4F9">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3.参数显示：可实时图文显示参数，包括动脉压、静脉压、跨膜压、透析器血液入口压、总电导度、碳酸氢盐电导度、透析液温度、透析液流量、血流量、超滤量等 。</w:t>
      </w:r>
    </w:p>
    <w:p w14:paraId="18CB3AAF">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4.信息记录：具备装置的设定、报警、操作信息记录功能，方便查询；具备配管监视功能，可提供机器内部液路流程及相关参数的实时显示。  </w:t>
      </w:r>
    </w:p>
    <w:p w14:paraId="1AF4FFEE">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5.报警提示功能：可视四色报警指示灯，具有声光报警指示，可帮助医护及时准确判断报警提示内容。 </w:t>
      </w:r>
    </w:p>
    <w:p w14:paraId="5C48B6F6">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6.气泡检测器、血液判别器、管路检测器和静脉夹。</w:t>
      </w:r>
    </w:p>
    <w:p w14:paraId="58520A44">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7.消毒模式：具备药液消毒和热消毒方式，5种自动运转程序可选，可任意更改，热水柠檬酸消毒温度大于90℃以上，消毒脱钙一体化完成时间35min。置换液出口和原液吸液管路可联机清洗消毒。</w:t>
      </w:r>
    </w:p>
    <w:p w14:paraId="4377F6F4">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8.人体感应：采用红外遥感技术，自动感应操作人员的靠近点亮屏幕，减少护士人员跟设备接触的手动机会，降低感染风险。 </w:t>
      </w:r>
    </w:p>
    <w:p w14:paraId="3E2E2FCA">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w:t>
      </w:r>
      <w:r>
        <w:rPr>
          <w:rFonts w:ascii="Segoe UI Symbol" w:hAnsi="Segoe UI Symbol" w:eastAsia="仿宋" w:cs="Segoe UI Symbol"/>
          <w:b w:val="0"/>
          <w:bCs w:val="0"/>
          <w:color w:val="auto"/>
          <w:spacing w:val="-5"/>
          <w:sz w:val="28"/>
          <w:szCs w:val="28"/>
        </w:rPr>
        <w:t>★</w:t>
      </w:r>
      <w:r>
        <w:rPr>
          <w:rFonts w:hint="eastAsia" w:ascii="宋体" w:hAnsi="宋体" w:eastAsia="宋体" w:cs="宋体"/>
          <w:b w:val="0"/>
          <w:bCs w:val="0"/>
          <w:color w:val="auto"/>
          <w:sz w:val="24"/>
          <w:szCs w:val="24"/>
          <w:lang w:val="en-US" w:eastAsia="zh-CN"/>
        </w:rPr>
        <w:t>为节约科室不能收费成本，预冲液联机排放，无需废液袋，置换液代替生理盐水自动预充无需生理盐水。</w:t>
      </w:r>
    </w:p>
    <w:p w14:paraId="30A1664E">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10.原液配方：原液配方全开放，默认记忆5种原液配方，可任意更改。</w:t>
      </w:r>
    </w:p>
    <w:p w14:paraId="5E5D1554">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11.超滤系统：采用复式泵加脱水泵平衡与超滤控制系统。 </w:t>
      </w:r>
    </w:p>
    <w:p w14:paraId="23DCB7EE">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12.浓度曲线：可进行透析液浓度曲线治疗，每种均可预存≥8条曲线，实现个性化透析。</w:t>
      </w:r>
    </w:p>
    <w:p w14:paraId="6CAEF66A">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13.超滤曲线：可进行可调超滤曲线治疗，可预存≥8条曲线，提高治疗安全。</w:t>
      </w:r>
    </w:p>
    <w:p w14:paraId="27A71091">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14.配液方式：先吸B液后吸A液，有单独的A、B浓缩液泵，透析液浓度和B液浓度可单独监测并控制，调节方便。 </w:t>
      </w:r>
    </w:p>
    <w:p w14:paraId="404BC592">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15.B液干粉筒组件：标准配备碳酸氢盐干粉自动配制系统 。</w:t>
      </w:r>
    </w:p>
    <w:p w14:paraId="54B7CD7D">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16.液面调整：具备泵前动脉壶、泵后动脉壶和静脉壶液面电动调整功能，操作更加简便 。</w:t>
      </w:r>
    </w:p>
    <w:p w14:paraId="4D35E229">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w:t>
      </w:r>
      <w:r>
        <w:rPr>
          <w:rFonts w:ascii="Segoe UI Symbol" w:hAnsi="Segoe UI Symbol" w:eastAsia="仿宋" w:cs="Segoe UI Symbol"/>
          <w:b w:val="0"/>
          <w:bCs w:val="0"/>
          <w:color w:val="auto"/>
          <w:spacing w:val="-5"/>
          <w:sz w:val="28"/>
          <w:szCs w:val="28"/>
        </w:rPr>
        <w:t>★</w:t>
      </w:r>
      <w:r>
        <w:rPr>
          <w:rFonts w:hint="eastAsia" w:ascii="宋体" w:hAnsi="宋体" w:eastAsia="宋体" w:cs="宋体"/>
          <w:b w:val="0"/>
          <w:bCs w:val="0"/>
          <w:color w:val="auto"/>
          <w:sz w:val="24"/>
          <w:szCs w:val="24"/>
          <w:lang w:val="en-US" w:eastAsia="zh-CN"/>
        </w:rPr>
        <w:t xml:space="preserve">透析液过滤：标准配备双透析液过滤组件，在线生产置换液，并且置换液、透析液都经过两个透析液过滤器的双重过滤，可使用置换液进行在线预冲。 </w:t>
      </w:r>
    </w:p>
    <w:p w14:paraId="43F86345">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18.自检：全功能数字化自检，包括所有显示、控制、监测、水路等系统，自检不可跳过 。</w:t>
      </w:r>
    </w:p>
    <w:p w14:paraId="35622B12">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19.</w:t>
      </w:r>
      <w:r>
        <w:rPr>
          <w:rFonts w:ascii="Segoe UI Symbol" w:hAnsi="Segoe UI Symbol" w:eastAsia="仿宋" w:cs="Segoe UI Symbol"/>
          <w:b w:val="0"/>
          <w:bCs w:val="0"/>
          <w:color w:val="auto"/>
          <w:spacing w:val="-5"/>
          <w:sz w:val="28"/>
          <w:szCs w:val="28"/>
        </w:rPr>
        <w:t>★</w:t>
      </w:r>
      <w:r>
        <w:rPr>
          <w:rFonts w:hint="eastAsia" w:ascii="宋体" w:hAnsi="宋体" w:eastAsia="宋体" w:cs="宋体"/>
          <w:b w:val="0"/>
          <w:bCs w:val="0"/>
          <w:color w:val="auto"/>
          <w:sz w:val="24"/>
          <w:szCs w:val="24"/>
          <w:lang w:val="en-US" w:eastAsia="zh-CN"/>
        </w:rPr>
        <w:t>具有自动预充系统，管路安装图文动画指导。自动引血、回血，程序一键启动，可显示剩余时间。</w:t>
      </w:r>
    </w:p>
    <w:p w14:paraId="7668A2AE">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20.可监测所有的零部件的使用时间，在零部件磨损到期后发出更换提醒。</w:t>
      </w:r>
    </w:p>
    <w:p w14:paraId="3CB31927">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21.置换液量随血液量的调整，按比例自动进行调整，防止血液过度浓缩，选择最佳置换量，实现效率和安全的有效平衡。</w:t>
      </w:r>
    </w:p>
    <w:p w14:paraId="476774DD">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 采用水电路分离设计，增加机器安全性。</w:t>
      </w:r>
    </w:p>
    <w:p w14:paraId="4531EDA2">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hAnsi="宋体" w:cs="宋体"/>
          <w:b w:val="0"/>
          <w:bCs w:val="0"/>
          <w:color w:val="auto"/>
          <w:sz w:val="24"/>
          <w:szCs w:val="24"/>
          <w:lang w:val="en-US" w:eastAsia="zh-CN"/>
        </w:rPr>
        <w:t>23.</w:t>
      </w:r>
      <w:r>
        <w:rPr>
          <w:rFonts w:hint="eastAsia" w:ascii="宋体" w:hAnsi="宋体" w:eastAsia="宋体" w:cs="宋体"/>
          <w:b w:val="0"/>
          <w:bCs w:val="0"/>
          <w:color w:val="auto"/>
          <w:sz w:val="24"/>
          <w:szCs w:val="24"/>
          <w:lang w:val="en-US" w:eastAsia="zh-CN"/>
        </w:rPr>
        <w:t>标配网络接口。</w:t>
      </w:r>
    </w:p>
    <w:p w14:paraId="56AFD7FC">
      <w:pPr>
        <w:pStyle w:val="27"/>
        <w:spacing w:line="360" w:lineRule="auto"/>
        <w:ind w:firstLine="0" w:firstLineChars="0"/>
        <w:rPr>
          <w:rFonts w:hint="eastAsia" w:ascii="宋体" w:hAnsi="宋体" w:eastAsia="宋体" w:cs="宋体"/>
          <w:b w:val="0"/>
          <w:bCs w:val="0"/>
          <w:color w:val="auto"/>
          <w:sz w:val="24"/>
          <w:szCs w:val="24"/>
          <w:lang w:val="en-US" w:eastAsia="zh-CN"/>
        </w:rPr>
      </w:pPr>
    </w:p>
    <w:p w14:paraId="50CD3753">
      <w:pPr>
        <w:pStyle w:val="27"/>
        <w:spacing w:line="360" w:lineRule="auto"/>
        <w:ind w:firstLine="0" w:firstLineChars="0"/>
        <w:rPr>
          <w:rFonts w:hint="eastAsia" w:ascii="宋体" w:hAnsi="宋体" w:eastAsia="宋体" w:cs="宋体"/>
          <w:b w:val="0"/>
          <w:bCs w:val="0"/>
          <w:color w:val="auto"/>
          <w:sz w:val="24"/>
          <w:szCs w:val="24"/>
          <w:lang w:val="en-US" w:eastAsia="zh-CN"/>
        </w:rPr>
      </w:pPr>
    </w:p>
    <w:p w14:paraId="3640929D">
      <w:pPr>
        <w:pStyle w:val="27"/>
        <w:spacing w:line="360" w:lineRule="auto"/>
        <w:ind w:firstLine="0" w:firstLineChars="0"/>
        <w:rPr>
          <w:rFonts w:hint="eastAsia" w:ascii="宋体" w:hAnsi="宋体" w:eastAsia="宋体" w:cs="宋体"/>
          <w:b w:val="0"/>
          <w:bCs w:val="0"/>
          <w:color w:val="auto"/>
          <w:sz w:val="28"/>
          <w:szCs w:val="28"/>
          <w:lang w:eastAsia="zh-CN"/>
        </w:rPr>
      </w:pPr>
      <w:r>
        <w:rPr>
          <w:rFonts w:hint="eastAsia" w:hAnsi="宋体" w:cs="宋体"/>
          <w:b w:val="0"/>
          <w:bCs w:val="0"/>
          <w:color w:val="auto"/>
          <w:sz w:val="28"/>
          <w:szCs w:val="28"/>
          <w:lang w:eastAsia="zh-CN"/>
        </w:rPr>
        <w:t>（</w:t>
      </w:r>
      <w:r>
        <w:rPr>
          <w:rFonts w:hint="eastAsia" w:hAnsi="宋体" w:cs="宋体"/>
          <w:b w:val="0"/>
          <w:bCs w:val="0"/>
          <w:color w:val="auto"/>
          <w:sz w:val="28"/>
          <w:szCs w:val="28"/>
          <w:lang w:val="en-US" w:eastAsia="zh-CN"/>
        </w:rPr>
        <w:t>三</w:t>
      </w:r>
      <w:r>
        <w:rPr>
          <w:rFonts w:hint="eastAsia" w:hAnsi="宋体" w:cs="宋体"/>
          <w:b w:val="0"/>
          <w:bCs w:val="0"/>
          <w:color w:val="auto"/>
          <w:sz w:val="28"/>
          <w:szCs w:val="28"/>
          <w:lang w:eastAsia="zh-CN"/>
        </w:rPr>
        <w:t>）血液透析用制水设备</w:t>
      </w:r>
    </w:p>
    <w:p w14:paraId="0403C030">
      <w:pPr>
        <w:pStyle w:val="27"/>
        <w:spacing w:line="360" w:lineRule="auto"/>
        <w:ind w:firstLine="0" w:firstLineChars="0"/>
        <w:rPr>
          <w:rFonts w:hint="eastAsia"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1.系统产水量</w:t>
      </w:r>
      <w:r>
        <w:rPr>
          <w:rFonts w:hint="eastAsia" w:hAnsi="宋体" w:cs="宋体"/>
          <w:b w:val="0"/>
          <w:bCs w:val="0"/>
          <w:color w:val="auto"/>
          <w:sz w:val="24"/>
          <w:szCs w:val="24"/>
          <w:lang w:val="en-US" w:eastAsia="zh-CN"/>
        </w:rPr>
        <w:t>：≥2400L/H（25℃），适用透析床位≤60床</w:t>
      </w:r>
    </w:p>
    <w:p w14:paraId="7843DE5D">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2.产水微生物含量：细菌≤1CFU，内毒素≤0.125EU</w:t>
      </w:r>
    </w:p>
    <w:p w14:paraId="0A0FC322">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3.产水化学污染物含量：符合YY0572-2015要求</w:t>
      </w:r>
    </w:p>
    <w:p w14:paraId="129AE829">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4.系统回收率：50-75%（可调）</w:t>
      </w:r>
    </w:p>
    <w:p w14:paraId="216DE39E">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5.产品工艺：源水多级处理→智能双级反渗透→透析管路热消毒→无死腔循环直供</w:t>
      </w:r>
    </w:p>
    <w:p w14:paraId="131B2023">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6.消毒方式：化学消毒、热消毒</w:t>
      </w:r>
    </w:p>
    <w:p w14:paraId="22B26E2B">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7.设备功率：主机12KW±10%，热消毒装置30KW±10%</w:t>
      </w:r>
    </w:p>
    <w:p w14:paraId="4CC19BEF">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8.操作方式：PLC+智能显示屏</w:t>
      </w:r>
    </w:p>
    <w:p w14:paraId="41FF189D">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9.运行方式：自动运行、手动运行</w:t>
      </w:r>
    </w:p>
    <w:p w14:paraId="5537551D">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10.运行重量：约2904Kg（含过滤器），热消毒装置约350Kg</w:t>
      </w:r>
    </w:p>
    <w:p w14:paraId="55134BBA">
      <w:pPr>
        <w:pStyle w:val="27"/>
        <w:spacing w:line="360" w:lineRule="auto"/>
        <w:ind w:firstLine="0" w:firstLineChars="0"/>
        <w:rPr>
          <w:rFonts w:hint="eastAsia" w:ascii="宋体" w:hAnsi="宋体" w:eastAsia="宋体" w:cs="宋体"/>
          <w:b w:val="0"/>
          <w:bCs w:val="0"/>
          <w:color w:val="auto"/>
          <w:sz w:val="24"/>
          <w:szCs w:val="24"/>
          <w:lang w:val="en-US" w:eastAsia="zh-CN"/>
        </w:rPr>
      </w:pPr>
      <w:r>
        <w:rPr>
          <w:rFonts w:hint="eastAsia" w:hAnsi="宋体" w:cs="宋体"/>
          <w:b w:val="0"/>
          <w:bCs w:val="0"/>
          <w:color w:val="auto"/>
          <w:sz w:val="24"/>
          <w:szCs w:val="24"/>
          <w:lang w:val="en-US" w:eastAsia="zh-CN"/>
        </w:rPr>
        <w:t>11.</w:t>
      </w:r>
      <w:r>
        <w:rPr>
          <w:rFonts w:hint="eastAsia" w:ascii="宋体" w:hAnsi="宋体" w:eastAsia="宋体" w:cs="宋体"/>
          <w:b w:val="0"/>
          <w:bCs w:val="0"/>
          <w:color w:val="auto"/>
          <w:sz w:val="24"/>
          <w:szCs w:val="24"/>
          <w:lang w:val="en-US" w:eastAsia="zh-CN"/>
        </w:rPr>
        <w:t>设备尺寸（L*W*H）：主机约等于1900*900*1650</w:t>
      </w:r>
    </w:p>
    <w:p w14:paraId="6F088521">
      <w:pPr>
        <w:pStyle w:val="27"/>
        <w:spacing w:line="360" w:lineRule="auto"/>
        <w:ind w:firstLine="2640" w:firstLineChars="1100"/>
        <w:rPr>
          <w:rFonts w:hint="eastAsia"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热消毒装置约等于850*650*1650</w:t>
      </w:r>
    </w:p>
    <w:p w14:paraId="35033BFC">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12.工作电源：AC380V±10%三相五线制、频率：50-60HZ</w:t>
      </w:r>
    </w:p>
    <w:p w14:paraId="7BB191AC">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13.场地要求：房间面积≥18㎡，地面防水处理，有排水管网</w:t>
      </w:r>
    </w:p>
    <w:p w14:paraId="3763458A">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14.工作环境：室温5-40℃，相对湿度≤80%RH</w:t>
      </w:r>
    </w:p>
    <w:p w14:paraId="0BFB161E">
      <w:pPr>
        <w:pStyle w:val="27"/>
        <w:spacing w:line="360" w:lineRule="auto"/>
        <w:ind w:firstLine="0" w:firstLineChars="0"/>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15.原水要求：流量≥6T/H，压力0.2-0.45Mpa，水温5-40℃</w:t>
      </w:r>
    </w:p>
    <w:p w14:paraId="2B2303C5">
      <w:pPr>
        <w:pStyle w:val="27"/>
        <w:spacing w:line="360" w:lineRule="auto"/>
        <w:ind w:firstLine="0" w:firstLineChars="0"/>
        <w:rPr>
          <w:rFonts w:hint="default" w:hAnsi="宋体" w:cs="宋体"/>
          <w:b/>
          <w:bCs/>
          <w:color w:val="auto"/>
          <w:sz w:val="24"/>
          <w:szCs w:val="24"/>
          <w:lang w:val="en-US" w:eastAsia="zh-CN"/>
        </w:rPr>
      </w:pPr>
    </w:p>
    <w:p w14:paraId="28ECFAA7">
      <w:pPr>
        <w:spacing w:line="420" w:lineRule="exact"/>
        <w:outlineLvl w:val="0"/>
        <w:rPr>
          <w:rFonts w:hint="default" w:ascii="仿宋" w:eastAsia="仿宋" w:cs="仿宋"/>
          <w:b w:val="0"/>
          <w:bCs/>
          <w:color w:val="auto"/>
          <w:spacing w:val="-5"/>
          <w:sz w:val="28"/>
          <w:szCs w:val="28"/>
        </w:rPr>
      </w:pPr>
      <w:bookmarkStart w:id="46" w:name="_Toc16387"/>
      <w:r>
        <w:rPr>
          <w:rFonts w:ascii="仿宋" w:eastAsia="仿宋" w:cs="仿宋"/>
          <w:b w:val="0"/>
          <w:bCs/>
          <w:color w:val="auto"/>
          <w:spacing w:val="-5"/>
          <w:sz w:val="28"/>
          <w:szCs w:val="28"/>
        </w:rPr>
        <w:t>特别注意</w:t>
      </w:r>
      <w:bookmarkEnd w:id="46"/>
    </w:p>
    <w:p w14:paraId="4DF8635D">
      <w:pPr>
        <w:numPr>
          <w:ilvl w:val="0"/>
          <w:numId w:val="2"/>
        </w:numPr>
        <w:spacing w:line="440" w:lineRule="exact"/>
        <w:ind w:firstLine="540" w:firstLineChars="200"/>
        <w:rPr>
          <w:rFonts w:ascii="仿宋" w:eastAsia="仿宋" w:cs="仿宋"/>
          <w:b w:val="0"/>
          <w:bCs/>
          <w:color w:val="auto"/>
          <w:spacing w:val="-5"/>
          <w:sz w:val="28"/>
          <w:szCs w:val="28"/>
        </w:rPr>
      </w:pPr>
      <w:r>
        <w:rPr>
          <w:rFonts w:ascii="仿宋" w:eastAsia="仿宋" w:cs="仿宋"/>
          <w:b w:val="0"/>
          <w:bCs/>
          <w:color w:val="auto"/>
          <w:spacing w:val="-5"/>
          <w:sz w:val="28"/>
          <w:szCs w:val="28"/>
        </w:rPr>
        <w:t>供应商所投产品需满足产品参数需要，是全新的、未使用过的成熟稳定的产品，且在使用寿命期内各项指标均达到质量要求。其技术配置、技术参数完全招标文件的要求，其质量标准不低于招标文件的标准。</w:t>
      </w:r>
    </w:p>
    <w:p w14:paraId="6D3A38FE">
      <w:pPr>
        <w:pStyle w:val="8"/>
        <w:numPr>
          <w:ilvl w:val="0"/>
          <w:numId w:val="2"/>
        </w:numPr>
        <w:ind w:left="0" w:leftChars="0" w:firstLine="540" w:firstLineChars="200"/>
        <w:rPr>
          <w:rFonts w:hint="eastAsia" w:ascii="仿宋" w:hAnsi="Times New Roman" w:eastAsia="仿宋" w:cs="仿宋"/>
          <w:b w:val="0"/>
          <w:bCs/>
          <w:color w:val="auto"/>
          <w:spacing w:val="-5"/>
          <w:sz w:val="28"/>
          <w:szCs w:val="28"/>
          <w:lang w:val="en-US" w:eastAsia="zh-CN" w:bidi="ar-SA"/>
        </w:rPr>
      </w:pPr>
      <w:r>
        <w:rPr>
          <w:rFonts w:hint="eastAsia" w:ascii="仿宋" w:hAnsi="Times New Roman" w:eastAsia="仿宋" w:cs="仿宋"/>
          <w:b w:val="0"/>
          <w:bCs/>
          <w:color w:val="auto"/>
          <w:spacing w:val="-5"/>
          <w:sz w:val="28"/>
          <w:szCs w:val="28"/>
          <w:lang w:val="en-US" w:eastAsia="zh-CN" w:bidi="ar-SA"/>
        </w:rPr>
        <w:t>除非另有特殊说明，若本文件中引用了某一品牌、型号或生产供应商名称，均是指参照该品牌、型号或生产供应商的产品或服务，所引用的品牌、型号或生产供应商不构成对</w:t>
      </w:r>
      <w:r>
        <w:rPr>
          <w:rFonts w:hint="eastAsia" w:ascii="仿宋" w:eastAsia="仿宋" w:cs="仿宋"/>
          <w:b w:val="0"/>
          <w:bCs/>
          <w:color w:val="auto"/>
          <w:spacing w:val="-5"/>
          <w:sz w:val="28"/>
          <w:szCs w:val="28"/>
          <w:lang w:val="en-US" w:eastAsia="zh-CN" w:bidi="ar-SA"/>
        </w:rPr>
        <w:t>投标</w:t>
      </w:r>
      <w:r>
        <w:rPr>
          <w:rFonts w:hint="eastAsia" w:ascii="仿宋" w:hAnsi="Times New Roman" w:eastAsia="仿宋" w:cs="仿宋"/>
          <w:b w:val="0"/>
          <w:bCs/>
          <w:color w:val="auto"/>
          <w:spacing w:val="-5"/>
          <w:sz w:val="28"/>
          <w:szCs w:val="28"/>
          <w:lang w:val="en-US" w:eastAsia="zh-CN" w:bidi="ar-SA"/>
        </w:rPr>
        <w:t>的限制。若采用的外文术语与某一供应商或某一产品使用的术语相同，并非表示指定了该供应商或该产品。无论何种原因，在投标响应文件中的证书材料须提供与原件内容完全一致的扫描件，且内容完整、清晰可辨；提供不全、无法辨认或提供虚假证书材料的，</w:t>
      </w:r>
      <w:r>
        <w:rPr>
          <w:rFonts w:hint="eastAsia" w:ascii="仿宋" w:eastAsia="仿宋" w:cs="仿宋"/>
          <w:b w:val="0"/>
          <w:bCs/>
          <w:color w:val="auto"/>
          <w:spacing w:val="-5"/>
          <w:sz w:val="28"/>
          <w:szCs w:val="28"/>
          <w:lang w:val="en-US" w:eastAsia="zh-CN" w:bidi="ar-SA"/>
        </w:rPr>
        <w:t>评审</w:t>
      </w:r>
      <w:r>
        <w:rPr>
          <w:rFonts w:hint="eastAsia" w:ascii="仿宋" w:hAnsi="Times New Roman" w:eastAsia="仿宋" w:cs="仿宋"/>
          <w:b w:val="0"/>
          <w:bCs/>
          <w:color w:val="auto"/>
          <w:spacing w:val="-5"/>
          <w:sz w:val="28"/>
          <w:szCs w:val="28"/>
          <w:lang w:val="en-US" w:eastAsia="zh-CN" w:bidi="ar-SA"/>
        </w:rPr>
        <w:t>小组可以视同其未提供，并按照有关规定处理</w:t>
      </w:r>
      <w:r>
        <w:rPr>
          <w:rFonts w:hint="eastAsia" w:ascii="仿宋" w:eastAsia="仿宋" w:cs="仿宋"/>
          <w:b w:val="0"/>
          <w:bCs/>
          <w:color w:val="auto"/>
          <w:spacing w:val="-5"/>
          <w:sz w:val="28"/>
          <w:szCs w:val="28"/>
          <w:lang w:val="en-US" w:eastAsia="zh-CN" w:bidi="ar-SA"/>
        </w:rPr>
        <w:t>。</w:t>
      </w:r>
    </w:p>
    <w:p w14:paraId="5EC97295">
      <w:pPr>
        <w:rPr>
          <w:rFonts w:hint="eastAsia" w:ascii="仿宋" w:eastAsia="仿宋" w:cs="仿宋"/>
          <w:b w:val="0"/>
          <w:bCs/>
          <w:color w:val="auto"/>
          <w:spacing w:val="-5"/>
          <w:sz w:val="28"/>
          <w:szCs w:val="28"/>
          <w:lang w:val="en-US" w:eastAsia="zh-CN" w:bidi="ar-SA"/>
        </w:rPr>
      </w:pPr>
    </w:p>
    <w:p w14:paraId="1FEFF84F">
      <w:pPr>
        <w:pStyle w:val="23"/>
        <w:rPr>
          <w:rFonts w:hint="eastAsia" w:ascii="仿宋" w:eastAsia="仿宋" w:cs="仿宋"/>
          <w:b w:val="0"/>
          <w:bCs/>
          <w:color w:val="auto"/>
          <w:spacing w:val="-5"/>
          <w:sz w:val="28"/>
          <w:szCs w:val="28"/>
          <w:lang w:val="en-US" w:eastAsia="zh-CN" w:bidi="ar-SA"/>
        </w:rPr>
      </w:pPr>
    </w:p>
    <w:p w14:paraId="0DB147C4">
      <w:pPr>
        <w:pStyle w:val="23"/>
        <w:rPr>
          <w:rFonts w:hint="eastAsia" w:ascii="仿宋" w:eastAsia="仿宋" w:cs="仿宋"/>
          <w:b w:val="0"/>
          <w:bCs/>
          <w:color w:val="auto"/>
          <w:spacing w:val="-5"/>
          <w:sz w:val="28"/>
          <w:szCs w:val="28"/>
          <w:lang w:val="en-US" w:eastAsia="zh-CN" w:bidi="ar-SA"/>
        </w:rPr>
      </w:pPr>
    </w:p>
    <w:p w14:paraId="53FA67A8">
      <w:pPr>
        <w:pStyle w:val="23"/>
        <w:rPr>
          <w:rFonts w:hint="eastAsia" w:ascii="仿宋" w:eastAsia="仿宋" w:cs="仿宋"/>
          <w:b w:val="0"/>
          <w:bCs/>
          <w:color w:val="auto"/>
          <w:spacing w:val="-5"/>
          <w:sz w:val="28"/>
          <w:szCs w:val="28"/>
          <w:lang w:val="en-US" w:eastAsia="zh-CN" w:bidi="ar-SA"/>
        </w:rPr>
      </w:pPr>
    </w:p>
    <w:p w14:paraId="47713F7B">
      <w:pPr>
        <w:pStyle w:val="23"/>
        <w:rPr>
          <w:rFonts w:hint="eastAsia" w:ascii="仿宋" w:eastAsia="仿宋" w:cs="仿宋"/>
          <w:b w:val="0"/>
          <w:bCs/>
          <w:color w:val="auto"/>
          <w:spacing w:val="-5"/>
          <w:sz w:val="28"/>
          <w:szCs w:val="28"/>
          <w:lang w:val="en-US" w:eastAsia="zh-CN" w:bidi="ar-SA"/>
        </w:rPr>
      </w:pPr>
    </w:p>
    <w:p w14:paraId="7364A7A5">
      <w:pPr>
        <w:pStyle w:val="23"/>
        <w:rPr>
          <w:rFonts w:hint="eastAsia" w:ascii="仿宋" w:eastAsia="仿宋" w:cs="仿宋"/>
          <w:b w:val="0"/>
          <w:bCs/>
          <w:color w:val="auto"/>
          <w:spacing w:val="-5"/>
          <w:sz w:val="28"/>
          <w:szCs w:val="28"/>
          <w:lang w:val="en-US" w:eastAsia="zh-CN" w:bidi="ar-SA"/>
        </w:rPr>
      </w:pPr>
    </w:p>
    <w:p w14:paraId="49DDD0C5">
      <w:pPr>
        <w:pStyle w:val="23"/>
        <w:rPr>
          <w:rFonts w:hint="eastAsia" w:ascii="仿宋" w:eastAsia="仿宋" w:cs="仿宋"/>
          <w:b w:val="0"/>
          <w:bCs/>
          <w:color w:val="auto"/>
          <w:spacing w:val="-5"/>
          <w:sz w:val="28"/>
          <w:szCs w:val="28"/>
          <w:lang w:val="en-US" w:eastAsia="zh-CN" w:bidi="ar-SA"/>
        </w:rPr>
      </w:pPr>
    </w:p>
    <w:p w14:paraId="60F04928">
      <w:pPr>
        <w:pStyle w:val="23"/>
        <w:rPr>
          <w:rFonts w:hint="eastAsia" w:ascii="仿宋" w:eastAsia="仿宋" w:cs="仿宋"/>
          <w:b w:val="0"/>
          <w:bCs/>
          <w:color w:val="auto"/>
          <w:spacing w:val="-5"/>
          <w:sz w:val="28"/>
          <w:szCs w:val="28"/>
          <w:lang w:val="en-US" w:eastAsia="zh-CN" w:bidi="ar-SA"/>
        </w:rPr>
      </w:pPr>
    </w:p>
    <w:p w14:paraId="6ED7B2BA">
      <w:pPr>
        <w:pStyle w:val="23"/>
        <w:rPr>
          <w:rFonts w:hint="eastAsia" w:ascii="仿宋" w:eastAsia="仿宋" w:cs="仿宋"/>
          <w:b w:val="0"/>
          <w:bCs/>
          <w:color w:val="auto"/>
          <w:spacing w:val="-5"/>
          <w:sz w:val="28"/>
          <w:szCs w:val="28"/>
          <w:lang w:val="en-US" w:eastAsia="zh-CN" w:bidi="ar-SA"/>
        </w:rPr>
      </w:pPr>
    </w:p>
    <w:p w14:paraId="3858AD2C">
      <w:pPr>
        <w:pStyle w:val="23"/>
        <w:rPr>
          <w:rFonts w:hint="eastAsia" w:ascii="仿宋" w:eastAsia="仿宋" w:cs="仿宋"/>
          <w:b w:val="0"/>
          <w:bCs/>
          <w:color w:val="auto"/>
          <w:spacing w:val="-5"/>
          <w:sz w:val="28"/>
          <w:szCs w:val="28"/>
          <w:lang w:val="en-US" w:eastAsia="zh-CN" w:bidi="ar-SA"/>
        </w:rPr>
      </w:pPr>
    </w:p>
    <w:p w14:paraId="4FB45D44">
      <w:pPr>
        <w:pStyle w:val="23"/>
        <w:rPr>
          <w:rFonts w:hint="eastAsia" w:ascii="仿宋" w:eastAsia="仿宋" w:cs="仿宋"/>
          <w:b w:val="0"/>
          <w:bCs/>
          <w:color w:val="auto"/>
          <w:spacing w:val="-5"/>
          <w:sz w:val="28"/>
          <w:szCs w:val="28"/>
          <w:lang w:val="en-US" w:eastAsia="zh-CN" w:bidi="ar-SA"/>
        </w:rPr>
      </w:pPr>
    </w:p>
    <w:p w14:paraId="684A4E8E">
      <w:pPr>
        <w:pStyle w:val="23"/>
        <w:rPr>
          <w:rFonts w:hint="eastAsia" w:ascii="仿宋" w:eastAsia="仿宋" w:cs="仿宋"/>
          <w:b w:val="0"/>
          <w:bCs/>
          <w:color w:val="auto"/>
          <w:spacing w:val="-5"/>
          <w:sz w:val="28"/>
          <w:szCs w:val="28"/>
          <w:lang w:val="en-US" w:eastAsia="zh-CN" w:bidi="ar-SA"/>
        </w:rPr>
      </w:pPr>
    </w:p>
    <w:p w14:paraId="7B14A85C">
      <w:pPr>
        <w:pStyle w:val="23"/>
        <w:rPr>
          <w:rFonts w:hint="eastAsia" w:ascii="仿宋" w:eastAsia="仿宋" w:cs="仿宋"/>
          <w:b w:val="0"/>
          <w:bCs/>
          <w:color w:val="auto"/>
          <w:spacing w:val="-5"/>
          <w:sz w:val="28"/>
          <w:szCs w:val="28"/>
          <w:lang w:val="en-US" w:eastAsia="zh-CN" w:bidi="ar-SA"/>
        </w:rPr>
      </w:pPr>
    </w:p>
    <w:p w14:paraId="10134E77">
      <w:pPr>
        <w:pStyle w:val="23"/>
        <w:rPr>
          <w:rFonts w:hint="eastAsia" w:ascii="仿宋" w:eastAsia="仿宋" w:cs="仿宋"/>
          <w:b w:val="0"/>
          <w:bCs/>
          <w:color w:val="auto"/>
          <w:spacing w:val="-5"/>
          <w:sz w:val="28"/>
          <w:szCs w:val="28"/>
          <w:lang w:val="en-US" w:eastAsia="zh-CN" w:bidi="ar-SA"/>
        </w:rPr>
      </w:pPr>
    </w:p>
    <w:p w14:paraId="2D21A550">
      <w:pPr>
        <w:pStyle w:val="23"/>
        <w:rPr>
          <w:rFonts w:hint="eastAsia" w:ascii="仿宋" w:eastAsia="仿宋" w:cs="仿宋"/>
          <w:b w:val="0"/>
          <w:bCs/>
          <w:color w:val="auto"/>
          <w:spacing w:val="-5"/>
          <w:sz w:val="28"/>
          <w:szCs w:val="28"/>
          <w:lang w:val="en-US" w:eastAsia="zh-CN" w:bidi="ar-SA"/>
        </w:rPr>
      </w:pPr>
    </w:p>
    <w:p w14:paraId="552B9231">
      <w:pPr>
        <w:pStyle w:val="23"/>
        <w:rPr>
          <w:rFonts w:hint="eastAsia" w:ascii="仿宋" w:eastAsia="仿宋" w:cs="仿宋"/>
          <w:b w:val="0"/>
          <w:bCs/>
          <w:color w:val="auto"/>
          <w:spacing w:val="-5"/>
          <w:sz w:val="28"/>
          <w:szCs w:val="28"/>
          <w:lang w:val="en-US" w:eastAsia="zh-CN" w:bidi="ar-SA"/>
        </w:rPr>
      </w:pPr>
    </w:p>
    <w:p w14:paraId="7F039A05">
      <w:pPr>
        <w:pStyle w:val="23"/>
        <w:rPr>
          <w:rFonts w:hint="eastAsia" w:ascii="仿宋" w:eastAsia="仿宋" w:cs="仿宋"/>
          <w:b w:val="0"/>
          <w:bCs/>
          <w:color w:val="auto"/>
          <w:spacing w:val="-5"/>
          <w:sz w:val="28"/>
          <w:szCs w:val="28"/>
          <w:lang w:val="en-US" w:eastAsia="zh-CN" w:bidi="ar-SA"/>
        </w:rPr>
      </w:pPr>
    </w:p>
    <w:p w14:paraId="7E2A8AC4">
      <w:pPr>
        <w:pStyle w:val="23"/>
        <w:rPr>
          <w:rFonts w:hint="eastAsia" w:ascii="仿宋" w:eastAsia="仿宋" w:cs="仿宋"/>
          <w:b w:val="0"/>
          <w:bCs/>
          <w:color w:val="auto"/>
          <w:spacing w:val="-5"/>
          <w:sz w:val="28"/>
          <w:szCs w:val="28"/>
          <w:lang w:val="en-US" w:eastAsia="zh-CN" w:bidi="ar-SA"/>
        </w:rPr>
      </w:pPr>
    </w:p>
    <w:p w14:paraId="0789E079">
      <w:pPr>
        <w:pStyle w:val="23"/>
        <w:rPr>
          <w:rFonts w:hint="eastAsia" w:ascii="仿宋" w:eastAsia="仿宋" w:cs="仿宋"/>
          <w:b w:val="0"/>
          <w:bCs/>
          <w:color w:val="auto"/>
          <w:spacing w:val="-5"/>
          <w:sz w:val="28"/>
          <w:szCs w:val="28"/>
          <w:lang w:val="en-US" w:eastAsia="zh-CN" w:bidi="ar-SA"/>
        </w:rPr>
      </w:pPr>
    </w:p>
    <w:p w14:paraId="24E49A00">
      <w:pPr>
        <w:pStyle w:val="23"/>
        <w:rPr>
          <w:rFonts w:hint="eastAsia" w:ascii="仿宋" w:eastAsia="仿宋" w:cs="仿宋"/>
          <w:b w:val="0"/>
          <w:bCs/>
          <w:color w:val="auto"/>
          <w:spacing w:val="-5"/>
          <w:sz w:val="28"/>
          <w:szCs w:val="28"/>
          <w:lang w:val="en-US" w:eastAsia="zh-CN" w:bidi="ar-SA"/>
        </w:rPr>
      </w:pPr>
    </w:p>
    <w:p w14:paraId="71A4085F">
      <w:pPr>
        <w:numPr>
          <w:ilvl w:val="0"/>
          <w:numId w:val="0"/>
        </w:numPr>
        <w:ind w:leftChars="200"/>
        <w:rPr>
          <w:rFonts w:hint="default"/>
          <w:lang w:val="en-US" w:eastAsia="zh-CN"/>
        </w:rPr>
      </w:pPr>
    </w:p>
    <w:p w14:paraId="078A4705">
      <w:pPr>
        <w:kinsoku w:val="0"/>
        <w:overflowPunct w:val="0"/>
        <w:spacing w:before="7"/>
        <w:ind w:right="45"/>
        <w:jc w:val="center"/>
        <w:rPr>
          <w:color w:val="auto"/>
        </w:rPr>
      </w:pPr>
      <w:r>
        <w:rPr>
          <w:rFonts w:hint="default" w:ascii="仿宋" w:eastAsia="仿宋" w:cs="仿宋"/>
          <w:b/>
          <w:color w:val="auto"/>
          <w:spacing w:val="-5"/>
          <w:sz w:val="28"/>
          <w:szCs w:val="28"/>
        </w:rPr>
        <w:t xml:space="preserve"> </w:t>
      </w:r>
    </w:p>
    <w:p w14:paraId="0DCE2669">
      <w:pPr>
        <w:pStyle w:val="2"/>
        <w:kinsoku w:val="0"/>
        <w:overflowPunct w:val="0"/>
        <w:spacing w:line="433" w:lineRule="exact"/>
        <w:ind w:left="1751"/>
        <w:rPr>
          <w:rFonts w:hint="default"/>
          <w:b w:val="0"/>
          <w:color w:val="auto"/>
        </w:rPr>
      </w:pPr>
      <w:bookmarkStart w:id="47" w:name="_Toc5286"/>
      <w:r>
        <w:rPr>
          <w:color w:val="auto"/>
        </w:rPr>
        <w:t>第四部分</w:t>
      </w:r>
      <w:r>
        <w:rPr>
          <w:color w:val="auto"/>
          <w:spacing w:val="-5"/>
        </w:rPr>
        <w:t xml:space="preserve"> </w:t>
      </w:r>
      <w:r>
        <w:rPr>
          <w:color w:val="auto"/>
        </w:rPr>
        <w:t>评审方法（综合评分法）</w:t>
      </w:r>
      <w:bookmarkEnd w:id="47"/>
    </w:p>
    <w:p w14:paraId="6A133757">
      <w:pPr>
        <w:pStyle w:val="8"/>
        <w:kinsoku w:val="0"/>
        <w:overflowPunct w:val="0"/>
        <w:spacing w:before="173" w:line="357" w:lineRule="auto"/>
        <w:ind w:left="400" w:firstLine="480"/>
        <w:rPr>
          <w:rFonts w:hint="default"/>
          <w:color w:val="auto"/>
        </w:rPr>
      </w:pPr>
      <w:r>
        <w:rPr>
          <w:color w:val="auto"/>
        </w:rPr>
        <w:t>本项目评审方法见招标文件第二部分“</w:t>
      </w:r>
      <w:r>
        <w:rPr>
          <w:rFonts w:hint="eastAsia"/>
          <w:color w:val="auto"/>
          <w:lang w:eastAsia="zh-CN"/>
        </w:rPr>
        <w:t>供应商</w:t>
      </w:r>
      <w:r>
        <w:rPr>
          <w:color w:val="auto"/>
        </w:rPr>
        <w:t>须知前附表”中第</w:t>
      </w:r>
      <w:r>
        <w:rPr>
          <w:color w:val="auto"/>
          <w:spacing w:val="-49"/>
        </w:rPr>
        <w:t xml:space="preserve"> </w:t>
      </w:r>
      <w:r>
        <w:rPr>
          <w:color w:val="auto"/>
        </w:rPr>
        <w:t>21</w:t>
      </w:r>
      <w:r>
        <w:rPr>
          <w:color w:val="auto"/>
          <w:spacing w:val="-51"/>
        </w:rPr>
        <w:t xml:space="preserve"> </w:t>
      </w:r>
      <w:r>
        <w:rPr>
          <w:color w:val="auto"/>
        </w:rPr>
        <w:t>项的规 定。如果采用综合评分法，细则如下：</w:t>
      </w:r>
    </w:p>
    <w:tbl>
      <w:tblPr>
        <w:tblStyle w:val="20"/>
        <w:tblW w:w="9007" w:type="dxa"/>
        <w:tblInd w:w="218" w:type="dxa"/>
        <w:tblLayout w:type="fixed"/>
        <w:tblCellMar>
          <w:top w:w="0" w:type="dxa"/>
          <w:left w:w="108" w:type="dxa"/>
          <w:bottom w:w="0" w:type="dxa"/>
          <w:right w:w="108" w:type="dxa"/>
        </w:tblCellMar>
      </w:tblPr>
      <w:tblGrid>
        <w:gridCol w:w="456"/>
        <w:gridCol w:w="836"/>
        <w:gridCol w:w="16"/>
        <w:gridCol w:w="1276"/>
        <w:gridCol w:w="72"/>
        <w:gridCol w:w="5317"/>
        <w:gridCol w:w="368"/>
        <w:gridCol w:w="148"/>
        <w:gridCol w:w="221"/>
        <w:gridCol w:w="297"/>
      </w:tblGrid>
      <w:tr w14:paraId="1FCB50E4">
        <w:tblPrEx>
          <w:tblCellMar>
            <w:top w:w="0" w:type="dxa"/>
            <w:left w:w="108" w:type="dxa"/>
            <w:bottom w:w="0" w:type="dxa"/>
            <w:right w:w="108" w:type="dxa"/>
          </w:tblCellMar>
        </w:tblPrEx>
        <w:trPr>
          <w:trHeight w:val="789" w:hRule="exact"/>
        </w:trPr>
        <w:tc>
          <w:tcPr>
            <w:tcW w:w="1308" w:type="dxa"/>
            <w:gridSpan w:val="3"/>
            <w:vMerge w:val="restart"/>
            <w:tcBorders>
              <w:top w:val="single" w:color="000000" w:sz="4" w:space="0"/>
              <w:left w:val="single" w:color="000000" w:sz="4" w:space="0"/>
              <w:bottom w:val="single" w:color="000000" w:sz="4" w:space="0"/>
              <w:right w:val="single" w:color="000000" w:sz="4" w:space="0"/>
              <w:tl2br w:val="nil"/>
              <w:tr2bl w:val="nil"/>
            </w:tcBorders>
          </w:tcPr>
          <w:p w14:paraId="1943E5B4">
            <w:pPr>
              <w:pStyle w:val="25"/>
              <w:kinsoku w:val="0"/>
              <w:overflowPunct w:val="0"/>
              <w:rPr>
                <w:rFonts w:hint="default" w:cs="宋体"/>
                <w:color w:val="auto"/>
                <w:sz w:val="21"/>
                <w:szCs w:val="21"/>
              </w:rPr>
            </w:pPr>
          </w:p>
          <w:p w14:paraId="25E43F53">
            <w:pPr>
              <w:pStyle w:val="25"/>
              <w:kinsoku w:val="0"/>
              <w:overflowPunct w:val="0"/>
              <w:spacing w:before="6"/>
              <w:rPr>
                <w:rFonts w:hint="default" w:cs="宋体"/>
                <w:color w:val="auto"/>
                <w:sz w:val="21"/>
                <w:szCs w:val="21"/>
              </w:rPr>
            </w:pPr>
          </w:p>
          <w:p w14:paraId="49EF9B7E">
            <w:pPr>
              <w:pStyle w:val="25"/>
              <w:kinsoku w:val="0"/>
              <w:overflowPunct w:val="0"/>
              <w:ind w:left="216"/>
              <w:rPr>
                <w:rFonts w:hint="default" w:ascii="Times New Roman" w:eastAsia="Times New Roman"/>
                <w:color w:val="auto"/>
                <w:sz w:val="21"/>
                <w:szCs w:val="21"/>
              </w:rPr>
            </w:pPr>
            <w:r>
              <w:rPr>
                <w:rFonts w:cs="宋体"/>
                <w:b/>
                <w:color w:val="auto"/>
                <w:sz w:val="21"/>
                <w:szCs w:val="21"/>
              </w:rPr>
              <w:t>评审因素</w:t>
            </w:r>
          </w:p>
        </w:tc>
        <w:tc>
          <w:tcPr>
            <w:tcW w:w="1276" w:type="dxa"/>
            <w:vMerge w:val="restart"/>
            <w:tcBorders>
              <w:top w:val="single" w:color="000000" w:sz="4" w:space="0"/>
              <w:left w:val="single" w:color="000000" w:sz="4" w:space="0"/>
              <w:bottom w:val="single" w:color="000000" w:sz="4" w:space="0"/>
              <w:right w:val="single" w:color="000000" w:sz="4" w:space="0"/>
              <w:tl2br w:val="nil"/>
              <w:tr2bl w:val="nil"/>
            </w:tcBorders>
          </w:tcPr>
          <w:p w14:paraId="5E28EA01">
            <w:pPr>
              <w:pStyle w:val="25"/>
              <w:kinsoku w:val="0"/>
              <w:overflowPunct w:val="0"/>
              <w:rPr>
                <w:rFonts w:hint="default" w:cs="宋体"/>
                <w:color w:val="auto"/>
                <w:sz w:val="21"/>
                <w:szCs w:val="21"/>
              </w:rPr>
            </w:pPr>
          </w:p>
          <w:p w14:paraId="5CCCA01B">
            <w:pPr>
              <w:pStyle w:val="25"/>
              <w:kinsoku w:val="0"/>
              <w:overflowPunct w:val="0"/>
              <w:spacing w:before="6"/>
              <w:rPr>
                <w:rFonts w:hint="default" w:cs="宋体"/>
                <w:color w:val="auto"/>
                <w:sz w:val="21"/>
                <w:szCs w:val="21"/>
              </w:rPr>
            </w:pPr>
          </w:p>
          <w:p w14:paraId="350ABB96">
            <w:pPr>
              <w:pStyle w:val="25"/>
              <w:kinsoku w:val="0"/>
              <w:overflowPunct w:val="0"/>
              <w:ind w:left="158"/>
              <w:rPr>
                <w:rFonts w:hint="default" w:ascii="Times New Roman" w:eastAsia="Times New Roman"/>
                <w:color w:val="auto"/>
                <w:sz w:val="21"/>
                <w:szCs w:val="21"/>
              </w:rPr>
            </w:pPr>
            <w:r>
              <w:rPr>
                <w:rFonts w:cs="宋体"/>
                <w:b/>
                <w:color w:val="auto"/>
                <w:sz w:val="21"/>
                <w:szCs w:val="21"/>
              </w:rPr>
              <w:t>评审点</w:t>
            </w:r>
          </w:p>
        </w:tc>
        <w:tc>
          <w:tcPr>
            <w:tcW w:w="5389" w:type="dxa"/>
            <w:gridSpan w:val="2"/>
            <w:vMerge w:val="restart"/>
            <w:tcBorders>
              <w:top w:val="single" w:color="000000" w:sz="4" w:space="0"/>
              <w:left w:val="single" w:color="000000" w:sz="4" w:space="0"/>
              <w:bottom w:val="single" w:color="000000" w:sz="4" w:space="0"/>
              <w:right w:val="single" w:color="000000" w:sz="4" w:space="0"/>
              <w:tl2br w:val="nil"/>
              <w:tr2bl w:val="nil"/>
            </w:tcBorders>
          </w:tcPr>
          <w:p w14:paraId="6862C1FF">
            <w:pPr>
              <w:pStyle w:val="25"/>
              <w:kinsoku w:val="0"/>
              <w:overflowPunct w:val="0"/>
              <w:rPr>
                <w:rFonts w:hint="default" w:cs="宋体"/>
                <w:color w:val="auto"/>
                <w:sz w:val="21"/>
                <w:szCs w:val="21"/>
              </w:rPr>
            </w:pPr>
          </w:p>
          <w:p w14:paraId="128BBBC7">
            <w:pPr>
              <w:pStyle w:val="25"/>
              <w:kinsoku w:val="0"/>
              <w:overflowPunct w:val="0"/>
              <w:spacing w:before="6"/>
              <w:rPr>
                <w:rFonts w:hint="default" w:cs="宋体"/>
                <w:color w:val="auto"/>
                <w:sz w:val="21"/>
                <w:szCs w:val="21"/>
              </w:rPr>
            </w:pPr>
          </w:p>
          <w:p w14:paraId="318695F0">
            <w:pPr>
              <w:pStyle w:val="25"/>
              <w:kinsoku w:val="0"/>
              <w:overflowPunct w:val="0"/>
              <w:jc w:val="center"/>
              <w:rPr>
                <w:rFonts w:hint="default" w:ascii="Times New Roman" w:eastAsia="Times New Roman"/>
                <w:color w:val="auto"/>
                <w:sz w:val="21"/>
                <w:szCs w:val="21"/>
              </w:rPr>
            </w:pPr>
            <w:r>
              <w:rPr>
                <w:rFonts w:cs="宋体"/>
                <w:b/>
                <w:color w:val="auto"/>
                <w:sz w:val="21"/>
                <w:szCs w:val="21"/>
              </w:rPr>
              <w:t>评审标准</w:t>
            </w: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tcPr>
          <w:p w14:paraId="1C303369">
            <w:pPr>
              <w:pStyle w:val="25"/>
              <w:kinsoku w:val="0"/>
              <w:overflowPunct w:val="0"/>
              <w:spacing w:before="57" w:line="273" w:lineRule="auto"/>
              <w:ind w:left="149" w:right="151"/>
              <w:rPr>
                <w:rFonts w:hint="default" w:ascii="Times New Roman" w:eastAsia="Times New Roman"/>
                <w:color w:val="auto"/>
                <w:sz w:val="21"/>
                <w:szCs w:val="21"/>
              </w:rPr>
            </w:pPr>
            <w:r>
              <w:rPr>
                <w:rFonts w:cs="宋体"/>
                <w:b/>
                <w:color w:val="auto"/>
                <w:sz w:val="21"/>
                <w:szCs w:val="21"/>
              </w:rPr>
              <w:t>评审</w:t>
            </w:r>
            <w:r>
              <w:rPr>
                <w:rFonts w:cs="宋体"/>
                <w:b/>
                <w:color w:val="auto"/>
                <w:w w:val="99"/>
                <w:sz w:val="21"/>
                <w:szCs w:val="21"/>
              </w:rPr>
              <w:t xml:space="preserve"> </w:t>
            </w:r>
            <w:r>
              <w:rPr>
                <w:rFonts w:cs="宋体"/>
                <w:b/>
                <w:color w:val="auto"/>
                <w:sz w:val="21"/>
                <w:szCs w:val="21"/>
              </w:rPr>
              <w:t>意见</w:t>
            </w:r>
          </w:p>
        </w:tc>
      </w:tr>
      <w:tr w14:paraId="6BF828BF">
        <w:tblPrEx>
          <w:tblCellMar>
            <w:top w:w="0" w:type="dxa"/>
            <w:left w:w="108" w:type="dxa"/>
            <w:bottom w:w="0" w:type="dxa"/>
            <w:right w:w="108" w:type="dxa"/>
          </w:tblCellMar>
        </w:tblPrEx>
        <w:trPr>
          <w:trHeight w:val="477" w:hRule="exact"/>
        </w:trPr>
        <w:tc>
          <w:tcPr>
            <w:tcW w:w="1308" w:type="dxa"/>
            <w:gridSpan w:val="3"/>
            <w:vMerge w:val="continue"/>
            <w:tcBorders>
              <w:top w:val="single" w:color="000000" w:sz="4" w:space="0"/>
              <w:left w:val="single" w:color="000000" w:sz="4" w:space="0"/>
              <w:bottom w:val="single" w:color="000000" w:sz="4" w:space="0"/>
              <w:right w:val="single" w:color="000000" w:sz="4" w:space="0"/>
              <w:tl2br w:val="nil"/>
              <w:tr2bl w:val="nil"/>
            </w:tcBorders>
          </w:tcPr>
          <w:p w14:paraId="3F4B37E7">
            <w:pPr>
              <w:pStyle w:val="25"/>
              <w:kinsoku w:val="0"/>
              <w:overflowPunct w:val="0"/>
              <w:spacing w:before="57" w:line="273" w:lineRule="auto"/>
              <w:ind w:left="149" w:right="151"/>
              <w:rPr>
                <w:rFonts w:hint="default" w:ascii="Times New Roman" w:eastAsia="Times New Roman"/>
                <w:color w:val="auto"/>
                <w:sz w:val="21"/>
                <w:szCs w:val="21"/>
              </w:rPr>
            </w:pPr>
          </w:p>
        </w:tc>
        <w:tc>
          <w:tcPr>
            <w:tcW w:w="1276" w:type="dxa"/>
            <w:vMerge w:val="continue"/>
            <w:tcBorders>
              <w:top w:val="single" w:color="000000" w:sz="4" w:space="0"/>
              <w:left w:val="single" w:color="000000" w:sz="4" w:space="0"/>
              <w:bottom w:val="single" w:color="000000" w:sz="4" w:space="0"/>
              <w:right w:val="single" w:color="000000" w:sz="4" w:space="0"/>
              <w:tl2br w:val="nil"/>
              <w:tr2bl w:val="nil"/>
            </w:tcBorders>
          </w:tcPr>
          <w:p w14:paraId="6A451345">
            <w:pPr>
              <w:pStyle w:val="25"/>
              <w:kinsoku w:val="0"/>
              <w:overflowPunct w:val="0"/>
              <w:spacing w:before="57" w:line="273" w:lineRule="auto"/>
              <w:ind w:left="149" w:right="151"/>
              <w:rPr>
                <w:rFonts w:hint="default" w:ascii="Times New Roman" w:eastAsia="Times New Roman"/>
                <w:color w:val="auto"/>
                <w:sz w:val="21"/>
                <w:szCs w:val="21"/>
              </w:rPr>
            </w:pPr>
          </w:p>
        </w:tc>
        <w:tc>
          <w:tcPr>
            <w:tcW w:w="5389" w:type="dxa"/>
            <w:gridSpan w:val="2"/>
            <w:vMerge w:val="continue"/>
            <w:tcBorders>
              <w:top w:val="single" w:color="000000" w:sz="4" w:space="0"/>
              <w:left w:val="single" w:color="000000" w:sz="4" w:space="0"/>
              <w:bottom w:val="single" w:color="000000" w:sz="4" w:space="0"/>
              <w:right w:val="single" w:color="000000" w:sz="4" w:space="0"/>
              <w:tl2br w:val="nil"/>
              <w:tr2bl w:val="nil"/>
            </w:tcBorders>
          </w:tcPr>
          <w:p w14:paraId="6A185168">
            <w:pPr>
              <w:pStyle w:val="25"/>
              <w:kinsoku w:val="0"/>
              <w:overflowPunct w:val="0"/>
              <w:spacing w:before="57" w:line="273" w:lineRule="auto"/>
              <w:ind w:left="149" w:right="151"/>
              <w:rPr>
                <w:rFonts w:hint="default" w:ascii="Times New Roman" w:eastAsia="Times New Roman"/>
                <w:color w:val="auto"/>
                <w:sz w:val="21"/>
                <w:szCs w:val="21"/>
              </w:rPr>
            </w:pPr>
          </w:p>
        </w:tc>
        <w:tc>
          <w:tcPr>
            <w:tcW w:w="516" w:type="dxa"/>
            <w:gridSpan w:val="2"/>
            <w:tcBorders>
              <w:top w:val="single" w:color="000000" w:sz="4" w:space="0"/>
              <w:left w:val="single" w:color="000000" w:sz="4" w:space="0"/>
              <w:bottom w:val="single" w:color="000000" w:sz="4" w:space="0"/>
              <w:right w:val="single" w:color="000000" w:sz="4" w:space="0"/>
              <w:tl2br w:val="nil"/>
              <w:tr2bl w:val="nil"/>
            </w:tcBorders>
          </w:tcPr>
          <w:p w14:paraId="635634C1">
            <w:pPr>
              <w:pStyle w:val="25"/>
              <w:kinsoku w:val="0"/>
              <w:overflowPunct w:val="0"/>
              <w:spacing w:before="57"/>
              <w:ind w:left="70"/>
              <w:rPr>
                <w:rFonts w:hint="default" w:ascii="Times New Roman" w:eastAsia="Times New Roman"/>
                <w:color w:val="auto"/>
                <w:sz w:val="21"/>
                <w:szCs w:val="21"/>
              </w:rPr>
            </w:pPr>
            <w:r>
              <w:rPr>
                <w:rFonts w:cs="宋体"/>
                <w:b/>
                <w:color w:val="auto"/>
                <w:w w:val="99"/>
                <w:sz w:val="21"/>
                <w:szCs w:val="21"/>
              </w:rPr>
              <w:t>是</w:t>
            </w:r>
          </w:p>
        </w:tc>
        <w:tc>
          <w:tcPr>
            <w:tcW w:w="518" w:type="dxa"/>
            <w:gridSpan w:val="2"/>
            <w:tcBorders>
              <w:top w:val="single" w:color="000000" w:sz="4" w:space="0"/>
              <w:left w:val="single" w:color="000000" w:sz="4" w:space="0"/>
              <w:bottom w:val="single" w:color="000000" w:sz="4" w:space="0"/>
              <w:right w:val="single" w:color="000000" w:sz="4" w:space="0"/>
              <w:tl2br w:val="nil"/>
              <w:tr2bl w:val="nil"/>
            </w:tcBorders>
          </w:tcPr>
          <w:p w14:paraId="08427BE9">
            <w:pPr>
              <w:pStyle w:val="25"/>
              <w:kinsoku w:val="0"/>
              <w:overflowPunct w:val="0"/>
              <w:spacing w:before="57"/>
              <w:ind w:left="71"/>
              <w:rPr>
                <w:rFonts w:hint="default" w:ascii="Times New Roman" w:eastAsia="Times New Roman"/>
                <w:color w:val="auto"/>
                <w:sz w:val="21"/>
                <w:szCs w:val="21"/>
              </w:rPr>
            </w:pPr>
            <w:r>
              <w:rPr>
                <w:rFonts w:cs="宋体"/>
                <w:b/>
                <w:color w:val="auto"/>
                <w:w w:val="99"/>
                <w:sz w:val="21"/>
                <w:szCs w:val="21"/>
              </w:rPr>
              <w:t>否</w:t>
            </w:r>
          </w:p>
        </w:tc>
      </w:tr>
      <w:tr w14:paraId="5D0EB098">
        <w:tblPrEx>
          <w:tblCellMar>
            <w:top w:w="0" w:type="dxa"/>
            <w:left w:w="108" w:type="dxa"/>
            <w:bottom w:w="0" w:type="dxa"/>
            <w:right w:w="108" w:type="dxa"/>
          </w:tblCellMar>
        </w:tblPrEx>
        <w:trPr>
          <w:trHeight w:val="1349" w:hRule="exact"/>
        </w:trPr>
        <w:tc>
          <w:tcPr>
            <w:tcW w:w="456" w:type="dxa"/>
            <w:vMerge w:val="restart"/>
            <w:tcBorders>
              <w:top w:val="single" w:color="000000" w:sz="4" w:space="0"/>
              <w:left w:val="single" w:color="000000" w:sz="4" w:space="0"/>
              <w:bottom w:val="single" w:color="000000" w:sz="4" w:space="0"/>
              <w:right w:val="single" w:color="000000" w:sz="4" w:space="0"/>
              <w:tl2br w:val="nil"/>
              <w:tr2bl w:val="nil"/>
            </w:tcBorders>
          </w:tcPr>
          <w:p w14:paraId="3EADFD9C">
            <w:pPr>
              <w:pStyle w:val="25"/>
              <w:kinsoku w:val="0"/>
              <w:overflowPunct w:val="0"/>
              <w:rPr>
                <w:rFonts w:hint="default" w:cs="宋体"/>
                <w:color w:val="auto"/>
                <w:sz w:val="21"/>
                <w:szCs w:val="21"/>
              </w:rPr>
            </w:pPr>
          </w:p>
          <w:p w14:paraId="4C0024D6">
            <w:pPr>
              <w:pStyle w:val="25"/>
              <w:kinsoku w:val="0"/>
              <w:overflowPunct w:val="0"/>
              <w:rPr>
                <w:rFonts w:hint="default" w:cs="宋体"/>
                <w:color w:val="auto"/>
                <w:sz w:val="21"/>
                <w:szCs w:val="21"/>
              </w:rPr>
            </w:pPr>
          </w:p>
          <w:p w14:paraId="66310F89">
            <w:pPr>
              <w:pStyle w:val="25"/>
              <w:kinsoku w:val="0"/>
              <w:overflowPunct w:val="0"/>
              <w:rPr>
                <w:rFonts w:hint="default" w:cs="宋体"/>
                <w:color w:val="auto"/>
                <w:sz w:val="21"/>
                <w:szCs w:val="21"/>
              </w:rPr>
            </w:pPr>
          </w:p>
          <w:p w14:paraId="348BEDE0">
            <w:pPr>
              <w:pStyle w:val="25"/>
              <w:kinsoku w:val="0"/>
              <w:overflowPunct w:val="0"/>
              <w:rPr>
                <w:rFonts w:hint="default" w:cs="宋体"/>
                <w:color w:val="auto"/>
                <w:sz w:val="21"/>
                <w:szCs w:val="21"/>
              </w:rPr>
            </w:pPr>
          </w:p>
          <w:p w14:paraId="6750992D">
            <w:pPr>
              <w:pStyle w:val="25"/>
              <w:kinsoku w:val="0"/>
              <w:overflowPunct w:val="0"/>
              <w:rPr>
                <w:rFonts w:hint="default" w:cs="宋体"/>
                <w:color w:val="auto"/>
                <w:sz w:val="21"/>
                <w:szCs w:val="21"/>
              </w:rPr>
            </w:pPr>
          </w:p>
          <w:p w14:paraId="042C2F99">
            <w:pPr>
              <w:pStyle w:val="25"/>
              <w:kinsoku w:val="0"/>
              <w:overflowPunct w:val="0"/>
              <w:rPr>
                <w:rFonts w:hint="default" w:cs="宋体"/>
                <w:color w:val="auto"/>
                <w:sz w:val="21"/>
                <w:szCs w:val="21"/>
              </w:rPr>
            </w:pPr>
          </w:p>
          <w:p w14:paraId="2E72D5F1">
            <w:pPr>
              <w:pStyle w:val="25"/>
              <w:kinsoku w:val="0"/>
              <w:overflowPunct w:val="0"/>
              <w:rPr>
                <w:rFonts w:hint="default" w:cs="宋体"/>
                <w:color w:val="auto"/>
                <w:sz w:val="21"/>
                <w:szCs w:val="21"/>
              </w:rPr>
            </w:pPr>
          </w:p>
          <w:p w14:paraId="3B55167C">
            <w:pPr>
              <w:pStyle w:val="25"/>
              <w:kinsoku w:val="0"/>
              <w:overflowPunct w:val="0"/>
              <w:rPr>
                <w:rFonts w:hint="default" w:cs="宋体"/>
                <w:color w:val="auto"/>
                <w:sz w:val="21"/>
                <w:szCs w:val="21"/>
              </w:rPr>
            </w:pPr>
          </w:p>
          <w:p w14:paraId="7756AF05">
            <w:pPr>
              <w:pStyle w:val="25"/>
              <w:kinsoku w:val="0"/>
              <w:overflowPunct w:val="0"/>
              <w:rPr>
                <w:rFonts w:hint="default" w:cs="宋体"/>
                <w:color w:val="auto"/>
                <w:sz w:val="21"/>
                <w:szCs w:val="21"/>
              </w:rPr>
            </w:pPr>
          </w:p>
          <w:p w14:paraId="22010DE0">
            <w:pPr>
              <w:pStyle w:val="25"/>
              <w:kinsoku w:val="0"/>
              <w:overflowPunct w:val="0"/>
              <w:rPr>
                <w:rFonts w:hint="default" w:cs="宋体"/>
                <w:color w:val="auto"/>
                <w:sz w:val="21"/>
                <w:szCs w:val="21"/>
              </w:rPr>
            </w:pPr>
          </w:p>
          <w:p w14:paraId="66AD0858">
            <w:pPr>
              <w:pStyle w:val="25"/>
              <w:kinsoku w:val="0"/>
              <w:overflowPunct w:val="0"/>
              <w:rPr>
                <w:rFonts w:hint="default" w:cs="宋体"/>
                <w:color w:val="auto"/>
                <w:sz w:val="21"/>
                <w:szCs w:val="21"/>
              </w:rPr>
            </w:pPr>
          </w:p>
          <w:p w14:paraId="40D51E28">
            <w:pPr>
              <w:pStyle w:val="25"/>
              <w:kinsoku w:val="0"/>
              <w:overflowPunct w:val="0"/>
              <w:rPr>
                <w:rFonts w:hint="default" w:cs="宋体"/>
                <w:color w:val="auto"/>
                <w:sz w:val="21"/>
                <w:szCs w:val="21"/>
              </w:rPr>
            </w:pPr>
          </w:p>
          <w:p w14:paraId="3192BE68">
            <w:pPr>
              <w:pStyle w:val="25"/>
              <w:kinsoku w:val="0"/>
              <w:overflowPunct w:val="0"/>
              <w:rPr>
                <w:rFonts w:hint="default" w:cs="宋体"/>
                <w:color w:val="auto"/>
                <w:sz w:val="21"/>
                <w:szCs w:val="21"/>
              </w:rPr>
            </w:pPr>
          </w:p>
          <w:p w14:paraId="0A26DA01">
            <w:pPr>
              <w:pStyle w:val="25"/>
              <w:kinsoku w:val="0"/>
              <w:overflowPunct w:val="0"/>
              <w:rPr>
                <w:rFonts w:hint="default" w:cs="宋体"/>
                <w:color w:val="auto"/>
                <w:sz w:val="21"/>
                <w:szCs w:val="21"/>
              </w:rPr>
            </w:pPr>
          </w:p>
          <w:p w14:paraId="08FF9C56">
            <w:pPr>
              <w:pStyle w:val="25"/>
              <w:kinsoku w:val="0"/>
              <w:overflowPunct w:val="0"/>
              <w:rPr>
                <w:rFonts w:hint="default" w:cs="宋体"/>
                <w:color w:val="auto"/>
                <w:sz w:val="21"/>
                <w:szCs w:val="21"/>
              </w:rPr>
            </w:pPr>
          </w:p>
          <w:p w14:paraId="31EC275E">
            <w:pPr>
              <w:pStyle w:val="25"/>
              <w:kinsoku w:val="0"/>
              <w:overflowPunct w:val="0"/>
              <w:rPr>
                <w:rFonts w:hint="default" w:cs="宋体"/>
                <w:color w:val="auto"/>
                <w:sz w:val="21"/>
                <w:szCs w:val="21"/>
              </w:rPr>
            </w:pPr>
          </w:p>
          <w:p w14:paraId="3F5E6B6E">
            <w:pPr>
              <w:pStyle w:val="25"/>
              <w:kinsoku w:val="0"/>
              <w:overflowPunct w:val="0"/>
              <w:rPr>
                <w:rFonts w:hint="default" w:cs="宋体"/>
                <w:color w:val="auto"/>
                <w:sz w:val="21"/>
                <w:szCs w:val="21"/>
              </w:rPr>
            </w:pPr>
          </w:p>
          <w:p w14:paraId="406DD82C">
            <w:pPr>
              <w:pStyle w:val="25"/>
              <w:kinsoku w:val="0"/>
              <w:overflowPunct w:val="0"/>
              <w:spacing w:before="5"/>
              <w:rPr>
                <w:rFonts w:hint="default" w:cs="宋体"/>
                <w:color w:val="auto"/>
                <w:sz w:val="21"/>
                <w:szCs w:val="21"/>
              </w:rPr>
            </w:pPr>
          </w:p>
          <w:p w14:paraId="3A711F5C">
            <w:pPr>
              <w:pStyle w:val="25"/>
              <w:kinsoku w:val="0"/>
              <w:overflowPunct w:val="0"/>
              <w:spacing w:line="273" w:lineRule="auto"/>
              <w:ind w:left="67" w:right="162"/>
              <w:jc w:val="both"/>
              <w:rPr>
                <w:rFonts w:hint="default" w:ascii="Times New Roman" w:eastAsia="Times New Roman"/>
                <w:color w:val="auto"/>
                <w:sz w:val="21"/>
                <w:szCs w:val="21"/>
              </w:rPr>
            </w:pPr>
            <w:r>
              <w:rPr>
                <w:rFonts w:cs="宋体"/>
                <w:color w:val="auto"/>
                <w:sz w:val="21"/>
                <w:szCs w:val="21"/>
              </w:rPr>
              <w:t>初</w:t>
            </w:r>
            <w:r>
              <w:rPr>
                <w:rFonts w:cs="宋体"/>
                <w:color w:val="auto"/>
                <w:w w:val="99"/>
                <w:sz w:val="21"/>
                <w:szCs w:val="21"/>
              </w:rPr>
              <w:t xml:space="preserve"> </w:t>
            </w:r>
            <w:r>
              <w:rPr>
                <w:rFonts w:cs="宋体"/>
                <w:color w:val="auto"/>
                <w:sz w:val="21"/>
                <w:szCs w:val="21"/>
              </w:rPr>
              <w:t>步</w:t>
            </w:r>
            <w:r>
              <w:rPr>
                <w:rFonts w:cs="宋体"/>
                <w:color w:val="auto"/>
                <w:w w:val="99"/>
                <w:sz w:val="21"/>
                <w:szCs w:val="21"/>
              </w:rPr>
              <w:t xml:space="preserve"> </w:t>
            </w:r>
            <w:r>
              <w:rPr>
                <w:rFonts w:cs="宋体"/>
                <w:color w:val="auto"/>
                <w:sz w:val="21"/>
                <w:szCs w:val="21"/>
              </w:rPr>
              <w:t>评</w:t>
            </w:r>
            <w:r>
              <w:rPr>
                <w:rFonts w:cs="宋体"/>
                <w:color w:val="auto"/>
                <w:w w:val="99"/>
                <w:sz w:val="21"/>
                <w:szCs w:val="21"/>
              </w:rPr>
              <w:t xml:space="preserve"> </w:t>
            </w:r>
            <w:r>
              <w:rPr>
                <w:rFonts w:cs="宋体"/>
                <w:color w:val="auto"/>
                <w:sz w:val="21"/>
                <w:szCs w:val="21"/>
              </w:rPr>
              <w:t>审</w:t>
            </w:r>
          </w:p>
        </w:tc>
        <w:tc>
          <w:tcPr>
            <w:tcW w:w="852" w:type="dxa"/>
            <w:gridSpan w:val="2"/>
            <w:vMerge w:val="restart"/>
            <w:tcBorders>
              <w:top w:val="single" w:color="000000" w:sz="4" w:space="0"/>
              <w:left w:val="single" w:color="000000" w:sz="4" w:space="0"/>
              <w:bottom w:val="single" w:color="000000" w:sz="4" w:space="0"/>
              <w:right w:val="single" w:color="000000" w:sz="4" w:space="0"/>
              <w:tl2br w:val="nil"/>
              <w:tr2bl w:val="nil"/>
            </w:tcBorders>
          </w:tcPr>
          <w:p w14:paraId="63B59E63">
            <w:pPr>
              <w:pStyle w:val="25"/>
              <w:kinsoku w:val="0"/>
              <w:overflowPunct w:val="0"/>
              <w:rPr>
                <w:rFonts w:hint="default" w:cs="宋体"/>
                <w:color w:val="auto"/>
                <w:sz w:val="21"/>
                <w:szCs w:val="21"/>
              </w:rPr>
            </w:pPr>
          </w:p>
          <w:p w14:paraId="2F3B66B1">
            <w:pPr>
              <w:pStyle w:val="25"/>
              <w:kinsoku w:val="0"/>
              <w:overflowPunct w:val="0"/>
              <w:rPr>
                <w:rFonts w:hint="default" w:cs="宋体"/>
                <w:color w:val="auto"/>
                <w:sz w:val="21"/>
                <w:szCs w:val="21"/>
              </w:rPr>
            </w:pPr>
          </w:p>
          <w:p w14:paraId="3F9A252E">
            <w:pPr>
              <w:pStyle w:val="25"/>
              <w:kinsoku w:val="0"/>
              <w:overflowPunct w:val="0"/>
              <w:rPr>
                <w:rFonts w:hint="default" w:cs="宋体"/>
                <w:color w:val="auto"/>
                <w:sz w:val="21"/>
                <w:szCs w:val="21"/>
              </w:rPr>
            </w:pPr>
          </w:p>
          <w:p w14:paraId="3C5CBC1D">
            <w:pPr>
              <w:pStyle w:val="25"/>
              <w:kinsoku w:val="0"/>
              <w:overflowPunct w:val="0"/>
              <w:rPr>
                <w:rFonts w:hint="default" w:cs="宋体"/>
                <w:color w:val="auto"/>
                <w:sz w:val="21"/>
                <w:szCs w:val="21"/>
              </w:rPr>
            </w:pPr>
          </w:p>
          <w:p w14:paraId="01B60D9E">
            <w:pPr>
              <w:pStyle w:val="25"/>
              <w:kinsoku w:val="0"/>
              <w:overflowPunct w:val="0"/>
              <w:rPr>
                <w:rFonts w:hint="default" w:cs="宋体"/>
                <w:color w:val="auto"/>
                <w:sz w:val="21"/>
                <w:szCs w:val="21"/>
              </w:rPr>
            </w:pPr>
          </w:p>
          <w:p w14:paraId="017A36E2">
            <w:pPr>
              <w:pStyle w:val="25"/>
              <w:kinsoku w:val="0"/>
              <w:overflowPunct w:val="0"/>
              <w:rPr>
                <w:rFonts w:hint="default" w:cs="宋体"/>
                <w:color w:val="auto"/>
                <w:sz w:val="21"/>
                <w:szCs w:val="21"/>
              </w:rPr>
            </w:pPr>
          </w:p>
          <w:p w14:paraId="4EF79CA2">
            <w:pPr>
              <w:pStyle w:val="25"/>
              <w:kinsoku w:val="0"/>
              <w:overflowPunct w:val="0"/>
              <w:rPr>
                <w:rFonts w:hint="default" w:cs="宋体"/>
                <w:color w:val="auto"/>
                <w:sz w:val="21"/>
                <w:szCs w:val="21"/>
              </w:rPr>
            </w:pPr>
          </w:p>
          <w:p w14:paraId="1472B298">
            <w:pPr>
              <w:pStyle w:val="25"/>
              <w:kinsoku w:val="0"/>
              <w:overflowPunct w:val="0"/>
              <w:rPr>
                <w:rFonts w:hint="default" w:cs="宋体"/>
                <w:color w:val="auto"/>
                <w:sz w:val="21"/>
                <w:szCs w:val="21"/>
              </w:rPr>
            </w:pPr>
          </w:p>
          <w:p w14:paraId="505BFABE">
            <w:pPr>
              <w:pStyle w:val="25"/>
              <w:kinsoku w:val="0"/>
              <w:overflowPunct w:val="0"/>
              <w:rPr>
                <w:rFonts w:hint="default" w:cs="宋体"/>
                <w:color w:val="auto"/>
                <w:sz w:val="21"/>
                <w:szCs w:val="21"/>
              </w:rPr>
            </w:pPr>
          </w:p>
          <w:p w14:paraId="5A6D25E7">
            <w:pPr>
              <w:pStyle w:val="25"/>
              <w:kinsoku w:val="0"/>
              <w:overflowPunct w:val="0"/>
              <w:rPr>
                <w:rFonts w:hint="default" w:cs="宋体"/>
                <w:color w:val="auto"/>
                <w:sz w:val="21"/>
                <w:szCs w:val="21"/>
              </w:rPr>
            </w:pPr>
          </w:p>
          <w:p w14:paraId="678462E5">
            <w:pPr>
              <w:pStyle w:val="25"/>
              <w:kinsoku w:val="0"/>
              <w:overflowPunct w:val="0"/>
              <w:rPr>
                <w:rFonts w:hint="default" w:cs="宋体"/>
                <w:color w:val="auto"/>
                <w:sz w:val="21"/>
                <w:szCs w:val="21"/>
              </w:rPr>
            </w:pPr>
          </w:p>
          <w:p w14:paraId="0A6262C7">
            <w:pPr>
              <w:pStyle w:val="25"/>
              <w:kinsoku w:val="0"/>
              <w:overflowPunct w:val="0"/>
              <w:rPr>
                <w:rFonts w:hint="default" w:cs="宋体"/>
                <w:color w:val="auto"/>
                <w:sz w:val="21"/>
                <w:szCs w:val="21"/>
              </w:rPr>
            </w:pPr>
          </w:p>
          <w:p w14:paraId="1D79FF88">
            <w:pPr>
              <w:pStyle w:val="25"/>
              <w:kinsoku w:val="0"/>
              <w:overflowPunct w:val="0"/>
              <w:rPr>
                <w:rFonts w:hint="default" w:cs="宋体"/>
                <w:color w:val="auto"/>
                <w:sz w:val="21"/>
                <w:szCs w:val="21"/>
              </w:rPr>
            </w:pPr>
          </w:p>
          <w:p w14:paraId="0D5B1C85">
            <w:pPr>
              <w:pStyle w:val="25"/>
              <w:kinsoku w:val="0"/>
              <w:overflowPunct w:val="0"/>
              <w:rPr>
                <w:rFonts w:hint="default" w:cs="宋体"/>
                <w:color w:val="auto"/>
                <w:sz w:val="21"/>
                <w:szCs w:val="21"/>
              </w:rPr>
            </w:pPr>
          </w:p>
          <w:p w14:paraId="0814B040">
            <w:pPr>
              <w:pStyle w:val="25"/>
              <w:kinsoku w:val="0"/>
              <w:overflowPunct w:val="0"/>
              <w:rPr>
                <w:rFonts w:hint="default" w:cs="宋体"/>
                <w:color w:val="auto"/>
                <w:sz w:val="21"/>
                <w:szCs w:val="21"/>
              </w:rPr>
            </w:pPr>
          </w:p>
          <w:p w14:paraId="574A5258">
            <w:pPr>
              <w:pStyle w:val="25"/>
              <w:kinsoku w:val="0"/>
              <w:overflowPunct w:val="0"/>
              <w:rPr>
                <w:rFonts w:hint="default" w:cs="宋体"/>
                <w:color w:val="auto"/>
                <w:sz w:val="21"/>
                <w:szCs w:val="21"/>
              </w:rPr>
            </w:pPr>
          </w:p>
          <w:p w14:paraId="44262E6D">
            <w:pPr>
              <w:pStyle w:val="25"/>
              <w:kinsoku w:val="0"/>
              <w:overflowPunct w:val="0"/>
              <w:rPr>
                <w:rFonts w:hint="default" w:cs="宋体"/>
                <w:color w:val="auto"/>
                <w:sz w:val="21"/>
                <w:szCs w:val="21"/>
              </w:rPr>
            </w:pPr>
          </w:p>
          <w:p w14:paraId="22CC3F98">
            <w:pPr>
              <w:pStyle w:val="25"/>
              <w:kinsoku w:val="0"/>
              <w:overflowPunct w:val="0"/>
              <w:rPr>
                <w:rFonts w:hint="default" w:cs="宋体"/>
                <w:color w:val="auto"/>
                <w:sz w:val="21"/>
                <w:szCs w:val="21"/>
              </w:rPr>
            </w:pPr>
          </w:p>
          <w:p w14:paraId="0F58565E">
            <w:pPr>
              <w:pStyle w:val="25"/>
              <w:kinsoku w:val="0"/>
              <w:overflowPunct w:val="0"/>
              <w:spacing w:before="3"/>
              <w:rPr>
                <w:rFonts w:hint="default" w:cs="宋体"/>
                <w:color w:val="auto"/>
                <w:sz w:val="21"/>
                <w:szCs w:val="21"/>
              </w:rPr>
            </w:pPr>
          </w:p>
          <w:p w14:paraId="05C1DAF5">
            <w:pPr>
              <w:pStyle w:val="25"/>
              <w:kinsoku w:val="0"/>
              <w:overflowPunct w:val="0"/>
              <w:spacing w:line="273" w:lineRule="auto"/>
              <w:ind w:left="67" w:right="67"/>
              <w:rPr>
                <w:rFonts w:hint="default" w:ascii="Times New Roman" w:eastAsia="Times New Roman"/>
                <w:color w:val="auto"/>
                <w:sz w:val="21"/>
                <w:szCs w:val="21"/>
              </w:rPr>
            </w:pPr>
            <w:r>
              <w:rPr>
                <w:rFonts w:cs="宋体"/>
                <w:color w:val="auto"/>
                <w:sz w:val="21"/>
                <w:szCs w:val="21"/>
              </w:rPr>
              <w:t>资</w:t>
            </w:r>
            <w:r>
              <w:rPr>
                <w:rFonts w:cs="宋体"/>
                <w:color w:val="auto"/>
                <w:spacing w:val="-79"/>
                <w:sz w:val="21"/>
                <w:szCs w:val="21"/>
              </w:rPr>
              <w:t xml:space="preserve"> </w:t>
            </w:r>
            <w:r>
              <w:rPr>
                <w:rFonts w:cs="宋体"/>
                <w:color w:val="auto"/>
                <w:sz w:val="21"/>
                <w:szCs w:val="21"/>
              </w:rPr>
              <w:t>格</w:t>
            </w:r>
            <w:r>
              <w:rPr>
                <w:rFonts w:cs="宋体"/>
                <w:color w:val="auto"/>
                <w:spacing w:val="-79"/>
                <w:sz w:val="21"/>
                <w:szCs w:val="21"/>
              </w:rPr>
              <w:t xml:space="preserve"> </w:t>
            </w:r>
            <w:r>
              <w:rPr>
                <w:rFonts w:cs="宋体"/>
                <w:color w:val="auto"/>
                <w:sz w:val="21"/>
                <w:szCs w:val="21"/>
              </w:rPr>
              <w:t>检查</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4755497C">
            <w:pPr>
              <w:pStyle w:val="25"/>
              <w:kinsoku w:val="0"/>
              <w:overflowPunct w:val="0"/>
              <w:spacing w:before="58" w:line="273" w:lineRule="auto"/>
              <w:ind w:left="67" w:right="66"/>
              <w:jc w:val="center"/>
              <w:rPr>
                <w:rFonts w:hint="default" w:ascii="Times New Roman" w:eastAsia="Times New Roman"/>
                <w:color w:val="auto"/>
                <w:sz w:val="21"/>
                <w:szCs w:val="21"/>
              </w:rPr>
            </w:pPr>
            <w:r>
              <w:rPr>
                <w:rFonts w:cs="宋体"/>
                <w:color w:val="auto"/>
                <w:sz w:val="21"/>
                <w:szCs w:val="21"/>
              </w:rPr>
              <w:t>具有独立承担民事责任的能力</w:t>
            </w:r>
          </w:p>
        </w:tc>
        <w:tc>
          <w:tcPr>
            <w:tcW w:w="538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78FE0F7">
            <w:pPr>
              <w:widowControl/>
              <w:autoSpaceDE/>
              <w:autoSpaceDN/>
              <w:adjustRightInd/>
              <w:spacing w:before="75" w:after="75" w:line="358" w:lineRule="auto"/>
              <w:rPr>
                <w:rFonts w:hint="eastAsia" w:eastAsia="宋体"/>
                <w:color w:val="auto"/>
                <w:sz w:val="21"/>
                <w:szCs w:val="21"/>
                <w:lang w:val="en-US" w:eastAsia="zh-CN"/>
              </w:rPr>
            </w:pPr>
            <w:r>
              <w:rPr>
                <w:rFonts w:cs="宋体"/>
                <w:color w:val="auto"/>
                <w:spacing w:val="-4"/>
                <w:sz w:val="21"/>
                <w:szCs w:val="21"/>
              </w:rPr>
              <w:t>法人或者其他组织的营业执照等证明文件；自然人需提供身份证明</w:t>
            </w:r>
            <w:r>
              <w:rPr>
                <w:rFonts w:hint="eastAsia" w:cs="宋体"/>
                <w:color w:val="auto"/>
                <w:spacing w:val="-4"/>
                <w:sz w:val="21"/>
                <w:szCs w:val="21"/>
                <w:lang w:eastAsia="zh-CN"/>
              </w:rPr>
              <w:t>，</w:t>
            </w:r>
          </w:p>
        </w:tc>
        <w:tc>
          <w:tcPr>
            <w:tcW w:w="516" w:type="dxa"/>
            <w:gridSpan w:val="2"/>
            <w:tcBorders>
              <w:top w:val="single" w:color="000000" w:sz="4" w:space="0"/>
              <w:left w:val="single" w:color="000000" w:sz="4" w:space="0"/>
              <w:bottom w:val="single" w:color="000000" w:sz="4" w:space="0"/>
              <w:right w:val="single" w:color="000000" w:sz="4" w:space="0"/>
              <w:tl2br w:val="nil"/>
              <w:tr2bl w:val="nil"/>
            </w:tcBorders>
          </w:tcPr>
          <w:p w14:paraId="535C984D">
            <w:pPr>
              <w:rPr>
                <w:rFonts w:hint="default" w:ascii="Times New Roman" w:eastAsia="Times New Roman"/>
                <w:color w:val="auto"/>
                <w:sz w:val="21"/>
                <w:szCs w:val="21"/>
              </w:rPr>
            </w:pPr>
          </w:p>
        </w:tc>
        <w:tc>
          <w:tcPr>
            <w:tcW w:w="518" w:type="dxa"/>
            <w:gridSpan w:val="2"/>
            <w:tcBorders>
              <w:top w:val="single" w:color="000000" w:sz="4" w:space="0"/>
              <w:left w:val="single" w:color="000000" w:sz="4" w:space="0"/>
              <w:bottom w:val="single" w:color="000000" w:sz="4" w:space="0"/>
              <w:right w:val="single" w:color="000000" w:sz="4" w:space="0"/>
              <w:tl2br w:val="nil"/>
              <w:tr2bl w:val="nil"/>
            </w:tcBorders>
          </w:tcPr>
          <w:p w14:paraId="50D8A1FB">
            <w:pPr>
              <w:rPr>
                <w:rFonts w:hint="default" w:ascii="Times New Roman" w:eastAsia="Times New Roman"/>
                <w:color w:val="auto"/>
                <w:sz w:val="21"/>
                <w:szCs w:val="21"/>
              </w:rPr>
            </w:pPr>
          </w:p>
        </w:tc>
      </w:tr>
      <w:tr w14:paraId="72B74958">
        <w:tblPrEx>
          <w:tblCellMar>
            <w:top w:w="0" w:type="dxa"/>
            <w:left w:w="108" w:type="dxa"/>
            <w:bottom w:w="0" w:type="dxa"/>
            <w:right w:w="108" w:type="dxa"/>
          </w:tblCellMar>
        </w:tblPrEx>
        <w:trPr>
          <w:trHeight w:val="3744" w:hRule="exact"/>
        </w:trPr>
        <w:tc>
          <w:tcPr>
            <w:tcW w:w="456" w:type="dxa"/>
            <w:vMerge w:val="continue"/>
            <w:tcBorders>
              <w:top w:val="single" w:color="000000" w:sz="4" w:space="0"/>
              <w:left w:val="single" w:color="000000" w:sz="4" w:space="0"/>
              <w:bottom w:val="single" w:color="000000" w:sz="4" w:space="0"/>
              <w:right w:val="single" w:color="000000" w:sz="4" w:space="0"/>
              <w:tl2br w:val="nil"/>
              <w:tr2bl w:val="nil"/>
            </w:tcBorders>
          </w:tcPr>
          <w:p w14:paraId="2DF0549B">
            <w:pPr>
              <w:rPr>
                <w:rFonts w:hint="default" w:ascii="Times New Roman" w:eastAsia="Times New Roman"/>
                <w:color w:val="auto"/>
                <w:sz w:val="21"/>
                <w:szCs w:val="21"/>
              </w:rPr>
            </w:pPr>
          </w:p>
        </w:tc>
        <w:tc>
          <w:tcPr>
            <w:tcW w:w="852" w:type="dxa"/>
            <w:gridSpan w:val="2"/>
            <w:vMerge w:val="continue"/>
            <w:tcBorders>
              <w:top w:val="single" w:color="000000" w:sz="4" w:space="0"/>
              <w:left w:val="single" w:color="000000" w:sz="4" w:space="0"/>
              <w:bottom w:val="single" w:color="000000" w:sz="4" w:space="0"/>
              <w:right w:val="single" w:color="000000" w:sz="4" w:space="0"/>
              <w:tl2br w:val="nil"/>
              <w:tr2bl w:val="nil"/>
            </w:tcBorders>
          </w:tcPr>
          <w:p w14:paraId="4CABDE56">
            <w:pPr>
              <w:rPr>
                <w:rFonts w:hint="default" w:ascii="Times New Roman" w:eastAsia="Times New Roman"/>
                <w:color w:val="auto"/>
                <w:sz w:val="21"/>
                <w:szCs w:val="21"/>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4BDA3801">
            <w:pPr>
              <w:pStyle w:val="25"/>
              <w:kinsoku w:val="0"/>
              <w:overflowPunct w:val="0"/>
              <w:spacing w:before="58" w:line="273" w:lineRule="auto"/>
              <w:ind w:left="67" w:right="66"/>
              <w:jc w:val="center"/>
              <w:rPr>
                <w:rFonts w:hint="default" w:ascii="Times New Roman" w:eastAsia="Times New Roman"/>
                <w:color w:val="auto"/>
                <w:sz w:val="21"/>
                <w:szCs w:val="21"/>
              </w:rPr>
            </w:pPr>
            <w:r>
              <w:rPr>
                <w:rFonts w:cs="宋体"/>
                <w:color w:val="auto"/>
                <w:sz w:val="21"/>
                <w:szCs w:val="21"/>
              </w:rPr>
              <w:t>信用中国”网站和“中国政府采购网”“国家企业信用信息</w:t>
            </w:r>
          </w:p>
        </w:tc>
        <w:tc>
          <w:tcPr>
            <w:tcW w:w="5389" w:type="dxa"/>
            <w:gridSpan w:val="2"/>
            <w:tcBorders>
              <w:top w:val="single" w:color="000000" w:sz="4" w:space="0"/>
              <w:left w:val="single" w:color="000000" w:sz="4" w:space="0"/>
              <w:bottom w:val="single" w:color="000000" w:sz="4" w:space="0"/>
              <w:right w:val="single" w:color="000000" w:sz="4" w:space="0"/>
              <w:tl2br w:val="nil"/>
              <w:tr2bl w:val="nil"/>
            </w:tcBorders>
          </w:tcPr>
          <w:p w14:paraId="12BD5D21">
            <w:pPr>
              <w:pStyle w:val="25"/>
              <w:kinsoku w:val="0"/>
              <w:overflowPunct w:val="0"/>
              <w:spacing w:line="273" w:lineRule="auto"/>
              <w:ind w:left="67" w:right="69"/>
              <w:jc w:val="both"/>
              <w:rPr>
                <w:rFonts w:hint="default" w:ascii="宋体" w:eastAsia="宋体"/>
                <w:color w:val="auto"/>
                <w:sz w:val="21"/>
                <w:szCs w:val="21"/>
              </w:rPr>
            </w:pPr>
            <w:r>
              <w:rPr>
                <w:rFonts w:hint="eastAsia" w:ascii="宋体" w:eastAsia="宋体"/>
                <w:color w:val="auto"/>
                <w:sz w:val="21"/>
                <w:szCs w:val="21"/>
                <w:lang w:eastAsia="zh-CN"/>
              </w:rPr>
              <w:t>供应商</w:t>
            </w:r>
            <w:r>
              <w:rPr>
                <w:rFonts w:hint="default" w:ascii="宋体" w:eastAsia="宋体"/>
                <w:color w:val="auto"/>
                <w:sz w:val="21"/>
                <w:szCs w:val="21"/>
              </w:rPr>
              <w:t>不得为“信用中国”网站（网址http://www.creditchina.gov.cn ）中列入失信被执行人和重大税收违法案件当事人名单的</w:t>
            </w:r>
            <w:r>
              <w:rPr>
                <w:rFonts w:hint="eastAsia" w:ascii="宋体" w:eastAsia="宋体"/>
                <w:color w:val="auto"/>
                <w:sz w:val="21"/>
                <w:szCs w:val="21"/>
                <w:lang w:eastAsia="zh-CN"/>
              </w:rPr>
              <w:t>供应商</w:t>
            </w:r>
            <w:r>
              <w:rPr>
                <w:rFonts w:hint="default" w:ascii="宋体" w:eastAsia="宋体"/>
                <w:color w:val="auto"/>
                <w:sz w:val="21"/>
                <w:szCs w:val="21"/>
              </w:rPr>
              <w:t>；不得为“国家企业信用信息公示系统”网站（网址http://www.gsxt.gov.cn）列入严重违法失信企业名单（黑名单）的</w:t>
            </w:r>
            <w:r>
              <w:rPr>
                <w:rFonts w:hint="eastAsia" w:ascii="宋体" w:eastAsia="宋体"/>
                <w:color w:val="auto"/>
                <w:sz w:val="21"/>
                <w:szCs w:val="21"/>
                <w:lang w:eastAsia="zh-CN"/>
              </w:rPr>
              <w:t>供应商</w:t>
            </w:r>
            <w:r>
              <w:rPr>
                <w:rFonts w:hint="default" w:ascii="宋体" w:eastAsia="宋体"/>
                <w:color w:val="auto"/>
                <w:sz w:val="21"/>
                <w:szCs w:val="21"/>
              </w:rPr>
              <w:t>；不得为中国政府采购网（网址http://www.ccgp.gov.cn ）政府采购严重违法失信行为记录名单中被财政部门禁止参加政府采购活动的</w:t>
            </w:r>
            <w:r>
              <w:rPr>
                <w:rFonts w:hint="eastAsia" w:ascii="宋体" w:eastAsia="宋体"/>
                <w:color w:val="auto"/>
                <w:sz w:val="21"/>
                <w:szCs w:val="21"/>
                <w:lang w:eastAsia="zh-CN"/>
              </w:rPr>
              <w:t>供应商</w:t>
            </w:r>
            <w:r>
              <w:rPr>
                <w:rFonts w:hint="default" w:ascii="宋体" w:eastAsia="宋体"/>
                <w:color w:val="auto"/>
                <w:sz w:val="21"/>
                <w:szCs w:val="21"/>
              </w:rPr>
              <w:t>（处罚决定规定的时间和地域范围内）；</w:t>
            </w:r>
            <w:r>
              <w:rPr>
                <w:rFonts w:hint="eastAsia" w:ascii="宋体" w:eastAsia="宋体"/>
                <w:color w:val="auto"/>
                <w:sz w:val="21"/>
                <w:szCs w:val="21"/>
                <w:lang w:eastAsia="zh-CN"/>
              </w:rPr>
              <w:t>（提供查询结果网页截图（电脑全屏含时间显示）并加盖</w:t>
            </w:r>
            <w:r>
              <w:rPr>
                <w:rFonts w:hint="eastAsia" w:ascii="宋体" w:eastAsia="宋体"/>
                <w:color w:val="auto"/>
                <w:sz w:val="21"/>
                <w:szCs w:val="21"/>
                <w:lang w:val="en-US" w:eastAsia="zh-CN"/>
              </w:rPr>
              <w:t>供应商</w:t>
            </w:r>
            <w:r>
              <w:rPr>
                <w:rFonts w:hint="eastAsia" w:ascii="宋体" w:eastAsia="宋体"/>
                <w:color w:val="auto"/>
                <w:sz w:val="21"/>
                <w:szCs w:val="21"/>
                <w:lang w:eastAsia="zh-CN"/>
              </w:rPr>
              <w:t>公章，网页打印件须自公告发布起至递交投标文件截止日前从上述网站中打印）</w:t>
            </w:r>
          </w:p>
        </w:tc>
        <w:tc>
          <w:tcPr>
            <w:tcW w:w="516" w:type="dxa"/>
            <w:gridSpan w:val="2"/>
            <w:tcBorders>
              <w:top w:val="single" w:color="000000" w:sz="4" w:space="0"/>
              <w:left w:val="single" w:color="000000" w:sz="4" w:space="0"/>
              <w:bottom w:val="single" w:color="000000" w:sz="4" w:space="0"/>
              <w:right w:val="single" w:color="000000" w:sz="4" w:space="0"/>
              <w:tl2br w:val="nil"/>
              <w:tr2bl w:val="nil"/>
            </w:tcBorders>
          </w:tcPr>
          <w:p w14:paraId="6A86DE26">
            <w:pPr>
              <w:rPr>
                <w:rFonts w:hint="default" w:ascii="Times New Roman" w:eastAsia="Times New Roman"/>
                <w:color w:val="auto"/>
                <w:sz w:val="21"/>
                <w:szCs w:val="21"/>
              </w:rPr>
            </w:pPr>
          </w:p>
        </w:tc>
        <w:tc>
          <w:tcPr>
            <w:tcW w:w="518" w:type="dxa"/>
            <w:gridSpan w:val="2"/>
            <w:tcBorders>
              <w:top w:val="single" w:color="000000" w:sz="4" w:space="0"/>
              <w:left w:val="single" w:color="000000" w:sz="4" w:space="0"/>
              <w:bottom w:val="single" w:color="000000" w:sz="4" w:space="0"/>
              <w:right w:val="single" w:color="000000" w:sz="4" w:space="0"/>
              <w:tl2br w:val="nil"/>
              <w:tr2bl w:val="nil"/>
            </w:tcBorders>
          </w:tcPr>
          <w:p w14:paraId="33D00BC0">
            <w:pPr>
              <w:rPr>
                <w:rFonts w:hint="default" w:ascii="Times New Roman" w:eastAsia="Times New Roman"/>
                <w:color w:val="auto"/>
                <w:sz w:val="21"/>
                <w:szCs w:val="21"/>
              </w:rPr>
            </w:pPr>
          </w:p>
        </w:tc>
      </w:tr>
      <w:tr w14:paraId="4360A6A7">
        <w:tblPrEx>
          <w:tblCellMar>
            <w:top w:w="0" w:type="dxa"/>
            <w:left w:w="108" w:type="dxa"/>
            <w:bottom w:w="0" w:type="dxa"/>
            <w:right w:w="108" w:type="dxa"/>
          </w:tblCellMar>
        </w:tblPrEx>
        <w:trPr>
          <w:trHeight w:val="2400" w:hRule="exact"/>
        </w:trPr>
        <w:tc>
          <w:tcPr>
            <w:tcW w:w="456" w:type="dxa"/>
            <w:vMerge w:val="continue"/>
            <w:tcBorders>
              <w:top w:val="single" w:color="000000" w:sz="4" w:space="0"/>
              <w:left w:val="single" w:color="000000" w:sz="4" w:space="0"/>
              <w:bottom w:val="single" w:color="000000" w:sz="4" w:space="0"/>
              <w:right w:val="single" w:color="000000" w:sz="4" w:space="0"/>
              <w:tl2br w:val="nil"/>
              <w:tr2bl w:val="nil"/>
            </w:tcBorders>
          </w:tcPr>
          <w:p w14:paraId="4ED3181B">
            <w:pPr>
              <w:rPr>
                <w:rFonts w:hint="default" w:ascii="Times New Roman" w:eastAsia="Times New Roman"/>
                <w:color w:val="auto"/>
                <w:sz w:val="21"/>
                <w:szCs w:val="21"/>
              </w:rPr>
            </w:pPr>
          </w:p>
        </w:tc>
        <w:tc>
          <w:tcPr>
            <w:tcW w:w="852" w:type="dxa"/>
            <w:gridSpan w:val="2"/>
            <w:vMerge w:val="continue"/>
            <w:tcBorders>
              <w:top w:val="single" w:color="000000" w:sz="4" w:space="0"/>
              <w:left w:val="single" w:color="000000" w:sz="4" w:space="0"/>
              <w:bottom w:val="single" w:color="000000" w:sz="4" w:space="0"/>
              <w:right w:val="single" w:color="000000" w:sz="4" w:space="0"/>
              <w:tl2br w:val="nil"/>
              <w:tr2bl w:val="nil"/>
            </w:tcBorders>
          </w:tcPr>
          <w:p w14:paraId="39B3E5F3">
            <w:pPr>
              <w:rPr>
                <w:rFonts w:hint="default" w:ascii="Times New Roman" w:eastAsia="Times New Roman"/>
                <w:color w:val="auto"/>
                <w:sz w:val="21"/>
                <w:szCs w:val="21"/>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3DD9185E">
            <w:pPr>
              <w:pStyle w:val="25"/>
              <w:kinsoku w:val="0"/>
              <w:overflowPunct w:val="0"/>
              <w:spacing w:before="58" w:line="273" w:lineRule="auto"/>
              <w:ind w:left="67" w:right="66"/>
              <w:jc w:val="center"/>
              <w:rPr>
                <w:rFonts w:hint="default" w:cs="宋体"/>
                <w:color w:val="auto"/>
                <w:sz w:val="21"/>
                <w:szCs w:val="21"/>
              </w:rPr>
            </w:pPr>
            <w:r>
              <w:rPr>
                <w:rFonts w:cs="宋体"/>
                <w:color w:val="auto"/>
                <w:sz w:val="21"/>
                <w:szCs w:val="21"/>
              </w:rPr>
              <w:t>健全的财务会计制度</w:t>
            </w:r>
          </w:p>
        </w:tc>
        <w:tc>
          <w:tcPr>
            <w:tcW w:w="5389" w:type="dxa"/>
            <w:gridSpan w:val="2"/>
            <w:tcBorders>
              <w:top w:val="single" w:color="000000" w:sz="4" w:space="0"/>
              <w:left w:val="single" w:color="000000" w:sz="4" w:space="0"/>
              <w:bottom w:val="single" w:color="000000" w:sz="4" w:space="0"/>
              <w:right w:val="single" w:color="000000" w:sz="4" w:space="0"/>
              <w:tl2br w:val="nil"/>
              <w:tr2bl w:val="nil"/>
            </w:tcBorders>
          </w:tcPr>
          <w:p w14:paraId="3DDA932A">
            <w:pPr>
              <w:pStyle w:val="25"/>
              <w:kinsoku w:val="0"/>
              <w:overflowPunct w:val="0"/>
              <w:spacing w:before="58" w:line="273" w:lineRule="auto"/>
              <w:ind w:left="67" w:right="66"/>
              <w:jc w:val="both"/>
              <w:rPr>
                <w:rFonts w:hint="eastAsia" w:eastAsia="宋体" w:cs="宋体"/>
                <w:color w:val="auto"/>
                <w:sz w:val="21"/>
                <w:szCs w:val="21"/>
                <w:lang w:eastAsia="zh-CN"/>
              </w:rPr>
            </w:pPr>
            <w:r>
              <w:rPr>
                <w:rFonts w:cs="宋体"/>
                <w:color w:val="auto"/>
                <w:sz w:val="21"/>
                <w:szCs w:val="21"/>
              </w:rPr>
              <w:t>供应商是法人的应提供经审计的</w:t>
            </w:r>
            <w:r>
              <w:rPr>
                <w:rFonts w:hint="eastAsia" w:cs="宋体"/>
                <w:color w:val="auto"/>
                <w:sz w:val="21"/>
                <w:szCs w:val="21"/>
                <w:lang w:val="en-US" w:eastAsia="zh-CN"/>
              </w:rPr>
              <w:t>2023</w:t>
            </w:r>
            <w:r>
              <w:rPr>
                <w:rFonts w:cs="宋体"/>
                <w:color w:val="auto"/>
                <w:sz w:val="21"/>
                <w:szCs w:val="21"/>
              </w:rPr>
              <w:t>年度的财务报告。（财务审计报告必须为第三方提供并加盖第三方公章的完整版，企业自身报告无效）或截止开标前1个月的基本开户银行出具的资信证明</w:t>
            </w:r>
            <w:r>
              <w:rPr>
                <w:rFonts w:hint="eastAsia" w:cs="宋体"/>
                <w:color w:val="auto"/>
                <w:sz w:val="21"/>
                <w:szCs w:val="21"/>
              </w:rPr>
              <w:t>（抬头、格式不限，证明应能说明该供应商与银行之间业务往来正常，无不良记录，企业信誉良好等。银行出具的存款证明不能作为银行资信证明）</w:t>
            </w:r>
          </w:p>
        </w:tc>
        <w:tc>
          <w:tcPr>
            <w:tcW w:w="516" w:type="dxa"/>
            <w:gridSpan w:val="2"/>
            <w:tcBorders>
              <w:top w:val="single" w:color="000000" w:sz="4" w:space="0"/>
              <w:left w:val="single" w:color="000000" w:sz="4" w:space="0"/>
              <w:bottom w:val="single" w:color="000000" w:sz="4" w:space="0"/>
              <w:right w:val="single" w:color="000000" w:sz="4" w:space="0"/>
              <w:tl2br w:val="nil"/>
              <w:tr2bl w:val="nil"/>
            </w:tcBorders>
          </w:tcPr>
          <w:p w14:paraId="4F2AE46B">
            <w:pPr>
              <w:rPr>
                <w:rFonts w:hint="default" w:ascii="Times New Roman" w:eastAsia="Times New Roman"/>
                <w:color w:val="auto"/>
                <w:sz w:val="21"/>
                <w:szCs w:val="21"/>
              </w:rPr>
            </w:pPr>
          </w:p>
        </w:tc>
        <w:tc>
          <w:tcPr>
            <w:tcW w:w="518" w:type="dxa"/>
            <w:gridSpan w:val="2"/>
            <w:tcBorders>
              <w:top w:val="single" w:color="000000" w:sz="4" w:space="0"/>
              <w:left w:val="single" w:color="000000" w:sz="4" w:space="0"/>
              <w:bottom w:val="single" w:color="000000" w:sz="4" w:space="0"/>
              <w:right w:val="single" w:color="000000" w:sz="4" w:space="0"/>
              <w:tl2br w:val="nil"/>
              <w:tr2bl w:val="nil"/>
            </w:tcBorders>
          </w:tcPr>
          <w:p w14:paraId="3A6534F7">
            <w:pPr>
              <w:rPr>
                <w:rFonts w:hint="default" w:ascii="Times New Roman" w:eastAsia="Times New Roman"/>
                <w:color w:val="auto"/>
                <w:sz w:val="21"/>
                <w:szCs w:val="21"/>
              </w:rPr>
            </w:pPr>
          </w:p>
        </w:tc>
      </w:tr>
      <w:tr w14:paraId="2DD718D6">
        <w:tblPrEx>
          <w:tblCellMar>
            <w:top w:w="0" w:type="dxa"/>
            <w:left w:w="108" w:type="dxa"/>
            <w:bottom w:w="0" w:type="dxa"/>
            <w:right w:w="108" w:type="dxa"/>
          </w:tblCellMar>
        </w:tblPrEx>
        <w:trPr>
          <w:trHeight w:val="1859" w:hRule="exact"/>
        </w:trPr>
        <w:tc>
          <w:tcPr>
            <w:tcW w:w="456" w:type="dxa"/>
            <w:vMerge w:val="continue"/>
            <w:tcBorders>
              <w:top w:val="single" w:color="000000" w:sz="4" w:space="0"/>
              <w:left w:val="single" w:color="000000" w:sz="4" w:space="0"/>
              <w:bottom w:val="single" w:color="000000" w:sz="4" w:space="0"/>
              <w:right w:val="single" w:color="000000" w:sz="4" w:space="0"/>
              <w:tl2br w:val="nil"/>
              <w:tr2bl w:val="nil"/>
            </w:tcBorders>
          </w:tcPr>
          <w:p w14:paraId="2B83B3D1">
            <w:pPr>
              <w:rPr>
                <w:rFonts w:hint="default" w:ascii="Times New Roman" w:eastAsia="Times New Roman"/>
                <w:color w:val="auto"/>
                <w:sz w:val="21"/>
                <w:szCs w:val="21"/>
              </w:rPr>
            </w:pPr>
          </w:p>
        </w:tc>
        <w:tc>
          <w:tcPr>
            <w:tcW w:w="852" w:type="dxa"/>
            <w:gridSpan w:val="2"/>
            <w:vMerge w:val="continue"/>
            <w:tcBorders>
              <w:top w:val="single" w:color="000000" w:sz="4" w:space="0"/>
              <w:left w:val="single" w:color="000000" w:sz="4" w:space="0"/>
              <w:bottom w:val="single" w:color="000000" w:sz="4" w:space="0"/>
              <w:right w:val="single" w:color="000000" w:sz="4" w:space="0"/>
              <w:tl2br w:val="nil"/>
              <w:tr2bl w:val="nil"/>
            </w:tcBorders>
          </w:tcPr>
          <w:p w14:paraId="2BFFE556">
            <w:pPr>
              <w:rPr>
                <w:rFonts w:hint="default" w:ascii="Times New Roman" w:eastAsia="Times New Roman"/>
                <w:color w:val="auto"/>
                <w:sz w:val="21"/>
                <w:szCs w:val="21"/>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117E353C">
            <w:pPr>
              <w:pStyle w:val="25"/>
              <w:kinsoku w:val="0"/>
              <w:overflowPunct w:val="0"/>
              <w:jc w:val="center"/>
              <w:rPr>
                <w:rFonts w:hint="default" w:cs="宋体"/>
                <w:color w:val="auto"/>
                <w:sz w:val="21"/>
                <w:szCs w:val="21"/>
              </w:rPr>
            </w:pPr>
          </w:p>
          <w:p w14:paraId="3A75142B">
            <w:pPr>
              <w:pStyle w:val="25"/>
              <w:kinsoku w:val="0"/>
              <w:overflowPunct w:val="0"/>
              <w:jc w:val="center"/>
              <w:rPr>
                <w:rFonts w:hint="default" w:cs="宋体"/>
                <w:color w:val="auto"/>
                <w:sz w:val="21"/>
                <w:szCs w:val="21"/>
              </w:rPr>
            </w:pPr>
          </w:p>
          <w:p w14:paraId="5EF31DC6">
            <w:pPr>
              <w:pStyle w:val="25"/>
              <w:kinsoku w:val="0"/>
              <w:overflowPunct w:val="0"/>
              <w:spacing w:line="273" w:lineRule="auto"/>
              <w:ind w:left="67" w:right="66"/>
              <w:jc w:val="center"/>
              <w:rPr>
                <w:rFonts w:hint="default" w:ascii="Times New Roman" w:eastAsia="Times New Roman"/>
                <w:color w:val="auto"/>
                <w:sz w:val="21"/>
                <w:szCs w:val="21"/>
              </w:rPr>
            </w:pPr>
            <w:r>
              <w:rPr>
                <w:rFonts w:cs="宋体"/>
                <w:color w:val="auto"/>
                <w:sz w:val="21"/>
                <w:szCs w:val="21"/>
              </w:rPr>
              <w:t>缴纳税收</w:t>
            </w:r>
          </w:p>
        </w:tc>
        <w:tc>
          <w:tcPr>
            <w:tcW w:w="5389" w:type="dxa"/>
            <w:gridSpan w:val="2"/>
            <w:tcBorders>
              <w:top w:val="single" w:color="000000" w:sz="4" w:space="0"/>
              <w:left w:val="single" w:color="000000" w:sz="4" w:space="0"/>
              <w:bottom w:val="single" w:color="000000" w:sz="4" w:space="0"/>
              <w:right w:val="single" w:color="000000" w:sz="4" w:space="0"/>
              <w:tl2br w:val="nil"/>
              <w:tr2bl w:val="nil"/>
            </w:tcBorders>
          </w:tcPr>
          <w:p w14:paraId="60629660">
            <w:pPr>
              <w:pStyle w:val="25"/>
              <w:kinsoku w:val="0"/>
              <w:overflowPunct w:val="0"/>
              <w:spacing w:before="113" w:line="357" w:lineRule="auto"/>
              <w:ind w:left="67" w:right="64"/>
              <w:rPr>
                <w:rFonts w:hint="default" w:ascii="Times New Roman" w:eastAsia="Times New Roman"/>
                <w:color w:val="auto"/>
                <w:sz w:val="21"/>
                <w:szCs w:val="21"/>
              </w:rPr>
            </w:pPr>
            <w:r>
              <w:rPr>
                <w:rFonts w:cs="宋体"/>
                <w:color w:val="auto"/>
                <w:sz w:val="21"/>
                <w:szCs w:val="21"/>
              </w:rPr>
              <w:t>提供截止开标前近半年内任三个月税收缴纳完成的证</w:t>
            </w:r>
            <w:r>
              <w:rPr>
                <w:rFonts w:cs="宋体"/>
                <w:color w:val="auto"/>
                <w:spacing w:val="-81"/>
                <w:sz w:val="21"/>
                <w:szCs w:val="21"/>
              </w:rPr>
              <w:t xml:space="preserve"> </w:t>
            </w:r>
            <w:r>
              <w:rPr>
                <w:rFonts w:cs="宋体"/>
                <w:color w:val="auto"/>
                <w:sz w:val="21"/>
                <w:szCs w:val="21"/>
              </w:rPr>
              <w:t>明资料。（提供截止开标前近半年内任三个月税收部门出具的完成税收缴纳证明。其它无需纳税或免税的必须提供</w:t>
            </w:r>
            <w:r>
              <w:rPr>
                <w:rFonts w:cs="宋体"/>
                <w:color w:val="auto"/>
                <w:spacing w:val="-81"/>
                <w:sz w:val="21"/>
                <w:szCs w:val="21"/>
              </w:rPr>
              <w:t xml:space="preserve"> </w:t>
            </w:r>
            <w:r>
              <w:rPr>
                <w:rFonts w:cs="宋体"/>
                <w:color w:val="auto"/>
                <w:sz w:val="21"/>
                <w:szCs w:val="21"/>
              </w:rPr>
              <w:t>相关证明。）</w:t>
            </w:r>
          </w:p>
        </w:tc>
        <w:tc>
          <w:tcPr>
            <w:tcW w:w="516" w:type="dxa"/>
            <w:gridSpan w:val="2"/>
            <w:tcBorders>
              <w:top w:val="single" w:color="000000" w:sz="4" w:space="0"/>
              <w:left w:val="single" w:color="000000" w:sz="4" w:space="0"/>
              <w:bottom w:val="single" w:color="000000" w:sz="4" w:space="0"/>
              <w:right w:val="single" w:color="000000" w:sz="4" w:space="0"/>
              <w:tl2br w:val="nil"/>
              <w:tr2bl w:val="nil"/>
            </w:tcBorders>
          </w:tcPr>
          <w:p w14:paraId="0C84008C">
            <w:pPr>
              <w:rPr>
                <w:rFonts w:hint="default" w:ascii="Times New Roman" w:eastAsia="Times New Roman"/>
                <w:color w:val="auto"/>
                <w:sz w:val="21"/>
                <w:szCs w:val="21"/>
              </w:rPr>
            </w:pPr>
          </w:p>
        </w:tc>
        <w:tc>
          <w:tcPr>
            <w:tcW w:w="518" w:type="dxa"/>
            <w:gridSpan w:val="2"/>
            <w:tcBorders>
              <w:top w:val="single" w:color="000000" w:sz="4" w:space="0"/>
              <w:left w:val="single" w:color="000000" w:sz="4" w:space="0"/>
              <w:bottom w:val="single" w:color="000000" w:sz="4" w:space="0"/>
              <w:right w:val="single" w:color="000000" w:sz="4" w:space="0"/>
              <w:tl2br w:val="nil"/>
              <w:tr2bl w:val="nil"/>
            </w:tcBorders>
          </w:tcPr>
          <w:p w14:paraId="2FDD186C">
            <w:pPr>
              <w:rPr>
                <w:rFonts w:hint="default" w:ascii="Times New Roman" w:eastAsia="Times New Roman"/>
                <w:color w:val="auto"/>
                <w:sz w:val="21"/>
                <w:szCs w:val="21"/>
              </w:rPr>
            </w:pPr>
          </w:p>
        </w:tc>
      </w:tr>
      <w:tr w14:paraId="535B25F3">
        <w:tblPrEx>
          <w:tblCellMar>
            <w:top w:w="0" w:type="dxa"/>
            <w:left w:w="108" w:type="dxa"/>
            <w:bottom w:w="0" w:type="dxa"/>
            <w:right w:w="108" w:type="dxa"/>
          </w:tblCellMar>
        </w:tblPrEx>
        <w:trPr>
          <w:trHeight w:val="1430" w:hRule="exact"/>
        </w:trPr>
        <w:tc>
          <w:tcPr>
            <w:tcW w:w="456" w:type="dxa"/>
            <w:vMerge w:val="continue"/>
            <w:tcBorders>
              <w:top w:val="single" w:color="000000" w:sz="4" w:space="0"/>
              <w:left w:val="single" w:color="000000" w:sz="4" w:space="0"/>
              <w:bottom w:val="single" w:color="000000" w:sz="4" w:space="0"/>
              <w:right w:val="single" w:color="000000" w:sz="4" w:space="0"/>
              <w:tl2br w:val="nil"/>
              <w:tr2bl w:val="nil"/>
            </w:tcBorders>
          </w:tcPr>
          <w:p w14:paraId="162B15B9">
            <w:pPr>
              <w:rPr>
                <w:rFonts w:hint="default" w:ascii="Times New Roman" w:eastAsia="Times New Roman"/>
                <w:color w:val="auto"/>
                <w:sz w:val="21"/>
                <w:szCs w:val="21"/>
              </w:rPr>
            </w:pPr>
          </w:p>
        </w:tc>
        <w:tc>
          <w:tcPr>
            <w:tcW w:w="852" w:type="dxa"/>
            <w:gridSpan w:val="2"/>
            <w:vMerge w:val="continue"/>
            <w:tcBorders>
              <w:top w:val="single" w:color="000000" w:sz="4" w:space="0"/>
              <w:left w:val="single" w:color="000000" w:sz="4" w:space="0"/>
              <w:bottom w:val="single" w:color="000000" w:sz="4" w:space="0"/>
              <w:right w:val="single" w:color="000000" w:sz="4" w:space="0"/>
              <w:tl2br w:val="nil"/>
              <w:tr2bl w:val="nil"/>
            </w:tcBorders>
          </w:tcPr>
          <w:p w14:paraId="428CE63C">
            <w:pPr>
              <w:rPr>
                <w:rFonts w:hint="default" w:ascii="Times New Roman" w:eastAsia="Times New Roman"/>
                <w:color w:val="auto"/>
                <w:sz w:val="21"/>
                <w:szCs w:val="21"/>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1C19F0E0">
            <w:pPr>
              <w:pStyle w:val="25"/>
              <w:kinsoku w:val="0"/>
              <w:overflowPunct w:val="0"/>
              <w:spacing w:line="273" w:lineRule="auto"/>
              <w:ind w:left="67" w:right="66"/>
              <w:jc w:val="center"/>
              <w:rPr>
                <w:rFonts w:hint="default" w:cs="宋体"/>
                <w:color w:val="auto"/>
                <w:sz w:val="21"/>
                <w:szCs w:val="21"/>
              </w:rPr>
            </w:pPr>
          </w:p>
          <w:p w14:paraId="39996C94">
            <w:pPr>
              <w:pStyle w:val="25"/>
              <w:kinsoku w:val="0"/>
              <w:overflowPunct w:val="0"/>
              <w:spacing w:line="273" w:lineRule="auto"/>
              <w:ind w:left="67" w:right="66"/>
              <w:jc w:val="center"/>
              <w:rPr>
                <w:rFonts w:hint="default" w:ascii="Times New Roman" w:eastAsia="Times New Roman"/>
                <w:color w:val="auto"/>
                <w:sz w:val="21"/>
                <w:szCs w:val="21"/>
              </w:rPr>
            </w:pPr>
            <w:r>
              <w:rPr>
                <w:rFonts w:cs="宋体"/>
                <w:color w:val="auto"/>
                <w:sz w:val="21"/>
                <w:szCs w:val="21"/>
              </w:rPr>
              <w:t>缴纳社会保障资金</w:t>
            </w:r>
          </w:p>
        </w:tc>
        <w:tc>
          <w:tcPr>
            <w:tcW w:w="5389" w:type="dxa"/>
            <w:gridSpan w:val="2"/>
            <w:tcBorders>
              <w:top w:val="single" w:color="000000" w:sz="4" w:space="0"/>
              <w:left w:val="single" w:color="000000" w:sz="4" w:space="0"/>
              <w:bottom w:val="single" w:color="000000" w:sz="4" w:space="0"/>
              <w:right w:val="single" w:color="000000" w:sz="4" w:space="0"/>
              <w:tl2br w:val="nil"/>
              <w:tr2bl w:val="nil"/>
            </w:tcBorders>
          </w:tcPr>
          <w:p w14:paraId="23606C4A">
            <w:pPr>
              <w:pStyle w:val="25"/>
              <w:kinsoku w:val="0"/>
              <w:overflowPunct w:val="0"/>
              <w:spacing w:before="112" w:line="357" w:lineRule="auto"/>
              <w:ind w:left="67" w:right="64"/>
              <w:jc w:val="both"/>
              <w:rPr>
                <w:rFonts w:hint="default" w:ascii="Times New Roman" w:eastAsia="Times New Roman"/>
                <w:color w:val="auto"/>
                <w:sz w:val="21"/>
                <w:szCs w:val="21"/>
              </w:rPr>
            </w:pPr>
            <w:bookmarkStart w:id="48" w:name="提提供截止开标前近半年内任三个月税收部门或社保机构出具的完成社保缴纳证明（提供截"/>
            <w:bookmarkEnd w:id="48"/>
            <w:r>
              <w:rPr>
                <w:rFonts w:cs="宋体"/>
                <w:color w:val="auto"/>
                <w:spacing w:val="3"/>
                <w:sz w:val="21"/>
                <w:szCs w:val="21"/>
              </w:rPr>
              <w:t>提供截止开标前近半年内为授权代理人或法人缴纳任意一个月的社保资金证明或有电子专用章的缴费清单；</w:t>
            </w:r>
          </w:p>
        </w:tc>
        <w:tc>
          <w:tcPr>
            <w:tcW w:w="516" w:type="dxa"/>
            <w:gridSpan w:val="2"/>
            <w:tcBorders>
              <w:top w:val="single" w:color="000000" w:sz="4" w:space="0"/>
              <w:left w:val="single" w:color="000000" w:sz="4" w:space="0"/>
              <w:bottom w:val="single" w:color="000000" w:sz="4" w:space="0"/>
              <w:right w:val="single" w:color="000000" w:sz="4" w:space="0"/>
              <w:tl2br w:val="nil"/>
              <w:tr2bl w:val="nil"/>
            </w:tcBorders>
          </w:tcPr>
          <w:p w14:paraId="13BCB9E7">
            <w:pPr>
              <w:rPr>
                <w:rFonts w:hint="default" w:ascii="Times New Roman" w:eastAsia="Times New Roman"/>
                <w:color w:val="auto"/>
                <w:sz w:val="21"/>
                <w:szCs w:val="21"/>
              </w:rPr>
            </w:pPr>
          </w:p>
        </w:tc>
        <w:tc>
          <w:tcPr>
            <w:tcW w:w="518" w:type="dxa"/>
            <w:gridSpan w:val="2"/>
            <w:tcBorders>
              <w:top w:val="single" w:color="000000" w:sz="4" w:space="0"/>
              <w:left w:val="single" w:color="000000" w:sz="4" w:space="0"/>
              <w:bottom w:val="single" w:color="000000" w:sz="4" w:space="0"/>
              <w:right w:val="single" w:color="000000" w:sz="4" w:space="0"/>
              <w:tl2br w:val="nil"/>
              <w:tr2bl w:val="nil"/>
            </w:tcBorders>
          </w:tcPr>
          <w:p w14:paraId="5D7C43C4">
            <w:pPr>
              <w:rPr>
                <w:rFonts w:hint="default" w:ascii="Times New Roman" w:eastAsia="Times New Roman"/>
                <w:color w:val="auto"/>
                <w:sz w:val="21"/>
                <w:szCs w:val="21"/>
              </w:rPr>
            </w:pPr>
          </w:p>
        </w:tc>
      </w:tr>
      <w:tr w14:paraId="0DBA9F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1355" w:hRule="exact"/>
        </w:trPr>
        <w:tc>
          <w:tcPr>
            <w:tcW w:w="456" w:type="dxa"/>
            <w:vMerge w:val="restart"/>
            <w:tcBorders>
              <w:bottom w:val="single" w:color="000000" w:sz="4" w:space="0"/>
              <w:right w:val="single" w:color="000000" w:sz="4" w:space="0"/>
              <w:tl2br w:val="nil"/>
              <w:tr2bl w:val="nil"/>
            </w:tcBorders>
          </w:tcPr>
          <w:p w14:paraId="60B3506D">
            <w:pPr>
              <w:rPr>
                <w:rFonts w:hint="default" w:ascii="Times New Roman" w:eastAsia="Times New Roman"/>
                <w:color w:val="auto"/>
              </w:rPr>
            </w:pPr>
          </w:p>
        </w:tc>
        <w:tc>
          <w:tcPr>
            <w:tcW w:w="836" w:type="dxa"/>
            <w:vMerge w:val="restart"/>
            <w:tcBorders>
              <w:left w:val="single" w:color="000000" w:sz="4" w:space="0"/>
              <w:bottom w:val="single" w:color="000000" w:sz="4" w:space="0"/>
              <w:right w:val="single" w:color="000000" w:sz="4" w:space="0"/>
              <w:tl2br w:val="nil"/>
              <w:tr2bl w:val="nil"/>
            </w:tcBorders>
          </w:tcPr>
          <w:p w14:paraId="60B9F06B">
            <w:pPr>
              <w:rPr>
                <w:rFonts w:hint="default" w:ascii="Times New Roman" w:eastAsia="Times New Roman"/>
                <w:color w:val="auto"/>
              </w:rPr>
            </w:pPr>
          </w:p>
        </w:tc>
        <w:tc>
          <w:tcPr>
            <w:tcW w:w="1364" w:type="dxa"/>
            <w:gridSpan w:val="3"/>
            <w:tcBorders>
              <w:left w:val="single" w:color="000000" w:sz="4" w:space="0"/>
              <w:bottom w:val="single" w:color="000000" w:sz="4" w:space="0"/>
              <w:right w:val="single" w:color="000000" w:sz="4" w:space="0"/>
              <w:tl2br w:val="nil"/>
              <w:tr2bl w:val="nil"/>
            </w:tcBorders>
            <w:vAlign w:val="center"/>
          </w:tcPr>
          <w:p w14:paraId="3EAF30E3">
            <w:pPr>
              <w:pStyle w:val="25"/>
              <w:kinsoku w:val="0"/>
              <w:overflowPunct w:val="0"/>
              <w:spacing w:line="273" w:lineRule="auto"/>
              <w:ind w:left="67" w:right="66"/>
              <w:jc w:val="center"/>
              <w:rPr>
                <w:rFonts w:hint="default" w:cs="宋体"/>
                <w:color w:val="auto"/>
                <w:sz w:val="21"/>
                <w:szCs w:val="21"/>
              </w:rPr>
            </w:pPr>
            <w:r>
              <w:rPr>
                <w:rFonts w:cs="宋体"/>
                <w:color w:val="auto"/>
                <w:sz w:val="21"/>
                <w:szCs w:val="21"/>
              </w:rPr>
              <w:t>提供无重大违法记录声明书</w:t>
            </w:r>
          </w:p>
        </w:tc>
        <w:tc>
          <w:tcPr>
            <w:tcW w:w="5317" w:type="dxa"/>
            <w:tcBorders>
              <w:left w:val="single" w:color="000000" w:sz="4" w:space="0"/>
              <w:bottom w:val="single" w:color="000000" w:sz="4" w:space="0"/>
              <w:right w:val="single" w:color="000000" w:sz="4" w:space="0"/>
              <w:tl2br w:val="nil"/>
              <w:tr2bl w:val="nil"/>
            </w:tcBorders>
          </w:tcPr>
          <w:p w14:paraId="4A6CDCB4">
            <w:pPr>
              <w:pStyle w:val="25"/>
              <w:kinsoku w:val="0"/>
              <w:overflowPunct w:val="0"/>
              <w:rPr>
                <w:rFonts w:hint="default" w:ascii="Times New Roman" w:eastAsia="Times New Roman"/>
                <w:color w:val="auto"/>
                <w:sz w:val="20"/>
                <w:szCs w:val="20"/>
              </w:rPr>
            </w:pPr>
          </w:p>
          <w:p w14:paraId="572C221B">
            <w:pPr>
              <w:pStyle w:val="25"/>
              <w:kinsoku w:val="0"/>
              <w:overflowPunct w:val="0"/>
              <w:spacing w:before="11"/>
              <w:rPr>
                <w:rFonts w:hint="default" w:ascii="Times New Roman" w:eastAsia="Times New Roman"/>
                <w:color w:val="auto"/>
                <w:sz w:val="25"/>
                <w:szCs w:val="25"/>
              </w:rPr>
            </w:pPr>
          </w:p>
          <w:p w14:paraId="15C7B6D1">
            <w:pPr>
              <w:pStyle w:val="25"/>
              <w:kinsoku w:val="0"/>
              <w:overflowPunct w:val="0"/>
              <w:ind w:left="67"/>
              <w:rPr>
                <w:rFonts w:hint="default" w:ascii="Times New Roman" w:eastAsia="Times New Roman"/>
                <w:color w:val="auto"/>
              </w:rPr>
            </w:pPr>
            <w:r>
              <w:rPr>
                <w:rFonts w:cs="宋体"/>
                <w:color w:val="auto"/>
                <w:sz w:val="21"/>
                <w:szCs w:val="21"/>
              </w:rPr>
              <w:t>提供参加政府采购活动近三年无重大违法记录声明书</w:t>
            </w:r>
          </w:p>
        </w:tc>
        <w:tc>
          <w:tcPr>
            <w:tcW w:w="368" w:type="dxa"/>
            <w:tcBorders>
              <w:left w:val="single" w:color="000000" w:sz="4" w:space="0"/>
              <w:bottom w:val="single" w:color="000000" w:sz="4" w:space="0"/>
              <w:right w:val="single" w:color="000000" w:sz="4" w:space="0"/>
              <w:tl2br w:val="nil"/>
              <w:tr2bl w:val="nil"/>
            </w:tcBorders>
          </w:tcPr>
          <w:p w14:paraId="11B0437A">
            <w:pPr>
              <w:rPr>
                <w:rFonts w:hint="default" w:ascii="Times New Roman" w:eastAsia="Times New Roman"/>
                <w:color w:val="auto"/>
              </w:rPr>
            </w:pPr>
          </w:p>
        </w:tc>
        <w:tc>
          <w:tcPr>
            <w:tcW w:w="369" w:type="dxa"/>
            <w:gridSpan w:val="2"/>
            <w:tcBorders>
              <w:left w:val="single" w:color="000000" w:sz="4" w:space="0"/>
              <w:bottom w:val="single" w:color="000000" w:sz="4" w:space="0"/>
              <w:tl2br w:val="nil"/>
              <w:tr2bl w:val="nil"/>
            </w:tcBorders>
          </w:tcPr>
          <w:p w14:paraId="12A28FCF">
            <w:pPr>
              <w:rPr>
                <w:rFonts w:hint="default" w:ascii="Times New Roman" w:eastAsia="Times New Roman"/>
                <w:color w:val="auto"/>
              </w:rPr>
            </w:pPr>
          </w:p>
        </w:tc>
      </w:tr>
      <w:tr w14:paraId="5956A14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1588" w:hRule="exact"/>
        </w:trPr>
        <w:tc>
          <w:tcPr>
            <w:tcW w:w="456" w:type="dxa"/>
            <w:vMerge w:val="continue"/>
            <w:tcBorders>
              <w:top w:val="single" w:color="000000" w:sz="4" w:space="0"/>
              <w:bottom w:val="single" w:color="000000" w:sz="4" w:space="0"/>
              <w:right w:val="single" w:color="000000" w:sz="4" w:space="0"/>
              <w:tl2br w:val="nil"/>
              <w:tr2bl w:val="nil"/>
            </w:tcBorders>
          </w:tcPr>
          <w:p w14:paraId="5559CFB2">
            <w:pPr>
              <w:pStyle w:val="25"/>
              <w:kinsoku w:val="0"/>
              <w:overflowPunct w:val="0"/>
              <w:spacing w:line="261" w:lineRule="exact"/>
              <w:ind w:left="67"/>
              <w:rPr>
                <w:rFonts w:hint="default" w:ascii="Times New Roman" w:eastAsia="Times New Roman"/>
                <w:color w:val="auto"/>
              </w:rPr>
            </w:pPr>
          </w:p>
        </w:tc>
        <w:tc>
          <w:tcPr>
            <w:tcW w:w="836" w:type="dxa"/>
            <w:vMerge w:val="continue"/>
            <w:tcBorders>
              <w:top w:val="single" w:color="000000" w:sz="4" w:space="0"/>
              <w:left w:val="single" w:color="000000" w:sz="4" w:space="0"/>
              <w:bottom w:val="single" w:color="000000" w:sz="4" w:space="0"/>
              <w:right w:val="single" w:color="000000" w:sz="4" w:space="0"/>
              <w:tl2br w:val="nil"/>
              <w:tr2bl w:val="nil"/>
            </w:tcBorders>
          </w:tcPr>
          <w:p w14:paraId="3F0F94DA">
            <w:pPr>
              <w:pStyle w:val="25"/>
              <w:kinsoku w:val="0"/>
              <w:overflowPunct w:val="0"/>
              <w:spacing w:line="261" w:lineRule="exact"/>
              <w:ind w:left="67"/>
              <w:rPr>
                <w:rFonts w:hint="default" w:ascii="Times New Roman" w:eastAsia="Times New Roman"/>
                <w:color w:val="auto"/>
              </w:rPr>
            </w:pPr>
          </w:p>
        </w:tc>
        <w:tc>
          <w:tcPr>
            <w:tcW w:w="1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19B271C1">
            <w:pPr>
              <w:pStyle w:val="25"/>
              <w:kinsoku w:val="0"/>
              <w:overflowPunct w:val="0"/>
              <w:spacing w:line="273" w:lineRule="auto"/>
              <w:ind w:left="67" w:right="66"/>
              <w:jc w:val="center"/>
              <w:rPr>
                <w:rFonts w:hint="default" w:cs="宋体"/>
                <w:color w:val="auto"/>
                <w:sz w:val="21"/>
                <w:szCs w:val="21"/>
              </w:rPr>
            </w:pPr>
            <w:r>
              <w:rPr>
                <w:rFonts w:cs="宋体"/>
                <w:color w:val="auto"/>
                <w:sz w:val="21"/>
                <w:szCs w:val="21"/>
              </w:rPr>
              <w:t>履行合同 所必需的 设备和能力</w:t>
            </w:r>
          </w:p>
        </w:tc>
        <w:tc>
          <w:tcPr>
            <w:tcW w:w="5317" w:type="dxa"/>
            <w:tcBorders>
              <w:top w:val="single" w:color="000000" w:sz="4" w:space="0"/>
              <w:left w:val="single" w:color="000000" w:sz="4" w:space="0"/>
              <w:bottom w:val="single" w:color="000000" w:sz="4" w:space="0"/>
              <w:right w:val="single" w:color="000000" w:sz="4" w:space="0"/>
              <w:tl2br w:val="nil"/>
              <w:tr2bl w:val="nil"/>
            </w:tcBorders>
          </w:tcPr>
          <w:p w14:paraId="4C99C2C4">
            <w:pPr>
              <w:pStyle w:val="25"/>
              <w:kinsoku w:val="0"/>
              <w:overflowPunct w:val="0"/>
              <w:rPr>
                <w:rFonts w:hint="default" w:ascii="Times New Roman" w:eastAsia="Times New Roman"/>
                <w:color w:val="auto"/>
                <w:sz w:val="20"/>
                <w:szCs w:val="20"/>
              </w:rPr>
            </w:pPr>
          </w:p>
          <w:p w14:paraId="1E05F29E">
            <w:pPr>
              <w:pStyle w:val="25"/>
              <w:kinsoku w:val="0"/>
              <w:overflowPunct w:val="0"/>
              <w:rPr>
                <w:rFonts w:hint="default" w:ascii="Times New Roman" w:eastAsia="Times New Roman"/>
                <w:color w:val="auto"/>
                <w:sz w:val="26"/>
                <w:szCs w:val="26"/>
              </w:rPr>
            </w:pPr>
          </w:p>
          <w:p w14:paraId="064DF407">
            <w:pPr>
              <w:pStyle w:val="25"/>
              <w:kinsoku w:val="0"/>
              <w:overflowPunct w:val="0"/>
              <w:spacing w:line="273" w:lineRule="auto"/>
              <w:ind w:left="67" w:right="66"/>
              <w:rPr>
                <w:rFonts w:hint="default" w:ascii="Times New Roman" w:eastAsia="Times New Roman"/>
                <w:color w:val="auto"/>
              </w:rPr>
            </w:pPr>
            <w:r>
              <w:rPr>
                <w:rFonts w:cs="宋体"/>
                <w:color w:val="auto"/>
                <w:spacing w:val="4"/>
                <w:sz w:val="21"/>
                <w:szCs w:val="21"/>
              </w:rPr>
              <w:t>提供具有履行合同所必需的设备和专业技术能力相关证明材</w:t>
            </w:r>
            <w:r>
              <w:rPr>
                <w:rFonts w:cs="宋体"/>
                <w:color w:val="auto"/>
                <w:sz w:val="21"/>
                <w:szCs w:val="21"/>
              </w:rPr>
              <w:t>料或声明</w:t>
            </w:r>
          </w:p>
        </w:tc>
        <w:tc>
          <w:tcPr>
            <w:tcW w:w="368" w:type="dxa"/>
            <w:tcBorders>
              <w:top w:val="single" w:color="000000" w:sz="4" w:space="0"/>
              <w:left w:val="single" w:color="000000" w:sz="4" w:space="0"/>
              <w:bottom w:val="single" w:color="000000" w:sz="4" w:space="0"/>
              <w:right w:val="single" w:color="000000" w:sz="4" w:space="0"/>
              <w:tl2br w:val="nil"/>
              <w:tr2bl w:val="nil"/>
            </w:tcBorders>
          </w:tcPr>
          <w:p w14:paraId="4293F405">
            <w:pPr>
              <w:rPr>
                <w:rFonts w:hint="default" w:ascii="Times New Roman" w:eastAsia="Times New Roman"/>
                <w:color w:val="auto"/>
              </w:rPr>
            </w:pPr>
          </w:p>
        </w:tc>
        <w:tc>
          <w:tcPr>
            <w:tcW w:w="369" w:type="dxa"/>
            <w:gridSpan w:val="2"/>
            <w:tcBorders>
              <w:top w:val="single" w:color="000000" w:sz="4" w:space="0"/>
              <w:left w:val="single" w:color="000000" w:sz="4" w:space="0"/>
              <w:bottom w:val="single" w:color="000000" w:sz="4" w:space="0"/>
              <w:tl2br w:val="nil"/>
              <w:tr2bl w:val="nil"/>
            </w:tcBorders>
          </w:tcPr>
          <w:p w14:paraId="2301B3BA">
            <w:pPr>
              <w:rPr>
                <w:rFonts w:hint="default" w:ascii="Times New Roman" w:eastAsia="Times New Roman"/>
                <w:color w:val="auto"/>
              </w:rPr>
            </w:pPr>
          </w:p>
        </w:tc>
      </w:tr>
      <w:tr w14:paraId="1F50B17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1311" w:hRule="exact"/>
        </w:trPr>
        <w:tc>
          <w:tcPr>
            <w:tcW w:w="456" w:type="dxa"/>
            <w:vMerge w:val="continue"/>
            <w:tcBorders>
              <w:top w:val="single" w:color="000000" w:sz="4" w:space="0"/>
              <w:bottom w:val="single" w:color="000000" w:sz="4" w:space="0"/>
              <w:right w:val="single" w:color="000000" w:sz="4" w:space="0"/>
              <w:tl2br w:val="nil"/>
              <w:tr2bl w:val="nil"/>
            </w:tcBorders>
          </w:tcPr>
          <w:p w14:paraId="3F9C8D0E">
            <w:pPr>
              <w:pStyle w:val="25"/>
              <w:kinsoku w:val="0"/>
              <w:overflowPunct w:val="0"/>
              <w:spacing w:line="261" w:lineRule="exact"/>
              <w:ind w:left="67"/>
              <w:rPr>
                <w:rFonts w:hint="default" w:ascii="Times New Roman" w:eastAsia="Times New Roman"/>
                <w:color w:val="auto"/>
              </w:rPr>
            </w:pPr>
          </w:p>
        </w:tc>
        <w:tc>
          <w:tcPr>
            <w:tcW w:w="836" w:type="dxa"/>
            <w:vMerge w:val="continue"/>
            <w:tcBorders>
              <w:top w:val="single" w:color="000000" w:sz="4" w:space="0"/>
              <w:left w:val="single" w:color="000000" w:sz="4" w:space="0"/>
              <w:bottom w:val="single" w:color="000000" w:sz="4" w:space="0"/>
              <w:right w:val="single" w:color="000000" w:sz="4" w:space="0"/>
              <w:tl2br w:val="nil"/>
              <w:tr2bl w:val="nil"/>
            </w:tcBorders>
          </w:tcPr>
          <w:p w14:paraId="33B1DA2E">
            <w:pPr>
              <w:pStyle w:val="25"/>
              <w:kinsoku w:val="0"/>
              <w:overflowPunct w:val="0"/>
              <w:spacing w:line="261" w:lineRule="exact"/>
              <w:ind w:left="67"/>
              <w:rPr>
                <w:rFonts w:hint="default" w:ascii="Times New Roman" w:eastAsia="Times New Roman"/>
                <w:color w:val="auto"/>
              </w:rPr>
            </w:pPr>
          </w:p>
        </w:tc>
        <w:tc>
          <w:tcPr>
            <w:tcW w:w="1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438687FC">
            <w:pPr>
              <w:pStyle w:val="25"/>
              <w:kinsoku w:val="0"/>
              <w:overflowPunct w:val="0"/>
              <w:spacing w:line="273" w:lineRule="auto"/>
              <w:ind w:left="67" w:right="66"/>
              <w:jc w:val="center"/>
              <w:rPr>
                <w:rFonts w:hint="default" w:cs="宋体"/>
                <w:color w:val="auto"/>
                <w:sz w:val="21"/>
                <w:szCs w:val="21"/>
              </w:rPr>
            </w:pPr>
            <w:r>
              <w:rPr>
                <w:rFonts w:cs="宋体"/>
                <w:color w:val="auto"/>
                <w:sz w:val="21"/>
                <w:szCs w:val="21"/>
              </w:rPr>
              <w:t>不参与围标串标承诺书</w:t>
            </w:r>
          </w:p>
        </w:tc>
        <w:tc>
          <w:tcPr>
            <w:tcW w:w="5317" w:type="dxa"/>
            <w:tcBorders>
              <w:top w:val="single" w:color="000000" w:sz="4" w:space="0"/>
              <w:left w:val="single" w:color="000000" w:sz="4" w:space="0"/>
              <w:bottom w:val="single" w:color="000000" w:sz="4" w:space="0"/>
              <w:right w:val="single" w:color="000000" w:sz="4" w:space="0"/>
              <w:tl2br w:val="nil"/>
              <w:tr2bl w:val="nil"/>
            </w:tcBorders>
          </w:tcPr>
          <w:p w14:paraId="273105C2">
            <w:pPr>
              <w:pStyle w:val="25"/>
              <w:kinsoku w:val="0"/>
              <w:overflowPunct w:val="0"/>
              <w:rPr>
                <w:rFonts w:hint="default" w:ascii="Times New Roman" w:eastAsia="Times New Roman"/>
                <w:color w:val="auto"/>
                <w:sz w:val="20"/>
                <w:szCs w:val="20"/>
              </w:rPr>
            </w:pPr>
          </w:p>
          <w:p w14:paraId="395E014C">
            <w:pPr>
              <w:pStyle w:val="25"/>
              <w:kinsoku w:val="0"/>
              <w:overflowPunct w:val="0"/>
              <w:rPr>
                <w:rFonts w:hint="default" w:ascii="Times New Roman" w:eastAsia="Times New Roman"/>
                <w:color w:val="auto"/>
                <w:sz w:val="20"/>
                <w:szCs w:val="20"/>
              </w:rPr>
            </w:pPr>
          </w:p>
          <w:p w14:paraId="7DCA4257">
            <w:pPr>
              <w:pStyle w:val="25"/>
              <w:kinsoku w:val="0"/>
              <w:overflowPunct w:val="0"/>
              <w:ind w:left="67"/>
              <w:rPr>
                <w:rFonts w:hint="default" w:ascii="Times New Roman" w:eastAsia="Times New Roman"/>
                <w:color w:val="auto"/>
              </w:rPr>
            </w:pPr>
            <w:r>
              <w:rPr>
                <w:rFonts w:cs="宋体"/>
                <w:color w:val="auto"/>
                <w:sz w:val="21"/>
                <w:szCs w:val="21"/>
              </w:rPr>
              <w:t>提供不参与围标串标承诺书</w:t>
            </w:r>
          </w:p>
        </w:tc>
        <w:tc>
          <w:tcPr>
            <w:tcW w:w="368" w:type="dxa"/>
            <w:tcBorders>
              <w:top w:val="single" w:color="000000" w:sz="4" w:space="0"/>
              <w:left w:val="single" w:color="000000" w:sz="4" w:space="0"/>
              <w:bottom w:val="single" w:color="000000" w:sz="4" w:space="0"/>
              <w:right w:val="single" w:color="000000" w:sz="4" w:space="0"/>
              <w:tl2br w:val="nil"/>
              <w:tr2bl w:val="nil"/>
            </w:tcBorders>
          </w:tcPr>
          <w:p w14:paraId="006922BC">
            <w:pPr>
              <w:rPr>
                <w:rFonts w:hint="default" w:ascii="Times New Roman" w:eastAsia="Times New Roman"/>
                <w:color w:val="auto"/>
              </w:rPr>
            </w:pPr>
          </w:p>
        </w:tc>
        <w:tc>
          <w:tcPr>
            <w:tcW w:w="369" w:type="dxa"/>
            <w:gridSpan w:val="2"/>
            <w:tcBorders>
              <w:top w:val="single" w:color="000000" w:sz="4" w:space="0"/>
              <w:left w:val="single" w:color="000000" w:sz="4" w:space="0"/>
              <w:bottom w:val="single" w:color="000000" w:sz="4" w:space="0"/>
              <w:tl2br w:val="nil"/>
              <w:tr2bl w:val="nil"/>
            </w:tcBorders>
          </w:tcPr>
          <w:p w14:paraId="13C76D27">
            <w:pPr>
              <w:rPr>
                <w:rFonts w:hint="default" w:ascii="Times New Roman" w:eastAsia="Times New Roman"/>
                <w:color w:val="auto"/>
              </w:rPr>
            </w:pPr>
          </w:p>
        </w:tc>
      </w:tr>
      <w:tr w14:paraId="2F54FC7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2137" w:hRule="exact"/>
        </w:trPr>
        <w:tc>
          <w:tcPr>
            <w:tcW w:w="456" w:type="dxa"/>
            <w:vMerge w:val="continue"/>
            <w:tcBorders>
              <w:top w:val="single" w:color="000000" w:sz="4" w:space="0"/>
              <w:bottom w:val="single" w:color="000000" w:sz="4" w:space="0"/>
              <w:right w:val="single" w:color="000000" w:sz="4" w:space="0"/>
              <w:tl2br w:val="nil"/>
              <w:tr2bl w:val="nil"/>
            </w:tcBorders>
          </w:tcPr>
          <w:p w14:paraId="51311326">
            <w:pPr>
              <w:pStyle w:val="25"/>
              <w:kinsoku w:val="0"/>
              <w:overflowPunct w:val="0"/>
              <w:spacing w:line="261" w:lineRule="exact"/>
              <w:ind w:left="67"/>
              <w:rPr>
                <w:rFonts w:hint="default" w:ascii="Times New Roman" w:eastAsia="Times New Roman"/>
                <w:color w:val="auto"/>
              </w:rPr>
            </w:pPr>
          </w:p>
        </w:tc>
        <w:tc>
          <w:tcPr>
            <w:tcW w:w="836" w:type="dxa"/>
            <w:vMerge w:val="continue"/>
            <w:tcBorders>
              <w:top w:val="single" w:color="000000" w:sz="4" w:space="0"/>
              <w:left w:val="single" w:color="000000" w:sz="4" w:space="0"/>
              <w:bottom w:val="single" w:color="000000" w:sz="4" w:space="0"/>
              <w:right w:val="single" w:color="000000" w:sz="4" w:space="0"/>
              <w:tl2br w:val="nil"/>
              <w:tr2bl w:val="nil"/>
            </w:tcBorders>
          </w:tcPr>
          <w:p w14:paraId="2D61E268">
            <w:pPr>
              <w:pStyle w:val="25"/>
              <w:kinsoku w:val="0"/>
              <w:overflowPunct w:val="0"/>
              <w:spacing w:line="261" w:lineRule="exact"/>
              <w:ind w:left="67"/>
              <w:rPr>
                <w:rFonts w:hint="default" w:ascii="Times New Roman" w:eastAsia="Times New Roman"/>
                <w:color w:val="auto"/>
              </w:rPr>
            </w:pPr>
          </w:p>
        </w:tc>
        <w:tc>
          <w:tcPr>
            <w:tcW w:w="1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11413A1C">
            <w:pPr>
              <w:pStyle w:val="25"/>
              <w:kinsoku w:val="0"/>
              <w:overflowPunct w:val="0"/>
              <w:spacing w:line="273" w:lineRule="auto"/>
              <w:ind w:left="67" w:right="66"/>
              <w:jc w:val="center"/>
              <w:rPr>
                <w:rFonts w:cs="宋体"/>
                <w:color w:val="auto"/>
                <w:sz w:val="21"/>
                <w:szCs w:val="21"/>
              </w:rPr>
            </w:pPr>
            <w:r>
              <w:rPr>
                <w:rFonts w:hint="eastAsia" w:cs="宋体"/>
                <w:color w:val="auto"/>
                <w:sz w:val="21"/>
                <w:szCs w:val="21"/>
              </w:rPr>
              <w:t>供应商应为中小微企业、监狱企业、残疾人福利性单位</w:t>
            </w:r>
          </w:p>
        </w:tc>
        <w:tc>
          <w:tcPr>
            <w:tcW w:w="5317" w:type="dxa"/>
            <w:tcBorders>
              <w:top w:val="single" w:color="000000" w:sz="4" w:space="0"/>
              <w:left w:val="single" w:color="000000" w:sz="4" w:space="0"/>
              <w:bottom w:val="single" w:color="000000" w:sz="4" w:space="0"/>
              <w:right w:val="single" w:color="000000" w:sz="4" w:space="0"/>
              <w:tl2br w:val="nil"/>
              <w:tr2bl w:val="nil"/>
            </w:tcBorders>
            <w:vAlign w:val="center"/>
          </w:tcPr>
          <w:p w14:paraId="3053A7EE">
            <w:pPr>
              <w:pStyle w:val="25"/>
              <w:kinsoku w:val="0"/>
              <w:overflowPunct w:val="0"/>
              <w:ind w:left="67"/>
              <w:jc w:val="left"/>
              <w:rPr>
                <w:rFonts w:cs="宋体"/>
                <w:color w:val="auto"/>
                <w:sz w:val="21"/>
                <w:szCs w:val="21"/>
              </w:rPr>
            </w:pPr>
            <w:r>
              <w:rPr>
                <w:rFonts w:hint="eastAsia" w:cs="宋体"/>
                <w:color w:val="auto"/>
                <w:sz w:val="21"/>
                <w:szCs w:val="21"/>
              </w:rPr>
              <w:t>请根据要求单独上传《中小企业声明函》。格式以采购文件要求为准。</w:t>
            </w:r>
          </w:p>
        </w:tc>
        <w:tc>
          <w:tcPr>
            <w:tcW w:w="368" w:type="dxa"/>
            <w:tcBorders>
              <w:top w:val="single" w:color="000000" w:sz="4" w:space="0"/>
              <w:left w:val="single" w:color="000000" w:sz="4" w:space="0"/>
              <w:bottom w:val="single" w:color="000000" w:sz="4" w:space="0"/>
              <w:right w:val="single" w:color="000000" w:sz="4" w:space="0"/>
              <w:tl2br w:val="nil"/>
              <w:tr2bl w:val="nil"/>
            </w:tcBorders>
          </w:tcPr>
          <w:p w14:paraId="6DDC973E">
            <w:pPr>
              <w:rPr>
                <w:rFonts w:hint="default" w:ascii="Times New Roman" w:eastAsia="Times New Roman"/>
                <w:color w:val="auto"/>
              </w:rPr>
            </w:pPr>
          </w:p>
        </w:tc>
        <w:tc>
          <w:tcPr>
            <w:tcW w:w="369" w:type="dxa"/>
            <w:gridSpan w:val="2"/>
            <w:tcBorders>
              <w:top w:val="single" w:color="000000" w:sz="4" w:space="0"/>
              <w:left w:val="single" w:color="000000" w:sz="4" w:space="0"/>
              <w:bottom w:val="single" w:color="000000" w:sz="4" w:space="0"/>
              <w:tl2br w:val="nil"/>
              <w:tr2bl w:val="nil"/>
            </w:tcBorders>
          </w:tcPr>
          <w:p w14:paraId="0355AB78">
            <w:pPr>
              <w:rPr>
                <w:rFonts w:hint="default" w:ascii="Times New Roman" w:eastAsia="Times New Roman"/>
                <w:color w:val="auto"/>
              </w:rPr>
            </w:pPr>
          </w:p>
        </w:tc>
      </w:tr>
      <w:tr w14:paraId="607EF9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1375" w:hRule="exact"/>
        </w:trPr>
        <w:tc>
          <w:tcPr>
            <w:tcW w:w="456" w:type="dxa"/>
            <w:vMerge w:val="continue"/>
            <w:tcBorders>
              <w:top w:val="single" w:color="000000" w:sz="4" w:space="0"/>
              <w:bottom w:val="single" w:color="000000" w:sz="4" w:space="0"/>
              <w:right w:val="single" w:color="000000" w:sz="4" w:space="0"/>
              <w:tl2br w:val="nil"/>
              <w:tr2bl w:val="nil"/>
            </w:tcBorders>
          </w:tcPr>
          <w:p w14:paraId="72E9C617">
            <w:pPr>
              <w:pStyle w:val="25"/>
              <w:kinsoku w:val="0"/>
              <w:overflowPunct w:val="0"/>
              <w:spacing w:line="261" w:lineRule="exact"/>
              <w:ind w:left="67"/>
              <w:rPr>
                <w:rFonts w:hint="default" w:ascii="Times New Roman" w:eastAsia="Times New Roman"/>
                <w:color w:val="auto"/>
              </w:rPr>
            </w:pPr>
          </w:p>
        </w:tc>
        <w:tc>
          <w:tcPr>
            <w:tcW w:w="836" w:type="dxa"/>
            <w:vMerge w:val="continue"/>
            <w:tcBorders>
              <w:top w:val="single" w:color="000000" w:sz="4" w:space="0"/>
              <w:left w:val="single" w:color="000000" w:sz="4" w:space="0"/>
              <w:bottom w:val="single" w:color="000000" w:sz="4" w:space="0"/>
              <w:right w:val="single" w:color="000000" w:sz="4" w:space="0"/>
              <w:tl2br w:val="nil"/>
              <w:tr2bl w:val="nil"/>
            </w:tcBorders>
          </w:tcPr>
          <w:p w14:paraId="34ED2A6C">
            <w:pPr>
              <w:pStyle w:val="25"/>
              <w:kinsoku w:val="0"/>
              <w:overflowPunct w:val="0"/>
              <w:spacing w:line="261" w:lineRule="exact"/>
              <w:ind w:left="67"/>
              <w:rPr>
                <w:rFonts w:hint="default" w:ascii="Times New Roman" w:eastAsia="Times New Roman"/>
                <w:color w:val="auto"/>
              </w:rPr>
            </w:pPr>
          </w:p>
        </w:tc>
        <w:tc>
          <w:tcPr>
            <w:tcW w:w="1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1BEBA802">
            <w:pPr>
              <w:pStyle w:val="25"/>
              <w:kinsoku w:val="0"/>
              <w:overflowPunct w:val="0"/>
              <w:spacing w:line="273" w:lineRule="auto"/>
              <w:ind w:left="67" w:right="66"/>
              <w:jc w:val="center"/>
              <w:rPr>
                <w:rFonts w:hint="default" w:cs="宋体"/>
                <w:color w:val="auto"/>
                <w:sz w:val="21"/>
                <w:szCs w:val="21"/>
                <w:lang w:val="en-US" w:eastAsia="zh-CN"/>
              </w:rPr>
            </w:pPr>
            <w:r>
              <w:rPr>
                <w:rFonts w:hint="eastAsia" w:cs="宋体"/>
                <w:color w:val="auto"/>
                <w:sz w:val="21"/>
                <w:szCs w:val="21"/>
                <w:lang w:val="en-US" w:eastAsia="zh-CN"/>
              </w:rPr>
              <w:t>供应商资格要求</w:t>
            </w:r>
          </w:p>
        </w:tc>
        <w:tc>
          <w:tcPr>
            <w:tcW w:w="5317" w:type="dxa"/>
            <w:tcBorders>
              <w:top w:val="single" w:color="000000" w:sz="4" w:space="0"/>
              <w:left w:val="single" w:color="000000" w:sz="4" w:space="0"/>
              <w:bottom w:val="single" w:color="000000" w:sz="4" w:space="0"/>
              <w:right w:val="single" w:color="000000" w:sz="4" w:space="0"/>
              <w:tl2br w:val="nil"/>
              <w:tr2bl w:val="nil"/>
            </w:tcBorders>
          </w:tcPr>
          <w:p w14:paraId="70738F7B">
            <w:pPr>
              <w:pStyle w:val="25"/>
              <w:kinsoku w:val="0"/>
              <w:overflowPunct w:val="0"/>
              <w:ind w:left="67"/>
              <w:rPr>
                <w:rFonts w:hint="eastAsia" w:eastAsia="宋体" w:cs="宋体"/>
                <w:color w:val="auto"/>
                <w:sz w:val="21"/>
                <w:szCs w:val="21"/>
                <w:lang w:eastAsia="zh-CN"/>
              </w:rPr>
            </w:pPr>
            <w:r>
              <w:rPr>
                <w:rFonts w:hint="eastAsia" w:cs="宋体"/>
                <w:color w:val="auto"/>
                <w:sz w:val="21"/>
                <w:szCs w:val="21"/>
                <w:lang w:eastAsia="zh-CN"/>
              </w:rPr>
              <w:t>供应商具有《医疗器械生产许可证》或《医疗器械经营许可证》，所投产品属于医疗器械管理的产品需根据《医疗器械监督管理条例》（国务院令第650号）有关内容办理医疗器械产品注册或备案。</w:t>
            </w:r>
          </w:p>
        </w:tc>
        <w:tc>
          <w:tcPr>
            <w:tcW w:w="368" w:type="dxa"/>
            <w:tcBorders>
              <w:top w:val="single" w:color="000000" w:sz="4" w:space="0"/>
              <w:left w:val="single" w:color="000000" w:sz="4" w:space="0"/>
              <w:bottom w:val="single" w:color="000000" w:sz="4" w:space="0"/>
              <w:right w:val="single" w:color="000000" w:sz="4" w:space="0"/>
              <w:tl2br w:val="nil"/>
              <w:tr2bl w:val="nil"/>
            </w:tcBorders>
          </w:tcPr>
          <w:p w14:paraId="1B462CED">
            <w:pPr>
              <w:rPr>
                <w:rFonts w:hint="default" w:ascii="Times New Roman" w:eastAsia="Times New Roman"/>
                <w:color w:val="auto"/>
              </w:rPr>
            </w:pPr>
          </w:p>
        </w:tc>
        <w:tc>
          <w:tcPr>
            <w:tcW w:w="369" w:type="dxa"/>
            <w:gridSpan w:val="2"/>
            <w:tcBorders>
              <w:top w:val="single" w:color="000000" w:sz="4" w:space="0"/>
              <w:left w:val="single" w:color="000000" w:sz="4" w:space="0"/>
              <w:bottom w:val="single" w:color="000000" w:sz="4" w:space="0"/>
              <w:tl2br w:val="nil"/>
              <w:tr2bl w:val="nil"/>
            </w:tcBorders>
          </w:tcPr>
          <w:p w14:paraId="3CCAAA65">
            <w:pPr>
              <w:rPr>
                <w:rFonts w:hint="default" w:ascii="Times New Roman" w:eastAsia="Times New Roman"/>
                <w:color w:val="auto"/>
              </w:rPr>
            </w:pPr>
          </w:p>
        </w:tc>
      </w:tr>
      <w:tr w14:paraId="3A65635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759" w:hRule="exact"/>
        </w:trPr>
        <w:tc>
          <w:tcPr>
            <w:tcW w:w="456" w:type="dxa"/>
            <w:vMerge w:val="continue"/>
            <w:tcBorders>
              <w:top w:val="single" w:color="000000" w:sz="4" w:space="0"/>
              <w:bottom w:val="single" w:color="000000" w:sz="4" w:space="0"/>
              <w:right w:val="single" w:color="000000" w:sz="4" w:space="0"/>
              <w:tl2br w:val="nil"/>
              <w:tr2bl w:val="nil"/>
            </w:tcBorders>
          </w:tcPr>
          <w:p w14:paraId="73346A8E">
            <w:pPr>
              <w:pStyle w:val="25"/>
              <w:kinsoku w:val="0"/>
              <w:overflowPunct w:val="0"/>
              <w:spacing w:line="261" w:lineRule="exact"/>
              <w:ind w:left="67"/>
              <w:rPr>
                <w:rFonts w:hint="default" w:ascii="Times New Roman" w:eastAsia="Times New Roman"/>
                <w:color w:val="auto"/>
              </w:rPr>
            </w:pPr>
          </w:p>
        </w:tc>
        <w:tc>
          <w:tcPr>
            <w:tcW w:w="836" w:type="dxa"/>
            <w:vMerge w:val="continue"/>
            <w:tcBorders>
              <w:top w:val="single" w:color="000000" w:sz="4" w:space="0"/>
              <w:left w:val="single" w:color="000000" w:sz="4" w:space="0"/>
              <w:bottom w:val="single" w:color="000000" w:sz="4" w:space="0"/>
              <w:right w:val="single" w:color="000000" w:sz="4" w:space="0"/>
              <w:tl2br w:val="nil"/>
              <w:tr2bl w:val="nil"/>
            </w:tcBorders>
          </w:tcPr>
          <w:p w14:paraId="1540AD14">
            <w:pPr>
              <w:pStyle w:val="25"/>
              <w:kinsoku w:val="0"/>
              <w:overflowPunct w:val="0"/>
              <w:spacing w:line="261" w:lineRule="exact"/>
              <w:ind w:left="67"/>
              <w:rPr>
                <w:rFonts w:hint="default" w:ascii="Times New Roman" w:eastAsia="Times New Roman"/>
                <w:color w:val="auto"/>
              </w:rPr>
            </w:pPr>
          </w:p>
        </w:tc>
        <w:tc>
          <w:tcPr>
            <w:tcW w:w="1364" w:type="dxa"/>
            <w:gridSpan w:val="3"/>
            <w:tcBorders>
              <w:top w:val="single" w:color="000000" w:sz="4" w:space="0"/>
              <w:left w:val="single" w:color="000000" w:sz="4" w:space="0"/>
              <w:bottom w:val="single" w:color="000000" w:sz="4" w:space="0"/>
              <w:right w:val="single" w:color="000000" w:sz="4" w:space="0"/>
              <w:tl2br w:val="nil"/>
              <w:tr2bl w:val="nil"/>
            </w:tcBorders>
          </w:tcPr>
          <w:p w14:paraId="61AC5962">
            <w:pPr>
              <w:pStyle w:val="25"/>
              <w:kinsoku w:val="0"/>
              <w:overflowPunct w:val="0"/>
              <w:spacing w:line="273" w:lineRule="auto"/>
              <w:ind w:left="67" w:right="66"/>
              <w:jc w:val="center"/>
              <w:rPr>
                <w:rFonts w:hint="default" w:cs="宋体"/>
                <w:color w:val="auto"/>
                <w:sz w:val="21"/>
                <w:szCs w:val="21"/>
                <w:lang w:val="en-US" w:eastAsia="zh-CN"/>
              </w:rPr>
            </w:pPr>
            <w:r>
              <w:rPr>
                <w:rFonts w:hint="eastAsia" w:cs="宋体"/>
                <w:color w:val="auto"/>
                <w:sz w:val="21"/>
                <w:szCs w:val="21"/>
                <w:lang w:val="en-US" w:eastAsia="zh-CN"/>
              </w:rPr>
              <w:t>投标保证金</w:t>
            </w:r>
          </w:p>
        </w:tc>
        <w:tc>
          <w:tcPr>
            <w:tcW w:w="5317" w:type="dxa"/>
            <w:tcBorders>
              <w:top w:val="single" w:color="000000" w:sz="4" w:space="0"/>
              <w:left w:val="single" w:color="000000" w:sz="4" w:space="0"/>
              <w:bottom w:val="single" w:color="000000" w:sz="4" w:space="0"/>
              <w:right w:val="single" w:color="000000" w:sz="4" w:space="0"/>
              <w:tl2br w:val="nil"/>
              <w:tr2bl w:val="nil"/>
            </w:tcBorders>
          </w:tcPr>
          <w:p w14:paraId="5EF4EC93">
            <w:pPr>
              <w:pStyle w:val="25"/>
              <w:kinsoku w:val="0"/>
              <w:overflowPunct w:val="0"/>
              <w:spacing w:before="7"/>
              <w:rPr>
                <w:rFonts w:hint="default" w:ascii="Times New Roman" w:eastAsia="Times New Roman"/>
                <w:color w:val="auto"/>
                <w:sz w:val="17"/>
                <w:szCs w:val="17"/>
              </w:rPr>
            </w:pPr>
          </w:p>
          <w:p w14:paraId="2BBB60F1">
            <w:pPr>
              <w:pStyle w:val="25"/>
              <w:kinsoku w:val="0"/>
              <w:overflowPunct w:val="0"/>
              <w:ind w:left="67"/>
              <w:rPr>
                <w:rFonts w:hint="default" w:ascii="Times New Roman" w:eastAsia="Times New Roman"/>
                <w:color w:val="auto"/>
              </w:rPr>
            </w:pPr>
            <w:r>
              <w:rPr>
                <w:rFonts w:cs="宋体"/>
                <w:color w:val="auto"/>
                <w:sz w:val="21"/>
                <w:szCs w:val="21"/>
              </w:rPr>
              <w:t>提供保证金缴纳证明文件</w:t>
            </w:r>
          </w:p>
        </w:tc>
        <w:tc>
          <w:tcPr>
            <w:tcW w:w="368" w:type="dxa"/>
            <w:tcBorders>
              <w:top w:val="single" w:color="000000" w:sz="4" w:space="0"/>
              <w:left w:val="single" w:color="000000" w:sz="4" w:space="0"/>
              <w:bottom w:val="single" w:color="000000" w:sz="4" w:space="0"/>
              <w:right w:val="single" w:color="000000" w:sz="4" w:space="0"/>
              <w:tl2br w:val="nil"/>
              <w:tr2bl w:val="nil"/>
            </w:tcBorders>
          </w:tcPr>
          <w:p w14:paraId="125D8E39">
            <w:pPr>
              <w:rPr>
                <w:rFonts w:hint="default" w:ascii="Times New Roman" w:eastAsia="Times New Roman"/>
                <w:color w:val="auto"/>
              </w:rPr>
            </w:pPr>
          </w:p>
        </w:tc>
        <w:tc>
          <w:tcPr>
            <w:tcW w:w="369" w:type="dxa"/>
            <w:gridSpan w:val="2"/>
            <w:tcBorders>
              <w:top w:val="single" w:color="000000" w:sz="4" w:space="0"/>
              <w:left w:val="single" w:color="000000" w:sz="4" w:space="0"/>
              <w:bottom w:val="single" w:color="000000" w:sz="4" w:space="0"/>
              <w:tl2br w:val="nil"/>
              <w:tr2bl w:val="nil"/>
            </w:tcBorders>
          </w:tcPr>
          <w:p w14:paraId="525C680C">
            <w:pPr>
              <w:rPr>
                <w:rFonts w:hint="default" w:ascii="Times New Roman" w:eastAsia="Times New Roman"/>
                <w:color w:val="auto"/>
              </w:rPr>
            </w:pPr>
          </w:p>
        </w:tc>
      </w:tr>
      <w:tr w14:paraId="709A6FB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636" w:hRule="exact"/>
        </w:trPr>
        <w:tc>
          <w:tcPr>
            <w:tcW w:w="456" w:type="dxa"/>
            <w:vMerge w:val="continue"/>
            <w:tcBorders>
              <w:top w:val="single" w:color="000000" w:sz="4" w:space="0"/>
              <w:bottom w:val="single" w:color="000000" w:sz="4" w:space="0"/>
              <w:right w:val="single" w:color="000000" w:sz="4" w:space="0"/>
              <w:tl2br w:val="nil"/>
              <w:tr2bl w:val="nil"/>
            </w:tcBorders>
          </w:tcPr>
          <w:p w14:paraId="7DA471B2">
            <w:pPr>
              <w:pStyle w:val="25"/>
              <w:kinsoku w:val="0"/>
              <w:overflowPunct w:val="0"/>
              <w:spacing w:line="261" w:lineRule="exact"/>
              <w:ind w:left="67"/>
              <w:rPr>
                <w:rFonts w:hint="default" w:ascii="Times New Roman" w:eastAsia="Times New Roman"/>
                <w:color w:val="auto"/>
              </w:rPr>
            </w:pPr>
          </w:p>
        </w:tc>
        <w:tc>
          <w:tcPr>
            <w:tcW w:w="836" w:type="dxa"/>
            <w:vMerge w:val="restart"/>
            <w:tcBorders>
              <w:top w:val="single" w:color="000000" w:sz="4" w:space="0"/>
              <w:left w:val="single" w:color="000000" w:sz="4" w:space="0"/>
              <w:right w:val="single" w:color="000000" w:sz="4" w:space="0"/>
              <w:tl2br w:val="nil"/>
              <w:tr2bl w:val="nil"/>
            </w:tcBorders>
          </w:tcPr>
          <w:p w14:paraId="3A15D968">
            <w:pPr>
              <w:pStyle w:val="25"/>
              <w:kinsoku w:val="0"/>
              <w:overflowPunct w:val="0"/>
              <w:rPr>
                <w:rFonts w:hint="default" w:ascii="Times New Roman" w:eastAsia="Times New Roman"/>
                <w:color w:val="auto"/>
                <w:sz w:val="20"/>
                <w:szCs w:val="20"/>
              </w:rPr>
            </w:pPr>
          </w:p>
          <w:p w14:paraId="00C0C9BF">
            <w:pPr>
              <w:pStyle w:val="25"/>
              <w:kinsoku w:val="0"/>
              <w:overflowPunct w:val="0"/>
              <w:rPr>
                <w:rFonts w:hint="default" w:ascii="Times New Roman" w:eastAsia="Times New Roman"/>
                <w:color w:val="auto"/>
                <w:sz w:val="20"/>
                <w:szCs w:val="20"/>
              </w:rPr>
            </w:pPr>
          </w:p>
          <w:p w14:paraId="778DE36C">
            <w:pPr>
              <w:pStyle w:val="25"/>
              <w:kinsoku w:val="0"/>
              <w:overflowPunct w:val="0"/>
              <w:rPr>
                <w:rFonts w:hint="default" w:ascii="Times New Roman" w:eastAsia="Times New Roman"/>
                <w:color w:val="auto"/>
                <w:sz w:val="20"/>
                <w:szCs w:val="20"/>
              </w:rPr>
            </w:pPr>
          </w:p>
          <w:p w14:paraId="782A382C">
            <w:pPr>
              <w:pStyle w:val="25"/>
              <w:kinsoku w:val="0"/>
              <w:overflowPunct w:val="0"/>
              <w:rPr>
                <w:rFonts w:hint="default" w:ascii="Times New Roman" w:eastAsia="Times New Roman"/>
                <w:color w:val="auto"/>
                <w:sz w:val="20"/>
                <w:szCs w:val="20"/>
              </w:rPr>
            </w:pPr>
          </w:p>
          <w:p w14:paraId="10B5E020">
            <w:pPr>
              <w:pStyle w:val="25"/>
              <w:kinsoku w:val="0"/>
              <w:overflowPunct w:val="0"/>
              <w:rPr>
                <w:rFonts w:hint="default" w:ascii="Times New Roman" w:eastAsia="Times New Roman"/>
                <w:color w:val="auto"/>
                <w:sz w:val="20"/>
                <w:szCs w:val="20"/>
              </w:rPr>
            </w:pPr>
          </w:p>
          <w:p w14:paraId="22100A3D">
            <w:pPr>
              <w:pStyle w:val="25"/>
              <w:kinsoku w:val="0"/>
              <w:overflowPunct w:val="0"/>
              <w:rPr>
                <w:rFonts w:hint="default" w:ascii="Times New Roman" w:eastAsia="Times New Roman"/>
                <w:color w:val="auto"/>
                <w:sz w:val="20"/>
                <w:szCs w:val="20"/>
              </w:rPr>
            </w:pPr>
          </w:p>
          <w:p w14:paraId="56E57116">
            <w:pPr>
              <w:pStyle w:val="25"/>
              <w:kinsoku w:val="0"/>
              <w:overflowPunct w:val="0"/>
              <w:rPr>
                <w:rFonts w:hint="default" w:ascii="Times New Roman" w:eastAsia="Times New Roman"/>
                <w:color w:val="auto"/>
                <w:sz w:val="20"/>
                <w:szCs w:val="20"/>
              </w:rPr>
            </w:pPr>
          </w:p>
          <w:p w14:paraId="0F8A161C">
            <w:pPr>
              <w:pStyle w:val="25"/>
              <w:kinsoku w:val="0"/>
              <w:overflowPunct w:val="0"/>
              <w:rPr>
                <w:rFonts w:hint="default" w:ascii="Times New Roman" w:eastAsia="Times New Roman"/>
                <w:color w:val="auto"/>
                <w:sz w:val="20"/>
                <w:szCs w:val="20"/>
              </w:rPr>
            </w:pPr>
          </w:p>
          <w:p w14:paraId="1EA63E49">
            <w:pPr>
              <w:pStyle w:val="25"/>
              <w:kinsoku w:val="0"/>
              <w:overflowPunct w:val="0"/>
              <w:rPr>
                <w:rFonts w:hint="default" w:ascii="Times New Roman" w:eastAsia="Times New Roman"/>
                <w:color w:val="auto"/>
                <w:sz w:val="20"/>
                <w:szCs w:val="20"/>
              </w:rPr>
            </w:pPr>
          </w:p>
          <w:p w14:paraId="2E4FE7CA">
            <w:pPr>
              <w:pStyle w:val="25"/>
              <w:kinsoku w:val="0"/>
              <w:overflowPunct w:val="0"/>
              <w:rPr>
                <w:rFonts w:hint="default" w:ascii="Times New Roman" w:eastAsia="Times New Roman"/>
                <w:color w:val="auto"/>
                <w:sz w:val="20"/>
                <w:szCs w:val="20"/>
              </w:rPr>
            </w:pPr>
          </w:p>
          <w:p w14:paraId="3EADB52D">
            <w:pPr>
              <w:pStyle w:val="25"/>
              <w:kinsoku w:val="0"/>
              <w:overflowPunct w:val="0"/>
              <w:rPr>
                <w:rFonts w:hint="default" w:ascii="Times New Roman" w:eastAsia="Times New Roman"/>
                <w:color w:val="auto"/>
                <w:sz w:val="20"/>
                <w:szCs w:val="20"/>
              </w:rPr>
            </w:pPr>
          </w:p>
          <w:p w14:paraId="0AB5670E">
            <w:pPr>
              <w:pStyle w:val="25"/>
              <w:kinsoku w:val="0"/>
              <w:overflowPunct w:val="0"/>
              <w:rPr>
                <w:rFonts w:hint="default" w:ascii="Times New Roman" w:eastAsia="Times New Roman"/>
                <w:color w:val="auto"/>
                <w:sz w:val="20"/>
                <w:szCs w:val="20"/>
              </w:rPr>
            </w:pPr>
          </w:p>
          <w:p w14:paraId="4820E7E1">
            <w:pPr>
              <w:pStyle w:val="25"/>
              <w:kinsoku w:val="0"/>
              <w:overflowPunct w:val="0"/>
              <w:rPr>
                <w:rFonts w:hint="default" w:ascii="Times New Roman" w:eastAsia="Times New Roman"/>
                <w:color w:val="auto"/>
                <w:sz w:val="20"/>
                <w:szCs w:val="20"/>
              </w:rPr>
            </w:pPr>
          </w:p>
          <w:p w14:paraId="56BF7C52">
            <w:pPr>
              <w:pStyle w:val="25"/>
              <w:kinsoku w:val="0"/>
              <w:overflowPunct w:val="0"/>
              <w:spacing w:before="1"/>
              <w:rPr>
                <w:rFonts w:hint="default" w:ascii="Times New Roman" w:eastAsia="Times New Roman"/>
                <w:color w:val="auto"/>
                <w:sz w:val="16"/>
                <w:szCs w:val="16"/>
              </w:rPr>
            </w:pPr>
          </w:p>
          <w:p w14:paraId="51AA23EF">
            <w:pPr>
              <w:pStyle w:val="25"/>
              <w:kinsoku w:val="0"/>
              <w:overflowPunct w:val="0"/>
              <w:ind w:left="67"/>
              <w:rPr>
                <w:rFonts w:hint="default" w:ascii="Times New Roman" w:eastAsia="Times New Roman"/>
                <w:color w:val="auto"/>
              </w:rPr>
            </w:pPr>
            <w:r>
              <w:rPr>
                <w:rFonts w:cs="宋体"/>
                <w:color w:val="auto"/>
                <w:sz w:val="21"/>
                <w:szCs w:val="21"/>
              </w:rPr>
              <w:t>符</w:t>
            </w:r>
            <w:r>
              <w:rPr>
                <w:rFonts w:cs="宋体"/>
                <w:color w:val="auto"/>
                <w:spacing w:val="-79"/>
                <w:sz w:val="21"/>
                <w:szCs w:val="21"/>
              </w:rPr>
              <w:t xml:space="preserve"> </w:t>
            </w:r>
            <w:r>
              <w:rPr>
                <w:rFonts w:cs="宋体"/>
                <w:color w:val="auto"/>
                <w:sz w:val="21"/>
                <w:szCs w:val="21"/>
              </w:rPr>
              <w:t>合</w:t>
            </w:r>
            <w:r>
              <w:rPr>
                <w:rFonts w:cs="宋体"/>
                <w:color w:val="auto"/>
                <w:spacing w:val="-79"/>
                <w:sz w:val="21"/>
                <w:szCs w:val="21"/>
              </w:rPr>
              <w:t xml:space="preserve"> </w:t>
            </w:r>
            <w:r>
              <w:rPr>
                <w:rFonts w:cs="宋体"/>
                <w:color w:val="auto"/>
                <w:sz w:val="21"/>
                <w:szCs w:val="21"/>
              </w:rPr>
              <w:t>性检查</w:t>
            </w:r>
          </w:p>
        </w:tc>
        <w:tc>
          <w:tcPr>
            <w:tcW w:w="1364" w:type="dxa"/>
            <w:gridSpan w:val="3"/>
            <w:tcBorders>
              <w:top w:val="single" w:color="000000" w:sz="4" w:space="0"/>
              <w:left w:val="single" w:color="000000" w:sz="4" w:space="0"/>
              <w:right w:val="single" w:color="000000" w:sz="4" w:space="0"/>
              <w:tl2br w:val="nil"/>
              <w:tr2bl w:val="nil"/>
            </w:tcBorders>
          </w:tcPr>
          <w:p w14:paraId="13BC1D01">
            <w:pPr>
              <w:pStyle w:val="25"/>
              <w:kinsoku w:val="0"/>
              <w:overflowPunct w:val="0"/>
              <w:spacing w:line="273" w:lineRule="auto"/>
              <w:ind w:left="67" w:right="66"/>
              <w:jc w:val="center"/>
              <w:rPr>
                <w:rFonts w:hint="default" w:cs="宋体"/>
                <w:color w:val="auto"/>
                <w:sz w:val="21"/>
                <w:szCs w:val="21"/>
                <w:lang w:val="en-US" w:eastAsia="zh-CN"/>
              </w:rPr>
            </w:pPr>
            <w:r>
              <w:rPr>
                <w:rFonts w:hint="eastAsia" w:cs="宋体"/>
                <w:color w:val="auto"/>
                <w:sz w:val="21"/>
                <w:szCs w:val="21"/>
                <w:lang w:val="en-US" w:eastAsia="zh-CN"/>
              </w:rPr>
              <w:t>授权委托书</w:t>
            </w:r>
          </w:p>
        </w:tc>
        <w:tc>
          <w:tcPr>
            <w:tcW w:w="5317" w:type="dxa"/>
            <w:tcBorders>
              <w:top w:val="single" w:color="000000" w:sz="4" w:space="0"/>
              <w:left w:val="single" w:color="000000" w:sz="4" w:space="0"/>
              <w:right w:val="single" w:color="000000" w:sz="4" w:space="0"/>
              <w:tl2br w:val="nil"/>
              <w:tr2bl w:val="nil"/>
            </w:tcBorders>
          </w:tcPr>
          <w:p w14:paraId="1C00B223">
            <w:pPr>
              <w:pStyle w:val="25"/>
              <w:kinsoku w:val="0"/>
              <w:overflowPunct w:val="0"/>
              <w:spacing w:before="60"/>
              <w:ind w:left="67"/>
              <w:rPr>
                <w:rFonts w:hint="default" w:ascii="Times New Roman" w:eastAsia="Times New Roman"/>
                <w:color w:val="auto"/>
              </w:rPr>
            </w:pPr>
            <w:r>
              <w:rPr>
                <w:rFonts w:cs="宋体"/>
                <w:color w:val="auto"/>
                <w:spacing w:val="4"/>
                <w:sz w:val="21"/>
                <w:szCs w:val="21"/>
              </w:rPr>
              <w:t>投标文件提供法定代表人授权委托书或提供法定代表人身份</w:t>
            </w:r>
            <w:r>
              <w:rPr>
                <w:rFonts w:cs="宋体"/>
                <w:color w:val="auto"/>
                <w:sz w:val="21"/>
                <w:szCs w:val="21"/>
              </w:rPr>
              <w:t>证明</w:t>
            </w:r>
          </w:p>
        </w:tc>
        <w:tc>
          <w:tcPr>
            <w:tcW w:w="368" w:type="dxa"/>
            <w:tcBorders>
              <w:top w:val="single" w:color="000000" w:sz="4" w:space="0"/>
              <w:left w:val="single" w:color="000000" w:sz="4" w:space="0"/>
              <w:right w:val="single" w:color="000000" w:sz="4" w:space="0"/>
              <w:tl2br w:val="nil"/>
              <w:tr2bl w:val="nil"/>
            </w:tcBorders>
          </w:tcPr>
          <w:p w14:paraId="230F7F92">
            <w:pPr>
              <w:rPr>
                <w:rFonts w:hint="default" w:ascii="Times New Roman" w:eastAsia="Times New Roman"/>
                <w:color w:val="auto"/>
              </w:rPr>
            </w:pPr>
          </w:p>
        </w:tc>
        <w:tc>
          <w:tcPr>
            <w:tcW w:w="369" w:type="dxa"/>
            <w:gridSpan w:val="2"/>
            <w:tcBorders>
              <w:top w:val="single" w:color="000000" w:sz="4" w:space="0"/>
              <w:left w:val="single" w:color="000000" w:sz="4" w:space="0"/>
              <w:bottom w:val="single" w:color="000000" w:sz="4" w:space="0"/>
              <w:tl2br w:val="nil"/>
              <w:tr2bl w:val="nil"/>
            </w:tcBorders>
          </w:tcPr>
          <w:p w14:paraId="6F709C42">
            <w:pPr>
              <w:rPr>
                <w:rFonts w:hint="default" w:ascii="Times New Roman" w:eastAsia="Times New Roman"/>
                <w:color w:val="auto"/>
              </w:rPr>
            </w:pPr>
          </w:p>
        </w:tc>
      </w:tr>
      <w:tr w14:paraId="1BFC364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814" w:hRule="exact"/>
        </w:trPr>
        <w:tc>
          <w:tcPr>
            <w:tcW w:w="456" w:type="dxa"/>
            <w:vMerge w:val="continue"/>
            <w:tcBorders>
              <w:top w:val="single" w:color="000000" w:sz="4" w:space="0"/>
              <w:bottom w:val="single" w:color="000000" w:sz="4" w:space="0"/>
              <w:right w:val="single" w:color="000000" w:sz="4" w:space="0"/>
              <w:tl2br w:val="nil"/>
              <w:tr2bl w:val="nil"/>
            </w:tcBorders>
          </w:tcPr>
          <w:p w14:paraId="78F74468">
            <w:pPr>
              <w:pStyle w:val="25"/>
              <w:kinsoku w:val="0"/>
              <w:overflowPunct w:val="0"/>
              <w:spacing w:line="261" w:lineRule="exact"/>
              <w:ind w:left="67"/>
              <w:rPr>
                <w:rFonts w:hint="default" w:ascii="Times New Roman" w:eastAsia="Times New Roman"/>
                <w:color w:val="auto"/>
              </w:rPr>
            </w:pPr>
          </w:p>
        </w:tc>
        <w:tc>
          <w:tcPr>
            <w:tcW w:w="836" w:type="dxa"/>
            <w:vMerge w:val="continue"/>
            <w:tcBorders>
              <w:left w:val="single" w:color="000000" w:sz="4" w:space="0"/>
              <w:right w:val="single" w:color="000000" w:sz="4" w:space="0"/>
              <w:tl2br w:val="nil"/>
              <w:tr2bl w:val="nil"/>
            </w:tcBorders>
          </w:tcPr>
          <w:p w14:paraId="2B1A7A5B">
            <w:pPr>
              <w:pStyle w:val="25"/>
              <w:kinsoku w:val="0"/>
              <w:overflowPunct w:val="0"/>
              <w:spacing w:line="261" w:lineRule="exact"/>
              <w:ind w:left="67"/>
              <w:rPr>
                <w:rFonts w:hint="default" w:ascii="Times New Roman" w:eastAsia="Times New Roman"/>
                <w:color w:val="auto"/>
              </w:rPr>
            </w:pPr>
          </w:p>
        </w:tc>
        <w:tc>
          <w:tcPr>
            <w:tcW w:w="1364" w:type="dxa"/>
            <w:gridSpan w:val="3"/>
            <w:tcBorders>
              <w:top w:val="single" w:color="000000" w:sz="4" w:space="0"/>
              <w:left w:val="single" w:color="000000" w:sz="4" w:space="0"/>
              <w:bottom w:val="nil"/>
              <w:right w:val="single" w:color="000000" w:sz="4" w:space="0"/>
              <w:tl2br w:val="nil"/>
              <w:tr2bl w:val="nil"/>
            </w:tcBorders>
            <w:vAlign w:val="center"/>
          </w:tcPr>
          <w:p w14:paraId="555CDD83">
            <w:pPr>
              <w:pStyle w:val="25"/>
              <w:kinsoku w:val="0"/>
              <w:overflowPunct w:val="0"/>
              <w:spacing w:line="273" w:lineRule="auto"/>
              <w:ind w:left="67" w:right="66"/>
              <w:jc w:val="center"/>
              <w:rPr>
                <w:rFonts w:hint="default" w:cs="宋体"/>
                <w:color w:val="auto"/>
                <w:sz w:val="21"/>
                <w:szCs w:val="21"/>
                <w:lang w:val="en-US" w:eastAsia="zh-CN"/>
              </w:rPr>
            </w:pPr>
            <w:r>
              <w:rPr>
                <w:rFonts w:hint="eastAsia" w:cs="宋体"/>
                <w:color w:val="auto"/>
                <w:sz w:val="21"/>
                <w:szCs w:val="21"/>
                <w:lang w:val="en-US" w:eastAsia="zh-CN"/>
              </w:rPr>
              <w:t>签字或盖章</w:t>
            </w:r>
          </w:p>
        </w:tc>
        <w:tc>
          <w:tcPr>
            <w:tcW w:w="5317" w:type="dxa"/>
            <w:tcBorders>
              <w:top w:val="single" w:color="000000" w:sz="4" w:space="0"/>
              <w:left w:val="single" w:color="000000" w:sz="4" w:space="0"/>
              <w:bottom w:val="single" w:color="000000" w:sz="4" w:space="0"/>
              <w:right w:val="single" w:color="000000" w:sz="4" w:space="0"/>
              <w:tl2br w:val="nil"/>
              <w:tr2bl w:val="nil"/>
            </w:tcBorders>
            <w:vAlign w:val="center"/>
          </w:tcPr>
          <w:p w14:paraId="51CCAE0E">
            <w:pPr>
              <w:pStyle w:val="25"/>
              <w:kinsoku w:val="0"/>
              <w:overflowPunct w:val="0"/>
              <w:spacing w:before="150"/>
              <w:ind w:left="67"/>
              <w:jc w:val="both"/>
              <w:rPr>
                <w:rFonts w:hint="default" w:cs="宋体"/>
                <w:color w:val="auto"/>
                <w:spacing w:val="-4"/>
                <w:sz w:val="21"/>
                <w:szCs w:val="21"/>
              </w:rPr>
            </w:pPr>
            <w:r>
              <w:rPr>
                <w:rFonts w:cs="宋体"/>
                <w:color w:val="auto"/>
                <w:spacing w:val="-4"/>
                <w:sz w:val="21"/>
                <w:szCs w:val="21"/>
              </w:rPr>
              <w:t>投标文件上法定代表人或其授权代理人的签字、</w:t>
            </w:r>
            <w:r>
              <w:rPr>
                <w:rFonts w:hint="eastAsia" w:cs="宋体"/>
                <w:color w:val="auto"/>
                <w:spacing w:val="-4"/>
                <w:sz w:val="21"/>
                <w:szCs w:val="21"/>
                <w:lang w:eastAsia="zh-CN"/>
              </w:rPr>
              <w:t>供应商</w:t>
            </w:r>
            <w:r>
              <w:rPr>
                <w:rFonts w:cs="宋体"/>
                <w:color w:val="auto"/>
                <w:spacing w:val="-4"/>
                <w:sz w:val="21"/>
                <w:szCs w:val="21"/>
              </w:rPr>
              <w:t>的单位章齐全符合招标文件规定</w:t>
            </w:r>
          </w:p>
        </w:tc>
        <w:tc>
          <w:tcPr>
            <w:tcW w:w="368" w:type="dxa"/>
            <w:tcBorders>
              <w:top w:val="single" w:color="000000" w:sz="4" w:space="0"/>
              <w:left w:val="single" w:color="000000" w:sz="4" w:space="0"/>
              <w:bottom w:val="single" w:color="000000" w:sz="4" w:space="0"/>
              <w:right w:val="single" w:color="000000" w:sz="4" w:space="0"/>
              <w:tl2br w:val="nil"/>
              <w:tr2bl w:val="nil"/>
            </w:tcBorders>
          </w:tcPr>
          <w:p w14:paraId="1AC05696">
            <w:pPr>
              <w:rPr>
                <w:rFonts w:hint="default" w:ascii="Times New Roman" w:eastAsia="Times New Roman"/>
                <w:color w:val="auto"/>
              </w:rPr>
            </w:pPr>
          </w:p>
        </w:tc>
        <w:tc>
          <w:tcPr>
            <w:tcW w:w="369" w:type="dxa"/>
            <w:gridSpan w:val="2"/>
            <w:tcBorders>
              <w:top w:val="single" w:color="000000" w:sz="4" w:space="0"/>
              <w:left w:val="single" w:color="000000" w:sz="4" w:space="0"/>
              <w:bottom w:val="single" w:color="000000" w:sz="4" w:space="0"/>
              <w:tl2br w:val="nil"/>
              <w:tr2bl w:val="nil"/>
            </w:tcBorders>
          </w:tcPr>
          <w:p w14:paraId="71465CAB">
            <w:pPr>
              <w:rPr>
                <w:rFonts w:hint="default" w:ascii="Times New Roman" w:eastAsia="Times New Roman"/>
                <w:color w:val="auto"/>
              </w:rPr>
            </w:pPr>
          </w:p>
        </w:tc>
      </w:tr>
      <w:tr w14:paraId="0C08A92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1252" w:hRule="exact"/>
        </w:trPr>
        <w:tc>
          <w:tcPr>
            <w:tcW w:w="456" w:type="dxa"/>
            <w:vMerge w:val="continue"/>
            <w:tcBorders>
              <w:top w:val="single" w:color="000000" w:sz="4" w:space="0"/>
              <w:bottom w:val="single" w:color="000000" w:sz="4" w:space="0"/>
              <w:right w:val="single" w:color="000000" w:sz="4" w:space="0"/>
              <w:tl2br w:val="nil"/>
              <w:tr2bl w:val="nil"/>
            </w:tcBorders>
          </w:tcPr>
          <w:p w14:paraId="08D01F92">
            <w:pPr>
              <w:pStyle w:val="25"/>
              <w:kinsoku w:val="0"/>
              <w:overflowPunct w:val="0"/>
              <w:spacing w:line="261" w:lineRule="exact"/>
              <w:ind w:left="67"/>
              <w:rPr>
                <w:rFonts w:hint="default" w:ascii="Times New Roman" w:eastAsia="Times New Roman"/>
                <w:color w:val="auto"/>
              </w:rPr>
            </w:pPr>
          </w:p>
        </w:tc>
        <w:tc>
          <w:tcPr>
            <w:tcW w:w="836" w:type="dxa"/>
            <w:vMerge w:val="continue"/>
            <w:tcBorders>
              <w:left w:val="single" w:color="000000" w:sz="4" w:space="0"/>
              <w:right w:val="single" w:color="000000" w:sz="4" w:space="0"/>
              <w:tl2br w:val="nil"/>
              <w:tr2bl w:val="nil"/>
            </w:tcBorders>
          </w:tcPr>
          <w:p w14:paraId="7AF5DE25">
            <w:pPr>
              <w:pStyle w:val="25"/>
              <w:kinsoku w:val="0"/>
              <w:overflowPunct w:val="0"/>
              <w:spacing w:line="261" w:lineRule="exact"/>
              <w:ind w:left="67"/>
              <w:rPr>
                <w:rFonts w:hint="default" w:ascii="Times New Roman" w:eastAsia="Times New Roman"/>
                <w:color w:val="auto"/>
              </w:rPr>
            </w:pPr>
          </w:p>
        </w:tc>
        <w:tc>
          <w:tcPr>
            <w:tcW w:w="1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B896B0F">
            <w:pPr>
              <w:pStyle w:val="25"/>
              <w:kinsoku w:val="0"/>
              <w:overflowPunct w:val="0"/>
              <w:spacing w:line="273" w:lineRule="auto"/>
              <w:ind w:left="67" w:right="66"/>
              <w:jc w:val="center"/>
              <w:rPr>
                <w:rFonts w:hint="default" w:cs="宋体"/>
                <w:color w:val="auto"/>
                <w:sz w:val="21"/>
                <w:szCs w:val="21"/>
                <w:lang w:val="en-US" w:eastAsia="zh-CN"/>
              </w:rPr>
            </w:pPr>
            <w:r>
              <w:rPr>
                <w:rFonts w:hint="eastAsia" w:cs="宋体"/>
                <w:color w:val="auto"/>
                <w:sz w:val="21"/>
                <w:szCs w:val="21"/>
                <w:lang w:val="en-US" w:eastAsia="zh-CN"/>
              </w:rPr>
              <w:t>报价唯一性</w:t>
            </w:r>
          </w:p>
        </w:tc>
        <w:tc>
          <w:tcPr>
            <w:tcW w:w="5317" w:type="dxa"/>
            <w:tcBorders>
              <w:top w:val="single" w:color="000000" w:sz="4" w:space="0"/>
              <w:left w:val="single" w:color="000000" w:sz="4" w:space="0"/>
              <w:bottom w:val="single" w:color="000000" w:sz="4" w:space="0"/>
              <w:right w:val="single" w:color="000000" w:sz="4" w:space="0"/>
              <w:tl2br w:val="nil"/>
              <w:tr2bl w:val="nil"/>
            </w:tcBorders>
            <w:vAlign w:val="center"/>
          </w:tcPr>
          <w:p w14:paraId="4ECDB475">
            <w:pPr>
              <w:pStyle w:val="25"/>
              <w:kinsoku w:val="0"/>
              <w:overflowPunct w:val="0"/>
              <w:spacing w:before="150"/>
              <w:ind w:left="67"/>
              <w:jc w:val="both"/>
              <w:rPr>
                <w:rFonts w:hint="eastAsia" w:eastAsia="宋体" w:cs="宋体"/>
                <w:color w:val="auto"/>
                <w:spacing w:val="-4"/>
                <w:sz w:val="21"/>
                <w:szCs w:val="21"/>
                <w:lang w:eastAsia="zh-CN"/>
              </w:rPr>
            </w:pPr>
            <w:r>
              <w:rPr>
                <w:rFonts w:cs="宋体"/>
                <w:color w:val="auto"/>
                <w:spacing w:val="-4"/>
                <w:sz w:val="21"/>
                <w:szCs w:val="21"/>
              </w:rPr>
              <w:t>投标报价具有唯一性，未超过采购项目预算</w:t>
            </w:r>
            <w:r>
              <w:rPr>
                <w:rFonts w:hint="eastAsia" w:cs="宋体"/>
                <w:color w:val="auto"/>
                <w:spacing w:val="-4"/>
                <w:sz w:val="21"/>
                <w:szCs w:val="21"/>
                <w:lang w:eastAsia="zh-CN"/>
              </w:rPr>
              <w:t>；对于出现的政采云平台开标唱标环节经投标供应商确认的投标报价与投标文件中开标一览表的报价不一致的现象，视作选择性报价，将被作为无效投标处理。</w:t>
            </w:r>
          </w:p>
        </w:tc>
        <w:tc>
          <w:tcPr>
            <w:tcW w:w="368" w:type="dxa"/>
            <w:tcBorders>
              <w:top w:val="single" w:color="000000" w:sz="4" w:space="0"/>
              <w:left w:val="single" w:color="000000" w:sz="4" w:space="0"/>
              <w:bottom w:val="single" w:color="000000" w:sz="4" w:space="0"/>
              <w:right w:val="single" w:color="000000" w:sz="4" w:space="0"/>
              <w:tl2br w:val="nil"/>
              <w:tr2bl w:val="nil"/>
            </w:tcBorders>
          </w:tcPr>
          <w:p w14:paraId="1BA8390F">
            <w:pPr>
              <w:rPr>
                <w:rFonts w:hint="default" w:ascii="Times New Roman" w:eastAsia="Times New Roman"/>
                <w:color w:val="auto"/>
              </w:rPr>
            </w:pPr>
          </w:p>
        </w:tc>
        <w:tc>
          <w:tcPr>
            <w:tcW w:w="369" w:type="dxa"/>
            <w:gridSpan w:val="2"/>
            <w:tcBorders>
              <w:top w:val="single" w:color="000000" w:sz="4" w:space="0"/>
              <w:left w:val="single" w:color="000000" w:sz="4" w:space="0"/>
              <w:bottom w:val="single" w:color="000000" w:sz="4" w:space="0"/>
              <w:tl2br w:val="nil"/>
              <w:tr2bl w:val="nil"/>
            </w:tcBorders>
          </w:tcPr>
          <w:p w14:paraId="1B29C051">
            <w:pPr>
              <w:rPr>
                <w:rFonts w:hint="default" w:ascii="Times New Roman" w:eastAsia="Times New Roman"/>
                <w:color w:val="auto"/>
              </w:rPr>
            </w:pPr>
          </w:p>
        </w:tc>
      </w:tr>
      <w:tr w14:paraId="563997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502" w:hRule="exact"/>
        </w:trPr>
        <w:tc>
          <w:tcPr>
            <w:tcW w:w="456" w:type="dxa"/>
            <w:vMerge w:val="continue"/>
            <w:tcBorders>
              <w:top w:val="single" w:color="000000" w:sz="4" w:space="0"/>
              <w:bottom w:val="single" w:color="000000" w:sz="4" w:space="0"/>
              <w:right w:val="single" w:color="000000" w:sz="4" w:space="0"/>
              <w:tl2br w:val="nil"/>
              <w:tr2bl w:val="nil"/>
            </w:tcBorders>
          </w:tcPr>
          <w:p w14:paraId="28B3E19F">
            <w:pPr>
              <w:pStyle w:val="25"/>
              <w:kinsoku w:val="0"/>
              <w:overflowPunct w:val="0"/>
              <w:spacing w:line="261" w:lineRule="exact"/>
              <w:ind w:left="67"/>
              <w:rPr>
                <w:rFonts w:hint="default" w:ascii="Times New Roman" w:eastAsia="Times New Roman"/>
                <w:color w:val="auto"/>
              </w:rPr>
            </w:pPr>
          </w:p>
        </w:tc>
        <w:tc>
          <w:tcPr>
            <w:tcW w:w="836" w:type="dxa"/>
            <w:vMerge w:val="continue"/>
            <w:tcBorders>
              <w:left w:val="single" w:color="000000" w:sz="4" w:space="0"/>
              <w:right w:val="single" w:color="000000" w:sz="4" w:space="0"/>
              <w:tl2br w:val="nil"/>
              <w:tr2bl w:val="nil"/>
            </w:tcBorders>
          </w:tcPr>
          <w:p w14:paraId="4363BF7D">
            <w:pPr>
              <w:pStyle w:val="25"/>
              <w:kinsoku w:val="0"/>
              <w:overflowPunct w:val="0"/>
              <w:spacing w:line="261" w:lineRule="exact"/>
              <w:ind w:left="67"/>
              <w:rPr>
                <w:rFonts w:hint="default" w:ascii="Times New Roman" w:eastAsia="Times New Roman"/>
                <w:color w:val="auto"/>
              </w:rPr>
            </w:pPr>
          </w:p>
        </w:tc>
        <w:tc>
          <w:tcPr>
            <w:tcW w:w="136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10C68CC2">
            <w:pPr>
              <w:pStyle w:val="25"/>
              <w:kinsoku w:val="0"/>
              <w:overflowPunct w:val="0"/>
              <w:spacing w:line="273" w:lineRule="auto"/>
              <w:ind w:left="67" w:right="66"/>
              <w:jc w:val="center"/>
              <w:rPr>
                <w:rFonts w:hint="eastAsia" w:ascii="宋体" w:hAnsi="Times New Roman" w:eastAsia="宋体" w:cs="宋体"/>
                <w:color w:val="auto"/>
                <w:sz w:val="21"/>
                <w:szCs w:val="21"/>
                <w:lang w:val="en-US" w:eastAsia="zh-CN"/>
              </w:rPr>
            </w:pPr>
            <w:r>
              <w:rPr>
                <w:rFonts w:hint="eastAsia" w:ascii="宋体" w:hAnsi="Times New Roman" w:eastAsia="宋体" w:cs="宋体"/>
                <w:color w:val="auto"/>
                <w:sz w:val="21"/>
                <w:szCs w:val="21"/>
                <w:lang w:val="en-US" w:eastAsia="zh-CN"/>
              </w:rPr>
              <w:t>投标有效期</w:t>
            </w:r>
          </w:p>
        </w:tc>
        <w:tc>
          <w:tcPr>
            <w:tcW w:w="5317" w:type="dxa"/>
            <w:tcBorders>
              <w:top w:val="single" w:color="000000" w:sz="4" w:space="0"/>
              <w:left w:val="single" w:color="000000" w:sz="4" w:space="0"/>
              <w:bottom w:val="single" w:color="000000" w:sz="4" w:space="0"/>
              <w:right w:val="single" w:color="000000" w:sz="4" w:space="0"/>
              <w:tl2br w:val="nil"/>
              <w:tr2bl w:val="nil"/>
            </w:tcBorders>
            <w:vAlign w:val="center"/>
          </w:tcPr>
          <w:p w14:paraId="4EB12E68">
            <w:pPr>
              <w:pStyle w:val="25"/>
              <w:kinsoku w:val="0"/>
              <w:overflowPunct w:val="0"/>
              <w:spacing w:line="273" w:lineRule="auto"/>
              <w:ind w:left="67" w:right="66"/>
              <w:jc w:val="both"/>
              <w:rPr>
                <w:rFonts w:hint="eastAsia" w:ascii="宋体" w:hAnsi="Times New Roman" w:eastAsia="宋体" w:cs="宋体"/>
                <w:color w:val="auto"/>
                <w:sz w:val="21"/>
                <w:szCs w:val="21"/>
                <w:lang w:val="en-US" w:eastAsia="zh-CN"/>
              </w:rPr>
            </w:pPr>
            <w:r>
              <w:rPr>
                <w:rFonts w:hint="eastAsia" w:ascii="宋体" w:hAnsi="Times New Roman" w:eastAsia="宋体" w:cs="宋体"/>
                <w:color w:val="auto"/>
                <w:sz w:val="21"/>
                <w:szCs w:val="21"/>
                <w:lang w:val="en-US" w:eastAsia="zh-CN"/>
              </w:rPr>
              <w:t>是否符合招标文件规定按要求提供</w:t>
            </w:r>
          </w:p>
        </w:tc>
        <w:tc>
          <w:tcPr>
            <w:tcW w:w="368" w:type="dxa"/>
            <w:tcBorders>
              <w:top w:val="single" w:color="000000" w:sz="4" w:space="0"/>
              <w:left w:val="single" w:color="000000" w:sz="4" w:space="0"/>
              <w:bottom w:val="single" w:color="000000" w:sz="4" w:space="0"/>
              <w:right w:val="single" w:color="000000" w:sz="4" w:space="0"/>
              <w:tl2br w:val="nil"/>
              <w:tr2bl w:val="nil"/>
            </w:tcBorders>
          </w:tcPr>
          <w:p w14:paraId="77D7355F">
            <w:pPr>
              <w:rPr>
                <w:rFonts w:hint="default" w:ascii="Times New Roman" w:eastAsia="Times New Roman"/>
                <w:color w:val="auto"/>
              </w:rPr>
            </w:pPr>
          </w:p>
        </w:tc>
        <w:tc>
          <w:tcPr>
            <w:tcW w:w="369" w:type="dxa"/>
            <w:gridSpan w:val="2"/>
            <w:tcBorders>
              <w:top w:val="single" w:color="000000" w:sz="4" w:space="0"/>
              <w:left w:val="single" w:color="000000" w:sz="4" w:space="0"/>
              <w:bottom w:val="single" w:color="000000" w:sz="4" w:space="0"/>
              <w:tl2br w:val="nil"/>
              <w:tr2bl w:val="nil"/>
            </w:tcBorders>
          </w:tcPr>
          <w:p w14:paraId="6A6F6E67">
            <w:pPr>
              <w:rPr>
                <w:rFonts w:hint="default" w:ascii="Times New Roman" w:eastAsia="Times New Roman"/>
                <w:color w:val="auto"/>
              </w:rPr>
            </w:pPr>
          </w:p>
        </w:tc>
      </w:tr>
      <w:tr w14:paraId="6195188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735" w:hRule="exact"/>
        </w:trPr>
        <w:tc>
          <w:tcPr>
            <w:tcW w:w="456" w:type="dxa"/>
            <w:vMerge w:val="continue"/>
            <w:tcBorders>
              <w:top w:val="single" w:color="000000" w:sz="4" w:space="0"/>
              <w:bottom w:val="single" w:color="000000" w:sz="4" w:space="0"/>
              <w:right w:val="single" w:color="000000" w:sz="4" w:space="0"/>
              <w:tl2br w:val="nil"/>
              <w:tr2bl w:val="nil"/>
            </w:tcBorders>
          </w:tcPr>
          <w:p w14:paraId="05CDAC7C">
            <w:pPr>
              <w:rPr>
                <w:rFonts w:hint="default" w:ascii="Times New Roman" w:eastAsia="Times New Roman"/>
                <w:color w:val="auto"/>
              </w:rPr>
            </w:pPr>
          </w:p>
        </w:tc>
        <w:tc>
          <w:tcPr>
            <w:tcW w:w="836" w:type="dxa"/>
            <w:vMerge w:val="continue"/>
            <w:tcBorders>
              <w:left w:val="single" w:color="000000" w:sz="4" w:space="0"/>
              <w:right w:val="single" w:color="000000" w:sz="4" w:space="0"/>
              <w:tl2br w:val="nil"/>
              <w:tr2bl w:val="nil"/>
            </w:tcBorders>
          </w:tcPr>
          <w:p w14:paraId="7AB7BE1E">
            <w:pPr>
              <w:rPr>
                <w:rFonts w:hint="default" w:ascii="Times New Roman" w:eastAsia="Times New Roman"/>
                <w:color w:val="auto"/>
              </w:rPr>
            </w:pPr>
          </w:p>
        </w:tc>
        <w:tc>
          <w:tcPr>
            <w:tcW w:w="1364" w:type="dxa"/>
            <w:gridSpan w:val="3"/>
            <w:tcBorders>
              <w:top w:val="single" w:color="000000" w:sz="4" w:space="0"/>
              <w:left w:val="single" w:color="000000" w:sz="4" w:space="0"/>
              <w:bottom w:val="nil"/>
              <w:right w:val="single" w:color="000000" w:sz="4" w:space="0"/>
              <w:tl2br w:val="nil"/>
              <w:tr2bl w:val="nil"/>
            </w:tcBorders>
            <w:vAlign w:val="center"/>
          </w:tcPr>
          <w:p w14:paraId="57EDEF6A">
            <w:pPr>
              <w:pStyle w:val="25"/>
              <w:kinsoku w:val="0"/>
              <w:overflowPunct w:val="0"/>
              <w:spacing w:line="273" w:lineRule="auto"/>
              <w:ind w:left="67" w:right="66"/>
              <w:jc w:val="center"/>
              <w:rPr>
                <w:rFonts w:hint="default" w:cs="宋体"/>
                <w:color w:val="auto"/>
                <w:sz w:val="21"/>
                <w:szCs w:val="21"/>
                <w:lang w:val="en-US" w:eastAsia="zh-CN"/>
              </w:rPr>
            </w:pPr>
            <w:r>
              <w:rPr>
                <w:rFonts w:hint="eastAsia" w:cs="宋体"/>
                <w:color w:val="auto"/>
                <w:sz w:val="21"/>
                <w:szCs w:val="21"/>
                <w:lang w:val="en-US" w:eastAsia="zh-CN"/>
              </w:rPr>
              <w:t>商务响应</w:t>
            </w:r>
          </w:p>
        </w:tc>
        <w:tc>
          <w:tcPr>
            <w:tcW w:w="5317" w:type="dxa"/>
            <w:tcBorders>
              <w:top w:val="single" w:color="000000" w:sz="4" w:space="0"/>
              <w:left w:val="single" w:color="000000" w:sz="4" w:space="0"/>
              <w:bottom w:val="nil"/>
              <w:right w:val="single" w:color="000000" w:sz="4" w:space="0"/>
              <w:tl2br w:val="nil"/>
              <w:tr2bl w:val="nil"/>
            </w:tcBorders>
            <w:vAlign w:val="center"/>
          </w:tcPr>
          <w:p w14:paraId="689510CB">
            <w:pPr>
              <w:pStyle w:val="25"/>
              <w:kinsoku w:val="0"/>
              <w:overflowPunct w:val="0"/>
              <w:spacing w:before="150"/>
              <w:ind w:left="67"/>
              <w:jc w:val="both"/>
              <w:rPr>
                <w:rFonts w:hint="default" w:cs="宋体"/>
                <w:color w:val="auto"/>
                <w:spacing w:val="-4"/>
                <w:sz w:val="21"/>
                <w:szCs w:val="21"/>
              </w:rPr>
            </w:pPr>
            <w:r>
              <w:rPr>
                <w:rFonts w:hint="eastAsia" w:cs="宋体"/>
                <w:color w:val="auto"/>
                <w:spacing w:val="-4"/>
                <w:sz w:val="21"/>
                <w:szCs w:val="21"/>
                <w:lang w:val="en-US" w:eastAsia="zh-CN"/>
              </w:rPr>
              <w:t>交付</w:t>
            </w:r>
            <w:r>
              <w:rPr>
                <w:rFonts w:cs="宋体"/>
                <w:color w:val="auto"/>
                <w:spacing w:val="-4"/>
                <w:sz w:val="21"/>
                <w:szCs w:val="21"/>
              </w:rPr>
              <w:t>标准、</w:t>
            </w:r>
            <w:r>
              <w:rPr>
                <w:rFonts w:hint="eastAsia" w:cs="宋体"/>
                <w:color w:val="auto"/>
                <w:spacing w:val="-4"/>
                <w:sz w:val="21"/>
                <w:szCs w:val="21"/>
                <w:lang w:val="en-US" w:eastAsia="zh-CN"/>
              </w:rPr>
              <w:t>质保期限</w:t>
            </w:r>
            <w:r>
              <w:rPr>
                <w:rFonts w:cs="宋体"/>
                <w:color w:val="auto"/>
                <w:spacing w:val="-4"/>
                <w:sz w:val="21"/>
                <w:szCs w:val="21"/>
              </w:rPr>
              <w:t>、售后服务、付款方式、服务地点满足采购文件需求</w:t>
            </w:r>
          </w:p>
        </w:tc>
        <w:tc>
          <w:tcPr>
            <w:tcW w:w="368" w:type="dxa"/>
            <w:tcBorders>
              <w:top w:val="single" w:color="000000" w:sz="4" w:space="0"/>
              <w:left w:val="single" w:color="000000" w:sz="4" w:space="0"/>
              <w:bottom w:val="single" w:color="000000" w:sz="4" w:space="0"/>
              <w:right w:val="single" w:color="000000" w:sz="4" w:space="0"/>
              <w:tl2br w:val="nil"/>
              <w:tr2bl w:val="nil"/>
            </w:tcBorders>
          </w:tcPr>
          <w:p w14:paraId="2C881EB0">
            <w:pPr>
              <w:rPr>
                <w:rFonts w:hint="default" w:ascii="Times New Roman" w:eastAsia="Times New Roman"/>
                <w:color w:val="auto"/>
              </w:rPr>
            </w:pPr>
          </w:p>
        </w:tc>
        <w:tc>
          <w:tcPr>
            <w:tcW w:w="369" w:type="dxa"/>
            <w:gridSpan w:val="2"/>
            <w:tcBorders>
              <w:top w:val="single" w:color="000000" w:sz="4" w:space="0"/>
              <w:left w:val="single" w:color="000000" w:sz="4" w:space="0"/>
              <w:bottom w:val="single" w:color="000000" w:sz="4" w:space="0"/>
              <w:tl2br w:val="nil"/>
              <w:tr2bl w:val="nil"/>
            </w:tcBorders>
          </w:tcPr>
          <w:p w14:paraId="4B47131A">
            <w:pPr>
              <w:rPr>
                <w:rFonts w:hint="default" w:ascii="Times New Roman" w:eastAsia="Times New Roman"/>
                <w:color w:val="auto"/>
              </w:rPr>
            </w:pPr>
          </w:p>
        </w:tc>
      </w:tr>
      <w:tr w14:paraId="1A52B7F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gridAfter w:val="1"/>
          <w:wAfter w:w="297" w:type="dxa"/>
          <w:trHeight w:val="1077" w:hRule="exact"/>
        </w:trPr>
        <w:tc>
          <w:tcPr>
            <w:tcW w:w="456" w:type="dxa"/>
            <w:vMerge w:val="continue"/>
            <w:tcBorders>
              <w:top w:val="single" w:color="000000" w:sz="4" w:space="0"/>
              <w:right w:val="single" w:color="000000" w:sz="4" w:space="0"/>
              <w:tl2br w:val="nil"/>
              <w:tr2bl w:val="nil"/>
            </w:tcBorders>
          </w:tcPr>
          <w:p w14:paraId="7C68C936">
            <w:pPr>
              <w:pStyle w:val="25"/>
              <w:kinsoku w:val="0"/>
              <w:overflowPunct w:val="0"/>
              <w:spacing w:before="30"/>
              <w:ind w:left="67"/>
              <w:rPr>
                <w:rFonts w:hint="default" w:ascii="Times New Roman" w:eastAsia="Times New Roman"/>
                <w:color w:val="auto"/>
              </w:rPr>
            </w:pPr>
          </w:p>
        </w:tc>
        <w:tc>
          <w:tcPr>
            <w:tcW w:w="836" w:type="dxa"/>
            <w:vMerge w:val="continue"/>
            <w:tcBorders>
              <w:left w:val="single" w:color="000000" w:sz="4" w:space="0"/>
              <w:right w:val="single" w:color="000000" w:sz="4" w:space="0"/>
              <w:tl2br w:val="nil"/>
              <w:tr2bl w:val="nil"/>
            </w:tcBorders>
          </w:tcPr>
          <w:p w14:paraId="4F70E93A">
            <w:pPr>
              <w:pStyle w:val="25"/>
              <w:kinsoku w:val="0"/>
              <w:overflowPunct w:val="0"/>
              <w:spacing w:before="30"/>
              <w:ind w:left="67"/>
              <w:rPr>
                <w:rFonts w:hint="default" w:ascii="Times New Roman" w:eastAsia="Times New Roman"/>
                <w:color w:val="auto"/>
              </w:rPr>
            </w:pPr>
          </w:p>
        </w:tc>
        <w:tc>
          <w:tcPr>
            <w:tcW w:w="1364" w:type="dxa"/>
            <w:gridSpan w:val="3"/>
            <w:tcBorders>
              <w:top w:val="single" w:color="000000" w:sz="4" w:space="0"/>
              <w:left w:val="single" w:color="000000" w:sz="4" w:space="0"/>
              <w:right w:val="single" w:color="000000" w:sz="4" w:space="0"/>
              <w:tl2br w:val="nil"/>
              <w:tr2bl w:val="nil"/>
            </w:tcBorders>
            <w:vAlign w:val="center"/>
          </w:tcPr>
          <w:p w14:paraId="67CEC1A6">
            <w:pPr>
              <w:pStyle w:val="25"/>
              <w:kinsoku w:val="0"/>
              <w:overflowPunct w:val="0"/>
              <w:spacing w:line="273" w:lineRule="auto"/>
              <w:ind w:left="67" w:right="66"/>
              <w:jc w:val="center"/>
              <w:rPr>
                <w:rFonts w:hint="default" w:cs="宋体"/>
                <w:color w:val="auto"/>
                <w:sz w:val="21"/>
                <w:szCs w:val="21"/>
                <w:lang w:val="en-US" w:eastAsia="zh-CN"/>
              </w:rPr>
            </w:pPr>
            <w:r>
              <w:rPr>
                <w:rFonts w:hint="eastAsia" w:cs="宋体"/>
                <w:color w:val="auto"/>
                <w:sz w:val="21"/>
                <w:szCs w:val="21"/>
                <w:lang w:val="en-US" w:eastAsia="zh-CN"/>
              </w:rPr>
              <w:t>其他要求</w:t>
            </w:r>
          </w:p>
        </w:tc>
        <w:tc>
          <w:tcPr>
            <w:tcW w:w="5317" w:type="dxa"/>
            <w:tcBorders>
              <w:top w:val="single" w:color="000000" w:sz="4" w:space="0"/>
              <w:left w:val="single" w:color="000000" w:sz="4" w:space="0"/>
              <w:right w:val="single" w:color="000000" w:sz="4" w:space="0"/>
              <w:tl2br w:val="nil"/>
              <w:tr2bl w:val="nil"/>
            </w:tcBorders>
            <w:vAlign w:val="center"/>
          </w:tcPr>
          <w:p w14:paraId="5DD9B4C1">
            <w:pPr>
              <w:pStyle w:val="25"/>
              <w:kinsoku w:val="0"/>
              <w:overflowPunct w:val="0"/>
              <w:spacing w:before="150"/>
              <w:ind w:left="67"/>
              <w:jc w:val="both"/>
              <w:rPr>
                <w:rFonts w:hint="default" w:ascii="Times New Roman" w:eastAsia="Times New Roman"/>
                <w:color w:val="auto"/>
              </w:rPr>
            </w:pPr>
            <w:r>
              <w:rPr>
                <w:rFonts w:cs="宋体"/>
                <w:color w:val="auto"/>
                <w:spacing w:val="-4"/>
                <w:sz w:val="21"/>
                <w:szCs w:val="21"/>
              </w:rPr>
              <w:t>投标文件未附有采购人不能接受的条件或不符合招标文件的</w:t>
            </w:r>
            <w:r>
              <w:rPr>
                <w:rFonts w:cs="宋体"/>
                <w:color w:val="auto"/>
                <w:sz w:val="21"/>
                <w:szCs w:val="21"/>
              </w:rPr>
              <w:t>其他要求</w:t>
            </w:r>
          </w:p>
        </w:tc>
        <w:tc>
          <w:tcPr>
            <w:tcW w:w="368" w:type="dxa"/>
            <w:tcBorders>
              <w:top w:val="single" w:color="000000" w:sz="4" w:space="0"/>
              <w:left w:val="single" w:color="000000" w:sz="4" w:space="0"/>
              <w:right w:val="single" w:color="000000" w:sz="4" w:space="0"/>
              <w:tl2br w:val="nil"/>
              <w:tr2bl w:val="nil"/>
            </w:tcBorders>
          </w:tcPr>
          <w:p w14:paraId="0997F6EF">
            <w:pPr>
              <w:rPr>
                <w:rFonts w:hint="default" w:ascii="Times New Roman" w:eastAsia="Times New Roman"/>
                <w:color w:val="auto"/>
              </w:rPr>
            </w:pPr>
          </w:p>
        </w:tc>
        <w:tc>
          <w:tcPr>
            <w:tcW w:w="369" w:type="dxa"/>
            <w:gridSpan w:val="2"/>
            <w:tcBorders>
              <w:top w:val="single" w:color="000000" w:sz="4" w:space="0"/>
              <w:left w:val="single" w:color="000000" w:sz="4" w:space="0"/>
              <w:tl2br w:val="nil"/>
              <w:tr2bl w:val="nil"/>
            </w:tcBorders>
          </w:tcPr>
          <w:p w14:paraId="1AFAD07A">
            <w:pPr>
              <w:rPr>
                <w:rFonts w:hint="default" w:ascii="Times New Roman" w:eastAsia="Times New Roman"/>
                <w:color w:val="auto"/>
              </w:rPr>
            </w:pPr>
          </w:p>
        </w:tc>
      </w:tr>
    </w:tbl>
    <w:p w14:paraId="4D2C9DCB">
      <w:pPr>
        <w:rPr>
          <w:rFonts w:hint="default" w:ascii="Times New Roman" w:eastAsia="Times New Roman"/>
          <w:color w:val="auto"/>
        </w:rPr>
        <w:sectPr>
          <w:footerReference r:id="rId11" w:type="default"/>
          <w:pgSz w:w="11910" w:h="16840"/>
          <w:pgMar w:top="1340" w:right="1560" w:bottom="1580" w:left="1400" w:header="0" w:footer="1395" w:gutter="0"/>
          <w:cols w:space="720" w:num="1"/>
        </w:sectPr>
      </w:pPr>
    </w:p>
    <w:p w14:paraId="38937D43">
      <w:pPr>
        <w:tabs>
          <w:tab w:val="left" w:pos="0"/>
        </w:tabs>
        <w:snapToGrid w:val="0"/>
        <w:spacing w:before="120" w:beforeLines="50" w:line="360" w:lineRule="auto"/>
        <w:rPr>
          <w:rFonts w:hint="default" w:hAnsi="宋体"/>
          <w:b/>
          <w:color w:val="auto"/>
          <w:szCs w:val="21"/>
        </w:rPr>
      </w:pPr>
      <w:r>
        <w:rPr>
          <w:rFonts w:hAnsi="宋体"/>
          <w:b/>
          <w:color w:val="auto"/>
          <w:szCs w:val="21"/>
        </w:rPr>
        <w:t>具体评分细则如下：</w:t>
      </w:r>
    </w:p>
    <w:tbl>
      <w:tblPr>
        <w:tblStyle w:val="20"/>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6701"/>
        <w:gridCol w:w="1115"/>
      </w:tblGrid>
      <w:tr w14:paraId="2837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trPr>
        <w:tc>
          <w:tcPr>
            <w:tcW w:w="1364" w:type="dxa"/>
            <w:vAlign w:val="center"/>
          </w:tcPr>
          <w:p w14:paraId="4B8805B9">
            <w:pPr>
              <w:pStyle w:val="12"/>
              <w:snapToGrid w:val="0"/>
              <w:spacing w:line="240" w:lineRule="exact"/>
              <w:jc w:val="center"/>
              <w:rPr>
                <w:rFonts w:hAnsi="宋体" w:cs="Courier New"/>
                <w:b/>
                <w:color w:val="auto"/>
                <w:szCs w:val="21"/>
              </w:rPr>
            </w:pPr>
            <w:r>
              <w:rPr>
                <w:rFonts w:hint="eastAsia" w:hAnsi="宋体" w:cs="Courier New"/>
                <w:b/>
                <w:color w:val="auto"/>
                <w:szCs w:val="21"/>
              </w:rPr>
              <w:t>项目</w:t>
            </w:r>
          </w:p>
        </w:tc>
        <w:tc>
          <w:tcPr>
            <w:tcW w:w="6701" w:type="dxa"/>
            <w:vAlign w:val="center"/>
          </w:tcPr>
          <w:p w14:paraId="50683938">
            <w:pPr>
              <w:pStyle w:val="12"/>
              <w:snapToGrid w:val="0"/>
              <w:spacing w:line="240" w:lineRule="exact"/>
              <w:jc w:val="center"/>
              <w:rPr>
                <w:rFonts w:hAnsi="宋体" w:cs="Courier New"/>
                <w:b/>
                <w:color w:val="auto"/>
                <w:szCs w:val="21"/>
              </w:rPr>
            </w:pPr>
            <w:r>
              <w:rPr>
                <w:rFonts w:hint="eastAsia" w:hAnsi="宋体" w:cs="Courier New"/>
                <w:b/>
                <w:color w:val="auto"/>
                <w:szCs w:val="21"/>
              </w:rPr>
              <w:t>评审内容</w:t>
            </w:r>
          </w:p>
        </w:tc>
        <w:tc>
          <w:tcPr>
            <w:tcW w:w="1115" w:type="dxa"/>
            <w:vAlign w:val="center"/>
          </w:tcPr>
          <w:p w14:paraId="707F4E51">
            <w:pPr>
              <w:pStyle w:val="12"/>
              <w:snapToGrid w:val="0"/>
              <w:spacing w:line="240" w:lineRule="exact"/>
              <w:jc w:val="center"/>
              <w:rPr>
                <w:rFonts w:hAnsi="宋体" w:cs="Courier New"/>
                <w:b/>
                <w:color w:val="auto"/>
                <w:szCs w:val="21"/>
              </w:rPr>
            </w:pPr>
            <w:r>
              <w:rPr>
                <w:rFonts w:hint="eastAsia" w:hAnsi="宋体" w:cs="Courier New"/>
                <w:b/>
                <w:color w:val="auto"/>
                <w:szCs w:val="21"/>
              </w:rPr>
              <w:t>分值</w:t>
            </w:r>
          </w:p>
        </w:tc>
      </w:tr>
      <w:tr w14:paraId="50FA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180" w:type="dxa"/>
            <w:gridSpan w:val="3"/>
            <w:vAlign w:val="center"/>
          </w:tcPr>
          <w:p w14:paraId="00B4FB3B">
            <w:pPr>
              <w:pStyle w:val="12"/>
              <w:snapToGrid w:val="0"/>
              <w:spacing w:line="240" w:lineRule="exact"/>
              <w:rPr>
                <w:rFonts w:hAnsi="宋体" w:cs="Courier New"/>
                <w:b/>
                <w:color w:val="auto"/>
                <w:szCs w:val="21"/>
              </w:rPr>
            </w:pPr>
            <w:r>
              <w:rPr>
                <w:rFonts w:hint="eastAsia" w:hAnsi="宋体" w:cs="Courier New"/>
                <w:b/>
                <w:color w:val="auto"/>
                <w:szCs w:val="21"/>
              </w:rPr>
              <w:t>价格评分30分</w:t>
            </w:r>
          </w:p>
        </w:tc>
      </w:tr>
      <w:tr w14:paraId="6402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1364" w:type="dxa"/>
            <w:vAlign w:val="center"/>
          </w:tcPr>
          <w:p w14:paraId="301A8447">
            <w:pPr>
              <w:pStyle w:val="12"/>
              <w:snapToGrid w:val="0"/>
              <w:spacing w:line="240" w:lineRule="exact"/>
              <w:jc w:val="center"/>
              <w:rPr>
                <w:rFonts w:hAnsi="宋体" w:cs="Courier New"/>
                <w:b w:val="0"/>
                <w:bCs w:val="0"/>
                <w:color w:val="auto"/>
                <w:szCs w:val="21"/>
              </w:rPr>
            </w:pPr>
            <w:r>
              <w:rPr>
                <w:rFonts w:hint="eastAsia" w:hAnsi="宋体" w:cs="Courier New"/>
                <w:b w:val="0"/>
                <w:bCs w:val="0"/>
                <w:color w:val="auto"/>
                <w:szCs w:val="21"/>
              </w:rPr>
              <w:t>价格</w:t>
            </w:r>
          </w:p>
        </w:tc>
        <w:tc>
          <w:tcPr>
            <w:tcW w:w="6701" w:type="dxa"/>
            <w:vAlign w:val="center"/>
          </w:tcPr>
          <w:p w14:paraId="2D7299D4">
            <w:pPr>
              <w:pStyle w:val="12"/>
              <w:snapToGrid w:val="0"/>
              <w:spacing w:line="320" w:lineRule="exact"/>
              <w:rPr>
                <w:rFonts w:hAnsi="宋体" w:cs="Courier New"/>
                <w:b w:val="0"/>
                <w:bCs w:val="0"/>
                <w:color w:val="auto"/>
                <w:szCs w:val="21"/>
              </w:rPr>
            </w:pPr>
            <w:r>
              <w:rPr>
                <w:rFonts w:hint="eastAsia" w:hAnsi="宋体" w:cs="Courier New"/>
                <w:b w:val="0"/>
                <w:bCs w:val="0"/>
                <w:color w:val="auto"/>
                <w:szCs w:val="21"/>
              </w:rPr>
              <w:t>报价得分=基准价/最终报价×30。</w:t>
            </w:r>
          </w:p>
          <w:p w14:paraId="6F0ED2F8">
            <w:pPr>
              <w:pStyle w:val="12"/>
              <w:snapToGrid w:val="0"/>
              <w:spacing w:line="320" w:lineRule="exact"/>
              <w:rPr>
                <w:rFonts w:hAnsi="宋体" w:cs="Courier New"/>
                <w:b w:val="0"/>
                <w:bCs w:val="0"/>
                <w:color w:val="auto"/>
                <w:szCs w:val="21"/>
              </w:rPr>
            </w:pPr>
            <w:r>
              <w:rPr>
                <w:rFonts w:hint="eastAsia" w:hAnsi="宋体" w:cs="Courier New"/>
                <w:b w:val="0"/>
                <w:bCs w:val="0"/>
                <w:color w:val="auto"/>
                <w:szCs w:val="21"/>
              </w:rPr>
              <w:t>备注：</w:t>
            </w:r>
          </w:p>
          <w:p w14:paraId="23F290A7">
            <w:pPr>
              <w:pStyle w:val="12"/>
              <w:snapToGrid w:val="0"/>
              <w:spacing w:line="320" w:lineRule="exact"/>
              <w:rPr>
                <w:rFonts w:hAnsi="宋体" w:cs="Courier New"/>
                <w:b w:val="0"/>
                <w:bCs w:val="0"/>
                <w:color w:val="auto"/>
                <w:szCs w:val="21"/>
              </w:rPr>
            </w:pPr>
            <w:r>
              <w:rPr>
                <w:rFonts w:hint="eastAsia" w:hAnsi="宋体" w:cs="Courier New"/>
                <w:b w:val="0"/>
                <w:bCs w:val="0"/>
                <w:color w:val="auto"/>
                <w:szCs w:val="21"/>
              </w:rPr>
              <w:t>1.价格评分采用低价优先法计算；</w:t>
            </w:r>
          </w:p>
          <w:p w14:paraId="565A4FBF">
            <w:pPr>
              <w:pStyle w:val="12"/>
              <w:snapToGrid w:val="0"/>
              <w:spacing w:line="320" w:lineRule="exact"/>
              <w:rPr>
                <w:rFonts w:hAnsi="宋体" w:cs="Courier New"/>
                <w:b w:val="0"/>
                <w:bCs w:val="0"/>
                <w:color w:val="auto"/>
                <w:szCs w:val="21"/>
              </w:rPr>
            </w:pPr>
            <w:r>
              <w:rPr>
                <w:rFonts w:hint="eastAsia" w:hAnsi="宋体" w:cs="Courier New"/>
                <w:b w:val="0"/>
                <w:bCs w:val="0"/>
                <w:color w:val="auto"/>
                <w:szCs w:val="21"/>
              </w:rPr>
              <w:t>2.基准价：满足文件要求且经算术修正，依据政府采购政策进行价格扣除后的有效最低报价为基准价；</w:t>
            </w:r>
          </w:p>
          <w:p w14:paraId="56669BC0">
            <w:pPr>
              <w:pStyle w:val="12"/>
              <w:snapToGrid w:val="0"/>
              <w:spacing w:line="320" w:lineRule="exact"/>
              <w:rPr>
                <w:rFonts w:hAnsi="宋体" w:cs="Courier New"/>
                <w:b w:val="0"/>
                <w:bCs w:val="0"/>
                <w:color w:val="auto"/>
                <w:szCs w:val="21"/>
              </w:rPr>
            </w:pPr>
            <w:r>
              <w:rPr>
                <w:rFonts w:hint="eastAsia" w:hAnsi="宋体" w:cs="Courier New"/>
                <w:b w:val="0"/>
                <w:bCs w:val="0"/>
                <w:color w:val="auto"/>
                <w:szCs w:val="21"/>
              </w:rPr>
              <w:t>3.修正后报价：评标委员会以开标一览表中报价为基础，对其进行算术修正，依据政府采购政策进行价格扣除后，作为报价计算的依据。</w:t>
            </w:r>
          </w:p>
          <w:p w14:paraId="61F2D72B">
            <w:pPr>
              <w:pStyle w:val="12"/>
              <w:snapToGrid w:val="0"/>
              <w:spacing w:line="320" w:lineRule="exact"/>
              <w:rPr>
                <w:rFonts w:hAnsi="宋体" w:cs="Courier New"/>
                <w:b w:val="0"/>
                <w:bCs w:val="0"/>
                <w:color w:val="auto"/>
                <w:szCs w:val="21"/>
              </w:rPr>
            </w:pPr>
            <w:r>
              <w:rPr>
                <w:rFonts w:hint="eastAsia" w:hAnsi="宋体" w:cs="Courier New"/>
                <w:b w:val="0"/>
                <w:bCs w:val="0"/>
                <w:color w:val="auto"/>
                <w:szCs w:val="21"/>
              </w:rPr>
              <w:t>4.报价30分。</w:t>
            </w:r>
          </w:p>
        </w:tc>
        <w:tc>
          <w:tcPr>
            <w:tcW w:w="1115" w:type="dxa"/>
            <w:vAlign w:val="center"/>
          </w:tcPr>
          <w:p w14:paraId="17074BDA">
            <w:pPr>
              <w:pStyle w:val="12"/>
              <w:snapToGrid w:val="0"/>
              <w:spacing w:line="240" w:lineRule="exact"/>
              <w:jc w:val="center"/>
              <w:rPr>
                <w:rFonts w:hAnsi="宋体" w:cs="Courier New"/>
                <w:b w:val="0"/>
                <w:bCs w:val="0"/>
                <w:color w:val="auto"/>
                <w:szCs w:val="21"/>
              </w:rPr>
            </w:pPr>
            <w:r>
              <w:rPr>
                <w:rFonts w:hint="eastAsia" w:hAnsi="宋体" w:cs="Courier New"/>
                <w:b w:val="0"/>
                <w:bCs w:val="0"/>
                <w:color w:val="auto"/>
                <w:szCs w:val="21"/>
              </w:rPr>
              <w:t>30分</w:t>
            </w:r>
          </w:p>
        </w:tc>
      </w:tr>
      <w:tr w14:paraId="5D7F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180" w:type="dxa"/>
            <w:gridSpan w:val="3"/>
            <w:vAlign w:val="center"/>
          </w:tcPr>
          <w:p w14:paraId="63C2E84B">
            <w:pPr>
              <w:widowControl/>
              <w:spacing w:line="240" w:lineRule="exact"/>
              <w:rPr>
                <w:rFonts w:hint="eastAsia" w:ascii="宋体" w:hAnsi="宋体" w:eastAsia="宋体" w:cs="Times New Roman"/>
                <w:b w:val="0"/>
                <w:bCs w:val="0"/>
                <w:color w:val="auto"/>
                <w:szCs w:val="21"/>
                <w:highlight w:val="none"/>
                <w:lang w:val="en-US" w:eastAsia="zh-CN"/>
              </w:rPr>
            </w:pPr>
            <w:r>
              <w:rPr>
                <w:rFonts w:hAnsi="宋体"/>
                <w:b w:val="0"/>
                <w:bCs w:val="0"/>
                <w:color w:val="auto"/>
                <w:szCs w:val="21"/>
                <w:highlight w:val="none"/>
              </w:rPr>
              <w:t>属于中小企业评审优惠内容及价格扣除幅度</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价格给予10 %的扣除。</w:t>
            </w:r>
            <w:r>
              <w:rPr>
                <w:rFonts w:hint="eastAsia" w:ascii="宋体" w:hAnsi="宋体" w:eastAsia="宋体" w:cs="Times New Roman"/>
                <w:b w:val="0"/>
                <w:bCs w:val="0"/>
                <w:color w:val="auto"/>
                <w:szCs w:val="21"/>
                <w:highlight w:val="none"/>
                <w:lang w:val="en-US" w:eastAsia="zh-CN"/>
              </w:rPr>
              <w:t>）</w:t>
            </w:r>
          </w:p>
          <w:p w14:paraId="767B0A04">
            <w:pPr>
              <w:pStyle w:val="23"/>
              <w:ind w:left="0" w:leftChars="0" w:firstLine="0" w:firstLineChars="0"/>
              <w:rPr>
                <w:rFonts w:hint="default"/>
                <w:b w:val="0"/>
                <w:bCs w:val="0"/>
                <w:lang w:val="en-US" w:eastAsia="zh-CN"/>
              </w:rPr>
            </w:pPr>
            <w:r>
              <w:rPr>
                <w:rFonts w:hint="eastAsia" w:ascii="宋体" w:hAnsi="宋体" w:eastAsia="宋体" w:cs="Times New Roman"/>
                <w:b/>
                <w:bCs/>
                <w:color w:val="auto"/>
                <w:szCs w:val="21"/>
                <w:highlight w:val="none"/>
                <w:lang w:val="en-US" w:eastAsia="zh-CN"/>
              </w:rPr>
              <w:t>本项目为专门面向中小微企业，不再做价格扣除。</w:t>
            </w:r>
          </w:p>
        </w:tc>
      </w:tr>
    </w:tbl>
    <w:p w14:paraId="38B26A3D">
      <w:pPr>
        <w:spacing w:before="192"/>
        <w:ind w:left="408"/>
        <w:rPr>
          <w:rFonts w:hint="default"/>
          <w:b/>
          <w:color w:val="auto"/>
        </w:rPr>
      </w:pPr>
      <w:r>
        <w:rPr>
          <w:b/>
          <w:color w:val="auto"/>
        </w:rPr>
        <w:t>技术部分（</w:t>
      </w:r>
      <w:r>
        <w:rPr>
          <w:rFonts w:hint="eastAsia"/>
          <w:b/>
          <w:color w:val="auto"/>
          <w:lang w:val="en-US" w:eastAsia="zh-CN"/>
        </w:rPr>
        <w:t>64</w:t>
      </w:r>
      <w:r>
        <w:rPr>
          <w:b/>
          <w:color w:val="auto"/>
        </w:rPr>
        <w:t>分）</w:t>
      </w:r>
    </w:p>
    <w:tbl>
      <w:tblPr>
        <w:tblStyle w:val="20"/>
        <w:tblpPr w:leftFromText="180" w:rightFromText="180" w:vertAnchor="text" w:horzAnchor="page" w:tblpXSpec="center" w:tblpY="115"/>
        <w:tblOverlap w:val="never"/>
        <w:tblW w:w="90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1"/>
        <w:gridCol w:w="1139"/>
        <w:gridCol w:w="5813"/>
      </w:tblGrid>
      <w:tr w14:paraId="57B9D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61" w:type="dxa"/>
            <w:tcBorders>
              <w:top w:val="single" w:color="000000" w:sz="8" w:space="0"/>
              <w:left w:val="single" w:color="000000" w:sz="8" w:space="0"/>
              <w:bottom w:val="single" w:color="000000" w:sz="8" w:space="0"/>
              <w:right w:val="single" w:color="000000" w:sz="8" w:space="0"/>
            </w:tcBorders>
            <w:shd w:val="clear" w:color="auto" w:fill="FFFFFF"/>
          </w:tcPr>
          <w:p w14:paraId="71F72FA3">
            <w:pPr>
              <w:spacing w:before="32" w:line="287" w:lineRule="exact"/>
              <w:ind w:left="56" w:right="49"/>
              <w:jc w:val="center"/>
              <w:rPr>
                <w:rFonts w:hint="default"/>
                <w:color w:val="auto"/>
                <w:lang w:val="zh-CN" w:bidi="zh-CN"/>
              </w:rPr>
            </w:pPr>
            <w:r>
              <w:rPr>
                <w:color w:val="auto"/>
                <w:lang w:val="zh-CN" w:bidi="zh-CN"/>
              </w:rPr>
              <w:t>评审项目</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Pr>
          <w:p w14:paraId="4649E2E0">
            <w:pPr>
              <w:spacing w:before="32" w:line="287" w:lineRule="exact"/>
              <w:ind w:left="195" w:right="189"/>
              <w:jc w:val="center"/>
              <w:rPr>
                <w:rFonts w:hint="default"/>
                <w:color w:val="auto"/>
                <w:lang w:val="zh-CN" w:bidi="zh-CN"/>
              </w:rPr>
            </w:pPr>
            <w:r>
              <w:rPr>
                <w:color w:val="auto"/>
                <w:lang w:val="zh-CN" w:bidi="zh-CN"/>
              </w:rPr>
              <w:t>分值</w:t>
            </w:r>
          </w:p>
        </w:tc>
        <w:tc>
          <w:tcPr>
            <w:tcW w:w="5813" w:type="dxa"/>
            <w:tcBorders>
              <w:top w:val="single" w:color="000000" w:sz="8" w:space="0"/>
              <w:left w:val="single" w:color="000000" w:sz="8" w:space="0"/>
              <w:bottom w:val="single" w:color="000000" w:sz="8" w:space="0"/>
              <w:right w:val="single" w:color="000000" w:sz="8" w:space="0"/>
            </w:tcBorders>
            <w:shd w:val="clear" w:color="auto" w:fill="FFFFFF"/>
          </w:tcPr>
          <w:p w14:paraId="1BE7E85D">
            <w:pPr>
              <w:tabs>
                <w:tab w:val="left" w:pos="850"/>
              </w:tabs>
              <w:spacing w:before="32" w:line="287" w:lineRule="exact"/>
              <w:ind w:left="10"/>
              <w:jc w:val="center"/>
              <w:rPr>
                <w:rFonts w:hint="default"/>
                <w:color w:val="auto"/>
                <w:lang w:val="zh-CN" w:bidi="zh-CN"/>
              </w:rPr>
            </w:pPr>
            <w:r>
              <w:rPr>
                <w:color w:val="auto"/>
                <w:lang w:val="zh-CN" w:bidi="zh-CN"/>
              </w:rPr>
              <w:t>内</w:t>
            </w:r>
            <w:r>
              <w:rPr>
                <w:color w:val="auto"/>
                <w:lang w:val="zh-CN" w:bidi="zh-CN"/>
              </w:rPr>
              <w:tab/>
            </w:r>
            <w:r>
              <w:rPr>
                <w:color w:val="auto"/>
                <w:lang w:val="zh-CN" w:bidi="zh-CN"/>
              </w:rPr>
              <w:t>容</w:t>
            </w:r>
          </w:p>
        </w:tc>
      </w:tr>
      <w:tr w14:paraId="3DBF1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061" w:type="dxa"/>
            <w:vMerge w:val="restart"/>
            <w:tcBorders>
              <w:top w:val="single" w:color="000000" w:sz="8" w:space="0"/>
              <w:left w:val="single" w:color="000000" w:sz="8" w:space="0"/>
              <w:right w:val="single" w:color="000000" w:sz="8" w:space="0"/>
            </w:tcBorders>
            <w:shd w:val="clear" w:color="auto" w:fill="FFFFFF"/>
          </w:tcPr>
          <w:p w14:paraId="791B27A7">
            <w:pPr>
              <w:spacing w:line="266" w:lineRule="auto"/>
              <w:ind w:right="67"/>
              <w:rPr>
                <w:color w:val="auto"/>
                <w:szCs w:val="21"/>
                <w:lang w:val="zh-CN"/>
              </w:rPr>
            </w:pPr>
          </w:p>
          <w:p w14:paraId="259CF48E">
            <w:pPr>
              <w:spacing w:line="266" w:lineRule="auto"/>
              <w:ind w:right="67"/>
              <w:rPr>
                <w:color w:val="auto"/>
                <w:szCs w:val="21"/>
                <w:lang w:val="zh-CN"/>
              </w:rPr>
            </w:pPr>
          </w:p>
          <w:p w14:paraId="1B833ACD">
            <w:pPr>
              <w:spacing w:line="266" w:lineRule="auto"/>
              <w:ind w:right="67"/>
              <w:rPr>
                <w:color w:val="auto"/>
                <w:szCs w:val="21"/>
                <w:lang w:val="zh-CN"/>
              </w:rPr>
            </w:pPr>
          </w:p>
          <w:p w14:paraId="7A837BC7">
            <w:pPr>
              <w:spacing w:line="266" w:lineRule="auto"/>
              <w:ind w:right="67"/>
              <w:rPr>
                <w:color w:val="auto"/>
                <w:szCs w:val="21"/>
                <w:lang w:val="zh-CN"/>
              </w:rPr>
            </w:pPr>
          </w:p>
          <w:p w14:paraId="279567A3">
            <w:pPr>
              <w:spacing w:line="266" w:lineRule="auto"/>
              <w:ind w:right="67"/>
              <w:rPr>
                <w:color w:val="auto"/>
                <w:szCs w:val="21"/>
                <w:lang w:val="zh-CN"/>
              </w:rPr>
            </w:pPr>
          </w:p>
          <w:p w14:paraId="1A464251">
            <w:pPr>
              <w:spacing w:line="266" w:lineRule="auto"/>
              <w:ind w:right="67"/>
              <w:rPr>
                <w:rFonts w:hint="default"/>
                <w:color w:val="auto"/>
                <w:szCs w:val="21"/>
                <w:lang w:val="zh-CN"/>
              </w:rPr>
            </w:pPr>
            <w:r>
              <w:rPr>
                <w:color w:val="auto"/>
                <w:szCs w:val="21"/>
                <w:lang w:val="zh-CN"/>
              </w:rPr>
              <w:t>投标产品的参数符合程度</w:t>
            </w:r>
          </w:p>
        </w:tc>
        <w:tc>
          <w:tcPr>
            <w:tcW w:w="11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FBB1FF">
            <w:pPr>
              <w:spacing w:line="380" w:lineRule="exact"/>
              <w:jc w:val="center"/>
              <w:rPr>
                <w:rFonts w:hint="eastAsia" w:eastAsia="宋体"/>
                <w:color w:val="auto"/>
                <w:szCs w:val="21"/>
                <w:lang w:val="zh-CN" w:eastAsia="zh-CN"/>
              </w:rPr>
            </w:pPr>
            <w:r>
              <w:rPr>
                <w:rFonts w:hint="eastAsia" w:ascii="宋体" w:hAnsi="宋体" w:eastAsia="宋体" w:cs="宋体"/>
                <w:color w:val="auto"/>
                <w:kern w:val="0"/>
                <w:sz w:val="21"/>
                <w:szCs w:val="21"/>
              </w:rPr>
              <w:t>0-2</w:t>
            </w:r>
            <w:r>
              <w:rPr>
                <w:rFonts w:hint="eastAsia" w:hAnsi="宋体" w:cs="宋体"/>
                <w:color w:val="auto"/>
                <w:kern w:val="0"/>
                <w:sz w:val="21"/>
                <w:szCs w:val="21"/>
                <w:lang w:val="en-US" w:eastAsia="zh-CN"/>
              </w:rPr>
              <w:t>7</w:t>
            </w:r>
          </w:p>
        </w:tc>
        <w:tc>
          <w:tcPr>
            <w:tcW w:w="58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43741D">
            <w:pPr>
              <w:spacing w:line="380" w:lineRule="exact"/>
              <w:jc w:val="left"/>
              <w:rPr>
                <w:rFonts w:hint="default"/>
                <w:color w:val="auto"/>
                <w:szCs w:val="21"/>
                <w:lang w:val="zh-CN"/>
              </w:rPr>
            </w:pPr>
            <w:r>
              <w:rPr>
                <w:rFonts w:hint="eastAsia" w:ascii="宋体" w:hAnsi="宋体" w:eastAsia="宋体" w:cs="宋体"/>
                <w:color w:val="auto"/>
                <w:lang w:val="zh-CN" w:bidi="ar"/>
              </w:rPr>
              <w:t>根据拟投产品技术性能参数响应情况进行逐项比对，所有标★项条款满足</w:t>
            </w:r>
            <w:r>
              <w:rPr>
                <w:rFonts w:hint="eastAsia" w:ascii="宋体" w:hAnsi="宋体" w:eastAsia="宋体" w:cs="宋体"/>
                <w:color w:val="auto"/>
                <w:lang w:val="en-US" w:eastAsia="zh-CN" w:bidi="ar"/>
              </w:rPr>
              <w:t>或优于</w:t>
            </w:r>
            <w:r>
              <w:rPr>
                <w:rFonts w:hint="eastAsia" w:ascii="宋体" w:hAnsi="宋体" w:eastAsia="宋体" w:cs="宋体"/>
                <w:color w:val="auto"/>
                <w:lang w:val="zh-CN" w:bidi="ar"/>
              </w:rPr>
              <w:t>技术要求得</w:t>
            </w:r>
            <w:r>
              <w:rPr>
                <w:rFonts w:hint="eastAsia" w:ascii="宋体" w:hAnsi="宋体" w:eastAsia="宋体" w:cs="宋体"/>
                <w:color w:val="auto"/>
                <w:lang w:val="en-US" w:eastAsia="zh-CN" w:bidi="ar"/>
              </w:rPr>
              <w:t>2</w:t>
            </w:r>
            <w:r>
              <w:rPr>
                <w:rFonts w:hint="eastAsia" w:hAnsi="宋体" w:cs="宋体"/>
                <w:color w:val="auto"/>
                <w:lang w:val="en-US" w:eastAsia="zh-CN" w:bidi="ar"/>
              </w:rPr>
              <w:t>7</w:t>
            </w:r>
            <w:r>
              <w:rPr>
                <w:rFonts w:hint="eastAsia" w:ascii="宋体" w:hAnsi="宋体" w:eastAsia="宋体" w:cs="宋体"/>
                <w:color w:val="auto"/>
                <w:lang w:val="zh-CN" w:bidi="ar"/>
              </w:rPr>
              <w:t>分，有负偏离项的，每负偏离一项扣3分，分数扣完为止。【投标人应提供详细完整的加盖公章技术偏离表，对于标★项技术参数进行逐条应答如有正偏离请予以标注做出详细说明】</w:t>
            </w:r>
          </w:p>
        </w:tc>
      </w:tr>
      <w:tr w14:paraId="315A1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061" w:type="dxa"/>
            <w:vMerge w:val="continue"/>
            <w:tcBorders>
              <w:left w:val="single" w:color="000000" w:sz="8" w:space="0"/>
              <w:bottom w:val="single" w:color="000000" w:sz="8" w:space="0"/>
              <w:right w:val="single" w:color="000000" w:sz="8" w:space="0"/>
            </w:tcBorders>
            <w:shd w:val="clear" w:color="auto" w:fill="FFFFFF"/>
          </w:tcPr>
          <w:p w14:paraId="6F868C61">
            <w:pPr>
              <w:spacing w:line="266" w:lineRule="auto"/>
              <w:ind w:right="67"/>
              <w:rPr>
                <w:color w:val="auto"/>
                <w:szCs w:val="21"/>
                <w:lang w:val="zh-CN"/>
              </w:rPr>
            </w:pPr>
          </w:p>
        </w:tc>
        <w:tc>
          <w:tcPr>
            <w:tcW w:w="11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72963C">
            <w:pPr>
              <w:spacing w:line="380" w:lineRule="exact"/>
              <w:jc w:val="center"/>
              <w:rPr>
                <w:rFonts w:hint="default" w:eastAsia="宋体"/>
                <w:color w:val="auto"/>
                <w:szCs w:val="21"/>
                <w:lang w:val="en-US" w:eastAsia="zh-CN"/>
              </w:rPr>
            </w:pPr>
            <w:r>
              <w:rPr>
                <w:rFonts w:hint="eastAsia" w:ascii="宋体" w:hAnsi="宋体" w:eastAsia="宋体" w:cs="宋体"/>
                <w:color w:val="auto"/>
                <w:kern w:val="0"/>
                <w:sz w:val="21"/>
                <w:szCs w:val="21"/>
              </w:rPr>
              <w:t>0-</w:t>
            </w:r>
            <w:r>
              <w:rPr>
                <w:rFonts w:hint="eastAsia" w:hAnsi="宋体" w:cs="宋体"/>
                <w:color w:val="auto"/>
                <w:kern w:val="0"/>
                <w:sz w:val="21"/>
                <w:szCs w:val="21"/>
                <w:lang w:val="en-US" w:eastAsia="zh-CN"/>
              </w:rPr>
              <w:t>11</w:t>
            </w:r>
          </w:p>
        </w:tc>
        <w:tc>
          <w:tcPr>
            <w:tcW w:w="58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536948">
            <w:pPr>
              <w:spacing w:line="380" w:lineRule="exact"/>
              <w:jc w:val="left"/>
              <w:rPr>
                <w:color w:val="auto"/>
                <w:szCs w:val="21"/>
                <w:lang w:val="zh-CN"/>
              </w:rPr>
            </w:pPr>
            <w:r>
              <w:rPr>
                <w:rFonts w:hint="eastAsia" w:ascii="宋体" w:hAnsi="宋体" w:eastAsia="宋体" w:cs="宋体"/>
                <w:color w:val="auto"/>
                <w:lang w:val="zh-CN" w:bidi="ar"/>
              </w:rPr>
              <w:t>满足</w:t>
            </w:r>
            <w:r>
              <w:rPr>
                <w:rFonts w:hint="eastAsia" w:ascii="宋体" w:hAnsi="宋体" w:eastAsia="宋体" w:cs="宋体"/>
                <w:color w:val="auto"/>
                <w:lang w:val="en-US" w:eastAsia="zh-CN" w:bidi="ar"/>
              </w:rPr>
              <w:t>或优于参数</w:t>
            </w:r>
            <w:r>
              <w:rPr>
                <w:rFonts w:hint="eastAsia" w:ascii="宋体" w:hAnsi="宋体" w:eastAsia="宋体" w:cs="宋体"/>
                <w:color w:val="auto"/>
                <w:lang w:val="zh-CN" w:bidi="ar"/>
              </w:rPr>
              <w:t>功能中所有非标★项目的，得</w:t>
            </w:r>
            <w:r>
              <w:rPr>
                <w:rFonts w:hint="eastAsia" w:hAnsi="宋体" w:cs="宋体"/>
                <w:color w:val="auto"/>
                <w:lang w:val="en-US" w:eastAsia="zh-CN" w:bidi="ar"/>
              </w:rPr>
              <w:t>11</w:t>
            </w:r>
            <w:r>
              <w:rPr>
                <w:rFonts w:hint="eastAsia" w:ascii="宋体" w:hAnsi="宋体" w:eastAsia="宋体" w:cs="宋体"/>
                <w:color w:val="auto"/>
                <w:lang w:val="zh-CN" w:bidi="ar"/>
              </w:rPr>
              <w:t>分</w:t>
            </w:r>
            <w:r>
              <w:rPr>
                <w:rFonts w:hint="eastAsia" w:ascii="宋体" w:hAnsi="宋体" w:eastAsia="宋体" w:cs="宋体"/>
                <w:color w:val="auto"/>
                <w:lang w:val="zh-CN" w:eastAsia="zh-CN" w:bidi="ar"/>
              </w:rPr>
              <w:t>。</w:t>
            </w:r>
            <w:r>
              <w:rPr>
                <w:rFonts w:hint="eastAsia" w:ascii="宋体" w:hAnsi="宋体" w:eastAsia="宋体" w:cs="宋体"/>
                <w:color w:val="auto"/>
                <w:lang w:val="zh-CN" w:bidi="ar"/>
              </w:rPr>
              <w:t>有负偏离项的，每负偏离一项扣1分，分数扣完为止。【投标人应提供详细完整的加盖公章技术偏离表，对于技术参数进行逐条应答，不满足的需在每条参数前如实标注不满足】</w:t>
            </w:r>
          </w:p>
        </w:tc>
      </w:tr>
      <w:tr w14:paraId="1194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2061" w:type="dxa"/>
            <w:tcBorders>
              <w:top w:val="single" w:color="000000" w:sz="8" w:space="0"/>
              <w:left w:val="single" w:color="000000" w:sz="8" w:space="0"/>
              <w:bottom w:val="single" w:color="000000" w:sz="8" w:space="0"/>
              <w:right w:val="single" w:color="000000" w:sz="8" w:space="0"/>
            </w:tcBorders>
            <w:shd w:val="clear" w:color="auto" w:fill="FFFFFF"/>
          </w:tcPr>
          <w:p w14:paraId="731018E8">
            <w:pPr>
              <w:rPr>
                <w:rFonts w:hint="default"/>
                <w:color w:val="auto"/>
                <w:szCs w:val="21"/>
                <w:lang w:val="zh-CN"/>
              </w:rPr>
            </w:pPr>
          </w:p>
          <w:p w14:paraId="37BA333A">
            <w:pPr>
              <w:spacing w:before="8"/>
              <w:rPr>
                <w:rFonts w:hint="default"/>
                <w:color w:val="auto"/>
                <w:szCs w:val="21"/>
                <w:lang w:val="zh-CN"/>
              </w:rPr>
            </w:pPr>
          </w:p>
          <w:p w14:paraId="14D918E2">
            <w:pPr>
              <w:spacing w:line="266" w:lineRule="auto"/>
              <w:ind w:right="-15"/>
              <w:rPr>
                <w:rFonts w:hint="eastAsia" w:ascii="宋体" w:hAnsi="Times New Roman" w:eastAsia="宋体" w:cs="Times New Roman"/>
                <w:color w:val="auto"/>
                <w:szCs w:val="21"/>
                <w:lang w:val="en-US" w:eastAsia="zh-CN"/>
              </w:rPr>
            </w:pPr>
          </w:p>
          <w:p w14:paraId="07CB6C4E">
            <w:pPr>
              <w:spacing w:line="266" w:lineRule="auto"/>
              <w:ind w:right="-15"/>
              <w:rPr>
                <w:rFonts w:hint="eastAsia" w:ascii="宋体" w:hAnsi="Times New Roman" w:eastAsia="宋体" w:cs="Times New Roman"/>
                <w:color w:val="auto"/>
                <w:szCs w:val="21"/>
                <w:lang w:val="en-US" w:eastAsia="zh-CN"/>
              </w:rPr>
            </w:pPr>
          </w:p>
          <w:p w14:paraId="5FC9F912">
            <w:pPr>
              <w:spacing w:line="266" w:lineRule="auto"/>
              <w:ind w:right="-15"/>
              <w:rPr>
                <w:rFonts w:ascii="宋体" w:hAnsi="Times New Roman" w:eastAsia="宋体" w:cs="Times New Roman"/>
                <w:color w:val="auto"/>
                <w:szCs w:val="21"/>
                <w:lang w:val="zh-CN"/>
              </w:rPr>
            </w:pPr>
            <w:r>
              <w:rPr>
                <w:rFonts w:hint="eastAsia" w:ascii="宋体" w:hAnsi="Times New Roman" w:eastAsia="宋体" w:cs="Times New Roman"/>
                <w:color w:val="auto"/>
                <w:szCs w:val="21"/>
                <w:lang w:val="en-US" w:eastAsia="zh-CN"/>
              </w:rPr>
              <w:t>售后服务方案</w:t>
            </w:r>
          </w:p>
          <w:p w14:paraId="2C662383">
            <w:pPr>
              <w:ind w:left="56" w:right="49"/>
              <w:jc w:val="center"/>
              <w:rPr>
                <w:rFonts w:hint="default"/>
                <w:color w:val="auto"/>
                <w:szCs w:val="21"/>
                <w:lang w:val="zh-CN"/>
              </w:rPr>
            </w:pPr>
          </w:p>
        </w:tc>
        <w:tc>
          <w:tcPr>
            <w:tcW w:w="1139" w:type="dxa"/>
            <w:tcBorders>
              <w:top w:val="single" w:color="000000" w:sz="8" w:space="0"/>
              <w:left w:val="single" w:color="000000" w:sz="8" w:space="0"/>
              <w:bottom w:val="single" w:color="000000" w:sz="8" w:space="0"/>
              <w:right w:val="single" w:color="000000" w:sz="8" w:space="0"/>
            </w:tcBorders>
            <w:shd w:val="clear" w:color="auto" w:fill="FFFFFF"/>
          </w:tcPr>
          <w:p w14:paraId="53DA09BF">
            <w:pPr>
              <w:rPr>
                <w:rFonts w:hint="default"/>
                <w:color w:val="auto"/>
                <w:szCs w:val="21"/>
                <w:lang w:val="zh-CN"/>
              </w:rPr>
            </w:pPr>
          </w:p>
          <w:p w14:paraId="1F9D95B3">
            <w:pPr>
              <w:spacing w:before="8"/>
              <w:rPr>
                <w:rFonts w:hint="default"/>
                <w:color w:val="auto"/>
                <w:szCs w:val="21"/>
                <w:lang w:val="zh-CN"/>
              </w:rPr>
            </w:pPr>
          </w:p>
          <w:p w14:paraId="521519CD">
            <w:pPr>
              <w:ind w:right="189"/>
              <w:rPr>
                <w:color w:val="auto"/>
                <w:szCs w:val="21"/>
                <w:lang w:val="zh-CN"/>
              </w:rPr>
            </w:pPr>
          </w:p>
          <w:p w14:paraId="391DFBDD">
            <w:pPr>
              <w:ind w:right="189"/>
              <w:rPr>
                <w:color w:val="auto"/>
                <w:szCs w:val="21"/>
                <w:lang w:val="zh-CN"/>
              </w:rPr>
            </w:pPr>
          </w:p>
          <w:p w14:paraId="484CA8DD">
            <w:pPr>
              <w:ind w:right="189" w:firstLine="240" w:firstLineChars="100"/>
              <w:rPr>
                <w:rFonts w:hint="default"/>
                <w:color w:val="auto"/>
                <w:szCs w:val="21"/>
                <w:lang w:val="zh-CN"/>
              </w:rPr>
            </w:pPr>
            <w:r>
              <w:rPr>
                <w:color w:val="auto"/>
                <w:szCs w:val="21"/>
                <w:lang w:val="zh-CN"/>
              </w:rPr>
              <w:t>0-</w:t>
            </w:r>
            <w:r>
              <w:rPr>
                <w:rFonts w:hint="eastAsia"/>
                <w:color w:val="auto"/>
                <w:szCs w:val="21"/>
                <w:lang w:val="en-US" w:eastAsia="zh-CN"/>
              </w:rPr>
              <w:t>6</w:t>
            </w:r>
            <w:r>
              <w:rPr>
                <w:color w:val="auto"/>
                <w:szCs w:val="21"/>
                <w:lang w:val="zh-CN"/>
              </w:rPr>
              <w:t>分</w:t>
            </w:r>
          </w:p>
        </w:tc>
        <w:tc>
          <w:tcPr>
            <w:tcW w:w="5813" w:type="dxa"/>
            <w:tcBorders>
              <w:top w:val="single" w:color="000000" w:sz="8" w:space="0"/>
              <w:left w:val="single" w:color="000000" w:sz="8" w:space="0"/>
              <w:bottom w:val="single" w:color="000000" w:sz="8" w:space="0"/>
              <w:right w:val="single" w:color="000000" w:sz="8" w:space="0"/>
            </w:tcBorders>
            <w:shd w:val="clear" w:color="auto" w:fill="FFFFFF"/>
          </w:tcPr>
          <w:p w14:paraId="335E965D">
            <w:pPr>
              <w:spacing w:before="1" w:line="340" w:lineRule="atLeast"/>
              <w:ind w:left="4" w:right="-15"/>
              <w:rPr>
                <w:rFonts w:hint="eastAsia" w:ascii="宋体" w:hAnsi="宋体" w:eastAsia="宋体" w:cs="宋体"/>
                <w:color w:val="auto"/>
                <w:lang w:val="zh-CN" w:bidi="ar"/>
              </w:rPr>
            </w:pPr>
            <w:r>
              <w:rPr>
                <w:rFonts w:hint="eastAsia" w:ascii="宋体" w:hAnsi="宋体" w:eastAsia="宋体" w:cs="宋体"/>
                <w:color w:val="auto"/>
                <w:lang w:val="zh-CN" w:bidi="ar"/>
              </w:rPr>
              <w:t>根据供应商针对本项目的售后服务方案，内容包括</w:t>
            </w:r>
          </w:p>
          <w:p w14:paraId="4DF43DE3">
            <w:pPr>
              <w:spacing w:before="1" w:line="340" w:lineRule="atLeast"/>
              <w:ind w:left="4" w:right="-15"/>
              <w:rPr>
                <w:rFonts w:hint="eastAsia" w:ascii="宋体" w:hAnsi="宋体" w:eastAsia="宋体" w:cs="宋体"/>
                <w:color w:val="auto"/>
                <w:lang w:val="zh-CN" w:bidi="ar"/>
              </w:rPr>
            </w:pPr>
            <w:r>
              <w:rPr>
                <w:rFonts w:hint="eastAsia" w:ascii="宋体" w:hAnsi="宋体" w:eastAsia="宋体" w:cs="宋体"/>
                <w:color w:val="auto"/>
                <w:lang w:val="zh-CN" w:bidi="ar"/>
              </w:rPr>
              <w:t>但不限于：</w:t>
            </w:r>
          </w:p>
          <w:p w14:paraId="3D8CF753">
            <w:pPr>
              <w:spacing w:before="1" w:line="340" w:lineRule="atLeast"/>
              <w:ind w:left="4" w:right="-15"/>
              <w:rPr>
                <w:rFonts w:hint="eastAsia" w:ascii="宋体" w:hAnsi="宋体" w:eastAsia="宋体" w:cs="宋体"/>
                <w:color w:val="auto"/>
                <w:lang w:val="zh-CN" w:bidi="ar"/>
              </w:rPr>
            </w:pPr>
            <w:r>
              <w:rPr>
                <w:rFonts w:hint="eastAsia" w:ascii="宋体" w:hAnsi="宋体" w:eastAsia="宋体" w:cs="宋体"/>
                <w:color w:val="auto"/>
                <w:lang w:val="zh-CN" w:bidi="ar"/>
              </w:rPr>
              <w:t>①质量巡检计划（巡检时间、巡检流程）；</w:t>
            </w:r>
          </w:p>
          <w:p w14:paraId="29DD0427">
            <w:pPr>
              <w:spacing w:before="1" w:line="340" w:lineRule="atLeast"/>
              <w:ind w:left="4" w:right="-15"/>
              <w:rPr>
                <w:rFonts w:hint="eastAsia" w:ascii="宋体" w:hAnsi="宋体" w:eastAsia="宋体" w:cs="宋体"/>
                <w:color w:val="auto"/>
                <w:lang w:val="zh-CN" w:bidi="ar"/>
              </w:rPr>
            </w:pPr>
            <w:r>
              <w:rPr>
                <w:rFonts w:hint="eastAsia" w:ascii="宋体" w:hAnsi="宋体" w:eastAsia="宋体" w:cs="宋体"/>
                <w:color w:val="auto"/>
                <w:lang w:val="zh-CN" w:bidi="ar"/>
              </w:rPr>
              <w:t>②拥有完善的售后服务保障体系；</w:t>
            </w:r>
          </w:p>
          <w:p w14:paraId="1C27A76F">
            <w:pPr>
              <w:spacing w:before="1" w:line="340" w:lineRule="atLeast"/>
              <w:ind w:left="4" w:right="-15"/>
              <w:rPr>
                <w:rFonts w:hint="default" w:ascii="宋体" w:hAnsi="宋体" w:eastAsia="宋体" w:cs="宋体"/>
                <w:color w:val="auto"/>
                <w:lang w:val="en-US" w:bidi="ar"/>
              </w:rPr>
            </w:pPr>
            <w:r>
              <w:rPr>
                <w:rFonts w:hint="eastAsia" w:ascii="宋体" w:hAnsi="宋体" w:eastAsia="宋体" w:cs="宋体"/>
                <w:color w:val="auto"/>
                <w:lang w:val="zh-CN" w:bidi="ar"/>
              </w:rPr>
              <w:t>③响应时间；</w:t>
            </w:r>
          </w:p>
          <w:p w14:paraId="6C3F831E">
            <w:pPr>
              <w:spacing w:before="1" w:line="340" w:lineRule="atLeast"/>
              <w:ind w:left="4" w:right="-15"/>
              <w:rPr>
                <w:rFonts w:hint="default" w:eastAsia="宋体"/>
                <w:color w:val="auto"/>
                <w:szCs w:val="21"/>
                <w:lang w:val="en-US" w:eastAsia="zh-CN"/>
              </w:rPr>
            </w:pPr>
            <w:r>
              <w:rPr>
                <w:rFonts w:hint="eastAsia" w:ascii="宋体" w:hAnsi="宋体" w:eastAsia="宋体" w:cs="宋体"/>
                <w:color w:val="auto"/>
                <w:lang w:val="zh-CN" w:bidi="ar"/>
              </w:rPr>
              <w:t xml:space="preserve">以上方案内容完整清晰明确、科学合理、提高售后能力且满足采购需求的得 </w:t>
            </w:r>
            <w:r>
              <w:rPr>
                <w:rFonts w:hint="eastAsia" w:ascii="宋体" w:hAnsi="宋体" w:eastAsia="宋体" w:cs="宋体"/>
                <w:color w:val="auto"/>
                <w:lang w:val="en-US" w:eastAsia="zh-CN" w:bidi="ar"/>
              </w:rPr>
              <w:t>6</w:t>
            </w:r>
            <w:r>
              <w:rPr>
                <w:rFonts w:hint="eastAsia" w:ascii="宋体" w:hAnsi="宋体" w:eastAsia="宋体" w:cs="宋体"/>
                <w:color w:val="auto"/>
                <w:lang w:val="zh-CN" w:bidi="ar"/>
              </w:rPr>
              <w:t xml:space="preserve"> 分，</w:t>
            </w:r>
            <w:r>
              <w:rPr>
                <w:rFonts w:hint="eastAsia" w:ascii="宋体" w:hAnsi="宋体" w:eastAsia="宋体" w:cs="宋体"/>
                <w:color w:val="auto"/>
                <w:lang w:val="en-US" w:eastAsia="zh-CN" w:bidi="ar"/>
              </w:rPr>
              <w:t>每有一处内容存在不足 （存在不足是指逻辑不严谨、内容不完整、表述不清晰、实操性不强或不符合项目实际情况）扣 1 分</w:t>
            </w:r>
            <w:r>
              <w:rPr>
                <w:rFonts w:hint="eastAsia" w:ascii="宋体" w:hAnsi="宋体" w:eastAsia="宋体" w:cs="宋体"/>
                <w:color w:val="auto"/>
                <w:lang w:val="zh-CN" w:bidi="ar"/>
              </w:rPr>
              <w:t>，</w:t>
            </w:r>
            <w:r>
              <w:rPr>
                <w:rFonts w:hint="eastAsia" w:ascii="宋体" w:hAnsi="宋体" w:eastAsia="宋体" w:cs="宋体"/>
                <w:color w:val="auto"/>
                <w:lang w:val="en-US" w:eastAsia="zh-CN" w:bidi="ar"/>
              </w:rPr>
              <w:t>扣完为止。</w:t>
            </w:r>
          </w:p>
        </w:tc>
      </w:tr>
      <w:tr w14:paraId="0CEB0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061" w:type="dxa"/>
            <w:tcBorders>
              <w:top w:val="single" w:color="000000" w:sz="8" w:space="0"/>
              <w:left w:val="single" w:color="000000" w:sz="8" w:space="0"/>
              <w:bottom w:val="single" w:color="000000" w:sz="8" w:space="0"/>
              <w:right w:val="single" w:color="000000" w:sz="8" w:space="0"/>
            </w:tcBorders>
            <w:shd w:val="clear" w:color="auto" w:fill="FFFFFF"/>
          </w:tcPr>
          <w:p w14:paraId="21E41DF2">
            <w:pPr>
              <w:spacing w:before="7"/>
              <w:rPr>
                <w:rFonts w:hint="default"/>
                <w:color w:val="auto"/>
                <w:szCs w:val="21"/>
                <w:lang w:val="zh-CN"/>
              </w:rPr>
            </w:pPr>
          </w:p>
          <w:p w14:paraId="57AC90D2">
            <w:pPr>
              <w:spacing w:before="7"/>
              <w:rPr>
                <w:rFonts w:hint="eastAsia" w:ascii="宋体" w:hAnsi="宋体" w:eastAsia="宋体" w:cs="宋体"/>
                <w:color w:val="auto"/>
                <w:szCs w:val="21"/>
                <w:lang w:val="en-US" w:eastAsia="zh-CN"/>
              </w:rPr>
            </w:pPr>
          </w:p>
          <w:p w14:paraId="32EF7098">
            <w:pPr>
              <w:spacing w:before="7"/>
              <w:rPr>
                <w:rFonts w:hint="eastAsia" w:ascii="宋体" w:hAnsi="宋体" w:eastAsia="宋体" w:cs="宋体"/>
                <w:color w:val="auto"/>
                <w:szCs w:val="21"/>
                <w:lang w:val="en-US" w:eastAsia="zh-CN"/>
              </w:rPr>
            </w:pPr>
          </w:p>
          <w:p w14:paraId="41A35D4B">
            <w:pPr>
              <w:spacing w:before="7"/>
              <w:rPr>
                <w:rFonts w:hint="eastAsia" w:ascii="宋体" w:hAnsi="宋体" w:eastAsia="宋体" w:cs="宋体"/>
                <w:color w:val="auto"/>
                <w:szCs w:val="21"/>
                <w:lang w:val="en-US" w:eastAsia="zh-CN"/>
              </w:rPr>
            </w:pPr>
          </w:p>
          <w:p w14:paraId="4091B7D4">
            <w:pPr>
              <w:spacing w:before="7"/>
              <w:rPr>
                <w:rFonts w:ascii="宋体" w:hAnsi="宋体" w:eastAsia="宋体" w:cs="宋体"/>
                <w:color w:val="auto"/>
                <w:szCs w:val="21"/>
              </w:rPr>
            </w:pPr>
            <w:r>
              <w:rPr>
                <w:rFonts w:hint="eastAsia" w:ascii="宋体" w:hAnsi="宋体" w:eastAsia="宋体" w:cs="宋体"/>
                <w:color w:val="auto"/>
                <w:szCs w:val="21"/>
                <w:lang w:val="en-US" w:eastAsia="zh-CN"/>
              </w:rPr>
              <w:t>配送及安装实施方 案</w:t>
            </w:r>
          </w:p>
          <w:p w14:paraId="453575E5">
            <w:pPr>
              <w:spacing w:line="340" w:lineRule="atLeast"/>
              <w:ind w:left="796" w:right="-15" w:hanging="792"/>
              <w:rPr>
                <w:rFonts w:hint="default"/>
                <w:color w:val="auto"/>
                <w:szCs w:val="21"/>
                <w:lang w:val="zh-CN"/>
              </w:rPr>
            </w:pPr>
          </w:p>
        </w:tc>
        <w:tc>
          <w:tcPr>
            <w:tcW w:w="1139" w:type="dxa"/>
            <w:tcBorders>
              <w:top w:val="single" w:color="000000" w:sz="8" w:space="0"/>
              <w:left w:val="single" w:color="000000" w:sz="8" w:space="0"/>
              <w:bottom w:val="single" w:color="000000" w:sz="8" w:space="0"/>
              <w:right w:val="single" w:color="000000" w:sz="8" w:space="0"/>
            </w:tcBorders>
            <w:shd w:val="clear" w:color="auto" w:fill="FFFFFF"/>
          </w:tcPr>
          <w:p w14:paraId="378796B3">
            <w:pPr>
              <w:spacing w:before="1"/>
              <w:rPr>
                <w:rFonts w:hint="default"/>
                <w:color w:val="auto"/>
                <w:szCs w:val="21"/>
                <w:lang w:val="zh-CN"/>
              </w:rPr>
            </w:pPr>
          </w:p>
          <w:p w14:paraId="46856005">
            <w:pPr>
              <w:ind w:left="195" w:right="186"/>
              <w:jc w:val="center"/>
              <w:rPr>
                <w:color w:val="auto"/>
                <w:szCs w:val="21"/>
                <w:lang w:val="zh-CN"/>
              </w:rPr>
            </w:pPr>
          </w:p>
          <w:p w14:paraId="6A5D1E47">
            <w:pPr>
              <w:ind w:left="195" w:right="186"/>
              <w:jc w:val="center"/>
              <w:rPr>
                <w:color w:val="auto"/>
                <w:szCs w:val="21"/>
                <w:lang w:val="zh-CN"/>
              </w:rPr>
            </w:pPr>
          </w:p>
          <w:p w14:paraId="5742696C">
            <w:pPr>
              <w:ind w:left="195" w:right="186"/>
              <w:jc w:val="center"/>
              <w:rPr>
                <w:color w:val="auto"/>
                <w:szCs w:val="21"/>
                <w:lang w:val="zh-CN"/>
              </w:rPr>
            </w:pPr>
          </w:p>
          <w:p w14:paraId="05E7DE19">
            <w:pPr>
              <w:ind w:left="195" w:right="186"/>
              <w:jc w:val="center"/>
              <w:rPr>
                <w:rFonts w:hint="default"/>
                <w:color w:val="auto"/>
                <w:szCs w:val="21"/>
                <w:lang w:val="zh-CN"/>
              </w:rPr>
            </w:pPr>
            <w:r>
              <w:rPr>
                <w:color w:val="auto"/>
                <w:szCs w:val="21"/>
                <w:lang w:val="zh-CN"/>
              </w:rPr>
              <w:t>0-</w:t>
            </w:r>
            <w:r>
              <w:rPr>
                <w:rFonts w:hint="eastAsia"/>
                <w:color w:val="auto"/>
                <w:szCs w:val="21"/>
                <w:lang w:val="en-US" w:eastAsia="zh-CN"/>
              </w:rPr>
              <w:t>10</w:t>
            </w:r>
            <w:r>
              <w:rPr>
                <w:color w:val="auto"/>
                <w:szCs w:val="21"/>
                <w:lang w:val="zh-CN"/>
              </w:rPr>
              <w:t xml:space="preserve"> 分</w:t>
            </w:r>
          </w:p>
        </w:tc>
        <w:tc>
          <w:tcPr>
            <w:tcW w:w="5813" w:type="dxa"/>
            <w:tcBorders>
              <w:top w:val="single" w:color="000000" w:sz="8" w:space="0"/>
              <w:left w:val="single" w:color="000000" w:sz="8" w:space="0"/>
              <w:bottom w:val="single" w:color="000000" w:sz="8" w:space="0"/>
              <w:right w:val="single" w:color="000000" w:sz="8" w:space="0"/>
            </w:tcBorders>
            <w:shd w:val="clear" w:color="auto" w:fill="FFFFFF"/>
          </w:tcPr>
          <w:p w14:paraId="34C472C1">
            <w:pPr>
              <w:spacing w:before="1" w:line="340" w:lineRule="atLeast"/>
              <w:ind w:left="4" w:right="-15"/>
              <w:rPr>
                <w:rFonts w:hint="eastAsia" w:ascii="宋体" w:hAnsi="宋体" w:eastAsia="宋体" w:cs="宋体"/>
                <w:color w:val="auto"/>
                <w:lang w:bidi="ar"/>
              </w:rPr>
            </w:pPr>
            <w:r>
              <w:rPr>
                <w:rFonts w:hint="eastAsia" w:ascii="宋体" w:hAnsi="宋体" w:eastAsia="宋体" w:cs="宋体"/>
                <w:color w:val="auto"/>
                <w:lang w:val="en-US" w:eastAsia="zh-CN" w:bidi="ar"/>
              </w:rPr>
              <w:t>根据供应商针对本项目的实施方案</w:t>
            </w:r>
            <w:r>
              <w:rPr>
                <w:rFonts w:hint="eastAsia" w:hAnsi="宋体" w:cs="宋体"/>
                <w:color w:val="auto"/>
                <w:lang w:val="en-US" w:eastAsia="zh-CN" w:bidi="ar"/>
              </w:rPr>
              <w:t>，</w:t>
            </w:r>
            <w:r>
              <w:rPr>
                <w:rFonts w:hint="eastAsia" w:ascii="宋体" w:hAnsi="宋体" w:eastAsia="宋体" w:cs="宋体"/>
                <w:color w:val="auto"/>
                <w:lang w:val="en-US" w:eastAsia="zh-CN" w:bidi="ar"/>
              </w:rPr>
              <w:t xml:space="preserve">包括但不限于： </w:t>
            </w:r>
          </w:p>
          <w:p w14:paraId="6EA0DA5A">
            <w:pPr>
              <w:spacing w:before="1" w:line="340" w:lineRule="atLeast"/>
              <w:ind w:left="4" w:right="-15"/>
              <w:rPr>
                <w:rFonts w:hint="eastAsia" w:ascii="宋体" w:hAnsi="宋体" w:eastAsia="宋体" w:cs="宋体"/>
                <w:color w:val="auto"/>
                <w:lang w:bidi="ar"/>
              </w:rPr>
            </w:pPr>
            <w:r>
              <w:rPr>
                <w:rFonts w:hint="eastAsia" w:ascii="宋体" w:hAnsi="宋体" w:eastAsia="宋体" w:cs="宋体"/>
                <w:color w:val="auto"/>
                <w:lang w:val="en-US" w:eastAsia="zh-CN" w:bidi="ar"/>
              </w:rPr>
              <w:t xml:space="preserve">①整体计划安排； </w:t>
            </w:r>
          </w:p>
          <w:p w14:paraId="6C6A00D4">
            <w:pPr>
              <w:spacing w:before="1" w:line="340" w:lineRule="atLeast"/>
              <w:ind w:left="4" w:right="-15"/>
              <w:rPr>
                <w:rFonts w:hint="eastAsia" w:ascii="宋体" w:hAnsi="宋体" w:eastAsia="宋体" w:cs="宋体"/>
                <w:color w:val="auto"/>
                <w:lang w:bidi="ar"/>
              </w:rPr>
            </w:pPr>
            <w:r>
              <w:rPr>
                <w:rFonts w:hint="eastAsia" w:ascii="宋体" w:hAnsi="宋体" w:eastAsia="宋体" w:cs="宋体"/>
                <w:color w:val="auto"/>
                <w:lang w:val="en-US" w:eastAsia="zh-CN" w:bidi="ar"/>
              </w:rPr>
              <w:t xml:space="preserve">②货源组织及包装运输方案； </w:t>
            </w:r>
          </w:p>
          <w:p w14:paraId="080EF5D2">
            <w:pPr>
              <w:spacing w:before="1" w:line="340" w:lineRule="atLeast"/>
              <w:ind w:left="4" w:right="-15"/>
              <w:rPr>
                <w:rFonts w:hint="eastAsia" w:ascii="宋体" w:hAnsi="宋体" w:eastAsia="宋体" w:cs="宋体"/>
                <w:color w:val="auto"/>
                <w:lang w:bidi="ar"/>
              </w:rPr>
            </w:pPr>
            <w:r>
              <w:rPr>
                <w:rFonts w:hint="eastAsia" w:ascii="宋体" w:hAnsi="宋体" w:eastAsia="宋体" w:cs="宋体"/>
                <w:color w:val="auto"/>
                <w:lang w:val="en-US" w:eastAsia="zh-CN" w:bidi="ar"/>
              </w:rPr>
              <w:t xml:space="preserve">③人员配置及分工； </w:t>
            </w:r>
          </w:p>
          <w:p w14:paraId="129D78FB">
            <w:pPr>
              <w:spacing w:before="1" w:line="340" w:lineRule="atLeast"/>
              <w:ind w:left="4" w:right="-15"/>
              <w:rPr>
                <w:rFonts w:hint="eastAsia" w:ascii="宋体" w:hAnsi="宋体" w:eastAsia="宋体" w:cs="宋体"/>
                <w:color w:val="auto"/>
                <w:lang w:bidi="ar"/>
              </w:rPr>
            </w:pPr>
            <w:r>
              <w:rPr>
                <w:rFonts w:hint="eastAsia" w:ascii="宋体" w:hAnsi="宋体" w:eastAsia="宋体" w:cs="宋体"/>
                <w:color w:val="auto"/>
                <w:lang w:val="en-US" w:eastAsia="zh-CN" w:bidi="ar"/>
              </w:rPr>
              <w:t xml:space="preserve">④应急预案； </w:t>
            </w:r>
          </w:p>
          <w:p w14:paraId="4BDE11F8">
            <w:pPr>
              <w:spacing w:before="1" w:line="340" w:lineRule="atLeast"/>
              <w:ind w:left="4" w:right="-15"/>
              <w:rPr>
                <w:rFonts w:hint="default"/>
                <w:color w:val="auto"/>
                <w:szCs w:val="21"/>
                <w:lang w:val="zh-CN"/>
              </w:rPr>
            </w:pPr>
            <w:r>
              <w:rPr>
                <w:rFonts w:hint="eastAsia" w:ascii="宋体" w:hAnsi="宋体" w:eastAsia="宋体" w:cs="宋体"/>
                <w:color w:val="auto"/>
                <w:lang w:val="en-US" w:eastAsia="zh-CN" w:bidi="ar"/>
              </w:rPr>
              <w:t>⑤时间进度安排等内容进行评审。内容齐全、描述详细、与本项目需求及实际情况吻合得 10 分，任意一项内容缺失扣 2 分，每有一处内容存在不足（存在不足是指逻辑不严谨、内容不完整、表述不清晰、实操性不强或不符合项目实际情况）扣 1 分，直至本项 10 分扣完为止。</w:t>
            </w:r>
          </w:p>
        </w:tc>
      </w:tr>
      <w:tr w14:paraId="142EB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0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E3DFCD">
            <w:pPr>
              <w:spacing w:before="7"/>
              <w:rPr>
                <w:rFonts w:hint="default"/>
                <w:color w:val="auto"/>
                <w:szCs w:val="21"/>
                <w:lang w:val="zh-CN"/>
              </w:rPr>
            </w:pPr>
            <w:r>
              <w:rPr>
                <w:rFonts w:hAnsi="宋体" w:cs="宋体"/>
                <w:color w:val="auto"/>
                <w:szCs w:val="21"/>
              </w:rPr>
              <w:t>培训计划</w:t>
            </w:r>
          </w:p>
        </w:tc>
        <w:tc>
          <w:tcPr>
            <w:tcW w:w="11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50C1FA">
            <w:pPr>
              <w:spacing w:before="1"/>
              <w:ind w:firstLine="240" w:firstLineChars="100"/>
              <w:rPr>
                <w:rFonts w:hint="default"/>
                <w:color w:val="auto"/>
                <w:szCs w:val="21"/>
                <w:lang w:val="zh-CN"/>
              </w:rPr>
            </w:pPr>
            <w:r>
              <w:rPr>
                <w:color w:val="auto"/>
                <w:szCs w:val="21"/>
                <w:lang w:val="zh-CN"/>
              </w:rPr>
              <w:t>0-</w:t>
            </w:r>
            <w:r>
              <w:rPr>
                <w:rFonts w:hint="eastAsia"/>
                <w:color w:val="auto"/>
                <w:szCs w:val="21"/>
                <w:lang w:val="en-US" w:eastAsia="zh-CN"/>
              </w:rPr>
              <w:t>4</w:t>
            </w:r>
            <w:r>
              <w:rPr>
                <w:color w:val="auto"/>
                <w:szCs w:val="21"/>
                <w:lang w:val="zh-CN"/>
              </w:rPr>
              <w:t xml:space="preserve"> 分</w:t>
            </w:r>
          </w:p>
        </w:tc>
        <w:tc>
          <w:tcPr>
            <w:tcW w:w="5813" w:type="dxa"/>
            <w:tcBorders>
              <w:top w:val="single" w:color="000000" w:sz="8" w:space="0"/>
              <w:left w:val="single" w:color="000000" w:sz="8" w:space="0"/>
              <w:bottom w:val="single" w:color="000000" w:sz="8" w:space="0"/>
              <w:right w:val="single" w:color="000000" w:sz="8" w:space="0"/>
            </w:tcBorders>
            <w:shd w:val="clear" w:color="auto" w:fill="FFFFFF"/>
          </w:tcPr>
          <w:p w14:paraId="20F2CAD8">
            <w:pPr>
              <w:spacing w:before="1" w:line="340" w:lineRule="atLeast"/>
              <w:ind w:left="4" w:right="-15"/>
              <w:rPr>
                <w:rFonts w:hAnsi="宋体" w:cs="宋体"/>
                <w:color w:val="auto"/>
                <w:lang w:bidi="ar"/>
              </w:rPr>
            </w:pPr>
            <w:r>
              <w:rPr>
                <w:rFonts w:hint="eastAsia" w:ascii="宋体" w:hAnsi="宋体" w:eastAsia="宋体" w:cs="宋体"/>
                <w:color w:val="auto"/>
                <w:lang w:bidi="ar"/>
              </w:rPr>
              <w:t>内容包括:1、培训内容;2、培训方式;3、培训覆盖面;4预期培训效果等，以上内容完整且完全满足项目要求得4分，每缺失一项内容扣 1分,每项内容中每有一处内容缺陷扣 0.5 分(缺陷是指:存在不适用项目实际情况的情形、凭空编造、内容前后不一致、前后逻辑错误、涉及的规范及标准错误、地点区域错误、内容遗漏、不符合采购需求等)，扣完为止。</w:t>
            </w:r>
          </w:p>
        </w:tc>
      </w:tr>
      <w:tr w14:paraId="286B5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0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42D773">
            <w:pPr>
              <w:spacing w:before="7"/>
              <w:rPr>
                <w:rFonts w:ascii="宋体" w:hAnsi="宋体" w:eastAsia="宋体" w:cs="宋体"/>
                <w:color w:val="auto"/>
                <w:szCs w:val="21"/>
              </w:rPr>
            </w:pPr>
            <w:r>
              <w:rPr>
                <w:rFonts w:hint="eastAsia" w:ascii="宋体" w:hAnsi="宋体" w:eastAsia="宋体" w:cs="宋体"/>
                <w:color w:val="auto"/>
                <w:szCs w:val="21"/>
                <w:lang w:val="en-US" w:eastAsia="zh-CN"/>
              </w:rPr>
              <w:t>备品备件及应急保障</w:t>
            </w:r>
          </w:p>
          <w:p w14:paraId="07838175">
            <w:pPr>
              <w:spacing w:before="7"/>
              <w:rPr>
                <w:rFonts w:hAnsi="宋体" w:cs="宋体"/>
                <w:color w:val="auto"/>
                <w:szCs w:val="21"/>
              </w:rPr>
            </w:pPr>
          </w:p>
        </w:tc>
        <w:tc>
          <w:tcPr>
            <w:tcW w:w="11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25156E">
            <w:pPr>
              <w:spacing w:before="1"/>
              <w:ind w:firstLine="240" w:firstLineChars="100"/>
              <w:rPr>
                <w:rFonts w:hint="default" w:eastAsia="宋体"/>
                <w:color w:val="auto"/>
                <w:szCs w:val="21"/>
                <w:lang w:val="en-US" w:eastAsia="zh-CN"/>
              </w:rPr>
            </w:pPr>
            <w:r>
              <w:rPr>
                <w:rFonts w:hint="eastAsia"/>
                <w:color w:val="auto"/>
                <w:szCs w:val="21"/>
                <w:lang w:val="en-US" w:eastAsia="zh-CN"/>
              </w:rPr>
              <w:t>0-4分</w:t>
            </w:r>
          </w:p>
        </w:tc>
        <w:tc>
          <w:tcPr>
            <w:tcW w:w="5813" w:type="dxa"/>
            <w:tcBorders>
              <w:top w:val="single" w:color="000000" w:sz="8" w:space="0"/>
              <w:left w:val="single" w:color="000000" w:sz="8" w:space="0"/>
              <w:bottom w:val="single" w:color="000000" w:sz="8" w:space="0"/>
              <w:right w:val="single" w:color="000000" w:sz="8" w:space="0"/>
            </w:tcBorders>
            <w:shd w:val="clear" w:color="auto" w:fill="FFFFFF"/>
          </w:tcPr>
          <w:p w14:paraId="3F27F5C5">
            <w:pPr>
              <w:spacing w:before="1" w:line="340" w:lineRule="atLeast"/>
              <w:ind w:left="4" w:right="-15"/>
              <w:rPr>
                <w:rFonts w:hint="default" w:ascii="宋体" w:hAnsi="宋体" w:eastAsia="宋体" w:cs="宋体"/>
                <w:color w:val="auto"/>
                <w:lang w:val="en-US" w:bidi="ar"/>
              </w:rPr>
            </w:pPr>
            <w:r>
              <w:rPr>
                <w:rFonts w:hint="eastAsia" w:ascii="宋体" w:hAnsi="宋体" w:eastAsia="宋体" w:cs="宋体"/>
                <w:color w:val="auto"/>
                <w:lang w:val="en-US" w:eastAsia="zh-CN" w:bidi="ar"/>
              </w:rPr>
              <w:t>1、有详细完善的备品备件库（提供清单），当有紧急情况发生时，可保障采购人设备的使用，附证明材料得2分，未提供不得分。</w:t>
            </w:r>
          </w:p>
          <w:p w14:paraId="23CBEACB">
            <w:pPr>
              <w:spacing w:before="1" w:line="340" w:lineRule="atLeast"/>
              <w:ind w:left="4" w:right="-15"/>
              <w:rPr>
                <w:rFonts w:hint="eastAsia" w:ascii="宋体" w:hAnsi="宋体" w:eastAsia="宋体" w:cs="宋体"/>
                <w:color w:val="auto"/>
                <w:lang w:bidi="ar"/>
              </w:rPr>
            </w:pPr>
            <w:r>
              <w:rPr>
                <w:rFonts w:hint="eastAsia" w:ascii="宋体" w:hAnsi="宋体" w:eastAsia="宋体" w:cs="宋体"/>
                <w:color w:val="auto"/>
                <w:lang w:val="en-US" w:eastAsia="zh-CN" w:bidi="ar"/>
              </w:rPr>
              <w:t>2、提供为疆内设备专业维修人员缴纳社保证明的，得 2 分，未提供不得分。</w:t>
            </w:r>
          </w:p>
        </w:tc>
      </w:tr>
      <w:tr w14:paraId="0A2BE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BEE28A">
            <w:pPr>
              <w:spacing w:before="1" w:line="340" w:lineRule="atLeast"/>
              <w:ind w:left="4" w:right="-15"/>
              <w:rPr>
                <w:rFonts w:hint="default" w:ascii="宋体" w:hAnsi="宋体" w:eastAsia="宋体" w:cs="宋体"/>
                <w:color w:val="auto"/>
                <w:lang w:val="en-US" w:eastAsia="zh-CN" w:bidi="ar"/>
              </w:rPr>
            </w:pPr>
            <w:r>
              <w:rPr>
                <w:rFonts w:hint="eastAsia" w:ascii="宋体" w:hAnsi="宋体" w:eastAsia="宋体" w:cs="宋体"/>
                <w:color w:val="auto"/>
                <w:lang w:val="en-US" w:eastAsia="zh-CN" w:bidi="ar"/>
              </w:rPr>
              <w:t>优惠条款</w:t>
            </w:r>
          </w:p>
        </w:tc>
        <w:tc>
          <w:tcPr>
            <w:tcW w:w="11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629B2E">
            <w:pPr>
              <w:spacing w:before="1" w:line="340" w:lineRule="atLeast"/>
              <w:ind w:left="4" w:right="-15" w:firstLine="240" w:firstLineChars="100"/>
              <w:rPr>
                <w:rFonts w:hint="default" w:ascii="宋体" w:hAnsi="宋体" w:eastAsia="宋体" w:cs="宋体"/>
                <w:color w:val="auto"/>
                <w:lang w:val="en-US" w:eastAsia="zh-CN" w:bidi="ar"/>
              </w:rPr>
            </w:pPr>
            <w:r>
              <w:rPr>
                <w:rFonts w:hint="eastAsia" w:ascii="宋体" w:hAnsi="宋体" w:eastAsia="宋体" w:cs="宋体"/>
                <w:color w:val="auto"/>
                <w:lang w:val="en-US" w:eastAsia="zh-CN" w:bidi="ar"/>
              </w:rPr>
              <w:t>0-2分</w:t>
            </w:r>
          </w:p>
        </w:tc>
        <w:tc>
          <w:tcPr>
            <w:tcW w:w="58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1D4D55">
            <w:pPr>
              <w:spacing w:before="1" w:line="340" w:lineRule="atLeast"/>
              <w:ind w:left="4" w:right="-15"/>
              <w:rPr>
                <w:rFonts w:hint="eastAsia" w:ascii="宋体" w:hAnsi="宋体" w:eastAsia="宋体" w:cs="宋体"/>
                <w:color w:val="auto"/>
                <w:lang w:val="en-US" w:eastAsia="zh-CN" w:bidi="ar"/>
              </w:rPr>
            </w:pPr>
            <w:r>
              <w:rPr>
                <w:rFonts w:hint="eastAsia" w:ascii="宋体" w:hAnsi="宋体" w:eastAsia="宋体" w:cs="宋体"/>
                <w:color w:val="auto"/>
                <w:lang w:val="en-US" w:eastAsia="zh-CN" w:bidi="ar"/>
              </w:rPr>
              <w:t xml:space="preserve">质保期每延长一年加 1 </w:t>
            </w:r>
            <w:r>
              <w:rPr>
                <w:rFonts w:hint="default" w:ascii="宋体" w:hAnsi="宋体" w:eastAsia="宋体" w:cs="宋体"/>
                <w:color w:val="auto"/>
                <w:lang w:val="en-US" w:eastAsia="zh-CN" w:bidi="ar"/>
              </w:rPr>
              <w:t xml:space="preserve">分，本项最高得 </w:t>
            </w:r>
            <w:r>
              <w:rPr>
                <w:rFonts w:hint="eastAsia" w:ascii="宋体" w:hAnsi="宋体" w:eastAsia="宋体" w:cs="宋体"/>
                <w:color w:val="auto"/>
                <w:lang w:val="en-US" w:eastAsia="zh-CN" w:bidi="ar"/>
              </w:rPr>
              <w:t xml:space="preserve">2 </w:t>
            </w:r>
            <w:r>
              <w:rPr>
                <w:rFonts w:hint="default" w:ascii="宋体" w:hAnsi="宋体" w:eastAsia="宋体" w:cs="宋体"/>
                <w:color w:val="auto"/>
                <w:lang w:val="en-US" w:eastAsia="zh-CN" w:bidi="ar"/>
              </w:rPr>
              <w:t>分</w:t>
            </w:r>
          </w:p>
        </w:tc>
      </w:tr>
    </w:tbl>
    <w:p w14:paraId="159D4AC7">
      <w:pPr>
        <w:spacing w:before="49"/>
        <w:ind w:left="408"/>
        <w:rPr>
          <w:b/>
          <w:color w:val="auto"/>
        </w:rPr>
      </w:pPr>
      <w:bookmarkStart w:id="49" w:name="（三）商务部分（30分）"/>
      <w:bookmarkEnd w:id="49"/>
    </w:p>
    <w:p w14:paraId="4AA62165">
      <w:pPr>
        <w:spacing w:before="49"/>
        <w:ind w:left="408"/>
        <w:rPr>
          <w:rFonts w:hint="default"/>
          <w:b/>
          <w:color w:val="auto"/>
        </w:rPr>
      </w:pPr>
      <w:r>
        <w:rPr>
          <w:b/>
          <w:color w:val="auto"/>
        </w:rPr>
        <w:t>商务部分（</w:t>
      </w:r>
      <w:r>
        <w:rPr>
          <w:rFonts w:hint="eastAsia"/>
          <w:b/>
          <w:color w:val="auto"/>
          <w:lang w:val="en-US" w:eastAsia="zh-CN"/>
        </w:rPr>
        <w:t>6</w:t>
      </w:r>
      <w:r>
        <w:rPr>
          <w:b/>
          <w:color w:val="auto"/>
        </w:rPr>
        <w:t>分）</w:t>
      </w:r>
    </w:p>
    <w:tbl>
      <w:tblPr>
        <w:tblStyle w:val="20"/>
        <w:tblW w:w="8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0"/>
        <w:gridCol w:w="1395"/>
        <w:gridCol w:w="5554"/>
      </w:tblGrid>
      <w:tr w14:paraId="32C30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610" w:type="dxa"/>
          </w:tcPr>
          <w:p w14:paraId="0758125C">
            <w:pPr>
              <w:tabs>
                <w:tab w:val="left" w:pos="727"/>
              </w:tabs>
              <w:spacing w:before="31" w:line="288" w:lineRule="exact"/>
              <w:ind w:left="7"/>
              <w:jc w:val="center"/>
              <w:rPr>
                <w:rFonts w:ascii="宋体" w:hAnsi="Times New Roman" w:eastAsia="宋体" w:cs="Times New Roman"/>
                <w:color w:val="auto"/>
                <w:lang w:val="zh-CN" w:bidi="zh-CN"/>
              </w:rPr>
            </w:pPr>
            <w:r>
              <w:rPr>
                <w:rFonts w:ascii="宋体" w:hAnsi="Times New Roman" w:eastAsia="宋体" w:cs="Times New Roman"/>
                <w:color w:val="auto"/>
                <w:lang w:val="zh-CN" w:bidi="zh-CN"/>
              </w:rPr>
              <w:t>评审项目</w:t>
            </w:r>
          </w:p>
        </w:tc>
        <w:tc>
          <w:tcPr>
            <w:tcW w:w="1395" w:type="dxa"/>
          </w:tcPr>
          <w:p w14:paraId="390BEB0E">
            <w:pPr>
              <w:spacing w:before="31" w:line="288" w:lineRule="exact"/>
              <w:ind w:left="389"/>
              <w:rPr>
                <w:rFonts w:hint="default"/>
                <w:color w:val="auto"/>
                <w:lang w:val="zh-CN" w:bidi="zh-CN"/>
              </w:rPr>
            </w:pPr>
            <w:r>
              <w:rPr>
                <w:color w:val="auto"/>
                <w:lang w:val="zh-CN" w:bidi="zh-CN"/>
              </w:rPr>
              <w:t>分值</w:t>
            </w:r>
          </w:p>
        </w:tc>
        <w:tc>
          <w:tcPr>
            <w:tcW w:w="5554" w:type="dxa"/>
          </w:tcPr>
          <w:p w14:paraId="492C3175">
            <w:pPr>
              <w:tabs>
                <w:tab w:val="left" w:pos="727"/>
              </w:tabs>
              <w:spacing w:before="31" w:line="288" w:lineRule="exact"/>
              <w:ind w:left="7"/>
              <w:jc w:val="center"/>
              <w:rPr>
                <w:rFonts w:hint="default"/>
                <w:color w:val="auto"/>
                <w:lang w:val="zh-CN" w:bidi="zh-CN"/>
              </w:rPr>
            </w:pPr>
            <w:r>
              <w:rPr>
                <w:color w:val="auto"/>
                <w:lang w:val="zh-CN" w:bidi="zh-CN"/>
              </w:rPr>
              <w:t>内</w:t>
            </w:r>
            <w:r>
              <w:rPr>
                <w:color w:val="auto"/>
                <w:lang w:val="zh-CN" w:bidi="zh-CN"/>
              </w:rPr>
              <w:tab/>
            </w:r>
            <w:r>
              <w:rPr>
                <w:color w:val="auto"/>
                <w:lang w:val="zh-CN" w:bidi="zh-CN"/>
              </w:rPr>
              <w:t>容</w:t>
            </w:r>
          </w:p>
        </w:tc>
      </w:tr>
      <w:tr w14:paraId="20742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1610" w:type="dxa"/>
          </w:tcPr>
          <w:p w14:paraId="04171315">
            <w:pPr>
              <w:spacing w:before="16"/>
              <w:ind w:left="6"/>
              <w:jc w:val="center"/>
              <w:rPr>
                <w:color w:val="auto"/>
                <w:szCs w:val="21"/>
                <w:lang w:val="zh-CN" w:bidi="zh-CN"/>
              </w:rPr>
            </w:pPr>
          </w:p>
          <w:p w14:paraId="0C938B9F">
            <w:pPr>
              <w:spacing w:before="16"/>
              <w:ind w:left="6"/>
              <w:jc w:val="center"/>
              <w:rPr>
                <w:rFonts w:hint="default"/>
                <w:color w:val="auto"/>
                <w:szCs w:val="21"/>
                <w:lang w:val="zh-CN" w:bidi="zh-CN"/>
              </w:rPr>
            </w:pPr>
            <w:r>
              <w:rPr>
                <w:color w:val="auto"/>
                <w:szCs w:val="21"/>
                <w:lang w:val="zh-CN" w:bidi="zh-CN"/>
              </w:rPr>
              <w:t>业绩</w:t>
            </w:r>
          </w:p>
        </w:tc>
        <w:tc>
          <w:tcPr>
            <w:tcW w:w="1395" w:type="dxa"/>
            <w:vAlign w:val="center"/>
          </w:tcPr>
          <w:p w14:paraId="17EAACBD">
            <w:pPr>
              <w:spacing w:before="16"/>
              <w:ind w:right="318"/>
              <w:jc w:val="center"/>
              <w:rPr>
                <w:rFonts w:hint="default"/>
                <w:color w:val="auto"/>
                <w:szCs w:val="21"/>
                <w:lang w:val="zh-CN" w:bidi="zh-CN"/>
              </w:rPr>
            </w:pPr>
            <w:r>
              <w:rPr>
                <w:color w:val="auto"/>
                <w:szCs w:val="21"/>
                <w:lang w:val="zh-CN" w:bidi="zh-CN"/>
              </w:rPr>
              <w:t>0-</w:t>
            </w:r>
            <w:r>
              <w:rPr>
                <w:rFonts w:hint="eastAsia"/>
                <w:color w:val="auto"/>
                <w:szCs w:val="21"/>
                <w:lang w:val="en-US" w:bidi="zh-CN"/>
              </w:rPr>
              <w:t>6</w:t>
            </w:r>
            <w:r>
              <w:rPr>
                <w:color w:val="auto"/>
                <w:szCs w:val="21"/>
                <w:lang w:val="zh-CN" w:bidi="zh-CN"/>
              </w:rPr>
              <w:t>分</w:t>
            </w:r>
          </w:p>
        </w:tc>
        <w:tc>
          <w:tcPr>
            <w:tcW w:w="5554" w:type="dxa"/>
          </w:tcPr>
          <w:p w14:paraId="3EEA4707">
            <w:pPr>
              <w:spacing w:before="31" w:line="304" w:lineRule="exact"/>
              <w:ind w:left="5"/>
              <w:rPr>
                <w:rFonts w:hint="default"/>
                <w:color w:val="auto"/>
                <w:szCs w:val="21"/>
                <w:lang w:val="zh-CN" w:bidi="zh-CN"/>
              </w:rPr>
            </w:pPr>
            <w:r>
              <w:rPr>
                <w:color w:val="auto"/>
                <w:szCs w:val="21"/>
                <w:lang w:val="zh-CN" w:bidi="zh-CN"/>
              </w:rPr>
              <w:t>近三年</w:t>
            </w:r>
            <w:r>
              <w:rPr>
                <w:rFonts w:hint="eastAsia"/>
                <w:color w:val="auto"/>
                <w:szCs w:val="21"/>
                <w:lang w:val="zh-CN" w:bidi="zh-CN"/>
              </w:rPr>
              <w:t>（</w:t>
            </w:r>
            <w:r>
              <w:rPr>
                <w:rFonts w:hint="eastAsia"/>
                <w:color w:val="auto"/>
                <w:szCs w:val="21"/>
                <w:lang w:val="en-US" w:bidi="zh-CN"/>
              </w:rPr>
              <w:t>2022年1月1日至今</w:t>
            </w:r>
            <w:r>
              <w:rPr>
                <w:rFonts w:hint="eastAsia"/>
                <w:color w:val="auto"/>
                <w:szCs w:val="21"/>
                <w:lang w:val="zh-CN" w:bidi="zh-CN"/>
              </w:rPr>
              <w:t>）</w:t>
            </w:r>
            <w:r>
              <w:rPr>
                <w:color w:val="auto"/>
                <w:szCs w:val="21"/>
                <w:lang w:val="zh-CN" w:bidi="zh-CN"/>
              </w:rPr>
              <w:t>类似本项目的业绩：每个业绩得</w:t>
            </w:r>
            <w:r>
              <w:rPr>
                <w:color w:val="auto"/>
                <w:szCs w:val="21"/>
                <w:lang w:bidi="zh-CN"/>
              </w:rPr>
              <w:t>1</w:t>
            </w:r>
            <w:r>
              <w:rPr>
                <w:color w:val="auto"/>
                <w:szCs w:val="21"/>
                <w:lang w:val="zh-CN" w:bidi="zh-CN"/>
              </w:rPr>
              <w:t>分，最高得</w:t>
            </w:r>
            <w:r>
              <w:rPr>
                <w:rFonts w:hint="eastAsia"/>
                <w:color w:val="auto"/>
                <w:szCs w:val="21"/>
                <w:lang w:val="en-US" w:bidi="zh-CN"/>
              </w:rPr>
              <w:t>6</w:t>
            </w:r>
            <w:r>
              <w:rPr>
                <w:color w:val="auto"/>
                <w:szCs w:val="21"/>
                <w:lang w:val="zh-CN" w:bidi="zh-CN"/>
              </w:rPr>
              <w:t>分。（附合同或中标通知书复印件，未按要求提供相应证明资料的不得分）</w:t>
            </w:r>
          </w:p>
        </w:tc>
      </w:tr>
    </w:tbl>
    <w:p w14:paraId="5704C53D">
      <w:pPr>
        <w:pStyle w:val="8"/>
        <w:rPr>
          <w:rFonts w:hint="default"/>
          <w:color w:val="auto"/>
        </w:rPr>
      </w:pPr>
    </w:p>
    <w:p w14:paraId="165AFF90">
      <w:pPr>
        <w:pStyle w:val="8"/>
        <w:kinsoku w:val="0"/>
        <w:overflowPunct w:val="0"/>
        <w:spacing w:before="1" w:line="477" w:lineRule="auto"/>
        <w:ind w:right="237"/>
        <w:rPr>
          <w:rFonts w:hint="default"/>
          <w:color w:val="auto"/>
        </w:rPr>
      </w:pPr>
      <w:r>
        <w:rPr>
          <w:color w:val="auto"/>
          <w:spacing w:val="-3"/>
        </w:rPr>
        <w:t>1、评标委员会应当执行连续评标的原则完成全部评标工作。只有发生不可</w:t>
      </w:r>
      <w:r>
        <w:rPr>
          <w:color w:val="auto"/>
        </w:rPr>
        <w:t xml:space="preserve"> </w:t>
      </w:r>
      <w:r>
        <w:rPr>
          <w:color w:val="auto"/>
          <w:spacing w:val="-3"/>
        </w:rPr>
        <w:t>抗力导致评标工作无法继续时，评标活动方可暂停。发生评标暂停情况时，评标委员会应当封存全部投标文件和评标记录，待不可抗力的影响结束且具备继续评</w:t>
      </w:r>
      <w:r>
        <w:rPr>
          <w:color w:val="auto"/>
          <w:spacing w:val="-109"/>
        </w:rPr>
        <w:t xml:space="preserve"> </w:t>
      </w:r>
      <w:r>
        <w:rPr>
          <w:color w:val="auto"/>
        </w:rPr>
        <w:t>标的条件时，由原评标委员会继续评标。</w:t>
      </w:r>
    </w:p>
    <w:p w14:paraId="72C58749">
      <w:pPr>
        <w:pStyle w:val="8"/>
        <w:kinsoku w:val="0"/>
        <w:overflowPunct w:val="0"/>
        <w:spacing w:before="72" w:line="477" w:lineRule="auto"/>
        <w:ind w:right="237"/>
        <w:jc w:val="both"/>
        <w:rPr>
          <w:rFonts w:hint="default"/>
          <w:color w:val="auto"/>
        </w:rPr>
      </w:pPr>
      <w:r>
        <w:rPr>
          <w:color w:val="auto"/>
          <w:spacing w:val="-3"/>
        </w:rPr>
        <w:t>2、除非发生下列情况之一，评标委员会成员不得在评标中途更换：(1)因不</w:t>
      </w:r>
      <w:r>
        <w:rPr>
          <w:color w:val="auto"/>
        </w:rPr>
        <w:t xml:space="preserve"> 可抗拒的客观原因，不能到场或需在评标中途退出评标活动；(2)根据法律法规</w:t>
      </w:r>
      <w:r>
        <w:rPr>
          <w:color w:val="auto"/>
          <w:spacing w:val="-99"/>
        </w:rPr>
        <w:t xml:space="preserve"> </w:t>
      </w:r>
      <w:r>
        <w:rPr>
          <w:color w:val="auto"/>
          <w:spacing w:val="-3"/>
        </w:rPr>
        <w:t>规定，某个或某几个评标委员会成员需要回避。退出评标的评标委员会成员，其</w:t>
      </w:r>
      <w:r>
        <w:rPr>
          <w:color w:val="auto"/>
          <w:spacing w:val="-111"/>
        </w:rPr>
        <w:t xml:space="preserve"> </w:t>
      </w:r>
      <w:r>
        <w:rPr>
          <w:color w:val="auto"/>
          <w:spacing w:val="-3"/>
        </w:rPr>
        <w:t>已完成的评标行为无效。根据本招标文件规定的评标委员会成员产生方式另行确</w:t>
      </w:r>
      <w:r>
        <w:rPr>
          <w:color w:val="auto"/>
          <w:spacing w:val="-109"/>
        </w:rPr>
        <w:t xml:space="preserve"> </w:t>
      </w:r>
      <w:r>
        <w:rPr>
          <w:color w:val="auto"/>
        </w:rPr>
        <w:t>定替代者进行评标。</w:t>
      </w:r>
    </w:p>
    <w:p w14:paraId="3D186D37">
      <w:pPr>
        <w:pStyle w:val="8"/>
        <w:kinsoku w:val="0"/>
        <w:overflowPunct w:val="0"/>
        <w:spacing w:before="72" w:line="477" w:lineRule="auto"/>
        <w:ind w:right="237"/>
        <w:rPr>
          <w:rFonts w:hint="default"/>
          <w:color w:val="auto"/>
        </w:rPr>
      </w:pPr>
      <w:r>
        <w:rPr>
          <w:color w:val="auto"/>
        </w:rPr>
        <w:t>3、在任何评标环节中，需评标委员会就某项评审结论做出表决的，由评标 委员会全体成员按照少数服从多数的原则，以记名投票方式表决。</w:t>
      </w:r>
    </w:p>
    <w:p w14:paraId="603824AA">
      <w:pPr>
        <w:pStyle w:val="8"/>
        <w:kinsoku w:val="0"/>
        <w:overflowPunct w:val="0"/>
        <w:spacing w:before="72" w:line="477" w:lineRule="auto"/>
        <w:ind w:right="117"/>
        <w:rPr>
          <w:rFonts w:hint="default"/>
          <w:color w:val="auto"/>
        </w:rPr>
      </w:pPr>
      <w:r>
        <w:rPr>
          <w:color w:val="auto"/>
          <w:spacing w:val="-3"/>
        </w:rPr>
        <w:t>4、推荐投标文件满足招标文件全部实质性要求，投标报价进行政策性扣减，</w:t>
      </w:r>
      <w:r>
        <w:rPr>
          <w:color w:val="auto"/>
        </w:rPr>
        <w:t xml:space="preserve"> </w:t>
      </w:r>
      <w:r>
        <w:rPr>
          <w:color w:val="auto"/>
          <w:spacing w:val="-3"/>
        </w:rPr>
        <w:t>最终依据扣减后的价格得分及商务技术得分总和，按综合得分由低到高顺序排列；综合评分相同，且评标价相同的，按技术评分由高到低顺序排列。综合评分相同，且评标价和技术评分均相同的，名次由评标委员会抽签决定。按照得分由高到低的顺序，</w:t>
      </w:r>
      <w:r>
        <w:rPr>
          <w:color w:val="auto"/>
        </w:rPr>
        <w:t>排名第一的</w:t>
      </w:r>
      <w:r>
        <w:rPr>
          <w:rFonts w:hint="eastAsia"/>
          <w:color w:val="auto"/>
          <w:lang w:eastAsia="zh-CN"/>
        </w:rPr>
        <w:t>供应商</w:t>
      </w:r>
      <w:r>
        <w:rPr>
          <w:color w:val="auto"/>
        </w:rPr>
        <w:t>为第一中标候选人。</w:t>
      </w:r>
    </w:p>
    <w:p w14:paraId="325FC2B7">
      <w:pPr>
        <w:pStyle w:val="8"/>
        <w:kinsoku w:val="0"/>
        <w:overflowPunct w:val="0"/>
        <w:spacing w:before="72" w:line="477" w:lineRule="auto"/>
        <w:ind w:right="117"/>
        <w:rPr>
          <w:rFonts w:hint="default"/>
          <w:color w:val="auto"/>
        </w:rPr>
      </w:pPr>
    </w:p>
    <w:p w14:paraId="0E4F8964">
      <w:pPr>
        <w:pStyle w:val="2"/>
        <w:kinsoku w:val="0"/>
        <w:overflowPunct w:val="0"/>
        <w:spacing w:line="433" w:lineRule="exact"/>
        <w:outlineLvl w:val="9"/>
        <w:rPr>
          <w:rFonts w:hint="default"/>
          <w:color w:val="auto"/>
        </w:rPr>
      </w:pPr>
      <w:bookmarkStart w:id="50" w:name="第五部分_政府采购合同"/>
      <w:bookmarkEnd w:id="50"/>
    </w:p>
    <w:p w14:paraId="3C58B1B6">
      <w:pPr>
        <w:rPr>
          <w:rFonts w:hint="default"/>
          <w:color w:val="auto"/>
        </w:rPr>
      </w:pPr>
    </w:p>
    <w:p w14:paraId="61F9E427">
      <w:pPr>
        <w:pStyle w:val="8"/>
        <w:rPr>
          <w:rFonts w:hint="default"/>
          <w:color w:val="auto"/>
        </w:rPr>
      </w:pPr>
    </w:p>
    <w:p w14:paraId="0A01B6FB">
      <w:pPr>
        <w:pStyle w:val="8"/>
        <w:rPr>
          <w:rFonts w:hint="default"/>
          <w:color w:val="auto"/>
        </w:rPr>
      </w:pPr>
    </w:p>
    <w:p w14:paraId="2927C1B8">
      <w:pPr>
        <w:pStyle w:val="8"/>
        <w:rPr>
          <w:rFonts w:hint="default"/>
          <w:color w:val="auto"/>
        </w:rPr>
      </w:pPr>
    </w:p>
    <w:p w14:paraId="5B85C38A">
      <w:pPr>
        <w:pStyle w:val="8"/>
        <w:rPr>
          <w:rFonts w:hint="default"/>
          <w:color w:val="auto"/>
        </w:rPr>
      </w:pPr>
    </w:p>
    <w:p w14:paraId="6CF7C26D">
      <w:pPr>
        <w:pStyle w:val="2"/>
        <w:kinsoku w:val="0"/>
        <w:overflowPunct w:val="0"/>
        <w:spacing w:line="433" w:lineRule="exact"/>
        <w:ind w:left="3216" w:hanging="840"/>
        <w:outlineLvl w:val="9"/>
        <w:rPr>
          <w:rFonts w:hint="default"/>
          <w:color w:val="auto"/>
        </w:rPr>
      </w:pPr>
    </w:p>
    <w:p w14:paraId="59F99E6B">
      <w:pPr>
        <w:pStyle w:val="2"/>
        <w:kinsoku w:val="0"/>
        <w:overflowPunct w:val="0"/>
        <w:spacing w:line="433" w:lineRule="exact"/>
        <w:ind w:left="3216" w:hanging="840"/>
        <w:outlineLvl w:val="9"/>
        <w:rPr>
          <w:rFonts w:hint="default"/>
          <w:color w:val="auto"/>
        </w:rPr>
      </w:pPr>
    </w:p>
    <w:p w14:paraId="5914C8C2">
      <w:pPr>
        <w:pStyle w:val="2"/>
        <w:kinsoku w:val="0"/>
        <w:overflowPunct w:val="0"/>
        <w:spacing w:line="433" w:lineRule="exact"/>
        <w:ind w:left="3216" w:hanging="840"/>
        <w:outlineLvl w:val="9"/>
        <w:rPr>
          <w:color w:val="auto"/>
        </w:rPr>
      </w:pPr>
    </w:p>
    <w:p w14:paraId="046E76EA">
      <w:pPr>
        <w:pStyle w:val="2"/>
        <w:kinsoku w:val="0"/>
        <w:overflowPunct w:val="0"/>
        <w:spacing w:line="433" w:lineRule="exact"/>
        <w:ind w:left="3216" w:hanging="840"/>
        <w:outlineLvl w:val="9"/>
        <w:rPr>
          <w:color w:val="auto"/>
        </w:rPr>
      </w:pPr>
    </w:p>
    <w:p w14:paraId="32C39A9B">
      <w:pPr>
        <w:pStyle w:val="2"/>
        <w:kinsoku w:val="0"/>
        <w:overflowPunct w:val="0"/>
        <w:spacing w:line="433" w:lineRule="exact"/>
        <w:ind w:left="3216" w:hanging="840"/>
        <w:outlineLvl w:val="9"/>
        <w:rPr>
          <w:color w:val="auto"/>
        </w:rPr>
      </w:pPr>
    </w:p>
    <w:p w14:paraId="164EF326">
      <w:pPr>
        <w:pStyle w:val="2"/>
        <w:kinsoku w:val="0"/>
        <w:overflowPunct w:val="0"/>
        <w:spacing w:line="433" w:lineRule="exact"/>
        <w:ind w:left="3216" w:hanging="840"/>
        <w:outlineLvl w:val="9"/>
        <w:rPr>
          <w:color w:val="auto"/>
        </w:rPr>
      </w:pPr>
    </w:p>
    <w:p w14:paraId="60FF1796">
      <w:pPr>
        <w:pStyle w:val="2"/>
        <w:kinsoku w:val="0"/>
        <w:overflowPunct w:val="0"/>
        <w:spacing w:line="433" w:lineRule="exact"/>
        <w:ind w:left="3216" w:hanging="840"/>
        <w:outlineLvl w:val="9"/>
        <w:rPr>
          <w:color w:val="auto"/>
        </w:rPr>
      </w:pPr>
    </w:p>
    <w:p w14:paraId="770B5412">
      <w:pPr>
        <w:pStyle w:val="2"/>
        <w:kinsoku w:val="0"/>
        <w:overflowPunct w:val="0"/>
        <w:spacing w:line="433" w:lineRule="exact"/>
        <w:ind w:left="3216" w:hanging="840"/>
        <w:outlineLvl w:val="9"/>
        <w:rPr>
          <w:color w:val="auto"/>
        </w:rPr>
      </w:pPr>
    </w:p>
    <w:p w14:paraId="1635D26E">
      <w:pPr>
        <w:pStyle w:val="2"/>
        <w:kinsoku w:val="0"/>
        <w:overflowPunct w:val="0"/>
        <w:spacing w:line="433" w:lineRule="exact"/>
        <w:ind w:left="3216" w:hanging="840"/>
        <w:outlineLvl w:val="9"/>
        <w:rPr>
          <w:color w:val="auto"/>
        </w:rPr>
      </w:pPr>
    </w:p>
    <w:p w14:paraId="1EB89EB5">
      <w:pPr>
        <w:pStyle w:val="2"/>
        <w:kinsoku w:val="0"/>
        <w:overflowPunct w:val="0"/>
        <w:spacing w:line="433" w:lineRule="exact"/>
        <w:ind w:left="3216" w:hanging="840"/>
        <w:outlineLvl w:val="9"/>
        <w:rPr>
          <w:color w:val="auto"/>
        </w:rPr>
      </w:pPr>
    </w:p>
    <w:p w14:paraId="0440A0F3">
      <w:pPr>
        <w:pStyle w:val="2"/>
        <w:kinsoku w:val="0"/>
        <w:overflowPunct w:val="0"/>
        <w:spacing w:line="433" w:lineRule="exact"/>
        <w:ind w:left="3216" w:hanging="840"/>
        <w:outlineLvl w:val="9"/>
        <w:rPr>
          <w:color w:val="auto"/>
        </w:rPr>
      </w:pPr>
    </w:p>
    <w:p w14:paraId="0DD00D05">
      <w:pPr>
        <w:pStyle w:val="2"/>
        <w:kinsoku w:val="0"/>
        <w:overflowPunct w:val="0"/>
        <w:spacing w:line="433" w:lineRule="exact"/>
        <w:ind w:left="3216" w:hanging="840"/>
        <w:rPr>
          <w:rFonts w:hint="default"/>
          <w:b w:val="0"/>
          <w:color w:val="auto"/>
        </w:rPr>
      </w:pPr>
      <w:bookmarkStart w:id="51" w:name="_Toc28235"/>
      <w:r>
        <w:rPr>
          <w:color w:val="auto"/>
        </w:rPr>
        <w:t>第五部分</w:t>
      </w:r>
      <w:r>
        <w:rPr>
          <w:color w:val="auto"/>
          <w:spacing w:val="-7"/>
        </w:rPr>
        <w:t xml:space="preserve"> </w:t>
      </w:r>
      <w:r>
        <w:rPr>
          <w:color w:val="auto"/>
        </w:rPr>
        <w:t>政府采购合同</w:t>
      </w:r>
      <w:bookmarkEnd w:id="51"/>
    </w:p>
    <w:p w14:paraId="6750D74C">
      <w:pPr>
        <w:pStyle w:val="2"/>
        <w:kinsoku w:val="0"/>
        <w:overflowPunct w:val="0"/>
        <w:spacing w:line="433" w:lineRule="exact"/>
        <w:ind w:left="3216" w:hanging="840"/>
        <w:outlineLvl w:val="9"/>
        <w:rPr>
          <w:rFonts w:hint="default"/>
          <w:b w:val="0"/>
          <w:color w:val="auto"/>
        </w:rPr>
      </w:pPr>
      <w:bookmarkStart w:id="52" w:name="第一部分_协议书"/>
      <w:bookmarkEnd w:id="52"/>
    </w:p>
    <w:p w14:paraId="14B6A087">
      <w:pPr>
        <w:autoSpaceDE/>
        <w:autoSpaceDN/>
        <w:adjustRightInd/>
        <w:jc w:val="center"/>
        <w:rPr>
          <w:rFonts w:hint="default" w:ascii="Times New Roman" w:eastAsia="Times New Roman"/>
          <w:b/>
          <w:color w:val="auto"/>
          <w:kern w:val="2"/>
          <w:sz w:val="52"/>
          <w:szCs w:val="52"/>
        </w:rPr>
      </w:pPr>
    </w:p>
    <w:p w14:paraId="355C941D">
      <w:pPr>
        <w:autoSpaceDE/>
        <w:autoSpaceDN/>
        <w:adjustRightInd/>
        <w:jc w:val="center"/>
        <w:rPr>
          <w:rFonts w:hint="default" w:ascii="Times New Roman" w:eastAsia="Times New Roman"/>
          <w:b/>
          <w:color w:val="auto"/>
          <w:kern w:val="2"/>
          <w:sz w:val="52"/>
          <w:szCs w:val="52"/>
        </w:rPr>
      </w:pPr>
    </w:p>
    <w:p w14:paraId="3FEDA49C">
      <w:pPr>
        <w:autoSpaceDE/>
        <w:autoSpaceDN/>
        <w:adjustRightInd/>
        <w:spacing w:before="70"/>
        <w:ind w:right="296"/>
        <w:jc w:val="both"/>
        <w:rPr>
          <w:rFonts w:hint="default" w:hAnsi="宋体" w:cs="宋体"/>
          <w:b/>
          <w:color w:val="auto"/>
          <w:kern w:val="2"/>
          <w:sz w:val="32"/>
          <w:szCs w:val="32"/>
        </w:rPr>
      </w:pPr>
    </w:p>
    <w:p w14:paraId="39FB8279">
      <w:pPr>
        <w:rPr>
          <w:rFonts w:ascii="宋体" w:hAnsi="宋体" w:cs="宋体"/>
          <w:b/>
          <w:bCs/>
          <w:color w:val="auto"/>
          <w:spacing w:val="-20"/>
          <w:kern w:val="44"/>
          <w:sz w:val="40"/>
          <w:szCs w:val="40"/>
        </w:rPr>
      </w:pPr>
      <w:bookmarkStart w:id="53" w:name="第六部分_投标文件格式"/>
      <w:bookmarkEnd w:id="53"/>
    </w:p>
    <w:p w14:paraId="79DF94A8">
      <w:pPr>
        <w:rPr>
          <w:rFonts w:ascii="宋体" w:hAnsi="宋体" w:cs="宋体"/>
          <w:b/>
          <w:bCs/>
          <w:color w:val="auto"/>
          <w:spacing w:val="-20"/>
          <w:kern w:val="44"/>
          <w:sz w:val="40"/>
          <w:szCs w:val="40"/>
        </w:rPr>
      </w:pPr>
    </w:p>
    <w:p w14:paraId="1348E81C">
      <w:pPr>
        <w:rPr>
          <w:rFonts w:ascii="宋体" w:hAnsi="宋体" w:cs="宋体"/>
          <w:b/>
          <w:bCs/>
          <w:color w:val="auto"/>
          <w:spacing w:val="-20"/>
          <w:kern w:val="44"/>
          <w:sz w:val="40"/>
          <w:szCs w:val="40"/>
        </w:rPr>
      </w:pPr>
    </w:p>
    <w:p w14:paraId="37F3F179">
      <w:pPr>
        <w:spacing w:line="360" w:lineRule="auto"/>
        <w:ind w:left="48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404DC8C4">
      <w:pPr>
        <w:spacing w:line="360" w:lineRule="auto"/>
        <w:ind w:left="48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652136E9">
      <w:pPr>
        <w:spacing w:line="360" w:lineRule="auto"/>
        <w:ind w:left="48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1F527476">
      <w:pPr>
        <w:spacing w:line="360" w:lineRule="auto"/>
        <w:ind w:left="48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1F3C74BC">
      <w:pPr>
        <w:spacing w:line="360" w:lineRule="auto"/>
        <w:ind w:left="48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1C57BFC1">
      <w:pPr>
        <w:rPr>
          <w:color w:val="auto"/>
        </w:rPr>
      </w:pPr>
    </w:p>
    <w:p w14:paraId="4E72BB12">
      <w:pPr>
        <w:rPr>
          <w:rFonts w:eastAsia="黑体"/>
          <w:color w:val="auto"/>
          <w:sz w:val="44"/>
          <w:szCs w:val="44"/>
        </w:rPr>
      </w:pPr>
      <w:r>
        <w:rPr>
          <w:rFonts w:eastAsia="黑体"/>
          <w:color w:val="auto"/>
          <w:sz w:val="44"/>
          <w:szCs w:val="44"/>
        </w:rPr>
        <w:br w:type="page"/>
      </w:r>
    </w:p>
    <w:p w14:paraId="3E3D6D0F">
      <w:pPr>
        <w:rPr>
          <w:rFonts w:eastAsia="黑体"/>
          <w:color w:val="auto"/>
          <w:sz w:val="44"/>
          <w:szCs w:val="44"/>
        </w:rPr>
      </w:pPr>
    </w:p>
    <w:p w14:paraId="388BACFE">
      <w:pPr>
        <w:rPr>
          <w:rFonts w:eastAsia="黑体"/>
          <w:color w:val="auto"/>
          <w:sz w:val="44"/>
          <w:szCs w:val="44"/>
        </w:rPr>
      </w:pPr>
    </w:p>
    <w:p w14:paraId="2EF76B55">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793A79DA">
      <w:pPr>
        <w:ind w:firstLine="640" w:firstLineChars="200"/>
        <w:rPr>
          <w:rFonts w:hint="eastAsia" w:ascii="仿宋_GB2312" w:hAnsi="仿宋_GB2312" w:eastAsia="仿宋_GB2312" w:cs="仿宋_GB2312"/>
          <w:color w:val="auto"/>
          <w:sz w:val="32"/>
          <w:szCs w:val="32"/>
          <w:lang w:val="en-US" w:eastAsia="zh-CN"/>
        </w:rPr>
      </w:pPr>
    </w:p>
    <w:p w14:paraId="5891BFF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2F37FAAA">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664AA314">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03CA7798">
      <w:pPr>
        <w:ind w:firstLine="880" w:firstLineChars="200"/>
        <w:jc w:val="both"/>
        <w:rPr>
          <w:rFonts w:eastAsia="黑体"/>
          <w:color w:val="auto"/>
          <w:sz w:val="44"/>
          <w:szCs w:val="44"/>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AD1D188">
      <w:pPr>
        <w:pStyle w:val="3"/>
        <w:adjustRightInd w:val="0"/>
        <w:snapToGrid w:val="0"/>
        <w:spacing w:beforeLines="0" w:line="400" w:lineRule="exact"/>
        <w:jc w:val="center"/>
        <w:outlineLvl w:val="9"/>
        <w:rPr>
          <w:rFonts w:hint="eastAsia" w:ascii="黑体" w:hAnsi="黑体" w:eastAsia="黑体"/>
          <w:color w:val="auto"/>
          <w:sz w:val="28"/>
          <w:szCs w:val="28"/>
        </w:rPr>
      </w:pPr>
      <w:bookmarkStart w:id="54" w:name="_Toc22209"/>
    </w:p>
    <w:p w14:paraId="086C9598">
      <w:pPr>
        <w:pStyle w:val="3"/>
        <w:adjustRightInd w:val="0"/>
        <w:snapToGrid w:val="0"/>
        <w:spacing w:beforeLines="0" w:line="400" w:lineRule="exact"/>
        <w:jc w:val="center"/>
        <w:rPr>
          <w:rFonts w:hint="eastAsia" w:ascii="黑体" w:hAnsi="华文中宋" w:eastAsia="黑体"/>
          <w:b w:val="0"/>
          <w:bCs w:val="0"/>
          <w:color w:val="auto"/>
          <w:sz w:val="28"/>
          <w:szCs w:val="28"/>
        </w:rPr>
      </w:pP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54"/>
    </w:p>
    <w:p w14:paraId="4E7EE831">
      <w:pPr>
        <w:pStyle w:val="3"/>
        <w:adjustRightInd w:val="0"/>
        <w:snapToGrid w:val="0"/>
        <w:spacing w:beforeLines="0" w:line="400" w:lineRule="exact"/>
        <w:jc w:val="center"/>
        <w:outlineLvl w:val="9"/>
        <w:rPr>
          <w:rFonts w:hint="eastAsia" w:ascii="黑体" w:hAnsi="华文中宋" w:eastAsia="黑体"/>
          <w:b w:val="0"/>
          <w:bCs w:val="0"/>
          <w:color w:val="auto"/>
          <w:sz w:val="28"/>
          <w:szCs w:val="28"/>
        </w:rPr>
      </w:pPr>
    </w:p>
    <w:p w14:paraId="71B2A1E6">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1C2EBBDE">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05F09D06">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2E08D2E7">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78EA8A80">
      <w:pPr>
        <w:spacing w:beforeLines="0" w:line="400" w:lineRule="exact"/>
        <w:rPr>
          <w:rFonts w:hint="default" w:eastAsia="宋体"/>
          <w:color w:val="auto"/>
          <w:lang w:val="en-US" w:eastAsia="zh-CN"/>
        </w:rPr>
      </w:pPr>
    </w:p>
    <w:p w14:paraId="0EC75172">
      <w:pPr>
        <w:pStyle w:val="11"/>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1312BCB8">
      <w:pPr>
        <w:numPr>
          <w:ilvl w:val="0"/>
          <w:numId w:val="3"/>
        </w:numPr>
        <w:adjustRightInd w:val="0"/>
        <w:snapToGrid w:val="0"/>
        <w:spacing w:before="0" w:beforeLines="0" w:line="400" w:lineRule="exact"/>
        <w:ind w:firstLine="482" w:firstLineChars="200"/>
        <w:rPr>
          <w:rFonts w:ascii="宋体" w:hAnsi="宋体"/>
          <w:b/>
          <w:color w:val="auto"/>
          <w:szCs w:val="21"/>
        </w:rPr>
      </w:pPr>
      <w:r>
        <w:rPr>
          <w:rFonts w:hint="eastAsia" w:ascii="宋体" w:hAnsi="宋体"/>
          <w:b/>
          <w:color w:val="auto"/>
          <w:szCs w:val="21"/>
        </w:rPr>
        <w:t>项目信息</w:t>
      </w:r>
    </w:p>
    <w:p w14:paraId="59621501">
      <w:pPr>
        <w:pStyle w:val="11"/>
        <w:numPr>
          <w:ilvl w:val="0"/>
          <w:numId w:val="4"/>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6D653D28">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0DC23852">
      <w:pPr>
        <w:pStyle w:val="11"/>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497E8751">
      <w:pPr>
        <w:adjustRightInd w:val="0"/>
        <w:snapToGrid w:val="0"/>
        <w:spacing w:before="0" w:beforeLines="0" w:line="400" w:lineRule="exact"/>
        <w:ind w:firstLine="480" w:firstLineChars="200"/>
        <w:rPr>
          <w:rFonts w:hint="eastAsia" w:ascii="宋体" w:hAnsi="宋体"/>
          <w:color w:val="auto"/>
          <w:szCs w:val="21"/>
        </w:rPr>
      </w:pPr>
      <w:r>
        <w:rPr>
          <w:rFonts w:hint="eastAsia" w:ascii="宋体" w:hAnsi="宋体"/>
          <w:color w:val="auto"/>
          <w:szCs w:val="21"/>
        </w:rPr>
        <w:t>（3）项目内容：</w:t>
      </w:r>
    </w:p>
    <w:p w14:paraId="794CDBD2">
      <w:pPr>
        <w:adjustRightInd w:val="0"/>
        <w:snapToGrid w:val="0"/>
        <w:spacing w:before="0" w:beforeLines="0" w:line="400" w:lineRule="exact"/>
        <w:ind w:firstLine="48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val="en" w:eastAsia="zh-CN"/>
        </w:rPr>
        <w:t>/</w:t>
      </w:r>
      <w:r>
        <w:rPr>
          <w:rFonts w:hint="eastAsia" w:ascii="宋体" w:hAnsi="宋体"/>
          <w:color w:val="auto"/>
          <w:szCs w:val="21"/>
          <w:lang w:val="en" w:eastAsia="zh-CN"/>
        </w:rPr>
        <w:t>个</w:t>
      </w:r>
      <w:r>
        <w:rPr>
          <w:rFonts w:hint="default" w:ascii="宋体" w:hAnsi="宋体"/>
          <w:color w:val="auto"/>
          <w:szCs w:val="21"/>
          <w:lang w:val="en" w:eastAsia="zh-CN"/>
        </w:rPr>
        <w:t>/</w:t>
      </w:r>
      <w:r>
        <w:rPr>
          <w:rFonts w:hint="eastAsia" w:ascii="宋体" w:hAnsi="宋体"/>
          <w:color w:val="auto"/>
          <w:szCs w:val="21"/>
          <w:lang w:val="en" w:eastAsia="zh-CN"/>
        </w:rPr>
        <w:t>架</w:t>
      </w:r>
      <w:r>
        <w:rPr>
          <w:rFonts w:hint="default" w:ascii="宋体" w:hAnsi="宋体"/>
          <w:color w:val="auto"/>
          <w:szCs w:val="21"/>
          <w:lang w:val="en" w:eastAsia="zh-CN"/>
        </w:rPr>
        <w:t>/</w:t>
      </w:r>
      <w:r>
        <w:rPr>
          <w:rFonts w:hint="eastAsia" w:ascii="宋体" w:hAnsi="宋体"/>
          <w:color w:val="auto"/>
          <w:szCs w:val="21"/>
          <w:lang w:val="en"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15833A15">
      <w:pPr>
        <w:numPr>
          <w:ilvl w:val="-1"/>
          <w:numId w:val="0"/>
        </w:numPr>
        <w:adjustRightInd w:val="0"/>
        <w:snapToGrid w:val="0"/>
        <w:spacing w:before="0" w:beforeLines="0" w:line="400" w:lineRule="exact"/>
        <w:ind w:firstLine="480" w:firstLineChars="200"/>
        <w:rPr>
          <w:rFonts w:hint="default" w:ascii="宋体" w:hAnsi="宋体" w:cs="宋体"/>
          <w:color w:val="auto"/>
          <w:szCs w:val="21"/>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val="en"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p>
    <w:p w14:paraId="52373F84">
      <w:pPr>
        <w:adjustRightInd w:val="0"/>
        <w:snapToGrid w:val="0"/>
        <w:spacing w:before="0" w:beforeLines="0" w:line="400" w:lineRule="exact"/>
        <w:ind w:firstLine="1080"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3903F4">
      <w:pPr>
        <w:numPr>
          <w:ilvl w:val="-1"/>
          <w:numId w:val="0"/>
        </w:numPr>
        <w:adjustRightInd w:val="0"/>
        <w:snapToGrid w:val="0"/>
        <w:spacing w:before="0" w:beforeLines="0" w:line="400" w:lineRule="exact"/>
        <w:ind w:firstLine="1080"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04ABAB48">
      <w:pPr>
        <w:numPr>
          <w:ilvl w:val="-1"/>
          <w:numId w:val="0"/>
        </w:numPr>
        <w:adjustRightInd w:val="0"/>
        <w:snapToGrid w:val="0"/>
        <w:spacing w:before="0" w:beforeLines="0" w:line="400" w:lineRule="exact"/>
        <w:ind w:firstLine="48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val="en" w:eastAsia="zh-CN"/>
        </w:rPr>
        <w:t xml:space="preserve">               </w:t>
      </w:r>
      <w:r>
        <w:rPr>
          <w:rFonts w:hint="eastAsia" w:ascii="宋体" w:hAnsi="宋体" w:cs="宋体"/>
          <w:color w:val="auto"/>
          <w:kern w:val="0"/>
          <w:szCs w:val="21"/>
          <w:u w:val="single"/>
          <w:lang w:val="en-US" w:eastAsia="zh-CN"/>
        </w:rPr>
        <w:t xml:space="preserve">    </w:t>
      </w:r>
    </w:p>
    <w:p w14:paraId="4B9160A3">
      <w:pPr>
        <w:numPr>
          <w:ilvl w:val="-1"/>
          <w:numId w:val="0"/>
        </w:numPr>
        <w:adjustRightInd w:val="0"/>
        <w:snapToGrid w:val="0"/>
        <w:spacing w:before="0" w:beforeLines="0" w:line="400" w:lineRule="exact"/>
        <w:ind w:firstLine="48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47290B41">
      <w:pPr>
        <w:pStyle w:val="23"/>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647B4092">
      <w:pPr>
        <w:pStyle w:val="23"/>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105FBFFC">
      <w:pPr>
        <w:pStyle w:val="23"/>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D146847">
      <w:pPr>
        <w:pStyle w:val="23"/>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1E92F3A3">
      <w:pPr>
        <w:pStyle w:val="2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24B960FE">
      <w:pPr>
        <w:pStyle w:val="2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0835B7FA">
      <w:pPr>
        <w:pStyle w:val="23"/>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default"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017AC846">
      <w:pPr>
        <w:pStyle w:val="2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default"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62FC122C">
      <w:pPr>
        <w:pStyle w:val="23"/>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5131E0E5">
      <w:pPr>
        <w:pStyle w:val="23"/>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76DCA0F3">
      <w:pPr>
        <w:pStyle w:val="23"/>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val="en"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1DF1D316">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lang w:eastAsia="zh-CN"/>
        </w:rPr>
        <w:t>购</w:t>
      </w:r>
      <w:r>
        <w:rPr>
          <w:rFonts w:hint="eastAsia" w:ascii="宋体" w:hAnsi="宋体"/>
          <w:color w:val="auto"/>
          <w:w w:val="100"/>
          <w:szCs w:val="21"/>
          <w:shd w:val="clear"/>
        </w:rPr>
        <w:t>合同</w:t>
      </w:r>
      <w:r>
        <w:rPr>
          <w:rFonts w:hint="eastAsia" w:ascii="宋体" w:hAnsi="宋体"/>
          <w:color w:val="auto"/>
          <w:w w:val="100"/>
          <w:szCs w:val="21"/>
          <w:shd w:val="clear"/>
          <w:lang w:eastAsia="zh-CN"/>
        </w:rPr>
        <w:t>（中小企业预留合同）</w:t>
      </w:r>
      <w:r>
        <w:rPr>
          <w:rFonts w:hint="eastAsia" w:ascii="宋体" w:hAnsi="宋体"/>
          <w:color w:val="auto"/>
          <w:szCs w:val="21"/>
          <w:shd w:val="clear"/>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49E9A1FE">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5CBBA86">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2B2B7BDD">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6407222B">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val="en"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60B24511">
      <w:pPr>
        <w:adjustRightInd w:val="0"/>
        <w:snapToGrid w:val="0"/>
        <w:spacing w:before="0" w:beforeLines="0" w:line="400" w:lineRule="exact"/>
        <w:ind w:firstLine="96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E0CCFB4">
      <w:pPr>
        <w:adjustRightInd w:val="0"/>
        <w:snapToGrid w:val="0"/>
        <w:spacing w:before="0" w:beforeLines="0" w:line="400" w:lineRule="exact"/>
        <w:ind w:firstLine="96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6FCC7296">
      <w:pPr>
        <w:adjustRightInd w:val="0"/>
        <w:snapToGrid w:val="0"/>
        <w:spacing w:before="0" w:beforeLines="0" w:line="400" w:lineRule="exact"/>
        <w:ind w:firstLine="96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B6F7D69">
      <w:pPr>
        <w:adjustRightInd w:val="0"/>
        <w:snapToGrid w:val="0"/>
        <w:spacing w:before="0" w:beforeLines="0" w:line="400" w:lineRule="exact"/>
        <w:ind w:firstLine="96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5A3B011F">
      <w:pPr>
        <w:adjustRightInd w:val="0"/>
        <w:snapToGrid w:val="0"/>
        <w:spacing w:beforeLines="0" w:line="400" w:lineRule="exact"/>
        <w:ind w:firstLine="96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65947D67">
      <w:pPr>
        <w:adjustRightInd w:val="0"/>
        <w:snapToGrid w:val="0"/>
        <w:spacing w:beforeLines="0" w:line="400" w:lineRule="exact"/>
        <w:ind w:firstLine="96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0CE3124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206288CC">
      <w:pPr>
        <w:pStyle w:val="23"/>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C7E925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val="en" w:eastAsia="zh-CN"/>
        </w:rPr>
        <w:t>9</w:t>
      </w:r>
      <w:r>
        <w:rPr>
          <w:rFonts w:hint="eastAsia" w:ascii="宋体" w:hAnsi="宋体" w:eastAsia="宋体" w:cs="宋体"/>
          <w:b w:val="0"/>
          <w:bCs w:val="0"/>
          <w:color w:val="auto"/>
          <w:sz w:val="21"/>
          <w:szCs w:val="21"/>
          <w:u w:val="none"/>
          <w:lang w:val="en-US" w:eastAsia="zh-CN"/>
        </w:rPr>
        <w:t>）是否涉及进口产品：</w:t>
      </w:r>
    </w:p>
    <w:p w14:paraId="6AF96353">
      <w:pPr>
        <w:numPr>
          <w:ilvl w:val="-1"/>
          <w:numId w:val="0"/>
        </w:numPr>
        <w:adjustRightInd w:val="0"/>
        <w:snapToGrid w:val="0"/>
        <w:spacing w:before="0" w:beforeLines="0" w:line="400" w:lineRule="exact"/>
        <w:ind w:firstLine="96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460EFCE6">
      <w:pPr>
        <w:numPr>
          <w:ilvl w:val="-1"/>
          <w:numId w:val="0"/>
        </w:numPr>
        <w:adjustRightInd w:val="0"/>
        <w:snapToGrid w:val="0"/>
        <w:spacing w:before="0" w:beforeLines="0" w:line="400" w:lineRule="exact"/>
        <w:ind w:firstLine="96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6089D7F8">
      <w:pPr>
        <w:adjustRightInd w:val="0"/>
        <w:snapToGrid w:val="0"/>
        <w:spacing w:before="0" w:beforeLines="0" w:line="400" w:lineRule="exact"/>
        <w:ind w:firstLine="96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220E762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val="en"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1491BD0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70AE3B56">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37732229">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33D4234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64F381FC">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7DE85F83">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7E41AC89">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486CA5A6">
      <w:pPr>
        <w:pStyle w:val="23"/>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6A805244">
      <w:pPr>
        <w:pStyle w:val="23"/>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678ADAD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04C292BA">
      <w:pPr>
        <w:pStyle w:val="23"/>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20CCABAF">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2AC2B5FD">
      <w:pPr>
        <w:numPr>
          <w:ilvl w:val="-1"/>
          <w:numId w:val="0"/>
        </w:numPr>
        <w:adjustRightInd w:val="0"/>
        <w:snapToGrid w:val="0"/>
        <w:spacing w:before="0" w:beforeLines="0" w:line="400" w:lineRule="exact"/>
        <w:ind w:firstLine="96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3189DCE8">
      <w:pPr>
        <w:numPr>
          <w:ilvl w:val="0"/>
          <w:numId w:val="3"/>
        </w:numPr>
        <w:adjustRightInd w:val="0"/>
        <w:snapToGrid w:val="0"/>
        <w:spacing w:before="0" w:beforeLines="0" w:line="400" w:lineRule="exact"/>
        <w:ind w:firstLine="482" w:firstLineChars="200"/>
        <w:rPr>
          <w:rFonts w:ascii="宋体" w:hAnsi="宋体"/>
          <w:b/>
          <w:color w:val="auto"/>
          <w:szCs w:val="21"/>
          <w:highlight w:val="none"/>
        </w:rPr>
      </w:pPr>
      <w:r>
        <w:rPr>
          <w:rFonts w:hint="eastAsia" w:ascii="宋体" w:hAnsi="宋体"/>
          <w:b/>
          <w:color w:val="auto"/>
          <w:szCs w:val="21"/>
          <w:highlight w:val="none"/>
        </w:rPr>
        <w:t>合同金额</w:t>
      </w:r>
    </w:p>
    <w:p w14:paraId="4CAA9DA7">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756D0551">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00298918">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0BCD914E">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E9FB167">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34B8FC5F">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2D414BF2">
      <w:pPr>
        <w:adjustRightInd w:val="0"/>
        <w:snapToGrid w:val="0"/>
        <w:spacing w:before="0" w:beforeLines="0" w:line="400" w:lineRule="exact"/>
        <w:ind w:firstLine="48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6C833BF1">
      <w:pPr>
        <w:pStyle w:val="46"/>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226201E4">
      <w:pPr>
        <w:adjustRightInd w:val="0"/>
        <w:snapToGrid w:val="0"/>
        <w:spacing w:before="0" w:beforeLines="0" w:line="400" w:lineRule="exact"/>
        <w:ind w:firstLine="72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2E549BAC">
      <w:pPr>
        <w:snapToGrid w:val="0"/>
        <w:spacing w:beforeLines="0" w:line="400" w:lineRule="exact"/>
        <w:ind w:firstLine="72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2A43BF0B">
      <w:pPr>
        <w:adjustRightInd w:val="0"/>
        <w:snapToGrid w:val="0"/>
        <w:spacing w:before="0" w:beforeLines="0" w:line="400" w:lineRule="exact"/>
        <w:ind w:firstLine="72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221D9ABA">
      <w:pPr>
        <w:adjustRightInd w:val="0"/>
        <w:snapToGrid w:val="0"/>
        <w:spacing w:before="0" w:beforeLines="0" w:line="400" w:lineRule="exact"/>
        <w:ind w:firstLine="72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21D5D04F">
      <w:pPr>
        <w:numPr>
          <w:ilvl w:val="0"/>
          <w:numId w:val="3"/>
        </w:numPr>
        <w:adjustRightInd w:val="0"/>
        <w:snapToGrid w:val="0"/>
        <w:spacing w:before="0" w:beforeLines="0" w:line="400" w:lineRule="exact"/>
        <w:ind w:firstLine="482" w:firstLineChars="200"/>
        <w:rPr>
          <w:rFonts w:ascii="宋体" w:hAnsi="宋体"/>
          <w:b/>
          <w:bCs w:val="0"/>
          <w:color w:val="auto"/>
          <w:szCs w:val="21"/>
          <w:u w:val="single"/>
        </w:rPr>
      </w:pPr>
      <w:r>
        <w:rPr>
          <w:rFonts w:hint="eastAsia" w:ascii="宋体" w:hAnsi="宋体"/>
          <w:b/>
          <w:bCs w:val="0"/>
          <w:color w:val="auto"/>
          <w:szCs w:val="21"/>
        </w:rPr>
        <w:t>合同履行</w:t>
      </w:r>
    </w:p>
    <w:p w14:paraId="16A2EEE9">
      <w:pPr>
        <w:adjustRightInd w:val="0"/>
        <w:snapToGrid w:val="0"/>
        <w:spacing w:before="0" w:beforeLines="0" w:line="400" w:lineRule="exact"/>
        <w:ind w:firstLine="48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6C457AAF">
      <w:pPr>
        <w:adjustRightInd w:val="0"/>
        <w:snapToGrid w:val="0"/>
        <w:spacing w:before="0" w:beforeLines="0" w:line="400" w:lineRule="exact"/>
        <w:ind w:firstLine="48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7691C6C8">
      <w:pPr>
        <w:adjustRightInd w:val="0"/>
        <w:snapToGrid w:val="0"/>
        <w:spacing w:before="0" w:beforeLines="0" w:line="400" w:lineRule="exact"/>
        <w:ind w:firstLine="48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305520AD">
      <w:pPr>
        <w:pStyle w:val="23"/>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5A6BF2EE">
      <w:pPr>
        <w:pStyle w:val="23"/>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4DC16AE3">
      <w:pPr>
        <w:snapToGrid w:val="0"/>
        <w:spacing w:beforeLines="0" w:line="400" w:lineRule="exact"/>
        <w:ind w:firstLine="48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0E011B34">
      <w:pPr>
        <w:adjustRightInd w:val="0"/>
        <w:snapToGrid w:val="0"/>
        <w:spacing w:before="0" w:beforeLines="0" w:line="400" w:lineRule="exact"/>
        <w:ind w:firstLine="48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24913C5E">
      <w:pPr>
        <w:adjustRightInd w:val="0"/>
        <w:snapToGrid w:val="0"/>
        <w:spacing w:before="0" w:beforeLines="0" w:line="400" w:lineRule="exact"/>
        <w:ind w:firstLine="48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48DAA628">
      <w:pPr>
        <w:numPr>
          <w:ilvl w:val="0"/>
          <w:numId w:val="3"/>
        </w:numPr>
        <w:adjustRightInd w:val="0"/>
        <w:snapToGrid w:val="0"/>
        <w:spacing w:before="0" w:beforeLines="0" w:line="400" w:lineRule="exact"/>
        <w:ind w:firstLine="482" w:firstLineChars="200"/>
        <w:rPr>
          <w:rFonts w:ascii="宋体" w:hAnsi="宋体"/>
          <w:b/>
          <w:color w:val="auto"/>
          <w:szCs w:val="21"/>
        </w:rPr>
      </w:pPr>
      <w:r>
        <w:rPr>
          <w:rFonts w:hint="eastAsia" w:ascii="宋体" w:hAnsi="宋体"/>
          <w:b/>
          <w:color w:val="auto"/>
          <w:szCs w:val="21"/>
        </w:rPr>
        <w:t>合同验收</w:t>
      </w:r>
    </w:p>
    <w:p w14:paraId="4D4136C6">
      <w:pPr>
        <w:numPr>
          <w:ilvl w:val="0"/>
          <w:numId w:val="5"/>
        </w:numPr>
        <w:adjustRightInd w:val="0"/>
        <w:snapToGrid w:val="0"/>
        <w:spacing w:before="0" w:beforeLines="0" w:line="400" w:lineRule="exact"/>
        <w:ind w:firstLine="48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00B231E9">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586BC5F7">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B1E2D84">
      <w:pPr>
        <w:adjustRightInd w:val="0"/>
        <w:snapToGrid w:val="0"/>
        <w:spacing w:before="0" w:beforeLines="0" w:line="400" w:lineRule="exact"/>
        <w:ind w:firstLine="96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7914C0FD">
      <w:pPr>
        <w:adjustRightInd w:val="0"/>
        <w:snapToGrid w:val="0"/>
        <w:spacing w:before="0" w:beforeLines="0" w:line="400" w:lineRule="exact"/>
        <w:ind w:firstLine="96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23855EC4">
      <w:pPr>
        <w:adjustRightInd w:val="0"/>
        <w:snapToGrid w:val="0"/>
        <w:spacing w:before="0" w:beforeLines="0" w:line="400" w:lineRule="exact"/>
        <w:ind w:firstLine="96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4B409A86">
      <w:pPr>
        <w:adjustRightInd w:val="0"/>
        <w:snapToGrid w:val="0"/>
        <w:spacing w:before="0" w:beforeLines="0" w:line="400" w:lineRule="exact"/>
        <w:ind w:firstLine="96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BA0921C">
      <w:pPr>
        <w:adjustRightInd w:val="0"/>
        <w:snapToGrid w:val="0"/>
        <w:spacing w:before="0" w:beforeLines="0" w:line="400" w:lineRule="exact"/>
        <w:ind w:firstLine="96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5ADDE4FB">
      <w:pPr>
        <w:adjustRightInd w:val="0"/>
        <w:snapToGrid w:val="0"/>
        <w:spacing w:before="0" w:beforeLines="0" w:line="400" w:lineRule="exact"/>
        <w:ind w:firstLine="96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03854F59">
      <w:pPr>
        <w:adjustRightInd w:val="0"/>
        <w:snapToGrid w:val="0"/>
        <w:spacing w:before="0" w:beforeLines="0" w:line="400" w:lineRule="exact"/>
        <w:ind w:firstLine="96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56F9D032">
      <w:pPr>
        <w:adjustRightInd w:val="0"/>
        <w:snapToGrid w:val="0"/>
        <w:spacing w:before="0" w:beforeLines="0" w:line="400" w:lineRule="exact"/>
        <w:ind w:firstLine="48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6FCBEF09">
      <w:pPr>
        <w:adjustRightInd w:val="0"/>
        <w:snapToGrid w:val="0"/>
        <w:spacing w:before="0" w:beforeLines="0" w:line="400" w:lineRule="exact"/>
        <w:ind w:firstLine="48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1D4E03F8">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1559F84C">
      <w:pPr>
        <w:adjustRightInd w:val="0"/>
        <w:snapToGrid w:val="0"/>
        <w:spacing w:before="0" w:beforeLines="0" w:line="400" w:lineRule="exact"/>
        <w:ind w:firstLine="48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3B754DF6">
      <w:pPr>
        <w:adjustRightInd w:val="0"/>
        <w:snapToGrid w:val="0"/>
        <w:spacing w:before="0" w:beforeLines="0" w:line="400" w:lineRule="exact"/>
        <w:ind w:firstLine="48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219C1D4D">
      <w:pPr>
        <w:adjustRightInd w:val="0"/>
        <w:snapToGrid w:val="0"/>
        <w:spacing w:before="0" w:beforeLines="0" w:line="400" w:lineRule="exact"/>
        <w:ind w:firstLine="48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10E26A31">
      <w:pPr>
        <w:pStyle w:val="23"/>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0FCE60AE">
      <w:pPr>
        <w:adjustRightInd w:val="0"/>
        <w:snapToGrid w:val="0"/>
        <w:spacing w:before="0" w:beforeLines="0" w:line="400" w:lineRule="exact"/>
        <w:ind w:firstLine="48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13263D18">
      <w:pPr>
        <w:numPr>
          <w:ilvl w:val="0"/>
          <w:numId w:val="3"/>
        </w:numPr>
        <w:adjustRightInd w:val="0"/>
        <w:snapToGrid w:val="0"/>
        <w:spacing w:before="0" w:beforeLines="0" w:line="400" w:lineRule="exact"/>
        <w:ind w:firstLine="482" w:firstLineChars="200"/>
        <w:rPr>
          <w:rFonts w:hint="eastAsia" w:ascii="宋体" w:hAnsi="宋体"/>
          <w:b/>
          <w:color w:val="auto"/>
          <w:szCs w:val="21"/>
        </w:rPr>
      </w:pPr>
      <w:r>
        <w:rPr>
          <w:rFonts w:hint="eastAsia" w:ascii="宋体" w:hAnsi="宋体"/>
          <w:b/>
          <w:color w:val="auto"/>
          <w:szCs w:val="21"/>
        </w:rPr>
        <w:t>组成合同的文件</w:t>
      </w:r>
    </w:p>
    <w:p w14:paraId="4F5E9315">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5FFB4748">
      <w:pPr>
        <w:adjustRightInd w:val="0"/>
        <w:snapToGrid w:val="0"/>
        <w:spacing w:before="0" w:beforeLines="0" w:line="400" w:lineRule="exact"/>
        <w:ind w:firstLine="48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E190841">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4E0201BC">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3CF3D96D">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3D3BDE18">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540BE674">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（6）采购文件</w:t>
      </w:r>
    </w:p>
    <w:p w14:paraId="7F172A5A">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（7）有关技术文件，图纸</w:t>
      </w:r>
    </w:p>
    <w:p w14:paraId="0C52277B">
      <w:pPr>
        <w:pStyle w:val="23"/>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03456B00">
      <w:pPr>
        <w:numPr>
          <w:ilvl w:val="0"/>
          <w:numId w:val="3"/>
        </w:numPr>
        <w:adjustRightInd w:val="0"/>
        <w:snapToGrid w:val="0"/>
        <w:spacing w:before="0" w:beforeLines="0" w:line="400" w:lineRule="exact"/>
        <w:ind w:firstLine="482" w:firstLineChars="200"/>
        <w:rPr>
          <w:rFonts w:hint="eastAsia" w:ascii="宋体" w:hAnsi="宋体"/>
          <w:b/>
          <w:color w:val="auto"/>
          <w:szCs w:val="21"/>
        </w:rPr>
      </w:pPr>
      <w:r>
        <w:rPr>
          <w:rFonts w:hint="eastAsia" w:ascii="宋体" w:hAnsi="宋体"/>
          <w:b/>
          <w:color w:val="auto"/>
          <w:szCs w:val="21"/>
        </w:rPr>
        <w:t>合同生效</w:t>
      </w:r>
    </w:p>
    <w:p w14:paraId="0BED51F5">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76B42CFE">
      <w:pPr>
        <w:numPr>
          <w:ilvl w:val="0"/>
          <w:numId w:val="3"/>
        </w:numPr>
        <w:adjustRightInd w:val="0"/>
        <w:snapToGrid w:val="0"/>
        <w:spacing w:before="0" w:beforeLines="0" w:line="400" w:lineRule="exact"/>
        <w:ind w:firstLine="482" w:firstLineChars="200"/>
        <w:rPr>
          <w:rFonts w:hint="eastAsia" w:ascii="宋体" w:hAnsi="宋体"/>
          <w:b/>
          <w:color w:val="auto"/>
          <w:szCs w:val="21"/>
        </w:rPr>
      </w:pPr>
      <w:r>
        <w:rPr>
          <w:rFonts w:hint="eastAsia" w:ascii="宋体" w:hAnsi="宋体"/>
          <w:b/>
          <w:color w:val="auto"/>
          <w:szCs w:val="21"/>
        </w:rPr>
        <w:t>合同份数</w:t>
      </w:r>
    </w:p>
    <w:p w14:paraId="095DD718">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79A6B34A">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43A6A9B4">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579A7CC8">
      <w:pPr>
        <w:adjustRightInd w:val="0"/>
        <w:snapToGrid w:val="0"/>
        <w:spacing w:before="0" w:beforeLines="0" w:line="400" w:lineRule="exact"/>
        <w:ind w:firstLine="480" w:firstLineChars="200"/>
        <w:rPr>
          <w:rFonts w:hint="eastAsia" w:ascii="宋体" w:hAnsi="宋体"/>
          <w:color w:val="auto"/>
          <w:szCs w:val="21"/>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671070AF">
      <w:pPr>
        <w:adjustRightInd w:val="0"/>
        <w:snapToGrid w:val="0"/>
        <w:spacing w:before="0" w:beforeLines="0" w:line="400" w:lineRule="exact"/>
        <w:ind w:firstLine="480" w:firstLineChars="200"/>
        <w:rPr>
          <w:rFonts w:hint="eastAsia" w:ascii="宋体" w:hAnsi="宋体"/>
          <w:color w:val="auto"/>
          <w:szCs w:val="21"/>
        </w:rPr>
      </w:pPr>
    </w:p>
    <w:p w14:paraId="12240A0D">
      <w:pPr>
        <w:pStyle w:val="46"/>
        <w:rPr>
          <w:rFonts w:hint="eastAsia"/>
          <w:color w:val="auto"/>
        </w:rPr>
      </w:pP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45"/>
        <w:gridCol w:w="2481"/>
        <w:gridCol w:w="2035"/>
        <w:gridCol w:w="2177"/>
      </w:tblGrid>
      <w:tr w14:paraId="0FE1B1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134558E3">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79933338">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10589D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4441A69">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C2664A3">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A2552F9">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1259" w:type="pct"/>
            <w:tcBorders>
              <w:top w:val="single" w:color="auto" w:sz="2" w:space="0"/>
              <w:left w:val="single" w:color="auto" w:sz="2" w:space="0"/>
              <w:bottom w:val="single" w:color="auto" w:sz="2" w:space="0"/>
            </w:tcBorders>
            <w:vAlign w:val="center"/>
          </w:tcPr>
          <w:p w14:paraId="7EAA32D2">
            <w:pPr>
              <w:adjustRightInd w:val="0"/>
              <w:snapToGrid w:val="0"/>
              <w:spacing w:line="300" w:lineRule="exact"/>
              <w:jc w:val="center"/>
              <w:rPr>
                <w:color w:val="auto"/>
                <w:spacing w:val="20"/>
                <w:szCs w:val="21"/>
              </w:rPr>
            </w:pPr>
          </w:p>
        </w:tc>
      </w:tr>
      <w:tr w14:paraId="13C47A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10515C7">
            <w:pPr>
              <w:adjustRightInd w:val="0"/>
              <w:snapToGrid w:val="0"/>
              <w:spacing w:line="300" w:lineRule="exact"/>
              <w:jc w:val="center"/>
              <w:rPr>
                <w:color w:val="auto"/>
                <w:szCs w:val="21"/>
              </w:rPr>
            </w:pPr>
            <w:r>
              <w:rPr>
                <w:color w:val="auto"/>
                <w:szCs w:val="21"/>
              </w:rPr>
              <w:t>法定代表人</w:t>
            </w:r>
          </w:p>
          <w:p w14:paraId="3C92F3AD">
            <w:pPr>
              <w:adjustRightInd w:val="0"/>
              <w:snapToGrid w:val="0"/>
              <w:spacing w:line="300" w:lineRule="exact"/>
              <w:ind w:firstLine="115"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3616A96E">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0D9B3017">
            <w:pPr>
              <w:adjustRightInd w:val="0"/>
              <w:snapToGrid w:val="0"/>
              <w:spacing w:line="300" w:lineRule="exact"/>
              <w:jc w:val="center"/>
              <w:rPr>
                <w:color w:val="auto"/>
                <w:szCs w:val="21"/>
              </w:rPr>
            </w:pPr>
            <w:r>
              <w:rPr>
                <w:color w:val="auto"/>
                <w:szCs w:val="21"/>
              </w:rPr>
              <w:t>法定代表人</w:t>
            </w:r>
          </w:p>
          <w:p w14:paraId="2027F4E4">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3E2422A3">
            <w:pPr>
              <w:adjustRightInd w:val="0"/>
              <w:snapToGrid w:val="0"/>
              <w:spacing w:line="300" w:lineRule="exact"/>
              <w:jc w:val="center"/>
              <w:rPr>
                <w:color w:val="auto"/>
                <w:szCs w:val="21"/>
              </w:rPr>
            </w:pPr>
          </w:p>
        </w:tc>
      </w:tr>
      <w:tr w14:paraId="02A49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E93502E">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246B53C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0E09F4">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EB565D8">
            <w:pPr>
              <w:adjustRightInd w:val="0"/>
              <w:snapToGrid w:val="0"/>
              <w:spacing w:line="300" w:lineRule="exact"/>
              <w:jc w:val="center"/>
              <w:rPr>
                <w:color w:val="auto"/>
                <w:spacing w:val="20"/>
                <w:szCs w:val="21"/>
              </w:rPr>
            </w:pPr>
          </w:p>
        </w:tc>
      </w:tr>
      <w:tr w14:paraId="667B22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81DAB6">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7008B5">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53DB9D4">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1259" w:type="pct"/>
            <w:tcBorders>
              <w:top w:val="single" w:color="auto" w:sz="2" w:space="0"/>
              <w:left w:val="single" w:color="auto" w:sz="2" w:space="0"/>
              <w:bottom w:val="single" w:color="auto" w:sz="2" w:space="0"/>
            </w:tcBorders>
            <w:vAlign w:val="center"/>
          </w:tcPr>
          <w:p w14:paraId="5C6026F9">
            <w:pPr>
              <w:adjustRightInd w:val="0"/>
              <w:snapToGrid w:val="0"/>
              <w:spacing w:line="300" w:lineRule="exact"/>
              <w:jc w:val="center"/>
              <w:rPr>
                <w:color w:val="auto"/>
                <w:spacing w:val="20"/>
                <w:szCs w:val="21"/>
              </w:rPr>
            </w:pPr>
          </w:p>
        </w:tc>
      </w:tr>
      <w:tr w14:paraId="051EF0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E4B309">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668E6C3">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9CD2CA">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3B8A1882">
            <w:pPr>
              <w:adjustRightInd w:val="0"/>
              <w:snapToGrid w:val="0"/>
              <w:spacing w:line="300" w:lineRule="exact"/>
              <w:jc w:val="center"/>
              <w:rPr>
                <w:color w:val="auto"/>
                <w:spacing w:val="20"/>
                <w:szCs w:val="21"/>
              </w:rPr>
            </w:pPr>
          </w:p>
        </w:tc>
      </w:tr>
      <w:tr w14:paraId="55E32C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AF44C2">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AADAE2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766A7E5">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2C66DF07">
            <w:pPr>
              <w:adjustRightInd w:val="0"/>
              <w:snapToGrid w:val="0"/>
              <w:spacing w:line="300" w:lineRule="exact"/>
              <w:jc w:val="center"/>
              <w:rPr>
                <w:color w:val="auto"/>
                <w:spacing w:val="20"/>
                <w:szCs w:val="21"/>
              </w:rPr>
            </w:pPr>
          </w:p>
        </w:tc>
      </w:tr>
      <w:tr w14:paraId="0A5946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9FF729">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D26A11B">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B8FF2B">
            <w:pPr>
              <w:adjustRightInd w:val="0"/>
              <w:snapToGrid w:val="0"/>
              <w:spacing w:line="300" w:lineRule="exact"/>
              <w:jc w:val="center"/>
              <w:rPr>
                <w:color w:val="auto"/>
                <w:szCs w:val="21"/>
              </w:rPr>
            </w:pPr>
            <w:r>
              <w:rPr>
                <w:rFonts w:hint="eastAsia"/>
                <w:color w:val="auto"/>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DF5266B">
            <w:pPr>
              <w:adjustRightInd w:val="0"/>
              <w:snapToGrid w:val="0"/>
              <w:spacing w:line="300" w:lineRule="exact"/>
              <w:jc w:val="center"/>
              <w:rPr>
                <w:color w:val="auto"/>
                <w:spacing w:val="20"/>
                <w:szCs w:val="21"/>
              </w:rPr>
            </w:pPr>
          </w:p>
        </w:tc>
      </w:tr>
      <w:tr w14:paraId="0580D7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C644BC">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4BFCCD4">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473F883">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41A266E1">
            <w:pPr>
              <w:adjustRightInd w:val="0"/>
              <w:snapToGrid w:val="0"/>
              <w:spacing w:line="300" w:lineRule="exact"/>
              <w:jc w:val="center"/>
              <w:rPr>
                <w:color w:val="auto"/>
                <w:spacing w:val="20"/>
                <w:szCs w:val="21"/>
              </w:rPr>
            </w:pPr>
          </w:p>
        </w:tc>
      </w:tr>
      <w:tr w14:paraId="757569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316B2FB">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5D39D8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6FDB947">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1251D8A3">
            <w:pPr>
              <w:adjustRightInd w:val="0"/>
              <w:snapToGrid w:val="0"/>
              <w:spacing w:line="300" w:lineRule="exact"/>
              <w:jc w:val="center"/>
              <w:rPr>
                <w:color w:val="auto"/>
                <w:spacing w:val="20"/>
                <w:szCs w:val="21"/>
              </w:rPr>
            </w:pPr>
          </w:p>
        </w:tc>
      </w:tr>
      <w:tr w14:paraId="4F3364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82842F">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678A4FA">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4592BF">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18888E0B">
            <w:pPr>
              <w:adjustRightInd w:val="0"/>
              <w:snapToGrid w:val="0"/>
              <w:spacing w:line="300" w:lineRule="exact"/>
              <w:jc w:val="center"/>
              <w:rPr>
                <w:color w:val="auto"/>
                <w:spacing w:val="20"/>
                <w:szCs w:val="21"/>
              </w:rPr>
            </w:pPr>
          </w:p>
        </w:tc>
      </w:tr>
      <w:tr w14:paraId="06BD5E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2FCB5A">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02C2360">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DD06AB">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596B8028">
            <w:pPr>
              <w:adjustRightInd w:val="0"/>
              <w:snapToGrid w:val="0"/>
              <w:spacing w:line="300" w:lineRule="exact"/>
              <w:jc w:val="center"/>
              <w:rPr>
                <w:color w:val="auto"/>
                <w:spacing w:val="20"/>
                <w:szCs w:val="21"/>
              </w:rPr>
            </w:pPr>
          </w:p>
        </w:tc>
      </w:tr>
      <w:tr w14:paraId="2DFD58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F548E7">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A0B91B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9DF67A9">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6719FF2B">
            <w:pPr>
              <w:adjustRightInd w:val="0"/>
              <w:snapToGrid w:val="0"/>
              <w:spacing w:line="300" w:lineRule="exact"/>
              <w:jc w:val="center"/>
              <w:rPr>
                <w:color w:val="auto"/>
                <w:spacing w:val="20"/>
                <w:szCs w:val="21"/>
              </w:rPr>
            </w:pPr>
          </w:p>
        </w:tc>
      </w:tr>
      <w:tr w14:paraId="650D0C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D36C15">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88BF3A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1A35F9">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3621B3A3">
            <w:pPr>
              <w:adjustRightInd w:val="0"/>
              <w:snapToGrid w:val="0"/>
              <w:spacing w:line="300" w:lineRule="exact"/>
              <w:jc w:val="center"/>
              <w:rPr>
                <w:color w:val="auto"/>
                <w:spacing w:val="20"/>
                <w:szCs w:val="21"/>
              </w:rPr>
            </w:pPr>
          </w:p>
        </w:tc>
      </w:tr>
      <w:tr w14:paraId="68D93F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B041B34">
            <w:pPr>
              <w:pStyle w:val="11"/>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31966F19">
      <w:pPr>
        <w:pStyle w:val="3"/>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55" w:name="_Toc27624"/>
      <w:r>
        <w:rPr>
          <w:rFonts w:hint="eastAsia" w:ascii="黑体" w:hAnsi="黑体" w:eastAsia="黑体"/>
          <w:b w:val="0"/>
          <w:bCs w:val="0"/>
          <w:color w:val="auto"/>
          <w:sz w:val="28"/>
          <w:szCs w:val="28"/>
        </w:rPr>
        <w:t>第二节 政府采购合同通用条款</w:t>
      </w:r>
      <w:bookmarkEnd w:id="55"/>
    </w:p>
    <w:p w14:paraId="05122002">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5643BA8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437B811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DED9FEF">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60661A1">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6C3827F5">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296C25F">
      <w:pPr>
        <w:adjustRightInd w:val="0"/>
        <w:snapToGrid w:val="0"/>
        <w:spacing w:before="0" w:beforeLines="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3BB528D3">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EA6CC58">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01E23A1D">
      <w:pPr>
        <w:adjustRightInd w:val="0"/>
        <w:snapToGrid w:val="0"/>
        <w:spacing w:before="0" w:line="400" w:lineRule="exact"/>
        <w:ind w:firstLine="48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66244831">
      <w:pPr>
        <w:adjustRightInd w:val="0"/>
        <w:snapToGrid w:val="0"/>
        <w:spacing w:before="0" w:line="400" w:lineRule="exact"/>
        <w:ind w:firstLine="48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6D7215B1">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5C702A0">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29BA71D">
      <w:pPr>
        <w:numPr>
          <w:ilvl w:val="0"/>
          <w:numId w:val="6"/>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0F73F0D7">
      <w:pPr>
        <w:autoSpaceDE w:val="0"/>
        <w:autoSpaceDN w:val="0"/>
        <w:adjustRightInd w:val="0"/>
        <w:snapToGrid w:val="0"/>
        <w:spacing w:before="0" w:line="400" w:lineRule="exact"/>
        <w:ind w:firstLine="48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E0D5653">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6F9800B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700B45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62B658EE">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7D83FB01">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4A00766">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23D514D3">
      <w:pPr>
        <w:snapToGrid w:val="0"/>
        <w:spacing w:line="400" w:lineRule="exact"/>
        <w:ind w:firstLine="48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w:t>
      </w:r>
      <w:bookmarkStart w:id="89" w:name="_GoBack"/>
      <w:bookmarkEnd w:id="89"/>
      <w:r>
        <w:rPr>
          <w:rFonts w:hint="eastAsia" w:ascii="宋体" w:hAnsi="宋体" w:cs="宋体"/>
          <w:b w:val="0"/>
          <w:bCs w:val="0"/>
          <w:color w:val="auto"/>
          <w:szCs w:val="21"/>
          <w:highlight w:val="none"/>
          <w:lang w:eastAsia="zh-CN"/>
        </w:rPr>
        <w:t>任何异议或者向乙方作出任何说明的，</w:t>
      </w:r>
      <w:r>
        <w:rPr>
          <w:rFonts w:hint="eastAsia" w:ascii="宋体" w:hAnsi="宋体"/>
          <w:color w:val="auto"/>
          <w:szCs w:val="21"/>
          <w:highlight w:val="none"/>
          <w:lang w:val="en-US" w:eastAsia="zh-CN"/>
        </w:rPr>
        <w:t>视为验收通过。</w:t>
      </w:r>
    </w:p>
    <w:p w14:paraId="53F414B8">
      <w:pPr>
        <w:autoSpaceDE w:val="0"/>
        <w:autoSpaceDN w:val="0"/>
        <w:adjustRightInd w:val="0"/>
        <w:snapToGrid w:val="0"/>
        <w:spacing w:line="400" w:lineRule="exact"/>
        <w:ind w:firstLine="48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886BF67">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67CD69C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34B1559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A09F63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24710F4B">
      <w:pPr>
        <w:pStyle w:val="8"/>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4349D7EA">
      <w:pPr>
        <w:pStyle w:val="8"/>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7A6DBE9F">
      <w:pPr>
        <w:numPr>
          <w:ilvl w:val="0"/>
          <w:numId w:val="7"/>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31BAFC77">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930FBE1">
      <w:pPr>
        <w:autoSpaceDE w:val="0"/>
        <w:autoSpaceDN w:val="0"/>
        <w:adjustRightInd w:val="0"/>
        <w:snapToGrid w:val="0"/>
        <w:spacing w:before="0" w:line="400" w:lineRule="exact"/>
        <w:ind w:firstLine="48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5161959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0A3461B7">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7DA6F7CB">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7B9A2BE6">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50FCF6FD">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046EFAA0">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54FCEC74">
      <w:pPr>
        <w:pStyle w:val="23"/>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48AA05B5">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0B48A0F">
      <w:pPr>
        <w:pStyle w:val="1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02A5692">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393EFED">
      <w:pPr>
        <w:pStyle w:val="1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C86C5D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4BE8B83">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1AEA57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6DC4B9B">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4406601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5EDBB9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D1C0CBF">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6DBA3AD0">
      <w:pPr>
        <w:adjustRightInd w:val="0"/>
        <w:snapToGrid w:val="0"/>
        <w:spacing w:before="0" w:line="400" w:lineRule="exact"/>
        <w:ind w:firstLine="48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F819CF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0E5BF24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4F05F4F3">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440AED4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752ACF0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4610CED4">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56"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56"/>
      <w:r>
        <w:rPr>
          <w:rFonts w:hint="eastAsia" w:ascii="宋体" w:hAnsi="宋体"/>
          <w:color w:val="auto"/>
          <w:szCs w:val="21"/>
          <w:highlight w:val="none"/>
        </w:rPr>
        <w:t>。</w:t>
      </w:r>
    </w:p>
    <w:p w14:paraId="067F21A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2140743">
      <w:pPr>
        <w:autoSpaceDE w:val="0"/>
        <w:autoSpaceDN w:val="0"/>
        <w:adjustRightInd w:val="0"/>
        <w:snapToGrid w:val="0"/>
        <w:spacing w:before="0" w:line="400" w:lineRule="exact"/>
        <w:ind w:firstLine="48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4FCBCE2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0B9C9FE">
      <w:pPr>
        <w:autoSpaceDE/>
        <w:autoSpaceDN/>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04459C0">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87918AC">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C1077D0">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22998552">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585A242">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A078FDA">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99ED811">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71C439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8FB45B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0CF4DAB">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0112FAD">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1E416EE9">
      <w:pPr>
        <w:pStyle w:val="23"/>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32BE0D3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D2EB5B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21A5B4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1DA7EACD">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E61E43D">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FF2FD82">
      <w:pPr>
        <w:autoSpaceDE w:val="0"/>
        <w:autoSpaceDN w:val="0"/>
        <w:adjustRightInd w:val="0"/>
        <w:snapToGrid w:val="0"/>
        <w:spacing w:before="0" w:line="400" w:lineRule="exact"/>
        <w:ind w:firstLine="48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3D5542B">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4D0A2C6">
      <w:pPr>
        <w:autoSpaceDE w:val="0"/>
        <w:autoSpaceDN w:val="0"/>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C4E17FE">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34C871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5116A12">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35BCCA4">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51B84E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2DF3534">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CC4E949">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C9C537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B44D59D">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910135F">
      <w:pPr>
        <w:pStyle w:val="23"/>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6B9660C3">
      <w:pPr>
        <w:snapToGrid w:val="0"/>
        <w:spacing w:line="400" w:lineRule="exact"/>
        <w:ind w:firstLine="48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DF8A439">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10D0FB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05126B1">
      <w:pPr>
        <w:snapToGrid w:val="0"/>
        <w:spacing w:line="400" w:lineRule="exact"/>
        <w:ind w:firstLine="48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0D3D473C">
      <w:pPr>
        <w:pStyle w:val="2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5CE8774">
      <w:pPr>
        <w:pStyle w:val="23"/>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1685884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766500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28F634E">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0B28E3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7DB0AB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48F412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2278C4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1C52B40">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55AF180A">
      <w:pPr>
        <w:pStyle w:val="23"/>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16F2CFB8">
      <w:pPr>
        <w:pStyle w:val="23"/>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65B861EA">
      <w:pPr>
        <w:pStyle w:val="23"/>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51709ACA">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86C576B">
      <w:pPr>
        <w:autoSpaceDE w:val="0"/>
        <w:autoSpaceDN w:val="0"/>
        <w:adjustRightInd w:val="0"/>
        <w:snapToGrid w:val="0"/>
        <w:spacing w:before="0" w:line="400" w:lineRule="exact"/>
        <w:ind w:firstLine="48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lang w:val="en-GB"/>
        </w:rPr>
        <w:t>本合同应当按照规定执行政府采购政策。</w:t>
      </w:r>
    </w:p>
    <w:p w14:paraId="756CB02E">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2D6A3D3">
      <w:pPr>
        <w:pStyle w:val="8"/>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312A307">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FF7FE4D">
      <w:pPr>
        <w:pStyle w:val="23"/>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11F6190A">
      <w:pPr>
        <w:pStyle w:val="23"/>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0ABA4831">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0B4B654">
      <w:pPr>
        <w:pStyle w:val="23"/>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4E4C75BB">
      <w:pPr>
        <w:pStyle w:val="23"/>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178D043B">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006CF5B4">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FE79929">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43D6FA7">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AFD73F6">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57" w:name="_Toc20313"/>
    </w:p>
    <w:p w14:paraId="0D36055C">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3C7BB3C8">
      <w:pPr>
        <w:pStyle w:val="3"/>
        <w:adjustRightInd w:val="0"/>
        <w:snapToGrid w:val="0"/>
        <w:jc w:val="center"/>
        <w:rPr>
          <w:rFonts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bookmarkEnd w:id="57"/>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F321C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F5B4E4">
            <w:pPr>
              <w:adjustRightInd w:val="0"/>
              <w:snapToGrid w:val="0"/>
              <w:jc w:val="center"/>
              <w:rPr>
                <w:rFonts w:ascii="宋体" w:hAnsi="宋体"/>
                <w:color w:val="auto"/>
                <w:szCs w:val="21"/>
              </w:rPr>
            </w:pPr>
            <w:r>
              <w:rPr>
                <w:rFonts w:hint="eastAsia" w:ascii="宋体" w:hAnsi="宋体"/>
                <w:color w:val="auto"/>
                <w:szCs w:val="21"/>
              </w:rPr>
              <w:t>第二节</w:t>
            </w:r>
          </w:p>
          <w:p w14:paraId="28492568">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70559D02">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273EFACA">
            <w:pPr>
              <w:adjustRightInd w:val="0"/>
              <w:snapToGrid w:val="0"/>
              <w:jc w:val="left"/>
              <w:rPr>
                <w:rFonts w:ascii="宋体" w:hAnsi="宋体"/>
                <w:color w:val="auto"/>
                <w:szCs w:val="21"/>
              </w:rPr>
            </w:pPr>
          </w:p>
        </w:tc>
      </w:tr>
      <w:tr w14:paraId="0DAAB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A80943C">
            <w:pPr>
              <w:adjustRightInd w:val="0"/>
              <w:snapToGrid w:val="0"/>
              <w:jc w:val="center"/>
              <w:rPr>
                <w:rFonts w:ascii="宋体" w:hAnsi="宋体"/>
                <w:color w:val="auto"/>
                <w:szCs w:val="21"/>
              </w:rPr>
            </w:pPr>
            <w:r>
              <w:rPr>
                <w:rFonts w:hint="eastAsia" w:ascii="宋体" w:hAnsi="宋体"/>
                <w:color w:val="auto"/>
                <w:szCs w:val="21"/>
              </w:rPr>
              <w:t>第二节</w:t>
            </w:r>
          </w:p>
          <w:p w14:paraId="7DACCFD7">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73E0E61E">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791D9323">
            <w:pPr>
              <w:adjustRightInd w:val="0"/>
              <w:snapToGrid w:val="0"/>
              <w:jc w:val="left"/>
              <w:rPr>
                <w:rFonts w:ascii="宋体" w:hAnsi="宋体" w:eastAsia="宋体" w:cs="Times New Roman"/>
                <w:color w:val="auto"/>
                <w:kern w:val="2"/>
                <w:sz w:val="21"/>
                <w:szCs w:val="21"/>
                <w:lang w:val="en-US" w:eastAsia="zh-CN" w:bidi="ar-SA"/>
              </w:rPr>
            </w:pPr>
          </w:p>
        </w:tc>
      </w:tr>
      <w:tr w14:paraId="3EC929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FAA502">
            <w:pPr>
              <w:adjustRightInd w:val="0"/>
              <w:snapToGrid w:val="0"/>
              <w:jc w:val="center"/>
              <w:rPr>
                <w:rFonts w:ascii="宋体" w:hAnsi="宋体"/>
                <w:color w:val="auto"/>
                <w:szCs w:val="21"/>
              </w:rPr>
            </w:pPr>
            <w:r>
              <w:rPr>
                <w:rFonts w:hint="eastAsia" w:ascii="宋体" w:hAnsi="宋体"/>
                <w:color w:val="auto"/>
                <w:szCs w:val="21"/>
              </w:rPr>
              <w:t>第二节</w:t>
            </w:r>
          </w:p>
          <w:p w14:paraId="7FE6C7AA">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63F1C841">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14A66F26">
            <w:pPr>
              <w:adjustRightInd w:val="0"/>
              <w:snapToGrid w:val="0"/>
              <w:jc w:val="left"/>
              <w:rPr>
                <w:rFonts w:ascii="宋体" w:hAnsi="宋体" w:eastAsia="宋体" w:cs="Times New Roman"/>
                <w:color w:val="auto"/>
                <w:kern w:val="2"/>
                <w:sz w:val="21"/>
                <w:szCs w:val="21"/>
                <w:lang w:val="en-US" w:eastAsia="zh-CN" w:bidi="ar-SA"/>
              </w:rPr>
            </w:pPr>
          </w:p>
        </w:tc>
      </w:tr>
      <w:tr w14:paraId="731C8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5237D9">
            <w:pPr>
              <w:adjustRightInd w:val="0"/>
              <w:snapToGrid w:val="0"/>
              <w:jc w:val="center"/>
              <w:rPr>
                <w:rFonts w:ascii="宋体" w:hAnsi="宋体"/>
                <w:color w:val="auto"/>
                <w:szCs w:val="21"/>
              </w:rPr>
            </w:pPr>
            <w:r>
              <w:rPr>
                <w:rFonts w:hint="eastAsia" w:ascii="宋体" w:hAnsi="宋体"/>
                <w:color w:val="auto"/>
                <w:szCs w:val="21"/>
              </w:rPr>
              <w:t>第二节</w:t>
            </w:r>
          </w:p>
          <w:p w14:paraId="0E314E49">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2D992554">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4B76BCC1">
            <w:pPr>
              <w:adjustRightInd w:val="0"/>
              <w:snapToGrid w:val="0"/>
              <w:jc w:val="left"/>
              <w:rPr>
                <w:rFonts w:ascii="宋体" w:hAnsi="宋体" w:eastAsia="宋体" w:cs="Times New Roman"/>
                <w:color w:val="auto"/>
                <w:kern w:val="2"/>
                <w:sz w:val="21"/>
                <w:szCs w:val="21"/>
                <w:lang w:val="en-US" w:eastAsia="zh-CN" w:bidi="ar-SA"/>
              </w:rPr>
            </w:pPr>
          </w:p>
        </w:tc>
      </w:tr>
      <w:tr w14:paraId="36E517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93AD4E">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1E9AAE78">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2F8B7C3A">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6DF70EB6">
            <w:pPr>
              <w:adjustRightInd w:val="0"/>
              <w:snapToGrid w:val="0"/>
              <w:jc w:val="left"/>
              <w:rPr>
                <w:rFonts w:ascii="宋体" w:hAnsi="宋体" w:eastAsia="宋体" w:cs="Times New Roman"/>
                <w:color w:val="auto"/>
                <w:kern w:val="2"/>
                <w:sz w:val="21"/>
                <w:szCs w:val="21"/>
                <w:lang w:val="en-US" w:eastAsia="zh-CN" w:bidi="ar-SA"/>
              </w:rPr>
            </w:pPr>
          </w:p>
        </w:tc>
      </w:tr>
      <w:tr w14:paraId="72DA0E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DDB914">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05A1A739">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52DF5D14">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558E826D">
            <w:pPr>
              <w:adjustRightInd w:val="0"/>
              <w:snapToGrid w:val="0"/>
              <w:jc w:val="left"/>
              <w:rPr>
                <w:rFonts w:ascii="宋体" w:hAnsi="宋体" w:eastAsia="宋体" w:cs="Times New Roman"/>
                <w:color w:val="auto"/>
                <w:kern w:val="2"/>
                <w:sz w:val="21"/>
                <w:szCs w:val="21"/>
                <w:lang w:val="en-US" w:eastAsia="zh-CN" w:bidi="ar-SA"/>
              </w:rPr>
            </w:pPr>
          </w:p>
        </w:tc>
      </w:tr>
      <w:tr w14:paraId="6CD59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FDE8030">
            <w:pPr>
              <w:adjustRightInd w:val="0"/>
              <w:snapToGrid w:val="0"/>
              <w:jc w:val="center"/>
              <w:rPr>
                <w:rFonts w:ascii="宋体" w:hAnsi="宋体"/>
                <w:color w:val="auto"/>
                <w:szCs w:val="21"/>
              </w:rPr>
            </w:pPr>
            <w:r>
              <w:rPr>
                <w:rFonts w:hint="eastAsia" w:ascii="宋体" w:hAnsi="宋体"/>
                <w:color w:val="auto"/>
                <w:szCs w:val="21"/>
              </w:rPr>
              <w:t>第二节</w:t>
            </w:r>
          </w:p>
          <w:p w14:paraId="6981C3B5">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74C0B634">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3B80626F">
            <w:pPr>
              <w:rPr>
                <w:color w:val="auto"/>
              </w:rPr>
            </w:pPr>
          </w:p>
        </w:tc>
      </w:tr>
      <w:tr w14:paraId="61BB0C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83DCBCF">
            <w:pPr>
              <w:adjustRightInd w:val="0"/>
              <w:snapToGrid w:val="0"/>
              <w:jc w:val="center"/>
              <w:rPr>
                <w:rFonts w:hint="eastAsia" w:ascii="宋体" w:hAnsi="宋体"/>
                <w:color w:val="auto"/>
                <w:szCs w:val="21"/>
              </w:rPr>
            </w:pPr>
          </w:p>
        </w:tc>
        <w:tc>
          <w:tcPr>
            <w:tcW w:w="1742" w:type="dxa"/>
            <w:vAlign w:val="center"/>
          </w:tcPr>
          <w:p w14:paraId="1C2232E0">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6F26587D">
            <w:pPr>
              <w:rPr>
                <w:rFonts w:hint="eastAsia"/>
                <w:color w:val="auto"/>
              </w:rPr>
            </w:pPr>
          </w:p>
        </w:tc>
      </w:tr>
      <w:tr w14:paraId="20F13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9BD5231">
            <w:pPr>
              <w:adjustRightInd w:val="0"/>
              <w:snapToGrid w:val="0"/>
              <w:jc w:val="center"/>
              <w:rPr>
                <w:rFonts w:ascii="宋体" w:hAnsi="宋体"/>
                <w:color w:val="auto"/>
                <w:szCs w:val="21"/>
              </w:rPr>
            </w:pPr>
            <w:r>
              <w:rPr>
                <w:rFonts w:hint="eastAsia" w:ascii="宋体" w:hAnsi="宋体"/>
                <w:color w:val="auto"/>
                <w:szCs w:val="21"/>
              </w:rPr>
              <w:t>第二节</w:t>
            </w:r>
          </w:p>
          <w:p w14:paraId="58FB9A05">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755C40AF">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0B1B9BD7">
            <w:pPr>
              <w:rPr>
                <w:rFonts w:hint="eastAsia"/>
                <w:color w:val="auto"/>
              </w:rPr>
            </w:pPr>
          </w:p>
        </w:tc>
      </w:tr>
      <w:tr w14:paraId="3BD44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82D0C9E">
            <w:pPr>
              <w:adjustRightInd w:val="0"/>
              <w:snapToGrid w:val="0"/>
              <w:jc w:val="center"/>
              <w:rPr>
                <w:rFonts w:ascii="宋体" w:hAnsi="宋体"/>
                <w:color w:val="auto"/>
                <w:szCs w:val="21"/>
              </w:rPr>
            </w:pPr>
            <w:r>
              <w:rPr>
                <w:rFonts w:hint="eastAsia" w:ascii="宋体" w:hAnsi="宋体"/>
                <w:color w:val="auto"/>
                <w:szCs w:val="21"/>
              </w:rPr>
              <w:t>第二节</w:t>
            </w:r>
          </w:p>
          <w:p w14:paraId="3A22EE57">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14C43EB9">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7C1927EA">
            <w:pPr>
              <w:rPr>
                <w:rFonts w:hint="eastAsia"/>
                <w:color w:val="auto"/>
              </w:rPr>
            </w:pPr>
          </w:p>
        </w:tc>
      </w:tr>
      <w:tr w14:paraId="3C493C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F0B6C2">
            <w:pPr>
              <w:adjustRightInd w:val="0"/>
              <w:snapToGrid w:val="0"/>
              <w:jc w:val="center"/>
              <w:rPr>
                <w:rFonts w:ascii="宋体" w:hAnsi="宋体"/>
                <w:color w:val="auto"/>
                <w:szCs w:val="21"/>
              </w:rPr>
            </w:pPr>
            <w:r>
              <w:rPr>
                <w:rFonts w:hint="eastAsia" w:ascii="宋体" w:hAnsi="宋体"/>
                <w:color w:val="auto"/>
                <w:szCs w:val="21"/>
              </w:rPr>
              <w:t>第二节</w:t>
            </w:r>
          </w:p>
          <w:p w14:paraId="302C8BA5">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4AECE0E3">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12CF0AD1">
            <w:pPr>
              <w:autoSpaceDE w:val="0"/>
              <w:autoSpaceDN w:val="0"/>
              <w:adjustRightInd w:val="0"/>
              <w:snapToGrid w:val="0"/>
              <w:ind w:firstLine="480" w:firstLineChars="200"/>
              <w:jc w:val="left"/>
              <w:rPr>
                <w:rFonts w:ascii="宋体" w:hAnsi="宋体"/>
                <w:color w:val="auto"/>
                <w:szCs w:val="21"/>
              </w:rPr>
            </w:pPr>
          </w:p>
        </w:tc>
      </w:tr>
      <w:tr w14:paraId="075A80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31298E">
            <w:pPr>
              <w:adjustRightInd w:val="0"/>
              <w:snapToGrid w:val="0"/>
              <w:jc w:val="center"/>
              <w:rPr>
                <w:rFonts w:ascii="宋体" w:hAnsi="宋体"/>
                <w:color w:val="auto"/>
                <w:szCs w:val="21"/>
              </w:rPr>
            </w:pPr>
            <w:r>
              <w:rPr>
                <w:rFonts w:hint="eastAsia" w:ascii="宋体" w:hAnsi="宋体"/>
                <w:color w:val="auto"/>
                <w:szCs w:val="21"/>
              </w:rPr>
              <w:t>第二节</w:t>
            </w:r>
          </w:p>
          <w:p w14:paraId="4AF59CB6">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3347D50A">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79EEE188">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6BCF244E">
            <w:pPr>
              <w:adjustRightInd w:val="0"/>
              <w:snapToGrid w:val="0"/>
              <w:jc w:val="left"/>
              <w:rPr>
                <w:rFonts w:ascii="宋体" w:hAnsi="宋体"/>
                <w:color w:val="auto"/>
                <w:szCs w:val="21"/>
              </w:rPr>
            </w:pPr>
          </w:p>
        </w:tc>
      </w:tr>
      <w:tr w14:paraId="3D66EF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1CCF7E">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4499DC86">
            <w:pPr>
              <w:pStyle w:val="23"/>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50E68F55">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5A6CC7AE">
            <w:pPr>
              <w:adjustRightInd w:val="0"/>
              <w:snapToGrid w:val="0"/>
              <w:jc w:val="left"/>
              <w:rPr>
                <w:rFonts w:ascii="宋体" w:hAnsi="宋体"/>
                <w:color w:val="auto"/>
                <w:szCs w:val="21"/>
              </w:rPr>
            </w:pPr>
          </w:p>
        </w:tc>
      </w:tr>
      <w:tr w14:paraId="3AC79A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58AA80">
            <w:pPr>
              <w:adjustRightInd w:val="0"/>
              <w:snapToGrid w:val="0"/>
              <w:jc w:val="center"/>
              <w:rPr>
                <w:rFonts w:ascii="宋体" w:hAnsi="宋体"/>
                <w:color w:val="auto"/>
                <w:szCs w:val="21"/>
              </w:rPr>
            </w:pPr>
            <w:r>
              <w:rPr>
                <w:rFonts w:hint="eastAsia" w:ascii="宋体" w:hAnsi="宋体"/>
                <w:color w:val="auto"/>
                <w:szCs w:val="21"/>
              </w:rPr>
              <w:t>第二节</w:t>
            </w:r>
          </w:p>
          <w:p w14:paraId="3DD12DAB">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11968C5D">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vAlign w:val="center"/>
          </w:tcPr>
          <w:p w14:paraId="35EB7FFA">
            <w:pPr>
              <w:adjustRightInd w:val="0"/>
              <w:snapToGrid w:val="0"/>
              <w:jc w:val="left"/>
              <w:rPr>
                <w:rFonts w:ascii="宋体" w:hAnsi="宋体"/>
                <w:color w:val="auto"/>
                <w:szCs w:val="21"/>
              </w:rPr>
            </w:pPr>
          </w:p>
        </w:tc>
      </w:tr>
      <w:tr w14:paraId="2E40F4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3BAE0BB">
            <w:pPr>
              <w:adjustRightInd w:val="0"/>
              <w:snapToGrid w:val="0"/>
              <w:jc w:val="center"/>
              <w:rPr>
                <w:rFonts w:hint="eastAsia" w:ascii="宋体" w:hAnsi="宋体"/>
                <w:color w:val="auto"/>
                <w:szCs w:val="21"/>
              </w:rPr>
            </w:pPr>
            <w:r>
              <w:rPr>
                <w:rFonts w:hint="eastAsia" w:ascii="宋体" w:hAnsi="宋体"/>
                <w:color w:val="auto"/>
                <w:szCs w:val="21"/>
              </w:rPr>
              <w:t>第二节</w:t>
            </w:r>
          </w:p>
          <w:p w14:paraId="2F7F7DD2">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552B3B8D">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60D05562">
            <w:pPr>
              <w:adjustRightInd w:val="0"/>
              <w:snapToGrid w:val="0"/>
              <w:jc w:val="left"/>
              <w:rPr>
                <w:rFonts w:ascii="宋体" w:hAnsi="宋体"/>
                <w:color w:val="auto"/>
                <w:szCs w:val="21"/>
              </w:rPr>
            </w:pPr>
          </w:p>
        </w:tc>
      </w:tr>
      <w:tr w14:paraId="21EDAA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728517">
            <w:pPr>
              <w:adjustRightInd w:val="0"/>
              <w:snapToGrid w:val="0"/>
              <w:jc w:val="center"/>
              <w:rPr>
                <w:rFonts w:hint="eastAsia" w:ascii="宋体" w:hAnsi="宋体"/>
                <w:color w:val="auto"/>
                <w:szCs w:val="21"/>
              </w:rPr>
            </w:pPr>
            <w:r>
              <w:rPr>
                <w:rFonts w:hint="eastAsia" w:ascii="宋体" w:hAnsi="宋体"/>
                <w:color w:val="auto"/>
                <w:szCs w:val="21"/>
              </w:rPr>
              <w:t>第二节</w:t>
            </w:r>
          </w:p>
          <w:p w14:paraId="34FD752A">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1A539CF5">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27B49A08">
            <w:pPr>
              <w:adjustRightInd w:val="0"/>
              <w:snapToGrid w:val="0"/>
              <w:jc w:val="left"/>
              <w:rPr>
                <w:rFonts w:ascii="宋体" w:hAnsi="宋体"/>
                <w:color w:val="auto"/>
                <w:szCs w:val="21"/>
              </w:rPr>
            </w:pPr>
          </w:p>
        </w:tc>
      </w:tr>
      <w:tr w14:paraId="31D104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FCD619E">
            <w:pPr>
              <w:adjustRightInd w:val="0"/>
              <w:snapToGrid w:val="0"/>
              <w:jc w:val="center"/>
              <w:rPr>
                <w:rFonts w:ascii="宋体" w:hAnsi="宋体"/>
                <w:color w:val="auto"/>
                <w:szCs w:val="21"/>
              </w:rPr>
            </w:pPr>
            <w:r>
              <w:rPr>
                <w:rFonts w:hint="eastAsia" w:ascii="宋体" w:hAnsi="宋体"/>
                <w:color w:val="auto"/>
                <w:szCs w:val="21"/>
              </w:rPr>
              <w:t>第二节</w:t>
            </w:r>
          </w:p>
          <w:p w14:paraId="5F013814">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4C7B9FC1">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31DE95A8">
            <w:pPr>
              <w:adjustRightInd w:val="0"/>
              <w:snapToGrid w:val="0"/>
              <w:jc w:val="left"/>
              <w:rPr>
                <w:rFonts w:ascii="宋体" w:hAnsi="宋体"/>
                <w:color w:val="auto"/>
                <w:szCs w:val="21"/>
              </w:rPr>
            </w:pPr>
          </w:p>
        </w:tc>
      </w:tr>
      <w:tr w14:paraId="221AAA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93EA26B">
            <w:pPr>
              <w:adjustRightInd w:val="0"/>
              <w:snapToGrid w:val="0"/>
              <w:jc w:val="center"/>
              <w:rPr>
                <w:rFonts w:ascii="宋体" w:hAnsi="宋体"/>
                <w:color w:val="auto"/>
                <w:szCs w:val="21"/>
              </w:rPr>
            </w:pPr>
            <w:r>
              <w:rPr>
                <w:rFonts w:hint="eastAsia" w:ascii="宋体" w:hAnsi="宋体"/>
                <w:color w:val="auto"/>
                <w:szCs w:val="21"/>
              </w:rPr>
              <w:t>第二节</w:t>
            </w:r>
          </w:p>
          <w:p w14:paraId="49557AB5">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61E2BD1E">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6E270B0C">
            <w:pPr>
              <w:adjustRightInd w:val="0"/>
              <w:snapToGrid w:val="0"/>
              <w:jc w:val="left"/>
              <w:rPr>
                <w:rFonts w:ascii="宋体" w:hAnsi="宋体"/>
                <w:color w:val="auto"/>
                <w:szCs w:val="21"/>
              </w:rPr>
            </w:pPr>
          </w:p>
        </w:tc>
      </w:tr>
      <w:tr w14:paraId="78A5FD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54CD09">
            <w:pPr>
              <w:adjustRightInd w:val="0"/>
              <w:snapToGrid w:val="0"/>
              <w:jc w:val="center"/>
              <w:rPr>
                <w:rFonts w:ascii="宋体" w:hAnsi="宋体"/>
                <w:color w:val="auto"/>
                <w:szCs w:val="21"/>
              </w:rPr>
            </w:pPr>
            <w:r>
              <w:rPr>
                <w:rFonts w:hint="eastAsia" w:ascii="宋体" w:hAnsi="宋体"/>
                <w:color w:val="auto"/>
                <w:szCs w:val="21"/>
              </w:rPr>
              <w:t>第二节</w:t>
            </w:r>
          </w:p>
          <w:p w14:paraId="194494F6">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3A6508AE">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2130BACB">
            <w:pPr>
              <w:adjustRightInd w:val="0"/>
              <w:snapToGrid w:val="0"/>
              <w:jc w:val="left"/>
              <w:rPr>
                <w:rFonts w:ascii="宋体" w:hAnsi="宋体"/>
                <w:color w:val="auto"/>
                <w:szCs w:val="21"/>
              </w:rPr>
            </w:pPr>
          </w:p>
        </w:tc>
      </w:tr>
      <w:tr w14:paraId="415338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1FBAD5">
            <w:pPr>
              <w:adjustRightInd w:val="0"/>
              <w:snapToGrid w:val="0"/>
              <w:jc w:val="center"/>
              <w:rPr>
                <w:rFonts w:ascii="宋体" w:hAnsi="宋体"/>
                <w:color w:val="auto"/>
                <w:szCs w:val="21"/>
              </w:rPr>
            </w:pPr>
            <w:r>
              <w:rPr>
                <w:rFonts w:hint="eastAsia" w:ascii="宋体" w:hAnsi="宋体"/>
                <w:color w:val="auto"/>
                <w:szCs w:val="21"/>
              </w:rPr>
              <w:t>第二节</w:t>
            </w:r>
          </w:p>
          <w:p w14:paraId="365F3E56">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521E8DCF">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48D8F20B">
            <w:pPr>
              <w:adjustRightInd w:val="0"/>
              <w:snapToGrid w:val="0"/>
              <w:jc w:val="left"/>
              <w:rPr>
                <w:rFonts w:ascii="宋体" w:hAnsi="宋体"/>
                <w:color w:val="auto"/>
                <w:szCs w:val="21"/>
              </w:rPr>
            </w:pPr>
          </w:p>
        </w:tc>
      </w:tr>
      <w:tr w14:paraId="67D1BE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EE6375">
            <w:pPr>
              <w:adjustRightInd w:val="0"/>
              <w:snapToGrid w:val="0"/>
              <w:jc w:val="center"/>
              <w:rPr>
                <w:rFonts w:ascii="宋体" w:hAnsi="宋体"/>
                <w:color w:val="auto"/>
                <w:szCs w:val="21"/>
              </w:rPr>
            </w:pPr>
            <w:r>
              <w:rPr>
                <w:rFonts w:hint="eastAsia" w:ascii="宋体" w:hAnsi="宋体"/>
                <w:color w:val="auto"/>
                <w:szCs w:val="21"/>
              </w:rPr>
              <w:t>第二节</w:t>
            </w:r>
          </w:p>
          <w:p w14:paraId="3BA16623">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17B3F5DD">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67182C51">
            <w:pPr>
              <w:adjustRightInd w:val="0"/>
              <w:snapToGrid w:val="0"/>
              <w:jc w:val="left"/>
              <w:rPr>
                <w:rFonts w:ascii="宋体" w:hAnsi="宋体"/>
                <w:color w:val="auto"/>
                <w:szCs w:val="21"/>
                <w:u w:val="single"/>
              </w:rPr>
            </w:pPr>
          </w:p>
        </w:tc>
      </w:tr>
      <w:tr w14:paraId="6710FA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00A762">
            <w:pPr>
              <w:adjustRightInd w:val="0"/>
              <w:snapToGrid w:val="0"/>
              <w:jc w:val="center"/>
              <w:rPr>
                <w:rFonts w:ascii="宋体" w:hAnsi="宋体"/>
                <w:color w:val="auto"/>
                <w:szCs w:val="21"/>
              </w:rPr>
            </w:pPr>
            <w:r>
              <w:rPr>
                <w:rFonts w:hint="eastAsia" w:ascii="宋体" w:hAnsi="宋体"/>
                <w:color w:val="auto"/>
                <w:szCs w:val="21"/>
              </w:rPr>
              <w:t>第二节</w:t>
            </w:r>
          </w:p>
          <w:p w14:paraId="5D791E31">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625383DD">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155E890A">
            <w:pPr>
              <w:adjustRightInd w:val="0"/>
              <w:snapToGrid w:val="0"/>
              <w:jc w:val="left"/>
              <w:rPr>
                <w:rFonts w:ascii="宋体" w:hAnsi="宋体"/>
                <w:color w:val="auto"/>
                <w:szCs w:val="21"/>
                <w:u w:val="single"/>
              </w:rPr>
            </w:pPr>
          </w:p>
        </w:tc>
      </w:tr>
      <w:tr w14:paraId="6209F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6769B5B">
            <w:pPr>
              <w:adjustRightInd w:val="0"/>
              <w:snapToGrid w:val="0"/>
              <w:jc w:val="center"/>
              <w:rPr>
                <w:rFonts w:ascii="宋体" w:hAnsi="宋体"/>
                <w:color w:val="auto"/>
                <w:szCs w:val="21"/>
              </w:rPr>
            </w:pPr>
            <w:r>
              <w:rPr>
                <w:rFonts w:hint="eastAsia" w:ascii="宋体" w:hAnsi="宋体"/>
                <w:color w:val="auto"/>
                <w:szCs w:val="21"/>
              </w:rPr>
              <w:t>第二节</w:t>
            </w:r>
          </w:p>
          <w:p w14:paraId="73D0FEB9">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BF73B22">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2EDD03F5">
            <w:pPr>
              <w:adjustRightInd w:val="0"/>
              <w:snapToGrid w:val="0"/>
              <w:jc w:val="left"/>
              <w:rPr>
                <w:rFonts w:ascii="宋体" w:hAnsi="宋体"/>
                <w:color w:val="auto"/>
                <w:szCs w:val="21"/>
                <w:u w:val="single"/>
              </w:rPr>
            </w:pPr>
          </w:p>
        </w:tc>
      </w:tr>
      <w:tr w14:paraId="70889F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030F500">
            <w:pPr>
              <w:adjustRightInd w:val="0"/>
              <w:snapToGrid w:val="0"/>
              <w:jc w:val="center"/>
              <w:rPr>
                <w:rFonts w:ascii="宋体" w:hAnsi="宋体"/>
                <w:color w:val="auto"/>
                <w:szCs w:val="21"/>
              </w:rPr>
            </w:pPr>
            <w:r>
              <w:rPr>
                <w:rFonts w:hint="eastAsia" w:ascii="宋体" w:hAnsi="宋体"/>
                <w:color w:val="auto"/>
                <w:szCs w:val="21"/>
              </w:rPr>
              <w:t>第二节</w:t>
            </w:r>
          </w:p>
          <w:p w14:paraId="0228AF75">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5CE2773">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79B1B885">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79CE14A2">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51DC3F74">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人民法院起诉。</w:t>
            </w:r>
          </w:p>
        </w:tc>
      </w:tr>
      <w:tr w14:paraId="6F2F5C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8F1576A">
            <w:pPr>
              <w:adjustRightInd w:val="0"/>
              <w:snapToGrid w:val="0"/>
              <w:jc w:val="center"/>
              <w:rPr>
                <w:rFonts w:ascii="宋体" w:hAnsi="宋体"/>
                <w:color w:val="auto"/>
                <w:szCs w:val="21"/>
              </w:rPr>
            </w:pPr>
            <w:r>
              <w:rPr>
                <w:rFonts w:hint="eastAsia" w:ascii="宋体" w:hAnsi="宋体"/>
                <w:color w:val="auto"/>
                <w:szCs w:val="21"/>
              </w:rPr>
              <w:t>第二节</w:t>
            </w:r>
          </w:p>
          <w:p w14:paraId="3BD2EF9E">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2A0CD8C9">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10FC855D">
            <w:pPr>
              <w:adjustRightInd w:val="0"/>
              <w:snapToGrid w:val="0"/>
              <w:jc w:val="left"/>
              <w:rPr>
                <w:rFonts w:hint="default" w:ascii="宋体" w:hAnsi="宋体" w:eastAsia="宋体"/>
                <w:color w:val="auto"/>
                <w:szCs w:val="21"/>
                <w:lang w:val="en-US" w:eastAsia="zh-CN"/>
              </w:rPr>
            </w:pPr>
          </w:p>
        </w:tc>
      </w:tr>
    </w:tbl>
    <w:p w14:paraId="0B66EAFC">
      <w:pPr>
        <w:rPr>
          <w:color w:val="auto"/>
        </w:rPr>
      </w:pPr>
    </w:p>
    <w:p w14:paraId="3A4F3691">
      <w:pPr>
        <w:rPr>
          <w:color w:val="auto"/>
        </w:rPr>
      </w:pPr>
    </w:p>
    <w:p w14:paraId="090DC335">
      <w:pPr>
        <w:pStyle w:val="2"/>
        <w:kinsoku w:val="0"/>
        <w:overflowPunct w:val="0"/>
        <w:spacing w:line="433" w:lineRule="exact"/>
        <w:ind w:right="1"/>
        <w:jc w:val="center"/>
        <w:outlineLvl w:val="9"/>
        <w:rPr>
          <w:color w:val="auto"/>
        </w:rPr>
      </w:pPr>
    </w:p>
    <w:p w14:paraId="6F4A0A98">
      <w:pPr>
        <w:pStyle w:val="2"/>
        <w:kinsoku w:val="0"/>
        <w:overflowPunct w:val="0"/>
        <w:spacing w:line="433" w:lineRule="exact"/>
        <w:ind w:right="1"/>
        <w:jc w:val="center"/>
        <w:outlineLvl w:val="9"/>
        <w:rPr>
          <w:color w:val="auto"/>
        </w:rPr>
      </w:pPr>
    </w:p>
    <w:p w14:paraId="0057A9C5">
      <w:pPr>
        <w:pStyle w:val="2"/>
        <w:kinsoku w:val="0"/>
        <w:overflowPunct w:val="0"/>
        <w:spacing w:line="433" w:lineRule="exact"/>
        <w:ind w:right="1"/>
        <w:jc w:val="center"/>
        <w:outlineLvl w:val="9"/>
        <w:rPr>
          <w:color w:val="auto"/>
        </w:rPr>
      </w:pPr>
    </w:p>
    <w:p w14:paraId="58659AC5">
      <w:pPr>
        <w:pStyle w:val="2"/>
        <w:kinsoku w:val="0"/>
        <w:overflowPunct w:val="0"/>
        <w:spacing w:line="433" w:lineRule="exact"/>
        <w:ind w:right="1"/>
        <w:jc w:val="center"/>
        <w:outlineLvl w:val="9"/>
        <w:rPr>
          <w:color w:val="auto"/>
        </w:rPr>
      </w:pPr>
    </w:p>
    <w:p w14:paraId="166C0369">
      <w:pPr>
        <w:pStyle w:val="2"/>
        <w:kinsoku w:val="0"/>
        <w:overflowPunct w:val="0"/>
        <w:spacing w:line="433" w:lineRule="exact"/>
        <w:ind w:right="1"/>
        <w:jc w:val="center"/>
        <w:outlineLvl w:val="9"/>
        <w:rPr>
          <w:color w:val="auto"/>
        </w:rPr>
      </w:pPr>
    </w:p>
    <w:p w14:paraId="5C9341F6">
      <w:pPr>
        <w:pStyle w:val="2"/>
        <w:kinsoku w:val="0"/>
        <w:overflowPunct w:val="0"/>
        <w:spacing w:line="433" w:lineRule="exact"/>
        <w:ind w:right="1"/>
        <w:jc w:val="center"/>
        <w:outlineLvl w:val="9"/>
        <w:rPr>
          <w:color w:val="auto"/>
        </w:rPr>
      </w:pPr>
    </w:p>
    <w:p w14:paraId="353A5AA9">
      <w:pPr>
        <w:pStyle w:val="2"/>
        <w:kinsoku w:val="0"/>
        <w:overflowPunct w:val="0"/>
        <w:spacing w:line="433" w:lineRule="exact"/>
        <w:ind w:right="1"/>
        <w:jc w:val="center"/>
        <w:outlineLvl w:val="9"/>
        <w:rPr>
          <w:color w:val="auto"/>
        </w:rPr>
      </w:pPr>
    </w:p>
    <w:p w14:paraId="2375C623">
      <w:pPr>
        <w:pStyle w:val="2"/>
        <w:kinsoku w:val="0"/>
        <w:overflowPunct w:val="0"/>
        <w:spacing w:line="433" w:lineRule="exact"/>
        <w:ind w:right="1"/>
        <w:jc w:val="center"/>
        <w:rPr>
          <w:rFonts w:hint="default"/>
          <w:b w:val="0"/>
          <w:color w:val="auto"/>
        </w:rPr>
      </w:pPr>
      <w:bookmarkStart w:id="58" w:name="_Toc6113"/>
      <w:r>
        <w:rPr>
          <w:color w:val="auto"/>
        </w:rPr>
        <w:t>第六部分</w:t>
      </w:r>
      <w:r>
        <w:rPr>
          <w:color w:val="auto"/>
          <w:spacing w:val="-7"/>
        </w:rPr>
        <w:t xml:space="preserve"> </w:t>
      </w:r>
      <w:r>
        <w:rPr>
          <w:color w:val="auto"/>
        </w:rPr>
        <w:t>投标文件格式</w:t>
      </w:r>
      <w:bookmarkEnd w:id="58"/>
    </w:p>
    <w:p w14:paraId="2A735105">
      <w:pPr>
        <w:pStyle w:val="8"/>
        <w:kinsoku w:val="0"/>
        <w:overflowPunct w:val="0"/>
        <w:spacing w:before="3"/>
        <w:ind w:left="0"/>
        <w:rPr>
          <w:rFonts w:hint="default"/>
          <w:b/>
          <w:color w:val="auto"/>
          <w:sz w:val="31"/>
          <w:szCs w:val="31"/>
        </w:rPr>
      </w:pPr>
    </w:p>
    <w:p w14:paraId="05FCD52C">
      <w:pPr>
        <w:pStyle w:val="8"/>
        <w:tabs>
          <w:tab w:val="left" w:pos="719"/>
        </w:tabs>
        <w:kinsoku w:val="0"/>
        <w:overflowPunct w:val="0"/>
        <w:spacing w:before="0"/>
        <w:ind w:left="0" w:right="1"/>
        <w:jc w:val="center"/>
        <w:rPr>
          <w:rFonts w:hint="default"/>
          <w:color w:val="auto"/>
        </w:rPr>
      </w:pPr>
      <w:r>
        <w:rPr>
          <w:color w:val="auto"/>
        </w:rPr>
        <w:t>目</w:t>
      </w:r>
      <w:r>
        <w:rPr>
          <w:color w:val="auto"/>
        </w:rPr>
        <w:tab/>
      </w:r>
      <w:r>
        <w:rPr>
          <w:color w:val="auto"/>
        </w:rPr>
        <w:t>录</w:t>
      </w:r>
    </w:p>
    <w:p w14:paraId="2EBDB35D">
      <w:pPr>
        <w:pStyle w:val="6"/>
        <w:kinsoku w:val="0"/>
        <w:overflowPunct w:val="0"/>
        <w:spacing w:before="0"/>
        <w:rPr>
          <w:rFonts w:hint="default"/>
          <w:b w:val="0"/>
          <w:color w:val="auto"/>
        </w:rPr>
      </w:pPr>
      <w:r>
        <w:rPr>
          <w:color w:val="auto"/>
        </w:rPr>
        <w:t>一、资格审查</w:t>
      </w:r>
    </w:p>
    <w:p w14:paraId="0480A406">
      <w:pPr>
        <w:pStyle w:val="8"/>
        <w:kinsoku w:val="0"/>
        <w:overflowPunct w:val="0"/>
        <w:spacing w:before="154"/>
        <w:ind w:left="600"/>
        <w:rPr>
          <w:rFonts w:hint="default"/>
          <w:color w:val="auto"/>
        </w:rPr>
      </w:pPr>
      <w:r>
        <w:rPr>
          <w:color w:val="auto"/>
        </w:rPr>
        <w:t>1、投标文件封面</w:t>
      </w:r>
    </w:p>
    <w:p w14:paraId="67C397B9">
      <w:pPr>
        <w:pStyle w:val="8"/>
        <w:kinsoku w:val="0"/>
        <w:overflowPunct w:val="0"/>
        <w:spacing w:before="154"/>
        <w:ind w:left="600"/>
        <w:rPr>
          <w:rFonts w:hint="default"/>
          <w:color w:val="auto"/>
        </w:rPr>
      </w:pPr>
      <w:r>
        <w:rPr>
          <w:color w:val="auto"/>
        </w:rPr>
        <w:t>2、★营业执照</w:t>
      </w:r>
    </w:p>
    <w:p w14:paraId="2A35F29C">
      <w:pPr>
        <w:pStyle w:val="8"/>
        <w:kinsoku w:val="0"/>
        <w:overflowPunct w:val="0"/>
        <w:spacing w:before="154"/>
        <w:ind w:left="600"/>
        <w:rPr>
          <w:rFonts w:hint="default"/>
          <w:color w:val="auto"/>
        </w:rPr>
      </w:pPr>
      <w:r>
        <w:rPr>
          <w:color w:val="auto"/>
        </w:rPr>
        <w:t>3、★法定代表人身份证明及授权委托书</w:t>
      </w:r>
    </w:p>
    <w:p w14:paraId="265239A8">
      <w:pPr>
        <w:pStyle w:val="8"/>
        <w:kinsoku w:val="0"/>
        <w:overflowPunct w:val="0"/>
        <w:spacing w:before="154"/>
        <w:ind w:left="600"/>
        <w:rPr>
          <w:rFonts w:hint="default"/>
          <w:color w:val="auto"/>
        </w:rPr>
      </w:pPr>
      <w:r>
        <w:rPr>
          <w:color w:val="auto"/>
        </w:rPr>
        <w:t>4、★投标保证金</w:t>
      </w:r>
    </w:p>
    <w:p w14:paraId="326030A5">
      <w:pPr>
        <w:pStyle w:val="8"/>
        <w:kinsoku w:val="0"/>
        <w:overflowPunct w:val="0"/>
        <w:spacing w:before="154"/>
        <w:ind w:left="600"/>
        <w:rPr>
          <w:color w:val="auto"/>
        </w:rPr>
      </w:pPr>
      <w:r>
        <w:rPr>
          <w:rFonts w:hint="eastAsia"/>
          <w:color w:val="auto"/>
          <w:lang w:val="en-US" w:eastAsia="zh-CN"/>
        </w:rPr>
        <w:t>5</w:t>
      </w:r>
      <w:r>
        <w:rPr>
          <w:color w:val="auto"/>
        </w:rPr>
        <w:t>、★中、小企业声明函</w:t>
      </w:r>
    </w:p>
    <w:p w14:paraId="479FC5C4">
      <w:pPr>
        <w:pStyle w:val="8"/>
        <w:kinsoku w:val="0"/>
        <w:overflowPunct w:val="0"/>
        <w:spacing w:before="154"/>
        <w:ind w:left="600"/>
        <w:rPr>
          <w:rFonts w:hint="default"/>
          <w:color w:val="auto"/>
        </w:rPr>
      </w:pPr>
      <w:r>
        <w:rPr>
          <w:rFonts w:hint="eastAsia"/>
          <w:color w:val="auto"/>
          <w:lang w:val="en-US" w:eastAsia="zh-CN"/>
        </w:rPr>
        <w:t>6</w:t>
      </w:r>
      <w:r>
        <w:rPr>
          <w:color w:val="auto"/>
        </w:rPr>
        <w:t>、供应商认为有必要提供的声明及文件资料</w:t>
      </w:r>
    </w:p>
    <w:p w14:paraId="0C5318A0">
      <w:pPr>
        <w:pStyle w:val="8"/>
        <w:kinsoku w:val="0"/>
        <w:overflowPunct w:val="0"/>
        <w:spacing w:before="154"/>
        <w:ind w:left="600"/>
        <w:rPr>
          <w:rFonts w:hint="default"/>
          <w:color w:val="auto"/>
        </w:rPr>
      </w:pPr>
      <w:r>
        <w:rPr>
          <w:rFonts w:hint="eastAsia"/>
          <w:color w:val="auto"/>
          <w:lang w:val="en-US" w:eastAsia="zh-CN"/>
        </w:rPr>
        <w:t>7</w:t>
      </w:r>
      <w:r>
        <w:rPr>
          <w:color w:val="auto"/>
        </w:rPr>
        <w:t>、★《中华人民共和国政府采购法》第二十二条应当具备的条件；</w:t>
      </w:r>
    </w:p>
    <w:p w14:paraId="6BA37B2F">
      <w:pPr>
        <w:pStyle w:val="8"/>
        <w:kinsoku w:val="0"/>
        <w:overflowPunct w:val="0"/>
        <w:spacing w:before="154" w:line="357" w:lineRule="auto"/>
        <w:ind w:right="3646" w:firstLine="480"/>
        <w:rPr>
          <w:rFonts w:hint="default"/>
          <w:color w:val="auto"/>
        </w:rPr>
      </w:pPr>
      <w:r>
        <w:rPr>
          <w:rFonts w:hint="eastAsia"/>
          <w:color w:val="auto"/>
          <w:lang w:val="en-US" w:eastAsia="zh-CN"/>
        </w:rPr>
        <w:t>8</w:t>
      </w:r>
      <w:r>
        <w:rPr>
          <w:color w:val="auto"/>
        </w:rPr>
        <w:t xml:space="preserve">、★不参与围标串标承诺书； </w:t>
      </w:r>
    </w:p>
    <w:p w14:paraId="3E75912A">
      <w:pPr>
        <w:pStyle w:val="8"/>
        <w:kinsoku w:val="0"/>
        <w:overflowPunct w:val="0"/>
        <w:spacing w:before="154" w:line="357" w:lineRule="auto"/>
        <w:ind w:right="3646"/>
        <w:rPr>
          <w:rFonts w:hint="default"/>
          <w:color w:val="auto"/>
        </w:rPr>
      </w:pPr>
      <w:r>
        <w:rPr>
          <w:b/>
          <w:color w:val="auto"/>
        </w:rPr>
        <w:t>二、商务（响应）文件</w:t>
      </w:r>
    </w:p>
    <w:p w14:paraId="3AC36477">
      <w:pPr>
        <w:pStyle w:val="8"/>
        <w:kinsoku w:val="0"/>
        <w:overflowPunct w:val="0"/>
        <w:ind w:left="600"/>
        <w:rPr>
          <w:rFonts w:hint="default"/>
          <w:color w:val="auto"/>
        </w:rPr>
      </w:pPr>
      <w:r>
        <w:rPr>
          <w:color w:val="auto"/>
        </w:rPr>
        <w:t>1、★投标函；</w:t>
      </w:r>
    </w:p>
    <w:p w14:paraId="7F0BA172">
      <w:pPr>
        <w:pStyle w:val="8"/>
        <w:kinsoku w:val="0"/>
        <w:overflowPunct w:val="0"/>
        <w:spacing w:before="154"/>
        <w:ind w:left="600"/>
        <w:rPr>
          <w:rFonts w:hint="default"/>
          <w:color w:val="auto"/>
        </w:rPr>
      </w:pPr>
      <w:r>
        <w:rPr>
          <w:color w:val="auto"/>
        </w:rPr>
        <w:t>2、★开标一览表；</w:t>
      </w:r>
    </w:p>
    <w:p w14:paraId="4F952788">
      <w:pPr>
        <w:pStyle w:val="8"/>
        <w:kinsoku w:val="0"/>
        <w:overflowPunct w:val="0"/>
        <w:spacing w:before="154"/>
        <w:ind w:left="600"/>
        <w:rPr>
          <w:rFonts w:hint="default"/>
          <w:color w:val="auto"/>
        </w:rPr>
      </w:pPr>
      <w:r>
        <w:rPr>
          <w:color w:val="auto"/>
        </w:rPr>
        <w:t>3、★投标报价明细表；</w:t>
      </w:r>
    </w:p>
    <w:p w14:paraId="3D55E924">
      <w:pPr>
        <w:pStyle w:val="8"/>
        <w:kinsoku w:val="0"/>
        <w:overflowPunct w:val="0"/>
        <w:spacing w:before="154"/>
        <w:ind w:left="600"/>
        <w:rPr>
          <w:rFonts w:hint="default"/>
          <w:color w:val="auto"/>
        </w:rPr>
      </w:pPr>
      <w:r>
        <w:rPr>
          <w:color w:val="auto"/>
        </w:rPr>
        <w:t>4、★商务条款偏离说明表</w:t>
      </w:r>
    </w:p>
    <w:p w14:paraId="7C2181D6">
      <w:pPr>
        <w:pStyle w:val="8"/>
        <w:kinsoku w:val="0"/>
        <w:overflowPunct w:val="0"/>
        <w:spacing w:before="154"/>
        <w:ind w:left="600"/>
        <w:rPr>
          <w:rFonts w:hint="default"/>
          <w:color w:val="auto"/>
        </w:rPr>
      </w:pPr>
      <w:r>
        <w:rPr>
          <w:color w:val="auto"/>
        </w:rPr>
        <w:t>5、商务响应文件</w:t>
      </w:r>
    </w:p>
    <w:p w14:paraId="0182D96E">
      <w:pPr>
        <w:pStyle w:val="8"/>
        <w:kinsoku w:val="0"/>
        <w:overflowPunct w:val="0"/>
        <w:spacing w:before="154" w:line="357" w:lineRule="auto"/>
        <w:ind w:right="1180" w:firstLine="480"/>
        <w:rPr>
          <w:rFonts w:hint="default"/>
          <w:color w:val="auto"/>
        </w:rPr>
      </w:pPr>
      <w:r>
        <w:rPr>
          <w:rFonts w:hint="eastAsia"/>
          <w:color w:val="auto"/>
          <w:lang w:val="en-US" w:eastAsia="zh-CN"/>
        </w:rPr>
        <w:t>6</w:t>
      </w:r>
      <w:r>
        <w:rPr>
          <w:color w:val="auto"/>
        </w:rPr>
        <w:t xml:space="preserve">、供应商认为有必要提供的声明及文件资料； </w:t>
      </w:r>
    </w:p>
    <w:p w14:paraId="2C8ABF07">
      <w:pPr>
        <w:pStyle w:val="8"/>
        <w:kinsoku w:val="0"/>
        <w:overflowPunct w:val="0"/>
        <w:spacing w:before="154" w:line="357" w:lineRule="auto"/>
        <w:ind w:right="1180"/>
        <w:rPr>
          <w:rFonts w:hint="default"/>
          <w:color w:val="auto"/>
        </w:rPr>
      </w:pPr>
      <w:r>
        <w:rPr>
          <w:b/>
          <w:color w:val="auto"/>
        </w:rPr>
        <w:t>三、技术（响应）文件</w:t>
      </w:r>
    </w:p>
    <w:p w14:paraId="781DBEBE">
      <w:pPr>
        <w:pStyle w:val="8"/>
        <w:kinsoku w:val="0"/>
        <w:overflowPunct w:val="0"/>
        <w:spacing w:line="357" w:lineRule="auto"/>
        <w:ind w:right="3646" w:firstLine="480"/>
        <w:rPr>
          <w:rFonts w:hint="default"/>
          <w:color w:val="auto"/>
        </w:rPr>
      </w:pPr>
      <w:r>
        <w:rPr>
          <w:color w:val="auto"/>
        </w:rPr>
        <w:t>1、</w:t>
      </w:r>
      <w:r>
        <w:rPr>
          <w:rFonts w:hint="eastAsia"/>
          <w:color w:val="auto"/>
          <w:lang w:eastAsia="zh-CN"/>
        </w:rPr>
        <w:t>供应商</w:t>
      </w:r>
      <w:r>
        <w:rPr>
          <w:color w:val="auto"/>
        </w:rPr>
        <w:t>自行编写的技术文件</w:t>
      </w:r>
    </w:p>
    <w:p w14:paraId="685D1FF0">
      <w:pPr>
        <w:pStyle w:val="8"/>
        <w:kinsoku w:val="0"/>
        <w:overflowPunct w:val="0"/>
        <w:spacing w:line="357" w:lineRule="auto"/>
        <w:ind w:right="3646"/>
        <w:rPr>
          <w:rFonts w:hint="default"/>
          <w:color w:val="auto"/>
        </w:rPr>
      </w:pPr>
      <w:r>
        <w:rPr>
          <w:color w:val="auto"/>
        </w:rPr>
        <w:t xml:space="preserve"> </w:t>
      </w:r>
      <w:r>
        <w:rPr>
          <w:b/>
          <w:color w:val="auto"/>
        </w:rPr>
        <w:t>四、服务（响应）文件</w:t>
      </w:r>
    </w:p>
    <w:p w14:paraId="5D07645D">
      <w:pPr>
        <w:pStyle w:val="8"/>
        <w:kinsoku w:val="0"/>
        <w:overflowPunct w:val="0"/>
        <w:ind w:left="600"/>
        <w:rPr>
          <w:rFonts w:hint="default"/>
          <w:color w:val="auto"/>
        </w:rPr>
      </w:pPr>
      <w:r>
        <w:rPr>
          <w:color w:val="auto"/>
        </w:rPr>
        <w:t>1、</w:t>
      </w:r>
      <w:r>
        <w:rPr>
          <w:rFonts w:hint="eastAsia"/>
          <w:color w:val="auto"/>
          <w:lang w:eastAsia="zh-CN"/>
        </w:rPr>
        <w:t>供应商</w:t>
      </w:r>
      <w:r>
        <w:rPr>
          <w:color w:val="auto"/>
        </w:rPr>
        <w:t>自行编写的服务文件</w:t>
      </w:r>
    </w:p>
    <w:p w14:paraId="742FA457">
      <w:pPr>
        <w:pStyle w:val="8"/>
        <w:kinsoku w:val="0"/>
        <w:overflowPunct w:val="0"/>
        <w:ind w:left="600"/>
        <w:rPr>
          <w:rFonts w:hint="default"/>
          <w:color w:val="auto"/>
        </w:rPr>
        <w:sectPr>
          <w:footerReference r:id="rId14" w:type="default"/>
          <w:pgSz w:w="11910" w:h="16840"/>
          <w:pgMar w:top="1480" w:right="1680" w:bottom="1580" w:left="1680" w:header="0" w:footer="1395" w:gutter="0"/>
          <w:pgNumType w:fmt="decimal"/>
          <w:cols w:space="720" w:num="1"/>
        </w:sectPr>
      </w:pPr>
    </w:p>
    <w:p w14:paraId="6F5D88B8">
      <w:pPr>
        <w:pStyle w:val="8"/>
        <w:kinsoku w:val="0"/>
        <w:overflowPunct w:val="0"/>
        <w:spacing w:before="0" w:line="395" w:lineRule="exact"/>
        <w:rPr>
          <w:rFonts w:hint="default" w:ascii="黑体" w:eastAsia="黑体" w:cs="黑体"/>
          <w:color w:val="auto"/>
          <w:sz w:val="32"/>
          <w:szCs w:val="32"/>
        </w:rPr>
      </w:pPr>
      <w:bookmarkStart w:id="59" w:name="1、投标文件封面"/>
      <w:bookmarkEnd w:id="59"/>
      <w:bookmarkStart w:id="60" w:name="一、投标文件格式"/>
      <w:bookmarkEnd w:id="60"/>
      <w:r>
        <w:rPr>
          <w:rFonts w:ascii="黑体" w:eastAsia="黑体" w:cs="黑体"/>
          <w:b/>
          <w:color w:val="auto"/>
          <w:sz w:val="32"/>
          <w:szCs w:val="32"/>
        </w:rPr>
        <w:t>一、投标文件格式</w:t>
      </w:r>
    </w:p>
    <w:p w14:paraId="20B4728F">
      <w:pPr>
        <w:pStyle w:val="8"/>
        <w:kinsoku w:val="0"/>
        <w:overflowPunct w:val="0"/>
        <w:spacing w:before="0" w:line="395" w:lineRule="exact"/>
        <w:rPr>
          <w:rFonts w:hint="default" w:ascii="黑体" w:eastAsia="黑体" w:cs="黑体"/>
          <w:color w:val="auto"/>
          <w:sz w:val="32"/>
          <w:szCs w:val="32"/>
        </w:rPr>
        <w:sectPr>
          <w:pgSz w:w="11910" w:h="16840"/>
          <w:pgMar w:top="1500" w:right="1680" w:bottom="1580" w:left="1680" w:header="0" w:footer="1395" w:gutter="0"/>
          <w:pgNumType w:fmt="decimal"/>
          <w:cols w:space="720" w:num="1"/>
        </w:sectPr>
      </w:pPr>
    </w:p>
    <w:p w14:paraId="01808C8A">
      <w:pPr>
        <w:pStyle w:val="8"/>
        <w:kinsoku w:val="0"/>
        <w:overflowPunct w:val="0"/>
        <w:spacing w:before="0" w:line="395" w:lineRule="exact"/>
        <w:rPr>
          <w:rFonts w:hint="default" w:ascii="黑体" w:eastAsia="黑体" w:cs="黑体"/>
          <w:color w:val="auto"/>
          <w:sz w:val="32"/>
          <w:szCs w:val="32"/>
        </w:rPr>
      </w:pPr>
      <w:bookmarkStart w:id="61" w:name="2、★营业执照"/>
      <w:bookmarkEnd w:id="61"/>
      <w:r>
        <w:rPr>
          <w:rFonts w:ascii="黑体" w:eastAsia="黑体" w:cs="黑体"/>
          <w:b/>
          <w:color w:val="auto"/>
          <w:sz w:val="32"/>
          <w:szCs w:val="32"/>
        </w:rPr>
        <w:t>1、投标文件封面</w:t>
      </w:r>
    </w:p>
    <w:p w14:paraId="502936CB">
      <w:pPr>
        <w:pStyle w:val="8"/>
        <w:kinsoku w:val="0"/>
        <w:overflowPunct w:val="0"/>
        <w:spacing w:before="0"/>
        <w:ind w:left="0"/>
        <w:rPr>
          <w:rFonts w:hint="default" w:ascii="黑体" w:eastAsia="黑体" w:cs="黑体"/>
          <w:b/>
          <w:color w:val="auto"/>
          <w:sz w:val="20"/>
          <w:szCs w:val="20"/>
        </w:rPr>
      </w:pPr>
    </w:p>
    <w:p w14:paraId="054F5247">
      <w:pPr>
        <w:pStyle w:val="8"/>
        <w:kinsoku w:val="0"/>
        <w:overflowPunct w:val="0"/>
        <w:spacing w:before="0"/>
        <w:ind w:left="0"/>
        <w:rPr>
          <w:rFonts w:hint="default" w:ascii="黑体" w:eastAsia="黑体" w:cs="黑体"/>
          <w:b/>
          <w:color w:val="auto"/>
          <w:sz w:val="20"/>
          <w:szCs w:val="20"/>
        </w:rPr>
      </w:pPr>
    </w:p>
    <w:p w14:paraId="57220732">
      <w:pPr>
        <w:pStyle w:val="8"/>
        <w:kinsoku w:val="0"/>
        <w:overflowPunct w:val="0"/>
        <w:spacing w:before="0"/>
        <w:ind w:left="0"/>
        <w:rPr>
          <w:rFonts w:hint="default" w:ascii="黑体" w:eastAsia="黑体" w:cs="黑体"/>
          <w:b/>
          <w:color w:val="auto"/>
          <w:sz w:val="20"/>
          <w:szCs w:val="20"/>
        </w:rPr>
      </w:pPr>
    </w:p>
    <w:p w14:paraId="3CF7C970">
      <w:pPr>
        <w:pStyle w:val="8"/>
        <w:kinsoku w:val="0"/>
        <w:overflowPunct w:val="0"/>
        <w:spacing w:before="8"/>
        <w:ind w:left="0"/>
        <w:rPr>
          <w:rFonts w:hint="default" w:ascii="黑体" w:eastAsia="黑体" w:cs="黑体"/>
          <w:b/>
          <w:color w:val="auto"/>
          <w:sz w:val="28"/>
          <w:szCs w:val="28"/>
        </w:rPr>
      </w:pPr>
    </w:p>
    <w:p w14:paraId="30B6CEF2">
      <w:pPr>
        <w:pStyle w:val="8"/>
        <w:kinsoku w:val="0"/>
        <w:overflowPunct w:val="0"/>
        <w:spacing w:before="14"/>
        <w:ind w:left="2358" w:right="2359"/>
        <w:jc w:val="center"/>
        <w:rPr>
          <w:rFonts w:hint="default"/>
          <w:color w:val="auto"/>
          <w:sz w:val="28"/>
          <w:szCs w:val="28"/>
        </w:rPr>
      </w:pPr>
      <w:r>
        <w:rPr>
          <w:color w:val="auto"/>
          <w:sz w:val="28"/>
          <w:szCs w:val="28"/>
        </w:rPr>
        <w:t>（项目名称）</w:t>
      </w:r>
    </w:p>
    <w:p w14:paraId="54DEB097">
      <w:pPr>
        <w:pStyle w:val="8"/>
        <w:kinsoku w:val="0"/>
        <w:overflowPunct w:val="0"/>
        <w:spacing w:before="0"/>
        <w:ind w:left="0"/>
        <w:rPr>
          <w:rFonts w:hint="default"/>
          <w:color w:val="auto"/>
          <w:sz w:val="28"/>
          <w:szCs w:val="28"/>
        </w:rPr>
      </w:pPr>
    </w:p>
    <w:p w14:paraId="340FFB4D">
      <w:pPr>
        <w:pStyle w:val="8"/>
        <w:kinsoku w:val="0"/>
        <w:overflowPunct w:val="0"/>
        <w:spacing w:before="5"/>
        <w:ind w:left="0"/>
        <w:rPr>
          <w:rFonts w:hint="default"/>
          <w:color w:val="auto"/>
          <w:sz w:val="39"/>
          <w:szCs w:val="39"/>
        </w:rPr>
      </w:pPr>
    </w:p>
    <w:p w14:paraId="546A4370">
      <w:pPr>
        <w:pStyle w:val="8"/>
        <w:kinsoku w:val="0"/>
        <w:overflowPunct w:val="0"/>
        <w:spacing w:before="0"/>
        <w:ind w:left="97" w:right="1"/>
        <w:jc w:val="center"/>
        <w:rPr>
          <w:rFonts w:hint="default"/>
          <w:color w:val="auto"/>
          <w:sz w:val="28"/>
          <w:szCs w:val="28"/>
        </w:rPr>
      </w:pPr>
      <w:r>
        <w:rPr>
          <w:color w:val="auto"/>
          <w:sz w:val="28"/>
          <w:szCs w:val="28"/>
        </w:rPr>
        <w:t>（包号）</w:t>
      </w:r>
    </w:p>
    <w:p w14:paraId="47064591">
      <w:pPr>
        <w:pStyle w:val="8"/>
        <w:kinsoku w:val="0"/>
        <w:overflowPunct w:val="0"/>
        <w:spacing w:before="0"/>
        <w:ind w:left="0"/>
        <w:rPr>
          <w:rFonts w:hint="default"/>
          <w:color w:val="auto"/>
          <w:sz w:val="28"/>
          <w:szCs w:val="28"/>
        </w:rPr>
      </w:pPr>
    </w:p>
    <w:p w14:paraId="54D9F0F3">
      <w:pPr>
        <w:pStyle w:val="8"/>
        <w:kinsoku w:val="0"/>
        <w:overflowPunct w:val="0"/>
        <w:spacing w:before="0"/>
        <w:ind w:left="0"/>
        <w:rPr>
          <w:rFonts w:hint="default"/>
          <w:color w:val="auto"/>
          <w:sz w:val="28"/>
          <w:szCs w:val="28"/>
        </w:rPr>
      </w:pPr>
    </w:p>
    <w:p w14:paraId="653F27D2">
      <w:pPr>
        <w:pStyle w:val="8"/>
        <w:kinsoku w:val="0"/>
        <w:overflowPunct w:val="0"/>
        <w:spacing w:before="10"/>
        <w:ind w:left="0"/>
        <w:rPr>
          <w:rFonts w:hint="default"/>
          <w:color w:val="auto"/>
          <w:sz w:val="19"/>
          <w:szCs w:val="19"/>
        </w:rPr>
      </w:pPr>
    </w:p>
    <w:p w14:paraId="3521D306">
      <w:pPr>
        <w:pStyle w:val="8"/>
        <w:kinsoku w:val="0"/>
        <w:overflowPunct w:val="0"/>
        <w:spacing w:before="0"/>
        <w:ind w:left="1" w:right="1"/>
        <w:jc w:val="center"/>
        <w:rPr>
          <w:rFonts w:hint="default" w:ascii="黑体" w:eastAsia="黑体" w:cs="黑体"/>
          <w:color w:val="auto"/>
          <w:sz w:val="72"/>
          <w:szCs w:val="72"/>
        </w:rPr>
      </w:pPr>
      <w:r>
        <w:rPr>
          <w:rFonts w:ascii="黑体" w:eastAsia="黑体" w:cs="黑体"/>
          <w:b/>
          <w:color w:val="auto"/>
          <w:sz w:val="72"/>
          <w:szCs w:val="72"/>
        </w:rPr>
        <w:t>投标文件</w:t>
      </w:r>
    </w:p>
    <w:p w14:paraId="683645B2">
      <w:pPr>
        <w:pStyle w:val="8"/>
        <w:kinsoku w:val="0"/>
        <w:overflowPunct w:val="0"/>
        <w:spacing w:before="0"/>
        <w:ind w:left="0"/>
        <w:rPr>
          <w:rFonts w:hint="default" w:ascii="黑体" w:eastAsia="黑体" w:cs="黑体"/>
          <w:b/>
          <w:color w:val="auto"/>
          <w:sz w:val="72"/>
          <w:szCs w:val="72"/>
        </w:rPr>
      </w:pPr>
    </w:p>
    <w:p w14:paraId="795DFE07">
      <w:pPr>
        <w:pStyle w:val="8"/>
        <w:kinsoku w:val="0"/>
        <w:overflowPunct w:val="0"/>
        <w:spacing w:before="0"/>
        <w:ind w:left="0"/>
        <w:rPr>
          <w:rFonts w:hint="default" w:ascii="黑体" w:eastAsia="黑体" w:cs="黑体"/>
          <w:b/>
          <w:color w:val="auto"/>
          <w:sz w:val="72"/>
          <w:szCs w:val="72"/>
        </w:rPr>
      </w:pPr>
    </w:p>
    <w:p w14:paraId="6940065B">
      <w:pPr>
        <w:pStyle w:val="8"/>
        <w:kinsoku w:val="0"/>
        <w:overflowPunct w:val="0"/>
        <w:spacing w:before="0"/>
        <w:ind w:left="0"/>
        <w:rPr>
          <w:rFonts w:hint="default" w:ascii="黑体" w:eastAsia="黑体" w:cs="黑体"/>
          <w:b/>
          <w:color w:val="auto"/>
          <w:sz w:val="72"/>
          <w:szCs w:val="72"/>
        </w:rPr>
      </w:pPr>
    </w:p>
    <w:p w14:paraId="74BAB23D">
      <w:pPr>
        <w:pStyle w:val="8"/>
        <w:kinsoku w:val="0"/>
        <w:overflowPunct w:val="0"/>
        <w:spacing w:before="1"/>
        <w:ind w:left="0"/>
        <w:rPr>
          <w:rFonts w:hint="default" w:ascii="黑体" w:eastAsia="黑体" w:cs="黑体"/>
          <w:b/>
          <w:color w:val="auto"/>
          <w:sz w:val="85"/>
          <w:szCs w:val="85"/>
        </w:rPr>
      </w:pPr>
    </w:p>
    <w:p w14:paraId="4E8A2ABF">
      <w:pPr>
        <w:pStyle w:val="8"/>
        <w:kinsoku w:val="0"/>
        <w:overflowPunct w:val="0"/>
        <w:spacing w:before="0"/>
        <w:ind w:left="0" w:right="1"/>
        <w:jc w:val="center"/>
        <w:rPr>
          <w:rFonts w:hint="default" w:ascii="仿宋" w:eastAsia="仿宋" w:cs="仿宋"/>
          <w:color w:val="auto"/>
          <w:sz w:val="28"/>
          <w:szCs w:val="28"/>
        </w:rPr>
      </w:pPr>
      <w:r>
        <w:rPr>
          <w:rFonts w:hint="eastAsia" w:eastAsia="仿宋"/>
          <w:color w:val="auto"/>
          <w:sz w:val="28"/>
          <w:szCs w:val="28"/>
          <w:lang w:eastAsia="zh-CN"/>
        </w:rPr>
        <w:t>供应商</w:t>
      </w:r>
      <w:r>
        <w:rPr>
          <w:rFonts w:ascii="仿宋" w:eastAsia="仿宋" w:cs="仿宋"/>
          <w:color w:val="auto"/>
          <w:sz w:val="28"/>
          <w:szCs w:val="28"/>
        </w:rPr>
        <w:t>（电子签章）</w:t>
      </w:r>
    </w:p>
    <w:p w14:paraId="43015360">
      <w:pPr>
        <w:pStyle w:val="8"/>
        <w:kinsoku w:val="0"/>
        <w:overflowPunct w:val="0"/>
        <w:spacing w:before="9"/>
        <w:ind w:left="0"/>
        <w:rPr>
          <w:rFonts w:hint="default" w:ascii="仿宋" w:eastAsia="仿宋" w:cs="仿宋"/>
          <w:color w:val="auto"/>
          <w:sz w:val="19"/>
          <w:szCs w:val="19"/>
        </w:rPr>
      </w:pPr>
    </w:p>
    <w:p w14:paraId="151C6499">
      <w:pPr>
        <w:pStyle w:val="8"/>
        <w:kinsoku w:val="0"/>
        <w:overflowPunct w:val="0"/>
        <w:spacing w:before="0"/>
        <w:ind w:left="1519"/>
        <w:rPr>
          <w:rFonts w:hint="default"/>
          <w:color w:val="auto"/>
          <w:sz w:val="28"/>
          <w:szCs w:val="28"/>
        </w:rPr>
      </w:pPr>
      <w:r>
        <w:rPr>
          <w:color w:val="auto"/>
          <w:sz w:val="28"/>
          <w:szCs w:val="28"/>
        </w:rPr>
        <w:t>法定代表人</w:t>
      </w:r>
    </w:p>
    <w:p w14:paraId="12A425D7">
      <w:pPr>
        <w:pStyle w:val="8"/>
        <w:kinsoku w:val="0"/>
        <w:overflowPunct w:val="0"/>
        <w:spacing w:before="9"/>
        <w:ind w:left="0"/>
        <w:rPr>
          <w:rFonts w:hint="default"/>
          <w:color w:val="auto"/>
          <w:sz w:val="19"/>
          <w:szCs w:val="19"/>
        </w:rPr>
      </w:pPr>
    </w:p>
    <w:p w14:paraId="435D1297">
      <w:pPr>
        <w:pStyle w:val="8"/>
        <w:kinsoku w:val="0"/>
        <w:overflowPunct w:val="0"/>
        <w:spacing w:before="0"/>
        <w:ind w:left="3" w:right="1"/>
        <w:jc w:val="center"/>
        <w:rPr>
          <w:rFonts w:hint="default"/>
          <w:color w:val="auto"/>
          <w:sz w:val="28"/>
          <w:szCs w:val="28"/>
        </w:rPr>
      </w:pPr>
      <w:r>
        <w:rPr>
          <w:color w:val="auto"/>
          <w:sz w:val="28"/>
          <w:szCs w:val="28"/>
        </w:rPr>
        <w:t>日期（年/月/日）</w:t>
      </w:r>
    </w:p>
    <w:p w14:paraId="660A1186">
      <w:pPr>
        <w:pStyle w:val="8"/>
        <w:kinsoku w:val="0"/>
        <w:overflowPunct w:val="0"/>
        <w:spacing w:before="0"/>
        <w:ind w:left="3" w:right="1"/>
        <w:jc w:val="center"/>
        <w:rPr>
          <w:rFonts w:hint="default"/>
          <w:color w:val="auto"/>
          <w:sz w:val="28"/>
          <w:szCs w:val="28"/>
        </w:rPr>
        <w:sectPr>
          <w:pgSz w:w="11910" w:h="16840"/>
          <w:pgMar w:top="1500" w:right="1680" w:bottom="1580" w:left="1680" w:header="0" w:footer="1395" w:gutter="0"/>
          <w:pgNumType w:fmt="decimal"/>
          <w:cols w:space="720" w:num="1"/>
        </w:sectPr>
      </w:pPr>
    </w:p>
    <w:p w14:paraId="1FD766E9">
      <w:pPr>
        <w:pStyle w:val="8"/>
        <w:kinsoku w:val="0"/>
        <w:overflowPunct w:val="0"/>
        <w:spacing w:before="0" w:line="395" w:lineRule="exact"/>
        <w:rPr>
          <w:rFonts w:hint="default" w:ascii="黑体" w:eastAsia="黑体" w:cs="黑体"/>
          <w:color w:val="auto"/>
          <w:sz w:val="32"/>
          <w:szCs w:val="32"/>
        </w:rPr>
      </w:pPr>
      <w:bookmarkStart w:id="62" w:name="3、★法定代表人身份证明及授权委托书"/>
      <w:bookmarkEnd w:id="62"/>
      <w:r>
        <w:rPr>
          <w:rFonts w:ascii="黑体" w:eastAsia="黑体" w:cs="黑体"/>
          <w:b/>
          <w:color w:val="auto"/>
          <w:sz w:val="32"/>
          <w:szCs w:val="32"/>
        </w:rPr>
        <w:t>2、★营业执照</w:t>
      </w:r>
    </w:p>
    <w:p w14:paraId="31459C77">
      <w:pPr>
        <w:pStyle w:val="8"/>
        <w:kinsoku w:val="0"/>
        <w:overflowPunct w:val="0"/>
        <w:spacing w:before="0" w:line="395" w:lineRule="exact"/>
        <w:rPr>
          <w:rFonts w:hint="default" w:ascii="黑体" w:eastAsia="黑体" w:cs="黑体"/>
          <w:color w:val="auto"/>
          <w:sz w:val="32"/>
          <w:szCs w:val="32"/>
        </w:rPr>
        <w:sectPr>
          <w:pgSz w:w="11910" w:h="16840"/>
          <w:pgMar w:top="1500" w:right="1680" w:bottom="1580" w:left="1680" w:header="0" w:footer="1395" w:gutter="0"/>
          <w:pgNumType w:fmt="decimal"/>
          <w:cols w:space="720" w:num="1"/>
        </w:sectPr>
      </w:pPr>
    </w:p>
    <w:p w14:paraId="3780366D">
      <w:pPr>
        <w:pStyle w:val="8"/>
        <w:kinsoku w:val="0"/>
        <w:overflowPunct w:val="0"/>
        <w:spacing w:before="0" w:line="395" w:lineRule="exact"/>
        <w:rPr>
          <w:rFonts w:hint="default" w:ascii="黑体" w:eastAsia="黑体" w:cs="黑体"/>
          <w:color w:val="auto"/>
          <w:sz w:val="32"/>
          <w:szCs w:val="32"/>
        </w:rPr>
      </w:pPr>
      <w:r>
        <w:rPr>
          <w:rFonts w:ascii="黑体" w:eastAsia="黑体" w:cs="黑体"/>
          <w:b/>
          <w:color w:val="auto"/>
          <w:sz w:val="32"/>
          <w:szCs w:val="32"/>
        </w:rPr>
        <w:t>3、★法定代表人身份证明及授权委托书</w:t>
      </w:r>
    </w:p>
    <w:p w14:paraId="38A6C03C">
      <w:pPr>
        <w:pStyle w:val="8"/>
        <w:kinsoku w:val="0"/>
        <w:overflowPunct w:val="0"/>
        <w:spacing w:before="272"/>
        <w:ind w:left="0" w:right="1"/>
        <w:jc w:val="center"/>
        <w:rPr>
          <w:rFonts w:hint="default"/>
          <w:color w:val="auto"/>
        </w:rPr>
      </w:pPr>
      <w:r>
        <w:rPr>
          <w:color w:val="auto"/>
        </w:rPr>
        <w:t>法定代表人资格证明文件</w:t>
      </w:r>
    </w:p>
    <w:p w14:paraId="7707AA8A">
      <w:pPr>
        <w:pStyle w:val="8"/>
        <w:kinsoku w:val="0"/>
        <w:overflowPunct w:val="0"/>
        <w:spacing w:before="185" w:line="381" w:lineRule="auto"/>
        <w:ind w:left="600" w:hanging="480"/>
        <w:rPr>
          <w:rFonts w:hint="default"/>
          <w:color w:val="auto"/>
          <w:spacing w:val="-3"/>
        </w:rPr>
      </w:pPr>
      <w:r>
        <w:rPr>
          <w:color w:val="auto"/>
          <w:u w:val="single"/>
        </w:rPr>
        <w:t>（代理机构名称）</w:t>
      </w:r>
      <w:r>
        <w:rPr>
          <w:color w:val="auto"/>
        </w:rPr>
        <w:t xml:space="preserve">： </w:t>
      </w:r>
      <w:r>
        <w:rPr>
          <w:color w:val="auto"/>
          <w:spacing w:val="-3"/>
        </w:rPr>
        <w:t>兹有同志为公司法定代表人，代表我公司办理一切社会公务事宜，具有法律</w:t>
      </w:r>
    </w:p>
    <w:p w14:paraId="69B0CA55">
      <w:pPr>
        <w:pStyle w:val="8"/>
        <w:kinsoku w:val="0"/>
        <w:overflowPunct w:val="0"/>
        <w:spacing w:before="46"/>
        <w:rPr>
          <w:rFonts w:hint="default"/>
          <w:color w:val="auto"/>
        </w:rPr>
      </w:pPr>
      <w:r>
        <w:rPr>
          <w:color w:val="auto"/>
        </w:rPr>
        <w:t>效力。</w:t>
      </w:r>
    </w:p>
    <w:p w14:paraId="59314387">
      <w:pPr>
        <w:pStyle w:val="8"/>
        <w:kinsoku w:val="0"/>
        <w:overflowPunct w:val="0"/>
        <w:spacing w:before="185" w:line="381" w:lineRule="auto"/>
        <w:ind w:left="600" w:right="3646"/>
        <w:rPr>
          <w:rFonts w:hint="default"/>
          <w:color w:val="auto"/>
        </w:rPr>
      </w:pPr>
      <w:r>
        <w:rPr>
          <w:color w:val="auto"/>
        </w:rPr>
        <w:t>附法定代表人基本情况： 姓名：性别：年龄：职务： 身份证号码：</w:t>
      </w:r>
    </w:p>
    <w:p w14:paraId="32875ADB">
      <w:pPr>
        <w:pStyle w:val="8"/>
        <w:kinsoku w:val="0"/>
        <w:overflowPunct w:val="0"/>
        <w:spacing w:before="43" w:line="381" w:lineRule="auto"/>
        <w:ind w:left="600" w:right="4950"/>
        <w:rPr>
          <w:rFonts w:hint="default"/>
          <w:color w:val="auto"/>
        </w:rPr>
      </w:pPr>
      <w:r>
        <w:rPr>
          <w:color w:val="auto"/>
        </w:rPr>
        <w:t>通讯地址： 电话号码：邮政编码：</w:t>
      </w:r>
    </w:p>
    <w:p w14:paraId="78533B4D">
      <w:pPr>
        <w:pStyle w:val="8"/>
        <w:kinsoku w:val="0"/>
        <w:overflowPunct w:val="0"/>
        <w:spacing w:before="0"/>
        <w:ind w:left="0"/>
        <w:rPr>
          <w:rFonts w:hint="default"/>
          <w:color w:val="auto"/>
          <w:sz w:val="20"/>
          <w:szCs w:val="20"/>
        </w:rPr>
      </w:pPr>
    </w:p>
    <w:p w14:paraId="3B7CC38A">
      <w:pPr>
        <w:pStyle w:val="8"/>
        <w:kinsoku w:val="0"/>
        <w:overflowPunct w:val="0"/>
        <w:spacing w:before="11"/>
        <w:ind w:left="0"/>
        <w:rPr>
          <w:rFonts w:hint="default"/>
          <w:color w:val="auto"/>
          <w:sz w:val="12"/>
          <w:szCs w:val="12"/>
        </w:rPr>
      </w:pPr>
    </w:p>
    <w:p w14:paraId="591D6753">
      <w:pPr>
        <w:pStyle w:val="8"/>
        <w:kinsoku w:val="0"/>
        <w:overflowPunct w:val="0"/>
        <w:spacing w:before="0" w:line="2998" w:lineRule="exact"/>
        <w:ind w:left="1396"/>
        <w:rPr>
          <w:rFonts w:hint="default"/>
          <w:color w:val="auto"/>
          <w:position w:val="-60"/>
          <w:sz w:val="20"/>
          <w:szCs w:val="20"/>
        </w:rPr>
      </w:pPr>
      <w:r>
        <w:rPr>
          <w:rFonts w:hint="default"/>
          <w:color w:val="auto"/>
          <w:position w:val="-60"/>
          <w:sz w:val="20"/>
          <w:szCs w:val="20"/>
        </w:rPr>
        <mc:AlternateContent>
          <mc:Choice Requires="wps">
            <w:drawing>
              <wp:inline distT="0" distB="0" distL="114300" distR="114300">
                <wp:extent cx="4320540" cy="1903730"/>
                <wp:effectExtent l="4445" t="4445" r="5715" b="9525"/>
                <wp:docPr id="7" name="文本框 143"/>
                <wp:cNvGraphicFramePr/>
                <a:graphic xmlns:a="http://schemas.openxmlformats.org/drawingml/2006/main">
                  <a:graphicData uri="http://schemas.microsoft.com/office/word/2010/wordprocessingShape">
                    <wps:wsp>
                      <wps:cNvSpPr txBox="1">
                        <a:spLocks noRot="1"/>
                      </wps:cNvSpPr>
                      <wps:spPr>
                        <a:xfrm>
                          <a:off x="0" y="0"/>
                          <a:ext cx="4320540" cy="1903730"/>
                        </a:xfrm>
                        <a:prstGeom prst="rect">
                          <a:avLst/>
                        </a:prstGeom>
                        <a:noFill/>
                        <a:ln w="6096" cap="flat" cmpd="sng">
                          <a:solidFill>
                            <a:srgbClr val="000000"/>
                          </a:solidFill>
                          <a:prstDash val="solid"/>
                          <a:miter/>
                          <a:headEnd type="none" w="med" len="med"/>
                          <a:tailEnd type="none" w="med" len="med"/>
                        </a:ln>
                      </wps:spPr>
                      <wps:txbx>
                        <w:txbxContent>
                          <w:p w14:paraId="4719817F">
                            <w:pPr>
                              <w:pStyle w:val="8"/>
                              <w:kinsoku w:val="0"/>
                              <w:overflowPunct w:val="0"/>
                              <w:spacing w:before="0"/>
                              <w:ind w:left="0"/>
                              <w:rPr>
                                <w:rFonts w:hint="default"/>
                              </w:rPr>
                            </w:pPr>
                          </w:p>
                          <w:p w14:paraId="06AF3682">
                            <w:pPr>
                              <w:pStyle w:val="8"/>
                              <w:kinsoku w:val="0"/>
                              <w:overflowPunct w:val="0"/>
                              <w:spacing w:before="0"/>
                              <w:ind w:left="0"/>
                              <w:rPr>
                                <w:rFonts w:hint="default"/>
                              </w:rPr>
                            </w:pPr>
                          </w:p>
                          <w:p w14:paraId="1A1CF695">
                            <w:pPr>
                              <w:pStyle w:val="8"/>
                              <w:kinsoku w:val="0"/>
                              <w:overflowPunct w:val="0"/>
                              <w:spacing w:before="0"/>
                              <w:ind w:left="0"/>
                              <w:rPr>
                                <w:rFonts w:hint="default"/>
                              </w:rPr>
                            </w:pPr>
                          </w:p>
                          <w:p w14:paraId="7BE96063">
                            <w:pPr>
                              <w:pStyle w:val="8"/>
                              <w:kinsoku w:val="0"/>
                              <w:overflowPunct w:val="0"/>
                              <w:spacing w:before="179"/>
                              <w:ind w:left="1596"/>
                              <w:rPr>
                                <w:rFonts w:hint="default"/>
                              </w:rPr>
                            </w:pPr>
                            <w:r>
                              <w:t>法定代表人《居民身份证》扫描件</w:t>
                            </w:r>
                          </w:p>
                        </w:txbxContent>
                      </wps:txbx>
                      <wps:bodyPr wrap="square" lIns="0" tIns="0" rIns="0" bIns="0" upright="1"/>
                    </wps:wsp>
                  </a:graphicData>
                </a:graphic>
              </wp:inline>
            </w:drawing>
          </mc:Choice>
          <mc:Fallback>
            <w:pict>
              <v:shape id="文本框 143" o:spid="_x0000_s1026" o:spt="202" type="#_x0000_t202" style="height:149.9pt;width:340.2pt;" filled="f" stroked="t" coordsize="21600,21600" o:gfxdata="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ljJPTUAAAABQEAAA8AAAAAAAAAAQAgAAAAIgAAAGRycy9kb3ducmV2LnhtbFBLAQIU&#10;ABQAAAAIAIdO4kBZQfNVMAIAAGUEAAAOAAAAAAAAAAEAIAAAACMBAABkcnMvZTJvRG9jLnhtbFBL&#10;BQYAAAAABgAGAFkBAADFBQAAAAA=&#10;">
                <v:fill on="f" focussize="0,0"/>
                <v:stroke weight="0.48pt" color="#000000" joinstyle="miter"/>
                <v:imagedata o:title=""/>
                <o:lock v:ext="edit" rotation="t" aspectratio="f"/>
                <v:textbox inset="0mm,0mm,0mm,0mm">
                  <w:txbxContent>
                    <w:p w14:paraId="4719817F">
                      <w:pPr>
                        <w:pStyle w:val="8"/>
                        <w:kinsoku w:val="0"/>
                        <w:overflowPunct w:val="0"/>
                        <w:spacing w:before="0"/>
                        <w:ind w:left="0"/>
                        <w:rPr>
                          <w:rFonts w:hint="default"/>
                        </w:rPr>
                      </w:pPr>
                    </w:p>
                    <w:p w14:paraId="06AF3682">
                      <w:pPr>
                        <w:pStyle w:val="8"/>
                        <w:kinsoku w:val="0"/>
                        <w:overflowPunct w:val="0"/>
                        <w:spacing w:before="0"/>
                        <w:ind w:left="0"/>
                        <w:rPr>
                          <w:rFonts w:hint="default"/>
                        </w:rPr>
                      </w:pPr>
                    </w:p>
                    <w:p w14:paraId="1A1CF695">
                      <w:pPr>
                        <w:pStyle w:val="8"/>
                        <w:kinsoku w:val="0"/>
                        <w:overflowPunct w:val="0"/>
                        <w:spacing w:before="0"/>
                        <w:ind w:left="0"/>
                        <w:rPr>
                          <w:rFonts w:hint="default"/>
                        </w:rPr>
                      </w:pPr>
                    </w:p>
                    <w:p w14:paraId="7BE96063">
                      <w:pPr>
                        <w:pStyle w:val="8"/>
                        <w:kinsoku w:val="0"/>
                        <w:overflowPunct w:val="0"/>
                        <w:spacing w:before="179"/>
                        <w:ind w:left="1596"/>
                        <w:rPr>
                          <w:rFonts w:hint="default"/>
                        </w:rPr>
                      </w:pPr>
                      <w:r>
                        <w:t>法定代表人《居民身份证》扫描件</w:t>
                      </w:r>
                    </w:p>
                  </w:txbxContent>
                </v:textbox>
                <w10:wrap type="none"/>
                <w10:anchorlock/>
              </v:shape>
            </w:pict>
          </mc:Fallback>
        </mc:AlternateContent>
      </w:r>
    </w:p>
    <w:p w14:paraId="4B6F14EE">
      <w:pPr>
        <w:pStyle w:val="8"/>
        <w:kinsoku w:val="0"/>
        <w:overflowPunct w:val="0"/>
        <w:spacing w:before="0"/>
        <w:ind w:left="0"/>
        <w:rPr>
          <w:rFonts w:hint="default"/>
          <w:color w:val="auto"/>
          <w:sz w:val="20"/>
          <w:szCs w:val="20"/>
        </w:rPr>
      </w:pPr>
    </w:p>
    <w:p w14:paraId="0940406F">
      <w:pPr>
        <w:pStyle w:val="8"/>
        <w:kinsoku w:val="0"/>
        <w:overflowPunct w:val="0"/>
        <w:spacing w:before="12"/>
        <w:ind w:left="0"/>
        <w:rPr>
          <w:rFonts w:hint="default"/>
          <w:color w:val="auto"/>
          <w:sz w:val="25"/>
          <w:szCs w:val="25"/>
        </w:rPr>
      </w:pPr>
    </w:p>
    <w:p w14:paraId="10284486">
      <w:pPr>
        <w:pStyle w:val="8"/>
        <w:kinsoku w:val="0"/>
        <w:overflowPunct w:val="0"/>
        <w:spacing w:before="26"/>
        <w:ind w:left="840" w:firstLine="28"/>
        <w:rPr>
          <w:rFonts w:hint="default"/>
          <w:color w:val="auto"/>
        </w:rPr>
      </w:pPr>
      <w:r>
        <w:rPr>
          <w:rFonts w:hint="eastAsia"/>
          <w:color w:val="auto"/>
          <w:lang w:eastAsia="zh-CN"/>
        </w:rPr>
        <w:t>供应商</w:t>
      </w:r>
      <w:r>
        <w:rPr>
          <w:color w:val="auto"/>
        </w:rPr>
        <w:t>名称（电子签章）：</w:t>
      </w:r>
    </w:p>
    <w:p w14:paraId="19B36DCF">
      <w:pPr>
        <w:pStyle w:val="8"/>
        <w:kinsoku w:val="0"/>
        <w:overflowPunct w:val="0"/>
        <w:spacing w:before="0"/>
        <w:ind w:left="0"/>
        <w:rPr>
          <w:rFonts w:hint="default"/>
          <w:color w:val="auto"/>
        </w:rPr>
      </w:pPr>
    </w:p>
    <w:p w14:paraId="3915A95F">
      <w:pPr>
        <w:pStyle w:val="8"/>
        <w:kinsoku w:val="0"/>
        <w:overflowPunct w:val="0"/>
        <w:spacing w:before="4"/>
        <w:ind w:left="0"/>
        <w:rPr>
          <w:rFonts w:hint="default"/>
          <w:color w:val="auto"/>
          <w:sz w:val="28"/>
          <w:szCs w:val="28"/>
        </w:rPr>
      </w:pPr>
    </w:p>
    <w:p w14:paraId="0B865DD0">
      <w:pPr>
        <w:pStyle w:val="8"/>
        <w:kinsoku w:val="0"/>
        <w:overflowPunct w:val="0"/>
        <w:spacing w:before="0"/>
        <w:ind w:left="840"/>
        <w:rPr>
          <w:rFonts w:hint="default"/>
          <w:color w:val="auto"/>
        </w:rPr>
      </w:pPr>
      <w:r>
        <w:rPr>
          <w:color w:val="auto"/>
        </w:rPr>
        <w:t>法定代表人（电子签名）：</w:t>
      </w:r>
    </w:p>
    <w:p w14:paraId="6C7E9650">
      <w:pPr>
        <w:pStyle w:val="8"/>
        <w:kinsoku w:val="0"/>
        <w:overflowPunct w:val="0"/>
        <w:spacing w:before="0"/>
        <w:ind w:left="0"/>
        <w:rPr>
          <w:rFonts w:hint="default"/>
          <w:color w:val="auto"/>
        </w:rPr>
      </w:pPr>
    </w:p>
    <w:p w14:paraId="3D418A7A">
      <w:pPr>
        <w:pStyle w:val="8"/>
        <w:kinsoku w:val="0"/>
        <w:overflowPunct w:val="0"/>
        <w:spacing w:before="6"/>
        <w:ind w:left="0"/>
        <w:rPr>
          <w:rFonts w:hint="default"/>
          <w:color w:val="auto"/>
          <w:sz w:val="28"/>
          <w:szCs w:val="28"/>
        </w:rPr>
      </w:pPr>
    </w:p>
    <w:p w14:paraId="62DE92C7">
      <w:pPr>
        <w:pStyle w:val="8"/>
        <w:kinsoku w:val="0"/>
        <w:overflowPunct w:val="0"/>
        <w:spacing w:before="0"/>
        <w:ind w:left="840"/>
        <w:rPr>
          <w:rFonts w:hint="default"/>
          <w:color w:val="auto"/>
        </w:rPr>
      </w:pPr>
      <w:r>
        <w:rPr>
          <w:color w:val="auto"/>
        </w:rPr>
        <w:t>日期：年月日</w:t>
      </w:r>
    </w:p>
    <w:p w14:paraId="46B292C7">
      <w:pPr>
        <w:pStyle w:val="8"/>
        <w:kinsoku w:val="0"/>
        <w:overflowPunct w:val="0"/>
        <w:spacing w:before="0"/>
        <w:ind w:left="840"/>
        <w:rPr>
          <w:rFonts w:hint="default"/>
          <w:color w:val="auto"/>
        </w:rPr>
        <w:sectPr>
          <w:pgSz w:w="11910" w:h="16840"/>
          <w:pgMar w:top="1500" w:right="1680" w:bottom="1580" w:left="1680" w:header="0" w:footer="1395" w:gutter="0"/>
          <w:pgNumType w:fmt="decimal"/>
          <w:cols w:space="720" w:num="1"/>
        </w:sectPr>
      </w:pPr>
    </w:p>
    <w:p w14:paraId="22891E1A">
      <w:pPr>
        <w:pStyle w:val="8"/>
        <w:kinsoku w:val="0"/>
        <w:overflowPunct w:val="0"/>
        <w:spacing w:before="3"/>
        <w:ind w:left="0" w:right="81"/>
        <w:jc w:val="center"/>
        <w:rPr>
          <w:rFonts w:hint="default"/>
          <w:color w:val="auto"/>
        </w:rPr>
      </w:pPr>
      <w:bookmarkStart w:id="63" w:name="4、★投标保证金"/>
      <w:bookmarkEnd w:id="63"/>
      <w:r>
        <w:rPr>
          <w:color w:val="auto"/>
        </w:rPr>
        <w:t>法定代表人授权书</w:t>
      </w:r>
    </w:p>
    <w:p w14:paraId="6CDDE5BE">
      <w:pPr>
        <w:pStyle w:val="8"/>
        <w:kinsoku w:val="0"/>
        <w:overflowPunct w:val="0"/>
        <w:spacing w:before="2"/>
        <w:ind w:left="0"/>
        <w:rPr>
          <w:rFonts w:hint="default"/>
          <w:color w:val="auto"/>
          <w:sz w:val="12"/>
          <w:szCs w:val="12"/>
        </w:rPr>
      </w:pPr>
    </w:p>
    <w:p w14:paraId="2FF335F1">
      <w:pPr>
        <w:pStyle w:val="8"/>
        <w:kinsoku w:val="0"/>
        <w:overflowPunct w:val="0"/>
        <w:spacing w:before="26" w:line="381" w:lineRule="auto"/>
        <w:ind w:left="0" w:leftChars="0" w:firstLine="120" w:firstLineChars="0"/>
        <w:rPr>
          <w:rFonts w:hint="default"/>
          <w:color w:val="auto"/>
        </w:rPr>
      </w:pPr>
      <w:r>
        <w:rPr>
          <w:color w:val="auto"/>
          <w:u w:val="single"/>
        </w:rPr>
        <w:t>（代理机构名称）</w:t>
      </w:r>
      <w:r>
        <w:rPr>
          <w:color w:val="auto"/>
        </w:rPr>
        <w:t>： 兹授权同志为我公司参加贵单位组织的编号为</w:t>
      </w:r>
      <w:r>
        <w:rPr>
          <w:color w:val="auto"/>
          <w:u w:val="single"/>
        </w:rPr>
        <w:t>（项目编号）</w:t>
      </w:r>
      <w:r>
        <w:rPr>
          <w:color w:val="auto"/>
        </w:rPr>
        <w:t>的</w:t>
      </w:r>
      <w:r>
        <w:rPr>
          <w:color w:val="auto"/>
          <w:u w:val="single"/>
        </w:rPr>
        <w:t>（项目名称）</w:t>
      </w:r>
      <w:r>
        <w:rPr>
          <w:color w:val="auto"/>
        </w:rPr>
        <w:t>采购活动的投标代表人，全权代表我公司处理在该项目采购活动中的一切事宜。 代理期限从年月日起至年月日止。</w:t>
      </w:r>
    </w:p>
    <w:p w14:paraId="296E42F0">
      <w:pPr>
        <w:pStyle w:val="8"/>
        <w:kinsoku w:val="0"/>
        <w:overflowPunct w:val="0"/>
        <w:spacing w:before="0"/>
        <w:ind w:left="0"/>
        <w:rPr>
          <w:rFonts w:hint="default"/>
          <w:color w:val="auto"/>
        </w:rPr>
      </w:pPr>
    </w:p>
    <w:p w14:paraId="40F548C0">
      <w:pPr>
        <w:pStyle w:val="8"/>
        <w:kinsoku w:val="0"/>
        <w:overflowPunct w:val="0"/>
        <w:spacing w:before="9"/>
        <w:ind w:left="0"/>
        <w:rPr>
          <w:rFonts w:hint="default"/>
          <w:color w:val="auto"/>
          <w:sz w:val="17"/>
          <w:szCs w:val="17"/>
        </w:rPr>
      </w:pPr>
    </w:p>
    <w:p w14:paraId="028B1B2E">
      <w:pPr>
        <w:pStyle w:val="8"/>
        <w:tabs>
          <w:tab w:val="left" w:pos="3600"/>
        </w:tabs>
        <w:kinsoku w:val="0"/>
        <w:overflowPunct w:val="0"/>
        <w:spacing w:before="0" w:line="381" w:lineRule="auto"/>
        <w:ind w:right="-10" w:rightChars="0"/>
        <w:rPr>
          <w:color w:val="auto"/>
        </w:rPr>
      </w:pPr>
      <w:r>
        <w:rPr>
          <w:rFonts w:hint="eastAsia"/>
          <w:color w:val="auto"/>
          <w:lang w:eastAsia="zh-CN"/>
        </w:rPr>
        <w:t>供应商</w:t>
      </w:r>
      <w:r>
        <w:rPr>
          <w:color w:val="auto"/>
        </w:rPr>
        <w:t xml:space="preserve">（电子签章）： </w:t>
      </w:r>
    </w:p>
    <w:p w14:paraId="53E5643E">
      <w:pPr>
        <w:pStyle w:val="8"/>
        <w:tabs>
          <w:tab w:val="left" w:pos="3600"/>
        </w:tabs>
        <w:kinsoku w:val="0"/>
        <w:overflowPunct w:val="0"/>
        <w:spacing w:before="0" w:line="381" w:lineRule="auto"/>
        <w:ind w:right="-10" w:rightChars="0"/>
        <w:rPr>
          <w:color w:val="auto"/>
        </w:rPr>
      </w:pPr>
      <w:r>
        <w:rPr>
          <w:color w:val="auto"/>
        </w:rPr>
        <w:t xml:space="preserve">法定代表人（电子签名）： </w:t>
      </w:r>
    </w:p>
    <w:p w14:paraId="319FDB66">
      <w:pPr>
        <w:pStyle w:val="8"/>
        <w:tabs>
          <w:tab w:val="left" w:pos="3600"/>
        </w:tabs>
        <w:kinsoku w:val="0"/>
        <w:overflowPunct w:val="0"/>
        <w:spacing w:before="0" w:line="381" w:lineRule="auto"/>
        <w:ind w:right="-10" w:rightChars="0"/>
        <w:rPr>
          <w:rFonts w:hint="default"/>
          <w:color w:val="auto"/>
        </w:rPr>
      </w:pPr>
      <w:r>
        <w:rPr>
          <w:color w:val="auto"/>
        </w:rPr>
        <w:t>签发日期：年月日</w:t>
      </w:r>
    </w:p>
    <w:p w14:paraId="61DBFAD7">
      <w:pPr>
        <w:pStyle w:val="8"/>
        <w:kinsoku w:val="0"/>
        <w:overflowPunct w:val="0"/>
        <w:spacing w:before="0"/>
        <w:ind w:left="0"/>
        <w:rPr>
          <w:rFonts w:hint="default"/>
          <w:color w:val="auto"/>
        </w:rPr>
      </w:pPr>
    </w:p>
    <w:p w14:paraId="0D33C74C">
      <w:pPr>
        <w:pStyle w:val="8"/>
        <w:kinsoku w:val="0"/>
        <w:overflowPunct w:val="0"/>
        <w:spacing w:before="9"/>
        <w:ind w:left="0"/>
        <w:rPr>
          <w:rFonts w:hint="default"/>
          <w:color w:val="auto"/>
          <w:sz w:val="17"/>
          <w:szCs w:val="17"/>
        </w:rPr>
      </w:pPr>
    </w:p>
    <w:p w14:paraId="5DA4B78D">
      <w:pPr>
        <w:pStyle w:val="8"/>
        <w:kinsoku w:val="0"/>
        <w:overflowPunct w:val="0"/>
        <w:spacing w:before="0" w:line="381" w:lineRule="auto"/>
        <w:ind w:right="-10" w:rightChars="0"/>
        <w:rPr>
          <w:color w:val="auto"/>
        </w:rPr>
      </w:pPr>
      <w:r>
        <w:rPr>
          <w:color w:val="auto"/>
        </w:rPr>
        <w:t xml:space="preserve">附：代理人工作单位： </w:t>
      </w:r>
    </w:p>
    <w:p w14:paraId="06B3EE76">
      <w:pPr>
        <w:pStyle w:val="8"/>
        <w:kinsoku w:val="0"/>
        <w:overflowPunct w:val="0"/>
        <w:spacing w:before="0" w:line="381" w:lineRule="auto"/>
        <w:ind w:right="-10" w:rightChars="0" w:firstLine="480" w:firstLineChars="200"/>
        <w:rPr>
          <w:color w:val="auto"/>
        </w:rPr>
      </w:pPr>
      <w:r>
        <w:rPr>
          <w:color w:val="auto"/>
        </w:rPr>
        <w:t>职务：</w:t>
      </w:r>
    </w:p>
    <w:p w14:paraId="2670BF2E">
      <w:pPr>
        <w:pStyle w:val="8"/>
        <w:kinsoku w:val="0"/>
        <w:overflowPunct w:val="0"/>
        <w:spacing w:before="0" w:line="381" w:lineRule="auto"/>
        <w:ind w:right="-10" w:rightChars="0" w:firstLine="480" w:firstLineChars="200"/>
        <w:rPr>
          <w:color w:val="auto"/>
        </w:rPr>
      </w:pPr>
      <w:r>
        <w:rPr>
          <w:color w:val="auto"/>
        </w:rPr>
        <w:t>性别：</w:t>
      </w:r>
    </w:p>
    <w:p w14:paraId="0650C08B">
      <w:pPr>
        <w:pStyle w:val="8"/>
        <w:kinsoku w:val="0"/>
        <w:overflowPunct w:val="0"/>
        <w:spacing w:before="0" w:line="381" w:lineRule="auto"/>
        <w:ind w:right="-10" w:rightChars="0" w:firstLine="480" w:firstLineChars="200"/>
        <w:rPr>
          <w:rFonts w:hint="default"/>
          <w:color w:val="auto"/>
        </w:rPr>
      </w:pPr>
      <w:r>
        <w:rPr>
          <w:color w:val="auto"/>
        </w:rPr>
        <w:t>身份证号码：</w:t>
      </w:r>
    </w:p>
    <w:p w14:paraId="76D5C641">
      <w:pPr>
        <w:pStyle w:val="8"/>
        <w:kinsoku w:val="0"/>
        <w:overflowPunct w:val="0"/>
        <w:spacing w:before="0"/>
        <w:ind w:left="0"/>
        <w:rPr>
          <w:rFonts w:hint="default"/>
          <w:color w:val="auto"/>
          <w:sz w:val="20"/>
          <w:szCs w:val="20"/>
        </w:rPr>
      </w:pPr>
    </w:p>
    <w:p w14:paraId="405611DE">
      <w:pPr>
        <w:pStyle w:val="8"/>
        <w:kinsoku w:val="0"/>
        <w:overflowPunct w:val="0"/>
        <w:spacing w:before="10"/>
        <w:ind w:left="0"/>
        <w:rPr>
          <w:rFonts w:hint="default"/>
          <w:color w:val="auto"/>
          <w:sz w:val="12"/>
          <w:szCs w:val="12"/>
        </w:rPr>
      </w:pPr>
    </w:p>
    <w:p w14:paraId="73886FB8">
      <w:pPr>
        <w:pStyle w:val="8"/>
        <w:kinsoku w:val="0"/>
        <w:overflowPunct w:val="0"/>
        <w:spacing w:before="0" w:line="1644" w:lineRule="exact"/>
        <w:ind w:left="343"/>
        <w:rPr>
          <w:rFonts w:hint="default"/>
          <w:color w:val="auto"/>
          <w:position w:val="-33"/>
          <w:sz w:val="20"/>
          <w:szCs w:val="20"/>
        </w:rPr>
      </w:pPr>
      <w:r>
        <w:rPr>
          <w:rFonts w:hint="default"/>
          <w:color w:val="auto"/>
          <w:position w:val="-33"/>
          <w:sz w:val="20"/>
          <w:szCs w:val="20"/>
        </w:rPr>
        <mc:AlternateContent>
          <mc:Choice Requires="wps">
            <w:drawing>
              <wp:inline distT="0" distB="0" distL="114300" distR="114300">
                <wp:extent cx="4866005" cy="1043940"/>
                <wp:effectExtent l="4445" t="5080" r="6350" b="5080"/>
                <wp:docPr id="6" name="文本框 144"/>
                <wp:cNvGraphicFramePr/>
                <a:graphic xmlns:a="http://schemas.openxmlformats.org/drawingml/2006/main">
                  <a:graphicData uri="http://schemas.microsoft.com/office/word/2010/wordprocessingShape">
                    <wps:wsp>
                      <wps:cNvSpPr txBox="1">
                        <a:spLocks noRot="1"/>
                      </wps:cNvSpPr>
                      <wps:spPr>
                        <a:xfrm>
                          <a:off x="0" y="0"/>
                          <a:ext cx="4866005" cy="1043940"/>
                        </a:xfrm>
                        <a:prstGeom prst="rect">
                          <a:avLst/>
                        </a:prstGeom>
                        <a:noFill/>
                        <a:ln w="6096" cap="flat" cmpd="sng">
                          <a:solidFill>
                            <a:srgbClr val="000000"/>
                          </a:solidFill>
                          <a:prstDash val="solid"/>
                          <a:miter/>
                          <a:headEnd type="none" w="med" len="med"/>
                          <a:tailEnd type="none" w="med" len="med"/>
                        </a:ln>
                      </wps:spPr>
                      <wps:txbx>
                        <w:txbxContent>
                          <w:p w14:paraId="2ABF2BA9">
                            <w:pPr>
                              <w:pStyle w:val="8"/>
                              <w:kinsoku w:val="0"/>
                              <w:overflowPunct w:val="0"/>
                              <w:spacing w:before="121"/>
                              <w:ind w:left="103"/>
                              <w:rPr>
                                <w:rFonts w:hint="default"/>
                              </w:rPr>
                            </w:pPr>
                            <w:r>
                              <w:t>粘贴被授权人身份证（扫描件）</w:t>
                            </w:r>
                          </w:p>
                        </w:txbxContent>
                      </wps:txbx>
                      <wps:bodyPr wrap="square" lIns="0" tIns="0" rIns="0" bIns="0" upright="1"/>
                    </wps:wsp>
                  </a:graphicData>
                </a:graphic>
              </wp:inline>
            </w:drawing>
          </mc:Choice>
          <mc:Fallback>
            <w:pict>
              <v:shape id="文本框 144" o:spid="_x0000_s1026" o:spt="202" type="#_x0000_t202" style="height:82.2pt;width:383.15pt;" filled="f" stroked="t" coordsize="21600,21600" o:gfxdata="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8hq/dQAAAAFAQAADwAAAAAAAAABACAAAAAiAAAAZHJzL2Rvd25yZXYueG1sUEsBAhQA&#10;FAAAAAgAh07iQBiEscMvAgAAZQQAAA4AAAAAAAAAAQAgAAAAIwEAAGRycy9lMm9Eb2MueG1sUEsF&#10;BgAAAAAGAAYAWQEAAMQFAAAAAA==&#10;">
                <v:fill on="f" focussize="0,0"/>
                <v:stroke weight="0.48pt" color="#000000" joinstyle="miter"/>
                <v:imagedata o:title=""/>
                <o:lock v:ext="edit" rotation="t" aspectratio="f"/>
                <v:textbox inset="0mm,0mm,0mm,0mm">
                  <w:txbxContent>
                    <w:p w14:paraId="2ABF2BA9">
                      <w:pPr>
                        <w:pStyle w:val="8"/>
                        <w:kinsoku w:val="0"/>
                        <w:overflowPunct w:val="0"/>
                        <w:spacing w:before="121"/>
                        <w:ind w:left="103"/>
                        <w:rPr>
                          <w:rFonts w:hint="default"/>
                        </w:rPr>
                      </w:pPr>
                      <w:r>
                        <w:t>粘贴被授权人身份证（扫描件）</w:t>
                      </w:r>
                    </w:p>
                  </w:txbxContent>
                </v:textbox>
                <w10:wrap type="none"/>
                <w10:anchorlock/>
              </v:shape>
            </w:pict>
          </mc:Fallback>
        </mc:AlternateContent>
      </w:r>
    </w:p>
    <w:p w14:paraId="6448F22C">
      <w:pPr>
        <w:pStyle w:val="8"/>
        <w:kinsoku w:val="0"/>
        <w:overflowPunct w:val="0"/>
        <w:spacing w:before="0" w:line="1644" w:lineRule="exact"/>
        <w:ind w:left="343"/>
        <w:rPr>
          <w:rFonts w:hint="default"/>
          <w:color w:val="auto"/>
          <w:position w:val="-33"/>
          <w:sz w:val="20"/>
          <w:szCs w:val="20"/>
        </w:rPr>
        <w:sectPr>
          <w:footerReference r:id="rId15" w:type="default"/>
          <w:pgSz w:w="11910" w:h="16840"/>
          <w:pgMar w:top="1540" w:right="1600" w:bottom="1600" w:left="1680" w:header="0" w:footer="1415" w:gutter="0"/>
          <w:pgNumType w:fmt="decimal"/>
          <w:cols w:space="720" w:num="1"/>
        </w:sectPr>
      </w:pPr>
    </w:p>
    <w:p w14:paraId="0811116E">
      <w:pPr>
        <w:pStyle w:val="3"/>
        <w:kinsoku w:val="0"/>
        <w:overflowPunct w:val="0"/>
        <w:spacing w:line="395" w:lineRule="exact"/>
        <w:rPr>
          <w:rFonts w:hint="default"/>
          <w:b w:val="0"/>
          <w:color w:val="auto"/>
        </w:rPr>
      </w:pPr>
      <w:bookmarkStart w:id="64" w:name="5、制造商授权书（本项目不适用）"/>
      <w:bookmarkEnd w:id="64"/>
      <w:r>
        <w:rPr>
          <w:color w:val="auto"/>
        </w:rPr>
        <w:t>4、★投标保证金</w:t>
      </w:r>
    </w:p>
    <w:p w14:paraId="1EE2BD5D">
      <w:pPr>
        <w:pStyle w:val="3"/>
        <w:kinsoku w:val="0"/>
        <w:overflowPunct w:val="0"/>
        <w:spacing w:line="395" w:lineRule="exact"/>
        <w:outlineLvl w:val="9"/>
        <w:rPr>
          <w:rFonts w:hint="default"/>
          <w:b w:val="0"/>
          <w:color w:val="auto"/>
        </w:rPr>
        <w:sectPr>
          <w:pgSz w:w="11910" w:h="16840"/>
          <w:pgMar w:top="1500" w:right="1680" w:bottom="1600" w:left="1680" w:header="0" w:footer="1415" w:gutter="0"/>
          <w:pgNumType w:fmt="decimal"/>
          <w:cols w:space="720" w:num="1"/>
        </w:sectPr>
      </w:pPr>
    </w:p>
    <w:p w14:paraId="40006422">
      <w:pPr>
        <w:pStyle w:val="3"/>
        <w:kinsoku w:val="0"/>
        <w:overflowPunct w:val="0"/>
        <w:spacing w:line="395" w:lineRule="exact"/>
        <w:ind w:left="140"/>
        <w:jc w:val="both"/>
        <w:rPr>
          <w:rFonts w:hint="default"/>
          <w:b w:val="0"/>
          <w:color w:val="auto"/>
        </w:rPr>
      </w:pPr>
      <w:bookmarkStart w:id="65" w:name="6、★中、小企业声明函"/>
      <w:bookmarkEnd w:id="65"/>
      <w:r>
        <w:rPr>
          <w:rFonts w:hint="eastAsia"/>
          <w:color w:val="auto"/>
          <w:lang w:val="en-US" w:eastAsia="zh-CN"/>
        </w:rPr>
        <w:t>5</w:t>
      </w:r>
      <w:r>
        <w:rPr>
          <w:color w:val="auto"/>
        </w:rPr>
        <w:t>、中、小企业声明函</w:t>
      </w:r>
    </w:p>
    <w:p w14:paraId="3BD7F39D">
      <w:pPr>
        <w:pStyle w:val="8"/>
        <w:kinsoku w:val="0"/>
        <w:overflowPunct w:val="0"/>
        <w:spacing w:before="0"/>
        <w:ind w:left="0"/>
        <w:rPr>
          <w:rFonts w:hint="default" w:ascii="黑体" w:eastAsia="黑体" w:cs="黑体"/>
          <w:b/>
          <w:color w:val="auto"/>
          <w:sz w:val="32"/>
          <w:szCs w:val="32"/>
        </w:rPr>
      </w:pPr>
    </w:p>
    <w:p w14:paraId="3121CD00">
      <w:pPr>
        <w:pStyle w:val="47"/>
        <w:spacing w:line="440" w:lineRule="exact"/>
        <w:ind w:right="-97"/>
        <w:jc w:val="center"/>
        <w:outlineLvl w:val="2"/>
        <w:rPr>
          <w:rFonts w:ascii="宋体" w:hAnsi="宋体"/>
          <w:b/>
          <w:sz w:val="24"/>
        </w:rPr>
      </w:pPr>
      <w:r>
        <w:rPr>
          <w:rFonts w:hint="eastAsia" w:ascii="宋体" w:hAnsi="宋体"/>
          <w:b/>
          <w:sz w:val="24"/>
        </w:rPr>
        <w:t>中小企业声明函（货物类）</w:t>
      </w:r>
    </w:p>
    <w:p w14:paraId="55F12069">
      <w:pPr>
        <w:spacing w:line="440" w:lineRule="exact"/>
        <w:ind w:firstLine="472" w:firstLineChars="200"/>
        <w:rPr>
          <w:rFonts w:ascii="宋体" w:hAnsi="宋体"/>
          <w:spacing w:val="-2"/>
          <w:szCs w:val="21"/>
        </w:rPr>
      </w:pPr>
      <w:r>
        <w:rPr>
          <w:rFonts w:hint="eastAsia" w:ascii="宋体" w:hAnsi="宋体"/>
          <w:spacing w:val="-2"/>
          <w:szCs w:val="21"/>
        </w:rPr>
        <w:t>本公司（联合体）郑重声明，根据《政府采购促进中小企业发展管理办法》（财库﹝2020﹞46 号）的规定，本公司（联合体）参加</w:t>
      </w:r>
      <w:r>
        <w:rPr>
          <w:rFonts w:hint="eastAsia" w:ascii="宋体" w:hAnsi="宋体"/>
          <w:spacing w:val="-2"/>
          <w:szCs w:val="21"/>
          <w:u w:val="single"/>
        </w:rPr>
        <w:t xml:space="preserve">     （单位名称）       </w:t>
      </w:r>
      <w:r>
        <w:rPr>
          <w:rFonts w:hint="eastAsia" w:ascii="宋体" w:hAnsi="宋体"/>
          <w:spacing w:val="-2"/>
          <w:szCs w:val="21"/>
        </w:rPr>
        <w:t>的</w:t>
      </w:r>
      <w:r>
        <w:rPr>
          <w:rFonts w:hint="eastAsia" w:ascii="宋体" w:hAnsi="宋体"/>
          <w:spacing w:val="-2"/>
          <w:szCs w:val="21"/>
          <w:u w:val="single"/>
        </w:rPr>
        <w:t xml:space="preserve">      （项目名称）      </w:t>
      </w:r>
      <w:r>
        <w:rPr>
          <w:rFonts w:hint="eastAsia" w:ascii="宋体" w:hAnsi="宋体"/>
          <w:spacing w:val="-2"/>
          <w:szCs w:val="21"/>
        </w:rPr>
        <w:t>采购活动，提供的货物全部由符合政策要求的中小企业制造。相关企业（含联合体中的中小企业、签订分包意向协议的中小企业）的具体情况如下：</w:t>
      </w:r>
    </w:p>
    <w:p w14:paraId="72FDF568">
      <w:pPr>
        <w:spacing w:line="440" w:lineRule="exact"/>
        <w:ind w:firstLine="472" w:firstLineChars="200"/>
        <w:rPr>
          <w:rFonts w:ascii="宋体" w:hAnsi="宋体"/>
          <w:spacing w:val="-2"/>
          <w:szCs w:val="21"/>
        </w:rPr>
      </w:pPr>
      <w:r>
        <w:rPr>
          <w:rFonts w:hint="eastAsia" w:ascii="宋体" w:hAnsi="宋体"/>
          <w:spacing w:val="-2"/>
          <w:szCs w:val="21"/>
        </w:rPr>
        <w:t>1.</w:t>
      </w:r>
      <w:r>
        <w:rPr>
          <w:rFonts w:hint="eastAsia" w:ascii="宋体" w:hAnsi="宋体"/>
          <w:spacing w:val="-2"/>
          <w:szCs w:val="21"/>
          <w:u w:val="single"/>
        </w:rPr>
        <w:t>（</w:t>
      </w:r>
      <w:r>
        <w:rPr>
          <w:rFonts w:hint="eastAsia" w:ascii="宋体" w:hAnsi="宋体"/>
          <w:iCs/>
          <w:spacing w:val="-2"/>
          <w:szCs w:val="21"/>
          <w:u w:val="single"/>
        </w:rPr>
        <w:t>标的名称</w:t>
      </w:r>
      <w:r>
        <w:rPr>
          <w:rFonts w:hint="eastAsia" w:ascii="宋体" w:hAnsi="宋体"/>
          <w:spacing w:val="-2"/>
          <w:szCs w:val="21"/>
          <w:u w:val="single"/>
        </w:rPr>
        <w:t>）</w:t>
      </w:r>
      <w:r>
        <w:rPr>
          <w:rFonts w:hint="eastAsia" w:ascii="宋体" w:hAnsi="宋体"/>
          <w:spacing w:val="-2"/>
          <w:szCs w:val="21"/>
        </w:rPr>
        <w:t>，属于</w:t>
      </w:r>
      <w:r>
        <w:rPr>
          <w:rFonts w:hint="eastAsia" w:ascii="宋体" w:hAnsi="宋体"/>
          <w:spacing w:val="-2"/>
          <w:szCs w:val="21"/>
          <w:u w:val="single"/>
        </w:rPr>
        <w:t>（</w:t>
      </w:r>
      <w:r>
        <w:rPr>
          <w:rFonts w:hint="eastAsia" w:ascii="宋体" w:hAnsi="宋体"/>
          <w:iCs/>
          <w:spacing w:val="-2"/>
          <w:szCs w:val="21"/>
          <w:u w:val="single"/>
        </w:rPr>
        <w:t>采购文件中明确的所属行业</w:t>
      </w:r>
      <w:r>
        <w:rPr>
          <w:rFonts w:hint="eastAsia" w:ascii="宋体" w:hAnsi="宋体"/>
          <w:spacing w:val="-2"/>
          <w:szCs w:val="21"/>
          <w:u w:val="single"/>
        </w:rPr>
        <w:t>）</w:t>
      </w:r>
      <w:r>
        <w:rPr>
          <w:rFonts w:hint="eastAsia" w:ascii="宋体" w:hAnsi="宋体"/>
          <w:spacing w:val="-2"/>
          <w:szCs w:val="21"/>
        </w:rPr>
        <w:t>；制造商为</w:t>
      </w:r>
      <w:r>
        <w:rPr>
          <w:rFonts w:hint="eastAsia" w:ascii="宋体" w:hAnsi="宋体"/>
          <w:spacing w:val="-2"/>
          <w:szCs w:val="21"/>
          <w:u w:val="single"/>
        </w:rPr>
        <w:t xml:space="preserve">            （</w:t>
      </w:r>
      <w:r>
        <w:rPr>
          <w:rFonts w:hint="eastAsia" w:ascii="宋体" w:hAnsi="宋体"/>
          <w:iCs/>
          <w:spacing w:val="-2"/>
          <w:szCs w:val="21"/>
          <w:u w:val="single"/>
        </w:rPr>
        <w:t>企业名称</w:t>
      </w:r>
      <w:r>
        <w:rPr>
          <w:rFonts w:hint="eastAsia" w:ascii="宋体" w:hAnsi="宋体"/>
          <w:spacing w:val="-2"/>
          <w:szCs w:val="21"/>
          <w:u w:val="single"/>
        </w:rPr>
        <w:t>）</w:t>
      </w:r>
      <w:r>
        <w:rPr>
          <w:rFonts w:hint="eastAsia" w:ascii="宋体" w:hAnsi="宋体"/>
          <w:spacing w:val="-2"/>
          <w:szCs w:val="21"/>
        </w:rPr>
        <w:t>，从业人员</w:t>
      </w:r>
      <w:r>
        <w:rPr>
          <w:rFonts w:hint="eastAsia" w:ascii="宋体" w:hAnsi="宋体"/>
          <w:spacing w:val="-2"/>
          <w:szCs w:val="21"/>
          <w:u w:val="single"/>
        </w:rPr>
        <w:t xml:space="preserve">     </w:t>
      </w:r>
      <w:r>
        <w:rPr>
          <w:rFonts w:hint="eastAsia" w:ascii="宋体" w:hAnsi="宋体"/>
          <w:spacing w:val="-2"/>
          <w:szCs w:val="21"/>
        </w:rPr>
        <w:t>人，营业收入为</w:t>
      </w:r>
      <w:r>
        <w:rPr>
          <w:rFonts w:hint="eastAsia" w:ascii="宋体" w:hAnsi="宋体"/>
          <w:spacing w:val="-2"/>
          <w:szCs w:val="21"/>
          <w:u w:val="single"/>
        </w:rPr>
        <w:t xml:space="preserve">   </w:t>
      </w:r>
      <w:r>
        <w:rPr>
          <w:rFonts w:hint="eastAsia" w:ascii="宋体" w:hAnsi="宋体"/>
          <w:spacing w:val="-2"/>
          <w:szCs w:val="21"/>
        </w:rPr>
        <w:t>万元，资产总额为</w:t>
      </w:r>
      <w:r>
        <w:rPr>
          <w:rFonts w:hint="eastAsia" w:ascii="宋体" w:hAnsi="宋体"/>
          <w:spacing w:val="-2"/>
          <w:szCs w:val="21"/>
          <w:u w:val="single"/>
        </w:rPr>
        <w:t xml:space="preserve">   </w:t>
      </w:r>
      <w:r>
        <w:rPr>
          <w:rFonts w:hint="eastAsia" w:ascii="宋体" w:hAnsi="宋体"/>
          <w:spacing w:val="-2"/>
          <w:szCs w:val="21"/>
        </w:rPr>
        <w:t>万元，属于</w:t>
      </w:r>
      <w:r>
        <w:rPr>
          <w:rFonts w:hint="eastAsia" w:ascii="宋体" w:hAnsi="宋体"/>
          <w:spacing w:val="-2"/>
          <w:szCs w:val="21"/>
          <w:u w:val="single"/>
        </w:rPr>
        <w:t xml:space="preserve">              （</w:t>
      </w:r>
      <w:r>
        <w:rPr>
          <w:rFonts w:hint="eastAsia" w:ascii="宋体" w:hAnsi="宋体"/>
          <w:iCs/>
          <w:spacing w:val="-2"/>
          <w:szCs w:val="21"/>
          <w:u w:val="single"/>
        </w:rPr>
        <w:t>中型企业、小型企业、微型企业</w:t>
      </w:r>
      <w:r>
        <w:rPr>
          <w:rFonts w:hint="eastAsia" w:ascii="宋体" w:hAnsi="宋体"/>
          <w:spacing w:val="-2"/>
          <w:szCs w:val="21"/>
          <w:u w:val="single"/>
        </w:rPr>
        <w:t>）</w:t>
      </w:r>
      <w:r>
        <w:rPr>
          <w:rFonts w:hint="eastAsia" w:ascii="宋体" w:hAnsi="宋体"/>
          <w:spacing w:val="-2"/>
          <w:szCs w:val="21"/>
        </w:rPr>
        <w:t>；</w:t>
      </w:r>
    </w:p>
    <w:p w14:paraId="2FF867E7">
      <w:pPr>
        <w:spacing w:line="440" w:lineRule="exact"/>
        <w:ind w:firstLine="472" w:firstLineChars="200"/>
        <w:rPr>
          <w:rFonts w:ascii="宋体" w:hAnsi="宋体"/>
          <w:spacing w:val="-2"/>
          <w:szCs w:val="21"/>
          <w:u w:val="single"/>
        </w:rPr>
      </w:pPr>
      <w:r>
        <w:rPr>
          <w:rFonts w:hint="eastAsia" w:ascii="宋体" w:hAnsi="宋体"/>
          <w:spacing w:val="-2"/>
          <w:szCs w:val="21"/>
        </w:rPr>
        <w:t>2.</w:t>
      </w:r>
      <w:r>
        <w:rPr>
          <w:rFonts w:hint="eastAsia" w:ascii="宋体" w:hAnsi="宋体"/>
          <w:spacing w:val="-2"/>
          <w:szCs w:val="21"/>
          <w:u w:val="single"/>
        </w:rPr>
        <w:t>（</w:t>
      </w:r>
      <w:r>
        <w:rPr>
          <w:rFonts w:hint="eastAsia" w:ascii="宋体" w:hAnsi="宋体"/>
          <w:iCs/>
          <w:spacing w:val="-2"/>
          <w:szCs w:val="21"/>
          <w:u w:val="single"/>
        </w:rPr>
        <w:t>标的名称</w:t>
      </w:r>
      <w:r>
        <w:rPr>
          <w:rFonts w:hint="eastAsia" w:ascii="宋体" w:hAnsi="宋体"/>
          <w:spacing w:val="-2"/>
          <w:szCs w:val="21"/>
          <w:u w:val="single"/>
        </w:rPr>
        <w:t>）</w:t>
      </w:r>
      <w:r>
        <w:rPr>
          <w:rFonts w:hint="eastAsia" w:ascii="宋体" w:hAnsi="宋体"/>
          <w:spacing w:val="-2"/>
          <w:szCs w:val="21"/>
        </w:rPr>
        <w:t>，属于</w:t>
      </w:r>
      <w:r>
        <w:rPr>
          <w:rFonts w:hint="eastAsia" w:ascii="宋体" w:hAnsi="宋体"/>
          <w:spacing w:val="-2"/>
          <w:szCs w:val="21"/>
          <w:u w:val="single"/>
        </w:rPr>
        <w:t>（</w:t>
      </w:r>
      <w:r>
        <w:rPr>
          <w:rFonts w:hint="eastAsia" w:ascii="宋体" w:hAnsi="宋体"/>
          <w:iCs/>
          <w:spacing w:val="-2"/>
          <w:szCs w:val="21"/>
          <w:u w:val="single"/>
        </w:rPr>
        <w:t>采购文件中明确的所属行业</w:t>
      </w:r>
      <w:r>
        <w:rPr>
          <w:rFonts w:hint="eastAsia" w:ascii="宋体" w:hAnsi="宋体"/>
          <w:spacing w:val="-2"/>
          <w:szCs w:val="21"/>
          <w:u w:val="single"/>
        </w:rPr>
        <w:t>）</w:t>
      </w:r>
      <w:r>
        <w:rPr>
          <w:rFonts w:hint="eastAsia" w:ascii="宋体" w:hAnsi="宋体"/>
          <w:spacing w:val="-2"/>
          <w:szCs w:val="21"/>
        </w:rPr>
        <w:t>；制造商为</w:t>
      </w:r>
      <w:r>
        <w:rPr>
          <w:rFonts w:hint="eastAsia" w:ascii="宋体" w:hAnsi="宋体"/>
          <w:spacing w:val="-2"/>
          <w:szCs w:val="21"/>
          <w:u w:val="single"/>
        </w:rPr>
        <w:t xml:space="preserve">          （</w:t>
      </w:r>
      <w:r>
        <w:rPr>
          <w:rFonts w:hint="eastAsia" w:ascii="宋体" w:hAnsi="宋体"/>
          <w:iCs/>
          <w:spacing w:val="-2"/>
          <w:szCs w:val="21"/>
          <w:u w:val="single"/>
        </w:rPr>
        <w:t>企业名称</w:t>
      </w:r>
      <w:r>
        <w:rPr>
          <w:rFonts w:hint="eastAsia" w:ascii="宋体" w:hAnsi="宋体"/>
          <w:spacing w:val="-2"/>
          <w:szCs w:val="21"/>
          <w:u w:val="single"/>
        </w:rPr>
        <w:t>）</w:t>
      </w:r>
      <w:r>
        <w:rPr>
          <w:rFonts w:hint="eastAsia" w:ascii="宋体" w:hAnsi="宋体"/>
          <w:spacing w:val="-2"/>
          <w:szCs w:val="21"/>
        </w:rPr>
        <w:t>，从业人员</w:t>
      </w:r>
      <w:r>
        <w:rPr>
          <w:rFonts w:hint="eastAsia" w:ascii="宋体" w:hAnsi="宋体"/>
          <w:spacing w:val="-2"/>
          <w:szCs w:val="21"/>
          <w:u w:val="single"/>
        </w:rPr>
        <w:t xml:space="preserve">    </w:t>
      </w:r>
      <w:r>
        <w:rPr>
          <w:rFonts w:hint="eastAsia" w:ascii="宋体" w:hAnsi="宋体"/>
          <w:spacing w:val="-2"/>
          <w:szCs w:val="21"/>
        </w:rPr>
        <w:t>人，营业收入为</w:t>
      </w:r>
      <w:r>
        <w:rPr>
          <w:rFonts w:hint="eastAsia" w:ascii="宋体" w:hAnsi="宋体"/>
          <w:spacing w:val="-2"/>
          <w:szCs w:val="21"/>
          <w:u w:val="single"/>
        </w:rPr>
        <w:t xml:space="preserve">    </w:t>
      </w:r>
      <w:r>
        <w:rPr>
          <w:rFonts w:hint="eastAsia" w:ascii="宋体" w:hAnsi="宋体"/>
          <w:spacing w:val="-2"/>
          <w:szCs w:val="21"/>
        </w:rPr>
        <w:t>万元，资产总额为</w:t>
      </w:r>
      <w:r>
        <w:rPr>
          <w:rFonts w:hint="eastAsia" w:ascii="宋体" w:hAnsi="宋体"/>
          <w:spacing w:val="-2"/>
          <w:szCs w:val="21"/>
          <w:u w:val="single"/>
        </w:rPr>
        <w:t xml:space="preserve">    </w:t>
      </w:r>
      <w:r>
        <w:rPr>
          <w:rFonts w:hint="eastAsia" w:ascii="宋体" w:hAnsi="宋体"/>
          <w:spacing w:val="-2"/>
          <w:szCs w:val="21"/>
        </w:rPr>
        <w:t>万元，属于</w:t>
      </w:r>
      <w:r>
        <w:rPr>
          <w:rFonts w:hint="eastAsia" w:ascii="宋体" w:hAnsi="宋体"/>
          <w:spacing w:val="-2"/>
          <w:szCs w:val="21"/>
          <w:u w:val="single"/>
        </w:rPr>
        <w:t xml:space="preserve">             （</w:t>
      </w:r>
      <w:r>
        <w:rPr>
          <w:rFonts w:hint="eastAsia" w:ascii="宋体" w:hAnsi="宋体"/>
          <w:iCs/>
          <w:spacing w:val="-2"/>
          <w:szCs w:val="21"/>
          <w:u w:val="single"/>
        </w:rPr>
        <w:t>中型企业、小型企业、微型企业</w:t>
      </w:r>
      <w:r>
        <w:rPr>
          <w:rFonts w:hint="eastAsia" w:ascii="宋体" w:hAnsi="宋体"/>
          <w:spacing w:val="-2"/>
          <w:szCs w:val="21"/>
          <w:u w:val="single"/>
        </w:rPr>
        <w:t>）</w:t>
      </w:r>
      <w:r>
        <w:rPr>
          <w:rFonts w:hint="eastAsia" w:ascii="宋体" w:hAnsi="宋体"/>
          <w:spacing w:val="-2"/>
          <w:szCs w:val="21"/>
        </w:rPr>
        <w:t>；</w:t>
      </w:r>
    </w:p>
    <w:p w14:paraId="105363AC">
      <w:pPr>
        <w:pStyle w:val="8"/>
        <w:spacing w:line="440" w:lineRule="exact"/>
        <w:ind w:firstLine="240" w:firstLineChars="100"/>
        <w:rPr>
          <w:rFonts w:ascii="宋体" w:hAnsi="宋体"/>
          <w:szCs w:val="21"/>
        </w:rPr>
      </w:pPr>
      <w:r>
        <w:rPr>
          <w:rFonts w:hint="eastAsia" w:ascii="宋体" w:hAnsi="宋体"/>
          <w:szCs w:val="21"/>
        </w:rPr>
        <w:t xml:space="preserve"> ......</w:t>
      </w:r>
    </w:p>
    <w:p w14:paraId="3EAB17E7">
      <w:pPr>
        <w:spacing w:line="440" w:lineRule="exact"/>
        <w:ind w:firstLine="472" w:firstLineChars="200"/>
        <w:rPr>
          <w:rFonts w:ascii="宋体" w:hAnsi="宋体"/>
          <w:spacing w:val="-2"/>
          <w:szCs w:val="21"/>
        </w:rPr>
      </w:pPr>
      <w:r>
        <w:rPr>
          <w:rFonts w:hint="eastAsia" w:ascii="宋体" w:hAnsi="宋体"/>
          <w:spacing w:val="-2"/>
          <w:szCs w:val="21"/>
        </w:rPr>
        <w:t>以上企业，不属于大企业的分支机构，不存在控股股东为大企业的情形，也不存在与大企业的负责人为同一人的情形。</w:t>
      </w:r>
    </w:p>
    <w:p w14:paraId="020179E9">
      <w:pPr>
        <w:spacing w:line="440" w:lineRule="exact"/>
        <w:ind w:firstLine="472" w:firstLineChars="200"/>
        <w:rPr>
          <w:rFonts w:ascii="宋体" w:hAnsi="宋体"/>
          <w:spacing w:val="-2"/>
          <w:szCs w:val="21"/>
        </w:rPr>
      </w:pPr>
      <w:r>
        <w:rPr>
          <w:rFonts w:hint="eastAsia" w:ascii="宋体" w:hAnsi="宋体"/>
          <w:spacing w:val="-2"/>
          <w:szCs w:val="21"/>
        </w:rPr>
        <w:t>本企业对上述声明内容的真实性负责。如有虚假，将依法承担相应责任。</w:t>
      </w:r>
    </w:p>
    <w:p w14:paraId="7F11E4AE">
      <w:pPr>
        <w:spacing w:line="440" w:lineRule="exact"/>
        <w:ind w:firstLine="472" w:firstLineChars="200"/>
        <w:rPr>
          <w:rFonts w:ascii="宋体" w:hAnsi="宋体"/>
          <w:spacing w:val="-2"/>
          <w:szCs w:val="21"/>
        </w:rPr>
      </w:pPr>
    </w:p>
    <w:p w14:paraId="4DEB3FF2">
      <w:pPr>
        <w:pStyle w:val="8"/>
        <w:spacing w:before="35" w:line="440" w:lineRule="exact"/>
        <w:ind w:right="2166" w:firstLine="472" w:firstLineChars="200"/>
        <w:rPr>
          <w:rFonts w:ascii="宋体" w:hAnsi="宋体"/>
          <w:spacing w:val="-2"/>
          <w:szCs w:val="21"/>
        </w:rPr>
      </w:pPr>
      <w:r>
        <w:rPr>
          <w:rFonts w:hint="eastAsia" w:ascii="宋体" w:hAnsi="宋体"/>
          <w:spacing w:val="-2"/>
          <w:szCs w:val="21"/>
        </w:rPr>
        <w:t>企业名称（签章）：</w:t>
      </w:r>
    </w:p>
    <w:p w14:paraId="475CB437">
      <w:pPr>
        <w:spacing w:line="440" w:lineRule="exact"/>
        <w:ind w:firstLine="472" w:firstLineChars="200"/>
        <w:rPr>
          <w:rFonts w:ascii="宋体" w:hAnsi="宋体"/>
          <w:szCs w:val="21"/>
        </w:rPr>
      </w:pPr>
      <w:r>
        <w:rPr>
          <w:rFonts w:hint="eastAsia" w:ascii="宋体" w:hAnsi="宋体"/>
          <w:spacing w:val="-2"/>
          <w:szCs w:val="21"/>
        </w:rPr>
        <w:t>日期：</w:t>
      </w:r>
    </w:p>
    <w:p w14:paraId="7D527A4F">
      <w:pPr>
        <w:rPr>
          <w:rFonts w:ascii="宋体" w:hAnsi="宋体"/>
        </w:rPr>
      </w:pPr>
    </w:p>
    <w:p w14:paraId="0CD5B4D5">
      <w:pPr>
        <w:rPr>
          <w:rFonts w:ascii="宋体" w:hAnsi="宋体"/>
        </w:rPr>
      </w:pPr>
    </w:p>
    <w:p w14:paraId="57940AC6">
      <w:pPr>
        <w:ind w:firstLine="240" w:firstLineChars="100"/>
        <w:rPr>
          <w:rFonts w:ascii="宋体" w:hAnsi="宋体"/>
        </w:rPr>
      </w:pPr>
      <w:r>
        <w:rPr>
          <w:rFonts w:hint="eastAsia" w:ascii="宋体" w:hAnsi="宋体"/>
        </w:rPr>
        <w:t>从业人员、营业收入、资产总额填报上一年度数据，无上一年度数据的新成立企业可不填报。</w:t>
      </w:r>
    </w:p>
    <w:p w14:paraId="70653D8C">
      <w:pPr>
        <w:rPr>
          <w:rFonts w:ascii="宋体" w:hAnsi="宋体"/>
        </w:rPr>
      </w:pPr>
    </w:p>
    <w:p w14:paraId="03B99FC2">
      <w:pPr>
        <w:spacing w:line="560" w:lineRule="exact"/>
        <w:jc w:val="left"/>
        <w:rPr>
          <w:rFonts w:ascii="宋体" w:hAnsi="宋体"/>
          <w:szCs w:val="21"/>
        </w:rPr>
      </w:pPr>
      <w:r>
        <w:rPr>
          <w:rFonts w:ascii="宋体" w:hAnsi="宋体"/>
          <w:szCs w:val="21"/>
        </w:rPr>
        <w:t>注：</w:t>
      </w:r>
    </w:p>
    <w:p w14:paraId="0295F104">
      <w:pPr>
        <w:pStyle w:val="50"/>
        <w:numPr>
          <w:ilvl w:val="0"/>
          <w:numId w:val="10"/>
        </w:numPr>
        <w:spacing w:line="360" w:lineRule="auto"/>
        <w:ind w:firstLine="420" w:firstLineChars="200"/>
        <w:rPr>
          <w:rFonts w:ascii="宋体" w:hAnsi="宋体"/>
          <w:szCs w:val="21"/>
        </w:rPr>
      </w:pPr>
      <w:r>
        <w:rPr>
          <w:rFonts w:hint="eastAsia" w:ascii="宋体" w:hAnsi="宋体"/>
          <w:szCs w:val="21"/>
        </w:rPr>
        <w:t>本声明函中</w:t>
      </w:r>
      <w:r>
        <w:rPr>
          <w:rFonts w:hint="eastAsia" w:ascii="宋体" w:hAnsi="宋体"/>
          <w:b/>
          <w:bCs/>
          <w:szCs w:val="21"/>
        </w:rPr>
        <w:t>“标的名称”是指采购需求中计划采购的</w:t>
      </w:r>
      <w:r>
        <w:rPr>
          <w:rFonts w:hint="eastAsia" w:ascii="宋体" w:hAnsi="宋体"/>
          <w:b/>
          <w:bCs/>
          <w:szCs w:val="21"/>
          <w:lang w:val="en-US" w:eastAsia="zh-CN"/>
        </w:rPr>
        <w:t>产品</w:t>
      </w:r>
      <w:r>
        <w:rPr>
          <w:rFonts w:hint="eastAsia" w:ascii="宋体" w:hAnsi="宋体"/>
          <w:b/>
          <w:bCs/>
          <w:szCs w:val="21"/>
        </w:rPr>
        <w:t>，供应商必须按采购需求中列明的</w:t>
      </w:r>
      <w:r>
        <w:rPr>
          <w:rFonts w:hint="eastAsia" w:ascii="宋体" w:hAnsi="宋体"/>
          <w:b/>
          <w:bCs/>
          <w:szCs w:val="21"/>
          <w:lang w:val="en-US" w:eastAsia="zh-CN"/>
        </w:rPr>
        <w:t>全部产品逐一</w:t>
      </w:r>
      <w:r>
        <w:rPr>
          <w:rFonts w:hint="eastAsia" w:ascii="宋体" w:hAnsi="宋体"/>
          <w:b/>
          <w:bCs/>
          <w:szCs w:val="21"/>
        </w:rPr>
        <w:t>填写</w:t>
      </w:r>
      <w:r>
        <w:rPr>
          <w:rFonts w:hint="eastAsia" w:ascii="宋体" w:hAnsi="宋体"/>
          <w:szCs w:val="21"/>
        </w:rPr>
        <w:t>；“采购文件中明确的所属行业”是指投标人须知前附表中小微型企业有关政策中明确的行业，</w:t>
      </w:r>
      <w:r>
        <w:rPr>
          <w:rFonts w:hint="eastAsia" w:ascii="宋体" w:hAnsi="宋体"/>
          <w:b/>
          <w:bCs/>
          <w:szCs w:val="21"/>
        </w:rPr>
        <w:t>本项目明确所属行业为</w:t>
      </w:r>
      <w:r>
        <w:rPr>
          <w:rFonts w:hint="eastAsia" w:ascii="宋体" w:hAnsi="宋体"/>
          <w:b/>
          <w:bCs/>
          <w:szCs w:val="21"/>
          <w:u w:val="single"/>
        </w:rPr>
        <w:t>工业</w:t>
      </w:r>
      <w:r>
        <w:rPr>
          <w:rFonts w:hint="eastAsia" w:ascii="宋体" w:hAnsi="宋体"/>
          <w:szCs w:val="21"/>
        </w:rPr>
        <w:t>，供应商必须明确填写行业。</w:t>
      </w:r>
    </w:p>
    <w:p w14:paraId="37B87FA6">
      <w:pPr>
        <w:pStyle w:val="50"/>
        <w:numPr>
          <w:ilvl w:val="0"/>
          <w:numId w:val="10"/>
        </w:numPr>
        <w:spacing w:line="360" w:lineRule="auto"/>
        <w:ind w:firstLine="420" w:firstLineChars="200"/>
        <w:outlineLvl w:val="2"/>
        <w:rPr>
          <w:rFonts w:ascii="宋体" w:hAnsi="宋体"/>
          <w:szCs w:val="21"/>
        </w:rPr>
      </w:pPr>
      <w:bookmarkStart w:id="66" w:name="_Toc25507"/>
      <w:r>
        <w:rPr>
          <w:rFonts w:ascii="宋体" w:hAnsi="宋体"/>
          <w:szCs w:val="21"/>
        </w:rPr>
        <w:t>如</w:t>
      </w:r>
      <w:r>
        <w:rPr>
          <w:rFonts w:hint="eastAsia" w:ascii="宋体" w:hAnsi="宋体"/>
          <w:szCs w:val="21"/>
        </w:rPr>
        <w:t>供应商未填写或未按要求填写此表，评审时将不予认可</w:t>
      </w:r>
      <w:r>
        <w:rPr>
          <w:rFonts w:ascii="宋体" w:hAnsi="宋体"/>
          <w:szCs w:val="21"/>
        </w:rPr>
        <w:t>。</w:t>
      </w:r>
      <w:bookmarkEnd w:id="66"/>
    </w:p>
    <w:p w14:paraId="67E83D58">
      <w:pPr>
        <w:pStyle w:val="50"/>
        <w:numPr>
          <w:ilvl w:val="0"/>
          <w:numId w:val="10"/>
        </w:numPr>
        <w:spacing w:line="360" w:lineRule="auto"/>
        <w:ind w:firstLine="420" w:firstLineChars="200"/>
        <w:rPr>
          <w:rFonts w:ascii="宋体" w:hAnsi="宋体"/>
          <w:szCs w:val="21"/>
        </w:rPr>
      </w:pPr>
      <w:r>
        <w:rPr>
          <w:rFonts w:ascii="宋体" w:hAnsi="宋体"/>
          <w:szCs w:val="21"/>
        </w:rPr>
        <w:t>后附</w:t>
      </w:r>
      <w:r>
        <w:rPr>
          <w:rFonts w:hint="eastAsia" w:ascii="宋体" w:hAnsi="宋体"/>
          <w:szCs w:val="21"/>
        </w:rPr>
        <w:t>大中小微型企业划分标准</w:t>
      </w:r>
      <w:r>
        <w:rPr>
          <w:rFonts w:ascii="宋体" w:hAnsi="宋体"/>
          <w:szCs w:val="21"/>
        </w:rPr>
        <w:t>。详细内容请在中国政府采购网上查询获取。</w:t>
      </w:r>
    </w:p>
    <w:p w14:paraId="7DB1E46F">
      <w:pPr>
        <w:pageBreakBefore/>
        <w:widowControl/>
        <w:spacing w:line="600" w:lineRule="exact"/>
        <w:jc w:val="left"/>
        <w:rPr>
          <w:rFonts w:ascii="宋体" w:hAnsi="宋体" w:cs="宋体"/>
          <w:kern w:val="0"/>
          <w:sz w:val="32"/>
          <w:szCs w:val="32"/>
        </w:rPr>
      </w:pPr>
      <w:r>
        <w:rPr>
          <w:rFonts w:hint="eastAsia" w:ascii="宋体" w:hAnsi="宋体" w:cs="宋体"/>
          <w:kern w:val="0"/>
          <w:sz w:val="32"/>
          <w:szCs w:val="32"/>
        </w:rPr>
        <w:t>附表1</w:t>
      </w:r>
    </w:p>
    <w:p w14:paraId="1310FF93">
      <w:pPr>
        <w:widowControl/>
        <w:spacing w:line="330" w:lineRule="atLeast"/>
        <w:jc w:val="center"/>
        <w:outlineLvl w:val="1"/>
        <w:rPr>
          <w:rFonts w:ascii="宋体" w:hAnsi="宋体" w:cs="宋体"/>
          <w:kern w:val="0"/>
          <w:sz w:val="36"/>
          <w:szCs w:val="32"/>
        </w:rPr>
      </w:pPr>
      <w:bookmarkStart w:id="67" w:name="_Toc24088"/>
      <w:r>
        <w:rPr>
          <w:rFonts w:hint="eastAsia" w:ascii="宋体" w:hAnsi="宋体" w:cs="宋体"/>
          <w:kern w:val="0"/>
          <w:sz w:val="36"/>
          <w:szCs w:val="32"/>
        </w:rPr>
        <w:t>大中小微型企业划分标准</w:t>
      </w:r>
      <w:bookmarkEnd w:id="67"/>
    </w:p>
    <w:tbl>
      <w:tblPr>
        <w:tblStyle w:val="20"/>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369"/>
        <w:gridCol w:w="709"/>
        <w:gridCol w:w="1125"/>
        <w:gridCol w:w="1701"/>
        <w:gridCol w:w="1426"/>
        <w:gridCol w:w="992"/>
      </w:tblGrid>
      <w:tr w14:paraId="0CF5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782" w:type="dxa"/>
            <w:noWrap/>
            <w:vAlign w:val="center"/>
          </w:tcPr>
          <w:p w14:paraId="3C8A9878">
            <w:pPr>
              <w:widowControl/>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noWrap/>
            <w:vAlign w:val="center"/>
          </w:tcPr>
          <w:p w14:paraId="0C3013E9">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noWrap/>
            <w:vAlign w:val="center"/>
          </w:tcPr>
          <w:p w14:paraId="713C7982">
            <w:pPr>
              <w:widowControl/>
              <w:jc w:val="center"/>
              <w:rPr>
                <w:rFonts w:hint="eastAsia" w:ascii="宋体" w:hAnsi="宋体" w:cs="宋体"/>
                <w:b/>
                <w:bCs/>
                <w:kern w:val="0"/>
                <w:sz w:val="18"/>
                <w:szCs w:val="18"/>
              </w:rPr>
            </w:pPr>
            <w:r>
              <w:rPr>
                <w:rFonts w:hint="eastAsia" w:ascii="宋体" w:hAnsi="宋体" w:cs="宋体"/>
                <w:b/>
                <w:bCs/>
                <w:kern w:val="0"/>
                <w:sz w:val="18"/>
                <w:szCs w:val="18"/>
              </w:rPr>
              <w:t>计量</w:t>
            </w:r>
          </w:p>
          <w:p w14:paraId="2AEACDFA">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noWrap/>
            <w:vAlign w:val="center"/>
          </w:tcPr>
          <w:p w14:paraId="6F430C54">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noWrap/>
            <w:vAlign w:val="center"/>
          </w:tcPr>
          <w:p w14:paraId="7E715329">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noWrap/>
            <w:vAlign w:val="center"/>
          </w:tcPr>
          <w:p w14:paraId="7772462C">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noWrap/>
            <w:vAlign w:val="center"/>
          </w:tcPr>
          <w:p w14:paraId="7A313BEE">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14:paraId="2545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0725D8BE">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noWrap/>
            <w:vAlign w:val="center"/>
          </w:tcPr>
          <w:p w14:paraId="6110C566">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4BFDB84E">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15AC215C">
            <w:pPr>
              <w:widowControl/>
              <w:jc w:val="center"/>
              <w:rPr>
                <w:rFonts w:ascii="宋体" w:hAnsi="宋体" w:cs="宋体"/>
                <w:kern w:val="0"/>
                <w:sz w:val="18"/>
                <w:szCs w:val="18"/>
              </w:rPr>
            </w:pPr>
            <w:r>
              <w:rPr>
                <w:rFonts w:hint="eastAsia" w:ascii="宋体" w:hAnsi="宋体" w:cs="宋体"/>
                <w:kern w:val="0"/>
                <w:sz w:val="18"/>
                <w:szCs w:val="18"/>
              </w:rPr>
              <w:t>Y≥20000</w:t>
            </w:r>
          </w:p>
        </w:tc>
        <w:tc>
          <w:tcPr>
            <w:tcW w:w="1701" w:type="dxa"/>
            <w:noWrap/>
            <w:vAlign w:val="center"/>
          </w:tcPr>
          <w:p w14:paraId="4F09D2F5">
            <w:pPr>
              <w:widowControl/>
              <w:jc w:val="center"/>
              <w:rPr>
                <w:rFonts w:ascii="宋体" w:hAnsi="宋体" w:cs="宋体"/>
                <w:kern w:val="0"/>
                <w:sz w:val="18"/>
                <w:szCs w:val="18"/>
              </w:rPr>
            </w:pPr>
            <w:r>
              <w:rPr>
                <w:rFonts w:hint="eastAsia" w:ascii="宋体" w:hAnsi="宋体" w:cs="宋体"/>
                <w:kern w:val="0"/>
                <w:sz w:val="18"/>
                <w:szCs w:val="18"/>
              </w:rPr>
              <w:t xml:space="preserve"> 500≤Y＜20000</w:t>
            </w:r>
          </w:p>
        </w:tc>
        <w:tc>
          <w:tcPr>
            <w:tcW w:w="1426" w:type="dxa"/>
            <w:noWrap/>
            <w:vAlign w:val="center"/>
          </w:tcPr>
          <w:p w14:paraId="3427982D">
            <w:pPr>
              <w:widowControl/>
              <w:jc w:val="center"/>
              <w:rPr>
                <w:rFonts w:ascii="宋体" w:hAnsi="宋体" w:cs="宋体"/>
                <w:kern w:val="0"/>
                <w:sz w:val="18"/>
                <w:szCs w:val="18"/>
              </w:rPr>
            </w:pPr>
            <w:r>
              <w:rPr>
                <w:rFonts w:hint="eastAsia" w:ascii="宋体" w:hAnsi="宋体" w:cs="宋体"/>
                <w:kern w:val="0"/>
                <w:sz w:val="18"/>
                <w:szCs w:val="18"/>
              </w:rPr>
              <w:t xml:space="preserve"> 50≤Y＜500</w:t>
            </w:r>
          </w:p>
        </w:tc>
        <w:tc>
          <w:tcPr>
            <w:tcW w:w="992" w:type="dxa"/>
            <w:noWrap/>
            <w:vAlign w:val="center"/>
          </w:tcPr>
          <w:p w14:paraId="3C9BF99B">
            <w:pPr>
              <w:widowControl/>
              <w:jc w:val="center"/>
              <w:rPr>
                <w:rFonts w:ascii="宋体" w:hAnsi="宋体" w:cs="宋体"/>
                <w:kern w:val="0"/>
                <w:sz w:val="18"/>
                <w:szCs w:val="18"/>
              </w:rPr>
            </w:pPr>
            <w:r>
              <w:rPr>
                <w:rFonts w:hint="eastAsia" w:ascii="宋体" w:hAnsi="宋体" w:cs="宋体"/>
                <w:kern w:val="0"/>
                <w:sz w:val="18"/>
                <w:szCs w:val="18"/>
              </w:rPr>
              <w:t>Y＜50</w:t>
            </w:r>
          </w:p>
        </w:tc>
      </w:tr>
      <w:tr w14:paraId="1935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3BA76AAA">
            <w:pPr>
              <w:widowControl/>
              <w:spacing w:line="24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noWrap/>
            <w:vAlign w:val="center"/>
          </w:tcPr>
          <w:p w14:paraId="3409ABA6">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445BD8A1">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3FAA0596">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6C6B6BBF">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3FD7EA45">
            <w:pPr>
              <w:widowControl/>
              <w:jc w:val="center"/>
              <w:rPr>
                <w:rFonts w:ascii="宋体" w:hAnsi="宋体" w:cs="宋体"/>
                <w:kern w:val="0"/>
                <w:sz w:val="18"/>
                <w:szCs w:val="18"/>
              </w:rPr>
            </w:pPr>
            <w:r>
              <w:rPr>
                <w:rFonts w:hint="eastAsia" w:ascii="宋体" w:hAnsi="宋体" w:cs="宋体"/>
                <w:kern w:val="0"/>
                <w:sz w:val="18"/>
                <w:szCs w:val="18"/>
              </w:rPr>
              <w:t xml:space="preserve"> 20≤X＜300</w:t>
            </w:r>
          </w:p>
        </w:tc>
        <w:tc>
          <w:tcPr>
            <w:tcW w:w="992" w:type="dxa"/>
            <w:noWrap/>
            <w:vAlign w:val="center"/>
          </w:tcPr>
          <w:p w14:paraId="1A8F4021">
            <w:pPr>
              <w:widowControl/>
              <w:jc w:val="center"/>
              <w:rPr>
                <w:rFonts w:ascii="宋体" w:hAnsi="宋体" w:cs="宋体"/>
                <w:kern w:val="0"/>
                <w:sz w:val="18"/>
                <w:szCs w:val="18"/>
              </w:rPr>
            </w:pPr>
            <w:r>
              <w:rPr>
                <w:rFonts w:hint="eastAsia" w:ascii="宋体" w:hAnsi="宋体" w:cs="宋体"/>
                <w:kern w:val="0"/>
                <w:sz w:val="18"/>
                <w:szCs w:val="18"/>
              </w:rPr>
              <w:t>X＜20</w:t>
            </w:r>
          </w:p>
        </w:tc>
      </w:tr>
      <w:tr w14:paraId="693C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74768D17">
            <w:pPr>
              <w:widowControl/>
              <w:jc w:val="left"/>
              <w:rPr>
                <w:rFonts w:ascii="宋体" w:hAnsi="宋体" w:cs="宋体"/>
                <w:kern w:val="0"/>
                <w:sz w:val="18"/>
                <w:szCs w:val="18"/>
              </w:rPr>
            </w:pPr>
          </w:p>
        </w:tc>
        <w:tc>
          <w:tcPr>
            <w:tcW w:w="1369" w:type="dxa"/>
            <w:noWrap/>
            <w:vAlign w:val="center"/>
          </w:tcPr>
          <w:p w14:paraId="35BE4F6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1ECBB2C2">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6D557517">
            <w:pPr>
              <w:widowControl/>
              <w:jc w:val="center"/>
              <w:rPr>
                <w:rFonts w:ascii="宋体" w:hAnsi="宋体" w:cs="宋体"/>
                <w:kern w:val="0"/>
                <w:sz w:val="18"/>
                <w:szCs w:val="18"/>
              </w:rPr>
            </w:pPr>
            <w:r>
              <w:rPr>
                <w:rFonts w:hint="eastAsia" w:ascii="宋体" w:hAnsi="宋体" w:cs="宋体"/>
                <w:kern w:val="0"/>
                <w:sz w:val="18"/>
                <w:szCs w:val="18"/>
              </w:rPr>
              <w:t>Y≥40000</w:t>
            </w:r>
          </w:p>
        </w:tc>
        <w:tc>
          <w:tcPr>
            <w:tcW w:w="1701" w:type="dxa"/>
            <w:noWrap/>
            <w:vAlign w:val="center"/>
          </w:tcPr>
          <w:p w14:paraId="2B2D56C2">
            <w:pPr>
              <w:widowControl/>
              <w:jc w:val="center"/>
              <w:rPr>
                <w:rFonts w:ascii="宋体" w:hAnsi="宋体" w:cs="宋体"/>
                <w:kern w:val="0"/>
                <w:sz w:val="18"/>
                <w:szCs w:val="18"/>
              </w:rPr>
            </w:pPr>
            <w:r>
              <w:rPr>
                <w:rFonts w:hint="eastAsia" w:ascii="宋体" w:hAnsi="宋体" w:cs="宋体"/>
                <w:kern w:val="0"/>
                <w:sz w:val="18"/>
                <w:szCs w:val="18"/>
              </w:rPr>
              <w:t>2000≤Y＜40000</w:t>
            </w:r>
          </w:p>
        </w:tc>
        <w:tc>
          <w:tcPr>
            <w:tcW w:w="1426" w:type="dxa"/>
            <w:noWrap/>
            <w:vAlign w:val="center"/>
          </w:tcPr>
          <w:p w14:paraId="65EA5BC7">
            <w:pPr>
              <w:widowControl/>
              <w:jc w:val="center"/>
              <w:rPr>
                <w:rFonts w:ascii="宋体" w:hAnsi="宋体" w:cs="宋体"/>
                <w:kern w:val="0"/>
                <w:sz w:val="18"/>
                <w:szCs w:val="18"/>
              </w:rPr>
            </w:pPr>
            <w:r>
              <w:rPr>
                <w:rFonts w:hint="eastAsia" w:ascii="宋体" w:hAnsi="宋体" w:cs="宋体"/>
                <w:kern w:val="0"/>
                <w:sz w:val="18"/>
                <w:szCs w:val="18"/>
              </w:rPr>
              <w:t xml:space="preserve"> 300≤Y＜2000</w:t>
            </w:r>
          </w:p>
        </w:tc>
        <w:tc>
          <w:tcPr>
            <w:tcW w:w="992" w:type="dxa"/>
            <w:noWrap/>
            <w:vAlign w:val="center"/>
          </w:tcPr>
          <w:p w14:paraId="5A3B854F">
            <w:pPr>
              <w:widowControl/>
              <w:jc w:val="center"/>
              <w:rPr>
                <w:rFonts w:ascii="宋体" w:hAnsi="宋体" w:cs="宋体"/>
                <w:kern w:val="0"/>
                <w:sz w:val="18"/>
                <w:szCs w:val="18"/>
              </w:rPr>
            </w:pPr>
            <w:r>
              <w:rPr>
                <w:rFonts w:hint="eastAsia" w:ascii="宋体" w:hAnsi="宋体" w:cs="宋体"/>
                <w:kern w:val="0"/>
                <w:sz w:val="18"/>
                <w:szCs w:val="18"/>
              </w:rPr>
              <w:t>Y＜300</w:t>
            </w:r>
          </w:p>
        </w:tc>
      </w:tr>
      <w:tr w14:paraId="570F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F436E21">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noWrap/>
            <w:vAlign w:val="center"/>
          </w:tcPr>
          <w:p w14:paraId="3DF29C55">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2CEB0B0B">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554CDE07">
            <w:pPr>
              <w:widowControl/>
              <w:jc w:val="center"/>
              <w:rPr>
                <w:rFonts w:ascii="宋体" w:hAnsi="宋体" w:cs="宋体"/>
                <w:kern w:val="0"/>
                <w:sz w:val="18"/>
                <w:szCs w:val="18"/>
              </w:rPr>
            </w:pPr>
            <w:r>
              <w:rPr>
                <w:rFonts w:hint="eastAsia" w:ascii="宋体" w:hAnsi="宋体" w:cs="宋体"/>
                <w:kern w:val="0"/>
                <w:sz w:val="18"/>
                <w:szCs w:val="18"/>
              </w:rPr>
              <w:t>Y≥80000</w:t>
            </w:r>
          </w:p>
        </w:tc>
        <w:tc>
          <w:tcPr>
            <w:tcW w:w="1701" w:type="dxa"/>
            <w:noWrap/>
            <w:vAlign w:val="center"/>
          </w:tcPr>
          <w:p w14:paraId="44993B3A">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426" w:type="dxa"/>
            <w:noWrap/>
            <w:vAlign w:val="center"/>
          </w:tcPr>
          <w:p w14:paraId="22F6739A">
            <w:pPr>
              <w:widowControl/>
              <w:jc w:val="center"/>
              <w:rPr>
                <w:rFonts w:ascii="宋体" w:hAnsi="宋体" w:cs="宋体"/>
                <w:kern w:val="0"/>
                <w:sz w:val="18"/>
                <w:szCs w:val="18"/>
              </w:rPr>
            </w:pPr>
            <w:r>
              <w:rPr>
                <w:rFonts w:hint="eastAsia" w:ascii="宋体" w:hAnsi="宋体" w:cs="宋体"/>
                <w:kern w:val="0"/>
                <w:sz w:val="18"/>
                <w:szCs w:val="18"/>
              </w:rPr>
              <w:t xml:space="preserve"> 300≤Y＜6000</w:t>
            </w:r>
          </w:p>
        </w:tc>
        <w:tc>
          <w:tcPr>
            <w:tcW w:w="992" w:type="dxa"/>
            <w:noWrap/>
            <w:vAlign w:val="center"/>
          </w:tcPr>
          <w:p w14:paraId="42E8F60E">
            <w:pPr>
              <w:widowControl/>
              <w:jc w:val="center"/>
              <w:rPr>
                <w:rFonts w:ascii="宋体" w:hAnsi="宋体" w:cs="宋体"/>
                <w:kern w:val="0"/>
                <w:sz w:val="18"/>
                <w:szCs w:val="18"/>
              </w:rPr>
            </w:pPr>
            <w:r>
              <w:rPr>
                <w:rFonts w:hint="eastAsia" w:ascii="宋体" w:hAnsi="宋体" w:cs="宋体"/>
                <w:kern w:val="0"/>
                <w:sz w:val="18"/>
                <w:szCs w:val="18"/>
              </w:rPr>
              <w:t>Y＜300</w:t>
            </w:r>
          </w:p>
        </w:tc>
      </w:tr>
      <w:tr w14:paraId="2050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4BBD72E2">
            <w:pPr>
              <w:widowControl/>
              <w:jc w:val="left"/>
              <w:rPr>
                <w:rFonts w:ascii="宋体" w:hAnsi="宋体" w:cs="宋体"/>
                <w:kern w:val="0"/>
                <w:sz w:val="18"/>
                <w:szCs w:val="18"/>
              </w:rPr>
            </w:pPr>
          </w:p>
        </w:tc>
        <w:tc>
          <w:tcPr>
            <w:tcW w:w="1369" w:type="dxa"/>
            <w:noWrap/>
            <w:vAlign w:val="center"/>
          </w:tcPr>
          <w:p w14:paraId="6366900C">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ign w:val="center"/>
          </w:tcPr>
          <w:p w14:paraId="2B620FD2">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67F54E58">
            <w:pPr>
              <w:widowControl/>
              <w:jc w:val="center"/>
              <w:rPr>
                <w:rFonts w:ascii="宋体" w:hAnsi="宋体" w:cs="宋体"/>
                <w:kern w:val="0"/>
                <w:sz w:val="18"/>
                <w:szCs w:val="18"/>
              </w:rPr>
            </w:pPr>
            <w:r>
              <w:rPr>
                <w:rFonts w:hint="eastAsia" w:ascii="宋体" w:hAnsi="宋体" w:cs="宋体"/>
                <w:kern w:val="0"/>
                <w:sz w:val="18"/>
                <w:szCs w:val="18"/>
              </w:rPr>
              <w:t>Z≥80000</w:t>
            </w:r>
          </w:p>
        </w:tc>
        <w:tc>
          <w:tcPr>
            <w:tcW w:w="1701" w:type="dxa"/>
            <w:noWrap/>
            <w:vAlign w:val="center"/>
          </w:tcPr>
          <w:p w14:paraId="5BC7E3D9">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426" w:type="dxa"/>
            <w:noWrap/>
            <w:vAlign w:val="center"/>
          </w:tcPr>
          <w:p w14:paraId="0EC2F8CA">
            <w:pPr>
              <w:widowControl/>
              <w:jc w:val="center"/>
              <w:rPr>
                <w:rFonts w:ascii="宋体" w:hAnsi="宋体" w:cs="宋体"/>
                <w:kern w:val="0"/>
                <w:sz w:val="18"/>
                <w:szCs w:val="18"/>
              </w:rPr>
            </w:pPr>
            <w:r>
              <w:rPr>
                <w:rFonts w:hint="eastAsia" w:ascii="宋体" w:hAnsi="宋体" w:cs="宋体"/>
                <w:kern w:val="0"/>
                <w:sz w:val="18"/>
                <w:szCs w:val="18"/>
              </w:rPr>
              <w:t xml:space="preserve"> 300≤Z＜5000</w:t>
            </w:r>
          </w:p>
        </w:tc>
        <w:tc>
          <w:tcPr>
            <w:tcW w:w="992" w:type="dxa"/>
            <w:noWrap/>
            <w:vAlign w:val="center"/>
          </w:tcPr>
          <w:p w14:paraId="746EE90A">
            <w:pPr>
              <w:widowControl/>
              <w:jc w:val="center"/>
              <w:rPr>
                <w:rFonts w:ascii="宋体" w:hAnsi="宋体" w:cs="宋体"/>
                <w:kern w:val="0"/>
                <w:sz w:val="18"/>
                <w:szCs w:val="18"/>
              </w:rPr>
            </w:pPr>
            <w:r>
              <w:rPr>
                <w:rFonts w:hint="eastAsia" w:ascii="宋体" w:hAnsi="宋体" w:cs="宋体"/>
                <w:kern w:val="0"/>
                <w:sz w:val="18"/>
                <w:szCs w:val="18"/>
              </w:rPr>
              <w:t>Z＜300</w:t>
            </w:r>
          </w:p>
        </w:tc>
      </w:tr>
      <w:tr w14:paraId="089F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5629BE32">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noWrap/>
            <w:vAlign w:val="center"/>
          </w:tcPr>
          <w:p w14:paraId="6592765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3C0E7756">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39E8C6A3">
            <w:pPr>
              <w:widowControl/>
              <w:jc w:val="center"/>
              <w:rPr>
                <w:rFonts w:ascii="宋体" w:hAnsi="宋体" w:cs="宋体"/>
                <w:kern w:val="0"/>
                <w:sz w:val="18"/>
                <w:szCs w:val="18"/>
              </w:rPr>
            </w:pPr>
            <w:r>
              <w:rPr>
                <w:rFonts w:hint="eastAsia" w:ascii="宋体" w:hAnsi="宋体" w:cs="宋体"/>
                <w:kern w:val="0"/>
                <w:sz w:val="18"/>
                <w:szCs w:val="18"/>
              </w:rPr>
              <w:t>X≥200</w:t>
            </w:r>
          </w:p>
        </w:tc>
        <w:tc>
          <w:tcPr>
            <w:tcW w:w="1701" w:type="dxa"/>
            <w:noWrap/>
            <w:vAlign w:val="center"/>
          </w:tcPr>
          <w:p w14:paraId="622970AC">
            <w:pPr>
              <w:widowControl/>
              <w:jc w:val="center"/>
              <w:rPr>
                <w:rFonts w:ascii="宋体" w:hAnsi="宋体" w:cs="宋体"/>
                <w:kern w:val="0"/>
                <w:sz w:val="18"/>
                <w:szCs w:val="18"/>
              </w:rPr>
            </w:pPr>
            <w:r>
              <w:rPr>
                <w:rFonts w:hint="eastAsia" w:ascii="宋体" w:hAnsi="宋体" w:cs="宋体"/>
                <w:kern w:val="0"/>
                <w:sz w:val="18"/>
                <w:szCs w:val="18"/>
              </w:rPr>
              <w:t>20≤X＜200</w:t>
            </w:r>
          </w:p>
        </w:tc>
        <w:tc>
          <w:tcPr>
            <w:tcW w:w="1426" w:type="dxa"/>
            <w:noWrap/>
            <w:vAlign w:val="center"/>
          </w:tcPr>
          <w:p w14:paraId="3E9C3DA1">
            <w:pPr>
              <w:widowControl/>
              <w:jc w:val="center"/>
              <w:rPr>
                <w:rFonts w:ascii="宋体" w:hAnsi="宋体" w:cs="宋体"/>
                <w:kern w:val="0"/>
                <w:sz w:val="18"/>
                <w:szCs w:val="18"/>
              </w:rPr>
            </w:pPr>
            <w:r>
              <w:rPr>
                <w:rFonts w:hint="eastAsia" w:ascii="宋体" w:hAnsi="宋体" w:cs="宋体"/>
                <w:kern w:val="0"/>
                <w:sz w:val="18"/>
                <w:szCs w:val="18"/>
              </w:rPr>
              <w:t xml:space="preserve"> 5≤X＜20</w:t>
            </w:r>
          </w:p>
        </w:tc>
        <w:tc>
          <w:tcPr>
            <w:tcW w:w="992" w:type="dxa"/>
            <w:noWrap/>
            <w:vAlign w:val="center"/>
          </w:tcPr>
          <w:p w14:paraId="45699D16">
            <w:pPr>
              <w:widowControl/>
              <w:jc w:val="center"/>
              <w:rPr>
                <w:rFonts w:ascii="宋体" w:hAnsi="宋体" w:cs="宋体"/>
                <w:kern w:val="0"/>
                <w:sz w:val="18"/>
                <w:szCs w:val="18"/>
              </w:rPr>
            </w:pPr>
            <w:r>
              <w:rPr>
                <w:rFonts w:hint="eastAsia" w:ascii="宋体" w:hAnsi="宋体" w:cs="宋体"/>
                <w:kern w:val="0"/>
                <w:sz w:val="18"/>
                <w:szCs w:val="18"/>
              </w:rPr>
              <w:t>X＜5</w:t>
            </w:r>
          </w:p>
        </w:tc>
      </w:tr>
      <w:tr w14:paraId="09D5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6DC6B492">
            <w:pPr>
              <w:widowControl/>
              <w:jc w:val="left"/>
              <w:rPr>
                <w:rFonts w:ascii="宋体" w:hAnsi="宋体" w:cs="宋体"/>
                <w:kern w:val="0"/>
                <w:sz w:val="18"/>
                <w:szCs w:val="18"/>
              </w:rPr>
            </w:pPr>
          </w:p>
        </w:tc>
        <w:tc>
          <w:tcPr>
            <w:tcW w:w="1369" w:type="dxa"/>
            <w:noWrap/>
            <w:vAlign w:val="center"/>
          </w:tcPr>
          <w:p w14:paraId="4069AF1C">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3F758B48">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33E171C4">
            <w:pPr>
              <w:widowControl/>
              <w:jc w:val="center"/>
              <w:rPr>
                <w:rFonts w:ascii="宋体" w:hAnsi="宋体" w:cs="宋体"/>
                <w:kern w:val="0"/>
                <w:sz w:val="18"/>
                <w:szCs w:val="18"/>
              </w:rPr>
            </w:pPr>
            <w:r>
              <w:rPr>
                <w:rFonts w:hint="eastAsia" w:ascii="宋体" w:hAnsi="宋体" w:cs="宋体"/>
                <w:kern w:val="0"/>
                <w:sz w:val="18"/>
                <w:szCs w:val="18"/>
              </w:rPr>
              <w:t>Y≥40000</w:t>
            </w:r>
          </w:p>
        </w:tc>
        <w:tc>
          <w:tcPr>
            <w:tcW w:w="1701" w:type="dxa"/>
            <w:noWrap/>
            <w:vAlign w:val="center"/>
          </w:tcPr>
          <w:p w14:paraId="52DD0672">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426" w:type="dxa"/>
            <w:noWrap/>
            <w:vAlign w:val="center"/>
          </w:tcPr>
          <w:p w14:paraId="5114CD72">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noWrap/>
            <w:vAlign w:val="center"/>
          </w:tcPr>
          <w:p w14:paraId="29CA8814">
            <w:pPr>
              <w:widowControl/>
              <w:jc w:val="center"/>
              <w:rPr>
                <w:rFonts w:ascii="宋体" w:hAnsi="宋体" w:cs="宋体"/>
                <w:kern w:val="0"/>
                <w:sz w:val="18"/>
                <w:szCs w:val="18"/>
              </w:rPr>
            </w:pPr>
            <w:r>
              <w:rPr>
                <w:rFonts w:hint="eastAsia" w:ascii="宋体" w:hAnsi="宋体" w:cs="宋体"/>
                <w:kern w:val="0"/>
                <w:sz w:val="18"/>
                <w:szCs w:val="18"/>
              </w:rPr>
              <w:t>Y＜1000</w:t>
            </w:r>
          </w:p>
        </w:tc>
      </w:tr>
      <w:tr w14:paraId="0AB2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65B056A0">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noWrap/>
            <w:vAlign w:val="center"/>
          </w:tcPr>
          <w:p w14:paraId="7F3EE244">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5E0FA737">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1505BFEE">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399F9E16">
            <w:pPr>
              <w:widowControl/>
              <w:jc w:val="center"/>
              <w:rPr>
                <w:rFonts w:ascii="宋体" w:hAnsi="宋体" w:cs="宋体"/>
                <w:kern w:val="0"/>
                <w:sz w:val="18"/>
                <w:szCs w:val="18"/>
              </w:rPr>
            </w:pPr>
            <w:r>
              <w:rPr>
                <w:rFonts w:hint="eastAsia" w:ascii="宋体" w:hAnsi="宋体" w:cs="宋体"/>
                <w:kern w:val="0"/>
                <w:sz w:val="18"/>
                <w:szCs w:val="18"/>
              </w:rPr>
              <w:t>50≤X＜300</w:t>
            </w:r>
          </w:p>
        </w:tc>
        <w:tc>
          <w:tcPr>
            <w:tcW w:w="1426" w:type="dxa"/>
            <w:noWrap/>
            <w:vAlign w:val="center"/>
          </w:tcPr>
          <w:p w14:paraId="6A096E22">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noWrap/>
            <w:vAlign w:val="center"/>
          </w:tcPr>
          <w:p w14:paraId="09BA6D1D">
            <w:pPr>
              <w:widowControl/>
              <w:jc w:val="center"/>
              <w:rPr>
                <w:rFonts w:ascii="宋体" w:hAnsi="宋体" w:cs="宋体"/>
                <w:kern w:val="0"/>
                <w:sz w:val="18"/>
                <w:szCs w:val="18"/>
              </w:rPr>
            </w:pPr>
            <w:r>
              <w:rPr>
                <w:rFonts w:hint="eastAsia" w:ascii="宋体" w:hAnsi="宋体" w:cs="宋体"/>
                <w:kern w:val="0"/>
                <w:sz w:val="18"/>
                <w:szCs w:val="18"/>
              </w:rPr>
              <w:t>X＜10</w:t>
            </w:r>
          </w:p>
        </w:tc>
      </w:tr>
      <w:tr w14:paraId="6505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2F7FC539">
            <w:pPr>
              <w:widowControl/>
              <w:jc w:val="left"/>
              <w:rPr>
                <w:rFonts w:ascii="宋体" w:hAnsi="宋体" w:cs="宋体"/>
                <w:kern w:val="0"/>
                <w:sz w:val="18"/>
                <w:szCs w:val="18"/>
              </w:rPr>
            </w:pPr>
          </w:p>
        </w:tc>
        <w:tc>
          <w:tcPr>
            <w:tcW w:w="1369" w:type="dxa"/>
            <w:noWrap/>
            <w:vAlign w:val="center"/>
          </w:tcPr>
          <w:p w14:paraId="1B267D35">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5C4ABAF1">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1D695AAA">
            <w:pPr>
              <w:widowControl/>
              <w:jc w:val="center"/>
              <w:rPr>
                <w:rFonts w:ascii="宋体" w:hAnsi="宋体" w:cs="宋体"/>
                <w:kern w:val="0"/>
                <w:sz w:val="18"/>
                <w:szCs w:val="18"/>
              </w:rPr>
            </w:pPr>
            <w:r>
              <w:rPr>
                <w:rFonts w:hint="eastAsia" w:ascii="宋体" w:hAnsi="宋体" w:cs="宋体"/>
                <w:kern w:val="0"/>
                <w:sz w:val="18"/>
                <w:szCs w:val="18"/>
              </w:rPr>
              <w:t>Y≥20000</w:t>
            </w:r>
          </w:p>
        </w:tc>
        <w:tc>
          <w:tcPr>
            <w:tcW w:w="1701" w:type="dxa"/>
            <w:noWrap/>
            <w:vAlign w:val="center"/>
          </w:tcPr>
          <w:p w14:paraId="185EA41C">
            <w:pPr>
              <w:widowControl/>
              <w:jc w:val="center"/>
              <w:rPr>
                <w:rFonts w:ascii="宋体" w:hAnsi="宋体" w:cs="宋体"/>
                <w:kern w:val="0"/>
                <w:sz w:val="18"/>
                <w:szCs w:val="18"/>
              </w:rPr>
            </w:pPr>
            <w:r>
              <w:rPr>
                <w:rFonts w:hint="eastAsia" w:ascii="宋体" w:hAnsi="宋体" w:cs="宋体"/>
                <w:kern w:val="0"/>
                <w:sz w:val="18"/>
                <w:szCs w:val="18"/>
              </w:rPr>
              <w:t xml:space="preserve"> 500≤Y＜20000</w:t>
            </w:r>
          </w:p>
        </w:tc>
        <w:tc>
          <w:tcPr>
            <w:tcW w:w="1426" w:type="dxa"/>
            <w:noWrap/>
            <w:vAlign w:val="center"/>
          </w:tcPr>
          <w:p w14:paraId="7FB9A5ED">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100≤Y＜500 </w:t>
            </w:r>
          </w:p>
        </w:tc>
        <w:tc>
          <w:tcPr>
            <w:tcW w:w="992" w:type="dxa"/>
            <w:noWrap/>
            <w:vAlign w:val="center"/>
          </w:tcPr>
          <w:p w14:paraId="3C6F0A49">
            <w:pPr>
              <w:widowControl/>
              <w:jc w:val="center"/>
              <w:rPr>
                <w:rFonts w:ascii="宋体" w:hAnsi="宋体" w:cs="宋体"/>
                <w:kern w:val="0"/>
                <w:sz w:val="18"/>
                <w:szCs w:val="18"/>
              </w:rPr>
            </w:pPr>
            <w:r>
              <w:rPr>
                <w:rFonts w:hint="eastAsia" w:ascii="宋体" w:hAnsi="宋体" w:cs="宋体"/>
                <w:kern w:val="0"/>
                <w:sz w:val="18"/>
                <w:szCs w:val="18"/>
              </w:rPr>
              <w:t>Y＜100</w:t>
            </w:r>
          </w:p>
        </w:tc>
      </w:tr>
      <w:tr w14:paraId="36DC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78B4178B">
            <w:pPr>
              <w:widowControl/>
              <w:spacing w:line="24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noWrap/>
            <w:vAlign w:val="center"/>
          </w:tcPr>
          <w:p w14:paraId="78639C16">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1584FA2">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094B5518">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1162A90D">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6FC9EAA4">
            <w:pPr>
              <w:widowControl/>
              <w:jc w:val="center"/>
              <w:rPr>
                <w:rFonts w:ascii="宋体" w:hAnsi="宋体" w:cs="宋体"/>
                <w:kern w:val="0"/>
                <w:sz w:val="18"/>
                <w:szCs w:val="18"/>
              </w:rPr>
            </w:pPr>
            <w:r>
              <w:rPr>
                <w:rFonts w:hint="eastAsia" w:ascii="宋体" w:hAnsi="宋体" w:cs="宋体"/>
                <w:kern w:val="0"/>
                <w:sz w:val="18"/>
                <w:szCs w:val="18"/>
              </w:rPr>
              <w:t xml:space="preserve"> 20≤X＜300</w:t>
            </w:r>
          </w:p>
        </w:tc>
        <w:tc>
          <w:tcPr>
            <w:tcW w:w="992" w:type="dxa"/>
            <w:noWrap/>
            <w:vAlign w:val="center"/>
          </w:tcPr>
          <w:p w14:paraId="49E291BC">
            <w:pPr>
              <w:widowControl/>
              <w:jc w:val="center"/>
              <w:rPr>
                <w:rFonts w:ascii="宋体" w:hAnsi="宋体" w:cs="宋体"/>
                <w:kern w:val="0"/>
                <w:sz w:val="18"/>
                <w:szCs w:val="18"/>
              </w:rPr>
            </w:pPr>
            <w:r>
              <w:rPr>
                <w:rFonts w:hint="eastAsia" w:ascii="宋体" w:hAnsi="宋体" w:cs="宋体"/>
                <w:kern w:val="0"/>
                <w:sz w:val="18"/>
                <w:szCs w:val="18"/>
              </w:rPr>
              <w:t>X＜20</w:t>
            </w:r>
          </w:p>
        </w:tc>
      </w:tr>
      <w:tr w14:paraId="5764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495EB7F6">
            <w:pPr>
              <w:widowControl/>
              <w:jc w:val="left"/>
              <w:rPr>
                <w:rFonts w:ascii="宋体" w:hAnsi="宋体" w:cs="宋体"/>
                <w:kern w:val="0"/>
                <w:sz w:val="18"/>
                <w:szCs w:val="18"/>
              </w:rPr>
            </w:pPr>
          </w:p>
        </w:tc>
        <w:tc>
          <w:tcPr>
            <w:tcW w:w="1369" w:type="dxa"/>
            <w:noWrap/>
            <w:vAlign w:val="center"/>
          </w:tcPr>
          <w:p w14:paraId="68657EB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37B291F8">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03CEA15F">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ign w:val="center"/>
          </w:tcPr>
          <w:p w14:paraId="7D118E0E">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426" w:type="dxa"/>
            <w:noWrap/>
            <w:vAlign w:val="center"/>
          </w:tcPr>
          <w:p w14:paraId="3EAEBF4C">
            <w:pPr>
              <w:widowControl/>
              <w:jc w:val="center"/>
              <w:rPr>
                <w:rFonts w:ascii="宋体" w:hAnsi="宋体" w:cs="宋体"/>
                <w:kern w:val="0"/>
                <w:sz w:val="18"/>
                <w:szCs w:val="18"/>
              </w:rPr>
            </w:pPr>
            <w:r>
              <w:rPr>
                <w:rFonts w:hint="eastAsia" w:ascii="宋体" w:hAnsi="宋体" w:cs="宋体"/>
                <w:kern w:val="0"/>
                <w:sz w:val="18"/>
                <w:szCs w:val="18"/>
              </w:rPr>
              <w:t xml:space="preserve"> 200≤Y＜3000</w:t>
            </w:r>
          </w:p>
        </w:tc>
        <w:tc>
          <w:tcPr>
            <w:tcW w:w="992" w:type="dxa"/>
            <w:noWrap/>
            <w:vAlign w:val="center"/>
          </w:tcPr>
          <w:p w14:paraId="4C9CA990">
            <w:pPr>
              <w:widowControl/>
              <w:jc w:val="center"/>
              <w:rPr>
                <w:rFonts w:ascii="宋体" w:hAnsi="宋体" w:cs="宋体"/>
                <w:kern w:val="0"/>
                <w:sz w:val="18"/>
                <w:szCs w:val="18"/>
              </w:rPr>
            </w:pPr>
            <w:r>
              <w:rPr>
                <w:rFonts w:hint="eastAsia" w:ascii="宋体" w:hAnsi="宋体" w:cs="宋体"/>
                <w:kern w:val="0"/>
                <w:sz w:val="18"/>
                <w:szCs w:val="18"/>
              </w:rPr>
              <w:t>Y＜200</w:t>
            </w:r>
          </w:p>
        </w:tc>
      </w:tr>
      <w:tr w14:paraId="0B06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547E4B68">
            <w:pPr>
              <w:widowControl/>
              <w:spacing w:line="24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noWrap/>
            <w:vAlign w:val="center"/>
          </w:tcPr>
          <w:p w14:paraId="63CFEB2C">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5A50A293">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43FE2851">
            <w:pPr>
              <w:widowControl/>
              <w:jc w:val="center"/>
              <w:rPr>
                <w:rFonts w:ascii="宋体" w:hAnsi="宋体" w:cs="宋体"/>
                <w:kern w:val="0"/>
                <w:sz w:val="18"/>
                <w:szCs w:val="18"/>
              </w:rPr>
            </w:pPr>
            <w:r>
              <w:rPr>
                <w:rFonts w:hint="eastAsia" w:ascii="宋体" w:hAnsi="宋体" w:cs="宋体"/>
                <w:kern w:val="0"/>
                <w:sz w:val="18"/>
                <w:szCs w:val="18"/>
              </w:rPr>
              <w:t>X≥200</w:t>
            </w:r>
          </w:p>
        </w:tc>
        <w:tc>
          <w:tcPr>
            <w:tcW w:w="1701" w:type="dxa"/>
            <w:noWrap/>
            <w:vAlign w:val="center"/>
          </w:tcPr>
          <w:p w14:paraId="7E0DD796">
            <w:pPr>
              <w:widowControl/>
              <w:ind w:left="-14"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noWrap/>
            <w:vAlign w:val="center"/>
          </w:tcPr>
          <w:p w14:paraId="017FA3A3">
            <w:pPr>
              <w:widowControl/>
              <w:jc w:val="center"/>
              <w:rPr>
                <w:rFonts w:ascii="宋体" w:hAnsi="宋体" w:cs="宋体"/>
                <w:kern w:val="0"/>
                <w:sz w:val="18"/>
                <w:szCs w:val="18"/>
              </w:rPr>
            </w:pPr>
            <w:r>
              <w:rPr>
                <w:rFonts w:hint="eastAsia" w:ascii="宋体" w:hAnsi="宋体" w:cs="宋体"/>
                <w:kern w:val="0"/>
                <w:sz w:val="18"/>
                <w:szCs w:val="18"/>
              </w:rPr>
              <w:t xml:space="preserve"> 20≤X＜100</w:t>
            </w:r>
          </w:p>
        </w:tc>
        <w:tc>
          <w:tcPr>
            <w:tcW w:w="992" w:type="dxa"/>
            <w:noWrap/>
            <w:vAlign w:val="center"/>
          </w:tcPr>
          <w:p w14:paraId="010746E5">
            <w:pPr>
              <w:widowControl/>
              <w:jc w:val="center"/>
              <w:rPr>
                <w:rFonts w:ascii="宋体" w:hAnsi="宋体" w:cs="宋体"/>
                <w:kern w:val="0"/>
                <w:sz w:val="18"/>
                <w:szCs w:val="18"/>
              </w:rPr>
            </w:pPr>
            <w:r>
              <w:rPr>
                <w:rFonts w:hint="eastAsia" w:ascii="宋体" w:hAnsi="宋体" w:cs="宋体"/>
                <w:kern w:val="0"/>
                <w:sz w:val="18"/>
                <w:szCs w:val="18"/>
              </w:rPr>
              <w:t>X＜20</w:t>
            </w:r>
          </w:p>
        </w:tc>
      </w:tr>
      <w:tr w14:paraId="733F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7FD8AF3A">
            <w:pPr>
              <w:widowControl/>
              <w:jc w:val="left"/>
              <w:rPr>
                <w:rFonts w:ascii="宋体" w:hAnsi="宋体" w:cs="宋体"/>
                <w:kern w:val="0"/>
                <w:sz w:val="18"/>
                <w:szCs w:val="18"/>
              </w:rPr>
            </w:pPr>
          </w:p>
        </w:tc>
        <w:tc>
          <w:tcPr>
            <w:tcW w:w="1369" w:type="dxa"/>
            <w:noWrap/>
            <w:vAlign w:val="center"/>
          </w:tcPr>
          <w:p w14:paraId="06ACAD20">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1D44E9B0">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7445E141">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ign w:val="center"/>
          </w:tcPr>
          <w:p w14:paraId="7F84584A">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426" w:type="dxa"/>
            <w:noWrap/>
            <w:vAlign w:val="center"/>
          </w:tcPr>
          <w:p w14:paraId="5D74A855">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noWrap/>
            <w:vAlign w:val="center"/>
          </w:tcPr>
          <w:p w14:paraId="062A83EA">
            <w:pPr>
              <w:widowControl/>
              <w:jc w:val="center"/>
              <w:rPr>
                <w:rFonts w:ascii="宋体" w:hAnsi="宋体" w:cs="宋体"/>
                <w:kern w:val="0"/>
                <w:sz w:val="18"/>
                <w:szCs w:val="18"/>
              </w:rPr>
            </w:pPr>
            <w:r>
              <w:rPr>
                <w:rFonts w:hint="eastAsia" w:ascii="宋体" w:hAnsi="宋体" w:cs="宋体"/>
                <w:kern w:val="0"/>
                <w:sz w:val="18"/>
                <w:szCs w:val="18"/>
              </w:rPr>
              <w:t>Y＜100</w:t>
            </w:r>
          </w:p>
        </w:tc>
      </w:tr>
      <w:tr w14:paraId="48B2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6C8F81FF">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noWrap/>
            <w:vAlign w:val="center"/>
          </w:tcPr>
          <w:p w14:paraId="1EFBB345">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74941769">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75FD9A3A">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3AFDDFD9">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05EFFE4E">
            <w:pPr>
              <w:widowControl/>
              <w:jc w:val="center"/>
              <w:rPr>
                <w:rFonts w:ascii="宋体" w:hAnsi="宋体" w:cs="宋体"/>
                <w:kern w:val="0"/>
                <w:sz w:val="18"/>
                <w:szCs w:val="18"/>
              </w:rPr>
            </w:pPr>
            <w:r>
              <w:rPr>
                <w:rFonts w:hint="eastAsia" w:ascii="宋体" w:hAnsi="宋体" w:cs="宋体"/>
                <w:kern w:val="0"/>
                <w:sz w:val="18"/>
                <w:szCs w:val="18"/>
              </w:rPr>
              <w:t xml:space="preserve"> 20≤X＜300</w:t>
            </w:r>
          </w:p>
        </w:tc>
        <w:tc>
          <w:tcPr>
            <w:tcW w:w="992" w:type="dxa"/>
            <w:noWrap/>
            <w:vAlign w:val="center"/>
          </w:tcPr>
          <w:p w14:paraId="5FB42C80">
            <w:pPr>
              <w:widowControl/>
              <w:jc w:val="center"/>
              <w:rPr>
                <w:rFonts w:ascii="宋体" w:hAnsi="宋体" w:cs="宋体"/>
                <w:kern w:val="0"/>
                <w:sz w:val="18"/>
                <w:szCs w:val="18"/>
              </w:rPr>
            </w:pPr>
            <w:r>
              <w:rPr>
                <w:rFonts w:hint="eastAsia" w:ascii="宋体" w:hAnsi="宋体" w:cs="宋体"/>
                <w:kern w:val="0"/>
                <w:sz w:val="18"/>
                <w:szCs w:val="18"/>
              </w:rPr>
              <w:t>X＜20</w:t>
            </w:r>
          </w:p>
        </w:tc>
      </w:tr>
      <w:tr w14:paraId="259C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217877ED">
            <w:pPr>
              <w:widowControl/>
              <w:jc w:val="left"/>
              <w:rPr>
                <w:rFonts w:ascii="宋体" w:hAnsi="宋体" w:cs="宋体"/>
                <w:kern w:val="0"/>
                <w:sz w:val="18"/>
                <w:szCs w:val="18"/>
              </w:rPr>
            </w:pPr>
          </w:p>
        </w:tc>
        <w:tc>
          <w:tcPr>
            <w:tcW w:w="1369" w:type="dxa"/>
            <w:noWrap/>
            <w:vAlign w:val="center"/>
          </w:tcPr>
          <w:p w14:paraId="291BF878">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3D51AACD">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5BF76E8B">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noWrap/>
            <w:vAlign w:val="center"/>
          </w:tcPr>
          <w:p w14:paraId="0EA98565">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426" w:type="dxa"/>
            <w:noWrap/>
            <w:vAlign w:val="center"/>
          </w:tcPr>
          <w:p w14:paraId="4D8D7458">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noWrap/>
            <w:vAlign w:val="center"/>
          </w:tcPr>
          <w:p w14:paraId="72B60E13">
            <w:pPr>
              <w:widowControl/>
              <w:jc w:val="center"/>
              <w:rPr>
                <w:rFonts w:ascii="宋体" w:hAnsi="宋体" w:cs="宋体"/>
                <w:kern w:val="0"/>
                <w:sz w:val="18"/>
                <w:szCs w:val="18"/>
              </w:rPr>
            </w:pPr>
            <w:r>
              <w:rPr>
                <w:rFonts w:hint="eastAsia" w:ascii="宋体" w:hAnsi="宋体" w:cs="宋体"/>
                <w:kern w:val="0"/>
                <w:sz w:val="18"/>
                <w:szCs w:val="18"/>
              </w:rPr>
              <w:t>Y＜100</w:t>
            </w:r>
          </w:p>
        </w:tc>
      </w:tr>
      <w:tr w14:paraId="584E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5596EFBA">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noWrap/>
            <w:vAlign w:val="center"/>
          </w:tcPr>
          <w:p w14:paraId="622680A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B79200B">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15CCA7D4">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5CC84EDA">
            <w:pPr>
              <w:widowControl/>
              <w:ind w:left="-14"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ign w:val="center"/>
          </w:tcPr>
          <w:p w14:paraId="07D39D58">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noWrap/>
            <w:vAlign w:val="center"/>
          </w:tcPr>
          <w:p w14:paraId="26D3CEAE">
            <w:pPr>
              <w:widowControl/>
              <w:jc w:val="center"/>
              <w:rPr>
                <w:rFonts w:ascii="宋体" w:hAnsi="宋体" w:cs="宋体"/>
                <w:kern w:val="0"/>
                <w:sz w:val="18"/>
                <w:szCs w:val="18"/>
              </w:rPr>
            </w:pPr>
            <w:r>
              <w:rPr>
                <w:rFonts w:hint="eastAsia" w:ascii="宋体" w:hAnsi="宋体" w:cs="宋体"/>
                <w:kern w:val="0"/>
                <w:sz w:val="18"/>
                <w:szCs w:val="18"/>
              </w:rPr>
              <w:t>X＜10</w:t>
            </w:r>
          </w:p>
        </w:tc>
      </w:tr>
      <w:tr w14:paraId="2746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308C073E">
            <w:pPr>
              <w:widowControl/>
              <w:jc w:val="left"/>
              <w:rPr>
                <w:rFonts w:ascii="宋体" w:hAnsi="宋体" w:cs="宋体"/>
                <w:kern w:val="0"/>
                <w:sz w:val="18"/>
                <w:szCs w:val="18"/>
              </w:rPr>
            </w:pPr>
          </w:p>
        </w:tc>
        <w:tc>
          <w:tcPr>
            <w:tcW w:w="1369" w:type="dxa"/>
            <w:noWrap/>
            <w:vAlign w:val="center"/>
          </w:tcPr>
          <w:p w14:paraId="28291A3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4037AAE8">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63F64E48">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ign w:val="center"/>
          </w:tcPr>
          <w:p w14:paraId="072AF689">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426" w:type="dxa"/>
            <w:noWrap/>
            <w:vAlign w:val="center"/>
          </w:tcPr>
          <w:p w14:paraId="61A28184">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noWrap/>
            <w:vAlign w:val="center"/>
          </w:tcPr>
          <w:p w14:paraId="3EFBCDFC">
            <w:pPr>
              <w:widowControl/>
              <w:jc w:val="center"/>
              <w:rPr>
                <w:rFonts w:ascii="宋体" w:hAnsi="宋体" w:cs="宋体"/>
                <w:kern w:val="0"/>
                <w:sz w:val="18"/>
                <w:szCs w:val="18"/>
              </w:rPr>
            </w:pPr>
            <w:r>
              <w:rPr>
                <w:rFonts w:hint="eastAsia" w:ascii="宋体" w:hAnsi="宋体" w:cs="宋体"/>
                <w:kern w:val="0"/>
                <w:sz w:val="18"/>
                <w:szCs w:val="18"/>
              </w:rPr>
              <w:t>Y＜100</w:t>
            </w:r>
          </w:p>
        </w:tc>
      </w:tr>
      <w:tr w14:paraId="1526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210DA6F8">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noWrap/>
            <w:vAlign w:val="center"/>
          </w:tcPr>
          <w:p w14:paraId="1E7A4D7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7BF9C250">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7685C4F0">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1E476D9A">
            <w:pPr>
              <w:widowControl/>
              <w:ind w:left="-14"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ign w:val="center"/>
          </w:tcPr>
          <w:p w14:paraId="58AAAC59">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noWrap/>
            <w:vAlign w:val="center"/>
          </w:tcPr>
          <w:p w14:paraId="5C59BC3C">
            <w:pPr>
              <w:widowControl/>
              <w:jc w:val="center"/>
              <w:rPr>
                <w:rFonts w:ascii="宋体" w:hAnsi="宋体" w:cs="宋体"/>
                <w:kern w:val="0"/>
                <w:sz w:val="18"/>
                <w:szCs w:val="18"/>
              </w:rPr>
            </w:pPr>
            <w:r>
              <w:rPr>
                <w:rFonts w:hint="eastAsia" w:ascii="宋体" w:hAnsi="宋体" w:cs="宋体"/>
                <w:kern w:val="0"/>
                <w:sz w:val="18"/>
                <w:szCs w:val="18"/>
              </w:rPr>
              <w:t>X＜10</w:t>
            </w:r>
          </w:p>
        </w:tc>
      </w:tr>
      <w:tr w14:paraId="4FDB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7814B231">
            <w:pPr>
              <w:widowControl/>
              <w:jc w:val="left"/>
              <w:rPr>
                <w:rFonts w:ascii="宋体" w:hAnsi="宋体" w:cs="宋体"/>
                <w:kern w:val="0"/>
                <w:sz w:val="18"/>
                <w:szCs w:val="18"/>
              </w:rPr>
            </w:pPr>
          </w:p>
        </w:tc>
        <w:tc>
          <w:tcPr>
            <w:tcW w:w="1369" w:type="dxa"/>
            <w:noWrap/>
            <w:vAlign w:val="center"/>
          </w:tcPr>
          <w:p w14:paraId="0352E484">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54B1EB1F">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39C17B1F">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ign w:val="center"/>
          </w:tcPr>
          <w:p w14:paraId="1ED5EACB">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426" w:type="dxa"/>
            <w:noWrap/>
            <w:vAlign w:val="center"/>
          </w:tcPr>
          <w:p w14:paraId="5120C8D3">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noWrap/>
            <w:vAlign w:val="center"/>
          </w:tcPr>
          <w:p w14:paraId="724AFA2A">
            <w:pPr>
              <w:widowControl/>
              <w:jc w:val="center"/>
              <w:rPr>
                <w:rFonts w:ascii="宋体" w:hAnsi="宋体" w:cs="宋体"/>
                <w:kern w:val="0"/>
                <w:sz w:val="18"/>
                <w:szCs w:val="18"/>
              </w:rPr>
            </w:pPr>
            <w:r>
              <w:rPr>
                <w:rFonts w:hint="eastAsia" w:ascii="宋体" w:hAnsi="宋体" w:cs="宋体"/>
                <w:kern w:val="0"/>
                <w:sz w:val="18"/>
                <w:szCs w:val="18"/>
              </w:rPr>
              <w:t>Y＜100</w:t>
            </w:r>
          </w:p>
        </w:tc>
      </w:tr>
      <w:tr w14:paraId="7309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2F8A5B8A">
            <w:pPr>
              <w:widowControl/>
              <w:spacing w:line="24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noWrap/>
            <w:vAlign w:val="center"/>
          </w:tcPr>
          <w:p w14:paraId="1B084547">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3DCF2A28">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147A08BB">
            <w:pPr>
              <w:widowControl/>
              <w:jc w:val="center"/>
              <w:rPr>
                <w:rFonts w:ascii="宋体" w:hAnsi="宋体" w:cs="宋体"/>
                <w:kern w:val="0"/>
                <w:sz w:val="18"/>
                <w:szCs w:val="18"/>
              </w:rPr>
            </w:pPr>
            <w:r>
              <w:rPr>
                <w:rFonts w:hint="eastAsia" w:ascii="宋体" w:hAnsi="宋体" w:cs="宋体"/>
                <w:kern w:val="0"/>
                <w:sz w:val="18"/>
                <w:szCs w:val="18"/>
              </w:rPr>
              <w:t>X≥2000</w:t>
            </w:r>
          </w:p>
        </w:tc>
        <w:tc>
          <w:tcPr>
            <w:tcW w:w="1701" w:type="dxa"/>
            <w:noWrap/>
            <w:vAlign w:val="center"/>
          </w:tcPr>
          <w:p w14:paraId="59DAF824">
            <w:pPr>
              <w:widowControl/>
              <w:jc w:val="center"/>
              <w:rPr>
                <w:rFonts w:ascii="宋体" w:hAnsi="宋体" w:cs="宋体"/>
                <w:kern w:val="0"/>
                <w:sz w:val="18"/>
                <w:szCs w:val="18"/>
              </w:rPr>
            </w:pPr>
            <w:r>
              <w:rPr>
                <w:rFonts w:hint="eastAsia" w:ascii="宋体" w:hAnsi="宋体" w:cs="宋体"/>
                <w:kern w:val="0"/>
                <w:sz w:val="18"/>
                <w:szCs w:val="18"/>
              </w:rPr>
              <w:t>100≤X＜2000</w:t>
            </w:r>
          </w:p>
        </w:tc>
        <w:tc>
          <w:tcPr>
            <w:tcW w:w="1426" w:type="dxa"/>
            <w:noWrap/>
            <w:vAlign w:val="center"/>
          </w:tcPr>
          <w:p w14:paraId="7C9EDCC8">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noWrap/>
            <w:vAlign w:val="center"/>
          </w:tcPr>
          <w:p w14:paraId="7C79E09A">
            <w:pPr>
              <w:widowControl/>
              <w:jc w:val="center"/>
              <w:rPr>
                <w:rFonts w:ascii="宋体" w:hAnsi="宋体" w:cs="宋体"/>
                <w:kern w:val="0"/>
                <w:sz w:val="18"/>
                <w:szCs w:val="18"/>
              </w:rPr>
            </w:pPr>
            <w:r>
              <w:rPr>
                <w:rFonts w:hint="eastAsia" w:ascii="宋体" w:hAnsi="宋体" w:cs="宋体"/>
                <w:kern w:val="0"/>
                <w:sz w:val="18"/>
                <w:szCs w:val="18"/>
              </w:rPr>
              <w:t>X＜10</w:t>
            </w:r>
          </w:p>
        </w:tc>
      </w:tr>
      <w:tr w14:paraId="17B0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0E0BA399">
            <w:pPr>
              <w:widowControl/>
              <w:jc w:val="left"/>
              <w:rPr>
                <w:rFonts w:ascii="宋体" w:hAnsi="宋体" w:cs="宋体"/>
                <w:kern w:val="0"/>
                <w:sz w:val="18"/>
                <w:szCs w:val="18"/>
              </w:rPr>
            </w:pPr>
          </w:p>
        </w:tc>
        <w:tc>
          <w:tcPr>
            <w:tcW w:w="1369" w:type="dxa"/>
            <w:noWrap/>
            <w:vAlign w:val="center"/>
          </w:tcPr>
          <w:p w14:paraId="0EB6DDE4">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7817F9CB">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6C009B46">
            <w:pPr>
              <w:widowControl/>
              <w:jc w:val="center"/>
              <w:rPr>
                <w:rFonts w:ascii="宋体" w:hAnsi="宋体" w:cs="宋体"/>
                <w:kern w:val="0"/>
                <w:sz w:val="18"/>
                <w:szCs w:val="18"/>
              </w:rPr>
            </w:pPr>
            <w:r>
              <w:rPr>
                <w:rFonts w:hint="eastAsia" w:ascii="宋体" w:hAnsi="宋体" w:cs="宋体"/>
                <w:kern w:val="0"/>
                <w:sz w:val="18"/>
                <w:szCs w:val="18"/>
              </w:rPr>
              <w:t>Y≥100000</w:t>
            </w:r>
          </w:p>
        </w:tc>
        <w:tc>
          <w:tcPr>
            <w:tcW w:w="1701" w:type="dxa"/>
            <w:noWrap/>
            <w:vAlign w:val="center"/>
          </w:tcPr>
          <w:p w14:paraId="09A00748">
            <w:pPr>
              <w:widowControl/>
              <w:jc w:val="center"/>
              <w:rPr>
                <w:rFonts w:ascii="宋体" w:hAnsi="宋体" w:cs="宋体"/>
                <w:kern w:val="0"/>
                <w:sz w:val="18"/>
                <w:szCs w:val="18"/>
              </w:rPr>
            </w:pPr>
            <w:r>
              <w:rPr>
                <w:rFonts w:hint="eastAsia" w:ascii="宋体" w:hAnsi="宋体" w:cs="宋体"/>
                <w:kern w:val="0"/>
                <w:sz w:val="18"/>
                <w:szCs w:val="18"/>
              </w:rPr>
              <w:t xml:space="preserve"> 1000≤Y＜100000</w:t>
            </w:r>
          </w:p>
        </w:tc>
        <w:tc>
          <w:tcPr>
            <w:tcW w:w="1426" w:type="dxa"/>
            <w:noWrap/>
            <w:vAlign w:val="center"/>
          </w:tcPr>
          <w:p w14:paraId="64E1EC5C">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noWrap/>
            <w:vAlign w:val="center"/>
          </w:tcPr>
          <w:p w14:paraId="227C0B65">
            <w:pPr>
              <w:widowControl/>
              <w:jc w:val="center"/>
              <w:rPr>
                <w:rFonts w:ascii="宋体" w:hAnsi="宋体" w:cs="宋体"/>
                <w:kern w:val="0"/>
                <w:sz w:val="18"/>
                <w:szCs w:val="18"/>
              </w:rPr>
            </w:pPr>
            <w:r>
              <w:rPr>
                <w:rFonts w:hint="eastAsia" w:ascii="宋体" w:hAnsi="宋体" w:cs="宋体"/>
                <w:kern w:val="0"/>
                <w:sz w:val="18"/>
                <w:szCs w:val="18"/>
              </w:rPr>
              <w:t>Y＜100</w:t>
            </w:r>
          </w:p>
        </w:tc>
      </w:tr>
      <w:tr w14:paraId="6BB7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5DF0B192">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noWrap/>
            <w:vAlign w:val="center"/>
          </w:tcPr>
          <w:p w14:paraId="4920AAA6">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6E654074">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7310D6B7">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6499D0A9">
            <w:pPr>
              <w:widowControl/>
              <w:ind w:left="-14"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ign w:val="center"/>
          </w:tcPr>
          <w:p w14:paraId="374E10D5">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noWrap/>
            <w:vAlign w:val="center"/>
          </w:tcPr>
          <w:p w14:paraId="4A306AD7">
            <w:pPr>
              <w:widowControl/>
              <w:jc w:val="center"/>
              <w:rPr>
                <w:rFonts w:ascii="宋体" w:hAnsi="宋体" w:cs="宋体"/>
                <w:kern w:val="0"/>
                <w:sz w:val="18"/>
                <w:szCs w:val="18"/>
              </w:rPr>
            </w:pPr>
            <w:r>
              <w:rPr>
                <w:rFonts w:hint="eastAsia" w:ascii="宋体" w:hAnsi="宋体" w:cs="宋体"/>
                <w:kern w:val="0"/>
                <w:sz w:val="18"/>
                <w:szCs w:val="18"/>
              </w:rPr>
              <w:t>X＜10</w:t>
            </w:r>
          </w:p>
        </w:tc>
      </w:tr>
      <w:tr w14:paraId="0D14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1C3B9050">
            <w:pPr>
              <w:widowControl/>
              <w:jc w:val="left"/>
              <w:rPr>
                <w:rFonts w:ascii="宋体" w:hAnsi="宋体" w:cs="宋体"/>
                <w:spacing w:val="-12"/>
                <w:kern w:val="0"/>
                <w:sz w:val="18"/>
                <w:szCs w:val="18"/>
              </w:rPr>
            </w:pPr>
          </w:p>
        </w:tc>
        <w:tc>
          <w:tcPr>
            <w:tcW w:w="1369" w:type="dxa"/>
            <w:noWrap/>
            <w:vAlign w:val="center"/>
          </w:tcPr>
          <w:p w14:paraId="3B721444">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0055144F">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7A2D0BDC">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noWrap/>
            <w:vAlign w:val="center"/>
          </w:tcPr>
          <w:p w14:paraId="3F02E1D9">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426" w:type="dxa"/>
            <w:noWrap/>
            <w:vAlign w:val="center"/>
          </w:tcPr>
          <w:p w14:paraId="01273E0F">
            <w:pPr>
              <w:widowControl/>
              <w:jc w:val="center"/>
              <w:rPr>
                <w:rFonts w:ascii="宋体" w:hAnsi="宋体" w:cs="宋体"/>
                <w:kern w:val="0"/>
                <w:sz w:val="18"/>
                <w:szCs w:val="18"/>
              </w:rPr>
            </w:pPr>
            <w:r>
              <w:rPr>
                <w:rFonts w:hint="eastAsia" w:ascii="宋体" w:hAnsi="宋体" w:cs="宋体"/>
                <w:kern w:val="0"/>
                <w:sz w:val="18"/>
                <w:szCs w:val="18"/>
              </w:rPr>
              <w:t xml:space="preserve">  50≤Y＜1000</w:t>
            </w:r>
          </w:p>
        </w:tc>
        <w:tc>
          <w:tcPr>
            <w:tcW w:w="992" w:type="dxa"/>
            <w:noWrap/>
            <w:vAlign w:val="center"/>
          </w:tcPr>
          <w:p w14:paraId="760C6F41">
            <w:pPr>
              <w:widowControl/>
              <w:jc w:val="center"/>
              <w:rPr>
                <w:rFonts w:ascii="宋体" w:hAnsi="宋体" w:cs="宋体"/>
                <w:kern w:val="0"/>
                <w:sz w:val="18"/>
                <w:szCs w:val="18"/>
              </w:rPr>
            </w:pPr>
            <w:r>
              <w:rPr>
                <w:rFonts w:hint="eastAsia" w:ascii="宋体" w:hAnsi="宋体" w:cs="宋体"/>
                <w:kern w:val="0"/>
                <w:sz w:val="18"/>
                <w:szCs w:val="18"/>
              </w:rPr>
              <w:t>Y＜50</w:t>
            </w:r>
          </w:p>
        </w:tc>
      </w:tr>
      <w:tr w14:paraId="7A7F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3AD642E1">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noWrap/>
            <w:vAlign w:val="center"/>
          </w:tcPr>
          <w:p w14:paraId="1FD18EE6">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21400889">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7C86539C">
            <w:pPr>
              <w:widowControl/>
              <w:jc w:val="center"/>
              <w:rPr>
                <w:rFonts w:ascii="宋体" w:hAnsi="宋体" w:cs="宋体"/>
                <w:kern w:val="0"/>
                <w:sz w:val="18"/>
                <w:szCs w:val="18"/>
              </w:rPr>
            </w:pPr>
            <w:r>
              <w:rPr>
                <w:rFonts w:hint="eastAsia" w:ascii="宋体" w:hAnsi="宋体" w:cs="宋体"/>
                <w:kern w:val="0"/>
                <w:sz w:val="18"/>
                <w:szCs w:val="18"/>
              </w:rPr>
              <w:t>Y≥200000</w:t>
            </w:r>
          </w:p>
        </w:tc>
        <w:tc>
          <w:tcPr>
            <w:tcW w:w="1701" w:type="dxa"/>
            <w:noWrap/>
            <w:vAlign w:val="center"/>
          </w:tcPr>
          <w:p w14:paraId="5495A83D">
            <w:pPr>
              <w:widowControl/>
              <w:jc w:val="center"/>
              <w:rPr>
                <w:rFonts w:ascii="宋体" w:hAnsi="宋体" w:cs="宋体"/>
                <w:kern w:val="0"/>
                <w:sz w:val="18"/>
                <w:szCs w:val="18"/>
              </w:rPr>
            </w:pPr>
            <w:r>
              <w:rPr>
                <w:rFonts w:hint="eastAsia" w:ascii="宋体" w:hAnsi="宋体" w:cs="宋体"/>
                <w:kern w:val="0"/>
                <w:sz w:val="18"/>
                <w:szCs w:val="18"/>
              </w:rPr>
              <w:t xml:space="preserve"> 1000≤Y＜200000</w:t>
            </w:r>
          </w:p>
        </w:tc>
        <w:tc>
          <w:tcPr>
            <w:tcW w:w="1426" w:type="dxa"/>
            <w:noWrap/>
            <w:vAlign w:val="center"/>
          </w:tcPr>
          <w:p w14:paraId="26C6F298">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noWrap/>
            <w:vAlign w:val="center"/>
          </w:tcPr>
          <w:p w14:paraId="41B3D268">
            <w:pPr>
              <w:widowControl/>
              <w:jc w:val="center"/>
              <w:rPr>
                <w:rFonts w:ascii="宋体" w:hAnsi="宋体" w:cs="宋体"/>
                <w:kern w:val="0"/>
                <w:sz w:val="18"/>
                <w:szCs w:val="18"/>
              </w:rPr>
            </w:pPr>
            <w:r>
              <w:rPr>
                <w:rFonts w:hint="eastAsia" w:ascii="宋体" w:hAnsi="宋体" w:cs="宋体"/>
                <w:kern w:val="0"/>
                <w:sz w:val="18"/>
                <w:szCs w:val="18"/>
              </w:rPr>
              <w:t>Y＜100</w:t>
            </w:r>
          </w:p>
        </w:tc>
      </w:tr>
      <w:tr w14:paraId="4145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232BBD8F">
            <w:pPr>
              <w:widowControl/>
              <w:jc w:val="left"/>
              <w:rPr>
                <w:rFonts w:ascii="宋体" w:hAnsi="宋体" w:cs="宋体"/>
                <w:kern w:val="0"/>
                <w:sz w:val="18"/>
                <w:szCs w:val="18"/>
              </w:rPr>
            </w:pPr>
          </w:p>
        </w:tc>
        <w:tc>
          <w:tcPr>
            <w:tcW w:w="1369" w:type="dxa"/>
            <w:noWrap/>
            <w:vAlign w:val="center"/>
          </w:tcPr>
          <w:p w14:paraId="515BA497">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ign w:val="center"/>
          </w:tcPr>
          <w:p w14:paraId="63A06DD8">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008653EF">
            <w:pPr>
              <w:widowControl/>
              <w:jc w:val="center"/>
              <w:rPr>
                <w:rFonts w:ascii="宋体" w:hAnsi="宋体" w:cs="宋体"/>
                <w:kern w:val="0"/>
                <w:sz w:val="18"/>
                <w:szCs w:val="18"/>
              </w:rPr>
            </w:pPr>
            <w:r>
              <w:rPr>
                <w:rFonts w:hint="eastAsia" w:ascii="宋体" w:hAnsi="宋体" w:cs="宋体"/>
                <w:kern w:val="0"/>
                <w:sz w:val="18"/>
                <w:szCs w:val="18"/>
              </w:rPr>
              <w:t>Z≥10000</w:t>
            </w:r>
          </w:p>
        </w:tc>
        <w:tc>
          <w:tcPr>
            <w:tcW w:w="1701" w:type="dxa"/>
            <w:noWrap/>
            <w:vAlign w:val="center"/>
          </w:tcPr>
          <w:p w14:paraId="4E2B990D">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426" w:type="dxa"/>
            <w:noWrap/>
            <w:vAlign w:val="center"/>
          </w:tcPr>
          <w:p w14:paraId="7E9345A7">
            <w:pPr>
              <w:widowControl/>
              <w:jc w:val="center"/>
              <w:rPr>
                <w:rFonts w:ascii="宋体" w:hAnsi="宋体" w:cs="宋体"/>
                <w:kern w:val="0"/>
                <w:sz w:val="18"/>
                <w:szCs w:val="18"/>
              </w:rPr>
            </w:pPr>
            <w:r>
              <w:rPr>
                <w:rFonts w:hint="eastAsia" w:ascii="宋体" w:hAnsi="宋体" w:cs="宋体"/>
                <w:kern w:val="0"/>
                <w:sz w:val="18"/>
                <w:szCs w:val="18"/>
              </w:rPr>
              <w:t xml:space="preserve">2000≤Z＜5000   </w:t>
            </w:r>
          </w:p>
        </w:tc>
        <w:tc>
          <w:tcPr>
            <w:tcW w:w="992" w:type="dxa"/>
            <w:noWrap/>
            <w:vAlign w:val="center"/>
          </w:tcPr>
          <w:p w14:paraId="3D292F35">
            <w:pPr>
              <w:widowControl/>
              <w:jc w:val="center"/>
              <w:rPr>
                <w:rFonts w:ascii="宋体" w:hAnsi="宋体" w:cs="宋体"/>
                <w:kern w:val="0"/>
                <w:sz w:val="18"/>
                <w:szCs w:val="18"/>
              </w:rPr>
            </w:pPr>
            <w:r>
              <w:rPr>
                <w:rFonts w:hint="eastAsia" w:ascii="宋体" w:hAnsi="宋体" w:cs="宋体"/>
                <w:kern w:val="0"/>
                <w:sz w:val="18"/>
                <w:szCs w:val="18"/>
              </w:rPr>
              <w:t>Z＜2000</w:t>
            </w:r>
          </w:p>
        </w:tc>
      </w:tr>
      <w:tr w14:paraId="3737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6AA1BFDE">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noWrap/>
            <w:vAlign w:val="center"/>
          </w:tcPr>
          <w:p w14:paraId="0A526E5F">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24BA3460">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7BA23AD7">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7A206DF2">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768B3771">
            <w:pPr>
              <w:widowControl/>
              <w:jc w:val="center"/>
              <w:rPr>
                <w:rFonts w:ascii="宋体" w:hAnsi="宋体" w:cs="宋体"/>
                <w:kern w:val="0"/>
                <w:sz w:val="18"/>
                <w:szCs w:val="18"/>
              </w:rPr>
            </w:pPr>
            <w:r>
              <w:rPr>
                <w:rFonts w:hint="eastAsia" w:ascii="宋体" w:hAnsi="宋体" w:cs="宋体"/>
                <w:kern w:val="0"/>
                <w:sz w:val="18"/>
                <w:szCs w:val="18"/>
              </w:rPr>
              <w:t xml:space="preserve">100≤X＜300 </w:t>
            </w:r>
          </w:p>
        </w:tc>
        <w:tc>
          <w:tcPr>
            <w:tcW w:w="992" w:type="dxa"/>
            <w:noWrap/>
            <w:vAlign w:val="center"/>
          </w:tcPr>
          <w:p w14:paraId="20CAA27E">
            <w:pPr>
              <w:widowControl/>
              <w:jc w:val="center"/>
              <w:rPr>
                <w:rFonts w:ascii="宋体" w:hAnsi="宋体" w:cs="宋体"/>
                <w:kern w:val="0"/>
                <w:sz w:val="18"/>
                <w:szCs w:val="18"/>
              </w:rPr>
            </w:pPr>
            <w:r>
              <w:rPr>
                <w:rFonts w:hint="eastAsia" w:ascii="宋体" w:hAnsi="宋体" w:cs="宋体"/>
                <w:kern w:val="0"/>
                <w:sz w:val="18"/>
                <w:szCs w:val="18"/>
              </w:rPr>
              <w:t>X＜100</w:t>
            </w:r>
          </w:p>
        </w:tc>
      </w:tr>
      <w:tr w14:paraId="0419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3621889F">
            <w:pPr>
              <w:widowControl/>
              <w:jc w:val="left"/>
              <w:rPr>
                <w:rFonts w:ascii="宋体" w:hAnsi="宋体" w:cs="宋体"/>
                <w:kern w:val="0"/>
                <w:sz w:val="18"/>
                <w:szCs w:val="18"/>
              </w:rPr>
            </w:pPr>
          </w:p>
        </w:tc>
        <w:tc>
          <w:tcPr>
            <w:tcW w:w="1369" w:type="dxa"/>
            <w:noWrap/>
            <w:vAlign w:val="center"/>
          </w:tcPr>
          <w:p w14:paraId="3AED860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7C4AD03C">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544A66BF">
            <w:pPr>
              <w:widowControl/>
              <w:jc w:val="center"/>
              <w:rPr>
                <w:rFonts w:ascii="宋体" w:hAnsi="宋体" w:cs="宋体"/>
                <w:kern w:val="0"/>
                <w:sz w:val="18"/>
                <w:szCs w:val="18"/>
              </w:rPr>
            </w:pPr>
            <w:r>
              <w:rPr>
                <w:rFonts w:hint="eastAsia" w:ascii="宋体" w:hAnsi="宋体" w:cs="宋体"/>
                <w:kern w:val="0"/>
                <w:sz w:val="18"/>
                <w:szCs w:val="18"/>
              </w:rPr>
              <w:t>Y≥5000</w:t>
            </w:r>
          </w:p>
        </w:tc>
        <w:tc>
          <w:tcPr>
            <w:tcW w:w="1701" w:type="dxa"/>
            <w:noWrap/>
            <w:vAlign w:val="center"/>
          </w:tcPr>
          <w:p w14:paraId="39EEA4C3">
            <w:pPr>
              <w:widowControl/>
              <w:ind w:left="-14"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1000≤Y＜5000 </w:t>
            </w:r>
          </w:p>
        </w:tc>
        <w:tc>
          <w:tcPr>
            <w:tcW w:w="1426" w:type="dxa"/>
            <w:noWrap/>
            <w:vAlign w:val="center"/>
          </w:tcPr>
          <w:p w14:paraId="316081A6">
            <w:pPr>
              <w:widowControl/>
              <w:jc w:val="center"/>
              <w:rPr>
                <w:rFonts w:ascii="宋体" w:hAnsi="宋体" w:cs="宋体"/>
                <w:kern w:val="0"/>
                <w:sz w:val="18"/>
                <w:szCs w:val="18"/>
              </w:rPr>
            </w:pPr>
            <w:r>
              <w:rPr>
                <w:rFonts w:hint="eastAsia" w:ascii="宋体" w:hAnsi="宋体" w:cs="宋体"/>
                <w:kern w:val="0"/>
                <w:sz w:val="18"/>
                <w:szCs w:val="18"/>
              </w:rPr>
              <w:t xml:space="preserve"> 500≤Y＜1000</w:t>
            </w:r>
          </w:p>
        </w:tc>
        <w:tc>
          <w:tcPr>
            <w:tcW w:w="992" w:type="dxa"/>
            <w:noWrap/>
            <w:vAlign w:val="center"/>
          </w:tcPr>
          <w:p w14:paraId="484DFA58">
            <w:pPr>
              <w:widowControl/>
              <w:jc w:val="center"/>
              <w:rPr>
                <w:rFonts w:ascii="宋体" w:hAnsi="宋体" w:cs="宋体"/>
                <w:kern w:val="0"/>
                <w:sz w:val="18"/>
                <w:szCs w:val="18"/>
              </w:rPr>
            </w:pPr>
            <w:r>
              <w:rPr>
                <w:rFonts w:hint="eastAsia" w:ascii="宋体" w:hAnsi="宋体" w:cs="宋体"/>
                <w:kern w:val="0"/>
                <w:sz w:val="18"/>
                <w:szCs w:val="18"/>
              </w:rPr>
              <w:t>Y＜500</w:t>
            </w:r>
          </w:p>
        </w:tc>
      </w:tr>
      <w:tr w14:paraId="2584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78CDC54C">
            <w:pPr>
              <w:widowControl/>
              <w:spacing w:line="24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noWrap/>
            <w:vAlign w:val="center"/>
          </w:tcPr>
          <w:p w14:paraId="08D026C1">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72F37059">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3FF32136">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2F2BF455">
            <w:pPr>
              <w:widowControl/>
              <w:ind w:left="-14"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ign w:val="center"/>
          </w:tcPr>
          <w:p w14:paraId="55DF603F">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noWrap/>
            <w:vAlign w:val="center"/>
          </w:tcPr>
          <w:p w14:paraId="44529B81">
            <w:pPr>
              <w:widowControl/>
              <w:jc w:val="center"/>
              <w:rPr>
                <w:rFonts w:ascii="宋体" w:hAnsi="宋体" w:cs="宋体"/>
                <w:kern w:val="0"/>
                <w:sz w:val="18"/>
                <w:szCs w:val="18"/>
              </w:rPr>
            </w:pPr>
            <w:r>
              <w:rPr>
                <w:rFonts w:hint="eastAsia" w:ascii="宋体" w:hAnsi="宋体" w:cs="宋体"/>
                <w:kern w:val="0"/>
                <w:sz w:val="18"/>
                <w:szCs w:val="18"/>
              </w:rPr>
              <w:t>X＜10</w:t>
            </w:r>
          </w:p>
        </w:tc>
      </w:tr>
      <w:tr w14:paraId="62CD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5FA24A58">
            <w:pPr>
              <w:widowControl/>
              <w:jc w:val="left"/>
              <w:rPr>
                <w:rFonts w:ascii="宋体" w:hAnsi="宋体" w:cs="宋体"/>
                <w:kern w:val="0"/>
                <w:sz w:val="18"/>
                <w:szCs w:val="18"/>
              </w:rPr>
            </w:pPr>
          </w:p>
        </w:tc>
        <w:tc>
          <w:tcPr>
            <w:tcW w:w="1369" w:type="dxa"/>
            <w:noWrap/>
            <w:vAlign w:val="center"/>
          </w:tcPr>
          <w:p w14:paraId="72F1D119">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noWrap/>
            <w:vAlign w:val="center"/>
          </w:tcPr>
          <w:p w14:paraId="229AD100">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2093ABE1">
            <w:pPr>
              <w:widowControl/>
              <w:jc w:val="center"/>
              <w:rPr>
                <w:rFonts w:ascii="宋体" w:hAnsi="宋体" w:cs="宋体"/>
                <w:kern w:val="0"/>
                <w:sz w:val="18"/>
                <w:szCs w:val="18"/>
              </w:rPr>
            </w:pPr>
            <w:r>
              <w:rPr>
                <w:rFonts w:hint="eastAsia" w:ascii="宋体" w:hAnsi="宋体" w:cs="宋体"/>
                <w:kern w:val="0"/>
                <w:sz w:val="18"/>
                <w:szCs w:val="18"/>
              </w:rPr>
              <w:t>Z≥120000</w:t>
            </w:r>
          </w:p>
        </w:tc>
        <w:tc>
          <w:tcPr>
            <w:tcW w:w="1701" w:type="dxa"/>
            <w:noWrap/>
            <w:vAlign w:val="center"/>
          </w:tcPr>
          <w:p w14:paraId="6520DC89">
            <w:pPr>
              <w:widowControl/>
              <w:jc w:val="center"/>
              <w:rPr>
                <w:rFonts w:ascii="宋体" w:hAnsi="宋体" w:cs="宋体"/>
                <w:kern w:val="0"/>
                <w:sz w:val="18"/>
                <w:szCs w:val="18"/>
              </w:rPr>
            </w:pPr>
            <w:r>
              <w:rPr>
                <w:rFonts w:hint="eastAsia" w:ascii="宋体" w:hAnsi="宋体" w:cs="宋体"/>
                <w:kern w:val="0"/>
                <w:sz w:val="18"/>
                <w:szCs w:val="18"/>
              </w:rPr>
              <w:t xml:space="preserve"> 8000≤Z＜120000</w:t>
            </w:r>
          </w:p>
        </w:tc>
        <w:tc>
          <w:tcPr>
            <w:tcW w:w="1426" w:type="dxa"/>
            <w:noWrap/>
            <w:vAlign w:val="center"/>
          </w:tcPr>
          <w:p w14:paraId="10FA1775">
            <w:pPr>
              <w:widowControl/>
              <w:jc w:val="center"/>
              <w:rPr>
                <w:rFonts w:ascii="宋体" w:hAnsi="宋体" w:cs="宋体"/>
                <w:kern w:val="0"/>
                <w:sz w:val="18"/>
                <w:szCs w:val="18"/>
              </w:rPr>
            </w:pPr>
            <w:r>
              <w:rPr>
                <w:rFonts w:hint="eastAsia" w:ascii="宋体" w:hAnsi="宋体" w:cs="宋体"/>
                <w:kern w:val="0"/>
                <w:sz w:val="18"/>
                <w:szCs w:val="18"/>
              </w:rPr>
              <w:t xml:space="preserve"> 100≤Z＜8000</w:t>
            </w:r>
          </w:p>
        </w:tc>
        <w:tc>
          <w:tcPr>
            <w:tcW w:w="992" w:type="dxa"/>
            <w:noWrap/>
            <w:vAlign w:val="center"/>
          </w:tcPr>
          <w:p w14:paraId="45414022">
            <w:pPr>
              <w:widowControl/>
              <w:jc w:val="center"/>
              <w:rPr>
                <w:rFonts w:ascii="宋体" w:hAnsi="宋体" w:cs="宋体"/>
                <w:kern w:val="0"/>
                <w:sz w:val="18"/>
                <w:szCs w:val="18"/>
              </w:rPr>
            </w:pPr>
            <w:r>
              <w:rPr>
                <w:rFonts w:hint="eastAsia" w:ascii="宋体" w:hAnsi="宋体" w:cs="宋体"/>
                <w:kern w:val="0"/>
                <w:sz w:val="18"/>
                <w:szCs w:val="18"/>
              </w:rPr>
              <w:t>Z＜100</w:t>
            </w:r>
          </w:p>
        </w:tc>
      </w:tr>
      <w:tr w14:paraId="6AF8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2FAAE440">
            <w:pPr>
              <w:widowControl/>
              <w:spacing w:line="24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noWrap/>
            <w:vAlign w:val="center"/>
          </w:tcPr>
          <w:p w14:paraId="0862BC08">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627ABC3A">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2C72862F">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605960FB">
            <w:pPr>
              <w:widowControl/>
              <w:ind w:left="-14"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noWrap/>
            <w:vAlign w:val="center"/>
          </w:tcPr>
          <w:p w14:paraId="02EE764F">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noWrap/>
            <w:vAlign w:val="center"/>
          </w:tcPr>
          <w:p w14:paraId="7068F1D0">
            <w:pPr>
              <w:widowControl/>
              <w:jc w:val="center"/>
              <w:rPr>
                <w:rFonts w:ascii="宋体" w:hAnsi="宋体" w:cs="宋体"/>
                <w:kern w:val="0"/>
                <w:sz w:val="18"/>
                <w:szCs w:val="18"/>
              </w:rPr>
            </w:pPr>
            <w:r>
              <w:rPr>
                <w:rFonts w:hint="eastAsia" w:ascii="宋体" w:hAnsi="宋体" w:cs="宋体"/>
                <w:kern w:val="0"/>
                <w:sz w:val="18"/>
                <w:szCs w:val="18"/>
              </w:rPr>
              <w:t>X＜10</w:t>
            </w:r>
          </w:p>
        </w:tc>
      </w:tr>
    </w:tbl>
    <w:p w14:paraId="2AA795CD">
      <w:pPr>
        <w:pStyle w:val="3"/>
        <w:numPr>
          <w:ilvl w:val="0"/>
          <w:numId w:val="11"/>
        </w:numPr>
        <w:kinsoku w:val="0"/>
        <w:overflowPunct w:val="0"/>
        <w:spacing w:line="395" w:lineRule="exact"/>
        <w:rPr>
          <w:color w:val="auto"/>
        </w:rPr>
      </w:pPr>
      <w:r>
        <w:rPr>
          <w:rFonts w:ascii="宋体" w:hAnsi="宋体" w:eastAsia="宋体"/>
        </w:rPr>
        <w:br w:type="page"/>
      </w:r>
      <w:bookmarkStart w:id="68" w:name="8、★《中华人民共和国政府采购法》第二十二条应当具备的条件；"/>
      <w:bookmarkEnd w:id="68"/>
      <w:r>
        <w:rPr>
          <w:color w:val="auto"/>
        </w:rPr>
        <w:t>供应商认为有必要提供的声明及文件资料</w:t>
      </w:r>
    </w:p>
    <w:p w14:paraId="11AA5A6A">
      <w:pPr>
        <w:widowControl w:val="0"/>
        <w:numPr>
          <w:ilvl w:val="0"/>
          <w:numId w:val="0"/>
        </w:numPr>
        <w:autoSpaceDE w:val="0"/>
        <w:autoSpaceDN w:val="0"/>
        <w:adjustRightInd w:val="0"/>
        <w:rPr>
          <w:rFonts w:hint="default"/>
        </w:rPr>
      </w:pPr>
    </w:p>
    <w:p w14:paraId="32A9CC47">
      <w:pPr>
        <w:pStyle w:val="23"/>
        <w:rPr>
          <w:rFonts w:hint="default"/>
        </w:rPr>
      </w:pPr>
    </w:p>
    <w:p w14:paraId="313DF080">
      <w:pPr>
        <w:pStyle w:val="23"/>
        <w:rPr>
          <w:rFonts w:hint="default"/>
        </w:rPr>
      </w:pPr>
    </w:p>
    <w:p w14:paraId="43B1D98B">
      <w:pPr>
        <w:pStyle w:val="23"/>
        <w:rPr>
          <w:rFonts w:hint="default"/>
        </w:rPr>
      </w:pPr>
    </w:p>
    <w:p w14:paraId="7C3736F1">
      <w:pPr>
        <w:pStyle w:val="23"/>
        <w:rPr>
          <w:rFonts w:hint="default"/>
        </w:rPr>
      </w:pPr>
    </w:p>
    <w:p w14:paraId="558C6C46">
      <w:pPr>
        <w:pStyle w:val="23"/>
        <w:rPr>
          <w:rFonts w:hint="default"/>
        </w:rPr>
      </w:pPr>
    </w:p>
    <w:p w14:paraId="7BC98570">
      <w:pPr>
        <w:pStyle w:val="23"/>
        <w:rPr>
          <w:rFonts w:hint="default"/>
        </w:rPr>
      </w:pPr>
    </w:p>
    <w:p w14:paraId="59722D68">
      <w:pPr>
        <w:pStyle w:val="23"/>
        <w:rPr>
          <w:rFonts w:hint="default"/>
        </w:rPr>
      </w:pPr>
    </w:p>
    <w:p w14:paraId="365DD86A">
      <w:pPr>
        <w:pStyle w:val="23"/>
        <w:rPr>
          <w:rFonts w:hint="default"/>
        </w:rPr>
      </w:pPr>
    </w:p>
    <w:p w14:paraId="79D1D823">
      <w:pPr>
        <w:pStyle w:val="23"/>
        <w:rPr>
          <w:rFonts w:hint="default"/>
        </w:rPr>
      </w:pPr>
    </w:p>
    <w:p w14:paraId="1148AE4D">
      <w:pPr>
        <w:pStyle w:val="23"/>
        <w:rPr>
          <w:rFonts w:hint="default"/>
        </w:rPr>
      </w:pPr>
    </w:p>
    <w:p w14:paraId="6CFC9AAF">
      <w:pPr>
        <w:pStyle w:val="23"/>
        <w:rPr>
          <w:rFonts w:hint="default"/>
        </w:rPr>
      </w:pPr>
    </w:p>
    <w:p w14:paraId="608A9AFF">
      <w:pPr>
        <w:pStyle w:val="23"/>
        <w:rPr>
          <w:rFonts w:hint="default"/>
        </w:rPr>
      </w:pPr>
    </w:p>
    <w:p w14:paraId="6D4C6A5E">
      <w:pPr>
        <w:pStyle w:val="23"/>
        <w:rPr>
          <w:rFonts w:hint="default"/>
        </w:rPr>
      </w:pPr>
    </w:p>
    <w:p w14:paraId="4E056065">
      <w:pPr>
        <w:pStyle w:val="23"/>
        <w:rPr>
          <w:rFonts w:hint="default"/>
        </w:rPr>
      </w:pPr>
    </w:p>
    <w:p w14:paraId="20475325">
      <w:pPr>
        <w:pStyle w:val="23"/>
        <w:rPr>
          <w:rFonts w:hint="default"/>
        </w:rPr>
      </w:pPr>
    </w:p>
    <w:p w14:paraId="436030E6">
      <w:pPr>
        <w:pStyle w:val="23"/>
        <w:rPr>
          <w:rFonts w:hint="default"/>
        </w:rPr>
      </w:pPr>
    </w:p>
    <w:p w14:paraId="1B720311">
      <w:pPr>
        <w:pStyle w:val="23"/>
        <w:rPr>
          <w:rFonts w:hint="default"/>
        </w:rPr>
      </w:pPr>
    </w:p>
    <w:p w14:paraId="538A3E6B">
      <w:pPr>
        <w:pStyle w:val="23"/>
        <w:rPr>
          <w:rFonts w:hint="default"/>
        </w:rPr>
      </w:pPr>
    </w:p>
    <w:p w14:paraId="15485B14">
      <w:pPr>
        <w:pStyle w:val="23"/>
        <w:rPr>
          <w:rFonts w:hint="default"/>
        </w:rPr>
      </w:pPr>
    </w:p>
    <w:p w14:paraId="03DC45ED">
      <w:pPr>
        <w:pStyle w:val="23"/>
        <w:rPr>
          <w:rFonts w:hint="default"/>
        </w:rPr>
      </w:pPr>
    </w:p>
    <w:p w14:paraId="67460AAB">
      <w:pPr>
        <w:pStyle w:val="23"/>
        <w:rPr>
          <w:rFonts w:hint="default"/>
        </w:rPr>
      </w:pPr>
    </w:p>
    <w:p w14:paraId="315A97FA">
      <w:pPr>
        <w:pStyle w:val="23"/>
        <w:rPr>
          <w:rFonts w:hint="default"/>
        </w:rPr>
      </w:pPr>
    </w:p>
    <w:p w14:paraId="10F7E286">
      <w:pPr>
        <w:pStyle w:val="23"/>
        <w:rPr>
          <w:rFonts w:hint="default"/>
        </w:rPr>
      </w:pPr>
    </w:p>
    <w:p w14:paraId="163D074B">
      <w:pPr>
        <w:pStyle w:val="23"/>
        <w:rPr>
          <w:rFonts w:hint="default"/>
        </w:rPr>
      </w:pPr>
    </w:p>
    <w:p w14:paraId="73221F0D">
      <w:pPr>
        <w:pStyle w:val="23"/>
        <w:rPr>
          <w:rFonts w:hint="default"/>
        </w:rPr>
      </w:pPr>
    </w:p>
    <w:p w14:paraId="5A59FF62">
      <w:pPr>
        <w:pStyle w:val="23"/>
        <w:rPr>
          <w:rFonts w:hint="default"/>
        </w:rPr>
      </w:pPr>
    </w:p>
    <w:p w14:paraId="10302E0F">
      <w:pPr>
        <w:pStyle w:val="23"/>
        <w:rPr>
          <w:rFonts w:hint="default"/>
        </w:rPr>
      </w:pPr>
    </w:p>
    <w:p w14:paraId="0A579C0B">
      <w:pPr>
        <w:pStyle w:val="23"/>
        <w:rPr>
          <w:rFonts w:hint="default"/>
        </w:rPr>
      </w:pPr>
    </w:p>
    <w:p w14:paraId="35BF4FD5">
      <w:pPr>
        <w:pStyle w:val="23"/>
        <w:rPr>
          <w:rFonts w:hint="default"/>
        </w:rPr>
      </w:pPr>
    </w:p>
    <w:p w14:paraId="18523FAC">
      <w:pPr>
        <w:pStyle w:val="23"/>
        <w:rPr>
          <w:rFonts w:hint="default"/>
        </w:rPr>
      </w:pPr>
    </w:p>
    <w:p w14:paraId="62E37C32">
      <w:pPr>
        <w:pStyle w:val="23"/>
        <w:rPr>
          <w:rFonts w:hint="default"/>
        </w:rPr>
      </w:pPr>
    </w:p>
    <w:p w14:paraId="2279DBB9">
      <w:pPr>
        <w:pStyle w:val="23"/>
        <w:rPr>
          <w:rFonts w:hint="default"/>
        </w:rPr>
      </w:pPr>
    </w:p>
    <w:p w14:paraId="1689226C">
      <w:pPr>
        <w:pStyle w:val="3"/>
        <w:kinsoku w:val="0"/>
        <w:overflowPunct w:val="0"/>
        <w:spacing w:line="395" w:lineRule="exact"/>
        <w:rPr>
          <w:rFonts w:hint="default"/>
          <w:b w:val="0"/>
          <w:color w:val="auto"/>
        </w:rPr>
      </w:pPr>
      <w:r>
        <w:rPr>
          <w:rFonts w:hint="eastAsia"/>
          <w:color w:val="auto"/>
          <w:lang w:val="en-US" w:eastAsia="zh-CN"/>
        </w:rPr>
        <w:t>7</w:t>
      </w:r>
      <w:r>
        <w:rPr>
          <w:color w:val="auto"/>
        </w:rPr>
        <w:t>、★《中华人民共和国政府采购法》第二十二条应当具备</w:t>
      </w:r>
    </w:p>
    <w:p w14:paraId="3BA47129">
      <w:pPr>
        <w:pStyle w:val="8"/>
        <w:kinsoku w:val="0"/>
        <w:overflowPunct w:val="0"/>
        <w:spacing w:before="205"/>
        <w:rPr>
          <w:rFonts w:hint="default" w:ascii="黑体" w:eastAsia="黑体" w:cs="黑体"/>
          <w:color w:val="auto"/>
          <w:sz w:val="32"/>
          <w:szCs w:val="32"/>
        </w:rPr>
      </w:pPr>
      <w:r>
        <w:rPr>
          <w:rFonts w:ascii="黑体" w:eastAsia="黑体" w:cs="黑体"/>
          <w:b/>
          <w:color w:val="auto"/>
          <w:sz w:val="32"/>
          <w:szCs w:val="32"/>
        </w:rPr>
        <w:t>的条件；</w:t>
      </w:r>
    </w:p>
    <w:p w14:paraId="35245F32">
      <w:pPr>
        <w:pStyle w:val="8"/>
        <w:numPr>
          <w:ilvl w:val="0"/>
          <w:numId w:val="0"/>
        </w:numPr>
        <w:kinsoku w:val="0"/>
        <w:overflowPunct w:val="0"/>
        <w:spacing w:before="190" w:line="297" w:lineRule="auto"/>
        <w:ind w:left="480" w:leftChars="0" w:hanging="360" w:firstLineChars="0"/>
        <w:rPr>
          <w:b/>
          <w:color w:val="auto"/>
          <w:w w:val="99"/>
        </w:rPr>
      </w:pPr>
      <w:r>
        <w:rPr>
          <w:rFonts w:hint="eastAsia" w:ascii="宋体" w:hAnsi="Times New Roman" w:eastAsia="宋体" w:cs="宋体"/>
          <w:b/>
          <w:color w:val="auto"/>
          <w:w w:val="99"/>
          <w:sz w:val="24"/>
          <w:szCs w:val="24"/>
          <w:lang w:val="en-US" w:eastAsia="zh-CN" w:bidi="ar-SA"/>
        </w:rPr>
        <w:t>（1）</w:t>
      </w:r>
      <w:r>
        <w:rPr>
          <w:b/>
          <w:color w:val="auto"/>
        </w:rPr>
        <w:t>具有独立承担民事责任的能力证明材料</w:t>
      </w:r>
      <w:r>
        <w:rPr>
          <w:b/>
          <w:color w:val="auto"/>
          <w:w w:val="99"/>
        </w:rPr>
        <w:t xml:space="preserve"> </w:t>
      </w:r>
    </w:p>
    <w:p w14:paraId="4E85BE8E">
      <w:pPr>
        <w:pStyle w:val="8"/>
        <w:numPr>
          <w:ilvl w:val="0"/>
          <w:numId w:val="0"/>
        </w:numPr>
        <w:kinsoku w:val="0"/>
        <w:overflowPunct w:val="0"/>
        <w:spacing w:before="190" w:line="297" w:lineRule="auto"/>
        <w:ind w:left="120" w:leftChars="0" w:firstLine="480" w:firstLineChars="200"/>
        <w:rPr>
          <w:rFonts w:hint="default"/>
          <w:color w:val="auto"/>
        </w:rPr>
      </w:pPr>
      <w:r>
        <w:rPr>
          <w:color w:val="auto"/>
        </w:rPr>
        <w:t>供应商是企业（包括合伙企业）的，应提供其在工商部门注册的有效“企业法人营业执照”或“营业执照”的复印件； 供应商是事业单位的，应提供其有效的“事业单位法人证书”复印件； 供应商是非企业专业服务机构的，应提供其有效的执业许可证复印件； 供应商是个体工商户的，应提供其有效的“个体工商户营业执照”复印件； 供应商是自然人的，应提供其有效的自然人身份证明；</w:t>
      </w:r>
    </w:p>
    <w:p w14:paraId="080B0357">
      <w:pPr>
        <w:pStyle w:val="8"/>
        <w:kinsoku w:val="0"/>
        <w:overflowPunct w:val="0"/>
        <w:spacing w:before="0"/>
        <w:ind w:left="0"/>
        <w:rPr>
          <w:rFonts w:hint="default"/>
          <w:color w:val="auto"/>
        </w:rPr>
      </w:pPr>
    </w:p>
    <w:p w14:paraId="53507C83">
      <w:pPr>
        <w:pStyle w:val="8"/>
        <w:kinsoku w:val="0"/>
        <w:overflowPunct w:val="0"/>
        <w:spacing w:before="5"/>
        <w:ind w:left="0"/>
        <w:rPr>
          <w:rFonts w:hint="default"/>
          <w:color w:val="auto"/>
          <w:sz w:val="20"/>
          <w:szCs w:val="20"/>
        </w:rPr>
      </w:pPr>
    </w:p>
    <w:p w14:paraId="7216FCA8">
      <w:pPr>
        <w:pStyle w:val="8"/>
        <w:numPr>
          <w:ilvl w:val="0"/>
          <w:numId w:val="0"/>
        </w:numPr>
        <w:kinsoku w:val="0"/>
        <w:overflowPunct w:val="0"/>
        <w:spacing w:before="0" w:line="357" w:lineRule="auto"/>
        <w:ind w:left="480" w:leftChars="0" w:hanging="360" w:firstLineChars="0"/>
        <w:rPr>
          <w:b/>
          <w:color w:val="auto"/>
        </w:rPr>
      </w:pPr>
      <w:r>
        <w:rPr>
          <w:rFonts w:hint="eastAsia" w:ascii="宋体" w:hAnsi="Times New Roman" w:eastAsia="宋体" w:cs="宋体"/>
          <w:b/>
          <w:color w:val="auto"/>
          <w:sz w:val="24"/>
          <w:szCs w:val="24"/>
          <w:lang w:val="en-US" w:eastAsia="zh-CN" w:bidi="ar-SA"/>
        </w:rPr>
        <w:t>（2）</w:t>
      </w:r>
      <w:r>
        <w:rPr>
          <w:b/>
          <w:color w:val="auto"/>
        </w:rPr>
        <w:t>具有良好的商业信誉和健全的财务会计制度证明材料</w:t>
      </w:r>
      <w:bookmarkStart w:id="69" w:name="供应商是法人的应提供经审计的上一年度的财务报告。（财务审计报告必须为第三方提供并"/>
      <w:bookmarkEnd w:id="69"/>
    </w:p>
    <w:p w14:paraId="339EDDEF">
      <w:pPr>
        <w:pStyle w:val="8"/>
        <w:numPr>
          <w:ilvl w:val="0"/>
          <w:numId w:val="0"/>
        </w:numPr>
        <w:kinsoku w:val="0"/>
        <w:overflowPunct w:val="0"/>
        <w:spacing w:before="0" w:line="357" w:lineRule="auto"/>
        <w:ind w:left="120" w:leftChars="0" w:firstLine="468" w:firstLineChars="200"/>
        <w:rPr>
          <w:rFonts w:hint="default"/>
          <w:color w:val="auto"/>
        </w:rPr>
      </w:pPr>
      <w:r>
        <w:rPr>
          <w:color w:val="auto"/>
          <w:spacing w:val="-3"/>
        </w:rPr>
        <w:t>供应商是法人的应提供经审计的</w:t>
      </w:r>
      <w:r>
        <w:rPr>
          <w:rFonts w:hint="eastAsia"/>
          <w:color w:val="auto"/>
          <w:spacing w:val="-3"/>
          <w:lang w:val="en-US" w:eastAsia="zh-CN"/>
        </w:rPr>
        <w:t>2023</w:t>
      </w:r>
      <w:r>
        <w:rPr>
          <w:color w:val="auto"/>
          <w:spacing w:val="-3"/>
        </w:rPr>
        <w:t>年度的财务报告。（财务审计报告必须为第</w:t>
      </w:r>
      <w:r>
        <w:rPr>
          <w:color w:val="auto"/>
          <w:spacing w:val="-109"/>
        </w:rPr>
        <w:t xml:space="preserve"> </w:t>
      </w:r>
      <w:r>
        <w:rPr>
          <w:color w:val="auto"/>
          <w:spacing w:val="-3"/>
        </w:rPr>
        <w:t>三方提供并加盖第三方公章的完整版）或截止开标前</w:t>
      </w:r>
      <w:r>
        <w:rPr>
          <w:color w:val="auto"/>
          <w:spacing w:val="-61"/>
        </w:rPr>
        <w:t xml:space="preserve"> </w:t>
      </w:r>
      <w:r>
        <w:rPr>
          <w:color w:val="auto"/>
        </w:rPr>
        <w:t>1</w:t>
      </w:r>
      <w:r>
        <w:rPr>
          <w:color w:val="auto"/>
          <w:spacing w:val="-60"/>
        </w:rPr>
        <w:t xml:space="preserve"> </w:t>
      </w:r>
      <w:r>
        <w:rPr>
          <w:color w:val="auto"/>
        </w:rPr>
        <w:t>个月 的基本开户银行出具的资信证明</w:t>
      </w:r>
      <w:r>
        <w:rPr>
          <w:rFonts w:hint="eastAsia"/>
          <w:color w:val="auto"/>
        </w:rPr>
        <w:t>（抬头、格式不限，证明应能说明该供应商与银行之间业务往来正常，无不良记录，企业信誉良好等。银行出具的存款证明不能作为银行资信证明）</w:t>
      </w:r>
      <w:r>
        <w:rPr>
          <w:color w:val="auto"/>
        </w:rPr>
        <w:t>；</w:t>
      </w:r>
    </w:p>
    <w:p w14:paraId="26A47A92">
      <w:pPr>
        <w:pStyle w:val="8"/>
        <w:kinsoku w:val="0"/>
        <w:overflowPunct w:val="0"/>
        <w:spacing w:before="0"/>
        <w:ind w:left="0"/>
        <w:rPr>
          <w:rFonts w:hint="default"/>
          <w:color w:val="auto"/>
        </w:rPr>
      </w:pPr>
    </w:p>
    <w:p w14:paraId="279A70CE">
      <w:pPr>
        <w:pStyle w:val="8"/>
        <w:kinsoku w:val="0"/>
        <w:overflowPunct w:val="0"/>
        <w:spacing w:before="4"/>
        <w:ind w:left="0"/>
        <w:rPr>
          <w:rFonts w:hint="default"/>
          <w:color w:val="auto"/>
          <w:sz w:val="26"/>
          <w:szCs w:val="26"/>
        </w:rPr>
      </w:pPr>
    </w:p>
    <w:p w14:paraId="2D29CEE1">
      <w:pPr>
        <w:pStyle w:val="6"/>
        <w:kinsoku w:val="0"/>
        <w:overflowPunct w:val="0"/>
        <w:spacing w:before="0"/>
        <w:rPr>
          <w:rFonts w:hint="default"/>
          <w:b w:val="0"/>
          <w:color w:val="auto"/>
        </w:rPr>
      </w:pPr>
      <w:r>
        <w:rPr>
          <w:color w:val="auto"/>
        </w:rPr>
        <w:t>（3）具有履行合同所必需的设备和专业技术能力承诺书</w:t>
      </w:r>
    </w:p>
    <w:p w14:paraId="7A8B421A">
      <w:pPr>
        <w:pStyle w:val="8"/>
        <w:kinsoku w:val="0"/>
        <w:overflowPunct w:val="0"/>
        <w:spacing w:before="154"/>
        <w:ind w:firstLine="240" w:firstLineChars="100"/>
        <w:rPr>
          <w:rFonts w:hint="default"/>
          <w:color w:val="auto"/>
        </w:rPr>
      </w:pPr>
      <w:bookmarkStart w:id="70" w:name="（提供具有履行合同所必需的设备和专业技术能力相关证明材料或声明；）"/>
      <w:bookmarkEnd w:id="70"/>
      <w:r>
        <w:rPr>
          <w:color w:val="auto"/>
        </w:rPr>
        <w:t>提供具有履行合同所必需的设备和专业技术能力相关证明材料或声明；</w:t>
      </w:r>
    </w:p>
    <w:p w14:paraId="56162747">
      <w:pPr>
        <w:pStyle w:val="8"/>
        <w:kinsoku w:val="0"/>
        <w:overflowPunct w:val="0"/>
        <w:spacing w:before="0"/>
        <w:ind w:left="0"/>
        <w:rPr>
          <w:rFonts w:hint="default"/>
          <w:color w:val="auto"/>
        </w:rPr>
      </w:pPr>
    </w:p>
    <w:p w14:paraId="6035ADDD">
      <w:pPr>
        <w:pStyle w:val="8"/>
        <w:kinsoku w:val="0"/>
        <w:overflowPunct w:val="0"/>
        <w:spacing w:before="7"/>
        <w:ind w:left="0"/>
        <w:rPr>
          <w:rFonts w:hint="default"/>
          <w:color w:val="auto"/>
          <w:sz w:val="23"/>
          <w:szCs w:val="23"/>
        </w:rPr>
      </w:pPr>
    </w:p>
    <w:p w14:paraId="08FC2DEA">
      <w:pPr>
        <w:pStyle w:val="8"/>
        <w:kinsoku w:val="0"/>
        <w:overflowPunct w:val="0"/>
        <w:spacing w:before="0" w:line="357" w:lineRule="auto"/>
        <w:ind w:left="355" w:right="1180" w:hanging="236"/>
        <w:rPr>
          <w:rFonts w:hint="default"/>
          <w:b/>
          <w:color w:val="auto"/>
          <w:w w:val="99"/>
        </w:rPr>
      </w:pPr>
      <w:r>
        <w:rPr>
          <w:b/>
          <w:color w:val="auto"/>
        </w:rPr>
        <w:t>（4）有依法缴纳税收和社会保障资金的良好记录证明材料</w:t>
      </w:r>
      <w:r>
        <w:rPr>
          <w:b/>
          <w:color w:val="auto"/>
          <w:w w:val="99"/>
        </w:rPr>
        <w:t xml:space="preserve"> </w:t>
      </w:r>
    </w:p>
    <w:p w14:paraId="46B2030A">
      <w:pPr>
        <w:pStyle w:val="8"/>
        <w:kinsoku w:val="0"/>
        <w:overflowPunct w:val="0"/>
        <w:spacing w:before="0" w:line="357" w:lineRule="auto"/>
        <w:ind w:left="355" w:right="1180" w:hanging="236"/>
        <w:rPr>
          <w:rFonts w:hint="default"/>
          <w:color w:val="auto"/>
        </w:rPr>
      </w:pPr>
      <w:r>
        <w:rPr>
          <w:color w:val="auto"/>
        </w:rPr>
        <w:t>1）有依法缴纳税收</w:t>
      </w:r>
    </w:p>
    <w:p w14:paraId="6E364041">
      <w:pPr>
        <w:pStyle w:val="8"/>
        <w:kinsoku w:val="0"/>
        <w:overflowPunct w:val="0"/>
        <w:ind w:firstLine="480" w:firstLineChars="200"/>
        <w:rPr>
          <w:rFonts w:hint="default"/>
          <w:color w:val="auto"/>
        </w:rPr>
      </w:pPr>
      <w:bookmarkStart w:id="71" w:name="提供截止开标前近半年内任三个月税收缴纳完成的证明资料。"/>
      <w:bookmarkEnd w:id="71"/>
      <w:r>
        <w:rPr>
          <w:color w:val="auto"/>
        </w:rPr>
        <w:t>提供截止开标前近半年内任三个月税收缴纳完成的证明资料。</w:t>
      </w:r>
      <w:r>
        <w:rPr>
          <w:color w:val="auto"/>
          <w:spacing w:val="-3"/>
        </w:rPr>
        <w:t>（提供截止开标前近半年内任三个月税收部门出具的完成税收缴纳证明。其它无</w:t>
      </w:r>
      <w:r>
        <w:rPr>
          <w:color w:val="auto"/>
          <w:spacing w:val="-109"/>
        </w:rPr>
        <w:t xml:space="preserve"> </w:t>
      </w:r>
      <w:r>
        <w:rPr>
          <w:color w:val="auto"/>
        </w:rPr>
        <w:t>需纳税或免税的必须提供相关证明。）</w:t>
      </w:r>
    </w:p>
    <w:p w14:paraId="6AA6DDC2">
      <w:pPr>
        <w:pStyle w:val="8"/>
        <w:kinsoku w:val="0"/>
        <w:overflowPunct w:val="0"/>
        <w:spacing w:before="200" w:line="357" w:lineRule="auto"/>
        <w:rPr>
          <w:rFonts w:hint="default"/>
          <w:color w:val="auto"/>
        </w:rPr>
      </w:pPr>
      <w:r>
        <w:rPr>
          <w:color w:val="auto"/>
        </w:rPr>
        <w:t>2）</w:t>
      </w:r>
      <w:r>
        <w:rPr>
          <w:rFonts w:hint="eastAsia"/>
          <w:color w:val="auto"/>
        </w:rPr>
        <w:t>提供截止开标前近半年内为授权代理人缴纳任意一个月的社保资金证明或有电子专用章的缴费清单；</w:t>
      </w:r>
    </w:p>
    <w:p w14:paraId="221011D9">
      <w:pPr>
        <w:pStyle w:val="8"/>
        <w:kinsoku w:val="0"/>
        <w:overflowPunct w:val="0"/>
        <w:spacing w:before="200" w:line="357" w:lineRule="auto"/>
        <w:ind w:firstLine="235"/>
        <w:rPr>
          <w:rFonts w:hint="default"/>
          <w:color w:val="auto"/>
        </w:rPr>
        <w:sectPr>
          <w:pgSz w:w="11910" w:h="16840"/>
          <w:pgMar w:top="1500" w:right="1680" w:bottom="1600" w:left="1680" w:header="0" w:footer="1415" w:gutter="0"/>
          <w:pgNumType w:fmt="decimal"/>
          <w:cols w:space="720" w:num="1"/>
        </w:sectPr>
      </w:pPr>
    </w:p>
    <w:p w14:paraId="07FF34F0">
      <w:pPr>
        <w:pStyle w:val="6"/>
        <w:kinsoku w:val="0"/>
        <w:overflowPunct w:val="0"/>
        <w:spacing w:before="26"/>
        <w:rPr>
          <w:rFonts w:hint="default"/>
          <w:b w:val="0"/>
          <w:color w:val="auto"/>
        </w:rPr>
      </w:pPr>
      <w:r>
        <w:rPr>
          <w:color w:val="auto"/>
        </w:rPr>
        <w:t>（5）参加政府采购活动前三年内，在经营活动中没有重大违法记录承诺书</w:t>
      </w:r>
    </w:p>
    <w:p w14:paraId="49C9A8B1">
      <w:pPr>
        <w:pStyle w:val="8"/>
        <w:kinsoku w:val="0"/>
        <w:overflowPunct w:val="0"/>
        <w:spacing w:before="154" w:line="357" w:lineRule="auto"/>
        <w:ind w:firstLine="480" w:firstLineChars="200"/>
        <w:rPr>
          <w:color w:val="auto"/>
        </w:rPr>
      </w:pPr>
      <w:bookmarkStart w:id="72" w:name="（提供参加政府采购活动近三年无重大违法记录声明书；）"/>
      <w:bookmarkEnd w:id="72"/>
      <w:r>
        <w:rPr>
          <w:color w:val="auto"/>
        </w:rPr>
        <w:t>提供参加政府采购活动近三年无重大违法记录声明书；</w:t>
      </w:r>
    </w:p>
    <w:p w14:paraId="06B17250">
      <w:pPr>
        <w:pStyle w:val="8"/>
        <w:kinsoku w:val="0"/>
        <w:overflowPunct w:val="0"/>
        <w:spacing w:before="154" w:line="357" w:lineRule="auto"/>
        <w:rPr>
          <w:rFonts w:hint="default"/>
          <w:color w:val="auto"/>
        </w:rPr>
      </w:pPr>
      <w:r>
        <w:rPr>
          <w:color w:val="auto"/>
        </w:rPr>
        <w:t xml:space="preserve"> </w:t>
      </w:r>
      <w:r>
        <w:rPr>
          <w:color w:val="auto"/>
          <w:spacing w:val="-3"/>
        </w:rPr>
        <w:t>注：近三年：成立三年以上的，为提交响应文件截止时间前三年内；成立不足三</w:t>
      </w:r>
      <w:r>
        <w:rPr>
          <w:color w:val="auto"/>
          <w:spacing w:val="-109"/>
        </w:rPr>
        <w:t xml:space="preserve"> </w:t>
      </w:r>
      <w:r>
        <w:rPr>
          <w:color w:val="auto"/>
        </w:rPr>
        <w:t>年的，为实际时间。</w:t>
      </w:r>
    </w:p>
    <w:p w14:paraId="6DF2D841">
      <w:pPr>
        <w:pStyle w:val="6"/>
        <w:kinsoku w:val="0"/>
        <w:overflowPunct w:val="0"/>
        <w:spacing w:before="190"/>
        <w:outlineLvl w:val="9"/>
        <w:rPr>
          <w:color w:val="auto"/>
        </w:rPr>
      </w:pPr>
    </w:p>
    <w:p w14:paraId="0DED9A10">
      <w:pPr>
        <w:pStyle w:val="6"/>
        <w:kinsoku w:val="0"/>
        <w:overflowPunct w:val="0"/>
        <w:spacing w:before="190"/>
        <w:rPr>
          <w:rFonts w:hint="default"/>
          <w:b w:val="0"/>
          <w:color w:val="auto"/>
        </w:rPr>
      </w:pPr>
      <w:r>
        <w:rPr>
          <w:color w:val="auto"/>
        </w:rPr>
        <w:t>（6）法律、行政法规规定的其他条件;</w:t>
      </w:r>
    </w:p>
    <w:p w14:paraId="53B2C2E8">
      <w:pPr>
        <w:pStyle w:val="6"/>
        <w:kinsoku w:val="0"/>
        <w:overflowPunct w:val="0"/>
        <w:spacing w:before="190"/>
        <w:outlineLvl w:val="9"/>
        <w:rPr>
          <w:rFonts w:hint="default"/>
          <w:b w:val="0"/>
          <w:color w:val="auto"/>
        </w:rPr>
      </w:pPr>
    </w:p>
    <w:p w14:paraId="6E001C31">
      <w:pPr>
        <w:adjustRightInd w:val="0"/>
        <w:snapToGrid w:val="0"/>
        <w:spacing w:line="360" w:lineRule="auto"/>
        <w:ind w:firstLine="562" w:firstLineChars="200"/>
        <w:jc w:val="center"/>
        <w:rPr>
          <w:rFonts w:hint="eastAsia" w:ascii="宋体" w:hAnsi="宋体"/>
          <w:b/>
          <w:color w:val="auto"/>
          <w:sz w:val="28"/>
          <w:szCs w:val="28"/>
        </w:rPr>
      </w:pPr>
    </w:p>
    <w:p w14:paraId="25505C52">
      <w:pPr>
        <w:adjustRightInd w:val="0"/>
        <w:snapToGrid w:val="0"/>
        <w:spacing w:line="360" w:lineRule="auto"/>
        <w:ind w:firstLine="562" w:firstLineChars="200"/>
        <w:jc w:val="center"/>
        <w:rPr>
          <w:rFonts w:hint="eastAsia" w:ascii="宋体" w:hAnsi="宋体"/>
          <w:b/>
          <w:color w:val="auto"/>
          <w:sz w:val="28"/>
          <w:szCs w:val="28"/>
        </w:rPr>
      </w:pPr>
    </w:p>
    <w:p w14:paraId="17351993">
      <w:pPr>
        <w:adjustRightInd w:val="0"/>
        <w:snapToGrid w:val="0"/>
        <w:spacing w:line="360" w:lineRule="auto"/>
        <w:ind w:firstLine="562" w:firstLineChars="200"/>
        <w:jc w:val="center"/>
        <w:rPr>
          <w:rFonts w:hint="eastAsia" w:ascii="宋体" w:hAnsi="宋体"/>
          <w:b/>
          <w:color w:val="auto"/>
          <w:sz w:val="28"/>
          <w:szCs w:val="28"/>
        </w:rPr>
      </w:pPr>
    </w:p>
    <w:p w14:paraId="4AB56B8E">
      <w:pPr>
        <w:adjustRightInd w:val="0"/>
        <w:snapToGrid w:val="0"/>
        <w:spacing w:line="360" w:lineRule="auto"/>
        <w:ind w:firstLine="562" w:firstLineChars="200"/>
        <w:jc w:val="center"/>
        <w:rPr>
          <w:rFonts w:hint="eastAsia" w:ascii="宋体" w:hAnsi="宋体"/>
          <w:b/>
          <w:color w:val="auto"/>
          <w:sz w:val="28"/>
          <w:szCs w:val="28"/>
        </w:rPr>
      </w:pPr>
    </w:p>
    <w:p w14:paraId="16DBF7CB">
      <w:pPr>
        <w:adjustRightInd w:val="0"/>
        <w:snapToGrid w:val="0"/>
        <w:spacing w:line="360" w:lineRule="auto"/>
        <w:ind w:firstLine="562" w:firstLineChars="200"/>
        <w:jc w:val="center"/>
        <w:rPr>
          <w:rFonts w:hint="eastAsia" w:ascii="宋体" w:hAnsi="宋体"/>
          <w:b/>
          <w:color w:val="auto"/>
          <w:sz w:val="28"/>
          <w:szCs w:val="28"/>
        </w:rPr>
      </w:pPr>
      <w:r>
        <w:rPr>
          <w:rFonts w:hint="eastAsia" w:ascii="宋体" w:hAnsi="宋体"/>
          <w:b/>
          <w:color w:val="auto"/>
          <w:sz w:val="28"/>
          <w:szCs w:val="28"/>
        </w:rPr>
        <w:t>具备履行合同所必需的设备和专业技术能力的承诺</w:t>
      </w:r>
    </w:p>
    <w:p w14:paraId="3B85FAB9">
      <w:pPr>
        <w:adjustRightInd w:val="0"/>
        <w:snapToGrid w:val="0"/>
        <w:spacing w:line="360" w:lineRule="auto"/>
        <w:ind w:firstLine="560" w:firstLineChars="200"/>
        <w:jc w:val="center"/>
        <w:rPr>
          <w:rFonts w:hint="eastAsia" w:ascii="宋体" w:hAnsi="宋体"/>
          <w:color w:val="auto"/>
          <w:sz w:val="28"/>
          <w:szCs w:val="28"/>
        </w:rPr>
      </w:pPr>
    </w:p>
    <w:p w14:paraId="7C38F79B">
      <w:pPr>
        <w:autoSpaceDE w:val="0"/>
        <w:autoSpaceDN w:val="0"/>
        <w:adjustRightInd w:val="0"/>
        <w:spacing w:line="440" w:lineRule="exact"/>
        <w:jc w:val="left"/>
        <w:rPr>
          <w:rFonts w:ascii="宋体" w:cs="宋体"/>
          <w:color w:val="auto"/>
          <w:kern w:val="0"/>
          <w:sz w:val="23"/>
          <w:szCs w:val="23"/>
        </w:rPr>
      </w:pPr>
      <w:r>
        <w:rPr>
          <w:rFonts w:hint="eastAsia" w:ascii="宋体" w:cs="宋体"/>
          <w:color w:val="auto"/>
          <w:kern w:val="0"/>
          <w:sz w:val="23"/>
          <w:szCs w:val="23"/>
        </w:rPr>
        <w:t>本</w:t>
      </w:r>
      <w:r>
        <w:rPr>
          <w:rFonts w:hint="eastAsia" w:cs="宋体"/>
          <w:color w:val="auto"/>
          <w:kern w:val="0"/>
          <w:sz w:val="23"/>
          <w:szCs w:val="23"/>
          <w:lang w:eastAsia="zh-CN"/>
        </w:rPr>
        <w:t>供应商</w:t>
      </w:r>
      <w:r>
        <w:rPr>
          <w:rFonts w:hint="eastAsia" w:ascii="宋体" w:cs="宋体"/>
          <w:color w:val="auto"/>
          <w:kern w:val="0"/>
          <w:sz w:val="23"/>
          <w:szCs w:val="23"/>
        </w:rPr>
        <w:t>郑重声明：</w:t>
      </w:r>
      <w:r>
        <w:rPr>
          <w:rFonts w:ascii="宋体" w:cs="宋体"/>
          <w:color w:val="auto"/>
          <w:kern w:val="0"/>
          <w:sz w:val="23"/>
          <w:szCs w:val="23"/>
        </w:rPr>
        <w:t xml:space="preserve"> </w:t>
      </w:r>
    </w:p>
    <w:p w14:paraId="3F9E5395">
      <w:pPr>
        <w:autoSpaceDE w:val="0"/>
        <w:autoSpaceDN w:val="0"/>
        <w:adjustRightInd w:val="0"/>
        <w:spacing w:line="440" w:lineRule="exact"/>
        <w:ind w:left="420"/>
        <w:jc w:val="left"/>
        <w:rPr>
          <w:rFonts w:hint="eastAsia" w:ascii="宋体" w:cs="宋体"/>
          <w:color w:val="auto"/>
          <w:kern w:val="0"/>
          <w:sz w:val="23"/>
          <w:szCs w:val="23"/>
        </w:rPr>
      </w:pPr>
    </w:p>
    <w:p w14:paraId="05C7C4A3">
      <w:pPr>
        <w:autoSpaceDE w:val="0"/>
        <w:autoSpaceDN w:val="0"/>
        <w:adjustRightInd w:val="0"/>
        <w:spacing w:line="440" w:lineRule="exact"/>
        <w:ind w:left="420"/>
        <w:jc w:val="left"/>
        <w:rPr>
          <w:rFonts w:ascii="宋体" w:cs="宋体"/>
          <w:color w:val="auto"/>
          <w:kern w:val="0"/>
          <w:sz w:val="23"/>
          <w:szCs w:val="23"/>
        </w:rPr>
      </w:pPr>
      <w:r>
        <w:rPr>
          <w:rFonts w:hint="eastAsia" w:ascii="宋体" w:cs="宋体"/>
          <w:color w:val="auto"/>
          <w:kern w:val="0"/>
          <w:sz w:val="23"/>
          <w:szCs w:val="23"/>
        </w:rPr>
        <w:t>本公司（或单位）具备本项目履行合同所必需的设备和专业技术能力，特此承诺。</w:t>
      </w:r>
      <w:r>
        <w:rPr>
          <w:rFonts w:ascii="宋体" w:cs="宋体"/>
          <w:color w:val="auto"/>
          <w:kern w:val="0"/>
          <w:sz w:val="23"/>
          <w:szCs w:val="23"/>
        </w:rPr>
        <w:t xml:space="preserve"> </w:t>
      </w:r>
    </w:p>
    <w:p w14:paraId="4D9A321D">
      <w:pPr>
        <w:autoSpaceDE w:val="0"/>
        <w:autoSpaceDN w:val="0"/>
        <w:adjustRightInd w:val="0"/>
        <w:spacing w:line="440" w:lineRule="exact"/>
        <w:jc w:val="left"/>
        <w:rPr>
          <w:rFonts w:hint="eastAsia" w:ascii="宋体" w:cs="宋体"/>
          <w:color w:val="auto"/>
          <w:kern w:val="0"/>
          <w:sz w:val="23"/>
          <w:szCs w:val="23"/>
        </w:rPr>
      </w:pPr>
    </w:p>
    <w:p w14:paraId="24347F47">
      <w:pPr>
        <w:adjustRightInd w:val="0"/>
        <w:snapToGrid w:val="0"/>
        <w:spacing w:line="360" w:lineRule="auto"/>
        <w:rPr>
          <w:rFonts w:hint="eastAsia" w:ascii="宋体" w:hAnsi="宋体"/>
          <w:color w:val="auto"/>
          <w:szCs w:val="21"/>
        </w:rPr>
      </w:pPr>
      <w:r>
        <w:rPr>
          <w:rFonts w:hint="eastAsia" w:cs="宋体"/>
          <w:color w:val="auto"/>
          <w:kern w:val="0"/>
          <w:sz w:val="23"/>
          <w:szCs w:val="23"/>
          <w:lang w:eastAsia="zh-CN"/>
        </w:rPr>
        <w:t>供应商</w:t>
      </w:r>
      <w:r>
        <w:rPr>
          <w:rFonts w:hint="eastAsia" w:ascii="宋体" w:hAnsi="宋体"/>
          <w:color w:val="auto"/>
          <w:szCs w:val="21"/>
        </w:rPr>
        <w:t>（盖单位章）：</w:t>
      </w:r>
    </w:p>
    <w:p w14:paraId="49A0E8C5">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6274BC8F">
      <w:pPr>
        <w:adjustRightInd w:val="0"/>
        <w:snapToGrid w:val="0"/>
        <w:spacing w:line="360" w:lineRule="auto"/>
        <w:rPr>
          <w:rFonts w:hint="eastAsia" w:ascii="宋体" w:hAnsi="宋体"/>
          <w:bCs/>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bCs/>
          <w:color w:val="auto"/>
          <w:szCs w:val="21"/>
        </w:rPr>
        <w:t>日</w:t>
      </w:r>
    </w:p>
    <w:p w14:paraId="0CEF26BC">
      <w:pPr>
        <w:adjustRightInd w:val="0"/>
        <w:snapToGrid w:val="0"/>
        <w:spacing w:before="120" w:beforeLines="50" w:line="360" w:lineRule="auto"/>
        <w:rPr>
          <w:rFonts w:hint="eastAsia" w:ascii="宋体"/>
          <w:color w:val="auto"/>
          <w:kern w:val="0"/>
          <w:sz w:val="28"/>
          <w:szCs w:val="28"/>
        </w:rPr>
      </w:pPr>
      <w:r>
        <w:rPr>
          <w:rFonts w:ascii="宋体"/>
          <w:color w:val="auto"/>
          <w:kern w:val="0"/>
          <w:sz w:val="28"/>
          <w:szCs w:val="28"/>
        </w:rPr>
        <w:br w:type="page"/>
      </w:r>
    </w:p>
    <w:p w14:paraId="63670A35">
      <w:pPr>
        <w:adjustRightInd w:val="0"/>
        <w:snapToGrid w:val="0"/>
        <w:spacing w:line="360" w:lineRule="auto"/>
        <w:ind w:firstLine="562" w:firstLineChars="200"/>
        <w:jc w:val="center"/>
        <w:rPr>
          <w:rFonts w:hint="eastAsia" w:ascii="宋体" w:hAnsi="宋体"/>
          <w:b/>
          <w:color w:val="auto"/>
          <w:sz w:val="28"/>
          <w:szCs w:val="28"/>
        </w:rPr>
      </w:pPr>
      <w:r>
        <w:rPr>
          <w:rFonts w:hint="eastAsia" w:ascii="宋体" w:hAnsi="宋体"/>
          <w:b/>
          <w:color w:val="auto"/>
          <w:sz w:val="28"/>
          <w:szCs w:val="28"/>
        </w:rPr>
        <w:t>无重大违法记录声明书</w:t>
      </w:r>
    </w:p>
    <w:p w14:paraId="23032C4D">
      <w:pPr>
        <w:widowControl/>
        <w:adjustRightInd w:val="0"/>
        <w:snapToGrid w:val="0"/>
        <w:spacing w:line="360" w:lineRule="auto"/>
        <w:jc w:val="center"/>
        <w:rPr>
          <w:rFonts w:hint="eastAsia" w:ascii="宋体" w:hAnsi="宋体"/>
          <w:color w:val="auto"/>
          <w:szCs w:val="21"/>
        </w:rPr>
      </w:pPr>
    </w:p>
    <w:p w14:paraId="1D8C9349">
      <w:pPr>
        <w:adjustRightInd w:val="0"/>
        <w:snapToGrid w:val="0"/>
        <w:spacing w:line="360" w:lineRule="auto"/>
        <w:rPr>
          <w:rFonts w:hint="eastAsia" w:ascii="宋体" w:hAnsi="宋体"/>
          <w:color w:val="auto"/>
          <w:szCs w:val="21"/>
        </w:rPr>
      </w:pPr>
      <w:r>
        <w:rPr>
          <w:rFonts w:hint="eastAsia" w:ascii="宋体" w:hAnsi="宋体"/>
          <w:color w:val="auto"/>
          <w:szCs w:val="21"/>
          <w:u w:val="single"/>
        </w:rPr>
        <w:t xml:space="preserve">（采购人）         </w:t>
      </w:r>
      <w:r>
        <w:rPr>
          <w:rFonts w:hint="eastAsia" w:ascii="宋体" w:hAnsi="宋体"/>
          <w:color w:val="auto"/>
          <w:szCs w:val="21"/>
        </w:rPr>
        <w:t>：</w:t>
      </w:r>
    </w:p>
    <w:p w14:paraId="7C1C1829">
      <w:pPr>
        <w:adjustRightInd w:val="0"/>
        <w:snapToGrid w:val="0"/>
        <w:spacing w:line="360" w:lineRule="auto"/>
        <w:ind w:firstLine="480" w:firstLineChars="200"/>
        <w:rPr>
          <w:rFonts w:ascii="宋体" w:hAnsi="宋体"/>
          <w:color w:val="auto"/>
          <w:szCs w:val="21"/>
        </w:rPr>
      </w:pPr>
    </w:p>
    <w:p w14:paraId="4759C93A">
      <w:pPr>
        <w:adjustRightInd w:val="0"/>
        <w:snapToGrid w:val="0"/>
        <w:spacing w:line="360" w:lineRule="auto"/>
        <w:ind w:firstLine="480" w:firstLineChars="200"/>
        <w:rPr>
          <w:rFonts w:hint="eastAsia" w:ascii="宋体" w:hAnsi="宋体"/>
          <w:color w:val="auto"/>
          <w:szCs w:val="21"/>
        </w:rPr>
      </w:pPr>
      <w:r>
        <w:rPr>
          <w:rFonts w:hint="eastAsia" w:ascii="宋体" w:hAnsi="宋体"/>
          <w:color w:val="auto"/>
          <w:szCs w:val="21"/>
        </w:rPr>
        <w:t>我公司参与</w:t>
      </w:r>
      <w:r>
        <w:rPr>
          <w:rFonts w:hint="eastAsia" w:ascii="宋体" w:hAnsi="宋体"/>
          <w:color w:val="auto"/>
          <w:szCs w:val="21"/>
          <w:u w:val="single"/>
        </w:rPr>
        <w:t xml:space="preserve">                          （</w:t>
      </w:r>
      <w:r>
        <w:rPr>
          <w:rFonts w:hint="eastAsia" w:ascii="宋体" w:hAnsi="宋体"/>
          <w:color w:val="auto"/>
          <w:szCs w:val="21"/>
        </w:rPr>
        <w:t>项目名称、编号）招标，本公司郑重声明，我方参加本项目政府采购活动前三年内无重大违法记录，符合《政府采购法》规定的</w:t>
      </w:r>
      <w:r>
        <w:rPr>
          <w:rFonts w:hint="eastAsia" w:hAnsi="宋体"/>
          <w:color w:val="auto"/>
          <w:szCs w:val="21"/>
          <w:lang w:eastAsia="zh-CN"/>
        </w:rPr>
        <w:t>供应商</w:t>
      </w:r>
      <w:r>
        <w:rPr>
          <w:rFonts w:hint="eastAsia" w:ascii="宋体" w:hAnsi="宋体"/>
          <w:color w:val="auto"/>
          <w:szCs w:val="21"/>
        </w:rPr>
        <w:t>条件。若贵方在本项目采购过程中发现我方政府采购活动前三年内有重大违法记录，我公司将无条件退出本项目的招标，并承担因此引起的一切后果。我方对此声明负全部法律责任。</w:t>
      </w:r>
    </w:p>
    <w:p w14:paraId="76BB2A4A">
      <w:pPr>
        <w:adjustRightInd w:val="0"/>
        <w:snapToGrid w:val="0"/>
        <w:spacing w:line="360" w:lineRule="auto"/>
        <w:ind w:firstLine="480" w:firstLineChars="200"/>
        <w:rPr>
          <w:rFonts w:hint="eastAsia" w:ascii="宋体" w:hAnsi="宋体"/>
          <w:color w:val="auto"/>
          <w:szCs w:val="21"/>
        </w:rPr>
      </w:pPr>
      <w:r>
        <w:rPr>
          <w:rFonts w:hint="eastAsia" w:ascii="宋体" w:hAnsi="宋体"/>
          <w:color w:val="auto"/>
          <w:szCs w:val="21"/>
        </w:rPr>
        <w:t xml:space="preserve">特此声明  </w:t>
      </w:r>
    </w:p>
    <w:p w14:paraId="3318974F">
      <w:pPr>
        <w:adjustRightInd w:val="0"/>
        <w:snapToGrid w:val="0"/>
        <w:spacing w:line="360" w:lineRule="auto"/>
        <w:ind w:firstLine="480" w:firstLineChars="200"/>
        <w:rPr>
          <w:rFonts w:ascii="宋体" w:hAnsi="宋体"/>
          <w:color w:val="auto"/>
          <w:szCs w:val="21"/>
        </w:rPr>
      </w:pPr>
    </w:p>
    <w:p w14:paraId="0050AE04">
      <w:pPr>
        <w:adjustRightInd w:val="0"/>
        <w:snapToGrid w:val="0"/>
        <w:spacing w:line="360" w:lineRule="auto"/>
        <w:ind w:firstLine="480" w:firstLineChars="200"/>
        <w:rPr>
          <w:rFonts w:ascii="宋体" w:hAnsi="宋体"/>
          <w:color w:val="auto"/>
          <w:szCs w:val="21"/>
        </w:rPr>
      </w:pPr>
    </w:p>
    <w:p w14:paraId="66226B84">
      <w:pPr>
        <w:adjustRightInd w:val="0"/>
        <w:snapToGrid w:val="0"/>
        <w:spacing w:line="360" w:lineRule="auto"/>
        <w:ind w:firstLine="480" w:firstLineChars="200"/>
        <w:rPr>
          <w:rFonts w:ascii="宋体" w:hAnsi="宋体"/>
          <w:color w:val="auto"/>
          <w:szCs w:val="21"/>
        </w:rPr>
      </w:pPr>
    </w:p>
    <w:p w14:paraId="6F629B7A">
      <w:pPr>
        <w:adjustRightInd w:val="0"/>
        <w:snapToGrid w:val="0"/>
        <w:spacing w:line="360" w:lineRule="auto"/>
        <w:ind w:firstLine="480" w:firstLineChars="200"/>
        <w:rPr>
          <w:rFonts w:ascii="宋体" w:hAnsi="宋体"/>
          <w:color w:val="auto"/>
          <w:szCs w:val="21"/>
        </w:rPr>
      </w:pPr>
    </w:p>
    <w:p w14:paraId="4FB93881">
      <w:pPr>
        <w:adjustRightInd w:val="0"/>
        <w:snapToGrid w:val="0"/>
        <w:spacing w:line="360" w:lineRule="auto"/>
        <w:ind w:firstLine="480" w:firstLineChars="200"/>
        <w:rPr>
          <w:rFonts w:hint="eastAsia" w:ascii="宋体" w:hAnsi="宋体"/>
          <w:bCs/>
          <w:color w:val="auto"/>
          <w:szCs w:val="21"/>
        </w:rPr>
      </w:pPr>
    </w:p>
    <w:p w14:paraId="0778D4BE">
      <w:pPr>
        <w:adjustRightInd w:val="0"/>
        <w:snapToGrid w:val="0"/>
        <w:spacing w:line="360" w:lineRule="auto"/>
        <w:ind w:firstLine="3112" w:firstLineChars="1297"/>
        <w:rPr>
          <w:rFonts w:hint="eastAsia" w:ascii="宋体" w:hAnsi="宋体"/>
          <w:color w:val="auto"/>
          <w:szCs w:val="21"/>
        </w:rPr>
      </w:pPr>
    </w:p>
    <w:p w14:paraId="1D67B19B">
      <w:pPr>
        <w:adjustRightInd w:val="0"/>
        <w:snapToGrid w:val="0"/>
        <w:spacing w:line="360" w:lineRule="auto"/>
        <w:rPr>
          <w:rFonts w:hint="eastAsia" w:ascii="宋体" w:hAnsi="宋体"/>
          <w:color w:val="auto"/>
          <w:szCs w:val="21"/>
        </w:rPr>
      </w:pPr>
      <w:r>
        <w:rPr>
          <w:rFonts w:hint="eastAsia" w:hAnsi="宋体"/>
          <w:color w:val="auto"/>
          <w:szCs w:val="21"/>
          <w:lang w:eastAsia="zh-CN"/>
        </w:rPr>
        <w:t>供应商</w:t>
      </w:r>
      <w:r>
        <w:rPr>
          <w:rFonts w:hint="eastAsia" w:ascii="宋体" w:hAnsi="宋体"/>
          <w:color w:val="auto"/>
          <w:szCs w:val="21"/>
        </w:rPr>
        <w:t>（盖单位章）：</w:t>
      </w:r>
    </w:p>
    <w:p w14:paraId="4C4B3904">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3336B0A2">
      <w:pPr>
        <w:adjustRightInd w:val="0"/>
        <w:snapToGrid w:val="0"/>
        <w:spacing w:line="360" w:lineRule="auto"/>
        <w:rPr>
          <w:rFonts w:hint="eastAsia" w:ascii="宋体" w:hAnsi="宋体"/>
          <w:bCs/>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bCs/>
          <w:color w:val="auto"/>
          <w:szCs w:val="21"/>
        </w:rPr>
        <w:t>日</w:t>
      </w:r>
    </w:p>
    <w:p w14:paraId="567D6A0D">
      <w:pPr>
        <w:spacing w:line="360" w:lineRule="auto"/>
        <w:ind w:firstLine="4003" w:firstLineChars="1668"/>
        <w:rPr>
          <w:rFonts w:hint="eastAsia" w:ascii="宋体" w:hAnsi="宋体"/>
          <w:color w:val="auto"/>
          <w:szCs w:val="21"/>
        </w:rPr>
      </w:pPr>
    </w:p>
    <w:p w14:paraId="7F0CF90F">
      <w:pPr>
        <w:spacing w:line="360" w:lineRule="auto"/>
        <w:ind w:firstLine="4003" w:firstLineChars="1668"/>
        <w:rPr>
          <w:rFonts w:hint="eastAsia" w:ascii="宋体" w:hAnsi="宋体"/>
          <w:color w:val="auto"/>
          <w:szCs w:val="21"/>
        </w:rPr>
      </w:pPr>
    </w:p>
    <w:p w14:paraId="28EFBE4A">
      <w:pPr>
        <w:spacing w:line="360" w:lineRule="auto"/>
        <w:rPr>
          <w:rFonts w:hint="eastAsia"/>
          <w:color w:val="auto"/>
          <w:szCs w:val="21"/>
        </w:rPr>
      </w:pPr>
      <w:r>
        <w:rPr>
          <w:rFonts w:hint="eastAsia"/>
          <w:color w:val="auto"/>
        </w:rPr>
        <w:t>附注：近三年：成立三年以上的，为提交首次投标文件截止时间前三年内；成立不足三年的，为实际时间</w:t>
      </w:r>
      <w:r>
        <w:rPr>
          <w:rFonts w:hint="eastAsia"/>
          <w:color w:val="auto"/>
          <w:szCs w:val="21"/>
        </w:rPr>
        <w:t>。</w:t>
      </w:r>
    </w:p>
    <w:p w14:paraId="5C4F983D">
      <w:pPr>
        <w:rPr>
          <w:rFonts w:hint="default"/>
          <w:color w:val="auto"/>
        </w:rPr>
        <w:sectPr>
          <w:pgSz w:w="11910" w:h="16840"/>
          <w:pgMar w:top="1580" w:right="1680" w:bottom="1600" w:left="1680" w:header="0" w:footer="1415" w:gutter="0"/>
          <w:pgNumType w:fmt="decimal"/>
          <w:cols w:space="720" w:num="1"/>
        </w:sectPr>
      </w:pPr>
    </w:p>
    <w:p w14:paraId="4A9B049B">
      <w:pPr>
        <w:pStyle w:val="3"/>
        <w:kinsoku w:val="0"/>
        <w:overflowPunct w:val="0"/>
        <w:spacing w:line="395" w:lineRule="exact"/>
        <w:rPr>
          <w:rFonts w:hint="default"/>
          <w:b w:val="0"/>
          <w:color w:val="auto"/>
        </w:rPr>
      </w:pPr>
      <w:bookmarkStart w:id="73" w:name="9、★不参与围标串标承诺书"/>
      <w:bookmarkEnd w:id="73"/>
      <w:bookmarkStart w:id="74" w:name="二、商务（响应）文件"/>
      <w:bookmarkEnd w:id="74"/>
      <w:r>
        <w:rPr>
          <w:rFonts w:hint="eastAsia"/>
          <w:color w:val="auto"/>
          <w:lang w:val="en-US" w:eastAsia="zh-CN"/>
        </w:rPr>
        <w:t>8</w:t>
      </w:r>
      <w:r>
        <w:rPr>
          <w:color w:val="auto"/>
        </w:rPr>
        <w:t>、★不参与围标串标承诺书</w:t>
      </w:r>
    </w:p>
    <w:p w14:paraId="0F4F14DA">
      <w:pPr>
        <w:pStyle w:val="8"/>
        <w:kinsoku w:val="0"/>
        <w:overflowPunct w:val="0"/>
        <w:spacing w:before="0" w:line="360" w:lineRule="auto"/>
        <w:ind w:leftChars="50" w:firstLine="480" w:firstLineChars="200"/>
        <w:rPr>
          <w:color w:val="auto"/>
        </w:rPr>
      </w:pPr>
    </w:p>
    <w:p w14:paraId="315C7394">
      <w:pPr>
        <w:pStyle w:val="8"/>
        <w:kinsoku w:val="0"/>
        <w:overflowPunct w:val="0"/>
        <w:spacing w:before="0" w:line="360" w:lineRule="auto"/>
        <w:ind w:leftChars="50" w:firstLine="480" w:firstLineChars="200"/>
        <w:rPr>
          <w:rFonts w:hint="default"/>
          <w:color w:val="auto"/>
          <w:spacing w:val="11"/>
        </w:rPr>
      </w:pPr>
      <w:r>
        <w:rPr>
          <w:color w:val="auto"/>
        </w:rPr>
        <w:t>参与围标串标承诺书</w:t>
      </w:r>
      <w:r>
        <w:rPr>
          <w:color w:val="auto"/>
          <w:spacing w:val="11"/>
        </w:rPr>
        <w:t>本人作为（单位名称）的法人，清楚知晓我公司本项目投标活动，对以下事项作出承诺：</w:t>
      </w:r>
    </w:p>
    <w:p w14:paraId="07E4E6D0">
      <w:pPr>
        <w:pStyle w:val="8"/>
        <w:kinsoku w:val="0"/>
        <w:overflowPunct w:val="0"/>
        <w:spacing w:before="154" w:line="360" w:lineRule="auto"/>
        <w:ind w:leftChars="50" w:firstLine="262" w:firstLineChars="100"/>
        <w:rPr>
          <w:rFonts w:hint="default"/>
          <w:color w:val="auto"/>
          <w:spacing w:val="10"/>
        </w:rPr>
      </w:pPr>
      <w:r>
        <w:rPr>
          <w:color w:val="auto"/>
          <w:spacing w:val="11"/>
        </w:rPr>
        <w:t>一、我单位遵循公开、公平、公正、诚实守信的原则，依法依</w:t>
      </w:r>
      <w:r>
        <w:rPr>
          <w:color w:val="auto"/>
          <w:spacing w:val="10"/>
        </w:rPr>
        <w:t>规参与本项目竞标。</w:t>
      </w:r>
    </w:p>
    <w:p w14:paraId="5DCAEE7B">
      <w:pPr>
        <w:pStyle w:val="8"/>
        <w:kinsoku w:val="0"/>
        <w:overflowPunct w:val="0"/>
        <w:spacing w:before="38" w:line="360" w:lineRule="auto"/>
        <w:ind w:firstLine="262" w:firstLineChars="100"/>
        <w:rPr>
          <w:rFonts w:hint="default"/>
          <w:color w:val="auto"/>
          <w:spacing w:val="-108"/>
        </w:rPr>
      </w:pPr>
      <w:r>
        <w:rPr>
          <w:color w:val="auto"/>
          <w:spacing w:val="11"/>
        </w:rPr>
        <w:t>二、我单位在本项目招标投标活动中，未参与围标串标。</w:t>
      </w:r>
      <w:r>
        <w:rPr>
          <w:color w:val="auto"/>
          <w:spacing w:val="-108"/>
        </w:rPr>
        <w:t xml:space="preserve"> </w:t>
      </w:r>
    </w:p>
    <w:p w14:paraId="2540825F">
      <w:pPr>
        <w:pStyle w:val="8"/>
        <w:kinsoku w:val="0"/>
        <w:overflowPunct w:val="0"/>
        <w:spacing w:before="38" w:line="360" w:lineRule="auto"/>
        <w:ind w:leftChars="50" w:firstLine="262" w:firstLineChars="100"/>
        <w:rPr>
          <w:rFonts w:hint="default"/>
          <w:color w:val="auto"/>
          <w:spacing w:val="11"/>
        </w:rPr>
      </w:pPr>
      <w:r>
        <w:rPr>
          <w:color w:val="auto"/>
          <w:spacing w:val="11"/>
        </w:rPr>
        <w:t>三、我单位如被查实在本项目招标投标活动中存在围标串标的，</w:t>
      </w:r>
    </w:p>
    <w:p w14:paraId="4527586B">
      <w:pPr>
        <w:pStyle w:val="8"/>
        <w:kinsoku w:val="0"/>
        <w:overflowPunct w:val="0"/>
        <w:spacing w:before="34" w:line="360" w:lineRule="auto"/>
        <w:ind w:firstLine="524" w:firstLineChars="200"/>
        <w:rPr>
          <w:rFonts w:hint="default"/>
          <w:color w:val="auto"/>
          <w:spacing w:val="11"/>
        </w:rPr>
      </w:pPr>
      <w:r>
        <w:rPr>
          <w:color w:val="auto"/>
          <w:spacing w:val="11"/>
        </w:rPr>
        <w:t>递交投标文件行为作为实施串通投标违法行为的关键环节，本人承担直接责</w:t>
      </w:r>
      <w:r>
        <w:rPr>
          <w:color w:val="auto"/>
          <w:spacing w:val="-110"/>
        </w:rPr>
        <w:t xml:space="preserve"> </w:t>
      </w:r>
      <w:r>
        <w:rPr>
          <w:color w:val="auto"/>
          <w:spacing w:val="11"/>
        </w:rPr>
        <w:t>任人员法律责任，接受相应行政处罚和失信惩戒。</w:t>
      </w:r>
    </w:p>
    <w:p w14:paraId="36D62EB3">
      <w:pPr>
        <w:pStyle w:val="8"/>
        <w:kinsoku w:val="0"/>
        <w:overflowPunct w:val="0"/>
        <w:spacing w:before="34" w:line="360" w:lineRule="auto"/>
        <w:ind w:right="4921"/>
        <w:rPr>
          <w:color w:val="auto"/>
          <w:spacing w:val="9"/>
        </w:rPr>
      </w:pPr>
      <w:r>
        <w:rPr>
          <w:color w:val="auto"/>
          <w:spacing w:val="9"/>
        </w:rPr>
        <w:t>项目编号：</w:t>
      </w:r>
    </w:p>
    <w:p w14:paraId="274D9B1D">
      <w:pPr>
        <w:pStyle w:val="8"/>
        <w:kinsoku w:val="0"/>
        <w:overflowPunct w:val="0"/>
        <w:spacing w:before="34" w:line="360" w:lineRule="auto"/>
        <w:ind w:right="4921"/>
        <w:rPr>
          <w:color w:val="auto"/>
          <w:spacing w:val="9"/>
        </w:rPr>
      </w:pPr>
      <w:r>
        <w:rPr>
          <w:color w:val="auto"/>
          <w:spacing w:val="-118"/>
        </w:rPr>
        <w:t xml:space="preserve"> </w:t>
      </w:r>
      <w:r>
        <w:rPr>
          <w:color w:val="auto"/>
          <w:spacing w:val="9"/>
        </w:rPr>
        <w:t>标段号：</w:t>
      </w:r>
    </w:p>
    <w:p w14:paraId="0DC4E643">
      <w:pPr>
        <w:pStyle w:val="8"/>
        <w:kinsoku w:val="0"/>
        <w:overflowPunct w:val="0"/>
        <w:spacing w:before="34" w:line="360" w:lineRule="auto"/>
        <w:ind w:right="4921"/>
        <w:rPr>
          <w:color w:val="auto"/>
          <w:spacing w:val="10"/>
        </w:rPr>
      </w:pPr>
      <w:r>
        <w:rPr>
          <w:color w:val="auto"/>
          <w:spacing w:val="10"/>
        </w:rPr>
        <w:t>供应商单位名称</w:t>
      </w:r>
      <w:r>
        <w:rPr>
          <w:rFonts w:hint="eastAsia"/>
          <w:color w:val="auto"/>
          <w:spacing w:val="10"/>
          <w:lang w:eastAsia="zh-CN"/>
        </w:rPr>
        <w:t>（</w:t>
      </w:r>
      <w:r>
        <w:rPr>
          <w:color w:val="auto"/>
          <w:spacing w:val="10"/>
        </w:rPr>
        <w:t>盖章</w:t>
      </w:r>
      <w:r>
        <w:rPr>
          <w:rFonts w:hint="eastAsia"/>
          <w:color w:val="auto"/>
          <w:spacing w:val="10"/>
          <w:lang w:eastAsia="zh-CN"/>
        </w:rPr>
        <w:t>）</w:t>
      </w:r>
      <w:r>
        <w:rPr>
          <w:color w:val="auto"/>
          <w:spacing w:val="10"/>
        </w:rPr>
        <w:t>：</w:t>
      </w:r>
    </w:p>
    <w:p w14:paraId="765CC944">
      <w:pPr>
        <w:pStyle w:val="8"/>
        <w:kinsoku w:val="0"/>
        <w:overflowPunct w:val="0"/>
        <w:spacing w:before="34" w:line="360" w:lineRule="auto"/>
        <w:ind w:right="4921"/>
        <w:rPr>
          <w:rFonts w:hint="default"/>
          <w:color w:val="auto"/>
          <w:spacing w:val="10"/>
        </w:rPr>
      </w:pPr>
      <w:r>
        <w:rPr>
          <w:color w:val="auto"/>
          <w:spacing w:val="-117"/>
        </w:rPr>
        <w:t xml:space="preserve"> </w:t>
      </w:r>
      <w:r>
        <w:rPr>
          <w:color w:val="auto"/>
          <w:spacing w:val="10"/>
        </w:rPr>
        <w:t>供应商法人签名：</w:t>
      </w:r>
    </w:p>
    <w:p w14:paraId="695B4E94">
      <w:pPr>
        <w:pStyle w:val="8"/>
        <w:kinsoku w:val="0"/>
        <w:overflowPunct w:val="0"/>
        <w:spacing w:before="0" w:line="360" w:lineRule="auto"/>
        <w:ind w:left="1765" w:leftChars="627" w:right="5926" w:hanging="260" w:hangingChars="100"/>
        <w:rPr>
          <w:rFonts w:hint="default"/>
          <w:color w:val="auto"/>
          <w:spacing w:val="8"/>
        </w:rPr>
        <w:sectPr>
          <w:footerReference r:id="rId16" w:type="default"/>
          <w:pgSz w:w="11910" w:h="16840"/>
          <w:pgMar w:top="1500" w:right="1580" w:bottom="1600" w:left="1680" w:header="0" w:footer="1415" w:gutter="0"/>
          <w:pgNumType w:fmt="decimal"/>
          <w:cols w:space="720" w:num="1"/>
        </w:sectPr>
      </w:pPr>
      <w:r>
        <w:rPr>
          <w:color w:val="auto"/>
          <w:spacing w:val="10"/>
        </w:rPr>
        <w:t xml:space="preserve"> 年</w:t>
      </w:r>
      <w:r>
        <w:rPr>
          <w:rFonts w:hint="eastAsia"/>
          <w:color w:val="auto"/>
          <w:spacing w:val="10"/>
          <w:lang w:val="en-US" w:eastAsia="zh-CN"/>
        </w:rPr>
        <w:t xml:space="preserve"> </w:t>
      </w:r>
      <w:r>
        <w:rPr>
          <w:color w:val="auto"/>
          <w:spacing w:val="10"/>
        </w:rPr>
        <w:t>月</w:t>
      </w:r>
      <w:r>
        <w:rPr>
          <w:rFonts w:hint="eastAsia"/>
          <w:color w:val="auto"/>
          <w:spacing w:val="10"/>
          <w:lang w:val="en-US" w:eastAsia="zh-CN"/>
        </w:rPr>
        <w:t xml:space="preserve"> </w:t>
      </w:r>
      <w:r>
        <w:rPr>
          <w:color w:val="auto"/>
          <w:spacing w:val="10"/>
        </w:rPr>
        <w:t>日</w:t>
      </w:r>
    </w:p>
    <w:p w14:paraId="4D3A5B81">
      <w:pPr>
        <w:pStyle w:val="3"/>
        <w:kinsoku w:val="0"/>
        <w:overflowPunct w:val="0"/>
        <w:spacing w:line="395" w:lineRule="exact"/>
        <w:rPr>
          <w:rFonts w:hint="default"/>
          <w:b w:val="0"/>
          <w:color w:val="auto"/>
        </w:rPr>
      </w:pPr>
      <w:bookmarkStart w:id="75" w:name="1、★投标函"/>
      <w:bookmarkEnd w:id="75"/>
      <w:r>
        <w:rPr>
          <w:color w:val="auto"/>
        </w:rPr>
        <w:t>二、商务文件</w:t>
      </w:r>
    </w:p>
    <w:p w14:paraId="2BEDD7F6">
      <w:pPr>
        <w:pStyle w:val="3"/>
        <w:kinsoku w:val="0"/>
        <w:overflowPunct w:val="0"/>
        <w:spacing w:line="395" w:lineRule="exact"/>
        <w:outlineLvl w:val="9"/>
        <w:rPr>
          <w:rFonts w:hint="default"/>
          <w:b w:val="0"/>
          <w:color w:val="auto"/>
        </w:rPr>
        <w:sectPr>
          <w:pgSz w:w="11910" w:h="16840"/>
          <w:pgMar w:top="1500" w:right="1680" w:bottom="1600" w:left="1680" w:header="0" w:footer="1415" w:gutter="0"/>
          <w:pgNumType w:fmt="decimal"/>
          <w:cols w:space="720" w:num="1"/>
        </w:sectPr>
      </w:pPr>
    </w:p>
    <w:p w14:paraId="0BCE6235">
      <w:pPr>
        <w:pStyle w:val="8"/>
        <w:kinsoku w:val="0"/>
        <w:overflowPunct w:val="0"/>
        <w:spacing w:before="0" w:line="395" w:lineRule="exact"/>
        <w:ind w:right="237"/>
        <w:jc w:val="center"/>
        <w:rPr>
          <w:rFonts w:hint="default" w:ascii="黑体" w:eastAsia="黑体" w:cs="黑体"/>
          <w:color w:val="auto"/>
          <w:sz w:val="32"/>
          <w:szCs w:val="32"/>
        </w:rPr>
      </w:pPr>
      <w:r>
        <w:rPr>
          <w:rFonts w:ascii="黑体" w:eastAsia="黑体" w:cs="黑体"/>
          <w:b/>
          <w:color w:val="auto"/>
          <w:sz w:val="32"/>
          <w:szCs w:val="32"/>
        </w:rPr>
        <w:t>1、★投标函</w:t>
      </w:r>
    </w:p>
    <w:p w14:paraId="42BAD857">
      <w:pPr>
        <w:pStyle w:val="8"/>
        <w:kinsoku w:val="0"/>
        <w:overflowPunct w:val="0"/>
        <w:spacing w:before="190" w:line="357" w:lineRule="auto"/>
        <w:ind w:right="117"/>
        <w:rPr>
          <w:color w:val="auto"/>
        </w:rPr>
      </w:pPr>
      <w:r>
        <w:rPr>
          <w:color w:val="auto"/>
        </w:rPr>
        <w:t xml:space="preserve">（采购人）： </w:t>
      </w:r>
    </w:p>
    <w:p w14:paraId="1018FF7B">
      <w:pPr>
        <w:pStyle w:val="8"/>
        <w:kinsoku w:val="0"/>
        <w:overflowPunct w:val="0"/>
        <w:spacing w:before="190" w:line="357" w:lineRule="auto"/>
        <w:ind w:right="117" w:firstLine="480" w:firstLineChars="200"/>
        <w:rPr>
          <w:rFonts w:hint="default"/>
          <w:color w:val="auto"/>
        </w:rPr>
      </w:pPr>
      <w:r>
        <w:rPr>
          <w:color w:val="auto"/>
        </w:rPr>
        <w:t>(</w:t>
      </w:r>
      <w:r>
        <w:rPr>
          <w:rFonts w:hint="eastAsia"/>
          <w:color w:val="auto"/>
          <w:lang w:eastAsia="zh-CN"/>
        </w:rPr>
        <w:t>供应商</w:t>
      </w:r>
      <w:r>
        <w:rPr>
          <w:color w:val="auto"/>
        </w:rPr>
        <w:t>名称)授权(</w:t>
      </w:r>
      <w:r>
        <w:rPr>
          <w:rFonts w:hint="eastAsia"/>
          <w:color w:val="auto"/>
          <w:lang w:eastAsia="zh-CN"/>
        </w:rPr>
        <w:t>供应商</w:t>
      </w:r>
      <w:r>
        <w:rPr>
          <w:color w:val="auto"/>
        </w:rPr>
        <w:t>授权代理人姓名)(职务、职称)为我方代表，参加贵</w:t>
      </w:r>
      <w:r>
        <w:rPr>
          <w:color w:val="auto"/>
          <w:spacing w:val="-101"/>
        </w:rPr>
        <w:t xml:space="preserve"> </w:t>
      </w:r>
      <w:r>
        <w:rPr>
          <w:color w:val="auto"/>
        </w:rPr>
        <w:t xml:space="preserve">方组织的 </w:t>
      </w:r>
      <w:r>
        <w:rPr>
          <w:color w:val="auto"/>
          <w:spacing w:val="-3"/>
        </w:rPr>
        <w:t>(项目名称、项目编号、包号)招标的有关活动，并对此项目进行投标。</w:t>
      </w:r>
      <w:r>
        <w:rPr>
          <w:color w:val="auto"/>
        </w:rPr>
        <w:t xml:space="preserve"> 为此：</w:t>
      </w:r>
    </w:p>
    <w:p w14:paraId="54BDA361">
      <w:pPr>
        <w:pStyle w:val="8"/>
        <w:kinsoku w:val="0"/>
        <w:overflowPunct w:val="0"/>
        <w:spacing w:line="357" w:lineRule="auto"/>
        <w:ind w:right="237" w:firstLine="480"/>
        <w:rPr>
          <w:rFonts w:hint="default"/>
          <w:color w:val="auto"/>
        </w:rPr>
      </w:pPr>
      <w:r>
        <w:rPr>
          <w:color w:val="auto"/>
        </w:rPr>
        <w:t>1、我方同意在本项目招标文件中规定的投标有效期</w:t>
      </w:r>
      <w:r>
        <w:rPr>
          <w:rFonts w:hint="eastAsia"/>
          <w:color w:val="auto"/>
          <w:u w:val="single"/>
          <w:lang w:val="en-US" w:eastAsia="zh-CN"/>
        </w:rPr>
        <w:t xml:space="preserve">        </w:t>
      </w:r>
      <w:r>
        <w:rPr>
          <w:color w:val="auto"/>
        </w:rPr>
        <w:t>内遵守本投标文件中的承诺且在此期限期满之前均具有约束力。</w:t>
      </w:r>
    </w:p>
    <w:p w14:paraId="15263851">
      <w:pPr>
        <w:pStyle w:val="8"/>
        <w:kinsoku w:val="0"/>
        <w:overflowPunct w:val="0"/>
        <w:spacing w:line="357" w:lineRule="auto"/>
        <w:ind w:right="237" w:firstLine="480"/>
        <w:rPr>
          <w:rFonts w:hint="default"/>
          <w:color w:val="auto"/>
        </w:rPr>
      </w:pPr>
      <w:r>
        <w:rPr>
          <w:color w:val="auto"/>
        </w:rPr>
        <w:t>2、我方承诺已经具备《中华人民共和国政府采购法》中规定的参加政府采 购活动的供应商应当具备的条件：</w:t>
      </w:r>
    </w:p>
    <w:p w14:paraId="4DC16BD5">
      <w:pPr>
        <w:pStyle w:val="8"/>
        <w:kinsoku w:val="0"/>
        <w:overflowPunct w:val="0"/>
        <w:ind w:left="600" w:right="237"/>
        <w:rPr>
          <w:rFonts w:hint="default"/>
          <w:color w:val="auto"/>
        </w:rPr>
      </w:pPr>
      <w:r>
        <w:rPr>
          <w:color w:val="auto"/>
        </w:rPr>
        <w:t>1）具有独立承担民事责任的能力；</w:t>
      </w:r>
    </w:p>
    <w:p w14:paraId="4F5352C6">
      <w:pPr>
        <w:pStyle w:val="8"/>
        <w:kinsoku w:val="0"/>
        <w:overflowPunct w:val="0"/>
        <w:spacing w:before="154"/>
        <w:ind w:left="600" w:right="237"/>
        <w:rPr>
          <w:rFonts w:hint="default"/>
          <w:color w:val="auto"/>
        </w:rPr>
      </w:pPr>
      <w:r>
        <w:rPr>
          <w:color w:val="auto"/>
        </w:rPr>
        <w:t>2）具有良好的商业信誉和健全的财务会计制度；</w:t>
      </w:r>
    </w:p>
    <w:p w14:paraId="47431668">
      <w:pPr>
        <w:pStyle w:val="8"/>
        <w:kinsoku w:val="0"/>
        <w:overflowPunct w:val="0"/>
        <w:spacing w:before="154"/>
        <w:ind w:left="600" w:right="237"/>
        <w:rPr>
          <w:rFonts w:hint="default"/>
          <w:color w:val="auto"/>
        </w:rPr>
      </w:pPr>
      <w:r>
        <w:rPr>
          <w:color w:val="auto"/>
        </w:rPr>
        <w:t>3）具有履行合同所必需的设备和专业技术能力；</w:t>
      </w:r>
    </w:p>
    <w:p w14:paraId="641A2C71">
      <w:pPr>
        <w:pStyle w:val="8"/>
        <w:kinsoku w:val="0"/>
        <w:overflowPunct w:val="0"/>
        <w:spacing w:before="154"/>
        <w:ind w:left="600" w:right="237"/>
        <w:rPr>
          <w:rFonts w:hint="default"/>
          <w:color w:val="auto"/>
        </w:rPr>
      </w:pPr>
      <w:r>
        <w:rPr>
          <w:color w:val="auto"/>
        </w:rPr>
        <w:t>4）有依法缴纳税收和社会保障资金的良好记录；</w:t>
      </w:r>
    </w:p>
    <w:p w14:paraId="23FA1521">
      <w:pPr>
        <w:pStyle w:val="8"/>
        <w:kinsoku w:val="0"/>
        <w:overflowPunct w:val="0"/>
        <w:spacing w:before="154"/>
        <w:ind w:left="600" w:right="237"/>
        <w:rPr>
          <w:rFonts w:hint="default"/>
          <w:color w:val="auto"/>
        </w:rPr>
      </w:pPr>
      <w:r>
        <w:rPr>
          <w:color w:val="auto"/>
        </w:rPr>
        <w:t>5）参加此项采购活动前三年内，在经营活动中没有重大违法记录；</w:t>
      </w:r>
    </w:p>
    <w:p w14:paraId="1740E768">
      <w:pPr>
        <w:pStyle w:val="8"/>
        <w:kinsoku w:val="0"/>
        <w:overflowPunct w:val="0"/>
        <w:spacing w:before="154"/>
        <w:ind w:left="600" w:right="237"/>
        <w:rPr>
          <w:rFonts w:hint="default"/>
          <w:color w:val="auto"/>
        </w:rPr>
      </w:pPr>
      <w:r>
        <w:rPr>
          <w:color w:val="auto"/>
        </w:rPr>
        <w:t>6）法律、行政法规规定的其他条件。</w:t>
      </w:r>
    </w:p>
    <w:p w14:paraId="7DA997B9">
      <w:pPr>
        <w:pStyle w:val="8"/>
        <w:kinsoku w:val="0"/>
        <w:overflowPunct w:val="0"/>
        <w:spacing w:before="154" w:line="357" w:lineRule="auto"/>
        <w:ind w:right="237" w:firstLine="480"/>
        <w:rPr>
          <w:rFonts w:hint="default"/>
          <w:color w:val="auto"/>
        </w:rPr>
      </w:pPr>
      <w:r>
        <w:rPr>
          <w:color w:val="auto"/>
        </w:rPr>
        <w:t>3、提供</w:t>
      </w:r>
      <w:r>
        <w:rPr>
          <w:rFonts w:hint="eastAsia"/>
          <w:color w:val="auto"/>
          <w:lang w:eastAsia="zh-CN"/>
        </w:rPr>
        <w:t>供应商</w:t>
      </w:r>
      <w:r>
        <w:rPr>
          <w:color w:val="auto"/>
        </w:rPr>
        <w:t>须知规定的全部投标文件，包括在政采云平台上传加密电子 投标文件一份。</w:t>
      </w:r>
    </w:p>
    <w:p w14:paraId="60E0A7AA">
      <w:pPr>
        <w:pStyle w:val="8"/>
        <w:kinsoku w:val="0"/>
        <w:overflowPunct w:val="0"/>
        <w:spacing w:line="357" w:lineRule="auto"/>
        <w:ind w:right="237" w:firstLine="480"/>
        <w:rPr>
          <w:rFonts w:hint="default"/>
          <w:color w:val="auto"/>
        </w:rPr>
      </w:pPr>
      <w:r>
        <w:rPr>
          <w:color w:val="auto"/>
        </w:rPr>
        <w:t>4、按招标文件要求提供和交付的货物及相关服务的投标报价详见开标一览 表。</w:t>
      </w:r>
    </w:p>
    <w:p w14:paraId="1EFC726F">
      <w:pPr>
        <w:pStyle w:val="8"/>
        <w:kinsoku w:val="0"/>
        <w:overflowPunct w:val="0"/>
        <w:ind w:left="600" w:right="237"/>
        <w:rPr>
          <w:rFonts w:hint="default"/>
          <w:color w:val="auto"/>
        </w:rPr>
      </w:pPr>
      <w:r>
        <w:rPr>
          <w:color w:val="auto"/>
        </w:rPr>
        <w:t>5、保证忠实地执行双方所签订的合同，并承担合同规定的责任和义务。</w:t>
      </w:r>
    </w:p>
    <w:p w14:paraId="612B4748">
      <w:pPr>
        <w:pStyle w:val="8"/>
        <w:kinsoku w:val="0"/>
        <w:overflowPunct w:val="0"/>
        <w:spacing w:before="154" w:line="357" w:lineRule="auto"/>
        <w:ind w:right="117" w:firstLine="480"/>
        <w:rPr>
          <w:rFonts w:hint="default"/>
          <w:color w:val="auto"/>
        </w:rPr>
      </w:pPr>
      <w:r>
        <w:rPr>
          <w:color w:val="auto"/>
          <w:spacing w:val="-3"/>
        </w:rPr>
        <w:t>6、我方承诺完全满足和响应招标文件中的各项技术和服务要求，若有偏差，</w:t>
      </w:r>
      <w:r>
        <w:rPr>
          <w:color w:val="auto"/>
        </w:rPr>
        <w:t xml:space="preserve"> 已在投标文件偏离表中予以明确特别说明。</w:t>
      </w:r>
    </w:p>
    <w:p w14:paraId="1CA2FB20">
      <w:pPr>
        <w:pStyle w:val="8"/>
        <w:kinsoku w:val="0"/>
        <w:overflowPunct w:val="0"/>
        <w:ind w:left="600" w:right="237"/>
        <w:rPr>
          <w:rFonts w:hint="default"/>
          <w:color w:val="auto"/>
        </w:rPr>
      </w:pPr>
      <w:r>
        <w:rPr>
          <w:color w:val="auto"/>
        </w:rPr>
        <w:t>7、我方承诺：完全理解投标报价若超过项目预算时，投标将被拒绝。</w:t>
      </w:r>
    </w:p>
    <w:p w14:paraId="4201A590">
      <w:pPr>
        <w:pStyle w:val="8"/>
        <w:kinsoku w:val="0"/>
        <w:overflowPunct w:val="0"/>
        <w:spacing w:before="154" w:line="357" w:lineRule="auto"/>
        <w:ind w:right="237" w:firstLine="480"/>
        <w:rPr>
          <w:rFonts w:hint="default"/>
          <w:color w:val="auto"/>
        </w:rPr>
      </w:pPr>
      <w:r>
        <w:rPr>
          <w:color w:val="auto"/>
        </w:rPr>
        <w:t>8、我方承诺：与在本项目中设计编制技术规格的机构及其附属机构无任何 直接隶属关系和利益关联。</w:t>
      </w:r>
    </w:p>
    <w:p w14:paraId="0EE13F0A">
      <w:pPr>
        <w:pStyle w:val="8"/>
        <w:kinsoku w:val="0"/>
        <w:overflowPunct w:val="0"/>
        <w:spacing w:line="357" w:lineRule="auto"/>
        <w:ind w:right="237" w:firstLine="480"/>
        <w:rPr>
          <w:rFonts w:hint="default"/>
          <w:color w:val="auto"/>
        </w:rPr>
      </w:pPr>
      <w:r>
        <w:rPr>
          <w:color w:val="auto"/>
        </w:rPr>
        <w:t>9、如果在开标后规定的投标有效期内撤回投标，我方的投标保证金可被贵 方没收。</w:t>
      </w:r>
    </w:p>
    <w:p w14:paraId="0DDFE19D">
      <w:pPr>
        <w:pStyle w:val="8"/>
        <w:kinsoku w:val="0"/>
        <w:overflowPunct w:val="0"/>
        <w:ind w:left="600" w:right="237"/>
        <w:rPr>
          <w:rFonts w:hint="default"/>
          <w:color w:val="auto"/>
        </w:rPr>
      </w:pPr>
      <w:r>
        <w:rPr>
          <w:color w:val="auto"/>
        </w:rPr>
        <w:t>10、我方完全理解贵方不一定接受最低价的投标或收到的任何投标。</w:t>
      </w:r>
    </w:p>
    <w:p w14:paraId="7A635004">
      <w:pPr>
        <w:pStyle w:val="8"/>
        <w:kinsoku w:val="0"/>
        <w:overflowPunct w:val="0"/>
        <w:ind w:left="600" w:right="237"/>
        <w:rPr>
          <w:rFonts w:hint="default"/>
          <w:color w:val="auto"/>
        </w:rPr>
        <w:sectPr>
          <w:pgSz w:w="11910" w:h="16840"/>
          <w:pgMar w:top="1500" w:right="1560" w:bottom="1600" w:left="1680" w:header="0" w:footer="1415" w:gutter="0"/>
          <w:pgNumType w:fmt="decimal"/>
          <w:cols w:space="720" w:num="1"/>
        </w:sectPr>
      </w:pPr>
    </w:p>
    <w:p w14:paraId="21EE72C0">
      <w:pPr>
        <w:pStyle w:val="8"/>
        <w:kinsoku w:val="0"/>
        <w:overflowPunct w:val="0"/>
        <w:spacing w:before="2" w:line="357" w:lineRule="auto"/>
        <w:ind w:right="117" w:firstLine="480"/>
        <w:rPr>
          <w:rFonts w:hint="default"/>
          <w:color w:val="auto"/>
        </w:rPr>
      </w:pPr>
      <w:r>
        <w:rPr>
          <w:color w:val="auto"/>
        </w:rPr>
        <w:t xml:space="preserve">11、我方承诺：投标文件所提供的一切资料及政采云平台申报资料均真实、 </w:t>
      </w:r>
      <w:r>
        <w:rPr>
          <w:color w:val="auto"/>
          <w:spacing w:val="-3"/>
        </w:rPr>
        <w:t>及时、有效。由于我方提供资料不实而造成的责任和后果由我方承担。我方同意</w:t>
      </w:r>
      <w:r>
        <w:rPr>
          <w:color w:val="auto"/>
          <w:spacing w:val="-111"/>
        </w:rPr>
        <w:t xml:space="preserve"> </w:t>
      </w:r>
      <w:r>
        <w:rPr>
          <w:color w:val="auto"/>
          <w:spacing w:val="-6"/>
        </w:rPr>
        <w:t>按照贵方提出的要求，向贵方提供任何与本项投标有关的数据、情况和技术资料。</w:t>
      </w:r>
      <w:r>
        <w:rPr>
          <w:color w:val="auto"/>
        </w:rPr>
        <w:t xml:space="preserve"> 若贵方需要，我方愿意提供我方作出的一切承诺的证明材料。</w:t>
      </w:r>
    </w:p>
    <w:p w14:paraId="69846A18">
      <w:pPr>
        <w:pStyle w:val="8"/>
        <w:kinsoku w:val="0"/>
        <w:overflowPunct w:val="0"/>
        <w:spacing w:line="357" w:lineRule="auto"/>
        <w:ind w:right="237" w:firstLine="480"/>
        <w:rPr>
          <w:rFonts w:hint="default"/>
          <w:color w:val="auto"/>
        </w:rPr>
      </w:pPr>
      <w:r>
        <w:rPr>
          <w:color w:val="auto"/>
          <w:spacing w:val="-3"/>
        </w:rPr>
        <w:t>12、我方已详细审核全部投标文件，包括投标文件修改书（如有的话）、参</w:t>
      </w:r>
      <w:r>
        <w:rPr>
          <w:color w:val="auto"/>
        </w:rPr>
        <w:t xml:space="preserve"> 考资料及有关附件，确认无误。</w:t>
      </w:r>
    </w:p>
    <w:p w14:paraId="3D61A7A7">
      <w:pPr>
        <w:pStyle w:val="8"/>
        <w:kinsoku w:val="0"/>
        <w:overflowPunct w:val="0"/>
        <w:spacing w:line="357" w:lineRule="auto"/>
        <w:ind w:right="117" w:firstLine="480"/>
        <w:rPr>
          <w:rFonts w:hint="default"/>
          <w:color w:val="auto"/>
        </w:rPr>
      </w:pPr>
      <w:r>
        <w:rPr>
          <w:color w:val="auto"/>
          <w:spacing w:val="-7"/>
        </w:rPr>
        <w:t>13、我方承诺：采购人若需追加采购本项目招标文件所列货物及相关服务的，</w:t>
      </w:r>
      <w:r>
        <w:rPr>
          <w:color w:val="auto"/>
        </w:rPr>
        <w:t xml:space="preserve"> 在不改变合同其他实质性条款的前提下，按相同或更优惠的折扣率保证供货。</w:t>
      </w:r>
    </w:p>
    <w:p w14:paraId="0EBF43B2">
      <w:pPr>
        <w:pStyle w:val="8"/>
        <w:kinsoku w:val="0"/>
        <w:overflowPunct w:val="0"/>
        <w:spacing w:line="357" w:lineRule="auto"/>
        <w:ind w:right="237" w:firstLine="480"/>
        <w:rPr>
          <w:rFonts w:hint="default"/>
          <w:color w:val="auto"/>
        </w:rPr>
      </w:pPr>
      <w:r>
        <w:rPr>
          <w:color w:val="auto"/>
          <w:spacing w:val="-3"/>
        </w:rPr>
        <w:t>14、我方承诺：如所报货物属国家强制认证产品的，均已通过认证且在有效</w:t>
      </w:r>
      <w:r>
        <w:rPr>
          <w:color w:val="auto"/>
        </w:rPr>
        <w:t xml:space="preserve"> 期内，否则，由此产生的一切法律责任由我方承担。</w:t>
      </w:r>
    </w:p>
    <w:p w14:paraId="3BFFEAD2">
      <w:pPr>
        <w:pStyle w:val="8"/>
        <w:kinsoku w:val="0"/>
        <w:overflowPunct w:val="0"/>
        <w:spacing w:line="357" w:lineRule="auto"/>
        <w:ind w:right="237" w:firstLine="480"/>
        <w:rPr>
          <w:rFonts w:hint="default"/>
          <w:color w:val="auto"/>
        </w:rPr>
      </w:pPr>
      <w:r>
        <w:rPr>
          <w:color w:val="auto"/>
          <w:spacing w:val="-3"/>
        </w:rPr>
        <w:t>15、我方承诺：接受招标文件中的全部条款且无任何异议，保证遵守招标文</w:t>
      </w:r>
      <w:r>
        <w:rPr>
          <w:color w:val="auto"/>
        </w:rPr>
        <w:t xml:space="preserve"> 件的规定。</w:t>
      </w:r>
    </w:p>
    <w:p w14:paraId="58BD3254">
      <w:pPr>
        <w:pStyle w:val="8"/>
        <w:kinsoku w:val="0"/>
        <w:overflowPunct w:val="0"/>
        <w:spacing w:line="357" w:lineRule="auto"/>
        <w:ind w:right="237" w:firstLine="480"/>
        <w:jc w:val="both"/>
        <w:rPr>
          <w:rFonts w:hint="default"/>
          <w:color w:val="auto"/>
        </w:rPr>
      </w:pPr>
      <w:r>
        <w:rPr>
          <w:color w:val="auto"/>
          <w:spacing w:val="-3"/>
        </w:rPr>
        <w:t>16、我方将严格遵守《中华人民共和国政府采购法》的有关规定，若有下列</w:t>
      </w:r>
      <w:r>
        <w:rPr>
          <w:color w:val="auto"/>
        </w:rPr>
        <w:t xml:space="preserve"> </w:t>
      </w:r>
      <w:r>
        <w:rPr>
          <w:color w:val="auto"/>
          <w:spacing w:val="-3"/>
        </w:rPr>
        <w:t>情形之一的，将被处以采购金额千分之五以上千分之十以下的罚款，列入不良行</w:t>
      </w:r>
      <w:r>
        <w:rPr>
          <w:color w:val="auto"/>
          <w:spacing w:val="-109"/>
        </w:rPr>
        <w:t xml:space="preserve"> </w:t>
      </w:r>
      <w:r>
        <w:rPr>
          <w:color w:val="auto"/>
          <w:spacing w:val="-3"/>
        </w:rPr>
        <w:t>为记录名单，在一至三年内禁止参加政府采购活动；有违法所得的，并处没收违</w:t>
      </w:r>
      <w:r>
        <w:rPr>
          <w:color w:val="auto"/>
          <w:spacing w:val="-111"/>
        </w:rPr>
        <w:t xml:space="preserve"> </w:t>
      </w:r>
      <w:r>
        <w:rPr>
          <w:color w:val="auto"/>
          <w:spacing w:val="-3"/>
        </w:rPr>
        <w:t>法所得；情节严重的，由工商行政管理机关吊销营业执照；构成犯罪的，依法追</w:t>
      </w:r>
      <w:r>
        <w:rPr>
          <w:color w:val="auto"/>
          <w:spacing w:val="-109"/>
        </w:rPr>
        <w:t xml:space="preserve"> </w:t>
      </w:r>
      <w:r>
        <w:rPr>
          <w:color w:val="auto"/>
        </w:rPr>
        <w:t>究刑事责任：</w:t>
      </w:r>
    </w:p>
    <w:p w14:paraId="4F79F800">
      <w:pPr>
        <w:pStyle w:val="8"/>
        <w:kinsoku w:val="0"/>
        <w:overflowPunct w:val="0"/>
        <w:ind w:left="600" w:right="237"/>
        <w:rPr>
          <w:rFonts w:hint="default"/>
          <w:color w:val="auto"/>
        </w:rPr>
      </w:pPr>
      <w:r>
        <w:rPr>
          <w:color w:val="auto"/>
        </w:rPr>
        <w:t>1）提供虚假材料谋取中标、成交的；</w:t>
      </w:r>
    </w:p>
    <w:p w14:paraId="051E2D3B">
      <w:pPr>
        <w:pStyle w:val="8"/>
        <w:kinsoku w:val="0"/>
        <w:overflowPunct w:val="0"/>
        <w:spacing w:before="154"/>
        <w:ind w:left="600" w:right="237"/>
        <w:rPr>
          <w:rFonts w:hint="default"/>
          <w:color w:val="auto"/>
        </w:rPr>
      </w:pPr>
      <w:r>
        <w:rPr>
          <w:color w:val="auto"/>
        </w:rPr>
        <w:t>2）采取不正当手段诋毁、排挤其他供应商的；</w:t>
      </w:r>
    </w:p>
    <w:p w14:paraId="078F3102">
      <w:pPr>
        <w:pStyle w:val="8"/>
        <w:kinsoku w:val="0"/>
        <w:overflowPunct w:val="0"/>
        <w:spacing w:before="154"/>
        <w:ind w:left="600" w:right="237"/>
        <w:rPr>
          <w:rFonts w:hint="default"/>
          <w:color w:val="auto"/>
        </w:rPr>
      </w:pPr>
      <w:r>
        <w:rPr>
          <w:color w:val="auto"/>
        </w:rPr>
        <w:t>3）与采购人、其他供应商或者采购代理机构工作人员恶意串通的；</w:t>
      </w:r>
    </w:p>
    <w:p w14:paraId="696240DC">
      <w:pPr>
        <w:pStyle w:val="8"/>
        <w:kinsoku w:val="0"/>
        <w:overflowPunct w:val="0"/>
        <w:spacing w:before="154"/>
        <w:ind w:left="600" w:right="237"/>
        <w:rPr>
          <w:rFonts w:hint="default"/>
          <w:color w:val="auto"/>
        </w:rPr>
      </w:pPr>
      <w:r>
        <w:rPr>
          <w:color w:val="auto"/>
        </w:rPr>
        <w:t>4）向采购人、采购代理机构工作人员行贿或者提供其他不正当利益的；</w:t>
      </w:r>
    </w:p>
    <w:p w14:paraId="47976E08">
      <w:pPr>
        <w:pStyle w:val="8"/>
        <w:kinsoku w:val="0"/>
        <w:overflowPunct w:val="0"/>
        <w:spacing w:before="154"/>
        <w:ind w:left="600" w:right="237"/>
        <w:rPr>
          <w:rFonts w:hint="default"/>
          <w:color w:val="auto"/>
        </w:rPr>
      </w:pPr>
      <w:r>
        <w:rPr>
          <w:color w:val="auto"/>
        </w:rPr>
        <w:t>5）在采购过程中与采购人进行协商谈判的；</w:t>
      </w:r>
    </w:p>
    <w:p w14:paraId="662A7AB9">
      <w:pPr>
        <w:pStyle w:val="8"/>
        <w:kinsoku w:val="0"/>
        <w:overflowPunct w:val="0"/>
        <w:spacing w:before="154"/>
        <w:ind w:left="600" w:right="237"/>
        <w:rPr>
          <w:rFonts w:hint="default"/>
          <w:color w:val="auto"/>
        </w:rPr>
      </w:pPr>
      <w:r>
        <w:rPr>
          <w:color w:val="auto"/>
        </w:rPr>
        <w:t>6）拒绝有关部门监督检查或提供虚假情况的。</w:t>
      </w:r>
    </w:p>
    <w:p w14:paraId="6A5CCE12">
      <w:pPr>
        <w:pStyle w:val="8"/>
        <w:kinsoku w:val="0"/>
        <w:overflowPunct w:val="0"/>
        <w:spacing w:before="100"/>
        <w:ind w:left="540" w:right="237"/>
        <w:rPr>
          <w:rFonts w:hint="default"/>
          <w:color w:val="auto"/>
          <w:sz w:val="21"/>
          <w:szCs w:val="21"/>
        </w:rPr>
      </w:pPr>
      <w:r>
        <w:rPr>
          <w:rFonts w:ascii="Times New Roman" w:eastAsia="Times New Roman" w:cs="Times New Roman"/>
          <w:color w:val="auto"/>
          <w:sz w:val="21"/>
          <w:szCs w:val="21"/>
        </w:rPr>
        <w:t>17</w:t>
      </w:r>
      <w:r>
        <w:rPr>
          <w:color w:val="auto"/>
          <w:sz w:val="21"/>
          <w:szCs w:val="21"/>
        </w:rPr>
        <w:t>、</w:t>
      </w:r>
    </w:p>
    <w:p w14:paraId="57705D59">
      <w:pPr>
        <w:pStyle w:val="8"/>
        <w:kinsoku w:val="0"/>
        <w:overflowPunct w:val="0"/>
        <w:spacing w:before="75"/>
        <w:ind w:left="600" w:right="237"/>
        <w:rPr>
          <w:rFonts w:hint="default"/>
          <w:color w:val="auto"/>
        </w:rPr>
      </w:pPr>
      <w:r>
        <w:rPr>
          <w:color w:val="auto"/>
        </w:rPr>
        <w:t>与本投标有关的一切往来通讯请寄：</w:t>
      </w:r>
    </w:p>
    <w:p w14:paraId="56BF25A1">
      <w:pPr>
        <w:pStyle w:val="8"/>
        <w:tabs>
          <w:tab w:val="left" w:pos="2819"/>
          <w:tab w:val="left" w:pos="7602"/>
        </w:tabs>
        <w:kinsoku w:val="0"/>
        <w:overflowPunct w:val="0"/>
        <w:spacing w:before="154" w:line="357" w:lineRule="auto"/>
        <w:ind w:left="600" w:right="1044"/>
        <w:rPr>
          <w:rFonts w:hint="default" w:ascii="Times New Roman" w:eastAsia="Times New Roman" w:cs="Times New Roman"/>
          <w:color w:val="auto"/>
        </w:rPr>
      </w:pPr>
      <w:r>
        <w:rPr>
          <w:color w:val="auto"/>
        </w:rPr>
        <w:t>地址：</w:t>
      </w:r>
      <w:r>
        <w:rPr>
          <w:rFonts w:ascii="Times New Roman" w:eastAsia="Times New Roman" w:cs="Times New Roman"/>
          <w:color w:val="auto"/>
          <w:u w:val="single"/>
        </w:rPr>
        <w:t xml:space="preserve"> </w:t>
      </w:r>
      <w:r>
        <w:rPr>
          <w:rFonts w:ascii="Times New Roman" w:eastAsia="Times New Roman" w:cs="Times New Roman"/>
          <w:color w:val="auto"/>
          <w:u w:val="single"/>
        </w:rPr>
        <w:tab/>
      </w:r>
      <w:r>
        <w:rPr>
          <w:rFonts w:ascii="Times New Roman" w:eastAsia="Times New Roman" w:cs="Times New Roman"/>
          <w:color w:val="auto"/>
          <w:u w:val="single"/>
        </w:rPr>
        <w:tab/>
      </w:r>
      <w:r>
        <w:rPr>
          <w:rFonts w:ascii="Times New Roman" w:eastAsia="Times New Roman" w:cs="Times New Roman"/>
          <w:color w:val="auto"/>
          <w:w w:val="28"/>
          <w:u w:val="single"/>
        </w:rPr>
        <w:t xml:space="preserve"> </w:t>
      </w:r>
      <w:r>
        <w:rPr>
          <w:rFonts w:ascii="Times New Roman" w:eastAsia="Times New Roman" w:cs="Times New Roman"/>
          <w:color w:val="auto"/>
        </w:rPr>
        <w:t xml:space="preserve"> </w:t>
      </w:r>
      <w:r>
        <w:rPr>
          <w:color w:val="auto"/>
        </w:rPr>
        <w:t>邮编：</w:t>
      </w:r>
      <w:r>
        <w:rPr>
          <w:rFonts w:ascii="Times New Roman" w:eastAsia="Times New Roman" w:cs="Times New Roman"/>
          <w:color w:val="auto"/>
          <w:u w:val="single"/>
        </w:rPr>
        <w:t xml:space="preserve"> </w:t>
      </w:r>
      <w:r>
        <w:rPr>
          <w:rFonts w:ascii="Times New Roman" w:eastAsia="Times New Roman" w:cs="Times New Roman"/>
          <w:color w:val="auto"/>
          <w:u w:val="single"/>
        </w:rPr>
        <w:tab/>
      </w:r>
    </w:p>
    <w:p w14:paraId="306FF0F0">
      <w:pPr>
        <w:pStyle w:val="8"/>
        <w:tabs>
          <w:tab w:val="left" w:pos="2802"/>
        </w:tabs>
        <w:kinsoku w:val="0"/>
        <w:overflowPunct w:val="0"/>
        <w:spacing w:line="357" w:lineRule="auto"/>
        <w:ind w:left="600" w:right="5844"/>
        <w:rPr>
          <w:rFonts w:hint="default" w:ascii="Times New Roman" w:eastAsia="Times New Roman" w:cs="Times New Roman"/>
          <w:color w:val="auto"/>
        </w:rPr>
      </w:pPr>
      <w:r>
        <w:rPr>
          <w:color w:val="auto"/>
        </w:rPr>
        <w:t>电话：</w:t>
      </w:r>
      <w:r>
        <w:rPr>
          <w:rFonts w:ascii="Times New Roman" w:eastAsia="Times New Roman" w:cs="Times New Roman"/>
          <w:color w:val="auto"/>
          <w:u w:val="single"/>
        </w:rPr>
        <w:t xml:space="preserve"> </w:t>
      </w:r>
      <w:r>
        <w:rPr>
          <w:rFonts w:ascii="Times New Roman" w:eastAsia="Times New Roman" w:cs="Times New Roman"/>
          <w:color w:val="auto"/>
          <w:u w:val="single"/>
        </w:rPr>
        <w:tab/>
      </w:r>
      <w:r>
        <w:rPr>
          <w:rFonts w:ascii="Times New Roman" w:eastAsia="Times New Roman" w:cs="Times New Roman"/>
          <w:color w:val="auto"/>
          <w:w w:val="28"/>
          <w:u w:val="single"/>
        </w:rPr>
        <w:t xml:space="preserve"> </w:t>
      </w:r>
      <w:r>
        <w:rPr>
          <w:rFonts w:ascii="Times New Roman" w:eastAsia="Times New Roman" w:cs="Times New Roman"/>
          <w:color w:val="auto"/>
        </w:rPr>
        <w:t xml:space="preserve"> </w:t>
      </w:r>
      <w:r>
        <w:rPr>
          <w:color w:val="auto"/>
        </w:rPr>
        <w:t>传真：</w:t>
      </w:r>
      <w:r>
        <w:rPr>
          <w:rFonts w:ascii="Times New Roman" w:eastAsia="Times New Roman" w:cs="Times New Roman"/>
          <w:color w:val="auto"/>
          <w:u w:val="single"/>
        </w:rPr>
        <w:t xml:space="preserve"> </w:t>
      </w:r>
      <w:r>
        <w:rPr>
          <w:rFonts w:ascii="Times New Roman" w:eastAsia="Times New Roman" w:cs="Times New Roman"/>
          <w:color w:val="auto"/>
          <w:u w:val="single"/>
        </w:rPr>
        <w:tab/>
      </w:r>
      <w:r>
        <w:rPr>
          <w:rFonts w:ascii="Times New Roman" w:eastAsia="Times New Roman" w:cs="Times New Roman"/>
          <w:color w:val="auto"/>
          <w:w w:val="28"/>
          <w:u w:val="single"/>
        </w:rPr>
        <w:t xml:space="preserve"> </w:t>
      </w:r>
    </w:p>
    <w:p w14:paraId="4A16D5DA">
      <w:pPr>
        <w:pStyle w:val="8"/>
        <w:tabs>
          <w:tab w:val="left" w:pos="2802"/>
        </w:tabs>
        <w:kinsoku w:val="0"/>
        <w:overflowPunct w:val="0"/>
        <w:spacing w:line="357" w:lineRule="auto"/>
        <w:ind w:left="600" w:right="5844"/>
        <w:rPr>
          <w:rFonts w:hint="default" w:ascii="Times New Roman" w:eastAsia="Times New Roman" w:cs="Times New Roman"/>
          <w:color w:val="auto"/>
        </w:rPr>
        <w:sectPr>
          <w:pgSz w:w="11910" w:h="16840"/>
          <w:pgMar w:top="1460" w:right="1560" w:bottom="1600" w:left="1680" w:header="0" w:footer="1415" w:gutter="0"/>
          <w:pgNumType w:fmt="decimal"/>
          <w:cols w:space="720" w:num="1"/>
        </w:sectPr>
      </w:pPr>
    </w:p>
    <w:p w14:paraId="25F52BE5">
      <w:pPr>
        <w:pStyle w:val="8"/>
        <w:kinsoku w:val="0"/>
        <w:overflowPunct w:val="0"/>
        <w:spacing w:before="2" w:line="360" w:lineRule="auto"/>
        <w:ind w:left="580" w:firstLine="19"/>
        <w:rPr>
          <w:rFonts w:hint="default"/>
          <w:color w:val="auto"/>
        </w:rPr>
      </w:pPr>
      <w:bookmarkStart w:id="76" w:name="2、★开标一览表"/>
      <w:bookmarkEnd w:id="76"/>
      <w:r>
        <w:rPr>
          <w:rFonts w:hint="eastAsia"/>
          <w:color w:val="auto"/>
          <w:lang w:eastAsia="zh-CN"/>
        </w:rPr>
        <w:t>供应商</w:t>
      </w:r>
      <w:r>
        <w:rPr>
          <w:color w:val="auto"/>
        </w:rPr>
        <w:t>法定代表人或授权代理人联系电话，e-mail：</w:t>
      </w:r>
    </w:p>
    <w:p w14:paraId="3A6AA6E3">
      <w:pPr>
        <w:pStyle w:val="6"/>
        <w:kinsoku w:val="0"/>
        <w:overflowPunct w:val="0"/>
        <w:spacing w:before="0" w:line="360" w:lineRule="auto"/>
        <w:ind w:firstLine="494" w:firstLineChars="200"/>
        <w:rPr>
          <w:rFonts w:ascii="宋体" w:hAnsi="Times New Roman" w:eastAsia="宋体" w:cs="宋体"/>
          <w:color w:val="auto"/>
          <w:spacing w:val="3"/>
        </w:rPr>
      </w:pPr>
      <w:r>
        <w:rPr>
          <w:rFonts w:hint="eastAsia" w:ascii="宋体" w:hAnsi="Times New Roman" w:eastAsia="宋体" w:cs="宋体"/>
          <w:color w:val="auto"/>
          <w:spacing w:val="3"/>
          <w:lang w:eastAsia="zh-CN"/>
        </w:rPr>
        <w:t>供应商</w:t>
      </w:r>
      <w:r>
        <w:rPr>
          <w:rFonts w:ascii="宋体" w:hAnsi="Times New Roman" w:eastAsia="宋体" w:cs="宋体"/>
          <w:color w:val="auto"/>
          <w:spacing w:val="3"/>
        </w:rPr>
        <w:t xml:space="preserve">法定代表人电子签名： </w:t>
      </w:r>
    </w:p>
    <w:p w14:paraId="35675669">
      <w:pPr>
        <w:pStyle w:val="6"/>
        <w:kinsoku w:val="0"/>
        <w:overflowPunct w:val="0"/>
        <w:spacing w:before="0" w:line="360" w:lineRule="auto"/>
        <w:ind w:firstLine="494" w:firstLineChars="200"/>
        <w:rPr>
          <w:rFonts w:hint="default" w:ascii="宋体" w:hAnsi="Times New Roman" w:eastAsia="宋体" w:cs="宋体"/>
          <w:color w:val="auto"/>
          <w:spacing w:val="3"/>
        </w:rPr>
      </w:pPr>
      <w:r>
        <w:rPr>
          <w:rFonts w:hint="eastAsia" w:ascii="宋体" w:hAnsi="Times New Roman" w:eastAsia="宋体" w:cs="宋体"/>
          <w:color w:val="auto"/>
          <w:spacing w:val="3"/>
          <w:lang w:eastAsia="zh-CN"/>
        </w:rPr>
        <w:t>供应商</w:t>
      </w:r>
      <w:r>
        <w:rPr>
          <w:rFonts w:ascii="宋体" w:hAnsi="Times New Roman" w:eastAsia="宋体" w:cs="宋体"/>
          <w:color w:val="auto"/>
          <w:spacing w:val="3"/>
        </w:rPr>
        <w:t>公章：</w:t>
      </w:r>
    </w:p>
    <w:p w14:paraId="52699D93">
      <w:pPr>
        <w:pStyle w:val="8"/>
        <w:tabs>
          <w:tab w:val="left" w:pos="1019"/>
        </w:tabs>
        <w:kinsoku w:val="0"/>
        <w:overflowPunct w:val="0"/>
        <w:ind w:firstLine="660" w:firstLineChars="275"/>
        <w:rPr>
          <w:rFonts w:hint="default"/>
          <w:color w:val="auto"/>
        </w:rPr>
      </w:pPr>
      <w:r>
        <w:rPr>
          <w:color w:val="auto"/>
        </w:rPr>
        <w:t>日</w:t>
      </w:r>
      <w:r>
        <w:rPr>
          <w:color w:val="auto"/>
        </w:rPr>
        <w:tab/>
      </w:r>
      <w:r>
        <w:rPr>
          <w:color w:val="auto"/>
        </w:rPr>
        <w:t>期：</w:t>
      </w:r>
    </w:p>
    <w:p w14:paraId="10DA412E">
      <w:pPr>
        <w:pStyle w:val="8"/>
        <w:kinsoku w:val="0"/>
        <w:overflowPunct w:val="0"/>
        <w:spacing w:before="0"/>
        <w:ind w:left="0"/>
        <w:rPr>
          <w:rFonts w:hint="default"/>
          <w:color w:val="auto"/>
        </w:rPr>
      </w:pPr>
    </w:p>
    <w:p w14:paraId="250CF4AE">
      <w:pPr>
        <w:pStyle w:val="8"/>
        <w:kinsoku w:val="0"/>
        <w:overflowPunct w:val="0"/>
        <w:spacing w:before="7"/>
        <w:ind w:left="0"/>
        <w:rPr>
          <w:rFonts w:hint="default"/>
          <w:color w:val="auto"/>
          <w:sz w:val="23"/>
          <w:szCs w:val="23"/>
        </w:rPr>
      </w:pPr>
    </w:p>
    <w:p w14:paraId="4B005CEC">
      <w:pPr>
        <w:pStyle w:val="6"/>
        <w:kinsoku w:val="0"/>
        <w:overflowPunct w:val="0"/>
        <w:spacing w:before="0" w:line="357" w:lineRule="auto"/>
        <w:rPr>
          <w:rFonts w:hint="default"/>
          <w:b w:val="0"/>
          <w:color w:val="auto"/>
        </w:rPr>
      </w:pPr>
      <w:r>
        <w:rPr>
          <w:color w:val="auto"/>
          <w:spacing w:val="3"/>
        </w:rPr>
        <w:t>说明：除可填报项目外，对本投标函的任何修改将被视为非实质性响应投标，</w:t>
      </w:r>
      <w:r>
        <w:rPr>
          <w:color w:val="auto"/>
          <w:w w:val="99"/>
        </w:rPr>
        <w:t xml:space="preserve"> </w:t>
      </w:r>
      <w:r>
        <w:rPr>
          <w:color w:val="auto"/>
        </w:rPr>
        <w:t>从而导致该投标被拒绝。</w:t>
      </w:r>
    </w:p>
    <w:p w14:paraId="7780DF71">
      <w:pPr>
        <w:pStyle w:val="6"/>
        <w:kinsoku w:val="0"/>
        <w:overflowPunct w:val="0"/>
        <w:spacing w:before="0" w:line="357" w:lineRule="auto"/>
        <w:outlineLvl w:val="9"/>
        <w:rPr>
          <w:rFonts w:hint="default"/>
          <w:b w:val="0"/>
          <w:color w:val="auto"/>
        </w:rPr>
        <w:sectPr>
          <w:pgSz w:w="11910" w:h="16840"/>
          <w:pgMar w:top="1460" w:right="1680" w:bottom="1600" w:left="1680" w:header="0" w:footer="1415" w:gutter="0"/>
          <w:pgNumType w:fmt="decimal"/>
          <w:cols w:space="720" w:num="1"/>
        </w:sectPr>
      </w:pPr>
    </w:p>
    <w:p w14:paraId="51B68EAF">
      <w:pPr>
        <w:pStyle w:val="8"/>
        <w:kinsoku w:val="0"/>
        <w:overflowPunct w:val="0"/>
        <w:spacing w:before="0" w:line="395" w:lineRule="exact"/>
        <w:ind w:left="560"/>
        <w:rPr>
          <w:rFonts w:hint="default" w:ascii="黑体" w:eastAsia="黑体" w:cs="黑体"/>
          <w:color w:val="auto"/>
          <w:sz w:val="32"/>
          <w:szCs w:val="32"/>
        </w:rPr>
      </w:pPr>
      <w:bookmarkStart w:id="77" w:name="3、★投标报价明细表"/>
      <w:bookmarkEnd w:id="77"/>
      <w:r>
        <w:rPr>
          <w:rFonts w:ascii="黑体" w:eastAsia="黑体" w:cs="黑体"/>
          <w:b/>
          <w:color w:val="auto"/>
          <w:sz w:val="32"/>
          <w:szCs w:val="32"/>
        </w:rPr>
        <w:t>2、★开标一览表</w:t>
      </w:r>
    </w:p>
    <w:p w14:paraId="22837B5A">
      <w:pPr>
        <w:pStyle w:val="8"/>
        <w:kinsoku w:val="0"/>
        <w:overflowPunct w:val="0"/>
        <w:spacing w:before="0"/>
        <w:ind w:left="0"/>
        <w:rPr>
          <w:rFonts w:hint="default" w:ascii="黑体" w:eastAsia="黑体" w:cs="黑体"/>
          <w:b/>
          <w:color w:val="auto"/>
          <w:sz w:val="32"/>
          <w:szCs w:val="32"/>
        </w:rPr>
      </w:pPr>
    </w:p>
    <w:p w14:paraId="2A2E2C1A">
      <w:pPr>
        <w:pStyle w:val="8"/>
        <w:kinsoku w:val="0"/>
        <w:overflowPunct w:val="0"/>
        <w:spacing w:before="240"/>
        <w:ind w:left="560"/>
        <w:rPr>
          <w:rFonts w:hint="default"/>
          <w:color w:val="auto"/>
        </w:rPr>
      </w:pPr>
      <w:r>
        <w:rPr>
          <w:color w:val="auto"/>
        </w:rPr>
        <w:t>价格单位：元</w:t>
      </w:r>
    </w:p>
    <w:p w14:paraId="2238EA1C">
      <w:pPr>
        <w:pStyle w:val="8"/>
        <w:kinsoku w:val="0"/>
        <w:overflowPunct w:val="0"/>
        <w:spacing w:before="9"/>
        <w:ind w:left="0"/>
        <w:rPr>
          <w:rFonts w:hint="default"/>
          <w:color w:val="auto"/>
          <w:sz w:val="8"/>
          <w:szCs w:val="8"/>
        </w:rPr>
      </w:pPr>
    </w:p>
    <w:tbl>
      <w:tblPr>
        <w:tblStyle w:val="20"/>
        <w:tblW w:w="0" w:type="auto"/>
        <w:tblInd w:w="226" w:type="dxa"/>
        <w:tblLayout w:type="fixed"/>
        <w:tblCellMar>
          <w:top w:w="0" w:type="dxa"/>
          <w:left w:w="108" w:type="dxa"/>
          <w:bottom w:w="0" w:type="dxa"/>
          <w:right w:w="108" w:type="dxa"/>
        </w:tblCellMar>
      </w:tblPr>
      <w:tblGrid>
        <w:gridCol w:w="2410"/>
        <w:gridCol w:w="6770"/>
      </w:tblGrid>
      <w:tr w14:paraId="27CE98E5">
        <w:tblPrEx>
          <w:tblCellMar>
            <w:top w:w="0" w:type="dxa"/>
            <w:left w:w="108" w:type="dxa"/>
            <w:bottom w:w="0" w:type="dxa"/>
            <w:right w:w="108" w:type="dxa"/>
          </w:tblCellMar>
        </w:tblPrEx>
        <w:trPr>
          <w:trHeight w:val="478" w:hRule="exact"/>
        </w:trPr>
        <w:tc>
          <w:tcPr>
            <w:tcW w:w="2410" w:type="dxa"/>
            <w:tcBorders>
              <w:top w:val="single" w:color="000000" w:sz="4" w:space="0"/>
              <w:left w:val="single" w:color="000000" w:sz="4" w:space="0"/>
              <w:bottom w:val="single" w:color="000000" w:sz="4" w:space="0"/>
              <w:right w:val="single" w:color="000000" w:sz="4" w:space="0"/>
              <w:tl2br w:val="nil"/>
              <w:tr2bl w:val="nil"/>
            </w:tcBorders>
          </w:tcPr>
          <w:p w14:paraId="58AAFFBA">
            <w:pPr>
              <w:pStyle w:val="25"/>
              <w:kinsoku w:val="0"/>
              <w:overflowPunct w:val="0"/>
              <w:spacing w:before="40"/>
              <w:ind w:left="720"/>
              <w:rPr>
                <w:rFonts w:hint="default" w:ascii="Times New Roman" w:eastAsia="Times New Roman"/>
                <w:color w:val="auto"/>
              </w:rPr>
            </w:pPr>
            <w:r>
              <w:rPr>
                <w:rFonts w:cs="宋体"/>
                <w:color w:val="auto"/>
              </w:rPr>
              <w:t>项目名称</w:t>
            </w:r>
          </w:p>
        </w:tc>
        <w:tc>
          <w:tcPr>
            <w:tcW w:w="6770" w:type="dxa"/>
            <w:tcBorders>
              <w:top w:val="single" w:color="000000" w:sz="4" w:space="0"/>
              <w:left w:val="single" w:color="000000" w:sz="4" w:space="0"/>
              <w:bottom w:val="single" w:color="000000" w:sz="4" w:space="0"/>
              <w:right w:val="single" w:color="000000" w:sz="4" w:space="0"/>
              <w:tl2br w:val="nil"/>
              <w:tr2bl w:val="nil"/>
            </w:tcBorders>
          </w:tcPr>
          <w:p w14:paraId="12A0203B">
            <w:pPr>
              <w:rPr>
                <w:rFonts w:hint="default" w:ascii="Times New Roman" w:eastAsia="Times New Roman"/>
                <w:color w:val="auto"/>
              </w:rPr>
            </w:pPr>
          </w:p>
        </w:tc>
      </w:tr>
      <w:tr w14:paraId="4F46DCA1">
        <w:tblPrEx>
          <w:tblCellMar>
            <w:top w:w="0" w:type="dxa"/>
            <w:left w:w="108" w:type="dxa"/>
            <w:bottom w:w="0" w:type="dxa"/>
            <w:right w:w="108" w:type="dxa"/>
          </w:tblCellMar>
        </w:tblPrEx>
        <w:trPr>
          <w:trHeight w:val="2350" w:hRule="exact"/>
        </w:trPr>
        <w:tc>
          <w:tcPr>
            <w:tcW w:w="2410" w:type="dxa"/>
            <w:tcBorders>
              <w:top w:val="single" w:color="000000" w:sz="4" w:space="0"/>
              <w:left w:val="single" w:color="000000" w:sz="4" w:space="0"/>
              <w:bottom w:val="single" w:color="000000" w:sz="4" w:space="0"/>
              <w:right w:val="single" w:color="000000" w:sz="4" w:space="0"/>
              <w:tl2br w:val="nil"/>
              <w:tr2bl w:val="nil"/>
            </w:tcBorders>
          </w:tcPr>
          <w:p w14:paraId="599399A3">
            <w:pPr>
              <w:pStyle w:val="25"/>
              <w:kinsoku w:val="0"/>
              <w:overflowPunct w:val="0"/>
              <w:rPr>
                <w:rFonts w:hint="default" w:cs="宋体"/>
                <w:color w:val="auto"/>
              </w:rPr>
            </w:pPr>
          </w:p>
          <w:p w14:paraId="2F10E78F">
            <w:pPr>
              <w:pStyle w:val="25"/>
              <w:kinsoku w:val="0"/>
              <w:overflowPunct w:val="0"/>
              <w:rPr>
                <w:rFonts w:hint="default" w:cs="宋体"/>
                <w:color w:val="auto"/>
              </w:rPr>
            </w:pPr>
          </w:p>
          <w:p w14:paraId="7F31443A">
            <w:pPr>
              <w:pStyle w:val="25"/>
              <w:kinsoku w:val="0"/>
              <w:overflowPunct w:val="0"/>
              <w:spacing w:before="10"/>
              <w:rPr>
                <w:rFonts w:hint="default" w:cs="宋体"/>
                <w:color w:val="auto"/>
                <w:sz w:val="26"/>
                <w:szCs w:val="26"/>
              </w:rPr>
            </w:pPr>
          </w:p>
          <w:p w14:paraId="57F6F644">
            <w:pPr>
              <w:pStyle w:val="25"/>
              <w:kinsoku w:val="0"/>
              <w:overflowPunct w:val="0"/>
              <w:ind w:left="720"/>
              <w:rPr>
                <w:rFonts w:hint="default" w:ascii="Times New Roman" w:eastAsia="Times New Roman"/>
                <w:color w:val="auto"/>
              </w:rPr>
            </w:pPr>
            <w:r>
              <w:rPr>
                <w:rFonts w:cs="宋体"/>
                <w:color w:val="auto"/>
              </w:rPr>
              <w:t>投标报价</w:t>
            </w:r>
          </w:p>
        </w:tc>
        <w:tc>
          <w:tcPr>
            <w:tcW w:w="6770" w:type="dxa"/>
            <w:tcBorders>
              <w:top w:val="single" w:color="000000" w:sz="4" w:space="0"/>
              <w:left w:val="single" w:color="000000" w:sz="4" w:space="0"/>
              <w:bottom w:val="single" w:color="000000" w:sz="4" w:space="0"/>
              <w:right w:val="single" w:color="000000" w:sz="4" w:space="0"/>
              <w:tl2br w:val="nil"/>
              <w:tr2bl w:val="nil"/>
            </w:tcBorders>
          </w:tcPr>
          <w:p w14:paraId="4F8CEB7B">
            <w:pPr>
              <w:pStyle w:val="25"/>
              <w:kinsoku w:val="0"/>
              <w:overflowPunct w:val="0"/>
              <w:spacing w:before="41" w:line="936" w:lineRule="exact"/>
              <w:ind w:left="102" w:right="74" w:rightChars="0"/>
              <w:rPr>
                <w:rFonts w:cs="宋体"/>
                <w:color w:val="auto"/>
              </w:rPr>
            </w:pPr>
            <w:r>
              <w:rPr>
                <w:rFonts w:cs="宋体"/>
                <w:color w:val="auto"/>
              </w:rPr>
              <w:t>小写：</w:t>
            </w:r>
            <w:r>
              <w:rPr>
                <w:rFonts w:hint="eastAsia" w:cs="宋体"/>
                <w:color w:val="auto"/>
                <w:lang w:val="en-US" w:eastAsia="zh-CN"/>
              </w:rPr>
              <w:t>元</w:t>
            </w:r>
            <w:r>
              <w:rPr>
                <w:rFonts w:cs="宋体"/>
                <w:color w:val="auto"/>
              </w:rPr>
              <w:t xml:space="preserve"> </w:t>
            </w:r>
          </w:p>
          <w:p w14:paraId="1E97726F">
            <w:pPr>
              <w:pStyle w:val="25"/>
              <w:kinsoku w:val="0"/>
              <w:overflowPunct w:val="0"/>
              <w:spacing w:before="41" w:line="936" w:lineRule="exact"/>
              <w:ind w:left="102" w:right="74" w:rightChars="0"/>
              <w:rPr>
                <w:rFonts w:hint="default" w:ascii="Times New Roman" w:eastAsia="Times New Roman"/>
                <w:color w:val="auto"/>
              </w:rPr>
            </w:pPr>
            <w:r>
              <w:rPr>
                <w:rFonts w:cs="宋体"/>
                <w:color w:val="auto"/>
              </w:rPr>
              <w:t>大写：</w:t>
            </w:r>
          </w:p>
        </w:tc>
      </w:tr>
      <w:tr w14:paraId="2867929E">
        <w:tblPrEx>
          <w:tblCellMar>
            <w:top w:w="0" w:type="dxa"/>
            <w:left w:w="108" w:type="dxa"/>
            <w:bottom w:w="0" w:type="dxa"/>
            <w:right w:w="108" w:type="dxa"/>
          </w:tblCellMar>
        </w:tblPrEx>
        <w:trPr>
          <w:trHeight w:val="478" w:hRule="exact"/>
        </w:trPr>
        <w:tc>
          <w:tcPr>
            <w:tcW w:w="2410" w:type="dxa"/>
            <w:tcBorders>
              <w:top w:val="single" w:color="000000" w:sz="4" w:space="0"/>
              <w:left w:val="single" w:color="000000" w:sz="4" w:space="0"/>
              <w:bottom w:val="single" w:color="000000" w:sz="4" w:space="0"/>
              <w:right w:val="single" w:color="000000" w:sz="4" w:space="0"/>
              <w:tl2br w:val="nil"/>
              <w:tr2bl w:val="nil"/>
            </w:tcBorders>
          </w:tcPr>
          <w:p w14:paraId="23D60E71">
            <w:pPr>
              <w:pStyle w:val="25"/>
              <w:kinsoku w:val="0"/>
              <w:overflowPunct w:val="0"/>
              <w:spacing w:before="41"/>
              <w:ind w:firstLine="480" w:firstLineChars="200"/>
              <w:rPr>
                <w:rFonts w:hint="default" w:ascii="Times New Roman" w:eastAsia="Times New Roman"/>
                <w:color w:val="auto"/>
                <w:lang w:val="en-US"/>
              </w:rPr>
            </w:pPr>
            <w:r>
              <w:rPr>
                <w:rFonts w:hint="eastAsia" w:cs="宋体"/>
                <w:color w:val="auto"/>
                <w:lang w:val="en-US" w:eastAsia="zh-CN"/>
              </w:rPr>
              <w:t>合同履行期限</w:t>
            </w:r>
          </w:p>
        </w:tc>
        <w:tc>
          <w:tcPr>
            <w:tcW w:w="6770" w:type="dxa"/>
            <w:tcBorders>
              <w:top w:val="single" w:color="000000" w:sz="4" w:space="0"/>
              <w:left w:val="single" w:color="000000" w:sz="4" w:space="0"/>
              <w:bottom w:val="single" w:color="000000" w:sz="4" w:space="0"/>
              <w:right w:val="single" w:color="000000" w:sz="4" w:space="0"/>
              <w:tl2br w:val="nil"/>
              <w:tr2bl w:val="nil"/>
            </w:tcBorders>
          </w:tcPr>
          <w:p w14:paraId="7AECF275">
            <w:pPr>
              <w:rPr>
                <w:rFonts w:hint="default" w:ascii="Times New Roman" w:eastAsia="Times New Roman"/>
                <w:color w:val="auto"/>
              </w:rPr>
            </w:pPr>
          </w:p>
        </w:tc>
      </w:tr>
      <w:tr w14:paraId="5F7BAAFF">
        <w:tblPrEx>
          <w:tblCellMar>
            <w:top w:w="0" w:type="dxa"/>
            <w:left w:w="108" w:type="dxa"/>
            <w:bottom w:w="0" w:type="dxa"/>
            <w:right w:w="108" w:type="dxa"/>
          </w:tblCellMar>
        </w:tblPrEx>
        <w:trPr>
          <w:trHeight w:val="478" w:hRule="exact"/>
        </w:trPr>
        <w:tc>
          <w:tcPr>
            <w:tcW w:w="2410" w:type="dxa"/>
            <w:tcBorders>
              <w:top w:val="single" w:color="000000" w:sz="4" w:space="0"/>
              <w:left w:val="single" w:color="000000" w:sz="4" w:space="0"/>
              <w:bottom w:val="single" w:color="000000" w:sz="4" w:space="0"/>
              <w:right w:val="single" w:color="000000" w:sz="4" w:space="0"/>
              <w:tl2br w:val="nil"/>
              <w:tr2bl w:val="nil"/>
            </w:tcBorders>
          </w:tcPr>
          <w:p w14:paraId="247B915E">
            <w:pPr>
              <w:pStyle w:val="25"/>
              <w:kinsoku w:val="0"/>
              <w:overflowPunct w:val="0"/>
              <w:spacing w:before="41"/>
              <w:ind w:firstLine="720" w:firstLineChars="300"/>
              <w:rPr>
                <w:rFonts w:hint="eastAsia" w:cs="宋体"/>
                <w:color w:val="auto"/>
                <w:lang w:val="en-US" w:eastAsia="zh-CN"/>
              </w:rPr>
            </w:pPr>
            <w:r>
              <w:rPr>
                <w:rFonts w:hint="eastAsia" w:cs="宋体"/>
                <w:color w:val="auto"/>
                <w:lang w:val="en-US" w:eastAsia="zh-CN"/>
              </w:rPr>
              <w:t>质保期</w:t>
            </w:r>
          </w:p>
        </w:tc>
        <w:tc>
          <w:tcPr>
            <w:tcW w:w="6770" w:type="dxa"/>
            <w:tcBorders>
              <w:top w:val="single" w:color="000000" w:sz="4" w:space="0"/>
              <w:left w:val="single" w:color="000000" w:sz="4" w:space="0"/>
              <w:bottom w:val="single" w:color="000000" w:sz="4" w:space="0"/>
              <w:right w:val="single" w:color="000000" w:sz="4" w:space="0"/>
              <w:tl2br w:val="nil"/>
              <w:tr2bl w:val="nil"/>
            </w:tcBorders>
          </w:tcPr>
          <w:p w14:paraId="2CB119AE">
            <w:pPr>
              <w:rPr>
                <w:rFonts w:hint="default" w:ascii="Times New Roman" w:eastAsia="Times New Roman"/>
                <w:color w:val="auto"/>
              </w:rPr>
            </w:pPr>
          </w:p>
        </w:tc>
      </w:tr>
      <w:tr w14:paraId="231FFEB0">
        <w:tblPrEx>
          <w:tblCellMar>
            <w:top w:w="0" w:type="dxa"/>
            <w:left w:w="108" w:type="dxa"/>
            <w:bottom w:w="0" w:type="dxa"/>
            <w:right w:w="108" w:type="dxa"/>
          </w:tblCellMar>
        </w:tblPrEx>
        <w:trPr>
          <w:trHeight w:val="478" w:hRule="exact"/>
        </w:trPr>
        <w:tc>
          <w:tcPr>
            <w:tcW w:w="2410" w:type="dxa"/>
            <w:tcBorders>
              <w:top w:val="single" w:color="000000" w:sz="4" w:space="0"/>
              <w:left w:val="single" w:color="000000" w:sz="4" w:space="0"/>
              <w:bottom w:val="single" w:color="000000" w:sz="4" w:space="0"/>
              <w:right w:val="single" w:color="000000" w:sz="4" w:space="0"/>
              <w:tl2br w:val="nil"/>
              <w:tr2bl w:val="nil"/>
            </w:tcBorders>
          </w:tcPr>
          <w:p w14:paraId="1D2E3B83">
            <w:pPr>
              <w:pStyle w:val="25"/>
              <w:kinsoku w:val="0"/>
              <w:overflowPunct w:val="0"/>
              <w:spacing w:before="41"/>
              <w:ind w:left="600"/>
              <w:rPr>
                <w:rFonts w:hint="default" w:ascii="Times New Roman" w:eastAsia="Times New Roman"/>
                <w:color w:val="auto"/>
              </w:rPr>
            </w:pPr>
            <w:r>
              <w:rPr>
                <w:rFonts w:cs="宋体"/>
                <w:color w:val="auto"/>
              </w:rPr>
              <w:t>项目负责人</w:t>
            </w:r>
          </w:p>
        </w:tc>
        <w:tc>
          <w:tcPr>
            <w:tcW w:w="6770" w:type="dxa"/>
            <w:tcBorders>
              <w:top w:val="single" w:color="000000" w:sz="4" w:space="0"/>
              <w:left w:val="single" w:color="000000" w:sz="4" w:space="0"/>
              <w:bottom w:val="single" w:color="000000" w:sz="4" w:space="0"/>
              <w:right w:val="single" w:color="000000" w:sz="4" w:space="0"/>
              <w:tl2br w:val="nil"/>
              <w:tr2bl w:val="nil"/>
            </w:tcBorders>
          </w:tcPr>
          <w:p w14:paraId="4EC62B9C">
            <w:pPr>
              <w:rPr>
                <w:rFonts w:hint="default" w:ascii="Times New Roman" w:eastAsia="Times New Roman"/>
                <w:color w:val="auto"/>
              </w:rPr>
            </w:pPr>
          </w:p>
        </w:tc>
      </w:tr>
      <w:tr w14:paraId="78A55A34">
        <w:tblPrEx>
          <w:tblCellMar>
            <w:top w:w="0" w:type="dxa"/>
            <w:left w:w="108" w:type="dxa"/>
            <w:bottom w:w="0" w:type="dxa"/>
            <w:right w:w="108" w:type="dxa"/>
          </w:tblCellMar>
        </w:tblPrEx>
        <w:trPr>
          <w:trHeight w:val="478" w:hRule="exact"/>
        </w:trPr>
        <w:tc>
          <w:tcPr>
            <w:tcW w:w="2410" w:type="dxa"/>
            <w:tcBorders>
              <w:top w:val="single" w:color="000000" w:sz="4" w:space="0"/>
              <w:left w:val="single" w:color="000000" w:sz="4" w:space="0"/>
              <w:bottom w:val="single" w:color="000000" w:sz="4" w:space="0"/>
              <w:right w:val="single" w:color="000000" w:sz="4" w:space="0"/>
              <w:tl2br w:val="nil"/>
              <w:tr2bl w:val="nil"/>
            </w:tcBorders>
          </w:tcPr>
          <w:p w14:paraId="1B866922">
            <w:pPr>
              <w:pStyle w:val="25"/>
              <w:kinsoku w:val="0"/>
              <w:overflowPunct w:val="0"/>
              <w:spacing w:before="40"/>
              <w:ind w:left="703"/>
              <w:rPr>
                <w:rFonts w:hint="default" w:ascii="Times New Roman" w:eastAsia="Times New Roman"/>
                <w:color w:val="auto"/>
              </w:rPr>
            </w:pPr>
            <w:r>
              <w:rPr>
                <w:rFonts w:cs="宋体"/>
                <w:color w:val="auto"/>
              </w:rPr>
              <w:t>联系方式</w:t>
            </w:r>
          </w:p>
        </w:tc>
        <w:tc>
          <w:tcPr>
            <w:tcW w:w="6770" w:type="dxa"/>
            <w:tcBorders>
              <w:top w:val="single" w:color="000000" w:sz="4" w:space="0"/>
              <w:left w:val="single" w:color="000000" w:sz="4" w:space="0"/>
              <w:bottom w:val="single" w:color="000000" w:sz="4" w:space="0"/>
              <w:right w:val="single" w:color="000000" w:sz="4" w:space="0"/>
              <w:tl2br w:val="nil"/>
              <w:tr2bl w:val="nil"/>
            </w:tcBorders>
          </w:tcPr>
          <w:p w14:paraId="094F044C">
            <w:pPr>
              <w:rPr>
                <w:rFonts w:hint="default" w:ascii="Times New Roman" w:eastAsia="Times New Roman"/>
                <w:color w:val="auto"/>
              </w:rPr>
            </w:pPr>
          </w:p>
        </w:tc>
      </w:tr>
      <w:tr w14:paraId="1939DE42">
        <w:tblPrEx>
          <w:tblCellMar>
            <w:top w:w="0" w:type="dxa"/>
            <w:left w:w="108" w:type="dxa"/>
            <w:bottom w:w="0" w:type="dxa"/>
            <w:right w:w="108" w:type="dxa"/>
          </w:tblCellMar>
        </w:tblPrEx>
        <w:trPr>
          <w:trHeight w:val="1144" w:hRule="exact"/>
        </w:trPr>
        <w:tc>
          <w:tcPr>
            <w:tcW w:w="9180" w:type="dxa"/>
            <w:gridSpan w:val="2"/>
            <w:tcBorders>
              <w:top w:val="single" w:color="000000" w:sz="4" w:space="0"/>
              <w:left w:val="single" w:color="000000" w:sz="4" w:space="0"/>
              <w:bottom w:val="single" w:color="000000" w:sz="4" w:space="0"/>
              <w:right w:val="single" w:color="000000" w:sz="4" w:space="0"/>
              <w:tl2br w:val="nil"/>
              <w:tr2bl w:val="nil"/>
            </w:tcBorders>
          </w:tcPr>
          <w:p w14:paraId="3E7F8A14">
            <w:pPr>
              <w:pStyle w:val="25"/>
              <w:kinsoku w:val="0"/>
              <w:overflowPunct w:val="0"/>
              <w:spacing w:before="40"/>
              <w:ind w:left="103"/>
              <w:rPr>
                <w:rFonts w:hint="default" w:ascii="Times New Roman" w:eastAsia="Times New Roman"/>
                <w:color w:val="auto"/>
              </w:rPr>
            </w:pPr>
            <w:r>
              <w:rPr>
                <w:rFonts w:cs="宋体"/>
                <w:color w:val="auto"/>
              </w:rPr>
              <w:t>备注：</w:t>
            </w:r>
          </w:p>
        </w:tc>
      </w:tr>
    </w:tbl>
    <w:p w14:paraId="2FA86E17">
      <w:pPr>
        <w:pStyle w:val="8"/>
        <w:kinsoku w:val="0"/>
        <w:overflowPunct w:val="0"/>
        <w:spacing w:before="41" w:line="357" w:lineRule="auto"/>
        <w:ind w:left="560"/>
        <w:rPr>
          <w:rFonts w:hint="default"/>
          <w:color w:val="auto"/>
        </w:rPr>
      </w:pPr>
      <w:r>
        <w:rPr>
          <w:color w:val="auto"/>
        </w:rPr>
        <w:t>说明：1、</w:t>
      </w:r>
      <w:r>
        <w:rPr>
          <w:rFonts w:hint="eastAsia"/>
          <w:color w:val="auto"/>
          <w:lang w:eastAsia="zh-CN"/>
        </w:rPr>
        <w:t>供应商</w:t>
      </w:r>
      <w:r>
        <w:rPr>
          <w:color w:val="auto"/>
        </w:rPr>
        <w:t>严格按照规定的格式填写。投标总价为优惠后报价，并作为评</w:t>
      </w:r>
      <w:r>
        <w:rPr>
          <w:color w:val="auto"/>
          <w:spacing w:val="-99"/>
        </w:rPr>
        <w:t xml:space="preserve"> </w:t>
      </w:r>
      <w:r>
        <w:rPr>
          <w:color w:val="auto"/>
        </w:rPr>
        <w:t>审及定标的依据。</w:t>
      </w:r>
    </w:p>
    <w:p w14:paraId="6D44E4DB">
      <w:pPr>
        <w:pStyle w:val="8"/>
        <w:kinsoku w:val="0"/>
        <w:overflowPunct w:val="0"/>
        <w:spacing w:line="357" w:lineRule="auto"/>
        <w:ind w:left="965" w:firstLine="600"/>
        <w:rPr>
          <w:rFonts w:hint="default"/>
          <w:color w:val="auto"/>
        </w:rPr>
      </w:pPr>
      <w:r>
        <w:rPr>
          <w:rFonts w:hint="eastAsia"/>
          <w:color w:val="auto"/>
          <w:spacing w:val="2"/>
          <w:lang w:val="en-US" w:eastAsia="zh-CN"/>
        </w:rPr>
        <w:t>2、</w:t>
      </w:r>
      <w:r>
        <w:rPr>
          <w:color w:val="auto"/>
          <w:spacing w:val="2"/>
        </w:rPr>
        <w:t>任何有选择或有条件的投标总价或表中某一包填写多个报价，均将导</w:t>
      </w:r>
      <w:r>
        <w:rPr>
          <w:color w:val="auto"/>
        </w:rPr>
        <w:t>致投标被拒绝。</w:t>
      </w:r>
    </w:p>
    <w:p w14:paraId="789FC861">
      <w:pPr>
        <w:pStyle w:val="8"/>
        <w:kinsoku w:val="0"/>
        <w:overflowPunct w:val="0"/>
        <w:spacing w:line="357" w:lineRule="auto"/>
        <w:ind w:left="965" w:firstLine="600"/>
        <w:rPr>
          <w:rFonts w:hint="default"/>
          <w:color w:val="auto"/>
        </w:rPr>
        <w:sectPr>
          <w:pgSz w:w="11910" w:h="16840"/>
          <w:pgMar w:top="1500" w:right="1240" w:bottom="1600" w:left="1240" w:header="0" w:footer="1415" w:gutter="0"/>
          <w:pgNumType w:fmt="decimal"/>
          <w:cols w:space="720" w:num="1"/>
        </w:sectPr>
      </w:pPr>
    </w:p>
    <w:p w14:paraId="3F4F4C7B">
      <w:pPr>
        <w:pStyle w:val="3"/>
        <w:kinsoku w:val="0"/>
        <w:overflowPunct w:val="0"/>
        <w:spacing w:line="395" w:lineRule="exact"/>
        <w:ind w:left="1260"/>
        <w:rPr>
          <w:rFonts w:hint="default"/>
          <w:b w:val="0"/>
          <w:color w:val="auto"/>
        </w:rPr>
      </w:pPr>
      <w:bookmarkStart w:id="78" w:name="4、★商务条款偏离说明表"/>
      <w:bookmarkEnd w:id="78"/>
      <w:r>
        <w:rPr>
          <w:color w:val="auto"/>
        </w:rPr>
        <w:t>3、★投标报价明细表</w:t>
      </w:r>
    </w:p>
    <w:p w14:paraId="1C9D8DD1">
      <w:pPr>
        <w:pStyle w:val="8"/>
        <w:kinsoku w:val="0"/>
        <w:overflowPunct w:val="0"/>
        <w:spacing w:before="190"/>
        <w:ind w:left="1260"/>
        <w:rPr>
          <w:rFonts w:hint="default"/>
          <w:color w:val="auto"/>
        </w:rPr>
      </w:pPr>
      <w:r>
        <w:rPr>
          <w:color w:val="auto"/>
        </w:rPr>
        <w:t>项目编号、包号：</w:t>
      </w:r>
      <w:r>
        <w:rPr>
          <w:rFonts w:hint="eastAsia"/>
          <w:color w:val="auto"/>
          <w:lang w:val="en-US" w:eastAsia="zh-CN"/>
        </w:rPr>
        <w:t xml:space="preserve">                                  </w:t>
      </w:r>
      <w:r>
        <w:rPr>
          <w:color w:val="auto"/>
        </w:rPr>
        <w:t>价格单位：元</w:t>
      </w:r>
    </w:p>
    <w:p w14:paraId="0B91C89A">
      <w:pPr>
        <w:pStyle w:val="8"/>
        <w:kinsoku w:val="0"/>
        <w:overflowPunct w:val="0"/>
        <w:spacing w:before="9"/>
        <w:ind w:left="0"/>
        <w:rPr>
          <w:rFonts w:hint="default"/>
          <w:color w:val="auto"/>
          <w:sz w:val="8"/>
          <w:szCs w:val="8"/>
        </w:rPr>
      </w:pPr>
    </w:p>
    <w:tbl>
      <w:tblPr>
        <w:tblStyle w:val="20"/>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66"/>
        <w:gridCol w:w="1043"/>
        <w:gridCol w:w="1213"/>
        <w:gridCol w:w="990"/>
        <w:gridCol w:w="1306"/>
        <w:gridCol w:w="1200"/>
        <w:gridCol w:w="1406"/>
        <w:gridCol w:w="827"/>
      </w:tblGrid>
      <w:tr w14:paraId="5D23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817" w:type="dxa"/>
            <w:noWrap w:val="0"/>
            <w:vAlign w:val="center"/>
          </w:tcPr>
          <w:p w14:paraId="3D17205C">
            <w:pPr>
              <w:rPr>
                <w:rFonts w:hint="eastAsia" w:ascii="仿宋" w:hAnsi="仿宋" w:cs="仿宋"/>
                <w:color w:val="auto"/>
                <w:sz w:val="24"/>
                <w:szCs w:val="24"/>
              </w:rPr>
            </w:pPr>
            <w:r>
              <w:rPr>
                <w:rFonts w:hint="eastAsia" w:ascii="仿宋" w:hAnsi="仿宋" w:cs="仿宋"/>
                <w:color w:val="auto"/>
                <w:sz w:val="24"/>
                <w:szCs w:val="24"/>
              </w:rPr>
              <w:t>序号</w:t>
            </w:r>
          </w:p>
        </w:tc>
        <w:tc>
          <w:tcPr>
            <w:tcW w:w="1366" w:type="dxa"/>
            <w:noWrap w:val="0"/>
            <w:vAlign w:val="center"/>
          </w:tcPr>
          <w:p w14:paraId="32C58B7E">
            <w:pPr>
              <w:jc w:val="center"/>
              <w:rPr>
                <w:rFonts w:hint="eastAsia" w:ascii="仿宋" w:hAnsi="仿宋" w:cs="仿宋"/>
                <w:color w:val="auto"/>
                <w:sz w:val="24"/>
                <w:szCs w:val="24"/>
              </w:rPr>
            </w:pPr>
            <w:r>
              <w:rPr>
                <w:rFonts w:hint="eastAsia" w:ascii="仿宋" w:hAnsi="仿宋" w:cs="仿宋"/>
                <w:color w:val="auto"/>
                <w:sz w:val="24"/>
                <w:szCs w:val="24"/>
              </w:rPr>
              <w:t>标的名称</w:t>
            </w:r>
          </w:p>
        </w:tc>
        <w:tc>
          <w:tcPr>
            <w:tcW w:w="1043" w:type="dxa"/>
            <w:noWrap w:val="0"/>
            <w:vAlign w:val="center"/>
          </w:tcPr>
          <w:p w14:paraId="6DF56DD4">
            <w:pPr>
              <w:jc w:val="center"/>
              <w:rPr>
                <w:rFonts w:hint="eastAsia" w:ascii="仿宋" w:hAnsi="仿宋" w:cs="仿宋"/>
                <w:color w:val="auto"/>
                <w:sz w:val="24"/>
                <w:szCs w:val="24"/>
              </w:rPr>
            </w:pPr>
            <w:r>
              <w:rPr>
                <w:rFonts w:hint="eastAsia" w:ascii="仿宋" w:hAnsi="仿宋" w:cs="仿宋"/>
                <w:color w:val="auto"/>
                <w:sz w:val="24"/>
                <w:szCs w:val="24"/>
              </w:rPr>
              <w:t>品牌</w:t>
            </w:r>
          </w:p>
        </w:tc>
        <w:tc>
          <w:tcPr>
            <w:tcW w:w="1213" w:type="dxa"/>
            <w:noWrap w:val="0"/>
            <w:vAlign w:val="center"/>
          </w:tcPr>
          <w:p w14:paraId="59EA4F33">
            <w:pPr>
              <w:jc w:val="center"/>
              <w:rPr>
                <w:rFonts w:ascii="仿宋" w:hAnsi="仿宋" w:cs="仿宋"/>
                <w:color w:val="auto"/>
                <w:sz w:val="24"/>
                <w:szCs w:val="24"/>
              </w:rPr>
            </w:pPr>
            <w:r>
              <w:rPr>
                <w:rFonts w:hint="eastAsia" w:ascii="仿宋" w:hAnsi="仿宋" w:cs="仿宋"/>
                <w:color w:val="auto"/>
                <w:sz w:val="24"/>
                <w:szCs w:val="24"/>
              </w:rPr>
              <w:t>规格型号</w:t>
            </w:r>
          </w:p>
        </w:tc>
        <w:tc>
          <w:tcPr>
            <w:tcW w:w="990" w:type="dxa"/>
            <w:noWrap w:val="0"/>
            <w:vAlign w:val="center"/>
          </w:tcPr>
          <w:p w14:paraId="0A22BF43">
            <w:pPr>
              <w:jc w:val="center"/>
              <w:rPr>
                <w:rFonts w:hint="eastAsia" w:ascii="仿宋" w:hAnsi="仿宋" w:cs="仿宋"/>
                <w:color w:val="auto"/>
                <w:sz w:val="24"/>
                <w:szCs w:val="24"/>
              </w:rPr>
            </w:pPr>
            <w:r>
              <w:rPr>
                <w:rFonts w:hint="eastAsia" w:ascii="仿宋" w:hAnsi="仿宋" w:cs="仿宋"/>
                <w:color w:val="auto"/>
                <w:sz w:val="24"/>
                <w:szCs w:val="24"/>
              </w:rPr>
              <w:t>数量</w:t>
            </w:r>
          </w:p>
        </w:tc>
        <w:tc>
          <w:tcPr>
            <w:tcW w:w="1306" w:type="dxa"/>
            <w:noWrap w:val="0"/>
            <w:vAlign w:val="center"/>
          </w:tcPr>
          <w:p w14:paraId="45BD8FBE">
            <w:pPr>
              <w:jc w:val="center"/>
              <w:rPr>
                <w:rFonts w:hint="eastAsia" w:ascii="仿宋" w:hAnsi="仿宋" w:cs="仿宋"/>
                <w:color w:val="auto"/>
                <w:sz w:val="24"/>
                <w:szCs w:val="24"/>
              </w:rPr>
            </w:pPr>
            <w:r>
              <w:rPr>
                <w:rFonts w:hint="eastAsia" w:ascii="仿宋" w:hAnsi="仿宋" w:cs="仿宋"/>
                <w:color w:val="auto"/>
                <w:sz w:val="24"/>
                <w:szCs w:val="24"/>
              </w:rPr>
              <w:t>质保期</w:t>
            </w:r>
          </w:p>
        </w:tc>
        <w:tc>
          <w:tcPr>
            <w:tcW w:w="1200" w:type="dxa"/>
            <w:noWrap w:val="0"/>
            <w:vAlign w:val="center"/>
          </w:tcPr>
          <w:p w14:paraId="793E658A">
            <w:pPr>
              <w:jc w:val="center"/>
              <w:rPr>
                <w:rFonts w:hint="eastAsia" w:ascii="仿宋" w:hAnsi="仿宋" w:cs="仿宋"/>
                <w:color w:val="auto"/>
                <w:sz w:val="24"/>
                <w:szCs w:val="24"/>
              </w:rPr>
            </w:pPr>
            <w:r>
              <w:rPr>
                <w:rFonts w:hint="eastAsia" w:ascii="仿宋" w:hAnsi="仿宋" w:cs="仿宋"/>
                <w:color w:val="auto"/>
                <w:sz w:val="24"/>
                <w:szCs w:val="24"/>
              </w:rPr>
              <w:t>单价</w:t>
            </w:r>
          </w:p>
        </w:tc>
        <w:tc>
          <w:tcPr>
            <w:tcW w:w="1406" w:type="dxa"/>
            <w:noWrap w:val="0"/>
            <w:vAlign w:val="center"/>
          </w:tcPr>
          <w:p w14:paraId="0236B5E5">
            <w:pPr>
              <w:jc w:val="center"/>
              <w:rPr>
                <w:rFonts w:ascii="仿宋" w:hAnsi="仿宋" w:cs="仿宋"/>
                <w:color w:val="auto"/>
                <w:sz w:val="24"/>
                <w:szCs w:val="24"/>
              </w:rPr>
            </w:pPr>
            <w:r>
              <w:rPr>
                <w:rFonts w:hint="eastAsia" w:ascii="仿宋" w:hAnsi="仿宋" w:cs="仿宋"/>
                <w:color w:val="auto"/>
                <w:sz w:val="24"/>
                <w:szCs w:val="24"/>
              </w:rPr>
              <w:t>总价</w:t>
            </w:r>
          </w:p>
        </w:tc>
        <w:tc>
          <w:tcPr>
            <w:tcW w:w="827" w:type="dxa"/>
            <w:noWrap w:val="0"/>
            <w:vAlign w:val="center"/>
          </w:tcPr>
          <w:p w14:paraId="1AF02A8C">
            <w:pPr>
              <w:jc w:val="center"/>
              <w:rPr>
                <w:rFonts w:hint="eastAsia" w:ascii="仿宋" w:hAnsi="仿宋" w:cs="仿宋"/>
                <w:color w:val="auto"/>
                <w:sz w:val="24"/>
                <w:szCs w:val="24"/>
              </w:rPr>
            </w:pPr>
            <w:r>
              <w:rPr>
                <w:rFonts w:hint="eastAsia" w:ascii="仿宋" w:hAnsi="仿宋" w:cs="仿宋"/>
                <w:color w:val="auto"/>
                <w:sz w:val="24"/>
                <w:szCs w:val="24"/>
              </w:rPr>
              <w:t>备注</w:t>
            </w:r>
          </w:p>
        </w:tc>
      </w:tr>
      <w:tr w14:paraId="23CD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817" w:type="dxa"/>
            <w:noWrap w:val="0"/>
            <w:vAlign w:val="center"/>
          </w:tcPr>
          <w:p w14:paraId="5EC4DECA">
            <w:pPr>
              <w:jc w:val="center"/>
              <w:rPr>
                <w:rFonts w:hint="eastAsia" w:ascii="仿宋" w:hAnsi="仿宋" w:cs="仿宋"/>
                <w:color w:val="auto"/>
                <w:sz w:val="24"/>
                <w:szCs w:val="24"/>
                <w:highlight w:val="yellow"/>
              </w:rPr>
            </w:pPr>
          </w:p>
        </w:tc>
        <w:tc>
          <w:tcPr>
            <w:tcW w:w="1366" w:type="dxa"/>
            <w:noWrap w:val="0"/>
            <w:vAlign w:val="center"/>
          </w:tcPr>
          <w:p w14:paraId="77F585FD">
            <w:pPr>
              <w:rPr>
                <w:rFonts w:hint="eastAsia" w:ascii="仿宋" w:hAnsi="仿宋" w:cs="仿宋"/>
                <w:color w:val="auto"/>
                <w:sz w:val="24"/>
                <w:szCs w:val="24"/>
                <w:highlight w:val="yellow"/>
              </w:rPr>
            </w:pPr>
          </w:p>
        </w:tc>
        <w:tc>
          <w:tcPr>
            <w:tcW w:w="1043" w:type="dxa"/>
            <w:noWrap w:val="0"/>
            <w:vAlign w:val="center"/>
          </w:tcPr>
          <w:p w14:paraId="1DCC45E1">
            <w:pPr>
              <w:jc w:val="center"/>
              <w:rPr>
                <w:rFonts w:hint="eastAsia" w:ascii="仿宋" w:hAnsi="仿宋" w:cs="仿宋"/>
                <w:color w:val="auto"/>
                <w:sz w:val="24"/>
                <w:szCs w:val="24"/>
                <w:highlight w:val="yellow"/>
              </w:rPr>
            </w:pPr>
          </w:p>
        </w:tc>
        <w:tc>
          <w:tcPr>
            <w:tcW w:w="1213" w:type="dxa"/>
            <w:noWrap w:val="0"/>
            <w:vAlign w:val="center"/>
          </w:tcPr>
          <w:p w14:paraId="667F3C2B">
            <w:pPr>
              <w:jc w:val="center"/>
              <w:rPr>
                <w:rFonts w:hint="eastAsia" w:ascii="仿宋" w:hAnsi="仿宋" w:cs="仿宋"/>
                <w:color w:val="auto"/>
                <w:sz w:val="24"/>
                <w:szCs w:val="24"/>
                <w:highlight w:val="yellow"/>
              </w:rPr>
            </w:pPr>
          </w:p>
        </w:tc>
        <w:tc>
          <w:tcPr>
            <w:tcW w:w="990" w:type="dxa"/>
            <w:noWrap w:val="0"/>
            <w:vAlign w:val="center"/>
          </w:tcPr>
          <w:p w14:paraId="7A72CD48">
            <w:pPr>
              <w:jc w:val="center"/>
              <w:rPr>
                <w:rFonts w:hint="eastAsia" w:ascii="仿宋" w:hAnsi="仿宋" w:cs="仿宋"/>
                <w:color w:val="auto"/>
                <w:sz w:val="24"/>
                <w:szCs w:val="24"/>
                <w:highlight w:val="yellow"/>
              </w:rPr>
            </w:pPr>
          </w:p>
        </w:tc>
        <w:tc>
          <w:tcPr>
            <w:tcW w:w="1306" w:type="dxa"/>
            <w:noWrap w:val="0"/>
            <w:vAlign w:val="center"/>
          </w:tcPr>
          <w:p w14:paraId="2F7804A8">
            <w:pPr>
              <w:jc w:val="center"/>
              <w:rPr>
                <w:rFonts w:hint="eastAsia" w:ascii="仿宋" w:hAnsi="仿宋" w:cs="仿宋"/>
                <w:color w:val="auto"/>
                <w:sz w:val="24"/>
                <w:szCs w:val="24"/>
                <w:highlight w:val="yellow"/>
              </w:rPr>
            </w:pPr>
          </w:p>
        </w:tc>
        <w:tc>
          <w:tcPr>
            <w:tcW w:w="1200" w:type="dxa"/>
            <w:noWrap w:val="0"/>
            <w:vAlign w:val="center"/>
          </w:tcPr>
          <w:p w14:paraId="04B9BFAD">
            <w:pPr>
              <w:jc w:val="center"/>
              <w:rPr>
                <w:rFonts w:hint="eastAsia" w:ascii="仿宋" w:hAnsi="仿宋" w:cs="仿宋"/>
                <w:color w:val="auto"/>
                <w:sz w:val="24"/>
                <w:szCs w:val="24"/>
                <w:highlight w:val="yellow"/>
              </w:rPr>
            </w:pPr>
          </w:p>
        </w:tc>
        <w:tc>
          <w:tcPr>
            <w:tcW w:w="1406" w:type="dxa"/>
            <w:noWrap w:val="0"/>
            <w:vAlign w:val="center"/>
          </w:tcPr>
          <w:p w14:paraId="01FB0C9E">
            <w:pPr>
              <w:jc w:val="center"/>
              <w:rPr>
                <w:rFonts w:hint="eastAsia" w:ascii="仿宋" w:hAnsi="仿宋" w:cs="仿宋"/>
                <w:color w:val="auto"/>
                <w:sz w:val="24"/>
                <w:szCs w:val="24"/>
                <w:highlight w:val="yellow"/>
              </w:rPr>
            </w:pPr>
          </w:p>
        </w:tc>
        <w:tc>
          <w:tcPr>
            <w:tcW w:w="827" w:type="dxa"/>
            <w:noWrap w:val="0"/>
            <w:vAlign w:val="center"/>
          </w:tcPr>
          <w:p w14:paraId="0FAB6255">
            <w:pPr>
              <w:jc w:val="center"/>
              <w:rPr>
                <w:rFonts w:hint="eastAsia" w:ascii="仿宋" w:hAnsi="仿宋" w:cs="仿宋"/>
                <w:color w:val="auto"/>
                <w:sz w:val="24"/>
                <w:szCs w:val="24"/>
                <w:highlight w:val="yellow"/>
              </w:rPr>
            </w:pPr>
          </w:p>
        </w:tc>
      </w:tr>
      <w:tr w14:paraId="21A0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817" w:type="dxa"/>
            <w:noWrap w:val="0"/>
            <w:vAlign w:val="center"/>
          </w:tcPr>
          <w:p w14:paraId="2A73C42B">
            <w:pPr>
              <w:jc w:val="center"/>
              <w:rPr>
                <w:rFonts w:hint="eastAsia" w:ascii="仿宋" w:hAnsi="仿宋" w:cs="仿宋"/>
                <w:color w:val="auto"/>
                <w:sz w:val="24"/>
                <w:szCs w:val="24"/>
                <w:highlight w:val="yellow"/>
              </w:rPr>
            </w:pPr>
          </w:p>
        </w:tc>
        <w:tc>
          <w:tcPr>
            <w:tcW w:w="1366" w:type="dxa"/>
            <w:noWrap w:val="0"/>
            <w:vAlign w:val="center"/>
          </w:tcPr>
          <w:p w14:paraId="19683856">
            <w:pPr>
              <w:rPr>
                <w:rFonts w:hint="eastAsia" w:ascii="仿宋" w:hAnsi="仿宋" w:cs="仿宋"/>
                <w:color w:val="auto"/>
                <w:sz w:val="24"/>
                <w:szCs w:val="24"/>
                <w:highlight w:val="yellow"/>
              </w:rPr>
            </w:pPr>
          </w:p>
        </w:tc>
        <w:tc>
          <w:tcPr>
            <w:tcW w:w="1043" w:type="dxa"/>
            <w:noWrap w:val="0"/>
            <w:vAlign w:val="center"/>
          </w:tcPr>
          <w:p w14:paraId="281C9154">
            <w:pPr>
              <w:jc w:val="center"/>
              <w:rPr>
                <w:rFonts w:hint="eastAsia" w:ascii="仿宋" w:hAnsi="仿宋" w:cs="仿宋"/>
                <w:color w:val="auto"/>
                <w:sz w:val="24"/>
                <w:szCs w:val="24"/>
                <w:highlight w:val="yellow"/>
              </w:rPr>
            </w:pPr>
          </w:p>
        </w:tc>
        <w:tc>
          <w:tcPr>
            <w:tcW w:w="1213" w:type="dxa"/>
            <w:noWrap w:val="0"/>
            <w:vAlign w:val="center"/>
          </w:tcPr>
          <w:p w14:paraId="02384014">
            <w:pPr>
              <w:jc w:val="center"/>
              <w:rPr>
                <w:rFonts w:hint="eastAsia" w:ascii="仿宋" w:hAnsi="仿宋" w:cs="仿宋"/>
                <w:color w:val="auto"/>
                <w:sz w:val="24"/>
                <w:szCs w:val="24"/>
                <w:highlight w:val="yellow"/>
              </w:rPr>
            </w:pPr>
          </w:p>
        </w:tc>
        <w:tc>
          <w:tcPr>
            <w:tcW w:w="990" w:type="dxa"/>
            <w:noWrap w:val="0"/>
            <w:vAlign w:val="center"/>
          </w:tcPr>
          <w:p w14:paraId="39C770EF">
            <w:pPr>
              <w:jc w:val="center"/>
              <w:rPr>
                <w:rFonts w:hint="eastAsia" w:ascii="仿宋" w:hAnsi="仿宋" w:cs="仿宋"/>
                <w:color w:val="auto"/>
                <w:sz w:val="24"/>
                <w:szCs w:val="24"/>
                <w:highlight w:val="yellow"/>
              </w:rPr>
            </w:pPr>
          </w:p>
        </w:tc>
        <w:tc>
          <w:tcPr>
            <w:tcW w:w="1306" w:type="dxa"/>
            <w:noWrap w:val="0"/>
            <w:vAlign w:val="center"/>
          </w:tcPr>
          <w:p w14:paraId="30FB55C3">
            <w:pPr>
              <w:jc w:val="center"/>
              <w:rPr>
                <w:rFonts w:hint="eastAsia" w:ascii="仿宋" w:hAnsi="仿宋" w:cs="仿宋"/>
                <w:color w:val="auto"/>
                <w:sz w:val="24"/>
                <w:szCs w:val="24"/>
                <w:highlight w:val="yellow"/>
              </w:rPr>
            </w:pPr>
          </w:p>
        </w:tc>
        <w:tc>
          <w:tcPr>
            <w:tcW w:w="1200" w:type="dxa"/>
            <w:noWrap w:val="0"/>
            <w:vAlign w:val="center"/>
          </w:tcPr>
          <w:p w14:paraId="7FD6CDE8">
            <w:pPr>
              <w:jc w:val="center"/>
              <w:rPr>
                <w:rFonts w:hint="eastAsia" w:ascii="仿宋" w:hAnsi="仿宋" w:cs="仿宋"/>
                <w:color w:val="auto"/>
                <w:sz w:val="24"/>
                <w:szCs w:val="24"/>
                <w:highlight w:val="yellow"/>
              </w:rPr>
            </w:pPr>
          </w:p>
        </w:tc>
        <w:tc>
          <w:tcPr>
            <w:tcW w:w="1406" w:type="dxa"/>
            <w:noWrap w:val="0"/>
            <w:vAlign w:val="center"/>
          </w:tcPr>
          <w:p w14:paraId="66CACEB5">
            <w:pPr>
              <w:jc w:val="center"/>
              <w:rPr>
                <w:rFonts w:hint="eastAsia" w:ascii="仿宋" w:hAnsi="仿宋" w:cs="仿宋"/>
                <w:color w:val="auto"/>
                <w:sz w:val="24"/>
                <w:szCs w:val="24"/>
                <w:highlight w:val="yellow"/>
              </w:rPr>
            </w:pPr>
          </w:p>
        </w:tc>
        <w:tc>
          <w:tcPr>
            <w:tcW w:w="827" w:type="dxa"/>
            <w:noWrap w:val="0"/>
            <w:vAlign w:val="center"/>
          </w:tcPr>
          <w:p w14:paraId="3D844D63">
            <w:pPr>
              <w:jc w:val="center"/>
              <w:rPr>
                <w:rFonts w:hint="eastAsia" w:ascii="仿宋" w:hAnsi="仿宋" w:cs="仿宋"/>
                <w:color w:val="auto"/>
                <w:sz w:val="24"/>
                <w:szCs w:val="24"/>
                <w:highlight w:val="yellow"/>
              </w:rPr>
            </w:pPr>
          </w:p>
        </w:tc>
      </w:tr>
      <w:tr w14:paraId="224F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817" w:type="dxa"/>
            <w:noWrap w:val="0"/>
            <w:vAlign w:val="center"/>
          </w:tcPr>
          <w:p w14:paraId="0B4F9AC4">
            <w:pPr>
              <w:jc w:val="center"/>
              <w:rPr>
                <w:rFonts w:hint="eastAsia" w:ascii="仿宋" w:hAnsi="仿宋" w:cs="仿宋"/>
                <w:color w:val="auto"/>
                <w:sz w:val="24"/>
                <w:szCs w:val="24"/>
                <w:highlight w:val="yellow"/>
              </w:rPr>
            </w:pPr>
          </w:p>
        </w:tc>
        <w:tc>
          <w:tcPr>
            <w:tcW w:w="1366" w:type="dxa"/>
            <w:noWrap w:val="0"/>
            <w:vAlign w:val="center"/>
          </w:tcPr>
          <w:p w14:paraId="5D7649D1">
            <w:pPr>
              <w:rPr>
                <w:rFonts w:hint="eastAsia" w:ascii="仿宋" w:hAnsi="仿宋" w:cs="仿宋"/>
                <w:color w:val="auto"/>
                <w:sz w:val="24"/>
                <w:szCs w:val="24"/>
                <w:highlight w:val="yellow"/>
              </w:rPr>
            </w:pPr>
          </w:p>
        </w:tc>
        <w:tc>
          <w:tcPr>
            <w:tcW w:w="1043" w:type="dxa"/>
            <w:noWrap w:val="0"/>
            <w:vAlign w:val="center"/>
          </w:tcPr>
          <w:p w14:paraId="5F5959B9">
            <w:pPr>
              <w:jc w:val="center"/>
              <w:rPr>
                <w:rFonts w:hint="eastAsia" w:ascii="仿宋" w:hAnsi="仿宋" w:cs="仿宋"/>
                <w:color w:val="auto"/>
                <w:sz w:val="24"/>
                <w:szCs w:val="24"/>
                <w:highlight w:val="yellow"/>
              </w:rPr>
            </w:pPr>
          </w:p>
        </w:tc>
        <w:tc>
          <w:tcPr>
            <w:tcW w:w="1213" w:type="dxa"/>
            <w:noWrap w:val="0"/>
            <w:vAlign w:val="center"/>
          </w:tcPr>
          <w:p w14:paraId="6AB72588">
            <w:pPr>
              <w:jc w:val="center"/>
              <w:rPr>
                <w:rFonts w:hint="eastAsia" w:ascii="仿宋" w:hAnsi="仿宋" w:cs="仿宋"/>
                <w:color w:val="auto"/>
                <w:sz w:val="24"/>
                <w:szCs w:val="24"/>
                <w:highlight w:val="yellow"/>
              </w:rPr>
            </w:pPr>
          </w:p>
        </w:tc>
        <w:tc>
          <w:tcPr>
            <w:tcW w:w="990" w:type="dxa"/>
            <w:noWrap w:val="0"/>
            <w:vAlign w:val="center"/>
          </w:tcPr>
          <w:p w14:paraId="3F9C4BC3">
            <w:pPr>
              <w:jc w:val="center"/>
              <w:rPr>
                <w:rFonts w:hint="eastAsia" w:ascii="仿宋" w:hAnsi="仿宋" w:cs="仿宋"/>
                <w:color w:val="auto"/>
                <w:sz w:val="24"/>
                <w:szCs w:val="24"/>
                <w:highlight w:val="yellow"/>
              </w:rPr>
            </w:pPr>
          </w:p>
        </w:tc>
        <w:tc>
          <w:tcPr>
            <w:tcW w:w="1306" w:type="dxa"/>
            <w:noWrap w:val="0"/>
            <w:vAlign w:val="center"/>
          </w:tcPr>
          <w:p w14:paraId="6641701B">
            <w:pPr>
              <w:jc w:val="center"/>
              <w:rPr>
                <w:rFonts w:hint="eastAsia" w:ascii="仿宋" w:hAnsi="仿宋" w:cs="仿宋"/>
                <w:color w:val="auto"/>
                <w:sz w:val="24"/>
                <w:szCs w:val="24"/>
                <w:highlight w:val="yellow"/>
              </w:rPr>
            </w:pPr>
          </w:p>
        </w:tc>
        <w:tc>
          <w:tcPr>
            <w:tcW w:w="1200" w:type="dxa"/>
            <w:noWrap w:val="0"/>
            <w:vAlign w:val="center"/>
          </w:tcPr>
          <w:p w14:paraId="773565BB">
            <w:pPr>
              <w:jc w:val="center"/>
              <w:rPr>
                <w:rFonts w:hint="eastAsia" w:ascii="仿宋" w:hAnsi="仿宋" w:cs="仿宋"/>
                <w:color w:val="auto"/>
                <w:sz w:val="24"/>
                <w:szCs w:val="24"/>
                <w:highlight w:val="yellow"/>
              </w:rPr>
            </w:pPr>
          </w:p>
        </w:tc>
        <w:tc>
          <w:tcPr>
            <w:tcW w:w="1406" w:type="dxa"/>
            <w:noWrap w:val="0"/>
            <w:vAlign w:val="center"/>
          </w:tcPr>
          <w:p w14:paraId="48DC5669">
            <w:pPr>
              <w:jc w:val="center"/>
              <w:rPr>
                <w:rFonts w:hint="eastAsia" w:ascii="仿宋" w:hAnsi="仿宋" w:cs="仿宋"/>
                <w:color w:val="auto"/>
                <w:sz w:val="24"/>
                <w:szCs w:val="24"/>
                <w:highlight w:val="yellow"/>
              </w:rPr>
            </w:pPr>
          </w:p>
        </w:tc>
        <w:tc>
          <w:tcPr>
            <w:tcW w:w="827" w:type="dxa"/>
            <w:noWrap w:val="0"/>
            <w:vAlign w:val="center"/>
          </w:tcPr>
          <w:p w14:paraId="64124126">
            <w:pPr>
              <w:jc w:val="center"/>
              <w:rPr>
                <w:rFonts w:hint="eastAsia" w:ascii="仿宋" w:hAnsi="仿宋" w:cs="仿宋"/>
                <w:color w:val="auto"/>
                <w:sz w:val="24"/>
                <w:szCs w:val="24"/>
                <w:highlight w:val="yellow"/>
              </w:rPr>
            </w:pPr>
          </w:p>
        </w:tc>
      </w:tr>
      <w:tr w14:paraId="179F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7" w:type="dxa"/>
            <w:noWrap w:val="0"/>
            <w:vAlign w:val="center"/>
          </w:tcPr>
          <w:p w14:paraId="0D5FF139">
            <w:pPr>
              <w:jc w:val="center"/>
              <w:rPr>
                <w:rFonts w:hint="eastAsia" w:ascii="仿宋" w:hAnsi="仿宋" w:cs="仿宋"/>
                <w:color w:val="auto"/>
                <w:sz w:val="24"/>
                <w:szCs w:val="24"/>
                <w:highlight w:val="yellow"/>
              </w:rPr>
            </w:pPr>
          </w:p>
        </w:tc>
        <w:tc>
          <w:tcPr>
            <w:tcW w:w="1366" w:type="dxa"/>
            <w:noWrap w:val="0"/>
            <w:vAlign w:val="center"/>
          </w:tcPr>
          <w:p w14:paraId="65198FF9">
            <w:pPr>
              <w:jc w:val="center"/>
              <w:rPr>
                <w:rFonts w:hint="eastAsia" w:ascii="仿宋" w:hAnsi="仿宋" w:cs="仿宋"/>
                <w:color w:val="auto"/>
                <w:sz w:val="24"/>
                <w:szCs w:val="24"/>
                <w:highlight w:val="yellow"/>
              </w:rPr>
            </w:pPr>
          </w:p>
        </w:tc>
        <w:tc>
          <w:tcPr>
            <w:tcW w:w="1043" w:type="dxa"/>
            <w:noWrap w:val="0"/>
            <w:vAlign w:val="center"/>
          </w:tcPr>
          <w:p w14:paraId="17099999">
            <w:pPr>
              <w:jc w:val="center"/>
              <w:rPr>
                <w:rFonts w:hint="eastAsia" w:ascii="仿宋" w:hAnsi="仿宋" w:cs="仿宋"/>
                <w:color w:val="auto"/>
                <w:sz w:val="24"/>
                <w:szCs w:val="24"/>
                <w:highlight w:val="yellow"/>
              </w:rPr>
            </w:pPr>
          </w:p>
        </w:tc>
        <w:tc>
          <w:tcPr>
            <w:tcW w:w="1213" w:type="dxa"/>
            <w:noWrap w:val="0"/>
            <w:vAlign w:val="center"/>
          </w:tcPr>
          <w:p w14:paraId="468A2186">
            <w:pPr>
              <w:jc w:val="center"/>
              <w:rPr>
                <w:rFonts w:hint="eastAsia" w:ascii="仿宋" w:hAnsi="仿宋" w:cs="仿宋"/>
                <w:color w:val="auto"/>
                <w:sz w:val="24"/>
                <w:szCs w:val="24"/>
                <w:highlight w:val="yellow"/>
              </w:rPr>
            </w:pPr>
          </w:p>
        </w:tc>
        <w:tc>
          <w:tcPr>
            <w:tcW w:w="990" w:type="dxa"/>
            <w:noWrap w:val="0"/>
            <w:vAlign w:val="center"/>
          </w:tcPr>
          <w:p w14:paraId="43339909">
            <w:pPr>
              <w:jc w:val="center"/>
              <w:rPr>
                <w:rFonts w:hint="eastAsia" w:ascii="仿宋" w:hAnsi="仿宋" w:cs="仿宋"/>
                <w:color w:val="auto"/>
                <w:sz w:val="24"/>
                <w:szCs w:val="24"/>
                <w:highlight w:val="yellow"/>
              </w:rPr>
            </w:pPr>
          </w:p>
        </w:tc>
        <w:tc>
          <w:tcPr>
            <w:tcW w:w="1306" w:type="dxa"/>
            <w:noWrap w:val="0"/>
            <w:vAlign w:val="center"/>
          </w:tcPr>
          <w:p w14:paraId="3AFA1F11">
            <w:pPr>
              <w:jc w:val="center"/>
              <w:rPr>
                <w:rFonts w:hint="eastAsia" w:ascii="仿宋" w:hAnsi="仿宋" w:cs="仿宋"/>
                <w:color w:val="auto"/>
                <w:sz w:val="24"/>
                <w:szCs w:val="24"/>
                <w:highlight w:val="yellow"/>
              </w:rPr>
            </w:pPr>
          </w:p>
        </w:tc>
        <w:tc>
          <w:tcPr>
            <w:tcW w:w="1200" w:type="dxa"/>
            <w:noWrap w:val="0"/>
            <w:vAlign w:val="center"/>
          </w:tcPr>
          <w:p w14:paraId="41DB070C">
            <w:pPr>
              <w:jc w:val="center"/>
              <w:rPr>
                <w:rFonts w:hint="eastAsia" w:ascii="仿宋" w:hAnsi="仿宋" w:cs="仿宋"/>
                <w:color w:val="auto"/>
                <w:sz w:val="24"/>
                <w:szCs w:val="24"/>
                <w:highlight w:val="yellow"/>
              </w:rPr>
            </w:pPr>
          </w:p>
        </w:tc>
        <w:tc>
          <w:tcPr>
            <w:tcW w:w="1406" w:type="dxa"/>
            <w:noWrap w:val="0"/>
            <w:vAlign w:val="center"/>
          </w:tcPr>
          <w:p w14:paraId="5FA9C794">
            <w:pPr>
              <w:jc w:val="center"/>
              <w:rPr>
                <w:rFonts w:hint="eastAsia" w:ascii="仿宋" w:hAnsi="仿宋" w:cs="仿宋"/>
                <w:color w:val="auto"/>
                <w:sz w:val="24"/>
                <w:szCs w:val="24"/>
                <w:highlight w:val="yellow"/>
              </w:rPr>
            </w:pPr>
          </w:p>
        </w:tc>
        <w:tc>
          <w:tcPr>
            <w:tcW w:w="827" w:type="dxa"/>
            <w:noWrap w:val="0"/>
            <w:vAlign w:val="center"/>
          </w:tcPr>
          <w:p w14:paraId="53BA729C">
            <w:pPr>
              <w:jc w:val="center"/>
              <w:rPr>
                <w:rFonts w:hint="eastAsia" w:ascii="仿宋" w:hAnsi="仿宋" w:cs="仿宋"/>
                <w:color w:val="auto"/>
                <w:sz w:val="24"/>
                <w:szCs w:val="24"/>
                <w:highlight w:val="yellow"/>
              </w:rPr>
            </w:pPr>
          </w:p>
        </w:tc>
      </w:tr>
      <w:tr w14:paraId="1ED1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817" w:type="dxa"/>
            <w:noWrap w:val="0"/>
            <w:vAlign w:val="center"/>
          </w:tcPr>
          <w:p w14:paraId="77C02311">
            <w:pPr>
              <w:jc w:val="center"/>
              <w:rPr>
                <w:rFonts w:hint="eastAsia" w:ascii="仿宋" w:hAnsi="仿宋" w:cs="仿宋"/>
                <w:color w:val="auto"/>
                <w:sz w:val="24"/>
                <w:szCs w:val="24"/>
                <w:highlight w:val="yellow"/>
              </w:rPr>
            </w:pPr>
          </w:p>
        </w:tc>
        <w:tc>
          <w:tcPr>
            <w:tcW w:w="1366" w:type="dxa"/>
            <w:noWrap w:val="0"/>
            <w:vAlign w:val="center"/>
          </w:tcPr>
          <w:p w14:paraId="38854097">
            <w:pPr>
              <w:jc w:val="center"/>
              <w:rPr>
                <w:rFonts w:hint="eastAsia" w:ascii="仿宋" w:hAnsi="仿宋" w:cs="仿宋"/>
                <w:color w:val="auto"/>
                <w:sz w:val="24"/>
                <w:szCs w:val="24"/>
                <w:highlight w:val="yellow"/>
              </w:rPr>
            </w:pPr>
          </w:p>
        </w:tc>
        <w:tc>
          <w:tcPr>
            <w:tcW w:w="1043" w:type="dxa"/>
            <w:noWrap w:val="0"/>
            <w:vAlign w:val="center"/>
          </w:tcPr>
          <w:p w14:paraId="56283081">
            <w:pPr>
              <w:jc w:val="center"/>
              <w:rPr>
                <w:rFonts w:hint="eastAsia" w:ascii="仿宋" w:hAnsi="仿宋" w:cs="仿宋"/>
                <w:color w:val="auto"/>
                <w:sz w:val="24"/>
                <w:szCs w:val="24"/>
                <w:highlight w:val="yellow"/>
              </w:rPr>
            </w:pPr>
          </w:p>
        </w:tc>
        <w:tc>
          <w:tcPr>
            <w:tcW w:w="1213" w:type="dxa"/>
            <w:noWrap w:val="0"/>
            <w:vAlign w:val="center"/>
          </w:tcPr>
          <w:p w14:paraId="165D62DA">
            <w:pPr>
              <w:jc w:val="center"/>
              <w:rPr>
                <w:rFonts w:hint="eastAsia" w:ascii="仿宋" w:hAnsi="仿宋" w:cs="仿宋"/>
                <w:color w:val="auto"/>
                <w:sz w:val="24"/>
                <w:szCs w:val="24"/>
                <w:highlight w:val="yellow"/>
              </w:rPr>
            </w:pPr>
          </w:p>
        </w:tc>
        <w:tc>
          <w:tcPr>
            <w:tcW w:w="990" w:type="dxa"/>
            <w:noWrap w:val="0"/>
            <w:vAlign w:val="center"/>
          </w:tcPr>
          <w:p w14:paraId="63058499">
            <w:pPr>
              <w:jc w:val="center"/>
              <w:rPr>
                <w:rFonts w:hint="eastAsia" w:ascii="仿宋" w:hAnsi="仿宋" w:cs="仿宋"/>
                <w:color w:val="auto"/>
                <w:sz w:val="24"/>
                <w:szCs w:val="24"/>
                <w:highlight w:val="yellow"/>
              </w:rPr>
            </w:pPr>
          </w:p>
        </w:tc>
        <w:tc>
          <w:tcPr>
            <w:tcW w:w="1306" w:type="dxa"/>
            <w:noWrap w:val="0"/>
            <w:vAlign w:val="center"/>
          </w:tcPr>
          <w:p w14:paraId="52694570">
            <w:pPr>
              <w:jc w:val="center"/>
              <w:rPr>
                <w:rFonts w:hint="eastAsia" w:ascii="仿宋" w:hAnsi="仿宋" w:cs="仿宋"/>
                <w:color w:val="auto"/>
                <w:sz w:val="24"/>
                <w:szCs w:val="24"/>
                <w:highlight w:val="yellow"/>
              </w:rPr>
            </w:pPr>
          </w:p>
        </w:tc>
        <w:tc>
          <w:tcPr>
            <w:tcW w:w="1200" w:type="dxa"/>
            <w:noWrap w:val="0"/>
            <w:vAlign w:val="center"/>
          </w:tcPr>
          <w:p w14:paraId="274BFD82">
            <w:pPr>
              <w:jc w:val="center"/>
              <w:rPr>
                <w:rFonts w:hint="eastAsia" w:ascii="仿宋" w:hAnsi="仿宋" w:cs="仿宋"/>
                <w:color w:val="auto"/>
                <w:sz w:val="24"/>
                <w:szCs w:val="24"/>
                <w:highlight w:val="yellow"/>
              </w:rPr>
            </w:pPr>
          </w:p>
        </w:tc>
        <w:tc>
          <w:tcPr>
            <w:tcW w:w="1406" w:type="dxa"/>
            <w:noWrap w:val="0"/>
            <w:vAlign w:val="center"/>
          </w:tcPr>
          <w:p w14:paraId="326196AB">
            <w:pPr>
              <w:jc w:val="center"/>
              <w:rPr>
                <w:rFonts w:hint="eastAsia" w:ascii="仿宋" w:hAnsi="仿宋" w:cs="仿宋"/>
                <w:color w:val="auto"/>
                <w:sz w:val="24"/>
                <w:szCs w:val="24"/>
                <w:highlight w:val="yellow"/>
              </w:rPr>
            </w:pPr>
          </w:p>
        </w:tc>
        <w:tc>
          <w:tcPr>
            <w:tcW w:w="827" w:type="dxa"/>
            <w:noWrap w:val="0"/>
            <w:vAlign w:val="center"/>
          </w:tcPr>
          <w:p w14:paraId="1598DC5C">
            <w:pPr>
              <w:jc w:val="center"/>
              <w:rPr>
                <w:rFonts w:hint="eastAsia" w:ascii="仿宋" w:hAnsi="仿宋" w:cs="仿宋"/>
                <w:color w:val="auto"/>
                <w:sz w:val="24"/>
                <w:szCs w:val="24"/>
                <w:highlight w:val="yellow"/>
              </w:rPr>
            </w:pPr>
          </w:p>
        </w:tc>
      </w:tr>
      <w:tr w14:paraId="6BDC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83" w:type="dxa"/>
            <w:gridSpan w:val="2"/>
            <w:noWrap w:val="0"/>
            <w:vAlign w:val="center"/>
          </w:tcPr>
          <w:p w14:paraId="69CEC8DC">
            <w:pPr>
              <w:jc w:val="center"/>
              <w:rPr>
                <w:rFonts w:hint="eastAsia" w:ascii="仿宋" w:hAnsi="仿宋" w:cs="仿宋"/>
                <w:color w:val="auto"/>
                <w:sz w:val="24"/>
                <w:szCs w:val="24"/>
                <w:highlight w:val="yellow"/>
              </w:rPr>
            </w:pPr>
            <w:r>
              <w:rPr>
                <w:rFonts w:hint="eastAsia" w:ascii="仿宋" w:hAnsi="仿宋" w:cs="仿宋"/>
                <w:color w:val="auto"/>
                <w:sz w:val="24"/>
                <w:szCs w:val="24"/>
              </w:rPr>
              <w:t>总报价</w:t>
            </w:r>
          </w:p>
        </w:tc>
        <w:tc>
          <w:tcPr>
            <w:tcW w:w="5752" w:type="dxa"/>
            <w:gridSpan w:val="5"/>
            <w:noWrap w:val="0"/>
            <w:vAlign w:val="center"/>
          </w:tcPr>
          <w:p w14:paraId="504C68A1">
            <w:pPr>
              <w:jc w:val="center"/>
              <w:rPr>
                <w:rFonts w:hint="eastAsia" w:ascii="仿宋" w:hAnsi="仿宋" w:cs="仿宋"/>
                <w:color w:val="auto"/>
                <w:sz w:val="24"/>
                <w:szCs w:val="24"/>
                <w:highlight w:val="yellow"/>
              </w:rPr>
            </w:pPr>
          </w:p>
        </w:tc>
        <w:tc>
          <w:tcPr>
            <w:tcW w:w="1406" w:type="dxa"/>
            <w:noWrap w:val="0"/>
            <w:vAlign w:val="center"/>
          </w:tcPr>
          <w:p w14:paraId="11C306F6">
            <w:pPr>
              <w:jc w:val="center"/>
              <w:rPr>
                <w:rFonts w:hint="eastAsia" w:ascii="仿宋" w:hAnsi="仿宋" w:cs="仿宋"/>
                <w:color w:val="auto"/>
                <w:sz w:val="24"/>
                <w:szCs w:val="24"/>
                <w:highlight w:val="yellow"/>
              </w:rPr>
            </w:pPr>
          </w:p>
        </w:tc>
        <w:tc>
          <w:tcPr>
            <w:tcW w:w="827" w:type="dxa"/>
            <w:noWrap w:val="0"/>
            <w:vAlign w:val="center"/>
          </w:tcPr>
          <w:p w14:paraId="6DC58BC3">
            <w:pPr>
              <w:jc w:val="center"/>
              <w:rPr>
                <w:rFonts w:hint="eastAsia" w:ascii="仿宋" w:hAnsi="仿宋" w:cs="仿宋"/>
                <w:color w:val="auto"/>
                <w:sz w:val="24"/>
                <w:szCs w:val="24"/>
                <w:highlight w:val="yellow"/>
              </w:rPr>
            </w:pPr>
          </w:p>
        </w:tc>
      </w:tr>
    </w:tbl>
    <w:p w14:paraId="1A7CCD6B">
      <w:pPr>
        <w:pStyle w:val="8"/>
        <w:kinsoku w:val="0"/>
        <w:overflowPunct w:val="0"/>
        <w:spacing w:before="41" w:line="357" w:lineRule="auto"/>
        <w:ind w:left="1260"/>
        <w:rPr>
          <w:rFonts w:hint="default"/>
          <w:color w:val="auto"/>
        </w:rPr>
      </w:pPr>
      <w:r>
        <w:rPr>
          <w:color w:val="auto"/>
          <w:spacing w:val="-3"/>
        </w:rPr>
        <w:t>说明：</w:t>
      </w:r>
      <w:r>
        <w:rPr>
          <w:rFonts w:hint="eastAsia"/>
          <w:color w:val="auto"/>
          <w:spacing w:val="-3"/>
          <w:lang w:eastAsia="zh-CN"/>
        </w:rPr>
        <w:t>供应商</w:t>
      </w:r>
      <w:r>
        <w:rPr>
          <w:color w:val="auto"/>
          <w:spacing w:val="-3"/>
        </w:rPr>
        <w:t>必须按规定要求完整填写报价明细表，如有缺失或变动表格相关内</w:t>
      </w:r>
      <w:r>
        <w:rPr>
          <w:color w:val="auto"/>
          <w:spacing w:val="-109"/>
        </w:rPr>
        <w:t xml:space="preserve"> </w:t>
      </w:r>
      <w:r>
        <w:rPr>
          <w:color w:val="auto"/>
        </w:rPr>
        <w:t>容，将导致投标被拒绝。</w:t>
      </w:r>
    </w:p>
    <w:p w14:paraId="2AEB3EB9">
      <w:pPr>
        <w:pStyle w:val="8"/>
        <w:kinsoku w:val="0"/>
        <w:overflowPunct w:val="0"/>
        <w:spacing w:before="0"/>
        <w:ind w:left="0"/>
        <w:rPr>
          <w:rFonts w:hint="default"/>
          <w:color w:val="auto"/>
        </w:rPr>
      </w:pPr>
    </w:p>
    <w:p w14:paraId="237D7492">
      <w:pPr>
        <w:pStyle w:val="8"/>
        <w:kinsoku w:val="0"/>
        <w:overflowPunct w:val="0"/>
        <w:spacing w:before="190"/>
        <w:ind w:left="0" w:right="2485"/>
        <w:jc w:val="right"/>
        <w:rPr>
          <w:rFonts w:hint="default"/>
          <w:color w:val="auto"/>
        </w:rPr>
      </w:pPr>
      <w:r>
        <w:rPr>
          <w:color w:val="auto"/>
        </w:rPr>
        <w:t>年月日</w:t>
      </w:r>
    </w:p>
    <w:p w14:paraId="0A8DD1BE">
      <w:pPr>
        <w:pStyle w:val="3"/>
        <w:kinsoku w:val="0"/>
        <w:overflowPunct w:val="0"/>
        <w:spacing w:line="395" w:lineRule="exact"/>
        <w:ind w:left="460"/>
        <w:outlineLvl w:val="9"/>
        <w:rPr>
          <w:color w:val="auto"/>
        </w:rPr>
      </w:pPr>
    </w:p>
    <w:p w14:paraId="5A740DF0">
      <w:pPr>
        <w:pStyle w:val="3"/>
        <w:kinsoku w:val="0"/>
        <w:overflowPunct w:val="0"/>
        <w:spacing w:line="395" w:lineRule="exact"/>
        <w:ind w:left="460"/>
        <w:outlineLvl w:val="9"/>
        <w:rPr>
          <w:color w:val="auto"/>
        </w:rPr>
      </w:pPr>
    </w:p>
    <w:p w14:paraId="31F59F41">
      <w:pPr>
        <w:pStyle w:val="3"/>
        <w:kinsoku w:val="0"/>
        <w:overflowPunct w:val="0"/>
        <w:spacing w:line="395" w:lineRule="exact"/>
        <w:ind w:left="460"/>
        <w:outlineLvl w:val="9"/>
        <w:rPr>
          <w:color w:val="auto"/>
        </w:rPr>
      </w:pPr>
    </w:p>
    <w:p w14:paraId="00DB2986">
      <w:pPr>
        <w:pStyle w:val="7"/>
        <w:rPr>
          <w:color w:val="auto"/>
        </w:rPr>
      </w:pPr>
    </w:p>
    <w:p w14:paraId="069C4A0F">
      <w:pPr>
        <w:rPr>
          <w:color w:val="auto"/>
        </w:rPr>
      </w:pPr>
    </w:p>
    <w:p w14:paraId="00FA0278">
      <w:pPr>
        <w:pStyle w:val="8"/>
        <w:rPr>
          <w:color w:val="auto"/>
        </w:rPr>
      </w:pPr>
    </w:p>
    <w:p w14:paraId="54C361AB">
      <w:pPr>
        <w:pStyle w:val="13"/>
        <w:rPr>
          <w:color w:val="auto"/>
        </w:rPr>
      </w:pPr>
    </w:p>
    <w:p w14:paraId="40DCB5CA">
      <w:pPr>
        <w:rPr>
          <w:color w:val="auto"/>
        </w:rPr>
      </w:pPr>
    </w:p>
    <w:p w14:paraId="58138F8A">
      <w:pPr>
        <w:pStyle w:val="8"/>
        <w:rPr>
          <w:color w:val="auto"/>
        </w:rPr>
      </w:pPr>
    </w:p>
    <w:p w14:paraId="3B26C39B">
      <w:pPr>
        <w:pStyle w:val="13"/>
        <w:rPr>
          <w:color w:val="auto"/>
        </w:rPr>
      </w:pPr>
    </w:p>
    <w:p w14:paraId="2686AA58">
      <w:pPr>
        <w:rPr>
          <w:color w:val="auto"/>
        </w:rPr>
      </w:pPr>
    </w:p>
    <w:p w14:paraId="3844B9A9">
      <w:pPr>
        <w:pStyle w:val="8"/>
        <w:rPr>
          <w:color w:val="auto"/>
        </w:rPr>
      </w:pPr>
    </w:p>
    <w:p w14:paraId="392D2053">
      <w:pPr>
        <w:pStyle w:val="13"/>
        <w:rPr>
          <w:color w:val="auto"/>
        </w:rPr>
      </w:pPr>
    </w:p>
    <w:p w14:paraId="606781B6">
      <w:pPr>
        <w:rPr>
          <w:color w:val="auto"/>
        </w:rPr>
      </w:pPr>
    </w:p>
    <w:p w14:paraId="02D266AD">
      <w:pPr>
        <w:pStyle w:val="8"/>
        <w:rPr>
          <w:color w:val="auto"/>
        </w:rPr>
      </w:pPr>
    </w:p>
    <w:p w14:paraId="1396017C">
      <w:pPr>
        <w:pStyle w:val="13"/>
        <w:rPr>
          <w:color w:val="auto"/>
        </w:rPr>
      </w:pPr>
    </w:p>
    <w:p w14:paraId="2F74FD40">
      <w:pPr>
        <w:pStyle w:val="3"/>
        <w:kinsoku w:val="0"/>
        <w:overflowPunct w:val="0"/>
        <w:spacing w:line="395" w:lineRule="exact"/>
        <w:ind w:left="460"/>
        <w:rPr>
          <w:rFonts w:hint="default"/>
          <w:b w:val="0"/>
          <w:color w:val="auto"/>
        </w:rPr>
      </w:pPr>
      <w:r>
        <w:rPr>
          <w:color w:val="auto"/>
        </w:rPr>
        <w:t>4、★商务条款偏离说明表</w:t>
      </w:r>
    </w:p>
    <w:p w14:paraId="4DF20A4D">
      <w:pPr>
        <w:pStyle w:val="8"/>
        <w:kinsoku w:val="0"/>
        <w:overflowPunct w:val="0"/>
        <w:spacing w:before="190"/>
        <w:ind w:left="460"/>
        <w:rPr>
          <w:rFonts w:hint="default"/>
          <w:color w:val="auto"/>
        </w:rPr>
      </w:pPr>
      <w:r>
        <w:rPr>
          <w:color w:val="auto"/>
        </w:rPr>
        <w:t>项目编号、包号：</w:t>
      </w:r>
    </w:p>
    <w:p w14:paraId="126029AB">
      <w:pPr>
        <w:pStyle w:val="8"/>
        <w:kinsoku w:val="0"/>
        <w:overflowPunct w:val="0"/>
        <w:spacing w:before="9"/>
        <w:ind w:left="0"/>
        <w:rPr>
          <w:rFonts w:hint="default"/>
          <w:color w:val="auto"/>
          <w:sz w:val="8"/>
          <w:szCs w:val="8"/>
        </w:rPr>
      </w:pPr>
    </w:p>
    <w:tbl>
      <w:tblPr>
        <w:tblStyle w:val="20"/>
        <w:tblW w:w="9380" w:type="dxa"/>
        <w:tblInd w:w="219" w:type="dxa"/>
        <w:tblLayout w:type="fixed"/>
        <w:tblCellMar>
          <w:top w:w="0" w:type="dxa"/>
          <w:left w:w="108" w:type="dxa"/>
          <w:bottom w:w="0" w:type="dxa"/>
          <w:right w:w="108" w:type="dxa"/>
        </w:tblCellMar>
      </w:tblPr>
      <w:tblGrid>
        <w:gridCol w:w="1002"/>
        <w:gridCol w:w="1260"/>
        <w:gridCol w:w="2795"/>
        <w:gridCol w:w="2509"/>
        <w:gridCol w:w="1009"/>
        <w:gridCol w:w="805"/>
      </w:tblGrid>
      <w:tr w14:paraId="424ABB0E">
        <w:tblPrEx>
          <w:tblCellMar>
            <w:top w:w="0" w:type="dxa"/>
            <w:left w:w="108" w:type="dxa"/>
            <w:bottom w:w="0" w:type="dxa"/>
            <w:right w:w="108" w:type="dxa"/>
          </w:tblCellMar>
        </w:tblPrEx>
        <w:trPr>
          <w:trHeight w:val="956" w:hRule="exact"/>
        </w:trPr>
        <w:tc>
          <w:tcPr>
            <w:tcW w:w="1002" w:type="dxa"/>
            <w:tcBorders>
              <w:top w:val="single" w:color="000000" w:sz="10" w:space="0"/>
              <w:left w:val="single" w:color="000000" w:sz="10" w:space="0"/>
              <w:bottom w:val="single" w:color="000000" w:sz="4" w:space="0"/>
              <w:right w:val="single" w:color="000000" w:sz="4" w:space="0"/>
              <w:tl2br w:val="nil"/>
              <w:tr2bl w:val="nil"/>
            </w:tcBorders>
          </w:tcPr>
          <w:p w14:paraId="31CA184A">
            <w:pPr>
              <w:pStyle w:val="25"/>
              <w:kinsoku w:val="0"/>
              <w:overflowPunct w:val="0"/>
              <w:rPr>
                <w:rFonts w:hint="default" w:cs="宋体"/>
                <w:color w:val="auto"/>
                <w:sz w:val="21"/>
                <w:szCs w:val="21"/>
              </w:rPr>
            </w:pPr>
          </w:p>
          <w:p w14:paraId="7B55E06B">
            <w:pPr>
              <w:pStyle w:val="25"/>
              <w:kinsoku w:val="0"/>
              <w:overflowPunct w:val="0"/>
              <w:ind w:left="247"/>
              <w:rPr>
                <w:rFonts w:hint="default" w:ascii="Times New Roman" w:eastAsia="Times New Roman"/>
                <w:color w:val="auto"/>
              </w:rPr>
            </w:pPr>
            <w:r>
              <w:rPr>
                <w:rFonts w:cs="宋体"/>
                <w:color w:val="auto"/>
              </w:rPr>
              <w:t>序号</w:t>
            </w:r>
          </w:p>
        </w:tc>
        <w:tc>
          <w:tcPr>
            <w:tcW w:w="1260" w:type="dxa"/>
            <w:tcBorders>
              <w:top w:val="single" w:color="000000" w:sz="10" w:space="0"/>
              <w:left w:val="single" w:color="000000" w:sz="4" w:space="0"/>
              <w:bottom w:val="single" w:color="000000" w:sz="4" w:space="0"/>
              <w:right w:val="single" w:color="000000" w:sz="4" w:space="0"/>
              <w:tl2br w:val="nil"/>
              <w:tr2bl w:val="nil"/>
            </w:tcBorders>
          </w:tcPr>
          <w:p w14:paraId="16962B2F">
            <w:pPr>
              <w:pStyle w:val="25"/>
              <w:kinsoku w:val="0"/>
              <w:overflowPunct w:val="0"/>
              <w:spacing w:before="42"/>
              <w:jc w:val="center"/>
              <w:rPr>
                <w:rFonts w:hint="default" w:cs="宋体"/>
                <w:color w:val="auto"/>
              </w:rPr>
            </w:pPr>
            <w:r>
              <w:rPr>
                <w:rFonts w:cs="宋体"/>
                <w:color w:val="auto"/>
              </w:rPr>
              <w:t>招标文件</w:t>
            </w:r>
          </w:p>
          <w:p w14:paraId="1B2066C4">
            <w:pPr>
              <w:pStyle w:val="25"/>
              <w:kinsoku w:val="0"/>
              <w:overflowPunct w:val="0"/>
              <w:spacing w:before="154"/>
              <w:jc w:val="center"/>
              <w:rPr>
                <w:rFonts w:hint="default" w:ascii="Times New Roman" w:eastAsia="Times New Roman"/>
                <w:color w:val="auto"/>
              </w:rPr>
            </w:pPr>
            <w:r>
              <w:rPr>
                <w:rFonts w:cs="宋体"/>
                <w:color w:val="auto"/>
              </w:rPr>
              <w:t>条款号</w:t>
            </w:r>
          </w:p>
        </w:tc>
        <w:tc>
          <w:tcPr>
            <w:tcW w:w="2795" w:type="dxa"/>
            <w:tcBorders>
              <w:top w:val="single" w:color="000000" w:sz="10" w:space="0"/>
              <w:left w:val="single" w:color="000000" w:sz="4" w:space="0"/>
              <w:bottom w:val="single" w:color="000000" w:sz="4" w:space="0"/>
              <w:right w:val="single" w:color="000000" w:sz="4" w:space="0"/>
              <w:tl2br w:val="nil"/>
              <w:tr2bl w:val="nil"/>
            </w:tcBorders>
          </w:tcPr>
          <w:p w14:paraId="6CF977E0">
            <w:pPr>
              <w:pStyle w:val="25"/>
              <w:kinsoku w:val="0"/>
              <w:overflowPunct w:val="0"/>
              <w:rPr>
                <w:rFonts w:hint="default" w:cs="宋体"/>
                <w:color w:val="auto"/>
                <w:sz w:val="21"/>
                <w:szCs w:val="21"/>
              </w:rPr>
            </w:pPr>
          </w:p>
          <w:p w14:paraId="41234057">
            <w:pPr>
              <w:pStyle w:val="25"/>
              <w:kinsoku w:val="0"/>
              <w:overflowPunct w:val="0"/>
              <w:ind w:left="197"/>
              <w:rPr>
                <w:rFonts w:hint="default" w:ascii="Times New Roman" w:eastAsia="Times New Roman"/>
                <w:color w:val="auto"/>
              </w:rPr>
            </w:pPr>
            <w:r>
              <w:rPr>
                <w:rFonts w:cs="宋体"/>
                <w:color w:val="auto"/>
              </w:rPr>
              <w:t>招标文件的商务条款</w:t>
            </w:r>
          </w:p>
        </w:tc>
        <w:tc>
          <w:tcPr>
            <w:tcW w:w="2509" w:type="dxa"/>
            <w:tcBorders>
              <w:top w:val="single" w:color="000000" w:sz="10" w:space="0"/>
              <w:left w:val="single" w:color="000000" w:sz="4" w:space="0"/>
              <w:bottom w:val="single" w:color="000000" w:sz="4" w:space="0"/>
              <w:right w:val="single" w:color="000000" w:sz="4" w:space="0"/>
              <w:tl2br w:val="nil"/>
              <w:tr2bl w:val="nil"/>
            </w:tcBorders>
          </w:tcPr>
          <w:p w14:paraId="7BABA23A">
            <w:pPr>
              <w:pStyle w:val="25"/>
              <w:kinsoku w:val="0"/>
              <w:overflowPunct w:val="0"/>
              <w:rPr>
                <w:rFonts w:hint="default" w:cs="宋体"/>
                <w:color w:val="auto"/>
                <w:sz w:val="21"/>
                <w:szCs w:val="21"/>
              </w:rPr>
            </w:pPr>
          </w:p>
          <w:p w14:paraId="072C8997">
            <w:pPr>
              <w:pStyle w:val="25"/>
              <w:kinsoku w:val="0"/>
              <w:overflowPunct w:val="0"/>
              <w:ind w:left="114"/>
              <w:rPr>
                <w:rFonts w:hint="default" w:ascii="Times New Roman" w:eastAsia="Times New Roman"/>
                <w:color w:val="auto"/>
              </w:rPr>
            </w:pPr>
            <w:r>
              <w:rPr>
                <w:rFonts w:cs="宋体"/>
                <w:color w:val="auto"/>
              </w:rPr>
              <w:t>投标文件的商务条款</w:t>
            </w:r>
          </w:p>
        </w:tc>
        <w:tc>
          <w:tcPr>
            <w:tcW w:w="1009" w:type="dxa"/>
            <w:tcBorders>
              <w:top w:val="single" w:color="000000" w:sz="10" w:space="0"/>
              <w:left w:val="single" w:color="000000" w:sz="4" w:space="0"/>
              <w:bottom w:val="single" w:color="000000" w:sz="4" w:space="0"/>
              <w:right w:val="single" w:color="000000" w:sz="4" w:space="0"/>
              <w:tl2br w:val="nil"/>
              <w:tr2bl w:val="nil"/>
            </w:tcBorders>
          </w:tcPr>
          <w:p w14:paraId="1256860F">
            <w:pPr>
              <w:pStyle w:val="25"/>
              <w:kinsoku w:val="0"/>
              <w:overflowPunct w:val="0"/>
              <w:rPr>
                <w:rFonts w:hint="default" w:cs="宋体"/>
                <w:color w:val="auto"/>
                <w:sz w:val="21"/>
                <w:szCs w:val="21"/>
              </w:rPr>
            </w:pPr>
          </w:p>
          <w:p w14:paraId="706ABCC4">
            <w:pPr>
              <w:pStyle w:val="25"/>
              <w:kinsoku w:val="0"/>
              <w:overflowPunct w:val="0"/>
              <w:rPr>
                <w:rFonts w:hint="default" w:ascii="Times New Roman" w:eastAsia="Times New Roman"/>
                <w:color w:val="auto"/>
              </w:rPr>
            </w:pPr>
            <w:r>
              <w:rPr>
                <w:rFonts w:cs="宋体"/>
                <w:color w:val="auto"/>
              </w:rPr>
              <w:t>偏离</w:t>
            </w:r>
          </w:p>
        </w:tc>
        <w:tc>
          <w:tcPr>
            <w:tcW w:w="805" w:type="dxa"/>
            <w:tcBorders>
              <w:top w:val="single" w:color="000000" w:sz="10" w:space="0"/>
              <w:left w:val="single" w:color="000000" w:sz="4" w:space="0"/>
              <w:bottom w:val="single" w:color="000000" w:sz="4" w:space="0"/>
              <w:right w:val="single" w:color="000000" w:sz="10" w:space="0"/>
              <w:tl2br w:val="nil"/>
              <w:tr2bl w:val="nil"/>
            </w:tcBorders>
          </w:tcPr>
          <w:p w14:paraId="328B27AB">
            <w:pPr>
              <w:pStyle w:val="25"/>
              <w:kinsoku w:val="0"/>
              <w:overflowPunct w:val="0"/>
              <w:ind w:left="272"/>
              <w:rPr>
                <w:rFonts w:hint="default" w:ascii="宋体" w:hAnsi="Times New Roman" w:eastAsia="宋体" w:cs="宋体"/>
                <w:color w:val="auto"/>
              </w:rPr>
            </w:pPr>
          </w:p>
          <w:p w14:paraId="25B88EA5">
            <w:pPr>
              <w:pStyle w:val="25"/>
              <w:kinsoku w:val="0"/>
              <w:overflowPunct w:val="0"/>
              <w:rPr>
                <w:rFonts w:hint="default" w:ascii="宋体" w:hAnsi="Times New Roman" w:eastAsia="宋体" w:cs="宋体"/>
                <w:color w:val="auto"/>
              </w:rPr>
            </w:pPr>
            <w:r>
              <w:rPr>
                <w:rFonts w:hint="eastAsia" w:ascii="宋体" w:hAnsi="Times New Roman" w:eastAsia="宋体" w:cs="宋体"/>
                <w:color w:val="auto"/>
                <w:lang w:val="en-US" w:eastAsia="zh-CN"/>
              </w:rPr>
              <w:t>备注</w:t>
            </w:r>
          </w:p>
        </w:tc>
      </w:tr>
      <w:tr w14:paraId="24A3B22A">
        <w:tblPrEx>
          <w:tblCellMar>
            <w:top w:w="0" w:type="dxa"/>
            <w:left w:w="108" w:type="dxa"/>
            <w:bottom w:w="0" w:type="dxa"/>
            <w:right w:w="108" w:type="dxa"/>
          </w:tblCellMar>
        </w:tblPrEx>
        <w:trPr>
          <w:trHeight w:val="780" w:hRule="exact"/>
        </w:trPr>
        <w:tc>
          <w:tcPr>
            <w:tcW w:w="1002" w:type="dxa"/>
            <w:tcBorders>
              <w:top w:val="single" w:color="000000" w:sz="4" w:space="0"/>
              <w:left w:val="single" w:color="000000" w:sz="10" w:space="0"/>
              <w:bottom w:val="single" w:color="000000" w:sz="4" w:space="0"/>
              <w:right w:val="single" w:color="000000" w:sz="4" w:space="0"/>
              <w:tl2br w:val="nil"/>
              <w:tr2bl w:val="nil"/>
            </w:tcBorders>
          </w:tcPr>
          <w:p w14:paraId="11AD0621">
            <w:pPr>
              <w:rPr>
                <w:rFonts w:hint="default" w:ascii="Times New Roman" w:eastAsia="Times New Roman"/>
                <w:color w:val="auto"/>
              </w:rPr>
            </w:pPr>
          </w:p>
        </w:tc>
        <w:tc>
          <w:tcPr>
            <w:tcW w:w="1260" w:type="dxa"/>
            <w:tcBorders>
              <w:top w:val="single" w:color="000000" w:sz="4" w:space="0"/>
              <w:left w:val="single" w:color="000000" w:sz="4" w:space="0"/>
              <w:bottom w:val="single" w:color="000000" w:sz="4" w:space="0"/>
              <w:right w:val="single" w:color="000000" w:sz="4" w:space="0"/>
              <w:tl2br w:val="nil"/>
              <w:tr2bl w:val="nil"/>
            </w:tcBorders>
          </w:tcPr>
          <w:p w14:paraId="108C7747">
            <w:pPr>
              <w:rPr>
                <w:rFonts w:hint="default" w:ascii="Times New Roman" w:eastAsia="Times New Roman"/>
                <w:color w:val="auto"/>
              </w:rPr>
            </w:pPr>
          </w:p>
        </w:tc>
        <w:tc>
          <w:tcPr>
            <w:tcW w:w="2795" w:type="dxa"/>
            <w:tcBorders>
              <w:top w:val="single" w:color="000000" w:sz="4" w:space="0"/>
              <w:left w:val="single" w:color="000000" w:sz="4" w:space="0"/>
              <w:bottom w:val="single" w:color="000000" w:sz="4" w:space="0"/>
              <w:right w:val="single" w:color="000000" w:sz="4" w:space="0"/>
              <w:tl2br w:val="nil"/>
              <w:tr2bl w:val="nil"/>
            </w:tcBorders>
          </w:tcPr>
          <w:p w14:paraId="40D3BA4A">
            <w:pPr>
              <w:rPr>
                <w:rFonts w:hint="default" w:ascii="Times New Roman" w:eastAsia="Times New Roman"/>
                <w:color w:val="auto"/>
              </w:rPr>
            </w:pPr>
          </w:p>
        </w:tc>
        <w:tc>
          <w:tcPr>
            <w:tcW w:w="2509" w:type="dxa"/>
            <w:tcBorders>
              <w:top w:val="single" w:color="000000" w:sz="4" w:space="0"/>
              <w:left w:val="single" w:color="000000" w:sz="4" w:space="0"/>
              <w:bottom w:val="single" w:color="000000" w:sz="4" w:space="0"/>
              <w:right w:val="single" w:color="000000" w:sz="4" w:space="0"/>
              <w:tl2br w:val="nil"/>
              <w:tr2bl w:val="nil"/>
            </w:tcBorders>
          </w:tcPr>
          <w:p w14:paraId="7ECAAA99">
            <w:pPr>
              <w:rPr>
                <w:rFonts w:hint="default" w:ascii="Times New Roman" w:eastAsia="Times New Roman"/>
                <w:color w:val="auto"/>
              </w:rPr>
            </w:pPr>
          </w:p>
        </w:tc>
        <w:tc>
          <w:tcPr>
            <w:tcW w:w="1009" w:type="dxa"/>
            <w:tcBorders>
              <w:top w:val="single" w:color="000000" w:sz="4" w:space="0"/>
              <w:left w:val="single" w:color="000000" w:sz="4" w:space="0"/>
              <w:bottom w:val="single" w:color="000000" w:sz="4" w:space="0"/>
              <w:right w:val="single" w:color="000000" w:sz="4" w:space="0"/>
              <w:tl2br w:val="nil"/>
              <w:tr2bl w:val="nil"/>
            </w:tcBorders>
          </w:tcPr>
          <w:p w14:paraId="2E90B2D8">
            <w:pPr>
              <w:rPr>
                <w:rFonts w:hint="default" w:ascii="Times New Roman" w:eastAsia="Times New Roman"/>
                <w:color w:val="auto"/>
              </w:rPr>
            </w:pPr>
          </w:p>
        </w:tc>
        <w:tc>
          <w:tcPr>
            <w:tcW w:w="805" w:type="dxa"/>
            <w:tcBorders>
              <w:top w:val="single" w:color="000000" w:sz="4" w:space="0"/>
              <w:left w:val="single" w:color="000000" w:sz="4" w:space="0"/>
              <w:bottom w:val="single" w:color="000000" w:sz="4" w:space="0"/>
              <w:right w:val="single" w:color="000000" w:sz="10" w:space="0"/>
              <w:tl2br w:val="nil"/>
              <w:tr2bl w:val="nil"/>
            </w:tcBorders>
          </w:tcPr>
          <w:p w14:paraId="1C400BF8">
            <w:pPr>
              <w:rPr>
                <w:rFonts w:hint="default" w:ascii="Times New Roman" w:eastAsia="Times New Roman"/>
                <w:color w:val="auto"/>
              </w:rPr>
            </w:pPr>
          </w:p>
        </w:tc>
      </w:tr>
      <w:tr w14:paraId="60F49B40">
        <w:tblPrEx>
          <w:tblCellMar>
            <w:top w:w="0" w:type="dxa"/>
            <w:left w:w="108" w:type="dxa"/>
            <w:bottom w:w="0" w:type="dxa"/>
            <w:right w:w="108" w:type="dxa"/>
          </w:tblCellMar>
        </w:tblPrEx>
        <w:trPr>
          <w:trHeight w:val="780" w:hRule="exact"/>
        </w:trPr>
        <w:tc>
          <w:tcPr>
            <w:tcW w:w="1002" w:type="dxa"/>
            <w:tcBorders>
              <w:top w:val="single" w:color="000000" w:sz="4" w:space="0"/>
              <w:left w:val="single" w:color="000000" w:sz="10" w:space="0"/>
              <w:bottom w:val="single" w:color="000000" w:sz="4" w:space="0"/>
              <w:right w:val="single" w:color="000000" w:sz="4" w:space="0"/>
              <w:tl2br w:val="nil"/>
              <w:tr2bl w:val="nil"/>
            </w:tcBorders>
          </w:tcPr>
          <w:p w14:paraId="700F8334">
            <w:pPr>
              <w:rPr>
                <w:rFonts w:hint="default" w:ascii="Times New Roman" w:eastAsia="Times New Roman"/>
                <w:color w:val="auto"/>
              </w:rPr>
            </w:pPr>
          </w:p>
        </w:tc>
        <w:tc>
          <w:tcPr>
            <w:tcW w:w="1260" w:type="dxa"/>
            <w:tcBorders>
              <w:top w:val="single" w:color="000000" w:sz="4" w:space="0"/>
              <w:left w:val="single" w:color="000000" w:sz="4" w:space="0"/>
              <w:bottom w:val="single" w:color="000000" w:sz="4" w:space="0"/>
              <w:right w:val="single" w:color="000000" w:sz="4" w:space="0"/>
              <w:tl2br w:val="nil"/>
              <w:tr2bl w:val="nil"/>
            </w:tcBorders>
          </w:tcPr>
          <w:p w14:paraId="597077B8">
            <w:pPr>
              <w:rPr>
                <w:rFonts w:hint="default" w:ascii="Times New Roman" w:eastAsia="Times New Roman"/>
                <w:color w:val="auto"/>
              </w:rPr>
            </w:pPr>
          </w:p>
        </w:tc>
        <w:tc>
          <w:tcPr>
            <w:tcW w:w="2795" w:type="dxa"/>
            <w:tcBorders>
              <w:top w:val="single" w:color="000000" w:sz="4" w:space="0"/>
              <w:left w:val="single" w:color="000000" w:sz="4" w:space="0"/>
              <w:bottom w:val="single" w:color="000000" w:sz="4" w:space="0"/>
              <w:right w:val="single" w:color="000000" w:sz="4" w:space="0"/>
              <w:tl2br w:val="nil"/>
              <w:tr2bl w:val="nil"/>
            </w:tcBorders>
          </w:tcPr>
          <w:p w14:paraId="2D2A1C24">
            <w:pPr>
              <w:rPr>
                <w:rFonts w:hint="default" w:ascii="Times New Roman" w:eastAsia="Times New Roman"/>
                <w:color w:val="auto"/>
              </w:rPr>
            </w:pPr>
          </w:p>
        </w:tc>
        <w:tc>
          <w:tcPr>
            <w:tcW w:w="2509" w:type="dxa"/>
            <w:tcBorders>
              <w:top w:val="single" w:color="000000" w:sz="4" w:space="0"/>
              <w:left w:val="single" w:color="000000" w:sz="4" w:space="0"/>
              <w:bottom w:val="single" w:color="000000" w:sz="4" w:space="0"/>
              <w:right w:val="single" w:color="000000" w:sz="4" w:space="0"/>
              <w:tl2br w:val="nil"/>
              <w:tr2bl w:val="nil"/>
            </w:tcBorders>
          </w:tcPr>
          <w:p w14:paraId="15048A16">
            <w:pPr>
              <w:rPr>
                <w:rFonts w:hint="default" w:ascii="Times New Roman" w:eastAsia="Times New Roman"/>
                <w:color w:val="auto"/>
              </w:rPr>
            </w:pPr>
          </w:p>
        </w:tc>
        <w:tc>
          <w:tcPr>
            <w:tcW w:w="1009" w:type="dxa"/>
            <w:tcBorders>
              <w:top w:val="single" w:color="000000" w:sz="4" w:space="0"/>
              <w:left w:val="single" w:color="000000" w:sz="4" w:space="0"/>
              <w:bottom w:val="single" w:color="000000" w:sz="4" w:space="0"/>
              <w:right w:val="single" w:color="000000" w:sz="4" w:space="0"/>
              <w:tl2br w:val="nil"/>
              <w:tr2bl w:val="nil"/>
            </w:tcBorders>
          </w:tcPr>
          <w:p w14:paraId="0563B277">
            <w:pPr>
              <w:rPr>
                <w:rFonts w:hint="default" w:ascii="Times New Roman" w:eastAsia="Times New Roman"/>
                <w:color w:val="auto"/>
              </w:rPr>
            </w:pPr>
          </w:p>
        </w:tc>
        <w:tc>
          <w:tcPr>
            <w:tcW w:w="805" w:type="dxa"/>
            <w:tcBorders>
              <w:top w:val="single" w:color="000000" w:sz="4" w:space="0"/>
              <w:left w:val="single" w:color="000000" w:sz="4" w:space="0"/>
              <w:bottom w:val="single" w:color="000000" w:sz="4" w:space="0"/>
              <w:right w:val="single" w:color="000000" w:sz="10" w:space="0"/>
              <w:tl2br w:val="nil"/>
              <w:tr2bl w:val="nil"/>
            </w:tcBorders>
          </w:tcPr>
          <w:p w14:paraId="464183C0">
            <w:pPr>
              <w:rPr>
                <w:rFonts w:hint="default" w:ascii="Times New Roman" w:eastAsia="Times New Roman"/>
                <w:color w:val="auto"/>
              </w:rPr>
            </w:pPr>
          </w:p>
        </w:tc>
      </w:tr>
      <w:tr w14:paraId="74E0A713">
        <w:tblPrEx>
          <w:tblCellMar>
            <w:top w:w="0" w:type="dxa"/>
            <w:left w:w="108" w:type="dxa"/>
            <w:bottom w:w="0" w:type="dxa"/>
            <w:right w:w="108" w:type="dxa"/>
          </w:tblCellMar>
        </w:tblPrEx>
        <w:trPr>
          <w:trHeight w:val="780" w:hRule="exact"/>
        </w:trPr>
        <w:tc>
          <w:tcPr>
            <w:tcW w:w="1002" w:type="dxa"/>
            <w:tcBorders>
              <w:top w:val="single" w:color="000000" w:sz="4" w:space="0"/>
              <w:left w:val="single" w:color="000000" w:sz="10" w:space="0"/>
              <w:bottom w:val="single" w:color="000000" w:sz="4" w:space="0"/>
              <w:right w:val="single" w:color="000000" w:sz="4" w:space="0"/>
              <w:tl2br w:val="nil"/>
              <w:tr2bl w:val="nil"/>
            </w:tcBorders>
          </w:tcPr>
          <w:p w14:paraId="1DBF8AE9">
            <w:pPr>
              <w:rPr>
                <w:rFonts w:hint="default" w:ascii="Times New Roman" w:eastAsia="Times New Roman"/>
                <w:color w:val="auto"/>
              </w:rPr>
            </w:pPr>
          </w:p>
        </w:tc>
        <w:tc>
          <w:tcPr>
            <w:tcW w:w="1260" w:type="dxa"/>
            <w:tcBorders>
              <w:top w:val="single" w:color="000000" w:sz="4" w:space="0"/>
              <w:left w:val="single" w:color="000000" w:sz="4" w:space="0"/>
              <w:bottom w:val="single" w:color="000000" w:sz="4" w:space="0"/>
              <w:right w:val="single" w:color="000000" w:sz="4" w:space="0"/>
              <w:tl2br w:val="nil"/>
              <w:tr2bl w:val="nil"/>
            </w:tcBorders>
          </w:tcPr>
          <w:p w14:paraId="3B08074D">
            <w:pPr>
              <w:rPr>
                <w:rFonts w:hint="default" w:ascii="Times New Roman" w:eastAsia="Times New Roman"/>
                <w:color w:val="auto"/>
              </w:rPr>
            </w:pPr>
          </w:p>
        </w:tc>
        <w:tc>
          <w:tcPr>
            <w:tcW w:w="2795" w:type="dxa"/>
            <w:tcBorders>
              <w:top w:val="single" w:color="000000" w:sz="4" w:space="0"/>
              <w:left w:val="single" w:color="000000" w:sz="4" w:space="0"/>
              <w:bottom w:val="single" w:color="000000" w:sz="4" w:space="0"/>
              <w:right w:val="single" w:color="000000" w:sz="4" w:space="0"/>
              <w:tl2br w:val="nil"/>
              <w:tr2bl w:val="nil"/>
            </w:tcBorders>
          </w:tcPr>
          <w:p w14:paraId="629C1AFE">
            <w:pPr>
              <w:rPr>
                <w:rFonts w:hint="default" w:ascii="Times New Roman" w:eastAsia="Times New Roman"/>
                <w:color w:val="auto"/>
              </w:rPr>
            </w:pPr>
          </w:p>
        </w:tc>
        <w:tc>
          <w:tcPr>
            <w:tcW w:w="2509" w:type="dxa"/>
            <w:tcBorders>
              <w:top w:val="single" w:color="000000" w:sz="4" w:space="0"/>
              <w:left w:val="single" w:color="000000" w:sz="4" w:space="0"/>
              <w:bottom w:val="single" w:color="000000" w:sz="4" w:space="0"/>
              <w:right w:val="single" w:color="000000" w:sz="4" w:space="0"/>
              <w:tl2br w:val="nil"/>
              <w:tr2bl w:val="nil"/>
            </w:tcBorders>
          </w:tcPr>
          <w:p w14:paraId="1AFFD3D5">
            <w:pPr>
              <w:rPr>
                <w:rFonts w:hint="default" w:ascii="Times New Roman" w:eastAsia="Times New Roman"/>
                <w:color w:val="auto"/>
              </w:rPr>
            </w:pPr>
          </w:p>
        </w:tc>
        <w:tc>
          <w:tcPr>
            <w:tcW w:w="1009" w:type="dxa"/>
            <w:tcBorders>
              <w:top w:val="single" w:color="000000" w:sz="4" w:space="0"/>
              <w:left w:val="single" w:color="000000" w:sz="4" w:space="0"/>
              <w:bottom w:val="single" w:color="000000" w:sz="4" w:space="0"/>
              <w:right w:val="single" w:color="000000" w:sz="4" w:space="0"/>
              <w:tl2br w:val="nil"/>
              <w:tr2bl w:val="nil"/>
            </w:tcBorders>
          </w:tcPr>
          <w:p w14:paraId="6EB81B48">
            <w:pPr>
              <w:rPr>
                <w:rFonts w:hint="default" w:ascii="Times New Roman" w:eastAsia="Times New Roman"/>
                <w:color w:val="auto"/>
              </w:rPr>
            </w:pPr>
          </w:p>
        </w:tc>
        <w:tc>
          <w:tcPr>
            <w:tcW w:w="805" w:type="dxa"/>
            <w:tcBorders>
              <w:top w:val="single" w:color="000000" w:sz="4" w:space="0"/>
              <w:left w:val="single" w:color="000000" w:sz="4" w:space="0"/>
              <w:bottom w:val="single" w:color="000000" w:sz="4" w:space="0"/>
              <w:right w:val="single" w:color="000000" w:sz="10" w:space="0"/>
              <w:tl2br w:val="nil"/>
              <w:tr2bl w:val="nil"/>
            </w:tcBorders>
          </w:tcPr>
          <w:p w14:paraId="6AFB3FE6">
            <w:pPr>
              <w:rPr>
                <w:rFonts w:hint="default" w:ascii="Times New Roman" w:eastAsia="Times New Roman"/>
                <w:color w:val="auto"/>
              </w:rPr>
            </w:pPr>
          </w:p>
        </w:tc>
      </w:tr>
      <w:tr w14:paraId="576D1BEB">
        <w:tblPrEx>
          <w:tblCellMar>
            <w:top w:w="0" w:type="dxa"/>
            <w:left w:w="108" w:type="dxa"/>
            <w:bottom w:w="0" w:type="dxa"/>
            <w:right w:w="108" w:type="dxa"/>
          </w:tblCellMar>
        </w:tblPrEx>
        <w:trPr>
          <w:trHeight w:val="872" w:hRule="exact"/>
        </w:trPr>
        <w:tc>
          <w:tcPr>
            <w:tcW w:w="1002" w:type="dxa"/>
            <w:tcBorders>
              <w:top w:val="single" w:color="000000" w:sz="4" w:space="0"/>
              <w:left w:val="single" w:color="000000" w:sz="10" w:space="0"/>
              <w:bottom w:val="single" w:color="000000" w:sz="10" w:space="0"/>
              <w:right w:val="single" w:color="000000" w:sz="4" w:space="0"/>
              <w:tl2br w:val="nil"/>
              <w:tr2bl w:val="nil"/>
            </w:tcBorders>
          </w:tcPr>
          <w:p w14:paraId="52AA9924">
            <w:pPr>
              <w:rPr>
                <w:rFonts w:hint="default" w:ascii="Times New Roman" w:eastAsia="Times New Roman"/>
                <w:color w:val="auto"/>
              </w:rPr>
            </w:pPr>
          </w:p>
        </w:tc>
        <w:tc>
          <w:tcPr>
            <w:tcW w:w="1260" w:type="dxa"/>
            <w:tcBorders>
              <w:top w:val="single" w:color="000000" w:sz="4" w:space="0"/>
              <w:left w:val="single" w:color="000000" w:sz="4" w:space="0"/>
              <w:bottom w:val="single" w:color="000000" w:sz="10" w:space="0"/>
              <w:right w:val="single" w:color="000000" w:sz="4" w:space="0"/>
              <w:tl2br w:val="nil"/>
              <w:tr2bl w:val="nil"/>
            </w:tcBorders>
          </w:tcPr>
          <w:p w14:paraId="76548A9F">
            <w:pPr>
              <w:rPr>
                <w:rFonts w:hint="default" w:ascii="Times New Roman" w:eastAsia="Times New Roman"/>
                <w:color w:val="auto"/>
              </w:rPr>
            </w:pPr>
          </w:p>
        </w:tc>
        <w:tc>
          <w:tcPr>
            <w:tcW w:w="2795" w:type="dxa"/>
            <w:tcBorders>
              <w:top w:val="single" w:color="000000" w:sz="4" w:space="0"/>
              <w:left w:val="single" w:color="000000" w:sz="4" w:space="0"/>
              <w:bottom w:val="single" w:color="000000" w:sz="10" w:space="0"/>
              <w:right w:val="single" w:color="000000" w:sz="4" w:space="0"/>
              <w:tl2br w:val="nil"/>
              <w:tr2bl w:val="nil"/>
            </w:tcBorders>
          </w:tcPr>
          <w:p w14:paraId="15B60845">
            <w:pPr>
              <w:rPr>
                <w:rFonts w:hint="default" w:ascii="Times New Roman" w:eastAsia="Times New Roman"/>
                <w:color w:val="auto"/>
              </w:rPr>
            </w:pPr>
          </w:p>
        </w:tc>
        <w:tc>
          <w:tcPr>
            <w:tcW w:w="2509" w:type="dxa"/>
            <w:tcBorders>
              <w:top w:val="single" w:color="000000" w:sz="4" w:space="0"/>
              <w:left w:val="single" w:color="000000" w:sz="4" w:space="0"/>
              <w:bottom w:val="single" w:color="000000" w:sz="10" w:space="0"/>
              <w:right w:val="single" w:color="000000" w:sz="4" w:space="0"/>
              <w:tl2br w:val="nil"/>
              <w:tr2bl w:val="nil"/>
            </w:tcBorders>
          </w:tcPr>
          <w:p w14:paraId="3FDB006A">
            <w:pPr>
              <w:rPr>
                <w:rFonts w:hint="default" w:ascii="Times New Roman" w:eastAsia="Times New Roman"/>
                <w:color w:val="auto"/>
              </w:rPr>
            </w:pPr>
          </w:p>
        </w:tc>
        <w:tc>
          <w:tcPr>
            <w:tcW w:w="1009" w:type="dxa"/>
            <w:tcBorders>
              <w:top w:val="single" w:color="000000" w:sz="4" w:space="0"/>
              <w:left w:val="single" w:color="000000" w:sz="4" w:space="0"/>
              <w:bottom w:val="single" w:color="000000" w:sz="10" w:space="0"/>
              <w:right w:val="single" w:color="000000" w:sz="4" w:space="0"/>
              <w:tl2br w:val="nil"/>
              <w:tr2bl w:val="nil"/>
            </w:tcBorders>
          </w:tcPr>
          <w:p w14:paraId="53EDE119">
            <w:pPr>
              <w:rPr>
                <w:rFonts w:hint="default" w:ascii="Times New Roman" w:eastAsia="Times New Roman"/>
                <w:color w:val="auto"/>
              </w:rPr>
            </w:pPr>
          </w:p>
        </w:tc>
        <w:tc>
          <w:tcPr>
            <w:tcW w:w="805" w:type="dxa"/>
            <w:tcBorders>
              <w:top w:val="single" w:color="000000" w:sz="4" w:space="0"/>
              <w:left w:val="single" w:color="000000" w:sz="4" w:space="0"/>
              <w:bottom w:val="single" w:color="000000" w:sz="10" w:space="0"/>
              <w:right w:val="single" w:color="000000" w:sz="10" w:space="0"/>
              <w:tl2br w:val="nil"/>
              <w:tr2bl w:val="nil"/>
            </w:tcBorders>
          </w:tcPr>
          <w:p w14:paraId="50405894">
            <w:pPr>
              <w:rPr>
                <w:rFonts w:hint="default" w:ascii="Times New Roman" w:eastAsia="Times New Roman"/>
                <w:color w:val="auto"/>
              </w:rPr>
            </w:pPr>
          </w:p>
        </w:tc>
      </w:tr>
    </w:tbl>
    <w:p w14:paraId="2E5F13CE">
      <w:pPr>
        <w:pStyle w:val="8"/>
        <w:kinsoku w:val="0"/>
        <w:overflowPunct w:val="0"/>
        <w:spacing w:before="40"/>
        <w:ind w:left="462"/>
        <w:rPr>
          <w:rFonts w:hint="default"/>
          <w:color w:val="auto"/>
        </w:rPr>
      </w:pPr>
      <w:r>
        <w:rPr>
          <w:color w:val="auto"/>
        </w:rPr>
        <w:t>说明：如</w:t>
      </w:r>
      <w:r>
        <w:rPr>
          <w:rFonts w:hint="eastAsia"/>
          <w:color w:val="auto"/>
          <w:lang w:eastAsia="zh-CN"/>
        </w:rPr>
        <w:t>供应商</w:t>
      </w:r>
      <w:r>
        <w:rPr>
          <w:color w:val="auto"/>
        </w:rPr>
        <w:t>需逐项填写《商务条款偏离表》。</w:t>
      </w:r>
    </w:p>
    <w:p w14:paraId="696E270E">
      <w:pPr>
        <w:pStyle w:val="8"/>
        <w:kinsoku w:val="0"/>
        <w:overflowPunct w:val="0"/>
        <w:spacing w:before="40"/>
        <w:ind w:left="462"/>
        <w:rPr>
          <w:rFonts w:hint="default"/>
          <w:color w:val="auto"/>
        </w:rPr>
        <w:sectPr>
          <w:pgSz w:w="11910" w:h="16840"/>
          <w:pgMar w:top="1500" w:right="1320" w:bottom="1600" w:left="1340" w:header="0" w:footer="1415" w:gutter="0"/>
          <w:pgNumType w:fmt="decimal"/>
          <w:cols w:space="720" w:num="1"/>
        </w:sectPr>
      </w:pPr>
    </w:p>
    <w:p w14:paraId="59652DCE">
      <w:pPr>
        <w:pStyle w:val="3"/>
        <w:kinsoku w:val="0"/>
        <w:overflowPunct w:val="0"/>
        <w:spacing w:line="395" w:lineRule="exact"/>
        <w:rPr>
          <w:rFonts w:hint="default"/>
          <w:b w:val="0"/>
          <w:color w:val="auto"/>
        </w:rPr>
      </w:pPr>
      <w:bookmarkStart w:id="79" w:name="5、商务响应文件"/>
      <w:bookmarkEnd w:id="79"/>
      <w:r>
        <w:rPr>
          <w:color w:val="auto"/>
        </w:rPr>
        <w:t>5、商务响应文件</w:t>
      </w:r>
    </w:p>
    <w:p w14:paraId="43C0630E">
      <w:pPr>
        <w:pStyle w:val="8"/>
        <w:kinsoku w:val="0"/>
        <w:overflowPunct w:val="0"/>
        <w:spacing w:before="114"/>
        <w:rPr>
          <w:rFonts w:hint="default"/>
          <w:color w:val="auto"/>
        </w:rPr>
      </w:pPr>
      <w:bookmarkStart w:id="80" w:name="根据招标文件采购需求部分逐条列举，一一对应。"/>
      <w:bookmarkEnd w:id="80"/>
      <w:r>
        <w:rPr>
          <w:color w:val="auto"/>
        </w:rPr>
        <w:t>根据招标文件采购需求部分逐条列举，一一对应。</w:t>
      </w:r>
    </w:p>
    <w:p w14:paraId="4B07CD3A">
      <w:pPr>
        <w:pStyle w:val="8"/>
        <w:kinsoku w:val="0"/>
        <w:overflowPunct w:val="0"/>
        <w:spacing w:before="114"/>
        <w:rPr>
          <w:rFonts w:hint="default"/>
          <w:color w:val="auto"/>
        </w:rPr>
        <w:sectPr>
          <w:pgSz w:w="11910" w:h="16840"/>
          <w:pgMar w:top="1500" w:right="1680" w:bottom="1600" w:left="1680" w:header="0" w:footer="1415" w:gutter="0"/>
          <w:pgNumType w:fmt="decimal"/>
          <w:cols w:space="720" w:num="1"/>
        </w:sectPr>
      </w:pPr>
    </w:p>
    <w:p w14:paraId="0E0DC255">
      <w:pPr>
        <w:pStyle w:val="3"/>
        <w:kinsoku w:val="0"/>
        <w:overflowPunct w:val="0"/>
        <w:spacing w:line="395" w:lineRule="exact"/>
        <w:ind w:left="1300"/>
        <w:rPr>
          <w:rFonts w:hint="default"/>
          <w:b w:val="0"/>
          <w:color w:val="auto"/>
        </w:rPr>
      </w:pPr>
      <w:bookmarkStart w:id="81" w:name="6、供应商认为有必要提供的其他资料"/>
      <w:bookmarkEnd w:id="81"/>
      <w:r>
        <w:rPr>
          <w:color w:val="auto"/>
        </w:rPr>
        <w:t>6、供应商认为有必要提供的其他资料</w:t>
      </w:r>
    </w:p>
    <w:p w14:paraId="45D92A38">
      <w:pPr>
        <w:pStyle w:val="8"/>
        <w:kinsoku w:val="0"/>
        <w:overflowPunct w:val="0"/>
        <w:spacing w:before="205"/>
        <w:ind w:left="1300"/>
        <w:rPr>
          <w:rFonts w:hint="default" w:ascii="黑体" w:eastAsia="黑体" w:cs="黑体"/>
          <w:color w:val="auto"/>
        </w:rPr>
      </w:pPr>
      <w:bookmarkStart w:id="82" w:name="1）环境标志产品明细表"/>
      <w:bookmarkEnd w:id="82"/>
      <w:r>
        <w:rPr>
          <w:rFonts w:ascii="黑体" w:eastAsia="黑体" w:cs="黑体"/>
          <w:color w:val="auto"/>
          <w:sz w:val="32"/>
          <w:szCs w:val="32"/>
        </w:rPr>
        <w:t>1）</w:t>
      </w:r>
      <w:r>
        <w:rPr>
          <w:rFonts w:ascii="黑体" w:eastAsia="黑体" w:cs="黑体"/>
          <w:color w:val="auto"/>
        </w:rPr>
        <w:t>环境标志产品明细表</w:t>
      </w:r>
    </w:p>
    <w:p w14:paraId="1E2E1F7A">
      <w:pPr>
        <w:pStyle w:val="8"/>
        <w:kinsoku w:val="0"/>
        <w:overflowPunct w:val="0"/>
        <w:spacing w:before="190"/>
        <w:ind w:left="1300"/>
        <w:rPr>
          <w:rFonts w:hint="default"/>
          <w:color w:val="auto"/>
        </w:rPr>
      </w:pPr>
      <w:r>
        <w:rPr>
          <w:color w:val="auto"/>
        </w:rPr>
        <w:t>项目编号、包号：价格单位：元</w:t>
      </w:r>
    </w:p>
    <w:p w14:paraId="373F8DF5">
      <w:pPr>
        <w:pStyle w:val="8"/>
        <w:kinsoku w:val="0"/>
        <w:overflowPunct w:val="0"/>
        <w:spacing w:before="9"/>
        <w:ind w:left="0"/>
        <w:rPr>
          <w:rFonts w:hint="default"/>
          <w:color w:val="auto"/>
          <w:sz w:val="8"/>
          <w:szCs w:val="8"/>
        </w:rPr>
      </w:pPr>
    </w:p>
    <w:tbl>
      <w:tblPr>
        <w:tblStyle w:val="20"/>
        <w:tblW w:w="0" w:type="auto"/>
        <w:tblInd w:w="219" w:type="dxa"/>
        <w:tblLayout w:type="fixed"/>
        <w:tblCellMar>
          <w:top w:w="0" w:type="dxa"/>
          <w:left w:w="108" w:type="dxa"/>
          <w:bottom w:w="0" w:type="dxa"/>
          <w:right w:w="108" w:type="dxa"/>
        </w:tblCellMar>
      </w:tblPr>
      <w:tblGrid>
        <w:gridCol w:w="758"/>
        <w:gridCol w:w="1331"/>
        <w:gridCol w:w="1331"/>
        <w:gridCol w:w="1331"/>
        <w:gridCol w:w="1331"/>
        <w:gridCol w:w="1791"/>
        <w:gridCol w:w="1830"/>
        <w:gridCol w:w="955"/>
      </w:tblGrid>
      <w:tr w14:paraId="3D4DD146">
        <w:tblPrEx>
          <w:tblCellMar>
            <w:top w:w="0" w:type="dxa"/>
            <w:left w:w="108" w:type="dxa"/>
            <w:bottom w:w="0" w:type="dxa"/>
            <w:right w:w="108" w:type="dxa"/>
          </w:tblCellMar>
        </w:tblPrEx>
        <w:trPr>
          <w:trHeight w:val="956" w:hRule="exact"/>
        </w:trPr>
        <w:tc>
          <w:tcPr>
            <w:tcW w:w="758" w:type="dxa"/>
            <w:tcBorders>
              <w:top w:val="single" w:color="000000" w:sz="10" w:space="0"/>
              <w:left w:val="single" w:color="000000" w:sz="10" w:space="0"/>
              <w:bottom w:val="single" w:color="000000" w:sz="4" w:space="0"/>
              <w:right w:val="single" w:color="000000" w:sz="4" w:space="0"/>
              <w:tl2br w:val="nil"/>
              <w:tr2bl w:val="nil"/>
            </w:tcBorders>
          </w:tcPr>
          <w:p w14:paraId="01175844">
            <w:pPr>
              <w:pStyle w:val="25"/>
              <w:kinsoku w:val="0"/>
              <w:overflowPunct w:val="0"/>
              <w:spacing w:before="42"/>
              <w:ind w:left="124"/>
              <w:rPr>
                <w:rFonts w:hint="default" w:ascii="Times New Roman" w:eastAsia="Times New Roman"/>
                <w:color w:val="auto"/>
              </w:rPr>
            </w:pPr>
            <w:r>
              <w:rPr>
                <w:rFonts w:cs="宋体"/>
                <w:color w:val="auto"/>
              </w:rPr>
              <w:t>序号</w:t>
            </w:r>
          </w:p>
        </w:tc>
        <w:tc>
          <w:tcPr>
            <w:tcW w:w="1331" w:type="dxa"/>
            <w:tcBorders>
              <w:top w:val="single" w:color="000000" w:sz="10" w:space="0"/>
              <w:left w:val="single" w:color="000000" w:sz="4" w:space="0"/>
              <w:bottom w:val="single" w:color="000000" w:sz="4" w:space="0"/>
              <w:right w:val="single" w:color="000000" w:sz="4" w:space="0"/>
              <w:tl2br w:val="nil"/>
              <w:tr2bl w:val="nil"/>
            </w:tcBorders>
          </w:tcPr>
          <w:p w14:paraId="24509E1F">
            <w:pPr>
              <w:pStyle w:val="25"/>
              <w:kinsoku w:val="0"/>
              <w:overflowPunct w:val="0"/>
              <w:spacing w:before="42"/>
              <w:ind w:left="163"/>
              <w:rPr>
                <w:rFonts w:hint="default" w:ascii="Times New Roman" w:eastAsia="Times New Roman"/>
                <w:color w:val="auto"/>
              </w:rPr>
            </w:pPr>
            <w:r>
              <w:rPr>
                <w:rFonts w:cs="宋体"/>
                <w:color w:val="auto"/>
              </w:rPr>
              <w:t>产品名称</w:t>
            </w:r>
          </w:p>
        </w:tc>
        <w:tc>
          <w:tcPr>
            <w:tcW w:w="1331" w:type="dxa"/>
            <w:tcBorders>
              <w:top w:val="single" w:color="000000" w:sz="10" w:space="0"/>
              <w:left w:val="single" w:color="000000" w:sz="4" w:space="0"/>
              <w:bottom w:val="single" w:color="000000" w:sz="4" w:space="0"/>
              <w:right w:val="single" w:color="000000" w:sz="4" w:space="0"/>
              <w:tl2br w:val="nil"/>
              <w:tr2bl w:val="nil"/>
            </w:tcBorders>
          </w:tcPr>
          <w:p w14:paraId="10AC6E08">
            <w:pPr>
              <w:pStyle w:val="25"/>
              <w:kinsoku w:val="0"/>
              <w:overflowPunct w:val="0"/>
              <w:spacing w:before="42"/>
              <w:ind w:left="178"/>
              <w:rPr>
                <w:rFonts w:hint="default" w:ascii="Times New Roman" w:eastAsia="Times New Roman"/>
                <w:color w:val="auto"/>
              </w:rPr>
            </w:pPr>
            <w:r>
              <w:rPr>
                <w:rFonts w:cs="宋体"/>
                <w:color w:val="auto"/>
              </w:rPr>
              <w:t>企业名称</w:t>
            </w:r>
          </w:p>
        </w:tc>
        <w:tc>
          <w:tcPr>
            <w:tcW w:w="1331" w:type="dxa"/>
            <w:tcBorders>
              <w:top w:val="single" w:color="000000" w:sz="10" w:space="0"/>
              <w:left w:val="single" w:color="000000" w:sz="4" w:space="0"/>
              <w:bottom w:val="single" w:color="000000" w:sz="4" w:space="0"/>
              <w:right w:val="single" w:color="000000" w:sz="4" w:space="0"/>
              <w:tl2br w:val="nil"/>
              <w:tr2bl w:val="nil"/>
            </w:tcBorders>
          </w:tcPr>
          <w:p w14:paraId="3266C3E7">
            <w:pPr>
              <w:pStyle w:val="25"/>
              <w:kinsoku w:val="0"/>
              <w:overflowPunct w:val="0"/>
              <w:spacing w:before="42"/>
              <w:ind w:left="180"/>
              <w:rPr>
                <w:rFonts w:hint="default" w:ascii="Times New Roman" w:eastAsia="Times New Roman"/>
                <w:color w:val="auto"/>
              </w:rPr>
            </w:pPr>
            <w:r>
              <w:rPr>
                <w:rFonts w:cs="宋体"/>
                <w:color w:val="auto"/>
              </w:rPr>
              <w:t>注册商标</w:t>
            </w:r>
          </w:p>
        </w:tc>
        <w:tc>
          <w:tcPr>
            <w:tcW w:w="1331" w:type="dxa"/>
            <w:tcBorders>
              <w:top w:val="single" w:color="000000" w:sz="10" w:space="0"/>
              <w:left w:val="single" w:color="000000" w:sz="4" w:space="0"/>
              <w:bottom w:val="single" w:color="000000" w:sz="4" w:space="0"/>
              <w:right w:val="single" w:color="000000" w:sz="4" w:space="0"/>
              <w:tl2br w:val="nil"/>
              <w:tr2bl w:val="nil"/>
            </w:tcBorders>
          </w:tcPr>
          <w:p w14:paraId="6D09B47C">
            <w:pPr>
              <w:pStyle w:val="25"/>
              <w:kinsoku w:val="0"/>
              <w:overflowPunct w:val="0"/>
              <w:spacing w:before="42"/>
              <w:ind w:left="181"/>
              <w:rPr>
                <w:rFonts w:hint="default" w:ascii="Times New Roman" w:eastAsia="Times New Roman"/>
                <w:color w:val="auto"/>
              </w:rPr>
            </w:pPr>
            <w:r>
              <w:rPr>
                <w:rFonts w:cs="宋体"/>
                <w:color w:val="auto"/>
              </w:rPr>
              <w:t>规格型号</w:t>
            </w:r>
          </w:p>
        </w:tc>
        <w:tc>
          <w:tcPr>
            <w:tcW w:w="1791" w:type="dxa"/>
            <w:tcBorders>
              <w:top w:val="single" w:color="000000" w:sz="10" w:space="0"/>
              <w:left w:val="single" w:color="000000" w:sz="4" w:space="0"/>
              <w:bottom w:val="single" w:color="000000" w:sz="4" w:space="0"/>
              <w:right w:val="single" w:color="000000" w:sz="4" w:space="0"/>
              <w:tl2br w:val="nil"/>
              <w:tr2bl w:val="nil"/>
            </w:tcBorders>
          </w:tcPr>
          <w:p w14:paraId="350655DC">
            <w:pPr>
              <w:pStyle w:val="25"/>
              <w:kinsoku w:val="0"/>
              <w:overflowPunct w:val="0"/>
              <w:spacing w:before="42"/>
              <w:ind w:left="170"/>
              <w:rPr>
                <w:rFonts w:hint="default" w:ascii="Times New Roman" w:eastAsia="Times New Roman"/>
                <w:color w:val="auto"/>
              </w:rPr>
            </w:pPr>
            <w:r>
              <w:rPr>
                <w:rFonts w:cs="宋体"/>
                <w:color w:val="auto"/>
              </w:rPr>
              <w:t>中国环境标志认证证书编号</w:t>
            </w:r>
          </w:p>
        </w:tc>
        <w:tc>
          <w:tcPr>
            <w:tcW w:w="1830" w:type="dxa"/>
            <w:tcBorders>
              <w:top w:val="single" w:color="000000" w:sz="10" w:space="0"/>
              <w:left w:val="single" w:color="000000" w:sz="4" w:space="0"/>
              <w:bottom w:val="single" w:color="000000" w:sz="4" w:space="0"/>
              <w:right w:val="single" w:color="000000" w:sz="4" w:space="0"/>
              <w:tl2br w:val="nil"/>
              <w:tr2bl w:val="nil"/>
            </w:tcBorders>
          </w:tcPr>
          <w:p w14:paraId="6512601C">
            <w:pPr>
              <w:pStyle w:val="25"/>
              <w:kinsoku w:val="0"/>
              <w:overflowPunct w:val="0"/>
              <w:spacing w:before="42"/>
              <w:ind w:left="1"/>
              <w:jc w:val="center"/>
              <w:rPr>
                <w:rFonts w:hint="default" w:cs="宋体"/>
                <w:color w:val="auto"/>
              </w:rPr>
            </w:pPr>
            <w:r>
              <w:rPr>
                <w:rFonts w:cs="宋体"/>
                <w:color w:val="auto"/>
              </w:rPr>
              <w:t>认证证书有效</w:t>
            </w:r>
          </w:p>
          <w:p w14:paraId="3AC479FB">
            <w:pPr>
              <w:pStyle w:val="25"/>
              <w:kinsoku w:val="0"/>
              <w:overflowPunct w:val="0"/>
              <w:spacing w:before="154"/>
              <w:ind w:left="1"/>
              <w:jc w:val="center"/>
              <w:rPr>
                <w:rFonts w:hint="default" w:ascii="Times New Roman" w:eastAsia="Times New Roman"/>
                <w:color w:val="auto"/>
              </w:rPr>
            </w:pPr>
            <w:r>
              <w:rPr>
                <w:rFonts w:cs="宋体"/>
                <w:color w:val="auto"/>
              </w:rPr>
              <w:t>截止日期</w:t>
            </w:r>
          </w:p>
        </w:tc>
        <w:tc>
          <w:tcPr>
            <w:tcW w:w="955" w:type="dxa"/>
            <w:tcBorders>
              <w:top w:val="single" w:color="000000" w:sz="10" w:space="0"/>
              <w:left w:val="single" w:color="000000" w:sz="4" w:space="0"/>
              <w:bottom w:val="single" w:color="000000" w:sz="4" w:space="0"/>
              <w:right w:val="single" w:color="000000" w:sz="10" w:space="0"/>
              <w:tl2br w:val="nil"/>
              <w:tr2bl w:val="nil"/>
            </w:tcBorders>
          </w:tcPr>
          <w:p w14:paraId="1CA5675E">
            <w:pPr>
              <w:pStyle w:val="25"/>
              <w:kinsoku w:val="0"/>
              <w:overflowPunct w:val="0"/>
              <w:spacing w:before="42"/>
              <w:ind w:left="232"/>
              <w:rPr>
                <w:rFonts w:hint="default" w:ascii="Times New Roman" w:eastAsia="Times New Roman"/>
                <w:color w:val="auto"/>
              </w:rPr>
            </w:pPr>
            <w:r>
              <w:rPr>
                <w:rFonts w:cs="宋体"/>
                <w:color w:val="auto"/>
              </w:rPr>
              <w:t>价格</w:t>
            </w:r>
          </w:p>
        </w:tc>
      </w:tr>
      <w:tr w14:paraId="56B36784">
        <w:tblPrEx>
          <w:tblCellMar>
            <w:top w:w="0" w:type="dxa"/>
            <w:left w:w="108" w:type="dxa"/>
            <w:bottom w:w="0" w:type="dxa"/>
            <w:right w:w="108" w:type="dxa"/>
          </w:tblCellMar>
        </w:tblPrEx>
        <w:trPr>
          <w:trHeight w:val="946" w:hRule="exact"/>
        </w:trPr>
        <w:tc>
          <w:tcPr>
            <w:tcW w:w="758" w:type="dxa"/>
            <w:tcBorders>
              <w:top w:val="single" w:color="000000" w:sz="4" w:space="0"/>
              <w:left w:val="single" w:color="000000" w:sz="10" w:space="0"/>
              <w:bottom w:val="single" w:color="000000" w:sz="4" w:space="0"/>
              <w:right w:val="single" w:color="000000" w:sz="4" w:space="0"/>
              <w:tl2br w:val="nil"/>
              <w:tr2bl w:val="nil"/>
            </w:tcBorders>
          </w:tcPr>
          <w:p w14:paraId="5A2C9657">
            <w:pPr>
              <w:pStyle w:val="25"/>
              <w:kinsoku w:val="0"/>
              <w:overflowPunct w:val="0"/>
              <w:rPr>
                <w:rFonts w:hint="default" w:cs="宋体"/>
                <w:color w:val="auto"/>
              </w:rPr>
            </w:pPr>
          </w:p>
          <w:p w14:paraId="2117B258">
            <w:pPr>
              <w:pStyle w:val="25"/>
              <w:kinsoku w:val="0"/>
              <w:overflowPunct w:val="0"/>
              <w:spacing w:before="195"/>
              <w:ind w:left="48"/>
              <w:jc w:val="center"/>
              <w:rPr>
                <w:rFonts w:hint="default" w:ascii="Times New Roman" w:eastAsia="Times New Roman"/>
                <w:color w:val="auto"/>
              </w:rPr>
            </w:pPr>
            <w:r>
              <w:rPr>
                <w:rFonts w:cs="宋体"/>
                <w:color w:val="auto"/>
              </w:rPr>
              <w:t>1</w:t>
            </w: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27815EAA">
            <w:pPr>
              <w:rPr>
                <w:rFonts w:hint="default" w:ascii="Times New Roman" w:eastAsia="Times New Roman"/>
                <w:color w:val="auto"/>
              </w:rPr>
            </w:pP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46CE194A">
            <w:pPr>
              <w:rPr>
                <w:rFonts w:hint="default" w:ascii="Times New Roman" w:eastAsia="Times New Roman"/>
                <w:color w:val="auto"/>
              </w:rPr>
            </w:pP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7D0231A7">
            <w:pPr>
              <w:rPr>
                <w:rFonts w:hint="default" w:ascii="Times New Roman" w:eastAsia="Times New Roman"/>
                <w:color w:val="auto"/>
              </w:rPr>
            </w:pP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05DD0ECB">
            <w:pPr>
              <w:rPr>
                <w:rFonts w:hint="default" w:ascii="Times New Roman" w:eastAsia="Times New Roman"/>
                <w:color w:val="auto"/>
              </w:rPr>
            </w:pPr>
          </w:p>
        </w:tc>
        <w:tc>
          <w:tcPr>
            <w:tcW w:w="1791" w:type="dxa"/>
            <w:tcBorders>
              <w:top w:val="single" w:color="000000" w:sz="4" w:space="0"/>
              <w:left w:val="single" w:color="000000" w:sz="4" w:space="0"/>
              <w:bottom w:val="single" w:color="000000" w:sz="4" w:space="0"/>
              <w:right w:val="single" w:color="000000" w:sz="4" w:space="0"/>
              <w:tl2br w:val="nil"/>
              <w:tr2bl w:val="nil"/>
            </w:tcBorders>
          </w:tcPr>
          <w:p w14:paraId="18C9CCFF">
            <w:pPr>
              <w:rPr>
                <w:rFonts w:hint="default" w:ascii="Times New Roman" w:eastAsia="Times New Roman"/>
                <w:color w:val="auto"/>
              </w:rPr>
            </w:pPr>
          </w:p>
        </w:tc>
        <w:tc>
          <w:tcPr>
            <w:tcW w:w="1830" w:type="dxa"/>
            <w:tcBorders>
              <w:top w:val="single" w:color="000000" w:sz="4" w:space="0"/>
              <w:left w:val="single" w:color="000000" w:sz="4" w:space="0"/>
              <w:bottom w:val="single" w:color="000000" w:sz="4" w:space="0"/>
              <w:right w:val="single" w:color="000000" w:sz="4" w:space="0"/>
              <w:tl2br w:val="nil"/>
              <w:tr2bl w:val="nil"/>
            </w:tcBorders>
          </w:tcPr>
          <w:p w14:paraId="5E160C92">
            <w:pPr>
              <w:rPr>
                <w:rFonts w:hint="default" w:ascii="Times New Roman" w:eastAsia="Times New Roman"/>
                <w:color w:val="auto"/>
              </w:rPr>
            </w:pPr>
          </w:p>
        </w:tc>
        <w:tc>
          <w:tcPr>
            <w:tcW w:w="955" w:type="dxa"/>
            <w:tcBorders>
              <w:top w:val="single" w:color="000000" w:sz="4" w:space="0"/>
              <w:left w:val="single" w:color="000000" w:sz="4" w:space="0"/>
              <w:bottom w:val="single" w:color="000000" w:sz="4" w:space="0"/>
              <w:right w:val="single" w:color="000000" w:sz="10" w:space="0"/>
              <w:tl2br w:val="nil"/>
              <w:tr2bl w:val="nil"/>
            </w:tcBorders>
          </w:tcPr>
          <w:p w14:paraId="2E6D4173">
            <w:pPr>
              <w:rPr>
                <w:rFonts w:hint="default" w:ascii="Times New Roman" w:eastAsia="Times New Roman"/>
                <w:color w:val="auto"/>
              </w:rPr>
            </w:pPr>
          </w:p>
        </w:tc>
      </w:tr>
      <w:tr w14:paraId="5C8AF173">
        <w:tblPrEx>
          <w:tblCellMar>
            <w:top w:w="0" w:type="dxa"/>
            <w:left w:w="108" w:type="dxa"/>
            <w:bottom w:w="0" w:type="dxa"/>
            <w:right w:w="108" w:type="dxa"/>
          </w:tblCellMar>
        </w:tblPrEx>
        <w:trPr>
          <w:trHeight w:val="946" w:hRule="exact"/>
        </w:trPr>
        <w:tc>
          <w:tcPr>
            <w:tcW w:w="758" w:type="dxa"/>
            <w:tcBorders>
              <w:top w:val="single" w:color="000000" w:sz="4" w:space="0"/>
              <w:left w:val="single" w:color="000000" w:sz="10" w:space="0"/>
              <w:bottom w:val="single" w:color="000000" w:sz="4" w:space="0"/>
              <w:right w:val="single" w:color="000000" w:sz="4" w:space="0"/>
              <w:tl2br w:val="nil"/>
              <w:tr2bl w:val="nil"/>
            </w:tcBorders>
          </w:tcPr>
          <w:p w14:paraId="26C5C963">
            <w:pPr>
              <w:pStyle w:val="25"/>
              <w:kinsoku w:val="0"/>
              <w:overflowPunct w:val="0"/>
              <w:rPr>
                <w:rFonts w:hint="default" w:cs="宋体"/>
                <w:color w:val="auto"/>
              </w:rPr>
            </w:pPr>
          </w:p>
          <w:p w14:paraId="085E2BC5">
            <w:pPr>
              <w:pStyle w:val="25"/>
              <w:kinsoku w:val="0"/>
              <w:overflowPunct w:val="0"/>
              <w:spacing w:before="194"/>
              <w:ind w:left="48"/>
              <w:jc w:val="center"/>
              <w:rPr>
                <w:rFonts w:hint="default" w:ascii="Times New Roman" w:eastAsia="Times New Roman"/>
                <w:color w:val="auto"/>
              </w:rPr>
            </w:pPr>
            <w:r>
              <w:rPr>
                <w:rFonts w:cs="宋体"/>
                <w:color w:val="auto"/>
              </w:rPr>
              <w:t>2</w:t>
            </w: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309D9141">
            <w:pPr>
              <w:rPr>
                <w:rFonts w:hint="default" w:ascii="Times New Roman" w:eastAsia="Times New Roman"/>
                <w:color w:val="auto"/>
              </w:rPr>
            </w:pP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05606870">
            <w:pPr>
              <w:rPr>
                <w:rFonts w:hint="default" w:ascii="Times New Roman" w:eastAsia="Times New Roman"/>
                <w:color w:val="auto"/>
              </w:rPr>
            </w:pP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7A6D25CA">
            <w:pPr>
              <w:rPr>
                <w:rFonts w:hint="default" w:ascii="Times New Roman" w:eastAsia="Times New Roman"/>
                <w:color w:val="auto"/>
              </w:rPr>
            </w:pP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1D073C1A">
            <w:pPr>
              <w:rPr>
                <w:rFonts w:hint="default" w:ascii="Times New Roman" w:eastAsia="Times New Roman"/>
                <w:color w:val="auto"/>
              </w:rPr>
            </w:pPr>
          </w:p>
        </w:tc>
        <w:tc>
          <w:tcPr>
            <w:tcW w:w="1791" w:type="dxa"/>
            <w:tcBorders>
              <w:top w:val="single" w:color="000000" w:sz="4" w:space="0"/>
              <w:left w:val="single" w:color="000000" w:sz="4" w:space="0"/>
              <w:bottom w:val="single" w:color="000000" w:sz="4" w:space="0"/>
              <w:right w:val="single" w:color="000000" w:sz="4" w:space="0"/>
              <w:tl2br w:val="nil"/>
              <w:tr2bl w:val="nil"/>
            </w:tcBorders>
          </w:tcPr>
          <w:p w14:paraId="67AE5883">
            <w:pPr>
              <w:rPr>
                <w:rFonts w:hint="default" w:ascii="Times New Roman" w:eastAsia="Times New Roman"/>
                <w:color w:val="auto"/>
              </w:rPr>
            </w:pPr>
          </w:p>
        </w:tc>
        <w:tc>
          <w:tcPr>
            <w:tcW w:w="1830" w:type="dxa"/>
            <w:tcBorders>
              <w:top w:val="single" w:color="000000" w:sz="4" w:space="0"/>
              <w:left w:val="single" w:color="000000" w:sz="4" w:space="0"/>
              <w:bottom w:val="single" w:color="000000" w:sz="4" w:space="0"/>
              <w:right w:val="single" w:color="000000" w:sz="4" w:space="0"/>
              <w:tl2br w:val="nil"/>
              <w:tr2bl w:val="nil"/>
            </w:tcBorders>
          </w:tcPr>
          <w:p w14:paraId="53E3F6A5">
            <w:pPr>
              <w:rPr>
                <w:rFonts w:hint="default" w:ascii="Times New Roman" w:eastAsia="Times New Roman"/>
                <w:color w:val="auto"/>
              </w:rPr>
            </w:pPr>
          </w:p>
        </w:tc>
        <w:tc>
          <w:tcPr>
            <w:tcW w:w="955" w:type="dxa"/>
            <w:tcBorders>
              <w:top w:val="single" w:color="000000" w:sz="4" w:space="0"/>
              <w:left w:val="single" w:color="000000" w:sz="4" w:space="0"/>
              <w:bottom w:val="single" w:color="000000" w:sz="4" w:space="0"/>
              <w:right w:val="single" w:color="000000" w:sz="10" w:space="0"/>
              <w:tl2br w:val="nil"/>
              <w:tr2bl w:val="nil"/>
            </w:tcBorders>
          </w:tcPr>
          <w:p w14:paraId="0C64D4DF">
            <w:pPr>
              <w:rPr>
                <w:rFonts w:hint="default" w:ascii="Times New Roman" w:eastAsia="Times New Roman"/>
                <w:color w:val="auto"/>
              </w:rPr>
            </w:pPr>
          </w:p>
        </w:tc>
      </w:tr>
      <w:tr w14:paraId="39264EEA">
        <w:tblPrEx>
          <w:tblCellMar>
            <w:top w:w="0" w:type="dxa"/>
            <w:left w:w="108" w:type="dxa"/>
            <w:bottom w:w="0" w:type="dxa"/>
            <w:right w:w="108" w:type="dxa"/>
          </w:tblCellMar>
        </w:tblPrEx>
        <w:trPr>
          <w:trHeight w:val="946" w:hRule="exact"/>
        </w:trPr>
        <w:tc>
          <w:tcPr>
            <w:tcW w:w="758" w:type="dxa"/>
            <w:tcBorders>
              <w:top w:val="single" w:color="000000" w:sz="4" w:space="0"/>
              <w:left w:val="single" w:color="000000" w:sz="10" w:space="0"/>
              <w:bottom w:val="single" w:color="000000" w:sz="4" w:space="0"/>
              <w:right w:val="single" w:color="000000" w:sz="4" w:space="0"/>
              <w:tl2br w:val="nil"/>
              <w:tr2bl w:val="nil"/>
            </w:tcBorders>
          </w:tcPr>
          <w:p w14:paraId="017133AD">
            <w:pPr>
              <w:pStyle w:val="25"/>
              <w:kinsoku w:val="0"/>
              <w:overflowPunct w:val="0"/>
              <w:rPr>
                <w:rFonts w:hint="default" w:cs="宋体"/>
                <w:color w:val="auto"/>
              </w:rPr>
            </w:pPr>
          </w:p>
          <w:p w14:paraId="17B08650">
            <w:pPr>
              <w:pStyle w:val="25"/>
              <w:kinsoku w:val="0"/>
              <w:overflowPunct w:val="0"/>
              <w:spacing w:before="194"/>
              <w:ind w:left="48"/>
              <w:jc w:val="center"/>
              <w:rPr>
                <w:rFonts w:hint="default" w:ascii="Times New Roman" w:eastAsia="Times New Roman"/>
                <w:color w:val="auto"/>
              </w:rPr>
            </w:pPr>
            <w:r>
              <w:rPr>
                <w:rFonts w:cs="宋体"/>
                <w:color w:val="auto"/>
              </w:rPr>
              <w:t>3</w:t>
            </w: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6511305A">
            <w:pPr>
              <w:pStyle w:val="25"/>
              <w:kinsoku w:val="0"/>
              <w:overflowPunct w:val="0"/>
              <w:rPr>
                <w:rFonts w:hint="default" w:cs="宋体"/>
                <w:color w:val="auto"/>
              </w:rPr>
            </w:pPr>
          </w:p>
          <w:p w14:paraId="62399527">
            <w:pPr>
              <w:pStyle w:val="25"/>
              <w:kinsoku w:val="0"/>
              <w:overflowPunct w:val="0"/>
              <w:spacing w:before="194"/>
              <w:ind w:left="103"/>
              <w:rPr>
                <w:rFonts w:hint="default" w:ascii="Times New Roman" w:eastAsia="Times New Roman"/>
                <w:color w:val="auto"/>
              </w:rPr>
            </w:pPr>
            <w:r>
              <w:rPr>
                <w:rFonts w:cs="宋体"/>
                <w:color w:val="auto"/>
              </w:rPr>
              <w:t>…</w:t>
            </w: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1327125E">
            <w:pPr>
              <w:rPr>
                <w:rFonts w:hint="default" w:ascii="Times New Roman" w:eastAsia="Times New Roman"/>
                <w:color w:val="auto"/>
              </w:rPr>
            </w:pP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4B6539D7">
            <w:pPr>
              <w:rPr>
                <w:rFonts w:hint="default" w:ascii="Times New Roman" w:eastAsia="Times New Roman"/>
                <w:color w:val="auto"/>
              </w:rPr>
            </w:pPr>
          </w:p>
        </w:tc>
        <w:tc>
          <w:tcPr>
            <w:tcW w:w="1331" w:type="dxa"/>
            <w:tcBorders>
              <w:top w:val="single" w:color="000000" w:sz="4" w:space="0"/>
              <w:left w:val="single" w:color="000000" w:sz="4" w:space="0"/>
              <w:bottom w:val="single" w:color="000000" w:sz="4" w:space="0"/>
              <w:right w:val="single" w:color="000000" w:sz="4" w:space="0"/>
              <w:tl2br w:val="nil"/>
              <w:tr2bl w:val="nil"/>
            </w:tcBorders>
          </w:tcPr>
          <w:p w14:paraId="5F68CFFB">
            <w:pPr>
              <w:rPr>
                <w:rFonts w:hint="default" w:ascii="Times New Roman" w:eastAsia="Times New Roman"/>
                <w:color w:val="auto"/>
              </w:rPr>
            </w:pPr>
          </w:p>
        </w:tc>
        <w:tc>
          <w:tcPr>
            <w:tcW w:w="1791" w:type="dxa"/>
            <w:tcBorders>
              <w:top w:val="single" w:color="000000" w:sz="4" w:space="0"/>
              <w:left w:val="single" w:color="000000" w:sz="4" w:space="0"/>
              <w:bottom w:val="single" w:color="000000" w:sz="4" w:space="0"/>
              <w:right w:val="single" w:color="000000" w:sz="4" w:space="0"/>
              <w:tl2br w:val="nil"/>
              <w:tr2bl w:val="nil"/>
            </w:tcBorders>
          </w:tcPr>
          <w:p w14:paraId="07AEF619">
            <w:pPr>
              <w:rPr>
                <w:rFonts w:hint="default" w:ascii="Times New Roman" w:eastAsia="Times New Roman"/>
                <w:color w:val="auto"/>
              </w:rPr>
            </w:pPr>
          </w:p>
        </w:tc>
        <w:tc>
          <w:tcPr>
            <w:tcW w:w="1830" w:type="dxa"/>
            <w:tcBorders>
              <w:top w:val="single" w:color="000000" w:sz="4" w:space="0"/>
              <w:left w:val="single" w:color="000000" w:sz="4" w:space="0"/>
              <w:bottom w:val="single" w:color="000000" w:sz="4" w:space="0"/>
              <w:right w:val="single" w:color="000000" w:sz="4" w:space="0"/>
              <w:tl2br w:val="nil"/>
              <w:tr2bl w:val="nil"/>
            </w:tcBorders>
          </w:tcPr>
          <w:p w14:paraId="56E0549A">
            <w:pPr>
              <w:rPr>
                <w:rFonts w:hint="default" w:ascii="Times New Roman" w:eastAsia="Times New Roman"/>
                <w:color w:val="auto"/>
              </w:rPr>
            </w:pPr>
          </w:p>
        </w:tc>
        <w:tc>
          <w:tcPr>
            <w:tcW w:w="955" w:type="dxa"/>
            <w:tcBorders>
              <w:top w:val="single" w:color="000000" w:sz="4" w:space="0"/>
              <w:left w:val="single" w:color="000000" w:sz="4" w:space="0"/>
              <w:bottom w:val="single" w:color="000000" w:sz="4" w:space="0"/>
              <w:right w:val="single" w:color="000000" w:sz="10" w:space="0"/>
              <w:tl2br w:val="nil"/>
              <w:tr2bl w:val="nil"/>
            </w:tcBorders>
          </w:tcPr>
          <w:p w14:paraId="2B808DDF">
            <w:pPr>
              <w:rPr>
                <w:rFonts w:hint="default" w:ascii="Times New Roman" w:eastAsia="Times New Roman"/>
                <w:color w:val="auto"/>
              </w:rPr>
            </w:pPr>
          </w:p>
        </w:tc>
      </w:tr>
      <w:tr w14:paraId="0D013E6A">
        <w:tblPrEx>
          <w:tblCellMar>
            <w:top w:w="0" w:type="dxa"/>
            <w:left w:w="108" w:type="dxa"/>
            <w:bottom w:w="0" w:type="dxa"/>
            <w:right w:w="108" w:type="dxa"/>
          </w:tblCellMar>
        </w:tblPrEx>
        <w:trPr>
          <w:trHeight w:val="956" w:hRule="exact"/>
        </w:trPr>
        <w:tc>
          <w:tcPr>
            <w:tcW w:w="758" w:type="dxa"/>
            <w:tcBorders>
              <w:top w:val="single" w:color="000000" w:sz="4" w:space="0"/>
              <w:left w:val="single" w:color="000000" w:sz="10" w:space="0"/>
              <w:bottom w:val="single" w:color="000000" w:sz="10" w:space="0"/>
              <w:right w:val="single" w:color="000000" w:sz="4" w:space="0"/>
              <w:tl2br w:val="nil"/>
              <w:tr2bl w:val="nil"/>
            </w:tcBorders>
          </w:tcPr>
          <w:p w14:paraId="4F786C45">
            <w:pPr>
              <w:pStyle w:val="25"/>
              <w:kinsoku w:val="0"/>
              <w:overflowPunct w:val="0"/>
              <w:rPr>
                <w:rFonts w:hint="default" w:cs="宋体"/>
                <w:color w:val="auto"/>
              </w:rPr>
            </w:pPr>
          </w:p>
          <w:p w14:paraId="48A838C8">
            <w:pPr>
              <w:pStyle w:val="25"/>
              <w:kinsoku w:val="0"/>
              <w:overflowPunct w:val="0"/>
              <w:spacing w:before="194"/>
              <w:ind w:left="48"/>
              <w:jc w:val="center"/>
              <w:rPr>
                <w:rFonts w:hint="default" w:ascii="Times New Roman" w:eastAsia="Times New Roman"/>
                <w:color w:val="auto"/>
              </w:rPr>
            </w:pPr>
            <w:r>
              <w:rPr>
                <w:rFonts w:cs="宋体"/>
                <w:color w:val="auto"/>
              </w:rPr>
              <w:t>4</w:t>
            </w:r>
          </w:p>
        </w:tc>
        <w:tc>
          <w:tcPr>
            <w:tcW w:w="1331" w:type="dxa"/>
            <w:tcBorders>
              <w:top w:val="single" w:color="000000" w:sz="4" w:space="0"/>
              <w:left w:val="single" w:color="000000" w:sz="4" w:space="0"/>
              <w:bottom w:val="single" w:color="000000" w:sz="10" w:space="0"/>
              <w:right w:val="single" w:color="000000" w:sz="4" w:space="0"/>
              <w:tl2br w:val="nil"/>
              <w:tr2bl w:val="nil"/>
            </w:tcBorders>
          </w:tcPr>
          <w:p w14:paraId="0CC26FB2">
            <w:pPr>
              <w:pStyle w:val="25"/>
              <w:kinsoku w:val="0"/>
              <w:overflowPunct w:val="0"/>
              <w:rPr>
                <w:rFonts w:hint="default" w:cs="宋体"/>
                <w:color w:val="auto"/>
                <w:sz w:val="21"/>
                <w:szCs w:val="21"/>
              </w:rPr>
            </w:pPr>
          </w:p>
          <w:p w14:paraId="5FF2CE11">
            <w:pPr>
              <w:pStyle w:val="25"/>
              <w:kinsoku w:val="0"/>
              <w:overflowPunct w:val="0"/>
              <w:ind w:left="403"/>
              <w:rPr>
                <w:rFonts w:hint="default" w:ascii="Times New Roman" w:eastAsia="Times New Roman"/>
                <w:color w:val="auto"/>
              </w:rPr>
            </w:pPr>
            <w:r>
              <w:rPr>
                <w:rFonts w:cs="宋体"/>
                <w:color w:val="auto"/>
              </w:rPr>
              <w:t>合计</w:t>
            </w:r>
          </w:p>
        </w:tc>
        <w:tc>
          <w:tcPr>
            <w:tcW w:w="1331" w:type="dxa"/>
            <w:tcBorders>
              <w:top w:val="single" w:color="000000" w:sz="4" w:space="0"/>
              <w:left w:val="single" w:color="000000" w:sz="4" w:space="0"/>
              <w:bottom w:val="single" w:color="000000" w:sz="10" w:space="0"/>
              <w:right w:val="single" w:color="000000" w:sz="4" w:space="0"/>
              <w:tl2br w:val="nil"/>
              <w:tr2bl w:val="nil"/>
            </w:tcBorders>
          </w:tcPr>
          <w:p w14:paraId="1951CF8D">
            <w:pPr>
              <w:rPr>
                <w:rFonts w:hint="default" w:ascii="Times New Roman" w:eastAsia="Times New Roman"/>
                <w:color w:val="auto"/>
              </w:rPr>
            </w:pPr>
          </w:p>
        </w:tc>
        <w:tc>
          <w:tcPr>
            <w:tcW w:w="1331" w:type="dxa"/>
            <w:tcBorders>
              <w:top w:val="single" w:color="000000" w:sz="4" w:space="0"/>
              <w:left w:val="single" w:color="000000" w:sz="4" w:space="0"/>
              <w:bottom w:val="single" w:color="000000" w:sz="10" w:space="0"/>
              <w:right w:val="single" w:color="000000" w:sz="4" w:space="0"/>
              <w:tl2br w:val="nil"/>
              <w:tr2bl w:val="nil"/>
            </w:tcBorders>
          </w:tcPr>
          <w:p w14:paraId="17B816CA">
            <w:pPr>
              <w:rPr>
                <w:rFonts w:hint="default" w:ascii="Times New Roman" w:eastAsia="Times New Roman"/>
                <w:color w:val="auto"/>
              </w:rPr>
            </w:pPr>
          </w:p>
        </w:tc>
        <w:tc>
          <w:tcPr>
            <w:tcW w:w="1331" w:type="dxa"/>
            <w:tcBorders>
              <w:top w:val="single" w:color="000000" w:sz="4" w:space="0"/>
              <w:left w:val="single" w:color="000000" w:sz="4" w:space="0"/>
              <w:bottom w:val="single" w:color="000000" w:sz="10" w:space="0"/>
              <w:right w:val="single" w:color="000000" w:sz="4" w:space="0"/>
              <w:tl2br w:val="nil"/>
              <w:tr2bl w:val="nil"/>
            </w:tcBorders>
          </w:tcPr>
          <w:p w14:paraId="7D18CF9D">
            <w:pPr>
              <w:rPr>
                <w:rFonts w:hint="default" w:ascii="Times New Roman" w:eastAsia="Times New Roman"/>
                <w:color w:val="auto"/>
              </w:rPr>
            </w:pPr>
          </w:p>
        </w:tc>
        <w:tc>
          <w:tcPr>
            <w:tcW w:w="1791" w:type="dxa"/>
            <w:tcBorders>
              <w:top w:val="single" w:color="000000" w:sz="4" w:space="0"/>
              <w:left w:val="single" w:color="000000" w:sz="4" w:space="0"/>
              <w:bottom w:val="single" w:color="000000" w:sz="10" w:space="0"/>
              <w:right w:val="single" w:color="000000" w:sz="4" w:space="0"/>
              <w:tl2br w:val="nil"/>
              <w:tr2bl w:val="nil"/>
            </w:tcBorders>
          </w:tcPr>
          <w:p w14:paraId="3B1FEBA6">
            <w:pPr>
              <w:rPr>
                <w:rFonts w:hint="default" w:ascii="Times New Roman" w:eastAsia="Times New Roman"/>
                <w:color w:val="auto"/>
              </w:rPr>
            </w:pPr>
          </w:p>
        </w:tc>
        <w:tc>
          <w:tcPr>
            <w:tcW w:w="1830" w:type="dxa"/>
            <w:tcBorders>
              <w:top w:val="single" w:color="000000" w:sz="4" w:space="0"/>
              <w:left w:val="single" w:color="000000" w:sz="4" w:space="0"/>
              <w:bottom w:val="single" w:color="000000" w:sz="10" w:space="0"/>
              <w:right w:val="single" w:color="000000" w:sz="4" w:space="0"/>
              <w:tl2br w:val="nil"/>
              <w:tr2bl w:val="nil"/>
            </w:tcBorders>
          </w:tcPr>
          <w:p w14:paraId="22E0D588">
            <w:pPr>
              <w:rPr>
                <w:rFonts w:hint="default" w:ascii="Times New Roman" w:eastAsia="Times New Roman"/>
                <w:color w:val="auto"/>
              </w:rPr>
            </w:pPr>
          </w:p>
        </w:tc>
        <w:tc>
          <w:tcPr>
            <w:tcW w:w="955" w:type="dxa"/>
            <w:tcBorders>
              <w:top w:val="single" w:color="000000" w:sz="4" w:space="0"/>
              <w:left w:val="single" w:color="000000" w:sz="4" w:space="0"/>
              <w:bottom w:val="single" w:color="000000" w:sz="10" w:space="0"/>
              <w:right w:val="single" w:color="000000" w:sz="10" w:space="0"/>
              <w:tl2br w:val="nil"/>
              <w:tr2bl w:val="nil"/>
            </w:tcBorders>
          </w:tcPr>
          <w:p w14:paraId="20EF7C4D">
            <w:pPr>
              <w:rPr>
                <w:rFonts w:hint="default" w:ascii="Times New Roman" w:eastAsia="Times New Roman"/>
                <w:color w:val="auto"/>
              </w:rPr>
            </w:pPr>
          </w:p>
        </w:tc>
      </w:tr>
    </w:tbl>
    <w:p w14:paraId="0D02F955">
      <w:pPr>
        <w:pStyle w:val="8"/>
        <w:kinsoku w:val="0"/>
        <w:overflowPunct w:val="0"/>
        <w:spacing w:before="42" w:line="357" w:lineRule="auto"/>
        <w:rPr>
          <w:rFonts w:hint="default"/>
          <w:color w:val="auto"/>
          <w:spacing w:val="-6"/>
        </w:rPr>
      </w:pPr>
      <w:r>
        <w:rPr>
          <w:color w:val="auto"/>
        </w:rPr>
        <w:t xml:space="preserve">说明： </w:t>
      </w:r>
      <w:r>
        <w:rPr>
          <w:color w:val="auto"/>
          <w:spacing w:val="-6"/>
        </w:rPr>
        <w:t>1、环境标志产品根据财政部、环境保护部最新公布的环境标志产品政府采购清单确定。</w:t>
      </w:r>
    </w:p>
    <w:p w14:paraId="27FB1FFB">
      <w:pPr>
        <w:pStyle w:val="8"/>
        <w:kinsoku w:val="0"/>
        <w:overflowPunct w:val="0"/>
        <w:spacing w:line="357" w:lineRule="auto"/>
        <w:rPr>
          <w:rFonts w:hint="default"/>
          <w:color w:val="auto"/>
        </w:rPr>
      </w:pPr>
      <w:r>
        <w:rPr>
          <w:color w:val="auto"/>
          <w:spacing w:val="-4"/>
        </w:rPr>
        <w:t>2、如所投产品为环保产品，须提供所投产品在最新公布的环境标志产品政府采购</w:t>
      </w:r>
      <w:r>
        <w:rPr>
          <w:color w:val="auto"/>
          <w:spacing w:val="-94"/>
        </w:rPr>
        <w:t xml:space="preserve"> </w:t>
      </w:r>
      <w:r>
        <w:rPr>
          <w:color w:val="auto"/>
        </w:rPr>
        <w:t xml:space="preserve">清单所在页扫描件或相关网页截图，否则评审时不予认可。 </w:t>
      </w:r>
      <w:r>
        <w:rPr>
          <w:color w:val="auto"/>
          <w:spacing w:val="2"/>
        </w:rPr>
        <w:t>3、如所投产品为环保产品，须按规定格式逐项填写，否则评审时不予认可。如</w:t>
      </w:r>
      <w:r>
        <w:rPr>
          <w:color w:val="auto"/>
          <w:spacing w:val="-97"/>
        </w:rPr>
        <w:t xml:space="preserve"> </w:t>
      </w:r>
      <w:r>
        <w:rPr>
          <w:color w:val="auto"/>
        </w:rPr>
        <w:t>所投产品不是环保产品，可不填此表。</w:t>
      </w:r>
    </w:p>
    <w:p w14:paraId="538A5262">
      <w:pPr>
        <w:pStyle w:val="8"/>
        <w:kinsoku w:val="0"/>
        <w:overflowPunct w:val="0"/>
        <w:spacing w:before="0"/>
        <w:ind w:left="0"/>
        <w:rPr>
          <w:rFonts w:hint="default"/>
          <w:color w:val="auto"/>
        </w:rPr>
      </w:pPr>
    </w:p>
    <w:p w14:paraId="7AB8BC7D">
      <w:pPr>
        <w:pStyle w:val="8"/>
        <w:kinsoku w:val="0"/>
        <w:overflowPunct w:val="0"/>
        <w:spacing w:before="190"/>
        <w:ind w:left="0" w:right="1221"/>
        <w:jc w:val="right"/>
        <w:rPr>
          <w:rFonts w:hint="default"/>
          <w:color w:val="auto"/>
        </w:rPr>
      </w:pPr>
      <w:r>
        <w:rPr>
          <w:color w:val="auto"/>
        </w:rPr>
        <w:t>年月日</w:t>
      </w:r>
    </w:p>
    <w:p w14:paraId="58AD2081">
      <w:pPr>
        <w:pStyle w:val="8"/>
        <w:kinsoku w:val="0"/>
        <w:overflowPunct w:val="0"/>
        <w:spacing w:before="190"/>
        <w:ind w:left="0" w:right="1221"/>
        <w:jc w:val="right"/>
        <w:rPr>
          <w:rFonts w:hint="default"/>
          <w:color w:val="auto"/>
        </w:rPr>
        <w:sectPr>
          <w:pgSz w:w="11910" w:h="16840"/>
          <w:pgMar w:top="1500" w:right="480" w:bottom="1600" w:left="500" w:header="0" w:footer="1415" w:gutter="0"/>
          <w:pgNumType w:fmt="decimal"/>
          <w:cols w:space="720" w:num="1"/>
        </w:sectPr>
      </w:pPr>
    </w:p>
    <w:p w14:paraId="386890E9">
      <w:pPr>
        <w:pStyle w:val="8"/>
        <w:numPr>
          <w:ilvl w:val="0"/>
          <w:numId w:val="0"/>
        </w:numPr>
        <w:kinsoku w:val="0"/>
        <w:overflowPunct w:val="0"/>
        <w:spacing w:before="5" w:line="280" w:lineRule="auto"/>
        <w:ind w:left="1280" w:leftChars="0" w:right="4219" w:rightChars="0"/>
        <w:rPr>
          <w:b/>
          <w:color w:val="auto"/>
          <w:w w:val="99"/>
        </w:rPr>
      </w:pPr>
      <w:r>
        <w:rPr>
          <w:rFonts w:hint="eastAsia" w:ascii="宋体" w:hAnsi="Times New Roman" w:eastAsia="宋体" w:cs="宋体"/>
          <w:b/>
          <w:color w:val="auto"/>
          <w:w w:val="99"/>
          <w:sz w:val="24"/>
          <w:szCs w:val="24"/>
          <w:lang w:val="en-US" w:eastAsia="zh-CN" w:bidi="ar-SA"/>
        </w:rPr>
        <w:t>2）</w:t>
      </w:r>
      <w:r>
        <w:rPr>
          <w:b/>
          <w:color w:val="auto"/>
        </w:rPr>
        <w:t>节能产品明细表</w:t>
      </w:r>
      <w:r>
        <w:rPr>
          <w:b/>
          <w:color w:val="auto"/>
          <w:w w:val="99"/>
        </w:rPr>
        <w:t xml:space="preserve"> </w:t>
      </w:r>
    </w:p>
    <w:p w14:paraId="582D9E90">
      <w:pPr>
        <w:pStyle w:val="8"/>
        <w:numPr>
          <w:ilvl w:val="0"/>
          <w:numId w:val="0"/>
        </w:numPr>
        <w:kinsoku w:val="0"/>
        <w:overflowPunct w:val="0"/>
        <w:spacing w:before="5" w:line="280" w:lineRule="auto"/>
        <w:ind w:right="4219" w:rightChars="0"/>
        <w:rPr>
          <w:rFonts w:hint="default"/>
          <w:color w:val="auto"/>
        </w:rPr>
      </w:pPr>
      <w:r>
        <w:rPr>
          <w:color w:val="auto"/>
        </w:rPr>
        <w:t>项目编号、包号：</w:t>
      </w:r>
      <w:r>
        <w:rPr>
          <w:rFonts w:hint="eastAsia"/>
          <w:color w:val="auto"/>
          <w:lang w:val="en-US" w:eastAsia="zh-CN"/>
        </w:rPr>
        <w:t xml:space="preserve">         </w:t>
      </w:r>
      <w:r>
        <w:rPr>
          <w:color w:val="auto"/>
        </w:rPr>
        <w:t>价格单位：元</w:t>
      </w:r>
    </w:p>
    <w:p w14:paraId="714D5934">
      <w:pPr>
        <w:pStyle w:val="8"/>
        <w:kinsoku w:val="0"/>
        <w:overflowPunct w:val="0"/>
        <w:spacing w:before="8"/>
        <w:ind w:left="0"/>
        <w:rPr>
          <w:rFonts w:hint="default"/>
          <w:color w:val="auto"/>
          <w:sz w:val="5"/>
          <w:szCs w:val="5"/>
        </w:rPr>
      </w:pPr>
    </w:p>
    <w:tbl>
      <w:tblPr>
        <w:tblStyle w:val="20"/>
        <w:tblW w:w="10613" w:type="dxa"/>
        <w:jc w:val="center"/>
        <w:tblLayout w:type="fixed"/>
        <w:tblCellMar>
          <w:top w:w="0" w:type="dxa"/>
          <w:left w:w="108" w:type="dxa"/>
          <w:bottom w:w="0" w:type="dxa"/>
          <w:right w:w="108" w:type="dxa"/>
        </w:tblCellMar>
      </w:tblPr>
      <w:tblGrid>
        <w:gridCol w:w="876"/>
        <w:gridCol w:w="1524"/>
        <w:gridCol w:w="1337"/>
        <w:gridCol w:w="1483"/>
        <w:gridCol w:w="1791"/>
        <w:gridCol w:w="2265"/>
        <w:gridCol w:w="1337"/>
      </w:tblGrid>
      <w:tr w14:paraId="0ABF5318">
        <w:tblPrEx>
          <w:tblCellMar>
            <w:top w:w="0" w:type="dxa"/>
            <w:left w:w="108" w:type="dxa"/>
            <w:bottom w:w="0" w:type="dxa"/>
            <w:right w:w="108" w:type="dxa"/>
          </w:tblCellMar>
        </w:tblPrEx>
        <w:trPr>
          <w:trHeight w:val="956" w:hRule="exact"/>
          <w:jc w:val="center"/>
        </w:trPr>
        <w:tc>
          <w:tcPr>
            <w:tcW w:w="876" w:type="dxa"/>
            <w:tcBorders>
              <w:top w:val="single" w:color="000000" w:sz="10" w:space="0"/>
              <w:left w:val="single" w:color="000000" w:sz="10" w:space="0"/>
              <w:bottom w:val="single" w:color="000000" w:sz="4" w:space="0"/>
              <w:right w:val="single" w:color="000000" w:sz="4" w:space="0"/>
              <w:tl2br w:val="nil"/>
              <w:tr2bl w:val="nil"/>
            </w:tcBorders>
            <w:vAlign w:val="top"/>
          </w:tcPr>
          <w:p w14:paraId="74998A22">
            <w:pPr>
              <w:pStyle w:val="25"/>
              <w:kinsoku w:val="0"/>
              <w:overflowPunct w:val="0"/>
              <w:spacing w:before="42"/>
              <w:ind w:left="184"/>
              <w:rPr>
                <w:rFonts w:hint="default" w:ascii="Times New Roman" w:eastAsia="Times New Roman"/>
                <w:color w:val="auto"/>
              </w:rPr>
            </w:pPr>
            <w:r>
              <w:rPr>
                <w:rFonts w:cs="宋体"/>
                <w:color w:val="auto"/>
              </w:rPr>
              <w:t>序号</w:t>
            </w:r>
          </w:p>
        </w:tc>
        <w:tc>
          <w:tcPr>
            <w:tcW w:w="1524" w:type="dxa"/>
            <w:tcBorders>
              <w:top w:val="single" w:color="000000" w:sz="10" w:space="0"/>
              <w:left w:val="single" w:color="000000" w:sz="4" w:space="0"/>
              <w:bottom w:val="single" w:color="000000" w:sz="4" w:space="0"/>
              <w:right w:val="single" w:color="000000" w:sz="4" w:space="0"/>
              <w:tl2br w:val="nil"/>
              <w:tr2bl w:val="nil"/>
            </w:tcBorders>
            <w:vAlign w:val="top"/>
          </w:tcPr>
          <w:p w14:paraId="00A9CD63">
            <w:pPr>
              <w:pStyle w:val="25"/>
              <w:kinsoku w:val="0"/>
              <w:overflowPunct w:val="0"/>
              <w:spacing w:before="42"/>
              <w:ind w:left="278"/>
              <w:rPr>
                <w:rFonts w:hint="default" w:ascii="Times New Roman" w:eastAsia="Times New Roman"/>
                <w:color w:val="auto"/>
              </w:rPr>
            </w:pPr>
            <w:r>
              <w:rPr>
                <w:rFonts w:cs="宋体"/>
                <w:color w:val="auto"/>
              </w:rPr>
              <w:t>产品名称</w:t>
            </w:r>
          </w:p>
        </w:tc>
        <w:tc>
          <w:tcPr>
            <w:tcW w:w="1337" w:type="dxa"/>
            <w:tcBorders>
              <w:top w:val="single" w:color="000000" w:sz="10" w:space="0"/>
              <w:left w:val="single" w:color="000000" w:sz="4" w:space="0"/>
              <w:bottom w:val="single" w:color="000000" w:sz="4" w:space="0"/>
              <w:right w:val="single" w:color="000000" w:sz="4" w:space="0"/>
              <w:tl2br w:val="nil"/>
              <w:tr2bl w:val="nil"/>
            </w:tcBorders>
            <w:vAlign w:val="top"/>
          </w:tcPr>
          <w:p w14:paraId="3BA0E6BC">
            <w:pPr>
              <w:pStyle w:val="25"/>
              <w:kinsoku w:val="0"/>
              <w:overflowPunct w:val="0"/>
              <w:spacing w:before="42"/>
              <w:ind w:left="301"/>
              <w:rPr>
                <w:rFonts w:hint="default" w:ascii="Times New Roman" w:eastAsia="Times New Roman"/>
                <w:color w:val="auto"/>
              </w:rPr>
            </w:pPr>
            <w:r>
              <w:rPr>
                <w:rFonts w:cs="宋体"/>
                <w:color w:val="auto"/>
              </w:rPr>
              <w:t>制造商</w:t>
            </w:r>
          </w:p>
        </w:tc>
        <w:tc>
          <w:tcPr>
            <w:tcW w:w="1483" w:type="dxa"/>
            <w:tcBorders>
              <w:top w:val="single" w:color="000000" w:sz="10" w:space="0"/>
              <w:left w:val="single" w:color="000000" w:sz="4" w:space="0"/>
              <w:bottom w:val="single" w:color="000000" w:sz="4" w:space="0"/>
              <w:right w:val="single" w:color="000000" w:sz="4" w:space="0"/>
              <w:tl2br w:val="nil"/>
              <w:tr2bl w:val="nil"/>
            </w:tcBorders>
            <w:vAlign w:val="top"/>
          </w:tcPr>
          <w:p w14:paraId="626E5019">
            <w:pPr>
              <w:pStyle w:val="25"/>
              <w:kinsoku w:val="0"/>
              <w:overflowPunct w:val="0"/>
              <w:spacing w:before="42"/>
              <w:ind w:left="256"/>
              <w:rPr>
                <w:rFonts w:hint="default" w:ascii="Times New Roman" w:eastAsia="Times New Roman"/>
                <w:color w:val="auto"/>
              </w:rPr>
            </w:pPr>
            <w:r>
              <w:rPr>
                <w:rFonts w:cs="宋体"/>
                <w:color w:val="auto"/>
              </w:rPr>
              <w:t>产品型号</w:t>
            </w:r>
          </w:p>
        </w:tc>
        <w:tc>
          <w:tcPr>
            <w:tcW w:w="1791" w:type="dxa"/>
            <w:tcBorders>
              <w:top w:val="single" w:color="000000" w:sz="10" w:space="0"/>
              <w:left w:val="single" w:color="000000" w:sz="4" w:space="0"/>
              <w:bottom w:val="single" w:color="000000" w:sz="4" w:space="0"/>
              <w:right w:val="single" w:color="000000" w:sz="4" w:space="0"/>
              <w:tl2br w:val="nil"/>
              <w:tr2bl w:val="nil"/>
            </w:tcBorders>
            <w:vAlign w:val="top"/>
          </w:tcPr>
          <w:p w14:paraId="52227CD3">
            <w:pPr>
              <w:pStyle w:val="25"/>
              <w:kinsoku w:val="0"/>
              <w:overflowPunct w:val="0"/>
              <w:spacing w:before="42"/>
              <w:ind w:right="1"/>
              <w:jc w:val="center"/>
              <w:rPr>
                <w:rFonts w:hint="default" w:cs="宋体"/>
                <w:color w:val="auto"/>
              </w:rPr>
            </w:pPr>
            <w:r>
              <w:rPr>
                <w:rFonts w:cs="宋体"/>
                <w:color w:val="auto"/>
              </w:rPr>
              <w:t>节能标志认证</w:t>
            </w:r>
          </w:p>
          <w:p w14:paraId="40CF9198">
            <w:pPr>
              <w:pStyle w:val="25"/>
              <w:kinsoku w:val="0"/>
              <w:overflowPunct w:val="0"/>
              <w:spacing w:before="154"/>
              <w:ind w:right="1"/>
              <w:jc w:val="center"/>
              <w:rPr>
                <w:rFonts w:hint="default" w:ascii="Times New Roman" w:eastAsia="Times New Roman"/>
                <w:color w:val="auto"/>
              </w:rPr>
            </w:pPr>
            <w:r>
              <w:rPr>
                <w:rFonts w:cs="宋体"/>
                <w:color w:val="auto"/>
              </w:rPr>
              <w:t>证书号</w:t>
            </w:r>
          </w:p>
        </w:tc>
        <w:tc>
          <w:tcPr>
            <w:tcW w:w="2265" w:type="dxa"/>
            <w:tcBorders>
              <w:top w:val="single" w:color="000000" w:sz="10" w:space="0"/>
              <w:left w:val="single" w:color="000000" w:sz="4" w:space="0"/>
              <w:bottom w:val="single" w:color="000000" w:sz="4" w:space="0"/>
              <w:right w:val="single" w:color="000000" w:sz="4" w:space="0"/>
              <w:tl2br w:val="nil"/>
              <w:tr2bl w:val="nil"/>
            </w:tcBorders>
            <w:vAlign w:val="top"/>
          </w:tcPr>
          <w:p w14:paraId="7A73DF70">
            <w:pPr>
              <w:pStyle w:val="25"/>
              <w:kinsoku w:val="0"/>
              <w:overflowPunct w:val="0"/>
              <w:spacing w:before="42"/>
              <w:ind w:right="1"/>
              <w:jc w:val="center"/>
              <w:rPr>
                <w:rFonts w:hint="default" w:cs="宋体"/>
                <w:color w:val="auto"/>
              </w:rPr>
            </w:pPr>
            <w:r>
              <w:rPr>
                <w:rFonts w:cs="宋体"/>
                <w:color w:val="auto"/>
              </w:rPr>
              <w:t>节能产品认证证书</w:t>
            </w:r>
          </w:p>
          <w:p w14:paraId="36647EDF">
            <w:pPr>
              <w:pStyle w:val="25"/>
              <w:kinsoku w:val="0"/>
              <w:overflowPunct w:val="0"/>
              <w:spacing w:before="154"/>
              <w:ind w:right="1"/>
              <w:jc w:val="center"/>
              <w:rPr>
                <w:rFonts w:hint="default" w:ascii="Times New Roman" w:eastAsia="Times New Roman"/>
                <w:color w:val="auto"/>
              </w:rPr>
            </w:pPr>
            <w:r>
              <w:rPr>
                <w:rFonts w:cs="宋体"/>
                <w:color w:val="auto"/>
              </w:rPr>
              <w:t>有效截止日期</w:t>
            </w:r>
          </w:p>
        </w:tc>
        <w:tc>
          <w:tcPr>
            <w:tcW w:w="1337" w:type="dxa"/>
            <w:tcBorders>
              <w:top w:val="single" w:color="000000" w:sz="10" w:space="0"/>
              <w:left w:val="single" w:color="000000" w:sz="4" w:space="0"/>
              <w:bottom w:val="single" w:color="000000" w:sz="4" w:space="0"/>
              <w:right w:val="single" w:color="000000" w:sz="10" w:space="0"/>
              <w:tl2br w:val="nil"/>
              <w:tr2bl w:val="nil"/>
            </w:tcBorders>
            <w:vAlign w:val="top"/>
          </w:tcPr>
          <w:p w14:paraId="00844C17">
            <w:pPr>
              <w:pStyle w:val="25"/>
              <w:kinsoku w:val="0"/>
              <w:overflowPunct w:val="0"/>
              <w:spacing w:before="42"/>
              <w:ind w:left="422"/>
              <w:rPr>
                <w:rFonts w:hint="default" w:ascii="Times New Roman" w:eastAsia="Times New Roman"/>
                <w:color w:val="auto"/>
              </w:rPr>
            </w:pPr>
            <w:r>
              <w:rPr>
                <w:rFonts w:cs="宋体"/>
                <w:color w:val="auto"/>
              </w:rPr>
              <w:t>价格</w:t>
            </w:r>
          </w:p>
        </w:tc>
      </w:tr>
      <w:tr w14:paraId="3695652C">
        <w:tblPrEx>
          <w:tblCellMar>
            <w:top w:w="0" w:type="dxa"/>
            <w:left w:w="108" w:type="dxa"/>
            <w:bottom w:w="0" w:type="dxa"/>
            <w:right w:w="108" w:type="dxa"/>
          </w:tblCellMar>
        </w:tblPrEx>
        <w:trPr>
          <w:trHeight w:val="946" w:hRule="exact"/>
          <w:jc w:val="center"/>
        </w:trPr>
        <w:tc>
          <w:tcPr>
            <w:tcW w:w="876" w:type="dxa"/>
            <w:tcBorders>
              <w:top w:val="single" w:color="000000" w:sz="4" w:space="0"/>
              <w:left w:val="single" w:color="000000" w:sz="10" w:space="0"/>
              <w:bottom w:val="single" w:color="000000" w:sz="4" w:space="0"/>
              <w:right w:val="single" w:color="000000" w:sz="4" w:space="0"/>
              <w:tl2br w:val="nil"/>
              <w:tr2bl w:val="nil"/>
            </w:tcBorders>
            <w:vAlign w:val="top"/>
          </w:tcPr>
          <w:p w14:paraId="1AC58482">
            <w:pPr>
              <w:pStyle w:val="25"/>
              <w:kinsoku w:val="0"/>
              <w:overflowPunct w:val="0"/>
              <w:rPr>
                <w:rFonts w:hint="default" w:cs="宋体"/>
                <w:color w:val="auto"/>
              </w:rPr>
            </w:pPr>
          </w:p>
          <w:p w14:paraId="32B7A23E">
            <w:pPr>
              <w:pStyle w:val="25"/>
              <w:kinsoku w:val="0"/>
              <w:overflowPunct w:val="0"/>
              <w:spacing w:before="195"/>
              <w:ind w:right="68"/>
              <w:jc w:val="center"/>
              <w:rPr>
                <w:rFonts w:hint="default" w:ascii="Times New Roman" w:eastAsia="Times New Roman"/>
                <w:color w:val="auto"/>
              </w:rPr>
            </w:pPr>
            <w:r>
              <w:rPr>
                <w:rFonts w:cs="宋体"/>
                <w:color w:val="auto"/>
              </w:rPr>
              <w:t>1</w:t>
            </w:r>
          </w:p>
        </w:tc>
        <w:tc>
          <w:tcPr>
            <w:tcW w:w="1524" w:type="dxa"/>
            <w:tcBorders>
              <w:top w:val="single" w:color="000000" w:sz="4" w:space="0"/>
              <w:left w:val="single" w:color="000000" w:sz="4" w:space="0"/>
              <w:bottom w:val="single" w:color="000000" w:sz="4" w:space="0"/>
              <w:right w:val="single" w:color="000000" w:sz="4" w:space="0"/>
              <w:tl2br w:val="nil"/>
              <w:tr2bl w:val="nil"/>
            </w:tcBorders>
            <w:vAlign w:val="top"/>
          </w:tcPr>
          <w:p w14:paraId="367F1FE9">
            <w:pPr>
              <w:rPr>
                <w:rFonts w:hint="default" w:ascii="Times New Roman" w:eastAsia="Times New Roman"/>
                <w:color w:val="auto"/>
              </w:rPr>
            </w:pPr>
          </w:p>
        </w:tc>
        <w:tc>
          <w:tcPr>
            <w:tcW w:w="1337" w:type="dxa"/>
            <w:tcBorders>
              <w:top w:val="single" w:color="000000" w:sz="4" w:space="0"/>
              <w:left w:val="single" w:color="000000" w:sz="4" w:space="0"/>
              <w:bottom w:val="single" w:color="000000" w:sz="4" w:space="0"/>
              <w:right w:val="single" w:color="000000" w:sz="4" w:space="0"/>
              <w:tl2br w:val="nil"/>
              <w:tr2bl w:val="nil"/>
            </w:tcBorders>
            <w:vAlign w:val="top"/>
          </w:tcPr>
          <w:p w14:paraId="06656896">
            <w:pPr>
              <w:rPr>
                <w:rFonts w:hint="default" w:ascii="Times New Roman" w:eastAsia="Times New Roman"/>
                <w:color w:val="auto"/>
              </w:rPr>
            </w:pPr>
          </w:p>
        </w:tc>
        <w:tc>
          <w:tcPr>
            <w:tcW w:w="1483" w:type="dxa"/>
            <w:tcBorders>
              <w:top w:val="single" w:color="000000" w:sz="4" w:space="0"/>
              <w:left w:val="single" w:color="000000" w:sz="4" w:space="0"/>
              <w:bottom w:val="single" w:color="000000" w:sz="4" w:space="0"/>
              <w:right w:val="single" w:color="000000" w:sz="4" w:space="0"/>
              <w:tl2br w:val="nil"/>
              <w:tr2bl w:val="nil"/>
            </w:tcBorders>
            <w:vAlign w:val="top"/>
          </w:tcPr>
          <w:p w14:paraId="648F92F3">
            <w:pPr>
              <w:rPr>
                <w:rFonts w:hint="default" w:ascii="Times New Roman" w:eastAsia="Times New Roman"/>
                <w:color w:val="auto"/>
              </w:rPr>
            </w:pPr>
          </w:p>
        </w:tc>
        <w:tc>
          <w:tcPr>
            <w:tcW w:w="1791" w:type="dxa"/>
            <w:tcBorders>
              <w:top w:val="single" w:color="000000" w:sz="4" w:space="0"/>
              <w:left w:val="single" w:color="000000" w:sz="4" w:space="0"/>
              <w:bottom w:val="single" w:color="000000" w:sz="4" w:space="0"/>
              <w:right w:val="single" w:color="000000" w:sz="4" w:space="0"/>
              <w:tl2br w:val="nil"/>
              <w:tr2bl w:val="nil"/>
            </w:tcBorders>
            <w:vAlign w:val="top"/>
          </w:tcPr>
          <w:p w14:paraId="4D127A44">
            <w:pPr>
              <w:rPr>
                <w:rFonts w:hint="default" w:ascii="Times New Roman" w:eastAsia="Times New Roman"/>
                <w:color w:val="auto"/>
              </w:rPr>
            </w:pPr>
          </w:p>
        </w:tc>
        <w:tc>
          <w:tcPr>
            <w:tcW w:w="2265" w:type="dxa"/>
            <w:tcBorders>
              <w:top w:val="single" w:color="000000" w:sz="4" w:space="0"/>
              <w:left w:val="single" w:color="000000" w:sz="4" w:space="0"/>
              <w:bottom w:val="single" w:color="000000" w:sz="4" w:space="0"/>
              <w:right w:val="single" w:color="000000" w:sz="4" w:space="0"/>
              <w:tl2br w:val="nil"/>
              <w:tr2bl w:val="nil"/>
            </w:tcBorders>
            <w:vAlign w:val="top"/>
          </w:tcPr>
          <w:p w14:paraId="32568491">
            <w:pPr>
              <w:rPr>
                <w:rFonts w:hint="default" w:ascii="Times New Roman" w:eastAsia="Times New Roman"/>
                <w:color w:val="auto"/>
              </w:rPr>
            </w:pPr>
          </w:p>
        </w:tc>
        <w:tc>
          <w:tcPr>
            <w:tcW w:w="1337" w:type="dxa"/>
            <w:tcBorders>
              <w:top w:val="single" w:color="000000" w:sz="4" w:space="0"/>
              <w:left w:val="single" w:color="000000" w:sz="4" w:space="0"/>
              <w:bottom w:val="single" w:color="000000" w:sz="4" w:space="0"/>
              <w:right w:val="single" w:color="000000" w:sz="10" w:space="0"/>
              <w:tl2br w:val="nil"/>
              <w:tr2bl w:val="nil"/>
            </w:tcBorders>
            <w:vAlign w:val="top"/>
          </w:tcPr>
          <w:p w14:paraId="6967DFA3">
            <w:pPr>
              <w:rPr>
                <w:rFonts w:hint="default" w:ascii="Times New Roman" w:eastAsia="Times New Roman"/>
                <w:color w:val="auto"/>
              </w:rPr>
            </w:pPr>
          </w:p>
        </w:tc>
      </w:tr>
      <w:tr w14:paraId="0FD55562">
        <w:tblPrEx>
          <w:tblCellMar>
            <w:top w:w="0" w:type="dxa"/>
            <w:left w:w="108" w:type="dxa"/>
            <w:bottom w:w="0" w:type="dxa"/>
            <w:right w:w="108" w:type="dxa"/>
          </w:tblCellMar>
        </w:tblPrEx>
        <w:trPr>
          <w:trHeight w:val="946" w:hRule="exact"/>
          <w:jc w:val="center"/>
        </w:trPr>
        <w:tc>
          <w:tcPr>
            <w:tcW w:w="876" w:type="dxa"/>
            <w:tcBorders>
              <w:top w:val="single" w:color="000000" w:sz="4" w:space="0"/>
              <w:left w:val="single" w:color="000000" w:sz="10" w:space="0"/>
              <w:bottom w:val="single" w:color="000000" w:sz="4" w:space="0"/>
              <w:right w:val="single" w:color="000000" w:sz="4" w:space="0"/>
              <w:tl2br w:val="nil"/>
              <w:tr2bl w:val="nil"/>
            </w:tcBorders>
            <w:vAlign w:val="top"/>
          </w:tcPr>
          <w:p w14:paraId="131AF0DE">
            <w:pPr>
              <w:pStyle w:val="25"/>
              <w:kinsoku w:val="0"/>
              <w:overflowPunct w:val="0"/>
              <w:rPr>
                <w:rFonts w:hint="default" w:cs="宋体"/>
                <w:color w:val="auto"/>
              </w:rPr>
            </w:pPr>
          </w:p>
          <w:p w14:paraId="2B025455">
            <w:pPr>
              <w:pStyle w:val="25"/>
              <w:kinsoku w:val="0"/>
              <w:overflowPunct w:val="0"/>
              <w:spacing w:before="194"/>
              <w:ind w:right="68"/>
              <w:jc w:val="center"/>
              <w:rPr>
                <w:rFonts w:hint="default" w:ascii="Times New Roman" w:eastAsia="Times New Roman"/>
                <w:color w:val="auto"/>
              </w:rPr>
            </w:pPr>
            <w:r>
              <w:rPr>
                <w:rFonts w:cs="宋体"/>
                <w:color w:val="auto"/>
              </w:rPr>
              <w:t>2</w:t>
            </w:r>
          </w:p>
        </w:tc>
        <w:tc>
          <w:tcPr>
            <w:tcW w:w="1524" w:type="dxa"/>
            <w:tcBorders>
              <w:top w:val="single" w:color="000000" w:sz="4" w:space="0"/>
              <w:left w:val="single" w:color="000000" w:sz="4" w:space="0"/>
              <w:bottom w:val="single" w:color="000000" w:sz="4" w:space="0"/>
              <w:right w:val="single" w:color="000000" w:sz="4" w:space="0"/>
              <w:tl2br w:val="nil"/>
              <w:tr2bl w:val="nil"/>
            </w:tcBorders>
            <w:vAlign w:val="top"/>
          </w:tcPr>
          <w:p w14:paraId="73A845EE">
            <w:pPr>
              <w:rPr>
                <w:rFonts w:hint="default" w:ascii="Times New Roman" w:eastAsia="Times New Roman"/>
                <w:color w:val="auto"/>
              </w:rPr>
            </w:pPr>
          </w:p>
        </w:tc>
        <w:tc>
          <w:tcPr>
            <w:tcW w:w="1337" w:type="dxa"/>
            <w:tcBorders>
              <w:top w:val="single" w:color="000000" w:sz="4" w:space="0"/>
              <w:left w:val="single" w:color="000000" w:sz="4" w:space="0"/>
              <w:bottom w:val="single" w:color="000000" w:sz="4" w:space="0"/>
              <w:right w:val="single" w:color="000000" w:sz="4" w:space="0"/>
              <w:tl2br w:val="nil"/>
              <w:tr2bl w:val="nil"/>
            </w:tcBorders>
            <w:vAlign w:val="top"/>
          </w:tcPr>
          <w:p w14:paraId="2AB3B495">
            <w:pPr>
              <w:rPr>
                <w:rFonts w:hint="default" w:ascii="Times New Roman" w:eastAsia="Times New Roman"/>
                <w:color w:val="auto"/>
              </w:rPr>
            </w:pPr>
          </w:p>
        </w:tc>
        <w:tc>
          <w:tcPr>
            <w:tcW w:w="1483" w:type="dxa"/>
            <w:tcBorders>
              <w:top w:val="single" w:color="000000" w:sz="4" w:space="0"/>
              <w:left w:val="single" w:color="000000" w:sz="4" w:space="0"/>
              <w:bottom w:val="single" w:color="000000" w:sz="4" w:space="0"/>
              <w:right w:val="single" w:color="000000" w:sz="4" w:space="0"/>
              <w:tl2br w:val="nil"/>
              <w:tr2bl w:val="nil"/>
            </w:tcBorders>
            <w:vAlign w:val="top"/>
          </w:tcPr>
          <w:p w14:paraId="16DBECAE">
            <w:pPr>
              <w:rPr>
                <w:rFonts w:hint="default" w:ascii="Times New Roman" w:eastAsia="Times New Roman"/>
                <w:color w:val="auto"/>
              </w:rPr>
            </w:pPr>
          </w:p>
        </w:tc>
        <w:tc>
          <w:tcPr>
            <w:tcW w:w="1791" w:type="dxa"/>
            <w:tcBorders>
              <w:top w:val="single" w:color="000000" w:sz="4" w:space="0"/>
              <w:left w:val="single" w:color="000000" w:sz="4" w:space="0"/>
              <w:bottom w:val="single" w:color="000000" w:sz="4" w:space="0"/>
              <w:right w:val="single" w:color="000000" w:sz="4" w:space="0"/>
              <w:tl2br w:val="nil"/>
              <w:tr2bl w:val="nil"/>
            </w:tcBorders>
            <w:vAlign w:val="top"/>
          </w:tcPr>
          <w:p w14:paraId="2D1AC19A">
            <w:pPr>
              <w:rPr>
                <w:rFonts w:hint="default" w:ascii="Times New Roman" w:eastAsia="Times New Roman"/>
                <w:color w:val="auto"/>
              </w:rPr>
            </w:pPr>
          </w:p>
        </w:tc>
        <w:tc>
          <w:tcPr>
            <w:tcW w:w="2265" w:type="dxa"/>
            <w:tcBorders>
              <w:top w:val="single" w:color="000000" w:sz="4" w:space="0"/>
              <w:left w:val="single" w:color="000000" w:sz="4" w:space="0"/>
              <w:bottom w:val="single" w:color="000000" w:sz="4" w:space="0"/>
              <w:right w:val="single" w:color="000000" w:sz="4" w:space="0"/>
              <w:tl2br w:val="nil"/>
              <w:tr2bl w:val="nil"/>
            </w:tcBorders>
            <w:vAlign w:val="top"/>
          </w:tcPr>
          <w:p w14:paraId="23A883EF">
            <w:pPr>
              <w:rPr>
                <w:rFonts w:hint="default" w:ascii="Times New Roman" w:eastAsia="Times New Roman"/>
                <w:color w:val="auto"/>
              </w:rPr>
            </w:pPr>
          </w:p>
        </w:tc>
        <w:tc>
          <w:tcPr>
            <w:tcW w:w="1337" w:type="dxa"/>
            <w:tcBorders>
              <w:top w:val="single" w:color="000000" w:sz="4" w:space="0"/>
              <w:left w:val="single" w:color="000000" w:sz="4" w:space="0"/>
              <w:bottom w:val="single" w:color="000000" w:sz="4" w:space="0"/>
              <w:right w:val="single" w:color="000000" w:sz="10" w:space="0"/>
              <w:tl2br w:val="nil"/>
              <w:tr2bl w:val="nil"/>
            </w:tcBorders>
            <w:vAlign w:val="top"/>
          </w:tcPr>
          <w:p w14:paraId="5E843785">
            <w:pPr>
              <w:rPr>
                <w:rFonts w:hint="default" w:ascii="Times New Roman" w:eastAsia="Times New Roman"/>
                <w:color w:val="auto"/>
              </w:rPr>
            </w:pPr>
          </w:p>
        </w:tc>
      </w:tr>
      <w:tr w14:paraId="1183DAFE">
        <w:tblPrEx>
          <w:tblCellMar>
            <w:top w:w="0" w:type="dxa"/>
            <w:left w:w="108" w:type="dxa"/>
            <w:bottom w:w="0" w:type="dxa"/>
            <w:right w:w="108" w:type="dxa"/>
          </w:tblCellMar>
        </w:tblPrEx>
        <w:trPr>
          <w:trHeight w:val="946" w:hRule="exact"/>
          <w:jc w:val="center"/>
        </w:trPr>
        <w:tc>
          <w:tcPr>
            <w:tcW w:w="876" w:type="dxa"/>
            <w:tcBorders>
              <w:top w:val="single" w:color="000000" w:sz="4" w:space="0"/>
              <w:left w:val="single" w:color="000000" w:sz="10" w:space="0"/>
              <w:bottom w:val="single" w:color="000000" w:sz="4" w:space="0"/>
              <w:right w:val="single" w:color="000000" w:sz="4" w:space="0"/>
              <w:tl2br w:val="nil"/>
              <w:tr2bl w:val="nil"/>
            </w:tcBorders>
            <w:vAlign w:val="top"/>
          </w:tcPr>
          <w:p w14:paraId="676C60D1">
            <w:pPr>
              <w:pStyle w:val="25"/>
              <w:kinsoku w:val="0"/>
              <w:overflowPunct w:val="0"/>
              <w:rPr>
                <w:rFonts w:hint="default" w:cs="宋体"/>
                <w:color w:val="auto"/>
              </w:rPr>
            </w:pPr>
          </w:p>
          <w:p w14:paraId="422E8068">
            <w:pPr>
              <w:pStyle w:val="25"/>
              <w:kinsoku w:val="0"/>
              <w:overflowPunct w:val="0"/>
              <w:spacing w:before="194"/>
              <w:ind w:right="68"/>
              <w:jc w:val="center"/>
              <w:rPr>
                <w:rFonts w:hint="default" w:ascii="Times New Roman" w:eastAsia="Times New Roman"/>
                <w:color w:val="auto"/>
              </w:rPr>
            </w:pPr>
            <w:r>
              <w:rPr>
                <w:rFonts w:cs="宋体"/>
                <w:color w:val="auto"/>
              </w:rPr>
              <w:t>3</w:t>
            </w:r>
          </w:p>
        </w:tc>
        <w:tc>
          <w:tcPr>
            <w:tcW w:w="1524" w:type="dxa"/>
            <w:tcBorders>
              <w:top w:val="single" w:color="000000" w:sz="4" w:space="0"/>
              <w:left w:val="single" w:color="000000" w:sz="4" w:space="0"/>
              <w:bottom w:val="single" w:color="000000" w:sz="4" w:space="0"/>
              <w:right w:val="single" w:color="000000" w:sz="4" w:space="0"/>
              <w:tl2br w:val="nil"/>
              <w:tr2bl w:val="nil"/>
            </w:tcBorders>
            <w:vAlign w:val="top"/>
          </w:tcPr>
          <w:p w14:paraId="6024263E">
            <w:pPr>
              <w:pStyle w:val="25"/>
              <w:kinsoku w:val="0"/>
              <w:overflowPunct w:val="0"/>
              <w:rPr>
                <w:rFonts w:hint="default" w:cs="宋体"/>
                <w:color w:val="auto"/>
              </w:rPr>
            </w:pPr>
          </w:p>
          <w:p w14:paraId="727271E8">
            <w:pPr>
              <w:pStyle w:val="25"/>
              <w:kinsoku w:val="0"/>
              <w:overflowPunct w:val="0"/>
              <w:spacing w:before="194"/>
              <w:ind w:left="131"/>
              <w:jc w:val="center"/>
              <w:rPr>
                <w:rFonts w:hint="default" w:ascii="Times New Roman" w:eastAsia="Times New Roman"/>
                <w:color w:val="auto"/>
              </w:rPr>
            </w:pPr>
            <w:r>
              <w:rPr>
                <w:rFonts w:cs="宋体"/>
                <w:color w:val="auto"/>
              </w:rPr>
              <w:t>…</w:t>
            </w:r>
          </w:p>
        </w:tc>
        <w:tc>
          <w:tcPr>
            <w:tcW w:w="1337" w:type="dxa"/>
            <w:tcBorders>
              <w:top w:val="single" w:color="000000" w:sz="4" w:space="0"/>
              <w:left w:val="single" w:color="000000" w:sz="4" w:space="0"/>
              <w:bottom w:val="single" w:color="000000" w:sz="4" w:space="0"/>
              <w:right w:val="single" w:color="000000" w:sz="4" w:space="0"/>
              <w:tl2br w:val="nil"/>
              <w:tr2bl w:val="nil"/>
            </w:tcBorders>
            <w:vAlign w:val="top"/>
          </w:tcPr>
          <w:p w14:paraId="0E6F37AD">
            <w:pPr>
              <w:rPr>
                <w:rFonts w:hint="default" w:ascii="Times New Roman" w:eastAsia="Times New Roman"/>
                <w:color w:val="auto"/>
              </w:rPr>
            </w:pPr>
          </w:p>
        </w:tc>
        <w:tc>
          <w:tcPr>
            <w:tcW w:w="1483" w:type="dxa"/>
            <w:tcBorders>
              <w:top w:val="single" w:color="000000" w:sz="4" w:space="0"/>
              <w:left w:val="single" w:color="000000" w:sz="4" w:space="0"/>
              <w:bottom w:val="single" w:color="000000" w:sz="4" w:space="0"/>
              <w:right w:val="single" w:color="000000" w:sz="4" w:space="0"/>
              <w:tl2br w:val="nil"/>
              <w:tr2bl w:val="nil"/>
            </w:tcBorders>
            <w:vAlign w:val="top"/>
          </w:tcPr>
          <w:p w14:paraId="7425AF9D">
            <w:pPr>
              <w:rPr>
                <w:rFonts w:hint="default" w:ascii="Times New Roman" w:eastAsia="Times New Roman"/>
                <w:color w:val="auto"/>
              </w:rPr>
            </w:pPr>
          </w:p>
        </w:tc>
        <w:tc>
          <w:tcPr>
            <w:tcW w:w="1791" w:type="dxa"/>
            <w:tcBorders>
              <w:top w:val="single" w:color="000000" w:sz="4" w:space="0"/>
              <w:left w:val="single" w:color="000000" w:sz="4" w:space="0"/>
              <w:bottom w:val="single" w:color="000000" w:sz="4" w:space="0"/>
              <w:right w:val="single" w:color="000000" w:sz="4" w:space="0"/>
              <w:tl2br w:val="nil"/>
              <w:tr2bl w:val="nil"/>
            </w:tcBorders>
            <w:vAlign w:val="top"/>
          </w:tcPr>
          <w:p w14:paraId="4A5EC391">
            <w:pPr>
              <w:rPr>
                <w:rFonts w:hint="default" w:ascii="Times New Roman" w:eastAsia="Times New Roman"/>
                <w:color w:val="auto"/>
              </w:rPr>
            </w:pPr>
          </w:p>
        </w:tc>
        <w:tc>
          <w:tcPr>
            <w:tcW w:w="2265" w:type="dxa"/>
            <w:tcBorders>
              <w:top w:val="single" w:color="000000" w:sz="4" w:space="0"/>
              <w:left w:val="single" w:color="000000" w:sz="4" w:space="0"/>
              <w:bottom w:val="single" w:color="000000" w:sz="4" w:space="0"/>
              <w:right w:val="single" w:color="000000" w:sz="4" w:space="0"/>
              <w:tl2br w:val="nil"/>
              <w:tr2bl w:val="nil"/>
            </w:tcBorders>
            <w:vAlign w:val="top"/>
          </w:tcPr>
          <w:p w14:paraId="36694523">
            <w:pPr>
              <w:rPr>
                <w:rFonts w:hint="default" w:ascii="Times New Roman" w:eastAsia="Times New Roman"/>
                <w:color w:val="auto"/>
              </w:rPr>
            </w:pPr>
          </w:p>
        </w:tc>
        <w:tc>
          <w:tcPr>
            <w:tcW w:w="1337" w:type="dxa"/>
            <w:tcBorders>
              <w:top w:val="single" w:color="000000" w:sz="4" w:space="0"/>
              <w:left w:val="single" w:color="000000" w:sz="4" w:space="0"/>
              <w:bottom w:val="single" w:color="000000" w:sz="4" w:space="0"/>
              <w:right w:val="single" w:color="000000" w:sz="10" w:space="0"/>
              <w:tl2br w:val="nil"/>
              <w:tr2bl w:val="nil"/>
            </w:tcBorders>
            <w:vAlign w:val="top"/>
          </w:tcPr>
          <w:p w14:paraId="1D04D08D">
            <w:pPr>
              <w:rPr>
                <w:rFonts w:hint="default" w:ascii="Times New Roman" w:eastAsia="Times New Roman"/>
                <w:color w:val="auto"/>
              </w:rPr>
            </w:pPr>
          </w:p>
        </w:tc>
      </w:tr>
      <w:tr w14:paraId="6EDB6D53">
        <w:tblPrEx>
          <w:tblCellMar>
            <w:top w:w="0" w:type="dxa"/>
            <w:left w:w="108" w:type="dxa"/>
            <w:bottom w:w="0" w:type="dxa"/>
            <w:right w:w="108" w:type="dxa"/>
          </w:tblCellMar>
        </w:tblPrEx>
        <w:trPr>
          <w:trHeight w:val="956" w:hRule="exact"/>
          <w:jc w:val="center"/>
        </w:trPr>
        <w:tc>
          <w:tcPr>
            <w:tcW w:w="876" w:type="dxa"/>
            <w:tcBorders>
              <w:top w:val="single" w:color="000000" w:sz="4" w:space="0"/>
              <w:left w:val="single" w:color="000000" w:sz="10" w:space="0"/>
              <w:bottom w:val="single" w:color="000000" w:sz="10" w:space="0"/>
              <w:right w:val="single" w:color="000000" w:sz="4" w:space="0"/>
              <w:tl2br w:val="nil"/>
              <w:tr2bl w:val="nil"/>
            </w:tcBorders>
            <w:vAlign w:val="top"/>
          </w:tcPr>
          <w:p w14:paraId="352517CC">
            <w:pPr>
              <w:pStyle w:val="25"/>
              <w:kinsoku w:val="0"/>
              <w:overflowPunct w:val="0"/>
              <w:rPr>
                <w:rFonts w:hint="default" w:cs="宋体"/>
                <w:color w:val="auto"/>
              </w:rPr>
            </w:pPr>
          </w:p>
          <w:p w14:paraId="1408D48B">
            <w:pPr>
              <w:pStyle w:val="25"/>
              <w:kinsoku w:val="0"/>
              <w:overflowPunct w:val="0"/>
              <w:spacing w:before="194"/>
              <w:ind w:right="68"/>
              <w:jc w:val="center"/>
              <w:rPr>
                <w:rFonts w:hint="default" w:ascii="Times New Roman" w:eastAsia="Times New Roman"/>
                <w:color w:val="auto"/>
              </w:rPr>
            </w:pPr>
            <w:r>
              <w:rPr>
                <w:rFonts w:cs="宋体"/>
                <w:color w:val="auto"/>
              </w:rPr>
              <w:t>4</w:t>
            </w:r>
          </w:p>
        </w:tc>
        <w:tc>
          <w:tcPr>
            <w:tcW w:w="1524" w:type="dxa"/>
            <w:tcBorders>
              <w:top w:val="single" w:color="000000" w:sz="4" w:space="0"/>
              <w:left w:val="single" w:color="000000" w:sz="4" w:space="0"/>
              <w:bottom w:val="single" w:color="000000" w:sz="10" w:space="0"/>
              <w:right w:val="single" w:color="000000" w:sz="4" w:space="0"/>
              <w:tl2br w:val="nil"/>
              <w:tr2bl w:val="nil"/>
            </w:tcBorders>
            <w:vAlign w:val="top"/>
          </w:tcPr>
          <w:p w14:paraId="03288598">
            <w:pPr>
              <w:pStyle w:val="25"/>
              <w:kinsoku w:val="0"/>
              <w:overflowPunct w:val="0"/>
              <w:rPr>
                <w:rFonts w:hint="default" w:cs="宋体"/>
                <w:color w:val="auto"/>
                <w:sz w:val="21"/>
                <w:szCs w:val="21"/>
              </w:rPr>
            </w:pPr>
          </w:p>
          <w:p w14:paraId="334C5BCC">
            <w:pPr>
              <w:pStyle w:val="25"/>
              <w:kinsoku w:val="0"/>
              <w:overflowPunct w:val="0"/>
              <w:ind w:left="534"/>
              <w:rPr>
                <w:rFonts w:hint="default" w:ascii="Times New Roman" w:eastAsia="Times New Roman"/>
                <w:color w:val="auto"/>
              </w:rPr>
            </w:pPr>
            <w:r>
              <w:rPr>
                <w:rFonts w:cs="宋体"/>
                <w:color w:val="auto"/>
              </w:rPr>
              <w:t>合计</w:t>
            </w:r>
          </w:p>
        </w:tc>
        <w:tc>
          <w:tcPr>
            <w:tcW w:w="1337" w:type="dxa"/>
            <w:tcBorders>
              <w:top w:val="single" w:color="000000" w:sz="4" w:space="0"/>
              <w:left w:val="single" w:color="000000" w:sz="4" w:space="0"/>
              <w:bottom w:val="single" w:color="000000" w:sz="10" w:space="0"/>
              <w:right w:val="single" w:color="000000" w:sz="4" w:space="0"/>
              <w:tl2br w:val="nil"/>
              <w:tr2bl w:val="nil"/>
            </w:tcBorders>
            <w:vAlign w:val="top"/>
          </w:tcPr>
          <w:p w14:paraId="16F395A3">
            <w:pPr>
              <w:rPr>
                <w:rFonts w:hint="default" w:ascii="Times New Roman" w:eastAsia="Times New Roman"/>
                <w:color w:val="auto"/>
              </w:rPr>
            </w:pPr>
          </w:p>
        </w:tc>
        <w:tc>
          <w:tcPr>
            <w:tcW w:w="1483" w:type="dxa"/>
            <w:tcBorders>
              <w:top w:val="single" w:color="000000" w:sz="4" w:space="0"/>
              <w:left w:val="single" w:color="000000" w:sz="4" w:space="0"/>
              <w:bottom w:val="single" w:color="000000" w:sz="10" w:space="0"/>
              <w:right w:val="single" w:color="000000" w:sz="4" w:space="0"/>
              <w:tl2br w:val="nil"/>
              <w:tr2bl w:val="nil"/>
            </w:tcBorders>
            <w:vAlign w:val="top"/>
          </w:tcPr>
          <w:p w14:paraId="53ACE216">
            <w:pPr>
              <w:rPr>
                <w:rFonts w:hint="default" w:ascii="Times New Roman" w:eastAsia="Times New Roman"/>
                <w:color w:val="auto"/>
              </w:rPr>
            </w:pPr>
          </w:p>
        </w:tc>
        <w:tc>
          <w:tcPr>
            <w:tcW w:w="1791" w:type="dxa"/>
            <w:tcBorders>
              <w:top w:val="single" w:color="000000" w:sz="4" w:space="0"/>
              <w:left w:val="single" w:color="000000" w:sz="4" w:space="0"/>
              <w:bottom w:val="single" w:color="000000" w:sz="10" w:space="0"/>
              <w:right w:val="single" w:color="000000" w:sz="4" w:space="0"/>
              <w:tl2br w:val="nil"/>
              <w:tr2bl w:val="nil"/>
            </w:tcBorders>
            <w:vAlign w:val="top"/>
          </w:tcPr>
          <w:p w14:paraId="5F046108">
            <w:pPr>
              <w:rPr>
                <w:rFonts w:hint="default" w:ascii="Times New Roman" w:eastAsia="Times New Roman"/>
                <w:color w:val="auto"/>
              </w:rPr>
            </w:pPr>
          </w:p>
        </w:tc>
        <w:tc>
          <w:tcPr>
            <w:tcW w:w="2265" w:type="dxa"/>
            <w:tcBorders>
              <w:top w:val="single" w:color="000000" w:sz="4" w:space="0"/>
              <w:left w:val="single" w:color="000000" w:sz="4" w:space="0"/>
              <w:bottom w:val="single" w:color="000000" w:sz="10" w:space="0"/>
              <w:right w:val="single" w:color="000000" w:sz="4" w:space="0"/>
              <w:tl2br w:val="nil"/>
              <w:tr2bl w:val="nil"/>
            </w:tcBorders>
            <w:vAlign w:val="top"/>
          </w:tcPr>
          <w:p w14:paraId="539CBC32">
            <w:pPr>
              <w:rPr>
                <w:rFonts w:hint="default" w:ascii="Times New Roman" w:eastAsia="Times New Roman"/>
                <w:color w:val="auto"/>
              </w:rPr>
            </w:pPr>
          </w:p>
        </w:tc>
        <w:tc>
          <w:tcPr>
            <w:tcW w:w="1337" w:type="dxa"/>
            <w:tcBorders>
              <w:top w:val="single" w:color="000000" w:sz="4" w:space="0"/>
              <w:left w:val="single" w:color="000000" w:sz="4" w:space="0"/>
              <w:bottom w:val="single" w:color="000000" w:sz="10" w:space="0"/>
              <w:right w:val="single" w:color="000000" w:sz="10" w:space="0"/>
              <w:tl2br w:val="nil"/>
              <w:tr2bl w:val="nil"/>
            </w:tcBorders>
            <w:vAlign w:val="top"/>
          </w:tcPr>
          <w:p w14:paraId="659E0D85">
            <w:pPr>
              <w:rPr>
                <w:rFonts w:hint="default" w:ascii="Times New Roman" w:eastAsia="Times New Roman"/>
                <w:color w:val="auto"/>
              </w:rPr>
            </w:pPr>
          </w:p>
        </w:tc>
      </w:tr>
    </w:tbl>
    <w:p w14:paraId="749019B0">
      <w:pPr>
        <w:pStyle w:val="8"/>
        <w:kinsoku w:val="0"/>
        <w:overflowPunct w:val="0"/>
        <w:spacing w:before="42" w:line="357" w:lineRule="auto"/>
        <w:ind w:right="405"/>
        <w:rPr>
          <w:rFonts w:hint="default"/>
          <w:color w:val="auto"/>
          <w:spacing w:val="-7"/>
        </w:rPr>
      </w:pPr>
      <w:r>
        <w:rPr>
          <w:color w:val="auto"/>
        </w:rPr>
        <w:t xml:space="preserve">说明： </w:t>
      </w:r>
      <w:r>
        <w:rPr>
          <w:color w:val="auto"/>
          <w:spacing w:val="-7"/>
        </w:rPr>
        <w:t>1、节能产品根据财政部、国家发展改革委最新公布的节能产品政府采购清单确定。</w:t>
      </w:r>
    </w:p>
    <w:p w14:paraId="210681AE">
      <w:pPr>
        <w:pStyle w:val="8"/>
        <w:kinsoku w:val="0"/>
        <w:overflowPunct w:val="0"/>
        <w:spacing w:line="350" w:lineRule="auto"/>
        <w:ind w:right="405"/>
        <w:rPr>
          <w:rFonts w:hint="default"/>
          <w:color w:val="auto"/>
        </w:rPr>
      </w:pPr>
      <w:r>
        <w:rPr>
          <w:rFonts w:ascii="Times New Roman" w:eastAsia="Times New Roman" w:cs="Times New Roman"/>
          <w:color w:val="auto"/>
          <w:spacing w:val="-4"/>
        </w:rPr>
        <w:t>2</w:t>
      </w:r>
      <w:r>
        <w:rPr>
          <w:color w:val="auto"/>
          <w:spacing w:val="-4"/>
        </w:rPr>
        <w:t>、如所投产品为节能产品，须提供所投产品在最新公布的节能产品政府采购清单</w:t>
      </w:r>
      <w:r>
        <w:rPr>
          <w:color w:val="auto"/>
          <w:spacing w:val="-94"/>
        </w:rPr>
        <w:t xml:space="preserve"> </w:t>
      </w:r>
      <w:r>
        <w:rPr>
          <w:color w:val="auto"/>
        </w:rPr>
        <w:t xml:space="preserve">所在页扫描件或相关网页截图，否则评审时不予认可。 </w:t>
      </w:r>
      <w:r>
        <w:rPr>
          <w:color w:val="auto"/>
          <w:spacing w:val="-4"/>
        </w:rPr>
        <w:t>3、如所投产品为节能产品，须按规定格式逐项填写，否则评审时不予认可。如所</w:t>
      </w:r>
      <w:r>
        <w:rPr>
          <w:color w:val="auto"/>
          <w:spacing w:val="-95"/>
        </w:rPr>
        <w:t xml:space="preserve"> </w:t>
      </w:r>
      <w:r>
        <w:rPr>
          <w:color w:val="auto"/>
        </w:rPr>
        <w:t>投产品不是节能产品，可不填此表。</w:t>
      </w:r>
    </w:p>
    <w:p w14:paraId="1F5E3B4A">
      <w:pPr>
        <w:pStyle w:val="8"/>
        <w:kinsoku w:val="0"/>
        <w:overflowPunct w:val="0"/>
        <w:spacing w:before="0"/>
        <w:ind w:left="0"/>
        <w:rPr>
          <w:rFonts w:hint="default"/>
          <w:color w:val="auto"/>
        </w:rPr>
      </w:pPr>
    </w:p>
    <w:p w14:paraId="06B4693C">
      <w:pPr>
        <w:pStyle w:val="8"/>
        <w:kinsoku w:val="0"/>
        <w:overflowPunct w:val="0"/>
        <w:spacing w:before="197"/>
        <w:ind w:left="0" w:right="1314"/>
        <w:jc w:val="right"/>
        <w:rPr>
          <w:rFonts w:hint="default"/>
          <w:color w:val="auto"/>
        </w:rPr>
      </w:pPr>
      <w:r>
        <w:rPr>
          <w:color w:val="auto"/>
        </w:rPr>
        <w:t>年月日</w:t>
      </w:r>
    </w:p>
    <w:p w14:paraId="66A273FD">
      <w:pPr>
        <w:pStyle w:val="8"/>
        <w:kinsoku w:val="0"/>
        <w:overflowPunct w:val="0"/>
        <w:spacing w:before="26"/>
        <w:ind w:left="0" w:right="191"/>
        <w:jc w:val="right"/>
        <w:rPr>
          <w:rFonts w:hint="default"/>
          <w:color w:val="auto"/>
        </w:rPr>
      </w:pPr>
    </w:p>
    <w:p w14:paraId="13DEF59C">
      <w:pPr>
        <w:rPr>
          <w:rFonts w:hint="default"/>
          <w:color w:val="auto"/>
        </w:rPr>
      </w:pPr>
    </w:p>
    <w:p w14:paraId="021D3D9D">
      <w:pPr>
        <w:pStyle w:val="23"/>
        <w:rPr>
          <w:rFonts w:hint="default"/>
          <w:color w:val="auto"/>
        </w:rPr>
      </w:pPr>
    </w:p>
    <w:p w14:paraId="199D4A7F">
      <w:pPr>
        <w:pStyle w:val="23"/>
        <w:rPr>
          <w:rFonts w:hint="default"/>
          <w:color w:val="auto"/>
        </w:rPr>
      </w:pPr>
    </w:p>
    <w:p w14:paraId="4D40F872">
      <w:pPr>
        <w:pStyle w:val="23"/>
        <w:rPr>
          <w:rFonts w:hint="default"/>
          <w:color w:val="auto"/>
        </w:rPr>
      </w:pPr>
    </w:p>
    <w:p w14:paraId="7119ADE6">
      <w:pPr>
        <w:pStyle w:val="23"/>
        <w:rPr>
          <w:rFonts w:hint="default"/>
          <w:color w:val="auto"/>
        </w:rPr>
      </w:pPr>
    </w:p>
    <w:p w14:paraId="38CB393E">
      <w:pPr>
        <w:pStyle w:val="23"/>
        <w:rPr>
          <w:rFonts w:hint="default"/>
          <w:color w:val="auto"/>
        </w:rPr>
      </w:pPr>
    </w:p>
    <w:p w14:paraId="504E4D77">
      <w:pPr>
        <w:pStyle w:val="23"/>
        <w:rPr>
          <w:rFonts w:hint="default"/>
          <w:color w:val="auto"/>
        </w:rPr>
      </w:pPr>
    </w:p>
    <w:p w14:paraId="3CFDBF45">
      <w:pPr>
        <w:pStyle w:val="23"/>
        <w:rPr>
          <w:rFonts w:hint="default"/>
          <w:color w:val="auto"/>
        </w:rPr>
      </w:pPr>
    </w:p>
    <w:p w14:paraId="46D1A5A4">
      <w:pPr>
        <w:pStyle w:val="23"/>
        <w:rPr>
          <w:rFonts w:hint="default"/>
          <w:color w:val="auto"/>
        </w:rPr>
      </w:pPr>
    </w:p>
    <w:p w14:paraId="5C49D426">
      <w:pPr>
        <w:pStyle w:val="23"/>
        <w:rPr>
          <w:rFonts w:hint="default"/>
          <w:color w:val="auto"/>
        </w:rPr>
      </w:pPr>
    </w:p>
    <w:p w14:paraId="7B96B034">
      <w:pPr>
        <w:pStyle w:val="8"/>
        <w:kinsoku w:val="0"/>
        <w:overflowPunct w:val="0"/>
        <w:spacing w:before="0" w:line="374" w:lineRule="auto"/>
        <w:ind w:left="520" w:right="5486"/>
        <w:rPr>
          <w:color w:val="auto"/>
        </w:rPr>
      </w:pPr>
      <w:r>
        <w:rPr>
          <w:rFonts w:hint="eastAsia"/>
          <w:color w:val="auto"/>
          <w:lang w:val="en-US" w:eastAsia="zh-CN"/>
        </w:rPr>
        <w:t>3）</w:t>
      </w:r>
      <w:r>
        <w:rPr>
          <w:color w:val="auto"/>
        </w:rPr>
        <w:t>类似项目业绩表；</w:t>
      </w:r>
    </w:p>
    <w:p w14:paraId="74F2FE70">
      <w:pPr>
        <w:pStyle w:val="8"/>
        <w:kinsoku w:val="0"/>
        <w:overflowPunct w:val="0"/>
        <w:spacing w:before="0" w:line="374" w:lineRule="auto"/>
        <w:ind w:left="520" w:right="5486"/>
        <w:rPr>
          <w:color w:val="auto"/>
        </w:rPr>
      </w:pPr>
      <w:r>
        <w:rPr>
          <w:color w:val="auto"/>
        </w:rPr>
        <w:t>附：类似项目业绩表</w:t>
      </w:r>
    </w:p>
    <w:p w14:paraId="283D2443">
      <w:pPr>
        <w:pStyle w:val="8"/>
        <w:kinsoku w:val="0"/>
        <w:overflowPunct w:val="0"/>
        <w:spacing w:before="0" w:line="374" w:lineRule="auto"/>
        <w:ind w:left="520" w:right="5486"/>
        <w:rPr>
          <w:color w:val="auto"/>
        </w:rPr>
      </w:pPr>
      <w:r>
        <w:rPr>
          <w:color w:val="auto"/>
        </w:rPr>
        <w:t>采购项目编号：</w:t>
      </w:r>
    </w:p>
    <w:p w14:paraId="38EB5425">
      <w:pPr>
        <w:pStyle w:val="8"/>
        <w:kinsoku w:val="0"/>
        <w:overflowPunct w:val="0"/>
        <w:spacing w:before="0" w:line="374" w:lineRule="auto"/>
        <w:ind w:left="520" w:right="5486"/>
        <w:rPr>
          <w:rFonts w:hint="default"/>
          <w:color w:val="auto"/>
        </w:rPr>
      </w:pPr>
      <w:r>
        <w:rPr>
          <w:color w:val="auto"/>
        </w:rPr>
        <w:t>采购项目名称：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E25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908" w:type="dxa"/>
            <w:tcBorders>
              <w:tl2br w:val="nil"/>
              <w:tr2bl w:val="nil"/>
            </w:tcBorders>
            <w:vAlign w:val="top"/>
          </w:tcPr>
          <w:p w14:paraId="03778493">
            <w:pPr>
              <w:pStyle w:val="25"/>
              <w:kinsoku w:val="0"/>
              <w:overflowPunct w:val="0"/>
              <w:spacing w:before="52"/>
              <w:ind w:left="468"/>
              <w:rPr>
                <w:rFonts w:hint="default" w:ascii="Times New Roman" w:eastAsia="Times New Roman"/>
                <w:color w:val="auto"/>
              </w:rPr>
            </w:pPr>
            <w:r>
              <w:rPr>
                <w:rFonts w:cs="宋体"/>
                <w:color w:val="auto"/>
              </w:rPr>
              <w:t>项目名称</w:t>
            </w:r>
          </w:p>
        </w:tc>
        <w:tc>
          <w:tcPr>
            <w:tcW w:w="7200" w:type="dxa"/>
            <w:tcBorders>
              <w:tl2br w:val="nil"/>
              <w:tr2bl w:val="nil"/>
            </w:tcBorders>
            <w:vAlign w:val="top"/>
          </w:tcPr>
          <w:p w14:paraId="61B74D7C">
            <w:pPr>
              <w:rPr>
                <w:rFonts w:hint="default" w:ascii="Times New Roman" w:eastAsia="Times New Roman"/>
                <w:color w:val="auto"/>
              </w:rPr>
            </w:pPr>
          </w:p>
        </w:tc>
      </w:tr>
      <w:tr w14:paraId="112B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908" w:type="dxa"/>
            <w:tcBorders>
              <w:tl2br w:val="nil"/>
              <w:tr2bl w:val="nil"/>
            </w:tcBorders>
            <w:vAlign w:val="top"/>
          </w:tcPr>
          <w:p w14:paraId="429D4197">
            <w:pPr>
              <w:pStyle w:val="25"/>
              <w:kinsoku w:val="0"/>
              <w:overflowPunct w:val="0"/>
              <w:spacing w:before="40"/>
              <w:ind w:left="228"/>
              <w:rPr>
                <w:rFonts w:hint="default" w:ascii="Times New Roman" w:eastAsia="Times New Roman"/>
                <w:color w:val="auto"/>
              </w:rPr>
            </w:pPr>
            <w:r>
              <w:rPr>
                <w:rFonts w:cs="宋体"/>
                <w:color w:val="auto"/>
              </w:rPr>
              <w:t>项目单位名称</w:t>
            </w:r>
          </w:p>
        </w:tc>
        <w:tc>
          <w:tcPr>
            <w:tcW w:w="7200" w:type="dxa"/>
            <w:tcBorders>
              <w:tl2br w:val="nil"/>
              <w:tr2bl w:val="nil"/>
            </w:tcBorders>
            <w:vAlign w:val="top"/>
          </w:tcPr>
          <w:p w14:paraId="40D3C1A1">
            <w:pPr>
              <w:rPr>
                <w:rFonts w:hint="default" w:ascii="Times New Roman" w:eastAsia="Times New Roman"/>
                <w:color w:val="auto"/>
              </w:rPr>
            </w:pPr>
          </w:p>
        </w:tc>
      </w:tr>
      <w:tr w14:paraId="3ADA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1908" w:type="dxa"/>
            <w:tcBorders>
              <w:tl2br w:val="nil"/>
              <w:tr2bl w:val="nil"/>
            </w:tcBorders>
            <w:vAlign w:val="top"/>
          </w:tcPr>
          <w:p w14:paraId="37F4900A">
            <w:pPr>
              <w:pStyle w:val="25"/>
              <w:kinsoku w:val="0"/>
              <w:overflowPunct w:val="0"/>
              <w:spacing w:line="277" w:lineRule="exact"/>
              <w:ind w:left="108"/>
              <w:rPr>
                <w:rFonts w:hint="default" w:cs="宋体"/>
                <w:color w:val="auto"/>
              </w:rPr>
            </w:pPr>
            <w:r>
              <w:rPr>
                <w:rFonts w:cs="宋体"/>
                <w:color w:val="auto"/>
              </w:rPr>
              <w:t>项目单位联系人</w:t>
            </w:r>
          </w:p>
          <w:p w14:paraId="0104CBAC">
            <w:pPr>
              <w:pStyle w:val="25"/>
              <w:kinsoku w:val="0"/>
              <w:overflowPunct w:val="0"/>
              <w:spacing w:line="313" w:lineRule="exact"/>
              <w:ind w:left="108"/>
              <w:rPr>
                <w:rFonts w:hint="default" w:ascii="Times New Roman" w:eastAsia="Times New Roman"/>
                <w:color w:val="auto"/>
              </w:rPr>
            </w:pPr>
            <w:r>
              <w:rPr>
                <w:rFonts w:cs="宋体"/>
                <w:color w:val="auto"/>
              </w:rPr>
              <w:t>姓名及联系方式</w:t>
            </w:r>
          </w:p>
        </w:tc>
        <w:tc>
          <w:tcPr>
            <w:tcW w:w="7200" w:type="dxa"/>
            <w:tcBorders>
              <w:tl2br w:val="nil"/>
              <w:tr2bl w:val="nil"/>
            </w:tcBorders>
            <w:vAlign w:val="top"/>
          </w:tcPr>
          <w:p w14:paraId="5231663A">
            <w:pPr>
              <w:rPr>
                <w:rFonts w:hint="default" w:ascii="Times New Roman" w:eastAsia="Times New Roman"/>
                <w:color w:val="auto"/>
              </w:rPr>
            </w:pPr>
          </w:p>
        </w:tc>
      </w:tr>
      <w:tr w14:paraId="69F1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908" w:type="dxa"/>
            <w:tcBorders>
              <w:tl2br w:val="nil"/>
              <w:tr2bl w:val="nil"/>
            </w:tcBorders>
            <w:vAlign w:val="top"/>
          </w:tcPr>
          <w:p w14:paraId="4E1FAA9B">
            <w:pPr>
              <w:pStyle w:val="25"/>
              <w:kinsoku w:val="0"/>
              <w:overflowPunct w:val="0"/>
              <w:spacing w:before="117"/>
              <w:ind w:left="468"/>
              <w:rPr>
                <w:rFonts w:hint="default" w:ascii="Times New Roman" w:eastAsia="Times New Roman"/>
                <w:color w:val="auto"/>
              </w:rPr>
            </w:pPr>
            <w:r>
              <w:rPr>
                <w:rFonts w:cs="宋体"/>
                <w:color w:val="auto"/>
              </w:rPr>
              <w:t>合同金额</w:t>
            </w:r>
          </w:p>
        </w:tc>
        <w:tc>
          <w:tcPr>
            <w:tcW w:w="7200" w:type="dxa"/>
            <w:tcBorders>
              <w:tl2br w:val="nil"/>
              <w:tr2bl w:val="nil"/>
            </w:tcBorders>
            <w:vAlign w:val="top"/>
          </w:tcPr>
          <w:p w14:paraId="0C02D9D0">
            <w:pPr>
              <w:rPr>
                <w:rFonts w:hint="default" w:ascii="Times New Roman" w:eastAsia="Times New Roman"/>
                <w:color w:val="auto"/>
              </w:rPr>
            </w:pPr>
          </w:p>
        </w:tc>
      </w:tr>
      <w:tr w14:paraId="3E1E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908" w:type="dxa"/>
            <w:tcBorders>
              <w:tl2br w:val="nil"/>
              <w:tr2bl w:val="nil"/>
            </w:tcBorders>
            <w:vAlign w:val="top"/>
          </w:tcPr>
          <w:p w14:paraId="2840FCE1">
            <w:pPr>
              <w:pStyle w:val="25"/>
              <w:kinsoku w:val="0"/>
              <w:overflowPunct w:val="0"/>
              <w:spacing w:line="277" w:lineRule="exact"/>
              <w:ind w:right="1"/>
              <w:jc w:val="center"/>
              <w:rPr>
                <w:rFonts w:hint="default" w:cs="宋体"/>
                <w:color w:val="auto"/>
              </w:rPr>
            </w:pPr>
            <w:r>
              <w:rPr>
                <w:rFonts w:cs="宋体"/>
                <w:color w:val="auto"/>
              </w:rPr>
              <w:t>项目负责人</w:t>
            </w:r>
          </w:p>
          <w:p w14:paraId="29C2B5F5">
            <w:pPr>
              <w:pStyle w:val="25"/>
              <w:kinsoku w:val="0"/>
              <w:overflowPunct w:val="0"/>
              <w:spacing w:line="313" w:lineRule="exact"/>
              <w:ind w:right="1"/>
              <w:jc w:val="center"/>
              <w:rPr>
                <w:rFonts w:hint="default" w:ascii="Times New Roman" w:eastAsia="Times New Roman"/>
                <w:color w:val="auto"/>
              </w:rPr>
            </w:pPr>
            <w:r>
              <w:rPr>
                <w:rFonts w:cs="宋体"/>
                <w:color w:val="auto"/>
              </w:rPr>
              <w:t>姓名</w:t>
            </w:r>
          </w:p>
        </w:tc>
        <w:tc>
          <w:tcPr>
            <w:tcW w:w="7200" w:type="dxa"/>
            <w:tcBorders>
              <w:tl2br w:val="nil"/>
              <w:tr2bl w:val="nil"/>
            </w:tcBorders>
            <w:vAlign w:val="top"/>
          </w:tcPr>
          <w:p w14:paraId="3530F005">
            <w:pPr>
              <w:rPr>
                <w:rFonts w:hint="default" w:ascii="Times New Roman" w:eastAsia="Times New Roman"/>
                <w:color w:val="auto"/>
              </w:rPr>
            </w:pPr>
          </w:p>
        </w:tc>
      </w:tr>
      <w:tr w14:paraId="5A55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908" w:type="dxa"/>
            <w:tcBorders>
              <w:tl2br w:val="nil"/>
              <w:tr2bl w:val="nil"/>
            </w:tcBorders>
            <w:vAlign w:val="top"/>
          </w:tcPr>
          <w:p w14:paraId="15BE8851">
            <w:pPr>
              <w:pStyle w:val="25"/>
              <w:kinsoku w:val="0"/>
              <w:overflowPunct w:val="0"/>
              <w:spacing w:before="40"/>
              <w:ind w:left="228"/>
              <w:rPr>
                <w:rFonts w:hint="default" w:ascii="Times New Roman" w:eastAsia="Times New Roman"/>
                <w:color w:val="auto"/>
              </w:rPr>
            </w:pPr>
            <w:r>
              <w:rPr>
                <w:rFonts w:cs="宋体"/>
                <w:color w:val="auto"/>
              </w:rPr>
              <w:t>项目实施时间</w:t>
            </w:r>
          </w:p>
        </w:tc>
        <w:tc>
          <w:tcPr>
            <w:tcW w:w="7200" w:type="dxa"/>
            <w:tcBorders>
              <w:tl2br w:val="nil"/>
              <w:tr2bl w:val="nil"/>
            </w:tcBorders>
            <w:vAlign w:val="top"/>
          </w:tcPr>
          <w:p w14:paraId="08689E22">
            <w:pPr>
              <w:rPr>
                <w:rFonts w:hint="default" w:ascii="Times New Roman" w:eastAsia="Times New Roman"/>
                <w:color w:val="auto"/>
              </w:rPr>
            </w:pPr>
          </w:p>
        </w:tc>
      </w:tr>
      <w:tr w14:paraId="6691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exact"/>
          <w:jc w:val="center"/>
        </w:trPr>
        <w:tc>
          <w:tcPr>
            <w:tcW w:w="1908" w:type="dxa"/>
            <w:tcBorders>
              <w:tl2br w:val="nil"/>
              <w:tr2bl w:val="nil"/>
            </w:tcBorders>
            <w:vAlign w:val="top"/>
          </w:tcPr>
          <w:p w14:paraId="03AE3707">
            <w:pPr>
              <w:pStyle w:val="25"/>
              <w:kinsoku w:val="0"/>
              <w:overflowPunct w:val="0"/>
              <w:rPr>
                <w:rFonts w:hint="default" w:cs="宋体"/>
                <w:color w:val="auto"/>
              </w:rPr>
            </w:pPr>
          </w:p>
          <w:p w14:paraId="22F5F476">
            <w:pPr>
              <w:pStyle w:val="25"/>
              <w:kinsoku w:val="0"/>
              <w:overflowPunct w:val="0"/>
              <w:ind w:left="228"/>
              <w:rPr>
                <w:rFonts w:hint="default" w:cs="宋体"/>
                <w:color w:val="auto"/>
              </w:rPr>
            </w:pPr>
          </w:p>
          <w:p w14:paraId="00015804">
            <w:pPr>
              <w:pStyle w:val="25"/>
              <w:kinsoku w:val="0"/>
              <w:overflowPunct w:val="0"/>
              <w:ind w:left="228"/>
              <w:rPr>
                <w:rFonts w:hint="default" w:cs="宋体"/>
                <w:color w:val="auto"/>
              </w:rPr>
            </w:pPr>
            <w:r>
              <w:rPr>
                <w:rFonts w:cs="宋体"/>
                <w:color w:val="auto"/>
              </w:rPr>
              <w:t>项目内容说明</w:t>
            </w:r>
          </w:p>
          <w:p w14:paraId="33CDF1F7">
            <w:pPr>
              <w:pStyle w:val="25"/>
              <w:kinsoku w:val="0"/>
              <w:overflowPunct w:val="0"/>
              <w:ind w:left="228"/>
              <w:rPr>
                <w:rFonts w:hint="default" w:cs="宋体"/>
                <w:color w:val="auto"/>
              </w:rPr>
            </w:pPr>
          </w:p>
          <w:p w14:paraId="4DA03268">
            <w:pPr>
              <w:pStyle w:val="25"/>
              <w:kinsoku w:val="0"/>
              <w:overflowPunct w:val="0"/>
              <w:ind w:left="228"/>
              <w:rPr>
                <w:rFonts w:hint="default" w:cs="宋体"/>
                <w:color w:val="auto"/>
              </w:rPr>
            </w:pPr>
          </w:p>
          <w:p w14:paraId="4812CDFD">
            <w:pPr>
              <w:pStyle w:val="25"/>
              <w:kinsoku w:val="0"/>
              <w:overflowPunct w:val="0"/>
              <w:ind w:left="228"/>
              <w:rPr>
                <w:rFonts w:hint="default" w:cs="宋体"/>
                <w:color w:val="auto"/>
              </w:rPr>
            </w:pPr>
          </w:p>
          <w:p w14:paraId="4A4932B1">
            <w:pPr>
              <w:pStyle w:val="25"/>
              <w:kinsoku w:val="0"/>
              <w:overflowPunct w:val="0"/>
              <w:ind w:left="228"/>
              <w:rPr>
                <w:rFonts w:hint="default" w:cs="宋体"/>
                <w:color w:val="auto"/>
              </w:rPr>
            </w:pPr>
          </w:p>
          <w:p w14:paraId="27FC1BB1">
            <w:pPr>
              <w:pStyle w:val="25"/>
              <w:kinsoku w:val="0"/>
              <w:overflowPunct w:val="0"/>
              <w:ind w:left="228"/>
              <w:rPr>
                <w:rFonts w:hint="default" w:cs="宋体"/>
                <w:color w:val="auto"/>
              </w:rPr>
            </w:pPr>
          </w:p>
          <w:p w14:paraId="228057F3">
            <w:pPr>
              <w:pStyle w:val="25"/>
              <w:kinsoku w:val="0"/>
              <w:overflowPunct w:val="0"/>
              <w:ind w:left="228"/>
              <w:rPr>
                <w:rFonts w:hint="default" w:cs="宋体"/>
                <w:color w:val="auto"/>
              </w:rPr>
            </w:pPr>
          </w:p>
          <w:p w14:paraId="2CCAA0F7">
            <w:pPr>
              <w:pStyle w:val="25"/>
              <w:kinsoku w:val="0"/>
              <w:overflowPunct w:val="0"/>
              <w:ind w:left="228"/>
              <w:rPr>
                <w:rFonts w:hint="default" w:cs="宋体"/>
                <w:color w:val="auto"/>
              </w:rPr>
            </w:pPr>
          </w:p>
          <w:p w14:paraId="6EC26605">
            <w:pPr>
              <w:pStyle w:val="25"/>
              <w:kinsoku w:val="0"/>
              <w:overflowPunct w:val="0"/>
              <w:ind w:left="228"/>
              <w:rPr>
                <w:rFonts w:hint="default" w:cs="宋体"/>
                <w:color w:val="auto"/>
              </w:rPr>
            </w:pPr>
          </w:p>
          <w:p w14:paraId="2777A010">
            <w:pPr>
              <w:pStyle w:val="25"/>
              <w:kinsoku w:val="0"/>
              <w:overflowPunct w:val="0"/>
              <w:ind w:left="228"/>
              <w:rPr>
                <w:rFonts w:hint="default" w:ascii="Times New Roman" w:eastAsia="Times New Roman"/>
                <w:color w:val="auto"/>
              </w:rPr>
            </w:pPr>
          </w:p>
        </w:tc>
        <w:tc>
          <w:tcPr>
            <w:tcW w:w="7200" w:type="dxa"/>
            <w:tcBorders>
              <w:tl2br w:val="nil"/>
              <w:tr2bl w:val="nil"/>
            </w:tcBorders>
            <w:vAlign w:val="top"/>
          </w:tcPr>
          <w:p w14:paraId="4A790914">
            <w:pPr>
              <w:rPr>
                <w:rFonts w:hint="default" w:ascii="Times New Roman" w:eastAsia="Times New Roman"/>
                <w:color w:val="auto"/>
              </w:rPr>
            </w:pPr>
          </w:p>
        </w:tc>
      </w:tr>
    </w:tbl>
    <w:p w14:paraId="51F40AD8">
      <w:pPr>
        <w:pStyle w:val="8"/>
        <w:kinsoku w:val="0"/>
        <w:overflowPunct w:val="0"/>
        <w:spacing w:before="0"/>
        <w:ind w:left="0"/>
        <w:rPr>
          <w:rFonts w:hint="default"/>
          <w:color w:val="auto"/>
          <w:sz w:val="20"/>
          <w:szCs w:val="20"/>
        </w:rPr>
      </w:pPr>
    </w:p>
    <w:p w14:paraId="35DA2605">
      <w:pPr>
        <w:pStyle w:val="8"/>
        <w:kinsoku w:val="0"/>
        <w:overflowPunct w:val="0"/>
        <w:spacing w:before="0"/>
        <w:ind w:left="0"/>
        <w:rPr>
          <w:rFonts w:hint="default"/>
          <w:color w:val="auto"/>
          <w:sz w:val="20"/>
          <w:szCs w:val="20"/>
        </w:rPr>
      </w:pPr>
    </w:p>
    <w:p w14:paraId="569FE872">
      <w:pPr>
        <w:pStyle w:val="8"/>
        <w:kinsoku w:val="0"/>
        <w:overflowPunct w:val="0"/>
        <w:spacing w:before="26" w:line="357" w:lineRule="auto"/>
        <w:ind w:left="520"/>
        <w:rPr>
          <w:rFonts w:hint="default"/>
          <w:color w:val="auto"/>
        </w:rPr>
      </w:pPr>
    </w:p>
    <w:p w14:paraId="03B299D5">
      <w:pPr>
        <w:pStyle w:val="8"/>
        <w:kinsoku w:val="0"/>
        <w:overflowPunct w:val="0"/>
        <w:spacing w:before="26" w:line="357" w:lineRule="auto"/>
        <w:ind w:left="520"/>
        <w:rPr>
          <w:rFonts w:hint="default"/>
          <w:color w:val="auto"/>
        </w:rPr>
      </w:pPr>
      <w:r>
        <w:rPr>
          <w:color w:val="auto"/>
        </w:rPr>
        <w:t>说明：1．每个合同须单独附表，并附上相关证明材料，否则专家在评审时将不</w:t>
      </w:r>
      <w:r>
        <w:rPr>
          <w:color w:val="auto"/>
          <w:spacing w:val="-99"/>
        </w:rPr>
        <w:t xml:space="preserve"> </w:t>
      </w:r>
      <w:r>
        <w:rPr>
          <w:color w:val="auto"/>
        </w:rPr>
        <w:t>予采信；</w:t>
      </w:r>
    </w:p>
    <w:p w14:paraId="71E36B7A">
      <w:pPr>
        <w:pStyle w:val="8"/>
        <w:kinsoku w:val="0"/>
        <w:overflowPunct w:val="0"/>
        <w:spacing w:line="357" w:lineRule="auto"/>
        <w:ind w:left="520" w:firstLine="720"/>
        <w:rPr>
          <w:rFonts w:hint="default"/>
          <w:color w:val="auto"/>
        </w:rPr>
      </w:pPr>
      <w:r>
        <w:rPr>
          <w:color w:val="auto"/>
        </w:rPr>
        <w:t>2．项目内容请详细说明所承担的具体工作内容</w:t>
      </w:r>
    </w:p>
    <w:p w14:paraId="0176A592">
      <w:pPr>
        <w:pStyle w:val="8"/>
        <w:kinsoku w:val="0"/>
        <w:overflowPunct w:val="0"/>
        <w:spacing w:before="115" w:line="381" w:lineRule="auto"/>
        <w:ind w:left="520" w:right="4526"/>
        <w:rPr>
          <w:rFonts w:hint="default"/>
          <w:color w:val="auto"/>
        </w:rPr>
      </w:pPr>
      <w:r>
        <w:rPr>
          <w:rFonts w:hint="eastAsia"/>
          <w:color w:val="auto"/>
          <w:lang w:eastAsia="zh-CN"/>
        </w:rPr>
        <w:t>供应商</w:t>
      </w:r>
      <w:r>
        <w:rPr>
          <w:color w:val="auto"/>
        </w:rPr>
        <w:t xml:space="preserve">法定代表人（电子签名）： </w:t>
      </w:r>
    </w:p>
    <w:p w14:paraId="009484EB">
      <w:pPr>
        <w:pStyle w:val="8"/>
        <w:kinsoku w:val="0"/>
        <w:wordWrap w:val="0"/>
        <w:overflowPunct w:val="0"/>
        <w:spacing w:before="115" w:line="381" w:lineRule="auto"/>
        <w:ind w:right="4526"/>
        <w:jc w:val="center"/>
        <w:rPr>
          <w:color w:val="auto"/>
        </w:rPr>
      </w:pPr>
      <w:r>
        <w:rPr>
          <w:rFonts w:hint="eastAsia"/>
          <w:color w:val="auto"/>
          <w:lang w:eastAsia="zh-CN"/>
        </w:rPr>
        <w:t>供应商</w:t>
      </w:r>
      <w:r>
        <w:rPr>
          <w:color w:val="auto"/>
        </w:rPr>
        <w:t xml:space="preserve">名称（电子签章）： </w:t>
      </w:r>
    </w:p>
    <w:p w14:paraId="30D404AB">
      <w:pPr>
        <w:pStyle w:val="8"/>
        <w:kinsoku w:val="0"/>
        <w:wordWrap w:val="0"/>
        <w:overflowPunct w:val="0"/>
        <w:spacing w:before="115" w:line="381" w:lineRule="auto"/>
        <w:ind w:right="4526" w:firstLine="960" w:firstLineChars="400"/>
        <w:jc w:val="both"/>
        <w:rPr>
          <w:rFonts w:hint="default"/>
          <w:color w:val="auto"/>
        </w:rPr>
      </w:pPr>
      <w:r>
        <w:rPr>
          <w:color w:val="auto"/>
        </w:rPr>
        <w:t>日期：年 月 日</w:t>
      </w:r>
    </w:p>
    <w:p w14:paraId="314BC8CD">
      <w:pPr>
        <w:pStyle w:val="8"/>
        <w:kinsoku w:val="0"/>
        <w:overflowPunct w:val="0"/>
        <w:spacing w:before="115" w:line="381" w:lineRule="auto"/>
        <w:ind w:left="520" w:right="4526"/>
        <w:rPr>
          <w:rFonts w:hint="default"/>
          <w:color w:val="auto"/>
        </w:rPr>
        <w:sectPr>
          <w:pgSz w:w="11910" w:h="16840"/>
          <w:pgMar w:top="1500" w:right="1280" w:bottom="1600" w:left="1280" w:header="0" w:footer="1415" w:gutter="0"/>
          <w:pgNumType w:fmt="decimal"/>
          <w:cols w:space="720" w:num="1"/>
        </w:sectPr>
      </w:pPr>
    </w:p>
    <w:p w14:paraId="0D8A5E37">
      <w:pPr>
        <w:pStyle w:val="3"/>
        <w:kinsoku w:val="0"/>
        <w:overflowPunct w:val="0"/>
        <w:spacing w:line="395" w:lineRule="exact"/>
        <w:rPr>
          <w:rFonts w:hint="default"/>
          <w:b w:val="0"/>
          <w:color w:val="auto"/>
        </w:rPr>
      </w:pPr>
      <w:bookmarkStart w:id="83" w:name="三、技术（响应）文件"/>
      <w:bookmarkEnd w:id="83"/>
      <w:bookmarkStart w:id="84" w:name="1、投标人自行编写的技术文件"/>
      <w:bookmarkEnd w:id="84"/>
      <w:r>
        <w:rPr>
          <w:color w:val="auto"/>
        </w:rPr>
        <w:t>三、技术文件</w:t>
      </w:r>
    </w:p>
    <w:p w14:paraId="212A7E95">
      <w:pPr>
        <w:pStyle w:val="3"/>
        <w:kinsoku w:val="0"/>
        <w:overflowPunct w:val="0"/>
        <w:spacing w:line="395" w:lineRule="exact"/>
        <w:outlineLvl w:val="9"/>
        <w:rPr>
          <w:rFonts w:hint="default"/>
          <w:b w:val="0"/>
          <w:color w:val="auto"/>
        </w:rPr>
        <w:sectPr>
          <w:footerReference r:id="rId17" w:type="default"/>
          <w:pgSz w:w="11910" w:h="16840"/>
          <w:pgMar w:top="1500" w:right="1680" w:bottom="1600" w:left="1680" w:header="0" w:footer="1395" w:gutter="0"/>
          <w:pgNumType w:fmt="decimal"/>
          <w:cols w:space="720" w:num="1"/>
        </w:sectPr>
      </w:pPr>
    </w:p>
    <w:p w14:paraId="2AA118FF">
      <w:pPr>
        <w:pStyle w:val="8"/>
        <w:kinsoku w:val="0"/>
        <w:overflowPunct w:val="0"/>
        <w:spacing w:before="0" w:line="395" w:lineRule="exact"/>
        <w:ind w:left="700"/>
        <w:rPr>
          <w:rFonts w:hint="default" w:ascii="黑体" w:eastAsia="黑体" w:cs="黑体"/>
          <w:color w:val="auto"/>
          <w:sz w:val="32"/>
          <w:szCs w:val="32"/>
        </w:rPr>
      </w:pPr>
      <w:r>
        <w:rPr>
          <w:rFonts w:ascii="黑体" w:eastAsia="黑体" w:cs="黑体"/>
          <w:b/>
          <w:color w:val="auto"/>
          <w:sz w:val="32"/>
          <w:szCs w:val="32"/>
        </w:rPr>
        <w:t>1、</w:t>
      </w:r>
      <w:r>
        <w:rPr>
          <w:rFonts w:hint="eastAsia" w:ascii="黑体" w:eastAsia="黑体" w:cs="黑体"/>
          <w:b/>
          <w:color w:val="auto"/>
          <w:sz w:val="32"/>
          <w:szCs w:val="32"/>
          <w:lang w:eastAsia="zh-CN"/>
        </w:rPr>
        <w:t>供应商</w:t>
      </w:r>
      <w:r>
        <w:rPr>
          <w:rFonts w:ascii="黑体" w:eastAsia="黑体" w:cs="黑体"/>
          <w:b/>
          <w:color w:val="auto"/>
          <w:sz w:val="32"/>
          <w:szCs w:val="32"/>
        </w:rPr>
        <w:t>自行编写的技术文件</w:t>
      </w:r>
    </w:p>
    <w:p w14:paraId="4D85516F">
      <w:pPr>
        <w:pStyle w:val="8"/>
        <w:kinsoku w:val="0"/>
        <w:overflowPunct w:val="0"/>
        <w:spacing w:before="190"/>
        <w:ind w:left="769"/>
        <w:rPr>
          <w:rFonts w:hint="default"/>
          <w:color w:val="auto"/>
        </w:rPr>
      </w:pPr>
      <w:r>
        <w:rPr>
          <w:rFonts w:hint="default"/>
          <w:color w:val="auto"/>
        </w:rPr>
        <mc:AlternateContent>
          <mc:Choice Requires="wps">
            <w:drawing>
              <wp:anchor distT="0" distB="0" distL="114300" distR="114300" simplePos="0" relativeHeight="251666432" behindDoc="1" locked="0" layoutInCell="0" allowOverlap="1">
                <wp:simplePos x="0" y="0"/>
                <wp:positionH relativeFrom="page">
                  <wp:posOffset>1143635</wp:posOffset>
                </wp:positionH>
                <wp:positionV relativeFrom="paragraph">
                  <wp:posOffset>170180</wp:posOffset>
                </wp:positionV>
                <wp:extent cx="151765" cy="152400"/>
                <wp:effectExtent l="4445" t="4445" r="8890" b="8255"/>
                <wp:wrapNone/>
                <wp:docPr id="16" name="任意多边形 148"/>
                <wp:cNvGraphicFramePr/>
                <a:graphic xmlns:a="http://schemas.openxmlformats.org/drawingml/2006/main">
                  <a:graphicData uri="http://schemas.microsoft.com/office/word/2010/wordprocessingShape">
                    <wps:wsp>
                      <wps:cNvSpPr/>
                      <wps:spPr>
                        <a:xfrm>
                          <a:off x="0" y="0"/>
                          <a:ext cx="151765" cy="152400"/>
                        </a:xfrm>
                        <a:custGeom>
                          <a:avLst/>
                          <a:gdLst/>
                          <a:ahLst/>
                          <a:cxnLst/>
                          <a:rect l="0" t="0" r="0" b="0"/>
                          <a:pathLst>
                            <a:path w="239" h="240">
                              <a:moveTo>
                                <a:pt x="238" y="119"/>
                              </a:moveTo>
                              <a:lnTo>
                                <a:pt x="236" y="142"/>
                              </a:lnTo>
                              <a:lnTo>
                                <a:pt x="229" y="164"/>
                              </a:lnTo>
                              <a:lnTo>
                                <a:pt x="220" y="183"/>
                              </a:lnTo>
                              <a:lnTo>
                                <a:pt x="206" y="200"/>
                              </a:lnTo>
                              <a:lnTo>
                                <a:pt x="190" y="215"/>
                              </a:lnTo>
                              <a:lnTo>
                                <a:pt x="172" y="227"/>
                              </a:lnTo>
                              <a:lnTo>
                                <a:pt x="151" y="235"/>
                              </a:lnTo>
                              <a:lnTo>
                                <a:pt x="129" y="239"/>
                              </a:lnTo>
                              <a:lnTo>
                                <a:pt x="104" y="237"/>
                              </a:lnTo>
                              <a:lnTo>
                                <a:pt x="81" y="231"/>
                              </a:lnTo>
                              <a:lnTo>
                                <a:pt x="60" y="223"/>
                              </a:lnTo>
                              <a:lnTo>
                                <a:pt x="42" y="211"/>
                              </a:lnTo>
                              <a:lnTo>
                                <a:pt x="26" y="196"/>
                              </a:lnTo>
                              <a:lnTo>
                                <a:pt x="14" y="179"/>
                              </a:lnTo>
                              <a:lnTo>
                                <a:pt x="5" y="160"/>
                              </a:lnTo>
                              <a:lnTo>
                                <a:pt x="0" y="139"/>
                              </a:lnTo>
                              <a:lnTo>
                                <a:pt x="1" y="112"/>
                              </a:lnTo>
                              <a:lnTo>
                                <a:pt x="6" y="88"/>
                              </a:lnTo>
                              <a:lnTo>
                                <a:pt x="14" y="66"/>
                              </a:lnTo>
                              <a:lnTo>
                                <a:pt x="25" y="48"/>
                              </a:lnTo>
                              <a:lnTo>
                                <a:pt x="38" y="31"/>
                              </a:lnTo>
                              <a:lnTo>
                                <a:pt x="54" y="18"/>
                              </a:lnTo>
                              <a:lnTo>
                                <a:pt x="72" y="9"/>
                              </a:lnTo>
                              <a:lnTo>
                                <a:pt x="91" y="2"/>
                              </a:lnTo>
                              <a:lnTo>
                                <a:pt x="112" y="0"/>
                              </a:lnTo>
                              <a:lnTo>
                                <a:pt x="136" y="2"/>
                              </a:lnTo>
                              <a:lnTo>
                                <a:pt x="158" y="7"/>
                              </a:lnTo>
                              <a:lnTo>
                                <a:pt x="179" y="17"/>
                              </a:lnTo>
                              <a:lnTo>
                                <a:pt x="196" y="29"/>
                              </a:lnTo>
                              <a:lnTo>
                                <a:pt x="211" y="45"/>
                              </a:lnTo>
                              <a:lnTo>
                                <a:pt x="223" y="63"/>
                              </a:lnTo>
                              <a:lnTo>
                                <a:pt x="232" y="82"/>
                              </a:lnTo>
                              <a:lnTo>
                                <a:pt x="237" y="104"/>
                              </a:lnTo>
                            </a:path>
                          </a:pathLst>
                        </a:custGeom>
                        <a:noFill/>
                        <a:ln w="63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8" o:spid="_x0000_s1026" o:spt="100" style="position:absolute;left:0pt;margin-left:90.05pt;margin-top:13.4pt;height:12pt;width:11.95pt;mso-position-horizontal-relative:page;z-index:-251650048;mso-width-relative:page;mso-height-relative:page;" filled="f" stroked="t" coordsize="239,240" o:allowincell="f" o:gfxdata="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3tmReNUAAAAJAQAADwAA&#10;AAAAAAABACAAAAAiAAAAZHJzL2Rvd25yZXYueG1sUEsBAhQAFAAAAAgAh07iQKb3PzA2AwAAnAkA&#10;AA4AAAAAAAAAAQAgAAAAJAEAAGRycy9lMm9Eb2MueG1sUEsFBgAAAAAGAAYAWQEAAMwGAAAAAA==&#10;" path="m238,119l236,142,229,164,220,183,206,200,190,215,172,227,151,235,129,239,104,237,81,231,60,223,42,211,26,196,14,179,5,160,0,139,1,112,6,88,14,66,25,48,38,31,54,18,72,9,91,2,112,0,136,2,158,7,179,17,196,29,211,45,223,63,232,82,237,104e">
                <v:fill on="f" focussize="0,0"/>
                <v:stroke weight="0.05pt" color="#000000" joinstyle="round"/>
                <v:imagedata o:title=""/>
                <o:lock v:ext="edit" aspectratio="f"/>
              </v:shape>
            </w:pict>
          </mc:Fallback>
        </mc:AlternateContent>
      </w:r>
      <w:r>
        <w:rPr>
          <w:color w:val="auto"/>
          <w:sz w:val="20"/>
          <w:szCs w:val="20"/>
        </w:rPr>
        <w:t>1</w:t>
      </w:r>
      <w:r>
        <w:rPr>
          <w:color w:val="auto"/>
          <w:spacing w:val="89"/>
          <w:sz w:val="20"/>
          <w:szCs w:val="20"/>
        </w:rPr>
        <w:t xml:space="preserve"> </w:t>
      </w:r>
      <w:r>
        <w:rPr>
          <w:color w:val="auto"/>
        </w:rPr>
        <w:t>主要技术指标和运行性能：</w:t>
      </w:r>
    </w:p>
    <w:p w14:paraId="1D3AB745">
      <w:pPr>
        <w:pStyle w:val="8"/>
        <w:kinsoku w:val="0"/>
        <w:overflowPunct w:val="0"/>
        <w:spacing w:before="154"/>
        <w:ind w:left="700"/>
        <w:rPr>
          <w:rFonts w:hint="default"/>
          <w:color w:val="auto"/>
        </w:rPr>
      </w:pPr>
      <w:r>
        <w:rPr>
          <w:color w:val="auto"/>
        </w:rPr>
        <w:t>&lt;1&gt;工具表、车辆配置情况说明、人员表和备用工具及特殊工具清单说明；</w:t>
      </w:r>
    </w:p>
    <w:p w14:paraId="5DEF5704">
      <w:pPr>
        <w:pStyle w:val="8"/>
        <w:kinsoku w:val="0"/>
        <w:overflowPunct w:val="0"/>
        <w:spacing w:before="154"/>
        <w:ind w:left="700"/>
        <w:rPr>
          <w:rFonts w:hint="default"/>
          <w:color w:val="auto"/>
          <w:sz w:val="21"/>
          <w:szCs w:val="21"/>
        </w:rPr>
      </w:pPr>
      <w:r>
        <w:rPr>
          <w:color w:val="auto"/>
        </w:rPr>
        <w:t>&lt;2&gt;</w:t>
      </w:r>
      <w:r>
        <w:rPr>
          <w:color w:val="auto"/>
          <w:sz w:val="21"/>
          <w:szCs w:val="21"/>
        </w:rPr>
        <w:t>方案及验收标准；</w:t>
      </w:r>
    </w:p>
    <w:p w14:paraId="501C91CB">
      <w:pPr>
        <w:pStyle w:val="8"/>
        <w:kinsoku w:val="0"/>
        <w:overflowPunct w:val="0"/>
        <w:spacing w:before="154" w:line="357" w:lineRule="auto"/>
        <w:ind w:left="700" w:right="6986"/>
        <w:rPr>
          <w:rFonts w:hint="default"/>
          <w:color w:val="auto"/>
        </w:rPr>
      </w:pPr>
      <w:r>
        <w:rPr>
          <w:color w:val="auto"/>
        </w:rPr>
        <w:t>&lt;3&gt;</w:t>
      </w:r>
      <w:r>
        <w:rPr>
          <w:color w:val="auto"/>
          <w:sz w:val="21"/>
          <w:szCs w:val="21"/>
        </w:rPr>
        <w:t>保证服务期措施</w:t>
      </w:r>
      <w:r>
        <w:rPr>
          <w:color w:val="auto"/>
          <w:w w:val="99"/>
          <w:sz w:val="21"/>
          <w:szCs w:val="21"/>
        </w:rPr>
        <w:t xml:space="preserve"> </w:t>
      </w:r>
      <w:r>
        <w:rPr>
          <w:color w:val="auto"/>
        </w:rPr>
        <w:t>项目编号、包号：</w:t>
      </w:r>
    </w:p>
    <w:tbl>
      <w:tblPr>
        <w:tblStyle w:val="20"/>
        <w:tblW w:w="0" w:type="auto"/>
        <w:tblInd w:w="214" w:type="dxa"/>
        <w:tblLayout w:type="fixed"/>
        <w:tblCellMar>
          <w:top w:w="0" w:type="dxa"/>
          <w:left w:w="108" w:type="dxa"/>
          <w:bottom w:w="0" w:type="dxa"/>
          <w:right w:w="108" w:type="dxa"/>
        </w:tblCellMar>
      </w:tblPr>
      <w:tblGrid>
        <w:gridCol w:w="552"/>
        <w:gridCol w:w="2441"/>
        <w:gridCol w:w="4725"/>
        <w:gridCol w:w="1749"/>
      </w:tblGrid>
      <w:tr w14:paraId="5FB37E15">
        <w:tblPrEx>
          <w:tblCellMar>
            <w:top w:w="0" w:type="dxa"/>
            <w:left w:w="108" w:type="dxa"/>
            <w:bottom w:w="0" w:type="dxa"/>
            <w:right w:w="108" w:type="dxa"/>
          </w:tblCellMar>
        </w:tblPrEx>
        <w:trPr>
          <w:trHeight w:val="488" w:hRule="exact"/>
        </w:trPr>
        <w:tc>
          <w:tcPr>
            <w:tcW w:w="552" w:type="dxa"/>
            <w:tcBorders>
              <w:top w:val="single" w:color="000000" w:sz="10" w:space="0"/>
              <w:left w:val="single" w:color="000000" w:sz="10" w:space="0"/>
              <w:bottom w:val="single" w:color="000000" w:sz="4" w:space="0"/>
              <w:right w:val="single" w:color="000000" w:sz="4" w:space="0"/>
              <w:tl2br w:val="nil"/>
              <w:tr2bl w:val="nil"/>
            </w:tcBorders>
          </w:tcPr>
          <w:p w14:paraId="5FE59C1D">
            <w:pPr>
              <w:pStyle w:val="25"/>
              <w:kinsoku w:val="0"/>
              <w:overflowPunct w:val="0"/>
              <w:spacing w:before="38"/>
              <w:ind w:left="141"/>
              <w:rPr>
                <w:rFonts w:hint="default" w:ascii="Times New Roman" w:eastAsia="Times New Roman"/>
                <w:color w:val="auto"/>
              </w:rPr>
            </w:pPr>
            <w:r>
              <w:rPr>
                <w:rFonts w:cs="宋体"/>
                <w:color w:val="auto"/>
              </w:rPr>
              <w:t>项</w:t>
            </w:r>
          </w:p>
        </w:tc>
        <w:tc>
          <w:tcPr>
            <w:tcW w:w="2441" w:type="dxa"/>
            <w:tcBorders>
              <w:top w:val="single" w:color="000000" w:sz="10" w:space="0"/>
              <w:left w:val="single" w:color="000000" w:sz="4" w:space="0"/>
              <w:bottom w:val="single" w:color="000000" w:sz="4" w:space="0"/>
              <w:right w:val="single" w:color="000000" w:sz="4" w:space="0"/>
              <w:tl2br w:val="nil"/>
              <w:tr2bl w:val="nil"/>
            </w:tcBorders>
          </w:tcPr>
          <w:p w14:paraId="59F7456D">
            <w:pPr>
              <w:pStyle w:val="25"/>
              <w:kinsoku w:val="0"/>
              <w:overflowPunct w:val="0"/>
              <w:spacing w:before="38"/>
              <w:jc w:val="center"/>
              <w:rPr>
                <w:rFonts w:hint="default" w:ascii="Times New Roman" w:eastAsia="Times New Roman"/>
                <w:color w:val="auto"/>
              </w:rPr>
            </w:pPr>
            <w:r>
              <w:rPr>
                <w:rFonts w:cs="宋体"/>
                <w:color w:val="auto"/>
              </w:rPr>
              <w:t>1</w:t>
            </w:r>
          </w:p>
        </w:tc>
        <w:tc>
          <w:tcPr>
            <w:tcW w:w="4725" w:type="dxa"/>
            <w:tcBorders>
              <w:top w:val="single" w:color="000000" w:sz="10" w:space="0"/>
              <w:left w:val="single" w:color="000000" w:sz="4" w:space="0"/>
              <w:bottom w:val="single" w:color="000000" w:sz="4" w:space="0"/>
              <w:right w:val="single" w:color="000000" w:sz="4" w:space="0"/>
              <w:tl2br w:val="nil"/>
              <w:tr2bl w:val="nil"/>
            </w:tcBorders>
          </w:tcPr>
          <w:p w14:paraId="0FAD3737">
            <w:pPr>
              <w:pStyle w:val="25"/>
              <w:kinsoku w:val="0"/>
              <w:overflowPunct w:val="0"/>
              <w:spacing w:before="38"/>
              <w:ind w:left="41"/>
              <w:jc w:val="center"/>
              <w:rPr>
                <w:rFonts w:hint="default" w:ascii="Times New Roman" w:eastAsia="Times New Roman"/>
                <w:color w:val="auto"/>
              </w:rPr>
            </w:pPr>
            <w:r>
              <w:rPr>
                <w:rFonts w:cs="宋体"/>
                <w:color w:val="auto"/>
              </w:rPr>
              <w:t>2</w:t>
            </w:r>
          </w:p>
        </w:tc>
        <w:tc>
          <w:tcPr>
            <w:tcW w:w="1749" w:type="dxa"/>
            <w:tcBorders>
              <w:top w:val="single" w:color="000000" w:sz="10" w:space="0"/>
              <w:left w:val="single" w:color="000000" w:sz="4" w:space="0"/>
              <w:bottom w:val="single" w:color="000000" w:sz="4" w:space="0"/>
              <w:right w:val="single" w:color="000000" w:sz="10" w:space="0"/>
              <w:tl2br w:val="nil"/>
              <w:tr2bl w:val="nil"/>
            </w:tcBorders>
          </w:tcPr>
          <w:p w14:paraId="455A699B">
            <w:pPr>
              <w:pStyle w:val="25"/>
              <w:kinsoku w:val="0"/>
              <w:overflowPunct w:val="0"/>
              <w:spacing w:before="38"/>
              <w:ind w:left="8"/>
              <w:jc w:val="center"/>
              <w:rPr>
                <w:rFonts w:hint="default" w:ascii="Times New Roman" w:eastAsia="Times New Roman"/>
                <w:color w:val="auto"/>
              </w:rPr>
            </w:pPr>
            <w:r>
              <w:rPr>
                <w:rFonts w:cs="宋体"/>
                <w:color w:val="auto"/>
              </w:rPr>
              <w:t>3</w:t>
            </w:r>
          </w:p>
        </w:tc>
      </w:tr>
      <w:tr w14:paraId="548BC6C8">
        <w:tblPrEx>
          <w:tblCellMar>
            <w:top w:w="0" w:type="dxa"/>
            <w:left w:w="108" w:type="dxa"/>
            <w:bottom w:w="0" w:type="dxa"/>
            <w:right w:w="108" w:type="dxa"/>
          </w:tblCellMar>
        </w:tblPrEx>
        <w:trPr>
          <w:trHeight w:val="965" w:hRule="exact"/>
        </w:trPr>
        <w:tc>
          <w:tcPr>
            <w:tcW w:w="552" w:type="dxa"/>
            <w:tcBorders>
              <w:top w:val="single" w:color="000000" w:sz="4" w:space="0"/>
              <w:left w:val="single" w:color="000000" w:sz="10" w:space="0"/>
              <w:bottom w:val="single" w:color="000000" w:sz="4" w:space="0"/>
              <w:right w:val="single" w:color="000000" w:sz="4" w:space="0"/>
              <w:tl2br w:val="nil"/>
              <w:tr2bl w:val="nil"/>
            </w:tcBorders>
          </w:tcPr>
          <w:p w14:paraId="5D6E7EE9">
            <w:pPr>
              <w:pStyle w:val="25"/>
              <w:kinsoku w:val="0"/>
              <w:overflowPunct w:val="0"/>
              <w:spacing w:before="47"/>
              <w:ind w:left="141"/>
              <w:rPr>
                <w:rFonts w:hint="default" w:cs="宋体"/>
                <w:color w:val="auto"/>
              </w:rPr>
            </w:pPr>
            <w:r>
              <w:rPr>
                <w:rFonts w:cs="宋体"/>
                <w:color w:val="auto"/>
              </w:rPr>
              <w:t>序</w:t>
            </w:r>
          </w:p>
          <w:p w14:paraId="0F62CCB2">
            <w:pPr>
              <w:pStyle w:val="25"/>
              <w:kinsoku w:val="0"/>
              <w:overflowPunct w:val="0"/>
              <w:spacing w:before="154"/>
              <w:ind w:left="141"/>
              <w:rPr>
                <w:rFonts w:hint="default" w:ascii="Times New Roman" w:eastAsia="Times New Roman"/>
                <w:color w:val="auto"/>
              </w:rPr>
            </w:pPr>
            <w:r>
              <w:rPr>
                <w:rFonts w:cs="宋体"/>
                <w:color w:val="auto"/>
              </w:rPr>
              <w:t>号</w:t>
            </w:r>
          </w:p>
        </w:tc>
        <w:tc>
          <w:tcPr>
            <w:tcW w:w="2441" w:type="dxa"/>
            <w:tcBorders>
              <w:top w:val="single" w:color="000000" w:sz="4" w:space="0"/>
              <w:left w:val="single" w:color="000000" w:sz="4" w:space="0"/>
              <w:bottom w:val="single" w:color="000000" w:sz="4" w:space="0"/>
              <w:right w:val="single" w:color="000000" w:sz="4" w:space="0"/>
              <w:tl2br w:val="nil"/>
              <w:tr2bl w:val="nil"/>
            </w:tcBorders>
          </w:tcPr>
          <w:p w14:paraId="66F061B8">
            <w:pPr>
              <w:pStyle w:val="25"/>
              <w:kinsoku w:val="0"/>
              <w:overflowPunct w:val="0"/>
              <w:spacing w:before="5"/>
              <w:rPr>
                <w:rFonts w:hint="default" w:cs="宋体"/>
                <w:color w:val="auto"/>
                <w:sz w:val="21"/>
                <w:szCs w:val="21"/>
              </w:rPr>
            </w:pPr>
          </w:p>
          <w:p w14:paraId="6135EEE8">
            <w:pPr>
              <w:pStyle w:val="25"/>
              <w:kinsoku w:val="0"/>
              <w:overflowPunct w:val="0"/>
              <w:ind w:left="734"/>
              <w:rPr>
                <w:rFonts w:hint="default" w:ascii="Times New Roman" w:eastAsia="Times New Roman"/>
                <w:color w:val="auto"/>
              </w:rPr>
            </w:pPr>
            <w:r>
              <w:rPr>
                <w:rFonts w:cs="宋体"/>
                <w:color w:val="auto"/>
              </w:rPr>
              <w:t>内容名称</w:t>
            </w:r>
          </w:p>
        </w:tc>
        <w:tc>
          <w:tcPr>
            <w:tcW w:w="4725" w:type="dxa"/>
            <w:tcBorders>
              <w:top w:val="single" w:color="000000" w:sz="4" w:space="0"/>
              <w:left w:val="single" w:color="000000" w:sz="4" w:space="0"/>
              <w:bottom w:val="single" w:color="000000" w:sz="4" w:space="0"/>
              <w:right w:val="single" w:color="000000" w:sz="4" w:space="0"/>
              <w:tl2br w:val="nil"/>
              <w:tr2bl w:val="nil"/>
            </w:tcBorders>
          </w:tcPr>
          <w:p w14:paraId="20692932">
            <w:pPr>
              <w:pStyle w:val="25"/>
              <w:kinsoku w:val="0"/>
              <w:overflowPunct w:val="0"/>
              <w:spacing w:before="5"/>
              <w:rPr>
                <w:rFonts w:hint="default" w:cs="宋体"/>
                <w:color w:val="auto"/>
                <w:sz w:val="21"/>
                <w:szCs w:val="21"/>
              </w:rPr>
            </w:pPr>
          </w:p>
          <w:p w14:paraId="2A415CB8">
            <w:pPr>
              <w:pStyle w:val="25"/>
              <w:kinsoku w:val="0"/>
              <w:overflowPunct w:val="0"/>
              <w:ind w:right="1"/>
              <w:jc w:val="center"/>
              <w:rPr>
                <w:rFonts w:hint="default" w:ascii="Times New Roman" w:eastAsia="Times New Roman"/>
                <w:color w:val="auto"/>
              </w:rPr>
            </w:pPr>
            <w:r>
              <w:rPr>
                <w:rFonts w:cs="宋体"/>
                <w:color w:val="auto"/>
              </w:rPr>
              <w:t>简要描述</w:t>
            </w:r>
          </w:p>
        </w:tc>
        <w:tc>
          <w:tcPr>
            <w:tcW w:w="1749" w:type="dxa"/>
            <w:tcBorders>
              <w:top w:val="single" w:color="000000" w:sz="4" w:space="0"/>
              <w:left w:val="single" w:color="000000" w:sz="4" w:space="0"/>
              <w:bottom w:val="single" w:color="000000" w:sz="4" w:space="0"/>
              <w:right w:val="single" w:color="000000" w:sz="10" w:space="0"/>
              <w:tl2br w:val="nil"/>
              <w:tr2bl w:val="nil"/>
            </w:tcBorders>
          </w:tcPr>
          <w:p w14:paraId="4ACD0E2D">
            <w:pPr>
              <w:pStyle w:val="25"/>
              <w:kinsoku w:val="0"/>
              <w:overflowPunct w:val="0"/>
              <w:spacing w:before="5"/>
              <w:rPr>
                <w:rFonts w:hint="default" w:cs="宋体"/>
                <w:color w:val="auto"/>
                <w:sz w:val="21"/>
                <w:szCs w:val="21"/>
              </w:rPr>
            </w:pPr>
          </w:p>
          <w:p w14:paraId="2C956AE8">
            <w:pPr>
              <w:pStyle w:val="25"/>
              <w:kinsoku w:val="0"/>
              <w:overflowPunct w:val="0"/>
              <w:ind w:left="8"/>
              <w:jc w:val="center"/>
              <w:rPr>
                <w:rFonts w:hint="default" w:ascii="Times New Roman" w:eastAsia="Times New Roman"/>
                <w:color w:val="auto"/>
              </w:rPr>
            </w:pPr>
            <w:r>
              <w:rPr>
                <w:rFonts w:cs="宋体"/>
                <w:color w:val="auto"/>
              </w:rPr>
              <w:t>备注</w:t>
            </w:r>
          </w:p>
        </w:tc>
      </w:tr>
      <w:tr w14:paraId="416891CC">
        <w:tblPrEx>
          <w:tblCellMar>
            <w:top w:w="0" w:type="dxa"/>
            <w:left w:w="108" w:type="dxa"/>
            <w:bottom w:w="0" w:type="dxa"/>
            <w:right w:w="108" w:type="dxa"/>
          </w:tblCellMar>
        </w:tblPrEx>
        <w:trPr>
          <w:trHeight w:val="577" w:hRule="exact"/>
        </w:trPr>
        <w:tc>
          <w:tcPr>
            <w:tcW w:w="552" w:type="dxa"/>
            <w:tcBorders>
              <w:top w:val="single" w:color="000000" w:sz="4" w:space="0"/>
              <w:left w:val="single" w:color="000000" w:sz="10" w:space="0"/>
              <w:bottom w:val="single" w:color="000000" w:sz="4" w:space="0"/>
              <w:right w:val="single" w:color="000000" w:sz="4" w:space="0"/>
              <w:tl2br w:val="nil"/>
              <w:tr2bl w:val="nil"/>
            </w:tcBorders>
          </w:tcPr>
          <w:p w14:paraId="08770887">
            <w:pPr>
              <w:pStyle w:val="25"/>
              <w:kinsoku w:val="0"/>
              <w:overflowPunct w:val="0"/>
              <w:spacing w:before="85"/>
              <w:ind w:right="7"/>
              <w:jc w:val="center"/>
              <w:rPr>
                <w:rFonts w:hint="default" w:ascii="Times New Roman" w:eastAsia="Times New Roman"/>
                <w:color w:val="auto"/>
              </w:rPr>
            </w:pPr>
            <w:r>
              <w:rPr>
                <w:rFonts w:cs="宋体"/>
                <w:color w:val="auto"/>
              </w:rPr>
              <w:t>1</w:t>
            </w:r>
          </w:p>
        </w:tc>
        <w:tc>
          <w:tcPr>
            <w:tcW w:w="2441" w:type="dxa"/>
            <w:tcBorders>
              <w:top w:val="single" w:color="000000" w:sz="4" w:space="0"/>
              <w:left w:val="single" w:color="000000" w:sz="4" w:space="0"/>
              <w:bottom w:val="single" w:color="000000" w:sz="4" w:space="0"/>
              <w:right w:val="single" w:color="000000" w:sz="4" w:space="0"/>
              <w:tl2br w:val="nil"/>
              <w:tr2bl w:val="nil"/>
            </w:tcBorders>
          </w:tcPr>
          <w:p w14:paraId="423E07A9">
            <w:pPr>
              <w:rPr>
                <w:rFonts w:hint="default" w:ascii="Times New Roman" w:eastAsia="Times New Roman"/>
                <w:color w:val="auto"/>
              </w:rPr>
            </w:pPr>
          </w:p>
        </w:tc>
        <w:tc>
          <w:tcPr>
            <w:tcW w:w="4725" w:type="dxa"/>
            <w:tcBorders>
              <w:top w:val="single" w:color="000000" w:sz="4" w:space="0"/>
              <w:left w:val="single" w:color="000000" w:sz="4" w:space="0"/>
              <w:bottom w:val="single" w:color="000000" w:sz="4" w:space="0"/>
              <w:right w:val="single" w:color="000000" w:sz="4" w:space="0"/>
              <w:tl2br w:val="nil"/>
              <w:tr2bl w:val="nil"/>
            </w:tcBorders>
          </w:tcPr>
          <w:p w14:paraId="2D5DE83B">
            <w:pPr>
              <w:rPr>
                <w:rFonts w:hint="default" w:ascii="Times New Roman" w:eastAsia="Times New Roman"/>
                <w:color w:val="auto"/>
              </w:rPr>
            </w:pPr>
          </w:p>
        </w:tc>
        <w:tc>
          <w:tcPr>
            <w:tcW w:w="1749" w:type="dxa"/>
            <w:tcBorders>
              <w:top w:val="single" w:color="000000" w:sz="4" w:space="0"/>
              <w:left w:val="single" w:color="000000" w:sz="4" w:space="0"/>
              <w:bottom w:val="single" w:color="000000" w:sz="4" w:space="0"/>
              <w:right w:val="single" w:color="000000" w:sz="10" w:space="0"/>
              <w:tl2br w:val="nil"/>
              <w:tr2bl w:val="nil"/>
            </w:tcBorders>
          </w:tcPr>
          <w:p w14:paraId="1C7057AE">
            <w:pPr>
              <w:rPr>
                <w:rFonts w:hint="default" w:ascii="Times New Roman" w:eastAsia="Times New Roman"/>
                <w:color w:val="auto"/>
              </w:rPr>
            </w:pPr>
          </w:p>
        </w:tc>
      </w:tr>
      <w:tr w14:paraId="3ED201A4">
        <w:tblPrEx>
          <w:tblCellMar>
            <w:top w:w="0" w:type="dxa"/>
            <w:left w:w="108" w:type="dxa"/>
            <w:bottom w:w="0" w:type="dxa"/>
            <w:right w:w="108" w:type="dxa"/>
          </w:tblCellMar>
        </w:tblPrEx>
        <w:trPr>
          <w:trHeight w:val="577" w:hRule="exact"/>
        </w:trPr>
        <w:tc>
          <w:tcPr>
            <w:tcW w:w="552" w:type="dxa"/>
            <w:tcBorders>
              <w:top w:val="single" w:color="000000" w:sz="4" w:space="0"/>
              <w:left w:val="single" w:color="000000" w:sz="10" w:space="0"/>
              <w:bottom w:val="single" w:color="000000" w:sz="4" w:space="0"/>
              <w:right w:val="single" w:color="000000" w:sz="4" w:space="0"/>
              <w:tl2br w:val="nil"/>
              <w:tr2bl w:val="nil"/>
            </w:tcBorders>
          </w:tcPr>
          <w:p w14:paraId="1FA57268">
            <w:pPr>
              <w:pStyle w:val="25"/>
              <w:kinsoku w:val="0"/>
              <w:overflowPunct w:val="0"/>
              <w:spacing w:before="86"/>
              <w:ind w:right="7"/>
              <w:jc w:val="center"/>
              <w:rPr>
                <w:rFonts w:hint="default" w:ascii="Times New Roman" w:eastAsia="Times New Roman"/>
                <w:color w:val="auto"/>
              </w:rPr>
            </w:pPr>
            <w:r>
              <w:rPr>
                <w:rFonts w:cs="宋体"/>
                <w:color w:val="auto"/>
              </w:rPr>
              <w:t>2</w:t>
            </w:r>
          </w:p>
        </w:tc>
        <w:tc>
          <w:tcPr>
            <w:tcW w:w="2441" w:type="dxa"/>
            <w:tcBorders>
              <w:top w:val="single" w:color="000000" w:sz="4" w:space="0"/>
              <w:left w:val="single" w:color="000000" w:sz="4" w:space="0"/>
              <w:bottom w:val="single" w:color="000000" w:sz="4" w:space="0"/>
              <w:right w:val="single" w:color="000000" w:sz="4" w:space="0"/>
              <w:tl2br w:val="nil"/>
              <w:tr2bl w:val="nil"/>
            </w:tcBorders>
          </w:tcPr>
          <w:p w14:paraId="1412CAB2">
            <w:pPr>
              <w:rPr>
                <w:rFonts w:hint="default" w:ascii="Times New Roman" w:eastAsia="Times New Roman"/>
                <w:color w:val="auto"/>
              </w:rPr>
            </w:pPr>
          </w:p>
        </w:tc>
        <w:tc>
          <w:tcPr>
            <w:tcW w:w="4725" w:type="dxa"/>
            <w:tcBorders>
              <w:top w:val="single" w:color="000000" w:sz="4" w:space="0"/>
              <w:left w:val="single" w:color="000000" w:sz="4" w:space="0"/>
              <w:bottom w:val="single" w:color="000000" w:sz="4" w:space="0"/>
              <w:right w:val="single" w:color="000000" w:sz="4" w:space="0"/>
              <w:tl2br w:val="nil"/>
              <w:tr2bl w:val="nil"/>
            </w:tcBorders>
          </w:tcPr>
          <w:p w14:paraId="7C46EDEB">
            <w:pPr>
              <w:rPr>
                <w:rFonts w:hint="default" w:ascii="Times New Roman" w:eastAsia="Times New Roman"/>
                <w:color w:val="auto"/>
              </w:rPr>
            </w:pPr>
          </w:p>
        </w:tc>
        <w:tc>
          <w:tcPr>
            <w:tcW w:w="1749" w:type="dxa"/>
            <w:tcBorders>
              <w:top w:val="single" w:color="000000" w:sz="4" w:space="0"/>
              <w:left w:val="single" w:color="000000" w:sz="4" w:space="0"/>
              <w:bottom w:val="single" w:color="000000" w:sz="4" w:space="0"/>
              <w:right w:val="single" w:color="000000" w:sz="10" w:space="0"/>
              <w:tl2br w:val="nil"/>
              <w:tr2bl w:val="nil"/>
            </w:tcBorders>
          </w:tcPr>
          <w:p w14:paraId="6E6507E5">
            <w:pPr>
              <w:rPr>
                <w:rFonts w:hint="default" w:ascii="Times New Roman" w:eastAsia="Times New Roman"/>
                <w:color w:val="auto"/>
              </w:rPr>
            </w:pPr>
          </w:p>
        </w:tc>
      </w:tr>
      <w:tr w14:paraId="0728E0B3">
        <w:tblPrEx>
          <w:tblCellMar>
            <w:top w:w="0" w:type="dxa"/>
            <w:left w:w="108" w:type="dxa"/>
            <w:bottom w:w="0" w:type="dxa"/>
            <w:right w:w="108" w:type="dxa"/>
          </w:tblCellMar>
        </w:tblPrEx>
        <w:trPr>
          <w:trHeight w:val="577" w:hRule="exact"/>
        </w:trPr>
        <w:tc>
          <w:tcPr>
            <w:tcW w:w="552" w:type="dxa"/>
            <w:tcBorders>
              <w:top w:val="single" w:color="000000" w:sz="4" w:space="0"/>
              <w:left w:val="single" w:color="000000" w:sz="10" w:space="0"/>
              <w:bottom w:val="single" w:color="000000" w:sz="4" w:space="0"/>
              <w:right w:val="single" w:color="000000" w:sz="4" w:space="0"/>
              <w:tl2br w:val="nil"/>
              <w:tr2bl w:val="nil"/>
            </w:tcBorders>
          </w:tcPr>
          <w:p w14:paraId="15CD16DC">
            <w:pPr>
              <w:pStyle w:val="25"/>
              <w:kinsoku w:val="0"/>
              <w:overflowPunct w:val="0"/>
              <w:spacing w:before="85"/>
              <w:ind w:right="7"/>
              <w:jc w:val="center"/>
              <w:rPr>
                <w:rFonts w:hint="default" w:ascii="Times New Roman" w:eastAsia="Times New Roman"/>
                <w:color w:val="auto"/>
              </w:rPr>
            </w:pPr>
            <w:r>
              <w:rPr>
                <w:rFonts w:cs="宋体"/>
                <w:color w:val="auto"/>
              </w:rPr>
              <w:t>3</w:t>
            </w:r>
          </w:p>
        </w:tc>
        <w:tc>
          <w:tcPr>
            <w:tcW w:w="2441" w:type="dxa"/>
            <w:tcBorders>
              <w:top w:val="single" w:color="000000" w:sz="4" w:space="0"/>
              <w:left w:val="single" w:color="000000" w:sz="4" w:space="0"/>
              <w:bottom w:val="single" w:color="000000" w:sz="4" w:space="0"/>
              <w:right w:val="single" w:color="000000" w:sz="4" w:space="0"/>
              <w:tl2br w:val="nil"/>
              <w:tr2bl w:val="nil"/>
            </w:tcBorders>
          </w:tcPr>
          <w:p w14:paraId="2C531717">
            <w:pPr>
              <w:rPr>
                <w:rFonts w:hint="default" w:ascii="Times New Roman" w:eastAsia="Times New Roman"/>
                <w:color w:val="auto"/>
              </w:rPr>
            </w:pPr>
          </w:p>
        </w:tc>
        <w:tc>
          <w:tcPr>
            <w:tcW w:w="4725" w:type="dxa"/>
            <w:tcBorders>
              <w:top w:val="single" w:color="000000" w:sz="4" w:space="0"/>
              <w:left w:val="single" w:color="000000" w:sz="4" w:space="0"/>
              <w:bottom w:val="single" w:color="000000" w:sz="4" w:space="0"/>
              <w:right w:val="single" w:color="000000" w:sz="4" w:space="0"/>
              <w:tl2br w:val="nil"/>
              <w:tr2bl w:val="nil"/>
            </w:tcBorders>
          </w:tcPr>
          <w:p w14:paraId="18117FB3">
            <w:pPr>
              <w:rPr>
                <w:rFonts w:hint="default" w:ascii="Times New Roman" w:eastAsia="Times New Roman"/>
                <w:color w:val="auto"/>
              </w:rPr>
            </w:pPr>
          </w:p>
        </w:tc>
        <w:tc>
          <w:tcPr>
            <w:tcW w:w="1749" w:type="dxa"/>
            <w:tcBorders>
              <w:top w:val="single" w:color="000000" w:sz="4" w:space="0"/>
              <w:left w:val="single" w:color="000000" w:sz="4" w:space="0"/>
              <w:bottom w:val="single" w:color="000000" w:sz="4" w:space="0"/>
              <w:right w:val="single" w:color="000000" w:sz="10" w:space="0"/>
              <w:tl2br w:val="nil"/>
              <w:tr2bl w:val="nil"/>
            </w:tcBorders>
          </w:tcPr>
          <w:p w14:paraId="4D547B83">
            <w:pPr>
              <w:rPr>
                <w:rFonts w:hint="default" w:ascii="Times New Roman" w:eastAsia="Times New Roman"/>
                <w:color w:val="auto"/>
              </w:rPr>
            </w:pPr>
          </w:p>
        </w:tc>
      </w:tr>
      <w:tr w14:paraId="4CE7A866">
        <w:tblPrEx>
          <w:tblCellMar>
            <w:top w:w="0" w:type="dxa"/>
            <w:left w:w="108" w:type="dxa"/>
            <w:bottom w:w="0" w:type="dxa"/>
            <w:right w:w="108" w:type="dxa"/>
          </w:tblCellMar>
        </w:tblPrEx>
        <w:trPr>
          <w:trHeight w:val="577" w:hRule="exact"/>
        </w:trPr>
        <w:tc>
          <w:tcPr>
            <w:tcW w:w="552" w:type="dxa"/>
            <w:tcBorders>
              <w:top w:val="single" w:color="000000" w:sz="4" w:space="0"/>
              <w:left w:val="single" w:color="000000" w:sz="10" w:space="0"/>
              <w:bottom w:val="single" w:color="000000" w:sz="4" w:space="0"/>
              <w:right w:val="single" w:color="000000" w:sz="4" w:space="0"/>
              <w:tl2br w:val="nil"/>
              <w:tr2bl w:val="nil"/>
            </w:tcBorders>
          </w:tcPr>
          <w:p w14:paraId="2AB55B42">
            <w:pPr>
              <w:pStyle w:val="25"/>
              <w:kinsoku w:val="0"/>
              <w:overflowPunct w:val="0"/>
              <w:spacing w:before="87"/>
              <w:ind w:right="7"/>
              <w:jc w:val="center"/>
              <w:rPr>
                <w:rFonts w:hint="default" w:ascii="Times New Roman" w:eastAsia="Times New Roman"/>
                <w:color w:val="auto"/>
              </w:rPr>
            </w:pPr>
            <w:r>
              <w:rPr>
                <w:rFonts w:cs="宋体"/>
                <w:color w:val="auto"/>
              </w:rPr>
              <w:t>4</w:t>
            </w:r>
          </w:p>
        </w:tc>
        <w:tc>
          <w:tcPr>
            <w:tcW w:w="2441" w:type="dxa"/>
            <w:tcBorders>
              <w:top w:val="single" w:color="000000" w:sz="4" w:space="0"/>
              <w:left w:val="single" w:color="000000" w:sz="4" w:space="0"/>
              <w:bottom w:val="single" w:color="000000" w:sz="4" w:space="0"/>
              <w:right w:val="single" w:color="000000" w:sz="4" w:space="0"/>
              <w:tl2br w:val="nil"/>
              <w:tr2bl w:val="nil"/>
            </w:tcBorders>
          </w:tcPr>
          <w:p w14:paraId="58002E2D">
            <w:pPr>
              <w:rPr>
                <w:rFonts w:hint="default" w:ascii="Times New Roman" w:eastAsia="Times New Roman"/>
                <w:color w:val="auto"/>
              </w:rPr>
            </w:pPr>
          </w:p>
        </w:tc>
        <w:tc>
          <w:tcPr>
            <w:tcW w:w="4725" w:type="dxa"/>
            <w:tcBorders>
              <w:top w:val="single" w:color="000000" w:sz="4" w:space="0"/>
              <w:left w:val="single" w:color="000000" w:sz="4" w:space="0"/>
              <w:bottom w:val="single" w:color="000000" w:sz="4" w:space="0"/>
              <w:right w:val="single" w:color="000000" w:sz="4" w:space="0"/>
              <w:tl2br w:val="nil"/>
              <w:tr2bl w:val="nil"/>
            </w:tcBorders>
          </w:tcPr>
          <w:p w14:paraId="3998AFEE">
            <w:pPr>
              <w:rPr>
                <w:rFonts w:hint="default" w:ascii="Times New Roman" w:eastAsia="Times New Roman"/>
                <w:color w:val="auto"/>
              </w:rPr>
            </w:pPr>
          </w:p>
        </w:tc>
        <w:tc>
          <w:tcPr>
            <w:tcW w:w="1749" w:type="dxa"/>
            <w:tcBorders>
              <w:top w:val="single" w:color="000000" w:sz="4" w:space="0"/>
              <w:left w:val="single" w:color="000000" w:sz="4" w:space="0"/>
              <w:bottom w:val="single" w:color="000000" w:sz="4" w:space="0"/>
              <w:right w:val="single" w:color="000000" w:sz="10" w:space="0"/>
              <w:tl2br w:val="nil"/>
              <w:tr2bl w:val="nil"/>
            </w:tcBorders>
          </w:tcPr>
          <w:p w14:paraId="62716621">
            <w:pPr>
              <w:rPr>
                <w:rFonts w:hint="default" w:ascii="Times New Roman" w:eastAsia="Times New Roman"/>
                <w:color w:val="auto"/>
              </w:rPr>
            </w:pPr>
          </w:p>
        </w:tc>
      </w:tr>
      <w:tr w14:paraId="78F42D79">
        <w:tblPrEx>
          <w:tblCellMar>
            <w:top w:w="0" w:type="dxa"/>
            <w:left w:w="108" w:type="dxa"/>
            <w:bottom w:w="0" w:type="dxa"/>
            <w:right w:w="108" w:type="dxa"/>
          </w:tblCellMar>
        </w:tblPrEx>
        <w:trPr>
          <w:trHeight w:val="577" w:hRule="exact"/>
        </w:trPr>
        <w:tc>
          <w:tcPr>
            <w:tcW w:w="552" w:type="dxa"/>
            <w:tcBorders>
              <w:top w:val="single" w:color="000000" w:sz="4" w:space="0"/>
              <w:left w:val="single" w:color="000000" w:sz="10" w:space="0"/>
              <w:bottom w:val="single" w:color="000000" w:sz="4" w:space="0"/>
              <w:right w:val="single" w:color="000000" w:sz="4" w:space="0"/>
              <w:tl2br w:val="nil"/>
              <w:tr2bl w:val="nil"/>
            </w:tcBorders>
          </w:tcPr>
          <w:p w14:paraId="6035ABA5">
            <w:pPr>
              <w:pStyle w:val="25"/>
              <w:kinsoku w:val="0"/>
              <w:overflowPunct w:val="0"/>
              <w:spacing w:before="86"/>
              <w:ind w:right="7"/>
              <w:jc w:val="center"/>
              <w:rPr>
                <w:rFonts w:hint="default" w:ascii="Times New Roman" w:eastAsia="Times New Roman"/>
                <w:color w:val="auto"/>
              </w:rPr>
            </w:pPr>
            <w:r>
              <w:rPr>
                <w:rFonts w:cs="宋体"/>
                <w:color w:val="auto"/>
              </w:rPr>
              <w:t>5</w:t>
            </w:r>
          </w:p>
        </w:tc>
        <w:tc>
          <w:tcPr>
            <w:tcW w:w="2441" w:type="dxa"/>
            <w:tcBorders>
              <w:top w:val="single" w:color="000000" w:sz="4" w:space="0"/>
              <w:left w:val="single" w:color="000000" w:sz="4" w:space="0"/>
              <w:bottom w:val="single" w:color="000000" w:sz="4" w:space="0"/>
              <w:right w:val="single" w:color="000000" w:sz="4" w:space="0"/>
              <w:tl2br w:val="nil"/>
              <w:tr2bl w:val="nil"/>
            </w:tcBorders>
          </w:tcPr>
          <w:p w14:paraId="71B20FE3">
            <w:pPr>
              <w:rPr>
                <w:rFonts w:hint="default" w:ascii="Times New Roman" w:eastAsia="Times New Roman"/>
                <w:color w:val="auto"/>
              </w:rPr>
            </w:pPr>
          </w:p>
        </w:tc>
        <w:tc>
          <w:tcPr>
            <w:tcW w:w="4725" w:type="dxa"/>
            <w:tcBorders>
              <w:top w:val="single" w:color="000000" w:sz="4" w:space="0"/>
              <w:left w:val="single" w:color="000000" w:sz="4" w:space="0"/>
              <w:bottom w:val="single" w:color="000000" w:sz="4" w:space="0"/>
              <w:right w:val="single" w:color="000000" w:sz="4" w:space="0"/>
              <w:tl2br w:val="nil"/>
              <w:tr2bl w:val="nil"/>
            </w:tcBorders>
          </w:tcPr>
          <w:p w14:paraId="74A39E89">
            <w:pPr>
              <w:rPr>
                <w:rFonts w:hint="default" w:ascii="Times New Roman" w:eastAsia="Times New Roman"/>
                <w:color w:val="auto"/>
              </w:rPr>
            </w:pPr>
          </w:p>
        </w:tc>
        <w:tc>
          <w:tcPr>
            <w:tcW w:w="1749" w:type="dxa"/>
            <w:tcBorders>
              <w:top w:val="single" w:color="000000" w:sz="4" w:space="0"/>
              <w:left w:val="single" w:color="000000" w:sz="4" w:space="0"/>
              <w:bottom w:val="single" w:color="000000" w:sz="4" w:space="0"/>
              <w:right w:val="single" w:color="000000" w:sz="10" w:space="0"/>
              <w:tl2br w:val="nil"/>
              <w:tr2bl w:val="nil"/>
            </w:tcBorders>
          </w:tcPr>
          <w:p w14:paraId="2CEB4D5F">
            <w:pPr>
              <w:rPr>
                <w:rFonts w:hint="default" w:ascii="Times New Roman" w:eastAsia="Times New Roman"/>
                <w:color w:val="auto"/>
              </w:rPr>
            </w:pPr>
          </w:p>
        </w:tc>
      </w:tr>
      <w:tr w14:paraId="4FD94D21">
        <w:tblPrEx>
          <w:tblCellMar>
            <w:top w:w="0" w:type="dxa"/>
            <w:left w:w="108" w:type="dxa"/>
            <w:bottom w:w="0" w:type="dxa"/>
            <w:right w:w="108" w:type="dxa"/>
          </w:tblCellMar>
        </w:tblPrEx>
        <w:trPr>
          <w:trHeight w:val="587" w:hRule="exact"/>
        </w:trPr>
        <w:tc>
          <w:tcPr>
            <w:tcW w:w="552" w:type="dxa"/>
            <w:tcBorders>
              <w:top w:val="single" w:color="000000" w:sz="4" w:space="0"/>
              <w:left w:val="single" w:color="000000" w:sz="10" w:space="0"/>
              <w:bottom w:val="single" w:color="000000" w:sz="10" w:space="0"/>
              <w:right w:val="single" w:color="000000" w:sz="4" w:space="0"/>
              <w:tl2br w:val="nil"/>
              <w:tr2bl w:val="nil"/>
            </w:tcBorders>
          </w:tcPr>
          <w:p w14:paraId="3F194783">
            <w:pPr>
              <w:pStyle w:val="25"/>
              <w:kinsoku w:val="0"/>
              <w:overflowPunct w:val="0"/>
              <w:spacing w:before="87"/>
              <w:ind w:right="7"/>
              <w:jc w:val="center"/>
              <w:rPr>
                <w:rFonts w:hint="default" w:ascii="Times New Roman" w:eastAsia="Times New Roman"/>
                <w:color w:val="auto"/>
              </w:rPr>
            </w:pPr>
            <w:r>
              <w:rPr>
                <w:rFonts w:cs="宋体"/>
                <w:color w:val="auto"/>
              </w:rPr>
              <w:t>6</w:t>
            </w:r>
          </w:p>
        </w:tc>
        <w:tc>
          <w:tcPr>
            <w:tcW w:w="2441" w:type="dxa"/>
            <w:tcBorders>
              <w:top w:val="single" w:color="000000" w:sz="4" w:space="0"/>
              <w:left w:val="single" w:color="000000" w:sz="4" w:space="0"/>
              <w:bottom w:val="single" w:color="000000" w:sz="10" w:space="0"/>
              <w:right w:val="single" w:color="000000" w:sz="4" w:space="0"/>
              <w:tl2br w:val="nil"/>
              <w:tr2bl w:val="nil"/>
            </w:tcBorders>
          </w:tcPr>
          <w:p w14:paraId="2444D08F">
            <w:pPr>
              <w:pStyle w:val="25"/>
              <w:kinsoku w:val="0"/>
              <w:overflowPunct w:val="0"/>
              <w:spacing w:before="87"/>
              <w:jc w:val="center"/>
              <w:rPr>
                <w:rFonts w:hint="default" w:ascii="Times New Roman" w:eastAsia="Times New Roman"/>
                <w:color w:val="auto"/>
              </w:rPr>
            </w:pPr>
            <w:r>
              <w:rPr>
                <w:rFonts w:cs="宋体"/>
                <w:color w:val="auto"/>
              </w:rPr>
              <w:t>…</w:t>
            </w:r>
          </w:p>
        </w:tc>
        <w:tc>
          <w:tcPr>
            <w:tcW w:w="4725" w:type="dxa"/>
            <w:tcBorders>
              <w:top w:val="single" w:color="000000" w:sz="4" w:space="0"/>
              <w:left w:val="single" w:color="000000" w:sz="4" w:space="0"/>
              <w:bottom w:val="single" w:color="000000" w:sz="10" w:space="0"/>
              <w:right w:val="single" w:color="000000" w:sz="4" w:space="0"/>
              <w:tl2br w:val="nil"/>
              <w:tr2bl w:val="nil"/>
            </w:tcBorders>
          </w:tcPr>
          <w:p w14:paraId="7BC69D6E">
            <w:pPr>
              <w:rPr>
                <w:rFonts w:hint="default" w:ascii="Times New Roman" w:eastAsia="Times New Roman"/>
                <w:color w:val="auto"/>
              </w:rPr>
            </w:pPr>
          </w:p>
        </w:tc>
        <w:tc>
          <w:tcPr>
            <w:tcW w:w="1749" w:type="dxa"/>
            <w:tcBorders>
              <w:top w:val="single" w:color="000000" w:sz="4" w:space="0"/>
              <w:left w:val="single" w:color="000000" w:sz="4" w:space="0"/>
              <w:bottom w:val="single" w:color="000000" w:sz="10" w:space="0"/>
              <w:right w:val="single" w:color="000000" w:sz="10" w:space="0"/>
              <w:tl2br w:val="nil"/>
              <w:tr2bl w:val="nil"/>
            </w:tcBorders>
          </w:tcPr>
          <w:p w14:paraId="2B8E35DA">
            <w:pPr>
              <w:rPr>
                <w:rFonts w:hint="default" w:ascii="Times New Roman" w:eastAsia="Times New Roman"/>
                <w:color w:val="auto"/>
              </w:rPr>
            </w:pPr>
          </w:p>
        </w:tc>
      </w:tr>
    </w:tbl>
    <w:p w14:paraId="0089CB04">
      <w:pPr>
        <w:pStyle w:val="8"/>
        <w:kinsoku w:val="0"/>
        <w:overflowPunct w:val="0"/>
        <w:spacing w:before="7"/>
        <w:ind w:left="0"/>
        <w:rPr>
          <w:rFonts w:hint="default"/>
          <w:color w:val="auto"/>
          <w:sz w:val="7"/>
          <w:szCs w:val="7"/>
        </w:rPr>
      </w:pPr>
    </w:p>
    <w:p w14:paraId="231AE8DC">
      <w:pPr>
        <w:pStyle w:val="8"/>
        <w:kinsoku w:val="0"/>
        <w:overflowPunct w:val="0"/>
        <w:spacing w:before="26" w:line="367" w:lineRule="auto"/>
        <w:ind w:left="700" w:right="717"/>
        <w:jc w:val="both"/>
        <w:rPr>
          <w:rFonts w:hint="default" w:hAnsi="Segoe UI"/>
          <w:color w:val="auto"/>
        </w:rPr>
      </w:pPr>
      <w:r>
        <w:rPr>
          <w:color w:val="auto"/>
          <w:spacing w:val="-2"/>
        </w:rPr>
        <w:t>说明：</w:t>
      </w:r>
      <w:r>
        <w:rPr>
          <w:rFonts w:hint="default" w:ascii="Segoe UI" w:hAnsi="Segoe UI" w:cs="Segoe UI"/>
          <w:color w:val="auto"/>
          <w:spacing w:val="-2"/>
        </w:rPr>
        <w:t>1.</w:t>
      </w:r>
      <w:r>
        <w:rPr>
          <w:rFonts w:hAnsi="Segoe UI"/>
          <w:color w:val="auto"/>
          <w:spacing w:val="-2"/>
        </w:rPr>
        <w:t>投标供应商必须填写技术明细表。如果此表中所列内容无法满足招标文</w:t>
      </w:r>
      <w:r>
        <w:rPr>
          <w:rFonts w:hAnsi="Segoe UI"/>
          <w:color w:val="auto"/>
          <w:spacing w:val="-86"/>
        </w:rPr>
        <w:t xml:space="preserve"> </w:t>
      </w:r>
      <w:r>
        <w:rPr>
          <w:rFonts w:hAnsi="Segoe UI"/>
          <w:color w:val="auto"/>
          <w:spacing w:val="-3"/>
        </w:rPr>
        <w:t>件中提出的要求或者与投标供应商在技术文件中提供的内容不一致，投标有可能</w:t>
      </w:r>
      <w:r>
        <w:rPr>
          <w:rFonts w:hAnsi="Segoe UI"/>
          <w:color w:val="auto"/>
          <w:spacing w:val="-109"/>
        </w:rPr>
        <w:t xml:space="preserve"> </w:t>
      </w:r>
      <w:r>
        <w:rPr>
          <w:rFonts w:hAnsi="Segoe UI"/>
          <w:color w:val="auto"/>
        </w:rPr>
        <w:t>被拒绝。</w:t>
      </w:r>
    </w:p>
    <w:p w14:paraId="25CE76EB">
      <w:pPr>
        <w:pStyle w:val="8"/>
        <w:kinsoku w:val="0"/>
        <w:overflowPunct w:val="0"/>
        <w:spacing w:before="113"/>
        <w:ind w:left="1420"/>
        <w:rPr>
          <w:rFonts w:hint="default" w:hAnsi="Segoe UI"/>
          <w:color w:val="auto"/>
        </w:rPr>
      </w:pPr>
      <w:r>
        <w:rPr>
          <w:rFonts w:hint="default" w:ascii="Segoe UI" w:hAnsi="Segoe UI" w:cs="Segoe UI"/>
          <w:color w:val="auto"/>
        </w:rPr>
        <w:t>2.</w:t>
      </w:r>
      <w:r>
        <w:rPr>
          <w:rFonts w:hAnsi="Segoe UI"/>
          <w:color w:val="auto"/>
        </w:rPr>
        <w:t>描述部分不得完全复制招标文件内容，否则按无效投标处理。</w:t>
      </w:r>
    </w:p>
    <w:p w14:paraId="0C7AF578">
      <w:pPr>
        <w:pStyle w:val="8"/>
        <w:kinsoku w:val="0"/>
        <w:overflowPunct w:val="0"/>
        <w:spacing w:before="0"/>
        <w:ind w:left="0"/>
        <w:rPr>
          <w:rFonts w:hint="default"/>
          <w:color w:val="auto"/>
        </w:rPr>
      </w:pPr>
    </w:p>
    <w:p w14:paraId="663D5355">
      <w:pPr>
        <w:pStyle w:val="8"/>
        <w:kinsoku w:val="0"/>
        <w:overflowPunct w:val="0"/>
        <w:spacing w:before="11"/>
        <w:ind w:left="0"/>
        <w:rPr>
          <w:rFonts w:hint="default"/>
          <w:color w:val="auto"/>
          <w:sz w:val="26"/>
          <w:szCs w:val="26"/>
        </w:rPr>
      </w:pPr>
    </w:p>
    <w:p w14:paraId="1AC04589">
      <w:pPr>
        <w:pStyle w:val="8"/>
        <w:tabs>
          <w:tab w:val="left" w:pos="479"/>
          <w:tab w:val="left" w:pos="959"/>
        </w:tabs>
        <w:kinsoku w:val="0"/>
        <w:overflowPunct w:val="0"/>
        <w:spacing w:before="0"/>
        <w:ind w:left="0" w:right="734"/>
        <w:jc w:val="right"/>
        <w:rPr>
          <w:rFonts w:hint="default"/>
          <w:color w:val="auto"/>
        </w:rPr>
      </w:pPr>
      <w:r>
        <w:rPr>
          <w:color w:val="auto"/>
        </w:rPr>
        <w:t>年</w:t>
      </w:r>
      <w:r>
        <w:rPr>
          <w:color w:val="auto"/>
        </w:rPr>
        <w:tab/>
      </w:r>
      <w:r>
        <w:rPr>
          <w:color w:val="auto"/>
        </w:rPr>
        <w:t>月</w:t>
      </w:r>
      <w:r>
        <w:rPr>
          <w:color w:val="auto"/>
        </w:rPr>
        <w:tab/>
      </w:r>
      <w:r>
        <w:rPr>
          <w:color w:val="auto"/>
        </w:rPr>
        <w:t>日</w:t>
      </w:r>
    </w:p>
    <w:p w14:paraId="7F5B6446">
      <w:pPr>
        <w:pStyle w:val="8"/>
        <w:tabs>
          <w:tab w:val="left" w:pos="479"/>
          <w:tab w:val="left" w:pos="959"/>
        </w:tabs>
        <w:kinsoku w:val="0"/>
        <w:overflowPunct w:val="0"/>
        <w:spacing w:before="0"/>
        <w:ind w:left="0" w:right="734"/>
        <w:jc w:val="right"/>
        <w:rPr>
          <w:rFonts w:hint="default"/>
          <w:color w:val="auto"/>
        </w:rPr>
        <w:sectPr>
          <w:pgSz w:w="11910" w:h="16840"/>
          <w:pgMar w:top="1500" w:right="1080" w:bottom="1600" w:left="1100" w:header="0" w:footer="1395" w:gutter="0"/>
          <w:pgNumType w:fmt="decimal"/>
          <w:cols w:space="720" w:num="1"/>
        </w:sectPr>
      </w:pPr>
    </w:p>
    <w:p w14:paraId="181C7453">
      <w:pPr>
        <w:pStyle w:val="8"/>
        <w:kinsoku w:val="0"/>
        <w:overflowPunct w:val="0"/>
        <w:spacing w:before="2" w:line="357" w:lineRule="auto"/>
        <w:ind w:left="180" w:right="6290"/>
        <w:rPr>
          <w:rFonts w:hint="default"/>
          <w:color w:val="auto"/>
        </w:rPr>
      </w:pPr>
      <w:bookmarkStart w:id="85" w:name="四、服务（响应）文件"/>
      <w:bookmarkEnd w:id="85"/>
      <w:r>
        <w:rPr>
          <w:color w:val="auto"/>
        </w:rPr>
        <w:t>&lt;2&gt;</w:t>
      </w:r>
      <w:r>
        <w:rPr>
          <w:color w:val="auto"/>
          <w:sz w:val="21"/>
          <w:szCs w:val="21"/>
        </w:rPr>
        <w:t>★</w:t>
      </w:r>
      <w:r>
        <w:rPr>
          <w:b/>
          <w:color w:val="auto"/>
        </w:rPr>
        <w:t>技术规范偏离表</w:t>
      </w:r>
      <w:r>
        <w:rPr>
          <w:b/>
          <w:color w:val="auto"/>
          <w:w w:val="99"/>
        </w:rPr>
        <w:t xml:space="preserve"> </w:t>
      </w:r>
      <w:r>
        <w:rPr>
          <w:color w:val="auto"/>
        </w:rPr>
        <w:t>项目编号、包号：</w:t>
      </w:r>
    </w:p>
    <w:tbl>
      <w:tblPr>
        <w:tblStyle w:val="20"/>
        <w:tblW w:w="0" w:type="auto"/>
        <w:tblInd w:w="221" w:type="dxa"/>
        <w:tblLayout w:type="fixed"/>
        <w:tblCellMar>
          <w:top w:w="0" w:type="dxa"/>
          <w:left w:w="108" w:type="dxa"/>
          <w:bottom w:w="0" w:type="dxa"/>
          <w:right w:w="108" w:type="dxa"/>
        </w:tblCellMar>
      </w:tblPr>
      <w:tblGrid>
        <w:gridCol w:w="955"/>
        <w:gridCol w:w="2101"/>
        <w:gridCol w:w="1707"/>
        <w:gridCol w:w="1337"/>
        <w:gridCol w:w="1337"/>
        <w:gridCol w:w="977"/>
      </w:tblGrid>
      <w:tr w14:paraId="1304CE5B">
        <w:tblPrEx>
          <w:tblCellMar>
            <w:top w:w="0" w:type="dxa"/>
            <w:left w:w="108" w:type="dxa"/>
            <w:bottom w:w="0" w:type="dxa"/>
            <w:right w:w="108" w:type="dxa"/>
          </w:tblCellMar>
        </w:tblPrEx>
        <w:trPr>
          <w:trHeight w:val="956" w:hRule="exact"/>
        </w:trPr>
        <w:tc>
          <w:tcPr>
            <w:tcW w:w="955" w:type="dxa"/>
            <w:tcBorders>
              <w:top w:val="single" w:color="000000" w:sz="10" w:space="0"/>
              <w:left w:val="single" w:color="000000" w:sz="10" w:space="0"/>
              <w:bottom w:val="single" w:color="000000" w:sz="4" w:space="0"/>
              <w:right w:val="single" w:color="000000" w:sz="4" w:space="0"/>
              <w:tl2br w:val="nil"/>
              <w:tr2bl w:val="nil"/>
            </w:tcBorders>
          </w:tcPr>
          <w:p w14:paraId="2C99B133">
            <w:pPr>
              <w:pStyle w:val="25"/>
              <w:kinsoku w:val="0"/>
              <w:overflowPunct w:val="0"/>
              <w:spacing w:before="10"/>
              <w:rPr>
                <w:rFonts w:hint="default" w:cs="宋体"/>
                <w:color w:val="auto"/>
                <w:sz w:val="20"/>
                <w:szCs w:val="20"/>
              </w:rPr>
            </w:pPr>
          </w:p>
          <w:p w14:paraId="080B3AB1">
            <w:pPr>
              <w:pStyle w:val="25"/>
              <w:kinsoku w:val="0"/>
              <w:overflowPunct w:val="0"/>
              <w:ind w:left="222"/>
              <w:rPr>
                <w:rFonts w:hint="default" w:ascii="Times New Roman" w:eastAsia="Times New Roman"/>
                <w:color w:val="auto"/>
              </w:rPr>
            </w:pPr>
            <w:r>
              <w:rPr>
                <w:rFonts w:cs="宋体"/>
                <w:color w:val="auto"/>
              </w:rPr>
              <w:t>序号</w:t>
            </w:r>
          </w:p>
        </w:tc>
        <w:tc>
          <w:tcPr>
            <w:tcW w:w="2101" w:type="dxa"/>
            <w:tcBorders>
              <w:top w:val="single" w:color="000000" w:sz="10" w:space="0"/>
              <w:left w:val="single" w:color="000000" w:sz="4" w:space="0"/>
              <w:bottom w:val="single" w:color="000000" w:sz="4" w:space="0"/>
              <w:right w:val="single" w:color="000000" w:sz="4" w:space="0"/>
              <w:tl2br w:val="nil"/>
              <w:tr2bl w:val="nil"/>
            </w:tcBorders>
          </w:tcPr>
          <w:p w14:paraId="6A59B1A0">
            <w:pPr>
              <w:pStyle w:val="25"/>
              <w:kinsoku w:val="0"/>
              <w:overflowPunct w:val="0"/>
              <w:spacing w:before="38"/>
              <w:jc w:val="center"/>
              <w:rPr>
                <w:rFonts w:hint="default" w:cs="宋体"/>
                <w:color w:val="auto"/>
              </w:rPr>
            </w:pPr>
            <w:r>
              <w:rPr>
                <w:rFonts w:cs="宋体"/>
                <w:color w:val="auto"/>
              </w:rPr>
              <w:t>采购文件技术条</w:t>
            </w:r>
          </w:p>
          <w:p w14:paraId="349577D5">
            <w:pPr>
              <w:pStyle w:val="25"/>
              <w:kinsoku w:val="0"/>
              <w:overflowPunct w:val="0"/>
              <w:spacing w:before="154"/>
              <w:jc w:val="center"/>
              <w:rPr>
                <w:rFonts w:hint="default" w:ascii="Times New Roman" w:eastAsia="Times New Roman"/>
                <w:color w:val="auto"/>
              </w:rPr>
            </w:pPr>
            <w:r>
              <w:rPr>
                <w:rFonts w:cs="宋体"/>
                <w:color w:val="auto"/>
              </w:rPr>
              <w:t>款条目号</w:t>
            </w:r>
          </w:p>
        </w:tc>
        <w:tc>
          <w:tcPr>
            <w:tcW w:w="1707" w:type="dxa"/>
            <w:tcBorders>
              <w:top w:val="single" w:color="000000" w:sz="10" w:space="0"/>
              <w:left w:val="single" w:color="000000" w:sz="4" w:space="0"/>
              <w:bottom w:val="single" w:color="000000" w:sz="4" w:space="0"/>
              <w:right w:val="single" w:color="000000" w:sz="4" w:space="0"/>
              <w:tl2br w:val="nil"/>
              <w:tr2bl w:val="nil"/>
            </w:tcBorders>
          </w:tcPr>
          <w:p w14:paraId="3964699B">
            <w:pPr>
              <w:pStyle w:val="25"/>
              <w:kinsoku w:val="0"/>
              <w:overflowPunct w:val="0"/>
              <w:spacing w:before="38"/>
              <w:jc w:val="center"/>
              <w:rPr>
                <w:rFonts w:hint="default" w:cs="宋体"/>
                <w:color w:val="auto"/>
              </w:rPr>
            </w:pPr>
            <w:r>
              <w:rPr>
                <w:rFonts w:cs="宋体"/>
                <w:color w:val="auto"/>
              </w:rPr>
              <w:t>采购文件技术</w:t>
            </w:r>
          </w:p>
          <w:p w14:paraId="5A142542">
            <w:pPr>
              <w:pStyle w:val="25"/>
              <w:kinsoku w:val="0"/>
              <w:overflowPunct w:val="0"/>
              <w:spacing w:before="154"/>
              <w:jc w:val="center"/>
              <w:rPr>
                <w:rFonts w:hint="default" w:ascii="Times New Roman" w:eastAsia="Times New Roman"/>
                <w:color w:val="auto"/>
              </w:rPr>
            </w:pPr>
            <w:r>
              <w:rPr>
                <w:rFonts w:cs="宋体"/>
                <w:color w:val="auto"/>
              </w:rPr>
              <w:t>条款内容</w:t>
            </w:r>
          </w:p>
        </w:tc>
        <w:tc>
          <w:tcPr>
            <w:tcW w:w="1337" w:type="dxa"/>
            <w:tcBorders>
              <w:top w:val="single" w:color="000000" w:sz="10" w:space="0"/>
              <w:left w:val="single" w:color="000000" w:sz="4" w:space="0"/>
              <w:bottom w:val="single" w:color="000000" w:sz="4" w:space="0"/>
              <w:right w:val="single" w:color="000000" w:sz="4" w:space="0"/>
              <w:tl2br w:val="nil"/>
              <w:tr2bl w:val="nil"/>
            </w:tcBorders>
          </w:tcPr>
          <w:p w14:paraId="64B7C784">
            <w:pPr>
              <w:pStyle w:val="25"/>
              <w:kinsoku w:val="0"/>
              <w:overflowPunct w:val="0"/>
              <w:spacing w:before="38"/>
              <w:ind w:left="182"/>
              <w:rPr>
                <w:rFonts w:hint="default" w:cs="宋体"/>
                <w:color w:val="auto"/>
              </w:rPr>
            </w:pPr>
            <w:r>
              <w:rPr>
                <w:rFonts w:cs="宋体"/>
                <w:color w:val="auto"/>
              </w:rPr>
              <w:t>投标文件对应内容</w:t>
            </w:r>
          </w:p>
        </w:tc>
        <w:tc>
          <w:tcPr>
            <w:tcW w:w="1337" w:type="dxa"/>
            <w:tcBorders>
              <w:top w:val="single" w:color="000000" w:sz="10" w:space="0"/>
              <w:left w:val="single" w:color="000000" w:sz="4" w:space="0"/>
              <w:bottom w:val="single" w:color="000000" w:sz="4" w:space="0"/>
              <w:right w:val="single" w:color="000000" w:sz="4" w:space="0"/>
              <w:tl2br w:val="nil"/>
              <w:tr2bl w:val="nil"/>
            </w:tcBorders>
          </w:tcPr>
          <w:p w14:paraId="05DF5D72">
            <w:pPr>
              <w:pStyle w:val="25"/>
              <w:kinsoku w:val="0"/>
              <w:overflowPunct w:val="0"/>
              <w:spacing w:before="10"/>
              <w:rPr>
                <w:rFonts w:hint="default" w:cs="宋体"/>
                <w:color w:val="auto"/>
                <w:sz w:val="20"/>
                <w:szCs w:val="20"/>
              </w:rPr>
            </w:pPr>
          </w:p>
          <w:p w14:paraId="30EAB6B7">
            <w:pPr>
              <w:pStyle w:val="25"/>
              <w:kinsoku w:val="0"/>
              <w:overflowPunct w:val="0"/>
              <w:rPr>
                <w:rFonts w:hint="default" w:ascii="Times New Roman" w:eastAsia="Times New Roman"/>
                <w:color w:val="auto"/>
              </w:rPr>
            </w:pPr>
            <w:r>
              <w:rPr>
                <w:rFonts w:cs="宋体"/>
                <w:color w:val="auto"/>
              </w:rPr>
              <w:t>是否偏离</w:t>
            </w:r>
          </w:p>
        </w:tc>
        <w:tc>
          <w:tcPr>
            <w:tcW w:w="977" w:type="dxa"/>
            <w:tcBorders>
              <w:top w:val="single" w:color="000000" w:sz="10" w:space="0"/>
              <w:left w:val="single" w:color="000000" w:sz="4" w:space="0"/>
              <w:bottom w:val="single" w:color="000000" w:sz="4" w:space="0"/>
              <w:right w:val="single" w:color="000000" w:sz="10" w:space="0"/>
              <w:tl2br w:val="nil"/>
              <w:tr2bl w:val="nil"/>
            </w:tcBorders>
          </w:tcPr>
          <w:p w14:paraId="567BAAFB">
            <w:pPr>
              <w:pStyle w:val="25"/>
              <w:kinsoku w:val="0"/>
              <w:overflowPunct w:val="0"/>
              <w:spacing w:before="38"/>
              <w:ind w:left="244"/>
              <w:rPr>
                <w:rFonts w:hint="default" w:cs="宋体"/>
                <w:color w:val="auto"/>
              </w:rPr>
            </w:pPr>
            <w:r>
              <w:rPr>
                <w:rFonts w:cs="宋体"/>
                <w:color w:val="auto"/>
              </w:rPr>
              <w:t>偏离</w:t>
            </w:r>
          </w:p>
          <w:p w14:paraId="6E68A4C3">
            <w:pPr>
              <w:pStyle w:val="25"/>
              <w:kinsoku w:val="0"/>
              <w:overflowPunct w:val="0"/>
              <w:spacing w:before="154"/>
              <w:ind w:left="244"/>
              <w:rPr>
                <w:rFonts w:hint="default" w:ascii="Times New Roman" w:eastAsia="Times New Roman"/>
                <w:color w:val="auto"/>
              </w:rPr>
            </w:pPr>
            <w:r>
              <w:rPr>
                <w:rFonts w:cs="宋体"/>
                <w:color w:val="auto"/>
              </w:rPr>
              <w:t>说明</w:t>
            </w:r>
          </w:p>
        </w:tc>
      </w:tr>
      <w:tr w14:paraId="5DC54A07">
        <w:tblPrEx>
          <w:tblCellMar>
            <w:top w:w="0" w:type="dxa"/>
            <w:left w:w="108" w:type="dxa"/>
            <w:bottom w:w="0" w:type="dxa"/>
            <w:right w:w="108" w:type="dxa"/>
          </w:tblCellMar>
        </w:tblPrEx>
        <w:trPr>
          <w:trHeight w:val="780" w:hRule="exact"/>
        </w:trPr>
        <w:tc>
          <w:tcPr>
            <w:tcW w:w="955" w:type="dxa"/>
            <w:tcBorders>
              <w:top w:val="single" w:color="000000" w:sz="4" w:space="0"/>
              <w:left w:val="single" w:color="000000" w:sz="10" w:space="0"/>
              <w:bottom w:val="single" w:color="000000" w:sz="4" w:space="0"/>
              <w:right w:val="single" w:color="000000" w:sz="4" w:space="0"/>
              <w:tl2br w:val="nil"/>
              <w:tr2bl w:val="nil"/>
            </w:tcBorders>
          </w:tcPr>
          <w:p w14:paraId="0481FFBC">
            <w:pPr>
              <w:rPr>
                <w:rFonts w:hint="default" w:ascii="Times New Roman" w:eastAsia="Times New Roman"/>
                <w:color w:val="auto"/>
              </w:rPr>
            </w:pPr>
          </w:p>
        </w:tc>
        <w:tc>
          <w:tcPr>
            <w:tcW w:w="2101" w:type="dxa"/>
            <w:tcBorders>
              <w:top w:val="single" w:color="000000" w:sz="4" w:space="0"/>
              <w:left w:val="single" w:color="000000" w:sz="4" w:space="0"/>
              <w:bottom w:val="single" w:color="000000" w:sz="4" w:space="0"/>
              <w:right w:val="single" w:color="000000" w:sz="4" w:space="0"/>
              <w:tl2br w:val="nil"/>
              <w:tr2bl w:val="nil"/>
            </w:tcBorders>
          </w:tcPr>
          <w:p w14:paraId="6CC0D93E">
            <w:pPr>
              <w:rPr>
                <w:rFonts w:hint="default" w:ascii="Times New Roman" w:eastAsia="Times New Roman"/>
                <w:color w:val="auto"/>
              </w:rPr>
            </w:pPr>
          </w:p>
        </w:tc>
        <w:tc>
          <w:tcPr>
            <w:tcW w:w="1707" w:type="dxa"/>
            <w:tcBorders>
              <w:top w:val="single" w:color="000000" w:sz="4" w:space="0"/>
              <w:left w:val="single" w:color="000000" w:sz="4" w:space="0"/>
              <w:bottom w:val="single" w:color="000000" w:sz="4" w:space="0"/>
              <w:right w:val="single" w:color="000000" w:sz="4" w:space="0"/>
              <w:tl2br w:val="nil"/>
              <w:tr2bl w:val="nil"/>
            </w:tcBorders>
          </w:tcPr>
          <w:p w14:paraId="428CEF93">
            <w:pPr>
              <w:rPr>
                <w:rFonts w:hint="default" w:ascii="Times New Roman" w:eastAsia="Times New Roman"/>
                <w:color w:val="auto"/>
              </w:rPr>
            </w:pPr>
          </w:p>
        </w:tc>
        <w:tc>
          <w:tcPr>
            <w:tcW w:w="1337" w:type="dxa"/>
            <w:tcBorders>
              <w:top w:val="single" w:color="000000" w:sz="4" w:space="0"/>
              <w:left w:val="single" w:color="000000" w:sz="4" w:space="0"/>
              <w:bottom w:val="single" w:color="000000" w:sz="4" w:space="0"/>
              <w:right w:val="single" w:color="000000" w:sz="4" w:space="0"/>
              <w:tl2br w:val="nil"/>
              <w:tr2bl w:val="nil"/>
            </w:tcBorders>
          </w:tcPr>
          <w:p w14:paraId="4C88C4B5">
            <w:pPr>
              <w:rPr>
                <w:rFonts w:hint="default" w:ascii="Times New Roman" w:eastAsia="Times New Roman"/>
                <w:color w:val="auto"/>
              </w:rPr>
            </w:pPr>
          </w:p>
        </w:tc>
        <w:tc>
          <w:tcPr>
            <w:tcW w:w="1337" w:type="dxa"/>
            <w:tcBorders>
              <w:top w:val="single" w:color="000000" w:sz="4" w:space="0"/>
              <w:left w:val="single" w:color="000000" w:sz="4" w:space="0"/>
              <w:bottom w:val="single" w:color="000000" w:sz="4" w:space="0"/>
              <w:right w:val="single" w:color="000000" w:sz="4" w:space="0"/>
              <w:tl2br w:val="nil"/>
              <w:tr2bl w:val="nil"/>
            </w:tcBorders>
          </w:tcPr>
          <w:p w14:paraId="1BF71461">
            <w:pPr>
              <w:rPr>
                <w:rFonts w:hint="default" w:ascii="Times New Roman" w:eastAsia="Times New Roman"/>
                <w:color w:val="auto"/>
              </w:rPr>
            </w:pPr>
          </w:p>
        </w:tc>
        <w:tc>
          <w:tcPr>
            <w:tcW w:w="977" w:type="dxa"/>
            <w:tcBorders>
              <w:top w:val="single" w:color="000000" w:sz="4" w:space="0"/>
              <w:left w:val="single" w:color="000000" w:sz="4" w:space="0"/>
              <w:bottom w:val="single" w:color="000000" w:sz="4" w:space="0"/>
              <w:right w:val="single" w:color="000000" w:sz="10" w:space="0"/>
              <w:tl2br w:val="nil"/>
              <w:tr2bl w:val="nil"/>
            </w:tcBorders>
          </w:tcPr>
          <w:p w14:paraId="6E0CAD71">
            <w:pPr>
              <w:rPr>
                <w:rFonts w:hint="default" w:ascii="Times New Roman" w:eastAsia="Times New Roman"/>
                <w:color w:val="auto"/>
              </w:rPr>
            </w:pPr>
          </w:p>
        </w:tc>
      </w:tr>
      <w:tr w14:paraId="532B861B">
        <w:tblPrEx>
          <w:tblCellMar>
            <w:top w:w="0" w:type="dxa"/>
            <w:left w:w="108" w:type="dxa"/>
            <w:bottom w:w="0" w:type="dxa"/>
            <w:right w:w="108" w:type="dxa"/>
          </w:tblCellMar>
        </w:tblPrEx>
        <w:trPr>
          <w:trHeight w:val="780" w:hRule="exact"/>
        </w:trPr>
        <w:tc>
          <w:tcPr>
            <w:tcW w:w="955" w:type="dxa"/>
            <w:tcBorders>
              <w:top w:val="single" w:color="000000" w:sz="4" w:space="0"/>
              <w:left w:val="single" w:color="000000" w:sz="10" w:space="0"/>
              <w:bottom w:val="single" w:color="000000" w:sz="4" w:space="0"/>
              <w:right w:val="single" w:color="000000" w:sz="4" w:space="0"/>
              <w:tl2br w:val="nil"/>
              <w:tr2bl w:val="nil"/>
            </w:tcBorders>
          </w:tcPr>
          <w:p w14:paraId="74AABAF7">
            <w:pPr>
              <w:rPr>
                <w:rFonts w:hint="default" w:ascii="Times New Roman" w:eastAsia="Times New Roman"/>
                <w:color w:val="auto"/>
              </w:rPr>
            </w:pPr>
          </w:p>
        </w:tc>
        <w:tc>
          <w:tcPr>
            <w:tcW w:w="2101" w:type="dxa"/>
            <w:tcBorders>
              <w:top w:val="single" w:color="000000" w:sz="4" w:space="0"/>
              <w:left w:val="single" w:color="000000" w:sz="4" w:space="0"/>
              <w:bottom w:val="single" w:color="000000" w:sz="4" w:space="0"/>
              <w:right w:val="single" w:color="000000" w:sz="4" w:space="0"/>
              <w:tl2br w:val="nil"/>
              <w:tr2bl w:val="nil"/>
            </w:tcBorders>
          </w:tcPr>
          <w:p w14:paraId="2BD72B8F">
            <w:pPr>
              <w:rPr>
                <w:rFonts w:hint="default" w:ascii="Times New Roman" w:eastAsia="Times New Roman"/>
                <w:color w:val="auto"/>
              </w:rPr>
            </w:pPr>
          </w:p>
        </w:tc>
        <w:tc>
          <w:tcPr>
            <w:tcW w:w="1707" w:type="dxa"/>
            <w:tcBorders>
              <w:top w:val="single" w:color="000000" w:sz="4" w:space="0"/>
              <w:left w:val="single" w:color="000000" w:sz="4" w:space="0"/>
              <w:bottom w:val="single" w:color="000000" w:sz="4" w:space="0"/>
              <w:right w:val="single" w:color="000000" w:sz="4" w:space="0"/>
              <w:tl2br w:val="nil"/>
              <w:tr2bl w:val="nil"/>
            </w:tcBorders>
          </w:tcPr>
          <w:p w14:paraId="62F3EE16">
            <w:pPr>
              <w:rPr>
                <w:rFonts w:hint="default" w:ascii="Times New Roman" w:eastAsia="Times New Roman"/>
                <w:color w:val="auto"/>
              </w:rPr>
            </w:pPr>
          </w:p>
        </w:tc>
        <w:tc>
          <w:tcPr>
            <w:tcW w:w="1337" w:type="dxa"/>
            <w:tcBorders>
              <w:top w:val="single" w:color="000000" w:sz="4" w:space="0"/>
              <w:left w:val="single" w:color="000000" w:sz="4" w:space="0"/>
              <w:bottom w:val="single" w:color="000000" w:sz="4" w:space="0"/>
              <w:right w:val="single" w:color="000000" w:sz="4" w:space="0"/>
              <w:tl2br w:val="nil"/>
              <w:tr2bl w:val="nil"/>
            </w:tcBorders>
          </w:tcPr>
          <w:p w14:paraId="3A1BB425">
            <w:pPr>
              <w:rPr>
                <w:rFonts w:hint="default" w:ascii="Times New Roman" w:eastAsia="Times New Roman"/>
                <w:color w:val="auto"/>
              </w:rPr>
            </w:pPr>
          </w:p>
        </w:tc>
        <w:tc>
          <w:tcPr>
            <w:tcW w:w="1337" w:type="dxa"/>
            <w:tcBorders>
              <w:top w:val="single" w:color="000000" w:sz="4" w:space="0"/>
              <w:left w:val="single" w:color="000000" w:sz="4" w:space="0"/>
              <w:bottom w:val="single" w:color="000000" w:sz="4" w:space="0"/>
              <w:right w:val="single" w:color="000000" w:sz="4" w:space="0"/>
              <w:tl2br w:val="nil"/>
              <w:tr2bl w:val="nil"/>
            </w:tcBorders>
          </w:tcPr>
          <w:p w14:paraId="7065826B">
            <w:pPr>
              <w:rPr>
                <w:rFonts w:hint="default" w:ascii="Times New Roman" w:eastAsia="Times New Roman"/>
                <w:color w:val="auto"/>
              </w:rPr>
            </w:pPr>
          </w:p>
        </w:tc>
        <w:tc>
          <w:tcPr>
            <w:tcW w:w="977" w:type="dxa"/>
            <w:tcBorders>
              <w:top w:val="single" w:color="000000" w:sz="4" w:space="0"/>
              <w:left w:val="single" w:color="000000" w:sz="4" w:space="0"/>
              <w:bottom w:val="single" w:color="000000" w:sz="4" w:space="0"/>
              <w:right w:val="single" w:color="000000" w:sz="10" w:space="0"/>
              <w:tl2br w:val="nil"/>
              <w:tr2bl w:val="nil"/>
            </w:tcBorders>
          </w:tcPr>
          <w:p w14:paraId="0A9AD7CC">
            <w:pPr>
              <w:rPr>
                <w:rFonts w:hint="default" w:ascii="Times New Roman" w:eastAsia="Times New Roman"/>
                <w:color w:val="auto"/>
              </w:rPr>
            </w:pPr>
          </w:p>
        </w:tc>
      </w:tr>
      <w:tr w14:paraId="5CDE6759">
        <w:tblPrEx>
          <w:tblCellMar>
            <w:top w:w="0" w:type="dxa"/>
            <w:left w:w="108" w:type="dxa"/>
            <w:bottom w:w="0" w:type="dxa"/>
            <w:right w:w="108" w:type="dxa"/>
          </w:tblCellMar>
        </w:tblPrEx>
        <w:trPr>
          <w:trHeight w:val="780" w:hRule="exact"/>
        </w:trPr>
        <w:tc>
          <w:tcPr>
            <w:tcW w:w="955" w:type="dxa"/>
            <w:tcBorders>
              <w:top w:val="single" w:color="000000" w:sz="4" w:space="0"/>
              <w:left w:val="single" w:color="000000" w:sz="10" w:space="0"/>
              <w:bottom w:val="single" w:color="000000" w:sz="4" w:space="0"/>
              <w:right w:val="single" w:color="000000" w:sz="4" w:space="0"/>
              <w:tl2br w:val="nil"/>
              <w:tr2bl w:val="nil"/>
            </w:tcBorders>
          </w:tcPr>
          <w:p w14:paraId="7798AB70">
            <w:pPr>
              <w:rPr>
                <w:rFonts w:hint="default" w:ascii="Times New Roman" w:eastAsia="Times New Roman"/>
                <w:color w:val="auto"/>
              </w:rPr>
            </w:pPr>
          </w:p>
        </w:tc>
        <w:tc>
          <w:tcPr>
            <w:tcW w:w="2101" w:type="dxa"/>
            <w:tcBorders>
              <w:top w:val="single" w:color="000000" w:sz="4" w:space="0"/>
              <w:left w:val="single" w:color="000000" w:sz="4" w:space="0"/>
              <w:bottom w:val="single" w:color="000000" w:sz="4" w:space="0"/>
              <w:right w:val="single" w:color="000000" w:sz="4" w:space="0"/>
              <w:tl2br w:val="nil"/>
              <w:tr2bl w:val="nil"/>
            </w:tcBorders>
          </w:tcPr>
          <w:p w14:paraId="013BD673">
            <w:pPr>
              <w:rPr>
                <w:rFonts w:hint="default" w:ascii="Times New Roman" w:eastAsia="Times New Roman"/>
                <w:color w:val="auto"/>
              </w:rPr>
            </w:pPr>
          </w:p>
        </w:tc>
        <w:tc>
          <w:tcPr>
            <w:tcW w:w="1707" w:type="dxa"/>
            <w:tcBorders>
              <w:top w:val="single" w:color="000000" w:sz="4" w:space="0"/>
              <w:left w:val="single" w:color="000000" w:sz="4" w:space="0"/>
              <w:bottom w:val="single" w:color="000000" w:sz="4" w:space="0"/>
              <w:right w:val="single" w:color="000000" w:sz="4" w:space="0"/>
              <w:tl2br w:val="nil"/>
              <w:tr2bl w:val="nil"/>
            </w:tcBorders>
          </w:tcPr>
          <w:p w14:paraId="5C6B6267">
            <w:pPr>
              <w:rPr>
                <w:rFonts w:hint="default" w:ascii="Times New Roman" w:eastAsia="Times New Roman"/>
                <w:color w:val="auto"/>
              </w:rPr>
            </w:pPr>
          </w:p>
        </w:tc>
        <w:tc>
          <w:tcPr>
            <w:tcW w:w="1337" w:type="dxa"/>
            <w:tcBorders>
              <w:top w:val="single" w:color="000000" w:sz="4" w:space="0"/>
              <w:left w:val="single" w:color="000000" w:sz="4" w:space="0"/>
              <w:bottom w:val="single" w:color="000000" w:sz="4" w:space="0"/>
              <w:right w:val="single" w:color="000000" w:sz="4" w:space="0"/>
              <w:tl2br w:val="nil"/>
              <w:tr2bl w:val="nil"/>
            </w:tcBorders>
          </w:tcPr>
          <w:p w14:paraId="26EA7F73">
            <w:pPr>
              <w:rPr>
                <w:rFonts w:hint="default" w:ascii="Times New Roman" w:eastAsia="Times New Roman"/>
                <w:color w:val="auto"/>
              </w:rPr>
            </w:pPr>
          </w:p>
        </w:tc>
        <w:tc>
          <w:tcPr>
            <w:tcW w:w="1337" w:type="dxa"/>
            <w:tcBorders>
              <w:top w:val="single" w:color="000000" w:sz="4" w:space="0"/>
              <w:left w:val="single" w:color="000000" w:sz="4" w:space="0"/>
              <w:bottom w:val="single" w:color="000000" w:sz="4" w:space="0"/>
              <w:right w:val="single" w:color="000000" w:sz="4" w:space="0"/>
              <w:tl2br w:val="nil"/>
              <w:tr2bl w:val="nil"/>
            </w:tcBorders>
          </w:tcPr>
          <w:p w14:paraId="2C242746">
            <w:pPr>
              <w:rPr>
                <w:rFonts w:hint="default" w:ascii="Times New Roman" w:eastAsia="Times New Roman"/>
                <w:color w:val="auto"/>
              </w:rPr>
            </w:pPr>
          </w:p>
        </w:tc>
        <w:tc>
          <w:tcPr>
            <w:tcW w:w="977" w:type="dxa"/>
            <w:tcBorders>
              <w:top w:val="single" w:color="000000" w:sz="4" w:space="0"/>
              <w:left w:val="single" w:color="000000" w:sz="4" w:space="0"/>
              <w:bottom w:val="single" w:color="000000" w:sz="4" w:space="0"/>
              <w:right w:val="single" w:color="000000" w:sz="10" w:space="0"/>
              <w:tl2br w:val="nil"/>
              <w:tr2bl w:val="nil"/>
            </w:tcBorders>
          </w:tcPr>
          <w:p w14:paraId="3A2FAB4D">
            <w:pPr>
              <w:rPr>
                <w:rFonts w:hint="default" w:ascii="Times New Roman" w:eastAsia="Times New Roman"/>
                <w:color w:val="auto"/>
              </w:rPr>
            </w:pPr>
          </w:p>
        </w:tc>
      </w:tr>
      <w:tr w14:paraId="0701514C">
        <w:tblPrEx>
          <w:tblCellMar>
            <w:top w:w="0" w:type="dxa"/>
            <w:left w:w="108" w:type="dxa"/>
            <w:bottom w:w="0" w:type="dxa"/>
            <w:right w:w="108" w:type="dxa"/>
          </w:tblCellMar>
        </w:tblPrEx>
        <w:trPr>
          <w:trHeight w:val="872" w:hRule="exact"/>
        </w:trPr>
        <w:tc>
          <w:tcPr>
            <w:tcW w:w="955" w:type="dxa"/>
            <w:tcBorders>
              <w:top w:val="single" w:color="000000" w:sz="4" w:space="0"/>
              <w:left w:val="single" w:color="000000" w:sz="10" w:space="0"/>
              <w:bottom w:val="single" w:color="000000" w:sz="10" w:space="0"/>
              <w:right w:val="single" w:color="000000" w:sz="4" w:space="0"/>
              <w:tl2br w:val="nil"/>
              <w:tr2bl w:val="nil"/>
            </w:tcBorders>
          </w:tcPr>
          <w:p w14:paraId="0D335B55">
            <w:pPr>
              <w:rPr>
                <w:rFonts w:hint="default" w:ascii="Times New Roman" w:eastAsia="Times New Roman"/>
                <w:color w:val="auto"/>
              </w:rPr>
            </w:pPr>
          </w:p>
        </w:tc>
        <w:tc>
          <w:tcPr>
            <w:tcW w:w="2101" w:type="dxa"/>
            <w:tcBorders>
              <w:top w:val="single" w:color="000000" w:sz="4" w:space="0"/>
              <w:left w:val="single" w:color="000000" w:sz="4" w:space="0"/>
              <w:bottom w:val="single" w:color="000000" w:sz="10" w:space="0"/>
              <w:right w:val="single" w:color="000000" w:sz="4" w:space="0"/>
              <w:tl2br w:val="nil"/>
              <w:tr2bl w:val="nil"/>
            </w:tcBorders>
          </w:tcPr>
          <w:p w14:paraId="1519F161">
            <w:pPr>
              <w:rPr>
                <w:rFonts w:hint="default" w:ascii="Times New Roman" w:eastAsia="Times New Roman"/>
                <w:color w:val="auto"/>
              </w:rPr>
            </w:pPr>
          </w:p>
        </w:tc>
        <w:tc>
          <w:tcPr>
            <w:tcW w:w="1707" w:type="dxa"/>
            <w:tcBorders>
              <w:top w:val="single" w:color="000000" w:sz="4" w:space="0"/>
              <w:left w:val="single" w:color="000000" w:sz="4" w:space="0"/>
              <w:bottom w:val="single" w:color="000000" w:sz="10" w:space="0"/>
              <w:right w:val="single" w:color="000000" w:sz="4" w:space="0"/>
              <w:tl2br w:val="nil"/>
              <w:tr2bl w:val="nil"/>
            </w:tcBorders>
          </w:tcPr>
          <w:p w14:paraId="5332FE17">
            <w:pPr>
              <w:rPr>
                <w:rFonts w:hint="default" w:ascii="Times New Roman" w:eastAsia="Times New Roman"/>
                <w:color w:val="auto"/>
              </w:rPr>
            </w:pPr>
          </w:p>
        </w:tc>
        <w:tc>
          <w:tcPr>
            <w:tcW w:w="1337" w:type="dxa"/>
            <w:tcBorders>
              <w:top w:val="single" w:color="000000" w:sz="4" w:space="0"/>
              <w:left w:val="single" w:color="000000" w:sz="4" w:space="0"/>
              <w:bottom w:val="single" w:color="000000" w:sz="10" w:space="0"/>
              <w:right w:val="single" w:color="000000" w:sz="4" w:space="0"/>
              <w:tl2br w:val="nil"/>
              <w:tr2bl w:val="nil"/>
            </w:tcBorders>
          </w:tcPr>
          <w:p w14:paraId="743B1B4F">
            <w:pPr>
              <w:rPr>
                <w:rFonts w:hint="default" w:ascii="Times New Roman" w:eastAsia="Times New Roman"/>
                <w:color w:val="auto"/>
              </w:rPr>
            </w:pPr>
          </w:p>
        </w:tc>
        <w:tc>
          <w:tcPr>
            <w:tcW w:w="1337" w:type="dxa"/>
            <w:tcBorders>
              <w:top w:val="single" w:color="000000" w:sz="4" w:space="0"/>
              <w:left w:val="single" w:color="000000" w:sz="4" w:space="0"/>
              <w:bottom w:val="single" w:color="000000" w:sz="10" w:space="0"/>
              <w:right w:val="single" w:color="000000" w:sz="4" w:space="0"/>
              <w:tl2br w:val="nil"/>
              <w:tr2bl w:val="nil"/>
            </w:tcBorders>
          </w:tcPr>
          <w:p w14:paraId="387CA784">
            <w:pPr>
              <w:rPr>
                <w:rFonts w:hint="default" w:ascii="Times New Roman" w:eastAsia="Times New Roman"/>
                <w:color w:val="auto"/>
              </w:rPr>
            </w:pPr>
          </w:p>
        </w:tc>
        <w:tc>
          <w:tcPr>
            <w:tcW w:w="977" w:type="dxa"/>
            <w:tcBorders>
              <w:top w:val="single" w:color="000000" w:sz="4" w:space="0"/>
              <w:left w:val="single" w:color="000000" w:sz="4" w:space="0"/>
              <w:bottom w:val="single" w:color="000000" w:sz="10" w:space="0"/>
              <w:right w:val="single" w:color="000000" w:sz="10" w:space="0"/>
              <w:tl2br w:val="nil"/>
              <w:tr2bl w:val="nil"/>
            </w:tcBorders>
          </w:tcPr>
          <w:p w14:paraId="52217319">
            <w:pPr>
              <w:rPr>
                <w:rFonts w:hint="default" w:ascii="Times New Roman" w:eastAsia="Times New Roman"/>
                <w:color w:val="auto"/>
              </w:rPr>
            </w:pPr>
          </w:p>
        </w:tc>
      </w:tr>
    </w:tbl>
    <w:p w14:paraId="7ADB4686">
      <w:pPr>
        <w:rPr>
          <w:rFonts w:hint="default" w:ascii="Times New Roman" w:eastAsia="Times New Roman"/>
          <w:color w:val="auto"/>
        </w:rPr>
        <w:sectPr>
          <w:pgSz w:w="11910" w:h="16840"/>
          <w:pgMar w:top="1460" w:right="1560" w:bottom="1600" w:left="1620" w:header="0" w:footer="1395" w:gutter="0"/>
          <w:pgNumType w:fmt="decimal"/>
          <w:cols w:space="720" w:num="1"/>
        </w:sectPr>
      </w:pPr>
    </w:p>
    <w:p w14:paraId="6CB70983">
      <w:pPr>
        <w:pStyle w:val="8"/>
        <w:kinsoku w:val="0"/>
        <w:overflowPunct w:val="0"/>
        <w:spacing w:before="0"/>
        <w:ind w:left="0"/>
        <w:rPr>
          <w:rFonts w:hint="default"/>
          <w:color w:val="auto"/>
        </w:rPr>
      </w:pPr>
    </w:p>
    <w:p w14:paraId="26CF7547">
      <w:pPr>
        <w:pStyle w:val="8"/>
        <w:kinsoku w:val="0"/>
        <w:overflowPunct w:val="0"/>
        <w:spacing w:before="191"/>
        <w:ind w:left="180"/>
        <w:rPr>
          <w:rFonts w:hint="default"/>
          <w:color w:val="auto"/>
        </w:rPr>
      </w:pPr>
      <w:r>
        <w:rPr>
          <w:color w:val="auto"/>
        </w:rPr>
        <w:t>说明：</w:t>
      </w:r>
    </w:p>
    <w:p w14:paraId="0EC1FA34">
      <w:pPr>
        <w:pStyle w:val="8"/>
        <w:kinsoku w:val="0"/>
        <w:overflowPunct w:val="0"/>
        <w:spacing w:before="37"/>
        <w:ind w:left="180"/>
        <w:rPr>
          <w:rFonts w:hint="default"/>
          <w:color w:val="auto"/>
        </w:rPr>
      </w:pPr>
      <w:r>
        <w:rPr>
          <w:rFonts w:ascii="Times New Roman" w:eastAsia="Times New Roman" w:cs="Times New Roman"/>
          <w:color w:val="auto"/>
        </w:rPr>
        <w:br w:type="column"/>
      </w:r>
      <w:r>
        <w:rPr>
          <w:color w:val="auto"/>
        </w:rPr>
        <w:t>年月日</w:t>
      </w:r>
    </w:p>
    <w:p w14:paraId="07A31CF0">
      <w:pPr>
        <w:pStyle w:val="8"/>
        <w:kinsoku w:val="0"/>
        <w:overflowPunct w:val="0"/>
        <w:spacing w:before="37"/>
        <w:ind w:left="180"/>
        <w:rPr>
          <w:rFonts w:hint="default"/>
          <w:color w:val="auto"/>
        </w:rPr>
        <w:sectPr>
          <w:type w:val="continuous"/>
          <w:pgSz w:w="11910" w:h="16840"/>
          <w:pgMar w:top="1580" w:right="1560" w:bottom="1600" w:left="1620" w:header="720" w:footer="720" w:gutter="0"/>
          <w:pgNumType w:fmt="decimal"/>
          <w:cols w:equalWidth="0" w:num="2">
            <w:col w:w="901" w:space="5099"/>
            <w:col w:w="2730"/>
          </w:cols>
        </w:sectPr>
      </w:pPr>
    </w:p>
    <w:p w14:paraId="576F7757">
      <w:pPr>
        <w:pStyle w:val="8"/>
        <w:kinsoku w:val="0"/>
        <w:overflowPunct w:val="0"/>
        <w:spacing w:before="10"/>
        <w:ind w:left="0"/>
        <w:rPr>
          <w:rFonts w:hint="default"/>
          <w:color w:val="auto"/>
          <w:sz w:val="9"/>
          <w:szCs w:val="9"/>
        </w:rPr>
      </w:pPr>
    </w:p>
    <w:p w14:paraId="45DCE3BE">
      <w:pPr>
        <w:pStyle w:val="8"/>
        <w:kinsoku w:val="0"/>
        <w:overflowPunct w:val="0"/>
        <w:spacing w:before="26" w:line="357" w:lineRule="auto"/>
        <w:ind w:left="180"/>
        <w:rPr>
          <w:rFonts w:hint="default"/>
          <w:color w:val="auto"/>
        </w:rPr>
      </w:pPr>
      <w:r>
        <w:rPr>
          <w:color w:val="auto"/>
          <w:spacing w:val="-3"/>
        </w:rPr>
        <w:t>1.</w:t>
      </w:r>
      <w:r>
        <w:rPr>
          <w:rFonts w:hint="eastAsia"/>
          <w:color w:val="auto"/>
          <w:spacing w:val="-3"/>
          <w:lang w:eastAsia="zh-CN"/>
        </w:rPr>
        <w:t>供应商</w:t>
      </w:r>
      <w:r>
        <w:rPr>
          <w:color w:val="auto"/>
          <w:spacing w:val="-3"/>
        </w:rPr>
        <w:t>必须填写《技术明细表》。如果表中所列内容无法满足招标文件中提出</w:t>
      </w:r>
      <w:r>
        <w:rPr>
          <w:color w:val="auto"/>
          <w:spacing w:val="-108"/>
        </w:rPr>
        <w:t xml:space="preserve"> </w:t>
      </w:r>
      <w:r>
        <w:rPr>
          <w:color w:val="auto"/>
        </w:rPr>
        <w:t>的要求或者与</w:t>
      </w:r>
      <w:r>
        <w:rPr>
          <w:rFonts w:hint="eastAsia"/>
          <w:color w:val="auto"/>
          <w:lang w:eastAsia="zh-CN"/>
        </w:rPr>
        <w:t>供应商</w:t>
      </w:r>
      <w:r>
        <w:rPr>
          <w:color w:val="auto"/>
        </w:rPr>
        <w:t>在技术文件中提供的内容不一致，投标有可能被拒绝；</w:t>
      </w:r>
    </w:p>
    <w:p w14:paraId="03224CCC">
      <w:pPr>
        <w:pStyle w:val="8"/>
        <w:kinsoku w:val="0"/>
        <w:overflowPunct w:val="0"/>
        <w:ind w:left="180"/>
        <w:rPr>
          <w:rFonts w:hint="default"/>
          <w:color w:val="auto"/>
        </w:rPr>
      </w:pPr>
      <w:r>
        <w:rPr>
          <w:color w:val="auto"/>
        </w:rPr>
        <w:t>2</w:t>
      </w:r>
      <w:r>
        <w:rPr>
          <w:color w:val="auto"/>
          <w:spacing w:val="-60"/>
        </w:rPr>
        <w:t xml:space="preserve"> </w:t>
      </w:r>
      <w:r>
        <w:rPr>
          <w:rFonts w:hint="eastAsia"/>
          <w:color w:val="auto"/>
          <w:lang w:eastAsia="zh-CN"/>
        </w:rPr>
        <w:t>供应商</w:t>
      </w:r>
      <w:r>
        <w:rPr>
          <w:color w:val="auto"/>
        </w:rPr>
        <w:t>需根据所投产品的实际参数逐项填写《技术规范偏离表》；</w:t>
      </w:r>
    </w:p>
    <w:p w14:paraId="158B6A45">
      <w:pPr>
        <w:pStyle w:val="8"/>
        <w:kinsoku w:val="0"/>
        <w:overflowPunct w:val="0"/>
        <w:spacing w:before="154"/>
        <w:ind w:left="180"/>
        <w:rPr>
          <w:rFonts w:hint="default"/>
          <w:color w:val="auto"/>
        </w:rPr>
      </w:pPr>
      <w:r>
        <w:rPr>
          <w:color w:val="auto"/>
        </w:rPr>
        <w:t>3.经评审委员会认定技术规格复制招标文件内容的，按无效投标处理；</w:t>
      </w:r>
    </w:p>
    <w:p w14:paraId="0F9AA75D">
      <w:pPr>
        <w:pStyle w:val="8"/>
        <w:kinsoku w:val="0"/>
        <w:overflowPunct w:val="0"/>
        <w:spacing w:before="187" w:line="336" w:lineRule="auto"/>
        <w:ind w:left="180"/>
        <w:rPr>
          <w:rFonts w:hint="default"/>
          <w:color w:val="auto"/>
        </w:rPr>
      </w:pPr>
      <w:r>
        <w:rPr>
          <w:color w:val="auto"/>
          <w:spacing w:val="-3"/>
        </w:rPr>
        <w:t>4.</w:t>
      </w:r>
      <w:r>
        <w:rPr>
          <w:rFonts w:hint="eastAsia"/>
          <w:color w:val="auto"/>
          <w:spacing w:val="-3"/>
          <w:lang w:eastAsia="zh-CN"/>
        </w:rPr>
        <w:t>供应商</w:t>
      </w:r>
      <w:r>
        <w:rPr>
          <w:color w:val="auto"/>
          <w:spacing w:val="-3"/>
        </w:rPr>
        <w:t>须对本采购文件技术要求进行点对点应答，必须根据本采购文件的要求,</w:t>
      </w:r>
      <w:r>
        <w:rPr>
          <w:color w:val="auto"/>
          <w:spacing w:val="-104"/>
        </w:rPr>
        <w:t xml:space="preserve"> </w:t>
      </w:r>
      <w:r>
        <w:rPr>
          <w:color w:val="auto"/>
        </w:rPr>
        <w:t>进行逐条逐项答复、说明和解释。</w:t>
      </w:r>
    </w:p>
    <w:p w14:paraId="1E85A256">
      <w:pPr>
        <w:pStyle w:val="8"/>
        <w:kinsoku w:val="0"/>
        <w:overflowPunct w:val="0"/>
        <w:spacing w:before="187" w:line="336" w:lineRule="auto"/>
        <w:ind w:left="180"/>
        <w:rPr>
          <w:rFonts w:hint="default"/>
          <w:color w:val="auto"/>
        </w:rPr>
        <w:sectPr>
          <w:type w:val="continuous"/>
          <w:pgSz w:w="11910" w:h="16840"/>
          <w:pgMar w:top="1580" w:right="1560" w:bottom="1600" w:left="1620" w:header="720" w:footer="720" w:gutter="0"/>
          <w:pgNumType w:fmt="decimal"/>
          <w:cols w:space="720" w:num="1"/>
        </w:sectPr>
      </w:pPr>
    </w:p>
    <w:p w14:paraId="6A724AFB">
      <w:pPr>
        <w:pStyle w:val="3"/>
        <w:kinsoku w:val="0"/>
        <w:overflowPunct w:val="0"/>
        <w:spacing w:line="395" w:lineRule="exact"/>
        <w:rPr>
          <w:rFonts w:hint="default"/>
          <w:b w:val="0"/>
          <w:color w:val="auto"/>
        </w:rPr>
      </w:pPr>
      <w:bookmarkStart w:id="86" w:name="1、投标人自行编写的服务文件"/>
      <w:bookmarkEnd w:id="86"/>
      <w:r>
        <w:rPr>
          <w:color w:val="auto"/>
        </w:rPr>
        <w:t>四、服务文件</w:t>
      </w:r>
    </w:p>
    <w:p w14:paraId="1799F49B">
      <w:pPr>
        <w:pStyle w:val="3"/>
        <w:kinsoku w:val="0"/>
        <w:overflowPunct w:val="0"/>
        <w:spacing w:line="395" w:lineRule="exact"/>
        <w:outlineLvl w:val="9"/>
        <w:rPr>
          <w:rFonts w:hint="default"/>
          <w:b w:val="0"/>
          <w:color w:val="auto"/>
        </w:rPr>
        <w:sectPr>
          <w:pgSz w:w="11910" w:h="16840"/>
          <w:pgMar w:top="1500" w:right="1680" w:bottom="1600" w:left="1680" w:header="0" w:footer="1395" w:gutter="0"/>
          <w:pgNumType w:fmt="decimal"/>
          <w:cols w:space="720" w:num="1"/>
        </w:sectPr>
      </w:pPr>
    </w:p>
    <w:p w14:paraId="5B67C2A8">
      <w:pPr>
        <w:pStyle w:val="8"/>
        <w:kinsoku w:val="0"/>
        <w:overflowPunct w:val="0"/>
        <w:spacing w:before="0" w:line="395" w:lineRule="exact"/>
        <w:ind w:left="760" w:right="1166"/>
        <w:rPr>
          <w:rFonts w:hint="default" w:ascii="黑体" w:eastAsia="黑体" w:cs="黑体"/>
          <w:color w:val="auto"/>
          <w:sz w:val="32"/>
          <w:szCs w:val="32"/>
        </w:rPr>
      </w:pPr>
      <w:r>
        <w:rPr>
          <w:rFonts w:ascii="黑体" w:eastAsia="黑体" w:cs="黑体"/>
          <w:b/>
          <w:color w:val="auto"/>
          <w:sz w:val="32"/>
          <w:szCs w:val="32"/>
        </w:rPr>
        <w:t>1、</w:t>
      </w:r>
      <w:r>
        <w:rPr>
          <w:rFonts w:hint="eastAsia" w:ascii="黑体" w:eastAsia="黑体" w:cs="黑体"/>
          <w:b/>
          <w:color w:val="auto"/>
          <w:sz w:val="32"/>
          <w:szCs w:val="32"/>
          <w:lang w:eastAsia="zh-CN"/>
        </w:rPr>
        <w:t>供应商</w:t>
      </w:r>
      <w:r>
        <w:rPr>
          <w:rFonts w:ascii="黑体" w:eastAsia="黑体" w:cs="黑体"/>
          <w:b/>
          <w:color w:val="auto"/>
          <w:sz w:val="32"/>
          <w:szCs w:val="32"/>
        </w:rPr>
        <w:t>自行编写的服务文件</w:t>
      </w:r>
    </w:p>
    <w:p w14:paraId="2DAB6F79">
      <w:pPr>
        <w:pStyle w:val="8"/>
        <w:kinsoku w:val="0"/>
        <w:overflowPunct w:val="0"/>
        <w:spacing w:before="190"/>
        <w:ind w:left="760" w:right="1166"/>
        <w:rPr>
          <w:rFonts w:hint="default"/>
          <w:color w:val="auto"/>
        </w:rPr>
      </w:pPr>
      <w:r>
        <w:rPr>
          <w:color w:val="auto"/>
        </w:rPr>
        <w:t>①服务内容：</w:t>
      </w:r>
    </w:p>
    <w:p w14:paraId="58D2F390">
      <w:pPr>
        <w:pStyle w:val="8"/>
        <w:kinsoku w:val="0"/>
        <w:overflowPunct w:val="0"/>
        <w:spacing w:before="77"/>
        <w:ind w:left="760" w:right="1166"/>
        <w:rPr>
          <w:rFonts w:hint="default"/>
          <w:color w:val="auto"/>
        </w:rPr>
      </w:pPr>
      <w:r>
        <w:rPr>
          <w:color w:val="auto"/>
        </w:rPr>
        <w:t>&lt;1&gt;后续服务的程序、内容、措施以及合理化建议</w:t>
      </w:r>
    </w:p>
    <w:p w14:paraId="1C339BB5">
      <w:pPr>
        <w:pStyle w:val="8"/>
        <w:kinsoku w:val="0"/>
        <w:overflowPunct w:val="0"/>
        <w:spacing w:before="21"/>
        <w:ind w:left="760" w:right="1166"/>
        <w:rPr>
          <w:rFonts w:hint="default"/>
          <w:color w:val="auto"/>
          <w:sz w:val="21"/>
          <w:szCs w:val="21"/>
        </w:rPr>
      </w:pPr>
      <w:r>
        <w:rPr>
          <w:color w:val="auto"/>
          <w:sz w:val="21"/>
          <w:szCs w:val="21"/>
        </w:rPr>
        <w:t>备注：服务方案、服务体系、各类工具设备配置说明、培训方案等，格式自拟。</w:t>
      </w:r>
    </w:p>
    <w:p w14:paraId="1433B73B">
      <w:pPr>
        <w:pStyle w:val="8"/>
        <w:kinsoku w:val="0"/>
        <w:overflowPunct w:val="0"/>
        <w:spacing w:before="91"/>
        <w:ind w:left="760" w:right="1166"/>
        <w:rPr>
          <w:rFonts w:hint="default"/>
          <w:color w:val="auto"/>
        </w:rPr>
      </w:pPr>
      <w:r>
        <w:rPr>
          <w:color w:val="auto"/>
        </w:rPr>
        <w:t>&lt;2&gt;响应时间；</w:t>
      </w:r>
    </w:p>
    <w:p w14:paraId="505CCE3A">
      <w:pPr>
        <w:pStyle w:val="8"/>
        <w:kinsoku w:val="0"/>
        <w:overflowPunct w:val="0"/>
        <w:spacing w:before="154" w:line="357" w:lineRule="auto"/>
        <w:ind w:left="1120" w:hanging="291"/>
        <w:rPr>
          <w:rFonts w:hint="default"/>
          <w:color w:val="auto"/>
        </w:rPr>
      </w:pPr>
      <w:r>
        <w:rPr>
          <w:rFonts w:hint="default"/>
          <w:color w:val="auto"/>
        </w:rPr>
        <mc:AlternateContent>
          <mc:Choice Requires="wps">
            <w:drawing>
              <wp:anchor distT="0" distB="0" distL="114300" distR="114300" simplePos="0" relativeHeight="251667456" behindDoc="1" locked="0" layoutInCell="0" allowOverlap="1">
                <wp:simplePos x="0" y="0"/>
                <wp:positionH relativeFrom="page">
                  <wp:posOffset>1143635</wp:posOffset>
                </wp:positionH>
                <wp:positionV relativeFrom="paragraph">
                  <wp:posOffset>147320</wp:posOffset>
                </wp:positionV>
                <wp:extent cx="151765" cy="152400"/>
                <wp:effectExtent l="4445" t="4445" r="8890" b="8255"/>
                <wp:wrapNone/>
                <wp:docPr id="17" name="任意多边形 149"/>
                <wp:cNvGraphicFramePr/>
                <a:graphic xmlns:a="http://schemas.openxmlformats.org/drawingml/2006/main">
                  <a:graphicData uri="http://schemas.microsoft.com/office/word/2010/wordprocessingShape">
                    <wps:wsp>
                      <wps:cNvSpPr/>
                      <wps:spPr>
                        <a:xfrm>
                          <a:off x="0" y="0"/>
                          <a:ext cx="151765" cy="152400"/>
                        </a:xfrm>
                        <a:custGeom>
                          <a:avLst/>
                          <a:gdLst/>
                          <a:ahLst/>
                          <a:cxnLst/>
                          <a:rect l="0" t="0" r="0" b="0"/>
                          <a:pathLst>
                            <a:path w="239" h="240">
                              <a:moveTo>
                                <a:pt x="238" y="119"/>
                              </a:moveTo>
                              <a:lnTo>
                                <a:pt x="236" y="142"/>
                              </a:lnTo>
                              <a:lnTo>
                                <a:pt x="229" y="164"/>
                              </a:lnTo>
                              <a:lnTo>
                                <a:pt x="220" y="183"/>
                              </a:lnTo>
                              <a:lnTo>
                                <a:pt x="206" y="200"/>
                              </a:lnTo>
                              <a:lnTo>
                                <a:pt x="190" y="215"/>
                              </a:lnTo>
                              <a:lnTo>
                                <a:pt x="172" y="227"/>
                              </a:lnTo>
                              <a:lnTo>
                                <a:pt x="151" y="235"/>
                              </a:lnTo>
                              <a:lnTo>
                                <a:pt x="129" y="239"/>
                              </a:lnTo>
                              <a:lnTo>
                                <a:pt x="104" y="237"/>
                              </a:lnTo>
                              <a:lnTo>
                                <a:pt x="81" y="231"/>
                              </a:lnTo>
                              <a:lnTo>
                                <a:pt x="60" y="223"/>
                              </a:lnTo>
                              <a:lnTo>
                                <a:pt x="42" y="211"/>
                              </a:lnTo>
                              <a:lnTo>
                                <a:pt x="26" y="196"/>
                              </a:lnTo>
                              <a:lnTo>
                                <a:pt x="14" y="179"/>
                              </a:lnTo>
                              <a:lnTo>
                                <a:pt x="5" y="160"/>
                              </a:lnTo>
                              <a:lnTo>
                                <a:pt x="0" y="139"/>
                              </a:lnTo>
                              <a:lnTo>
                                <a:pt x="1" y="112"/>
                              </a:lnTo>
                              <a:lnTo>
                                <a:pt x="6" y="88"/>
                              </a:lnTo>
                              <a:lnTo>
                                <a:pt x="14" y="66"/>
                              </a:lnTo>
                              <a:lnTo>
                                <a:pt x="25" y="48"/>
                              </a:lnTo>
                              <a:lnTo>
                                <a:pt x="38" y="31"/>
                              </a:lnTo>
                              <a:lnTo>
                                <a:pt x="54" y="18"/>
                              </a:lnTo>
                              <a:lnTo>
                                <a:pt x="72" y="9"/>
                              </a:lnTo>
                              <a:lnTo>
                                <a:pt x="91" y="2"/>
                              </a:lnTo>
                              <a:lnTo>
                                <a:pt x="112" y="0"/>
                              </a:lnTo>
                              <a:lnTo>
                                <a:pt x="136" y="2"/>
                              </a:lnTo>
                              <a:lnTo>
                                <a:pt x="158" y="7"/>
                              </a:lnTo>
                              <a:lnTo>
                                <a:pt x="179" y="17"/>
                              </a:lnTo>
                              <a:lnTo>
                                <a:pt x="196" y="29"/>
                              </a:lnTo>
                              <a:lnTo>
                                <a:pt x="211" y="45"/>
                              </a:lnTo>
                              <a:lnTo>
                                <a:pt x="223" y="63"/>
                              </a:lnTo>
                              <a:lnTo>
                                <a:pt x="232" y="82"/>
                              </a:lnTo>
                              <a:lnTo>
                                <a:pt x="237" y="104"/>
                              </a:lnTo>
                            </a:path>
                          </a:pathLst>
                        </a:custGeom>
                        <a:noFill/>
                        <a:ln w="63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9" o:spid="_x0000_s1026" o:spt="100" style="position:absolute;left:0pt;margin-left:90.05pt;margin-top:11.6pt;height:12pt;width:11.95pt;mso-position-horizontal-relative:page;z-index:-251649024;mso-width-relative:page;mso-height-relative:page;" filled="f" stroked="t" coordsize="239,240" o:allowincell="f" o:gfxdata="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EK4iRTVAAAACQEAAA8AAAAAAAAAAQAgAAAAIgAA&#10;AGRycy9kb3ducmV2LnhtbFBLAQIUABQAAAAIAIdO4kDy8d0MKAMAAJwJAAAOAAAAAAAAAAEAIAAA&#10;ACQBAABkcnMvZTJvRG9jLnhtbFBLBQYAAAAABgAGAFkBAAC+BgAAAAA=&#10;" path="m238,119l236,142,229,164,220,183,206,200,190,215,172,227,151,235,129,239,104,237,81,231,60,223,42,211,26,196,14,179,5,160,0,139,1,112,6,88,14,66,25,48,38,31,54,18,72,9,91,2,112,0,136,2,158,7,179,17,196,29,211,45,223,63,232,82,237,104e">
                <v:fill on="f" focussize="0,0"/>
                <v:stroke weight="0.05pt" color="#000000" joinstyle="round"/>
                <v:imagedata o:title=""/>
                <o:lock v:ext="edit" aspectratio="f"/>
              </v:shape>
            </w:pict>
          </mc:Fallback>
        </mc:AlternateContent>
      </w:r>
      <w:r>
        <w:rPr>
          <w:color w:val="auto"/>
          <w:sz w:val="20"/>
          <w:szCs w:val="20"/>
        </w:rPr>
        <w:t>2</w:t>
      </w:r>
      <w:r>
        <w:rPr>
          <w:color w:val="auto"/>
          <w:spacing w:val="10"/>
          <w:sz w:val="20"/>
          <w:szCs w:val="20"/>
        </w:rPr>
        <w:t xml:space="preserve"> </w:t>
      </w:r>
      <w:r>
        <w:rPr>
          <w:color w:val="auto"/>
        </w:rPr>
        <w:t>服务网点明细表（包括联系人、详细地址、电话、传真）及本地化服务情况一览表；</w:t>
      </w:r>
    </w:p>
    <w:p w14:paraId="67D800B3">
      <w:pPr>
        <w:pStyle w:val="8"/>
        <w:kinsoku w:val="0"/>
        <w:overflowPunct w:val="0"/>
        <w:ind w:left="760" w:right="1166"/>
        <w:rPr>
          <w:rFonts w:hint="default"/>
          <w:color w:val="auto"/>
        </w:rPr>
      </w:pPr>
      <w:r>
        <w:rPr>
          <w:color w:val="auto"/>
        </w:rPr>
        <w:t>附本地化服务一览表：</w:t>
      </w:r>
    </w:p>
    <w:p w14:paraId="73FB2067">
      <w:pPr>
        <w:pStyle w:val="8"/>
        <w:kinsoku w:val="0"/>
        <w:overflowPunct w:val="0"/>
        <w:spacing w:before="9"/>
        <w:ind w:left="0"/>
        <w:rPr>
          <w:rFonts w:hint="default"/>
          <w:color w:val="auto"/>
          <w:sz w:val="8"/>
          <w:szCs w:val="8"/>
        </w:rPr>
      </w:pPr>
    </w:p>
    <w:tbl>
      <w:tblPr>
        <w:tblStyle w:val="20"/>
        <w:tblW w:w="0" w:type="auto"/>
        <w:tblInd w:w="220" w:type="dxa"/>
        <w:tblLayout w:type="fixed"/>
        <w:tblCellMar>
          <w:top w:w="0" w:type="dxa"/>
          <w:left w:w="108" w:type="dxa"/>
          <w:bottom w:w="0" w:type="dxa"/>
          <w:right w:w="108" w:type="dxa"/>
        </w:tblCellMar>
      </w:tblPr>
      <w:tblGrid>
        <w:gridCol w:w="1900"/>
        <w:gridCol w:w="2940"/>
        <w:gridCol w:w="2180"/>
        <w:gridCol w:w="2571"/>
      </w:tblGrid>
      <w:tr w14:paraId="0BE57469">
        <w:tblPrEx>
          <w:tblCellMar>
            <w:top w:w="0" w:type="dxa"/>
            <w:left w:w="108" w:type="dxa"/>
            <w:bottom w:w="0" w:type="dxa"/>
            <w:right w:w="108" w:type="dxa"/>
          </w:tblCellMar>
        </w:tblPrEx>
        <w:trPr>
          <w:trHeight w:val="478" w:hRule="exact"/>
        </w:trPr>
        <w:tc>
          <w:tcPr>
            <w:tcW w:w="1900" w:type="dxa"/>
            <w:tcBorders>
              <w:top w:val="single" w:color="000000" w:sz="4" w:space="0"/>
              <w:left w:val="single" w:color="000000" w:sz="4" w:space="0"/>
              <w:bottom w:val="single" w:color="000000" w:sz="4" w:space="0"/>
              <w:right w:val="single" w:color="000000" w:sz="4" w:space="0"/>
              <w:tl2br w:val="nil"/>
              <w:tr2bl w:val="nil"/>
            </w:tcBorders>
          </w:tcPr>
          <w:p w14:paraId="01643C8D">
            <w:pPr>
              <w:pStyle w:val="25"/>
              <w:kinsoku w:val="0"/>
              <w:overflowPunct w:val="0"/>
              <w:spacing w:before="40"/>
              <w:ind w:left="345"/>
              <w:rPr>
                <w:rFonts w:hint="default" w:ascii="Times New Roman" w:eastAsia="Times New Roman"/>
                <w:color w:val="auto"/>
              </w:rPr>
            </w:pPr>
            <w:r>
              <w:rPr>
                <w:rFonts w:hint="eastAsia" w:cs="宋体"/>
                <w:color w:val="auto"/>
                <w:lang w:eastAsia="zh-CN"/>
              </w:rPr>
              <w:t>供应商</w:t>
            </w:r>
            <w:r>
              <w:rPr>
                <w:rFonts w:cs="宋体"/>
                <w:color w:val="auto"/>
              </w:rPr>
              <w:t>名称</w:t>
            </w:r>
          </w:p>
        </w:tc>
        <w:tc>
          <w:tcPr>
            <w:tcW w:w="7691" w:type="dxa"/>
            <w:gridSpan w:val="3"/>
            <w:tcBorders>
              <w:top w:val="single" w:color="000000" w:sz="4" w:space="0"/>
              <w:left w:val="single" w:color="000000" w:sz="4" w:space="0"/>
              <w:bottom w:val="single" w:color="000000" w:sz="4" w:space="0"/>
              <w:right w:val="single" w:color="000000" w:sz="4" w:space="0"/>
              <w:tl2br w:val="nil"/>
              <w:tr2bl w:val="nil"/>
            </w:tcBorders>
          </w:tcPr>
          <w:p w14:paraId="755EA6C7">
            <w:pPr>
              <w:rPr>
                <w:rFonts w:hint="default" w:ascii="Times New Roman" w:eastAsia="Times New Roman"/>
                <w:color w:val="auto"/>
              </w:rPr>
            </w:pPr>
          </w:p>
        </w:tc>
      </w:tr>
      <w:tr w14:paraId="1B0FA22F">
        <w:tblPrEx>
          <w:tblCellMar>
            <w:top w:w="0" w:type="dxa"/>
            <w:left w:w="108" w:type="dxa"/>
            <w:bottom w:w="0" w:type="dxa"/>
            <w:right w:w="108" w:type="dxa"/>
          </w:tblCellMar>
        </w:tblPrEx>
        <w:trPr>
          <w:trHeight w:val="946" w:hRule="exact"/>
        </w:trPr>
        <w:tc>
          <w:tcPr>
            <w:tcW w:w="1900" w:type="dxa"/>
            <w:tcBorders>
              <w:top w:val="single" w:color="000000" w:sz="4" w:space="0"/>
              <w:left w:val="single" w:color="000000" w:sz="4" w:space="0"/>
              <w:bottom w:val="single" w:color="000000" w:sz="4" w:space="0"/>
              <w:right w:val="single" w:color="000000" w:sz="4" w:space="0"/>
              <w:tl2br w:val="nil"/>
              <w:tr2bl w:val="nil"/>
            </w:tcBorders>
          </w:tcPr>
          <w:p w14:paraId="283B0345">
            <w:pPr>
              <w:pStyle w:val="25"/>
              <w:kinsoku w:val="0"/>
              <w:overflowPunct w:val="0"/>
              <w:spacing w:before="13"/>
              <w:rPr>
                <w:rFonts w:hint="default" w:cs="宋体"/>
                <w:color w:val="auto"/>
                <w:sz w:val="20"/>
                <w:szCs w:val="20"/>
              </w:rPr>
            </w:pPr>
          </w:p>
          <w:p w14:paraId="2E3BB218">
            <w:pPr>
              <w:pStyle w:val="25"/>
              <w:kinsoku w:val="0"/>
              <w:overflowPunct w:val="0"/>
              <w:ind w:left="105"/>
              <w:rPr>
                <w:rFonts w:hint="default" w:ascii="Times New Roman" w:eastAsia="Times New Roman"/>
                <w:color w:val="auto"/>
              </w:rPr>
            </w:pPr>
            <w:r>
              <w:rPr>
                <w:rFonts w:cs="宋体"/>
                <w:color w:val="auto"/>
              </w:rPr>
              <w:t>本地化服务形式</w:t>
            </w:r>
          </w:p>
        </w:tc>
        <w:tc>
          <w:tcPr>
            <w:tcW w:w="7691" w:type="dxa"/>
            <w:gridSpan w:val="3"/>
            <w:tcBorders>
              <w:top w:val="single" w:color="000000" w:sz="4" w:space="0"/>
              <w:left w:val="single" w:color="000000" w:sz="4" w:space="0"/>
              <w:bottom w:val="single" w:color="000000" w:sz="4" w:space="0"/>
              <w:right w:val="single" w:color="000000" w:sz="4" w:space="0"/>
              <w:tl2br w:val="nil"/>
              <w:tr2bl w:val="nil"/>
            </w:tcBorders>
          </w:tcPr>
          <w:p w14:paraId="60981334">
            <w:pPr>
              <w:pStyle w:val="25"/>
              <w:kinsoku w:val="0"/>
              <w:overflowPunct w:val="0"/>
              <w:spacing w:before="42"/>
              <w:ind w:left="103"/>
              <w:rPr>
                <w:rFonts w:hint="default" w:cs="宋体"/>
                <w:color w:val="auto"/>
              </w:rPr>
            </w:pPr>
            <w:r>
              <w:rPr>
                <w:rFonts w:cs="宋体"/>
                <w:color w:val="auto"/>
              </w:rPr>
              <w:t>□在本地具有固定的合作伙伴</w:t>
            </w:r>
          </w:p>
          <w:p w14:paraId="7FFE2875">
            <w:pPr>
              <w:pStyle w:val="25"/>
              <w:kinsoku w:val="0"/>
              <w:overflowPunct w:val="0"/>
              <w:spacing w:before="154"/>
              <w:ind w:left="103"/>
              <w:rPr>
                <w:rFonts w:hint="default" w:ascii="Times New Roman" w:eastAsia="Times New Roman"/>
                <w:color w:val="auto"/>
              </w:rPr>
            </w:pPr>
            <w:r>
              <w:rPr>
                <w:rFonts w:cs="宋体"/>
                <w:color w:val="auto"/>
              </w:rPr>
              <w:t>□在本地注册成立</w:t>
            </w:r>
          </w:p>
        </w:tc>
      </w:tr>
      <w:tr w14:paraId="09D5B473">
        <w:tblPrEx>
          <w:tblCellMar>
            <w:top w:w="0" w:type="dxa"/>
            <w:left w:w="108" w:type="dxa"/>
            <w:bottom w:w="0" w:type="dxa"/>
            <w:right w:w="108" w:type="dxa"/>
          </w:tblCellMar>
        </w:tblPrEx>
        <w:trPr>
          <w:trHeight w:val="478" w:hRule="exact"/>
        </w:trPr>
        <w:tc>
          <w:tcPr>
            <w:tcW w:w="9591" w:type="dxa"/>
            <w:gridSpan w:val="4"/>
            <w:tcBorders>
              <w:top w:val="single" w:color="000000" w:sz="4" w:space="0"/>
              <w:left w:val="single" w:color="000000" w:sz="4" w:space="0"/>
              <w:bottom w:val="single" w:color="000000" w:sz="4" w:space="0"/>
              <w:right w:val="single" w:color="000000" w:sz="4" w:space="0"/>
              <w:tl2br w:val="nil"/>
              <w:tr2bl w:val="nil"/>
            </w:tcBorders>
          </w:tcPr>
          <w:p w14:paraId="67AE0734">
            <w:pPr>
              <w:pStyle w:val="25"/>
              <w:kinsoku w:val="0"/>
              <w:overflowPunct w:val="0"/>
              <w:spacing w:before="41"/>
              <w:ind w:left="102"/>
              <w:rPr>
                <w:rFonts w:hint="default" w:ascii="Times New Roman" w:eastAsia="Times New Roman"/>
                <w:color w:val="auto"/>
              </w:rPr>
            </w:pPr>
            <w:r>
              <w:rPr>
                <w:rFonts w:cs="宋体"/>
                <w:color w:val="auto"/>
              </w:rPr>
              <w:t>以下本地注册的公司无需填写</w:t>
            </w:r>
          </w:p>
        </w:tc>
      </w:tr>
      <w:tr w14:paraId="2E190AB3">
        <w:tblPrEx>
          <w:tblCellMar>
            <w:top w:w="0" w:type="dxa"/>
            <w:left w:w="108" w:type="dxa"/>
            <w:bottom w:w="0" w:type="dxa"/>
            <w:right w:w="108" w:type="dxa"/>
          </w:tblCellMar>
        </w:tblPrEx>
        <w:trPr>
          <w:trHeight w:val="946" w:hRule="exact"/>
        </w:trPr>
        <w:tc>
          <w:tcPr>
            <w:tcW w:w="1900" w:type="dxa"/>
            <w:tcBorders>
              <w:top w:val="single" w:color="000000" w:sz="4" w:space="0"/>
              <w:left w:val="single" w:color="000000" w:sz="4" w:space="0"/>
              <w:bottom w:val="single" w:color="000000" w:sz="4" w:space="0"/>
              <w:right w:val="single" w:color="000000" w:sz="4" w:space="0"/>
              <w:tl2br w:val="nil"/>
              <w:tr2bl w:val="nil"/>
            </w:tcBorders>
          </w:tcPr>
          <w:p w14:paraId="0AE83504">
            <w:pPr>
              <w:pStyle w:val="25"/>
              <w:kinsoku w:val="0"/>
              <w:overflowPunct w:val="0"/>
              <w:spacing w:before="41"/>
              <w:jc w:val="center"/>
              <w:rPr>
                <w:rFonts w:hint="default" w:cs="宋体"/>
                <w:color w:val="auto"/>
              </w:rPr>
            </w:pPr>
            <w:r>
              <w:rPr>
                <w:rFonts w:cs="宋体"/>
                <w:color w:val="auto"/>
              </w:rPr>
              <w:t>本地化服务地点</w:t>
            </w:r>
          </w:p>
          <w:p w14:paraId="5B18845B">
            <w:pPr>
              <w:pStyle w:val="25"/>
              <w:kinsoku w:val="0"/>
              <w:overflowPunct w:val="0"/>
              <w:spacing w:before="154"/>
              <w:jc w:val="center"/>
              <w:rPr>
                <w:rFonts w:hint="default" w:ascii="Times New Roman" w:eastAsia="Times New Roman"/>
                <w:color w:val="auto"/>
              </w:rPr>
            </w:pPr>
            <w:r>
              <w:rPr>
                <w:rFonts w:cs="宋体"/>
                <w:color w:val="auto"/>
              </w:rPr>
              <w:t>及联系方式</w:t>
            </w:r>
          </w:p>
        </w:tc>
        <w:tc>
          <w:tcPr>
            <w:tcW w:w="2940" w:type="dxa"/>
            <w:tcBorders>
              <w:top w:val="single" w:color="000000" w:sz="4" w:space="0"/>
              <w:left w:val="single" w:color="000000" w:sz="4" w:space="0"/>
              <w:bottom w:val="single" w:color="000000" w:sz="4" w:space="0"/>
              <w:right w:val="single" w:color="000000" w:sz="4" w:space="0"/>
              <w:tl2br w:val="nil"/>
              <w:tr2bl w:val="nil"/>
            </w:tcBorders>
          </w:tcPr>
          <w:p w14:paraId="666218B2">
            <w:pPr>
              <w:rPr>
                <w:rFonts w:hint="default" w:ascii="Times New Roman" w:eastAsia="Times New Roman"/>
                <w:color w:val="auto"/>
              </w:rPr>
            </w:pPr>
          </w:p>
        </w:tc>
        <w:tc>
          <w:tcPr>
            <w:tcW w:w="2180" w:type="dxa"/>
            <w:tcBorders>
              <w:top w:val="single" w:color="000000" w:sz="4" w:space="0"/>
              <w:left w:val="single" w:color="000000" w:sz="4" w:space="0"/>
              <w:bottom w:val="single" w:color="000000" w:sz="4" w:space="0"/>
              <w:right w:val="single" w:color="000000" w:sz="4" w:space="0"/>
              <w:tl2br w:val="nil"/>
              <w:tr2bl w:val="nil"/>
            </w:tcBorders>
          </w:tcPr>
          <w:p w14:paraId="2F2863F4">
            <w:pPr>
              <w:pStyle w:val="25"/>
              <w:kinsoku w:val="0"/>
              <w:overflowPunct w:val="0"/>
              <w:spacing w:before="41"/>
              <w:ind w:left="125"/>
              <w:rPr>
                <w:rFonts w:hint="default" w:ascii="Times New Roman" w:eastAsia="Times New Roman"/>
                <w:color w:val="auto"/>
              </w:rPr>
            </w:pPr>
            <w:r>
              <w:rPr>
                <w:rFonts w:cs="宋体"/>
                <w:color w:val="auto"/>
              </w:rPr>
              <w:t>负责人及联系方式（附身份证号码）</w:t>
            </w:r>
          </w:p>
        </w:tc>
        <w:tc>
          <w:tcPr>
            <w:tcW w:w="2571" w:type="dxa"/>
            <w:tcBorders>
              <w:top w:val="single" w:color="000000" w:sz="4" w:space="0"/>
              <w:left w:val="single" w:color="000000" w:sz="4" w:space="0"/>
              <w:bottom w:val="single" w:color="000000" w:sz="4" w:space="0"/>
              <w:right w:val="single" w:color="000000" w:sz="4" w:space="0"/>
              <w:tl2br w:val="nil"/>
              <w:tr2bl w:val="nil"/>
            </w:tcBorders>
          </w:tcPr>
          <w:p w14:paraId="75504200">
            <w:pPr>
              <w:rPr>
                <w:rFonts w:hint="default" w:ascii="Times New Roman" w:eastAsia="Times New Roman"/>
                <w:color w:val="auto"/>
              </w:rPr>
            </w:pPr>
          </w:p>
        </w:tc>
      </w:tr>
      <w:tr w14:paraId="16B5B5D7">
        <w:tblPrEx>
          <w:tblCellMar>
            <w:top w:w="0" w:type="dxa"/>
            <w:left w:w="108" w:type="dxa"/>
            <w:bottom w:w="0" w:type="dxa"/>
            <w:right w:w="108" w:type="dxa"/>
          </w:tblCellMar>
        </w:tblPrEx>
        <w:trPr>
          <w:trHeight w:val="946" w:hRule="exact"/>
        </w:trPr>
        <w:tc>
          <w:tcPr>
            <w:tcW w:w="9591" w:type="dxa"/>
            <w:gridSpan w:val="4"/>
            <w:tcBorders>
              <w:top w:val="single" w:color="000000" w:sz="4" w:space="0"/>
              <w:left w:val="single" w:color="000000" w:sz="4" w:space="0"/>
              <w:bottom w:val="single" w:color="000000" w:sz="4" w:space="0"/>
              <w:right w:val="single" w:color="000000" w:sz="4" w:space="0"/>
              <w:tl2br w:val="nil"/>
              <w:tr2bl w:val="nil"/>
            </w:tcBorders>
          </w:tcPr>
          <w:p w14:paraId="7C4F06A6">
            <w:pPr>
              <w:pStyle w:val="25"/>
              <w:kinsoku w:val="0"/>
              <w:overflowPunct w:val="0"/>
              <w:spacing w:before="40"/>
              <w:ind w:left="102"/>
              <w:rPr>
                <w:rFonts w:hint="default" w:ascii="Times New Roman" w:eastAsia="Times New Roman"/>
                <w:color w:val="auto"/>
              </w:rPr>
            </w:pPr>
            <w:r>
              <w:rPr>
                <w:rFonts w:cs="宋体"/>
                <w:color w:val="auto"/>
              </w:rPr>
              <w:t>服务人员名单及联系方式（附身份证号码）：</w:t>
            </w:r>
          </w:p>
        </w:tc>
      </w:tr>
      <w:tr w14:paraId="65C55D62">
        <w:tblPrEx>
          <w:tblCellMar>
            <w:top w:w="0" w:type="dxa"/>
            <w:left w:w="108" w:type="dxa"/>
            <w:bottom w:w="0" w:type="dxa"/>
            <w:right w:w="108" w:type="dxa"/>
          </w:tblCellMar>
        </w:tblPrEx>
        <w:trPr>
          <w:trHeight w:val="946" w:hRule="exact"/>
        </w:trPr>
        <w:tc>
          <w:tcPr>
            <w:tcW w:w="9591" w:type="dxa"/>
            <w:gridSpan w:val="4"/>
            <w:tcBorders>
              <w:top w:val="single" w:color="000000" w:sz="4" w:space="0"/>
              <w:left w:val="single" w:color="000000" w:sz="4" w:space="0"/>
              <w:bottom w:val="single" w:color="000000" w:sz="4" w:space="0"/>
              <w:right w:val="single" w:color="000000" w:sz="4" w:space="0"/>
              <w:tl2br w:val="nil"/>
              <w:tr2bl w:val="nil"/>
            </w:tcBorders>
          </w:tcPr>
          <w:p w14:paraId="30421154">
            <w:pPr>
              <w:pStyle w:val="25"/>
              <w:kinsoku w:val="0"/>
              <w:overflowPunct w:val="0"/>
              <w:spacing w:before="40"/>
              <w:ind w:left="102"/>
              <w:rPr>
                <w:rFonts w:hint="default" w:ascii="Times New Roman" w:eastAsia="Times New Roman"/>
                <w:color w:val="auto"/>
              </w:rPr>
            </w:pPr>
            <w:r>
              <w:rPr>
                <w:rFonts w:cs="宋体"/>
                <w:color w:val="auto"/>
              </w:rPr>
              <w:t>其他有关证明文件说明（如营业执照等）：</w:t>
            </w:r>
          </w:p>
        </w:tc>
      </w:tr>
      <w:tr w14:paraId="743C872F">
        <w:tblPrEx>
          <w:tblCellMar>
            <w:top w:w="0" w:type="dxa"/>
            <w:left w:w="108" w:type="dxa"/>
            <w:bottom w:w="0" w:type="dxa"/>
            <w:right w:w="108" w:type="dxa"/>
          </w:tblCellMar>
        </w:tblPrEx>
        <w:trPr>
          <w:trHeight w:val="1414" w:hRule="exact"/>
        </w:trPr>
        <w:tc>
          <w:tcPr>
            <w:tcW w:w="9591" w:type="dxa"/>
            <w:gridSpan w:val="4"/>
            <w:tcBorders>
              <w:top w:val="single" w:color="000000" w:sz="4" w:space="0"/>
              <w:left w:val="single" w:color="000000" w:sz="4" w:space="0"/>
              <w:bottom w:val="single" w:color="000000" w:sz="4" w:space="0"/>
              <w:right w:val="single" w:color="000000" w:sz="4" w:space="0"/>
              <w:tl2br w:val="nil"/>
              <w:tr2bl w:val="nil"/>
            </w:tcBorders>
          </w:tcPr>
          <w:p w14:paraId="1281E3BA">
            <w:pPr>
              <w:pStyle w:val="25"/>
              <w:kinsoku w:val="0"/>
              <w:overflowPunct w:val="0"/>
              <w:spacing w:before="40" w:line="357" w:lineRule="auto"/>
              <w:ind w:left="102" w:right="102"/>
              <w:rPr>
                <w:rFonts w:hint="default" w:cs="宋体"/>
                <w:color w:val="auto"/>
              </w:rPr>
            </w:pPr>
            <w:r>
              <w:rPr>
                <w:rFonts w:cs="宋体"/>
                <w:color w:val="auto"/>
                <w:spacing w:val="-3"/>
              </w:rPr>
              <w:t>备注：1、具有合作伙伴的应填写合作伙伴的相关资料，并提供双方的合作协议以及合作伙</w:t>
            </w:r>
            <w:r>
              <w:rPr>
                <w:rFonts w:cs="宋体"/>
                <w:color w:val="auto"/>
                <w:spacing w:val="-106"/>
              </w:rPr>
              <w:t xml:space="preserve"> </w:t>
            </w:r>
            <w:r>
              <w:rPr>
                <w:rFonts w:cs="宋体"/>
                <w:color w:val="auto"/>
              </w:rPr>
              <w:t>伴的营业执照等证明文件。</w:t>
            </w:r>
          </w:p>
          <w:p w14:paraId="3F2C5395">
            <w:pPr>
              <w:pStyle w:val="25"/>
              <w:kinsoku w:val="0"/>
              <w:overflowPunct w:val="0"/>
              <w:spacing w:before="36"/>
              <w:ind w:left="825"/>
              <w:rPr>
                <w:rFonts w:hint="default" w:ascii="Times New Roman" w:eastAsia="Times New Roman"/>
                <w:color w:val="auto"/>
              </w:rPr>
            </w:pPr>
            <w:r>
              <w:rPr>
                <w:rFonts w:cs="宋体"/>
                <w:color w:val="auto"/>
              </w:rPr>
              <w:t>2、如供应商不能提供本地化服务，可不填报。</w:t>
            </w:r>
          </w:p>
        </w:tc>
      </w:tr>
    </w:tbl>
    <w:p w14:paraId="62478376">
      <w:pPr>
        <w:rPr>
          <w:rFonts w:hint="default" w:ascii="Times New Roman" w:eastAsia="Times New Roman"/>
          <w:color w:val="auto"/>
        </w:rPr>
        <w:sectPr>
          <w:pgSz w:w="11910" w:h="16840"/>
          <w:pgMar w:top="1500" w:right="1040" w:bottom="1600" w:left="1040" w:header="0" w:footer="1395" w:gutter="0"/>
          <w:pgNumType w:fmt="decimal"/>
          <w:cols w:space="720" w:num="1"/>
        </w:sectPr>
      </w:pPr>
    </w:p>
    <w:p w14:paraId="0AE00AC0">
      <w:pPr>
        <w:pStyle w:val="8"/>
        <w:kinsoku w:val="0"/>
        <w:overflowPunct w:val="0"/>
        <w:spacing w:before="2" w:line="357" w:lineRule="auto"/>
        <w:ind w:left="460" w:right="4719"/>
        <w:rPr>
          <w:b/>
          <w:color w:val="auto"/>
          <w:w w:val="99"/>
        </w:rPr>
      </w:pPr>
      <w:r>
        <w:rPr>
          <w:color w:val="auto"/>
        </w:rPr>
        <w:t>③</w:t>
      </w:r>
      <w:r>
        <w:rPr>
          <w:b/>
          <w:color w:val="auto"/>
        </w:rPr>
        <w:t>服务项目偏离表</w:t>
      </w:r>
      <w:r>
        <w:rPr>
          <w:b/>
          <w:color w:val="auto"/>
          <w:w w:val="99"/>
        </w:rPr>
        <w:t xml:space="preserve"> </w:t>
      </w:r>
    </w:p>
    <w:p w14:paraId="73B4FA1D">
      <w:pPr>
        <w:pStyle w:val="8"/>
        <w:kinsoku w:val="0"/>
        <w:overflowPunct w:val="0"/>
        <w:spacing w:before="2" w:line="357" w:lineRule="auto"/>
        <w:ind w:left="460" w:right="4719"/>
        <w:rPr>
          <w:rFonts w:hint="default"/>
          <w:color w:val="auto"/>
        </w:rPr>
      </w:pPr>
      <w:r>
        <w:rPr>
          <w:color w:val="auto"/>
        </w:rPr>
        <w:t>项目编号、包号</w:t>
      </w:r>
    </w:p>
    <w:tbl>
      <w:tblPr>
        <w:tblStyle w:val="20"/>
        <w:tblW w:w="0" w:type="auto"/>
        <w:tblInd w:w="219" w:type="dxa"/>
        <w:tblLayout w:type="fixed"/>
        <w:tblCellMar>
          <w:top w:w="0" w:type="dxa"/>
          <w:left w:w="108" w:type="dxa"/>
          <w:bottom w:w="0" w:type="dxa"/>
          <w:right w:w="108" w:type="dxa"/>
        </w:tblCellMar>
      </w:tblPr>
      <w:tblGrid>
        <w:gridCol w:w="1146"/>
        <w:gridCol w:w="1528"/>
        <w:gridCol w:w="2674"/>
        <w:gridCol w:w="2483"/>
        <w:gridCol w:w="1146"/>
      </w:tblGrid>
      <w:tr w14:paraId="4BE719AB">
        <w:tblPrEx>
          <w:tblCellMar>
            <w:top w:w="0" w:type="dxa"/>
            <w:left w:w="108" w:type="dxa"/>
            <w:bottom w:w="0" w:type="dxa"/>
            <w:right w:w="108" w:type="dxa"/>
          </w:tblCellMar>
        </w:tblPrEx>
        <w:trPr>
          <w:trHeight w:val="956" w:hRule="exact"/>
        </w:trPr>
        <w:tc>
          <w:tcPr>
            <w:tcW w:w="1146" w:type="dxa"/>
            <w:tcBorders>
              <w:top w:val="single" w:color="000000" w:sz="10" w:space="0"/>
              <w:left w:val="single" w:color="000000" w:sz="10" w:space="0"/>
              <w:bottom w:val="single" w:color="000000" w:sz="4" w:space="0"/>
              <w:right w:val="single" w:color="000000" w:sz="4" w:space="0"/>
              <w:tl2br w:val="nil"/>
              <w:tr2bl w:val="nil"/>
            </w:tcBorders>
          </w:tcPr>
          <w:p w14:paraId="2555A146">
            <w:pPr>
              <w:pStyle w:val="25"/>
              <w:kinsoku w:val="0"/>
              <w:overflowPunct w:val="0"/>
              <w:spacing w:before="10"/>
              <w:rPr>
                <w:rFonts w:hint="default" w:cs="宋体"/>
                <w:color w:val="auto"/>
                <w:sz w:val="20"/>
                <w:szCs w:val="20"/>
              </w:rPr>
            </w:pPr>
          </w:p>
          <w:p w14:paraId="67B406BC">
            <w:pPr>
              <w:pStyle w:val="25"/>
              <w:kinsoku w:val="0"/>
              <w:overflowPunct w:val="0"/>
              <w:ind w:left="319"/>
              <w:rPr>
                <w:rFonts w:hint="default" w:ascii="Times New Roman" w:eastAsia="Times New Roman"/>
                <w:color w:val="auto"/>
              </w:rPr>
            </w:pPr>
            <w:r>
              <w:rPr>
                <w:rFonts w:cs="宋体"/>
                <w:color w:val="auto"/>
              </w:rPr>
              <w:t>序号</w:t>
            </w:r>
          </w:p>
        </w:tc>
        <w:tc>
          <w:tcPr>
            <w:tcW w:w="1528" w:type="dxa"/>
            <w:tcBorders>
              <w:top w:val="single" w:color="000000" w:sz="10" w:space="0"/>
              <w:left w:val="single" w:color="000000" w:sz="4" w:space="0"/>
              <w:bottom w:val="single" w:color="000000" w:sz="4" w:space="0"/>
              <w:right w:val="single" w:color="000000" w:sz="4" w:space="0"/>
              <w:tl2br w:val="nil"/>
              <w:tr2bl w:val="nil"/>
            </w:tcBorders>
          </w:tcPr>
          <w:p w14:paraId="6C5CAABC">
            <w:pPr>
              <w:pStyle w:val="25"/>
              <w:kinsoku w:val="0"/>
              <w:overflowPunct w:val="0"/>
              <w:spacing w:before="38"/>
              <w:jc w:val="center"/>
              <w:rPr>
                <w:rFonts w:hint="default" w:cs="宋体"/>
                <w:color w:val="auto"/>
              </w:rPr>
            </w:pPr>
            <w:r>
              <w:rPr>
                <w:rFonts w:cs="宋体"/>
                <w:color w:val="auto"/>
              </w:rPr>
              <w:t>招标文件</w:t>
            </w:r>
          </w:p>
          <w:p w14:paraId="613B414E">
            <w:pPr>
              <w:pStyle w:val="25"/>
              <w:kinsoku w:val="0"/>
              <w:overflowPunct w:val="0"/>
              <w:spacing w:before="154"/>
              <w:jc w:val="center"/>
              <w:rPr>
                <w:rFonts w:hint="default" w:ascii="Times New Roman" w:eastAsia="Times New Roman"/>
                <w:color w:val="auto"/>
              </w:rPr>
            </w:pPr>
            <w:r>
              <w:rPr>
                <w:rFonts w:cs="宋体"/>
                <w:color w:val="auto"/>
              </w:rPr>
              <w:t>条款号</w:t>
            </w:r>
          </w:p>
        </w:tc>
        <w:tc>
          <w:tcPr>
            <w:tcW w:w="2674" w:type="dxa"/>
            <w:tcBorders>
              <w:top w:val="single" w:color="000000" w:sz="10" w:space="0"/>
              <w:left w:val="single" w:color="000000" w:sz="4" w:space="0"/>
              <w:bottom w:val="single" w:color="000000" w:sz="4" w:space="0"/>
              <w:right w:val="single" w:color="000000" w:sz="4" w:space="0"/>
              <w:tl2br w:val="nil"/>
              <w:tr2bl w:val="nil"/>
            </w:tcBorders>
          </w:tcPr>
          <w:p w14:paraId="74FCAFD3">
            <w:pPr>
              <w:pStyle w:val="25"/>
              <w:kinsoku w:val="0"/>
              <w:overflowPunct w:val="0"/>
              <w:spacing w:before="10"/>
              <w:rPr>
                <w:rFonts w:hint="default" w:cs="宋体"/>
                <w:color w:val="auto"/>
                <w:sz w:val="20"/>
                <w:szCs w:val="20"/>
              </w:rPr>
            </w:pPr>
          </w:p>
          <w:p w14:paraId="6168CC4C">
            <w:pPr>
              <w:pStyle w:val="25"/>
              <w:kinsoku w:val="0"/>
              <w:overflowPunct w:val="0"/>
              <w:ind w:left="251"/>
              <w:rPr>
                <w:rFonts w:hint="default" w:ascii="Times New Roman" w:eastAsia="Times New Roman"/>
                <w:color w:val="auto"/>
              </w:rPr>
            </w:pPr>
            <w:r>
              <w:rPr>
                <w:rFonts w:cs="宋体"/>
                <w:color w:val="auto"/>
              </w:rPr>
              <w:t>招标文件的服务条款</w:t>
            </w:r>
          </w:p>
        </w:tc>
        <w:tc>
          <w:tcPr>
            <w:tcW w:w="2483" w:type="dxa"/>
            <w:tcBorders>
              <w:top w:val="single" w:color="000000" w:sz="10" w:space="0"/>
              <w:left w:val="single" w:color="000000" w:sz="4" w:space="0"/>
              <w:bottom w:val="single" w:color="000000" w:sz="4" w:space="0"/>
              <w:right w:val="single" w:color="000000" w:sz="4" w:space="0"/>
              <w:tl2br w:val="nil"/>
              <w:tr2bl w:val="nil"/>
            </w:tcBorders>
          </w:tcPr>
          <w:p w14:paraId="58622A77">
            <w:pPr>
              <w:pStyle w:val="25"/>
              <w:kinsoku w:val="0"/>
              <w:overflowPunct w:val="0"/>
              <w:spacing w:before="10"/>
              <w:rPr>
                <w:rFonts w:hint="default" w:cs="宋体"/>
                <w:color w:val="auto"/>
                <w:sz w:val="20"/>
                <w:szCs w:val="20"/>
              </w:rPr>
            </w:pPr>
          </w:p>
          <w:p w14:paraId="3C3B0D51">
            <w:pPr>
              <w:pStyle w:val="25"/>
              <w:kinsoku w:val="0"/>
              <w:overflowPunct w:val="0"/>
              <w:ind w:left="155"/>
              <w:rPr>
                <w:rFonts w:hint="default" w:ascii="Times New Roman" w:eastAsia="Times New Roman"/>
                <w:color w:val="auto"/>
              </w:rPr>
            </w:pPr>
            <w:r>
              <w:rPr>
                <w:rFonts w:cs="宋体"/>
                <w:color w:val="auto"/>
              </w:rPr>
              <w:t>投标文件的服务条款</w:t>
            </w:r>
          </w:p>
        </w:tc>
        <w:tc>
          <w:tcPr>
            <w:tcW w:w="1146" w:type="dxa"/>
            <w:tcBorders>
              <w:top w:val="single" w:color="000000" w:sz="10" w:space="0"/>
              <w:left w:val="single" w:color="000000" w:sz="4" w:space="0"/>
              <w:bottom w:val="single" w:color="000000" w:sz="4" w:space="0"/>
              <w:right w:val="single" w:color="000000" w:sz="10" w:space="0"/>
              <w:tl2br w:val="nil"/>
              <w:tr2bl w:val="nil"/>
            </w:tcBorders>
          </w:tcPr>
          <w:p w14:paraId="1600B935">
            <w:pPr>
              <w:pStyle w:val="25"/>
              <w:kinsoku w:val="0"/>
              <w:overflowPunct w:val="0"/>
              <w:spacing w:before="10"/>
              <w:rPr>
                <w:rFonts w:hint="default" w:cs="宋体"/>
                <w:color w:val="auto"/>
                <w:sz w:val="20"/>
                <w:szCs w:val="20"/>
              </w:rPr>
            </w:pPr>
          </w:p>
          <w:p w14:paraId="0E4ED34E">
            <w:pPr>
              <w:pStyle w:val="25"/>
              <w:kinsoku w:val="0"/>
              <w:overflowPunct w:val="0"/>
              <w:ind w:left="328"/>
              <w:rPr>
                <w:rFonts w:hint="default" w:ascii="Times New Roman" w:eastAsia="Times New Roman"/>
                <w:color w:val="auto"/>
              </w:rPr>
            </w:pPr>
            <w:r>
              <w:rPr>
                <w:rFonts w:cs="宋体"/>
                <w:color w:val="auto"/>
              </w:rPr>
              <w:t>备注</w:t>
            </w:r>
          </w:p>
        </w:tc>
      </w:tr>
      <w:tr w14:paraId="05578837">
        <w:tblPrEx>
          <w:tblCellMar>
            <w:top w:w="0" w:type="dxa"/>
            <w:left w:w="108" w:type="dxa"/>
            <w:bottom w:w="0" w:type="dxa"/>
            <w:right w:w="108" w:type="dxa"/>
          </w:tblCellMar>
        </w:tblPrEx>
        <w:trPr>
          <w:trHeight w:val="780" w:hRule="exact"/>
        </w:trPr>
        <w:tc>
          <w:tcPr>
            <w:tcW w:w="1146" w:type="dxa"/>
            <w:tcBorders>
              <w:top w:val="single" w:color="000000" w:sz="4" w:space="0"/>
              <w:left w:val="single" w:color="000000" w:sz="10" w:space="0"/>
              <w:bottom w:val="single" w:color="000000" w:sz="4" w:space="0"/>
              <w:right w:val="single" w:color="000000" w:sz="4" w:space="0"/>
              <w:tl2br w:val="nil"/>
              <w:tr2bl w:val="nil"/>
            </w:tcBorders>
          </w:tcPr>
          <w:p w14:paraId="46ADADEC">
            <w:pPr>
              <w:rPr>
                <w:rFonts w:hint="default" w:ascii="Times New Roman" w:eastAsia="Times New Roman"/>
                <w:color w:val="auto"/>
              </w:rPr>
            </w:pPr>
          </w:p>
        </w:tc>
        <w:tc>
          <w:tcPr>
            <w:tcW w:w="1528" w:type="dxa"/>
            <w:tcBorders>
              <w:top w:val="single" w:color="000000" w:sz="4" w:space="0"/>
              <w:left w:val="single" w:color="000000" w:sz="4" w:space="0"/>
              <w:bottom w:val="single" w:color="000000" w:sz="4" w:space="0"/>
              <w:right w:val="single" w:color="000000" w:sz="4" w:space="0"/>
              <w:tl2br w:val="nil"/>
              <w:tr2bl w:val="nil"/>
            </w:tcBorders>
          </w:tcPr>
          <w:p w14:paraId="48904003">
            <w:pPr>
              <w:rPr>
                <w:rFonts w:hint="default" w:ascii="Times New Roman" w:eastAsia="Times New Roman"/>
                <w:color w:val="auto"/>
              </w:rPr>
            </w:pPr>
          </w:p>
        </w:tc>
        <w:tc>
          <w:tcPr>
            <w:tcW w:w="2674" w:type="dxa"/>
            <w:tcBorders>
              <w:top w:val="single" w:color="000000" w:sz="4" w:space="0"/>
              <w:left w:val="single" w:color="000000" w:sz="4" w:space="0"/>
              <w:bottom w:val="single" w:color="000000" w:sz="4" w:space="0"/>
              <w:right w:val="single" w:color="000000" w:sz="4" w:space="0"/>
              <w:tl2br w:val="nil"/>
              <w:tr2bl w:val="nil"/>
            </w:tcBorders>
          </w:tcPr>
          <w:p w14:paraId="09C82B10">
            <w:pPr>
              <w:rPr>
                <w:rFonts w:hint="default" w:ascii="Times New Roman" w:eastAsia="Times New Roman"/>
                <w:color w:val="auto"/>
              </w:rPr>
            </w:pPr>
          </w:p>
        </w:tc>
        <w:tc>
          <w:tcPr>
            <w:tcW w:w="2483" w:type="dxa"/>
            <w:tcBorders>
              <w:top w:val="single" w:color="000000" w:sz="4" w:space="0"/>
              <w:left w:val="single" w:color="000000" w:sz="4" w:space="0"/>
              <w:bottom w:val="single" w:color="000000" w:sz="4" w:space="0"/>
              <w:right w:val="single" w:color="000000" w:sz="4" w:space="0"/>
              <w:tl2br w:val="nil"/>
              <w:tr2bl w:val="nil"/>
            </w:tcBorders>
          </w:tcPr>
          <w:p w14:paraId="3CEAA6A1">
            <w:pPr>
              <w:rPr>
                <w:rFonts w:hint="default" w:ascii="Times New Roman" w:eastAsia="Times New Roman"/>
                <w:color w:val="auto"/>
              </w:rPr>
            </w:pPr>
          </w:p>
        </w:tc>
        <w:tc>
          <w:tcPr>
            <w:tcW w:w="1146" w:type="dxa"/>
            <w:tcBorders>
              <w:top w:val="single" w:color="000000" w:sz="4" w:space="0"/>
              <w:left w:val="single" w:color="000000" w:sz="4" w:space="0"/>
              <w:bottom w:val="single" w:color="000000" w:sz="4" w:space="0"/>
              <w:right w:val="single" w:color="000000" w:sz="10" w:space="0"/>
              <w:tl2br w:val="nil"/>
              <w:tr2bl w:val="nil"/>
            </w:tcBorders>
          </w:tcPr>
          <w:p w14:paraId="52D89134">
            <w:pPr>
              <w:rPr>
                <w:rFonts w:hint="default" w:ascii="Times New Roman" w:eastAsia="Times New Roman"/>
                <w:color w:val="auto"/>
              </w:rPr>
            </w:pPr>
          </w:p>
        </w:tc>
      </w:tr>
      <w:tr w14:paraId="2E6C6BF1">
        <w:tblPrEx>
          <w:tblCellMar>
            <w:top w:w="0" w:type="dxa"/>
            <w:left w:w="108" w:type="dxa"/>
            <w:bottom w:w="0" w:type="dxa"/>
            <w:right w:w="108" w:type="dxa"/>
          </w:tblCellMar>
        </w:tblPrEx>
        <w:trPr>
          <w:trHeight w:val="780" w:hRule="exact"/>
        </w:trPr>
        <w:tc>
          <w:tcPr>
            <w:tcW w:w="1146" w:type="dxa"/>
            <w:tcBorders>
              <w:top w:val="single" w:color="000000" w:sz="4" w:space="0"/>
              <w:left w:val="single" w:color="000000" w:sz="10" w:space="0"/>
              <w:bottom w:val="single" w:color="000000" w:sz="4" w:space="0"/>
              <w:right w:val="single" w:color="000000" w:sz="4" w:space="0"/>
              <w:tl2br w:val="nil"/>
              <w:tr2bl w:val="nil"/>
            </w:tcBorders>
          </w:tcPr>
          <w:p w14:paraId="35C4A024">
            <w:pPr>
              <w:rPr>
                <w:rFonts w:hint="default" w:ascii="Times New Roman" w:eastAsia="Times New Roman"/>
                <w:color w:val="auto"/>
              </w:rPr>
            </w:pPr>
          </w:p>
        </w:tc>
        <w:tc>
          <w:tcPr>
            <w:tcW w:w="1528" w:type="dxa"/>
            <w:tcBorders>
              <w:top w:val="single" w:color="000000" w:sz="4" w:space="0"/>
              <w:left w:val="single" w:color="000000" w:sz="4" w:space="0"/>
              <w:bottom w:val="single" w:color="000000" w:sz="4" w:space="0"/>
              <w:right w:val="single" w:color="000000" w:sz="4" w:space="0"/>
              <w:tl2br w:val="nil"/>
              <w:tr2bl w:val="nil"/>
            </w:tcBorders>
          </w:tcPr>
          <w:p w14:paraId="4DBA80B9">
            <w:pPr>
              <w:rPr>
                <w:rFonts w:hint="default" w:ascii="Times New Roman" w:eastAsia="Times New Roman"/>
                <w:color w:val="auto"/>
              </w:rPr>
            </w:pPr>
          </w:p>
        </w:tc>
        <w:tc>
          <w:tcPr>
            <w:tcW w:w="2674" w:type="dxa"/>
            <w:tcBorders>
              <w:top w:val="single" w:color="000000" w:sz="4" w:space="0"/>
              <w:left w:val="single" w:color="000000" w:sz="4" w:space="0"/>
              <w:bottom w:val="single" w:color="000000" w:sz="4" w:space="0"/>
              <w:right w:val="single" w:color="000000" w:sz="4" w:space="0"/>
              <w:tl2br w:val="nil"/>
              <w:tr2bl w:val="nil"/>
            </w:tcBorders>
          </w:tcPr>
          <w:p w14:paraId="6CA2C82D">
            <w:pPr>
              <w:rPr>
                <w:rFonts w:hint="default" w:ascii="Times New Roman" w:eastAsia="Times New Roman"/>
                <w:color w:val="auto"/>
              </w:rPr>
            </w:pPr>
          </w:p>
        </w:tc>
        <w:tc>
          <w:tcPr>
            <w:tcW w:w="2483" w:type="dxa"/>
            <w:tcBorders>
              <w:top w:val="single" w:color="000000" w:sz="4" w:space="0"/>
              <w:left w:val="single" w:color="000000" w:sz="4" w:space="0"/>
              <w:bottom w:val="single" w:color="000000" w:sz="4" w:space="0"/>
              <w:right w:val="single" w:color="000000" w:sz="4" w:space="0"/>
              <w:tl2br w:val="nil"/>
              <w:tr2bl w:val="nil"/>
            </w:tcBorders>
          </w:tcPr>
          <w:p w14:paraId="519FA8C2">
            <w:pPr>
              <w:rPr>
                <w:rFonts w:hint="default" w:ascii="Times New Roman" w:eastAsia="Times New Roman"/>
                <w:color w:val="auto"/>
              </w:rPr>
            </w:pPr>
          </w:p>
        </w:tc>
        <w:tc>
          <w:tcPr>
            <w:tcW w:w="1146" w:type="dxa"/>
            <w:tcBorders>
              <w:top w:val="single" w:color="000000" w:sz="4" w:space="0"/>
              <w:left w:val="single" w:color="000000" w:sz="4" w:space="0"/>
              <w:bottom w:val="single" w:color="000000" w:sz="4" w:space="0"/>
              <w:right w:val="single" w:color="000000" w:sz="10" w:space="0"/>
              <w:tl2br w:val="nil"/>
              <w:tr2bl w:val="nil"/>
            </w:tcBorders>
          </w:tcPr>
          <w:p w14:paraId="585D3912">
            <w:pPr>
              <w:rPr>
                <w:rFonts w:hint="default" w:ascii="Times New Roman" w:eastAsia="Times New Roman"/>
                <w:color w:val="auto"/>
              </w:rPr>
            </w:pPr>
          </w:p>
        </w:tc>
      </w:tr>
      <w:tr w14:paraId="4905E956">
        <w:tblPrEx>
          <w:tblCellMar>
            <w:top w:w="0" w:type="dxa"/>
            <w:left w:w="108" w:type="dxa"/>
            <w:bottom w:w="0" w:type="dxa"/>
            <w:right w:w="108" w:type="dxa"/>
          </w:tblCellMar>
        </w:tblPrEx>
        <w:trPr>
          <w:trHeight w:val="780" w:hRule="exact"/>
        </w:trPr>
        <w:tc>
          <w:tcPr>
            <w:tcW w:w="1146" w:type="dxa"/>
            <w:tcBorders>
              <w:top w:val="single" w:color="000000" w:sz="4" w:space="0"/>
              <w:left w:val="single" w:color="000000" w:sz="10" w:space="0"/>
              <w:bottom w:val="single" w:color="000000" w:sz="4" w:space="0"/>
              <w:right w:val="single" w:color="000000" w:sz="4" w:space="0"/>
              <w:tl2br w:val="nil"/>
              <w:tr2bl w:val="nil"/>
            </w:tcBorders>
          </w:tcPr>
          <w:p w14:paraId="4B3E9043">
            <w:pPr>
              <w:rPr>
                <w:rFonts w:hint="default" w:ascii="Times New Roman" w:eastAsia="Times New Roman"/>
                <w:color w:val="auto"/>
              </w:rPr>
            </w:pPr>
          </w:p>
        </w:tc>
        <w:tc>
          <w:tcPr>
            <w:tcW w:w="1528" w:type="dxa"/>
            <w:tcBorders>
              <w:top w:val="single" w:color="000000" w:sz="4" w:space="0"/>
              <w:left w:val="single" w:color="000000" w:sz="4" w:space="0"/>
              <w:bottom w:val="single" w:color="000000" w:sz="4" w:space="0"/>
              <w:right w:val="single" w:color="000000" w:sz="4" w:space="0"/>
              <w:tl2br w:val="nil"/>
              <w:tr2bl w:val="nil"/>
            </w:tcBorders>
          </w:tcPr>
          <w:p w14:paraId="3F77E182">
            <w:pPr>
              <w:rPr>
                <w:rFonts w:hint="default" w:ascii="Times New Roman" w:eastAsia="Times New Roman"/>
                <w:color w:val="auto"/>
              </w:rPr>
            </w:pPr>
          </w:p>
        </w:tc>
        <w:tc>
          <w:tcPr>
            <w:tcW w:w="2674" w:type="dxa"/>
            <w:tcBorders>
              <w:top w:val="single" w:color="000000" w:sz="4" w:space="0"/>
              <w:left w:val="single" w:color="000000" w:sz="4" w:space="0"/>
              <w:bottom w:val="single" w:color="000000" w:sz="4" w:space="0"/>
              <w:right w:val="single" w:color="000000" w:sz="4" w:space="0"/>
              <w:tl2br w:val="nil"/>
              <w:tr2bl w:val="nil"/>
            </w:tcBorders>
          </w:tcPr>
          <w:p w14:paraId="09CA20D4">
            <w:pPr>
              <w:rPr>
                <w:rFonts w:hint="default" w:ascii="Times New Roman" w:eastAsia="Times New Roman"/>
                <w:color w:val="auto"/>
              </w:rPr>
            </w:pPr>
          </w:p>
        </w:tc>
        <w:tc>
          <w:tcPr>
            <w:tcW w:w="2483" w:type="dxa"/>
            <w:tcBorders>
              <w:top w:val="single" w:color="000000" w:sz="4" w:space="0"/>
              <w:left w:val="single" w:color="000000" w:sz="4" w:space="0"/>
              <w:bottom w:val="single" w:color="000000" w:sz="4" w:space="0"/>
              <w:right w:val="single" w:color="000000" w:sz="4" w:space="0"/>
              <w:tl2br w:val="nil"/>
              <w:tr2bl w:val="nil"/>
            </w:tcBorders>
          </w:tcPr>
          <w:p w14:paraId="4DB64933">
            <w:pPr>
              <w:rPr>
                <w:rFonts w:hint="default" w:ascii="Times New Roman" w:eastAsia="Times New Roman"/>
                <w:color w:val="auto"/>
              </w:rPr>
            </w:pPr>
          </w:p>
        </w:tc>
        <w:tc>
          <w:tcPr>
            <w:tcW w:w="1146" w:type="dxa"/>
            <w:tcBorders>
              <w:top w:val="single" w:color="000000" w:sz="4" w:space="0"/>
              <w:left w:val="single" w:color="000000" w:sz="4" w:space="0"/>
              <w:bottom w:val="single" w:color="000000" w:sz="4" w:space="0"/>
              <w:right w:val="single" w:color="000000" w:sz="10" w:space="0"/>
              <w:tl2br w:val="nil"/>
              <w:tr2bl w:val="nil"/>
            </w:tcBorders>
          </w:tcPr>
          <w:p w14:paraId="5035F14B">
            <w:pPr>
              <w:rPr>
                <w:rFonts w:hint="default" w:ascii="Times New Roman" w:eastAsia="Times New Roman"/>
                <w:color w:val="auto"/>
              </w:rPr>
            </w:pPr>
          </w:p>
        </w:tc>
      </w:tr>
      <w:tr w14:paraId="6826604B">
        <w:tblPrEx>
          <w:tblCellMar>
            <w:top w:w="0" w:type="dxa"/>
            <w:left w:w="108" w:type="dxa"/>
            <w:bottom w:w="0" w:type="dxa"/>
            <w:right w:w="108" w:type="dxa"/>
          </w:tblCellMar>
        </w:tblPrEx>
        <w:trPr>
          <w:trHeight w:val="872" w:hRule="exact"/>
        </w:trPr>
        <w:tc>
          <w:tcPr>
            <w:tcW w:w="1146" w:type="dxa"/>
            <w:tcBorders>
              <w:top w:val="single" w:color="000000" w:sz="4" w:space="0"/>
              <w:left w:val="single" w:color="000000" w:sz="10" w:space="0"/>
              <w:bottom w:val="single" w:color="000000" w:sz="10" w:space="0"/>
              <w:right w:val="single" w:color="000000" w:sz="4" w:space="0"/>
              <w:tl2br w:val="nil"/>
              <w:tr2bl w:val="nil"/>
            </w:tcBorders>
          </w:tcPr>
          <w:p w14:paraId="17FC5658">
            <w:pPr>
              <w:rPr>
                <w:rFonts w:hint="default" w:ascii="Times New Roman" w:eastAsia="Times New Roman"/>
                <w:color w:val="auto"/>
              </w:rPr>
            </w:pPr>
          </w:p>
        </w:tc>
        <w:tc>
          <w:tcPr>
            <w:tcW w:w="1528" w:type="dxa"/>
            <w:tcBorders>
              <w:top w:val="single" w:color="000000" w:sz="4" w:space="0"/>
              <w:left w:val="single" w:color="000000" w:sz="4" w:space="0"/>
              <w:bottom w:val="single" w:color="000000" w:sz="10" w:space="0"/>
              <w:right w:val="single" w:color="000000" w:sz="4" w:space="0"/>
              <w:tl2br w:val="nil"/>
              <w:tr2bl w:val="nil"/>
            </w:tcBorders>
          </w:tcPr>
          <w:p w14:paraId="283C22F8">
            <w:pPr>
              <w:rPr>
                <w:rFonts w:hint="default" w:ascii="Times New Roman" w:eastAsia="Times New Roman"/>
                <w:color w:val="auto"/>
              </w:rPr>
            </w:pPr>
          </w:p>
        </w:tc>
        <w:tc>
          <w:tcPr>
            <w:tcW w:w="2674" w:type="dxa"/>
            <w:tcBorders>
              <w:top w:val="single" w:color="000000" w:sz="4" w:space="0"/>
              <w:left w:val="single" w:color="000000" w:sz="4" w:space="0"/>
              <w:bottom w:val="single" w:color="000000" w:sz="10" w:space="0"/>
              <w:right w:val="single" w:color="000000" w:sz="4" w:space="0"/>
              <w:tl2br w:val="nil"/>
              <w:tr2bl w:val="nil"/>
            </w:tcBorders>
          </w:tcPr>
          <w:p w14:paraId="3D6145F7">
            <w:pPr>
              <w:rPr>
                <w:rFonts w:hint="default" w:ascii="Times New Roman" w:eastAsia="Times New Roman"/>
                <w:color w:val="auto"/>
              </w:rPr>
            </w:pPr>
          </w:p>
        </w:tc>
        <w:tc>
          <w:tcPr>
            <w:tcW w:w="2483" w:type="dxa"/>
            <w:tcBorders>
              <w:top w:val="single" w:color="000000" w:sz="4" w:space="0"/>
              <w:left w:val="single" w:color="000000" w:sz="4" w:space="0"/>
              <w:bottom w:val="single" w:color="000000" w:sz="10" w:space="0"/>
              <w:right w:val="single" w:color="000000" w:sz="4" w:space="0"/>
              <w:tl2br w:val="nil"/>
              <w:tr2bl w:val="nil"/>
            </w:tcBorders>
          </w:tcPr>
          <w:p w14:paraId="733C7250">
            <w:pPr>
              <w:rPr>
                <w:rFonts w:hint="default" w:ascii="Times New Roman" w:eastAsia="Times New Roman"/>
                <w:color w:val="auto"/>
              </w:rPr>
            </w:pPr>
          </w:p>
        </w:tc>
        <w:tc>
          <w:tcPr>
            <w:tcW w:w="1146" w:type="dxa"/>
            <w:tcBorders>
              <w:top w:val="single" w:color="000000" w:sz="4" w:space="0"/>
              <w:left w:val="single" w:color="000000" w:sz="4" w:space="0"/>
              <w:bottom w:val="single" w:color="000000" w:sz="10" w:space="0"/>
              <w:right w:val="single" w:color="000000" w:sz="10" w:space="0"/>
              <w:tl2br w:val="nil"/>
              <w:tr2bl w:val="nil"/>
            </w:tcBorders>
          </w:tcPr>
          <w:p w14:paraId="08B0F273">
            <w:pPr>
              <w:rPr>
                <w:rFonts w:hint="default" w:ascii="Times New Roman" w:eastAsia="Times New Roman"/>
                <w:color w:val="auto"/>
              </w:rPr>
            </w:pPr>
          </w:p>
        </w:tc>
      </w:tr>
    </w:tbl>
    <w:p w14:paraId="4F30827A">
      <w:pPr>
        <w:pStyle w:val="8"/>
        <w:kinsoku w:val="0"/>
        <w:overflowPunct w:val="0"/>
        <w:spacing w:before="37"/>
        <w:ind w:left="462"/>
        <w:rPr>
          <w:rFonts w:hint="default"/>
          <w:color w:val="auto"/>
        </w:rPr>
      </w:pPr>
      <w:r>
        <w:rPr>
          <w:color w:val="auto"/>
        </w:rPr>
        <w:t>说明：</w:t>
      </w:r>
      <w:r>
        <w:rPr>
          <w:rFonts w:hint="eastAsia"/>
          <w:color w:val="auto"/>
          <w:lang w:eastAsia="zh-CN"/>
        </w:rPr>
        <w:t>供应商</w:t>
      </w:r>
      <w:r>
        <w:rPr>
          <w:color w:val="auto"/>
        </w:rPr>
        <w:t>需逐项填写《服务项目偏离表》。</w:t>
      </w:r>
    </w:p>
    <w:p w14:paraId="306FABD5">
      <w:pPr>
        <w:pStyle w:val="8"/>
        <w:kinsoku w:val="0"/>
        <w:overflowPunct w:val="0"/>
        <w:spacing w:before="0"/>
        <w:ind w:left="0"/>
        <w:rPr>
          <w:rFonts w:hint="default"/>
          <w:color w:val="auto"/>
          <w:sz w:val="20"/>
          <w:szCs w:val="20"/>
        </w:rPr>
      </w:pPr>
    </w:p>
    <w:p w14:paraId="430270A1">
      <w:pPr>
        <w:pStyle w:val="8"/>
        <w:kinsoku w:val="0"/>
        <w:overflowPunct w:val="0"/>
        <w:spacing w:before="0"/>
        <w:ind w:left="0"/>
        <w:rPr>
          <w:rFonts w:hint="default"/>
          <w:color w:val="auto"/>
          <w:sz w:val="20"/>
          <w:szCs w:val="20"/>
        </w:rPr>
      </w:pPr>
    </w:p>
    <w:p w14:paraId="4F515EFA">
      <w:pPr>
        <w:pStyle w:val="8"/>
        <w:kinsoku w:val="0"/>
        <w:overflowPunct w:val="0"/>
        <w:spacing w:before="0"/>
        <w:ind w:left="0"/>
        <w:rPr>
          <w:rFonts w:hint="default"/>
          <w:color w:val="auto"/>
          <w:sz w:val="20"/>
          <w:szCs w:val="20"/>
        </w:rPr>
      </w:pPr>
    </w:p>
    <w:p w14:paraId="50133899">
      <w:pPr>
        <w:pStyle w:val="8"/>
        <w:kinsoku w:val="0"/>
        <w:overflowPunct w:val="0"/>
        <w:spacing w:before="0"/>
        <w:ind w:left="0"/>
        <w:rPr>
          <w:rFonts w:hint="default"/>
          <w:color w:val="auto"/>
          <w:sz w:val="20"/>
          <w:szCs w:val="20"/>
        </w:rPr>
      </w:pPr>
    </w:p>
    <w:p w14:paraId="257FF24F">
      <w:pPr>
        <w:pStyle w:val="8"/>
        <w:kinsoku w:val="0"/>
        <w:overflowPunct w:val="0"/>
        <w:spacing w:before="0"/>
        <w:ind w:left="0"/>
        <w:rPr>
          <w:rFonts w:hint="default"/>
          <w:color w:val="auto"/>
          <w:sz w:val="20"/>
          <w:szCs w:val="20"/>
        </w:rPr>
      </w:pPr>
    </w:p>
    <w:p w14:paraId="15F1296E">
      <w:pPr>
        <w:pStyle w:val="8"/>
        <w:kinsoku w:val="0"/>
        <w:overflowPunct w:val="0"/>
        <w:spacing w:before="1"/>
        <w:ind w:left="0"/>
        <w:rPr>
          <w:rFonts w:hint="default"/>
          <w:color w:val="auto"/>
          <w:sz w:val="17"/>
          <w:szCs w:val="17"/>
        </w:rPr>
      </w:pPr>
    </w:p>
    <w:p w14:paraId="0140BBA9">
      <w:pPr>
        <w:pStyle w:val="8"/>
        <w:kinsoku w:val="0"/>
        <w:overflowPunct w:val="0"/>
        <w:spacing w:before="26"/>
        <w:ind w:left="0" w:right="477"/>
        <w:jc w:val="right"/>
        <w:rPr>
          <w:rFonts w:hint="default"/>
          <w:color w:val="auto"/>
        </w:rPr>
      </w:pPr>
      <w:r>
        <w:rPr>
          <w:color w:val="auto"/>
        </w:rPr>
        <w:t>年月日</w:t>
      </w:r>
    </w:p>
    <w:p w14:paraId="25DBC87D">
      <w:pPr>
        <w:pStyle w:val="8"/>
        <w:kinsoku w:val="0"/>
        <w:overflowPunct w:val="0"/>
        <w:spacing w:before="26"/>
        <w:ind w:left="0" w:right="477"/>
        <w:jc w:val="right"/>
        <w:rPr>
          <w:rFonts w:hint="default"/>
          <w:color w:val="auto"/>
        </w:rPr>
        <w:sectPr>
          <w:pgSz w:w="11910" w:h="16840"/>
          <w:pgMar w:top="1460" w:right="1320" w:bottom="1600" w:left="1340" w:header="0" w:footer="1395" w:gutter="0"/>
          <w:pgNumType w:fmt="decimal"/>
          <w:cols w:space="720" w:num="1"/>
        </w:sectPr>
      </w:pPr>
    </w:p>
    <w:p w14:paraId="032F3C01">
      <w:pPr>
        <w:pStyle w:val="4"/>
        <w:kinsoku w:val="0"/>
        <w:overflowPunct w:val="0"/>
        <w:spacing w:line="395" w:lineRule="exact"/>
        <w:outlineLvl w:val="0"/>
        <w:rPr>
          <w:rFonts w:hint="default"/>
          <w:color w:val="auto"/>
        </w:rPr>
      </w:pPr>
      <w:bookmarkStart w:id="87" w:name="友情提示：供应商在制作投标文件时，如有问题可咨询政采云客服采小蜜"/>
      <w:bookmarkEnd w:id="87"/>
      <w:bookmarkStart w:id="88" w:name="_Toc32762"/>
      <w:r>
        <w:rPr>
          <w:color w:val="auto"/>
        </w:rPr>
        <w:t>友情提示：供应商在制作投标文件时，如有问题可咨询政采</w:t>
      </w:r>
      <w:bookmarkEnd w:id="88"/>
    </w:p>
    <w:p w14:paraId="64310885">
      <w:pPr>
        <w:pStyle w:val="8"/>
        <w:kinsoku w:val="0"/>
        <w:overflowPunct w:val="0"/>
        <w:spacing w:before="205"/>
        <w:rPr>
          <w:rFonts w:hint="default" w:ascii="仿宋" w:eastAsia="仿宋" w:cs="仿宋"/>
          <w:color w:val="auto"/>
          <w:sz w:val="32"/>
          <w:szCs w:val="32"/>
        </w:rPr>
      </w:pPr>
      <w:r>
        <w:rPr>
          <w:rFonts w:ascii="仿宋" w:eastAsia="仿宋" w:cs="仿宋"/>
          <w:color w:val="auto"/>
          <w:sz w:val="32"/>
          <w:szCs w:val="32"/>
        </w:rPr>
        <w:t>云客服采小蜜</w:t>
      </w:r>
    </w:p>
    <w:p w14:paraId="2D992974">
      <w:pPr>
        <w:pStyle w:val="8"/>
        <w:kinsoku w:val="0"/>
        <w:overflowPunct w:val="0"/>
        <w:spacing w:before="1"/>
        <w:ind w:left="0"/>
        <w:rPr>
          <w:rFonts w:hint="default" w:ascii="仿宋" w:eastAsia="仿宋" w:cs="仿宋"/>
          <w:color w:val="auto"/>
          <w:sz w:val="21"/>
          <w:szCs w:val="21"/>
        </w:rPr>
      </w:pPr>
    </w:p>
    <w:p w14:paraId="3F0CCAEB">
      <w:pPr>
        <w:pStyle w:val="8"/>
        <w:kinsoku w:val="0"/>
        <w:overflowPunct w:val="0"/>
        <w:spacing w:before="0" w:line="8079" w:lineRule="exact"/>
        <w:ind w:left="151"/>
        <w:rPr>
          <w:rFonts w:hint="default" w:ascii="仿宋" w:eastAsia="仿宋" w:cs="仿宋"/>
          <w:color w:val="auto"/>
          <w:position w:val="-162"/>
          <w:sz w:val="20"/>
          <w:szCs w:val="20"/>
        </w:rPr>
      </w:pPr>
      <w:r>
        <w:rPr>
          <w:rFonts w:hint="default" w:ascii="仿宋" w:eastAsia="仿宋" w:cs="仿宋"/>
          <w:color w:val="auto"/>
          <w:position w:val="-162"/>
          <w:sz w:val="20"/>
          <w:szCs w:val="20"/>
        </w:rPr>
        <w:drawing>
          <wp:inline distT="0" distB="0" distL="114300" distR="114300">
            <wp:extent cx="5208905" cy="5130800"/>
            <wp:effectExtent l="0" t="0" r="10795"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9"/>
                    <a:stretch>
                      <a:fillRect/>
                    </a:stretch>
                  </pic:blipFill>
                  <pic:spPr>
                    <a:xfrm>
                      <a:off x="0" y="0"/>
                      <a:ext cx="5208905" cy="5130800"/>
                    </a:xfrm>
                    <a:prstGeom prst="rect">
                      <a:avLst/>
                    </a:prstGeom>
                    <a:noFill/>
                    <a:ln>
                      <a:noFill/>
                    </a:ln>
                  </pic:spPr>
                </pic:pic>
              </a:graphicData>
            </a:graphic>
          </wp:inline>
        </w:drawing>
      </w:r>
    </w:p>
    <w:p w14:paraId="5A3991AB">
      <w:pPr>
        <w:pStyle w:val="8"/>
        <w:kinsoku w:val="0"/>
        <w:overflowPunct w:val="0"/>
        <w:spacing w:before="0" w:line="8079" w:lineRule="exact"/>
        <w:ind w:left="151"/>
        <w:rPr>
          <w:rFonts w:hint="default" w:ascii="仿宋" w:eastAsia="仿宋" w:cs="仿宋"/>
          <w:color w:val="auto"/>
          <w:position w:val="-162"/>
          <w:sz w:val="20"/>
          <w:szCs w:val="20"/>
        </w:rPr>
        <w:sectPr>
          <w:pgSz w:w="11910" w:h="16840"/>
          <w:pgMar w:top="1500" w:right="1660" w:bottom="1600" w:left="1680" w:header="0" w:footer="1395" w:gutter="0"/>
          <w:pgNumType w:fmt="decimal"/>
          <w:cols w:space="720" w:num="1"/>
        </w:sectPr>
      </w:pPr>
    </w:p>
    <w:p w14:paraId="1EBFCC5B">
      <w:pPr>
        <w:pStyle w:val="8"/>
        <w:kinsoku w:val="0"/>
        <w:overflowPunct w:val="0"/>
        <w:spacing w:before="7"/>
        <w:ind w:left="0"/>
        <w:rPr>
          <w:rFonts w:hint="default" w:ascii="Times New Roman" w:eastAsia="Times New Roman" w:cs="Times New Roman"/>
          <w:color w:val="auto"/>
          <w:sz w:val="7"/>
          <w:szCs w:val="7"/>
        </w:rPr>
      </w:pPr>
    </w:p>
    <w:p w14:paraId="09209D30">
      <w:pPr>
        <w:pStyle w:val="8"/>
        <w:kinsoku w:val="0"/>
        <w:overflowPunct w:val="0"/>
        <w:spacing w:before="0" w:line="7538" w:lineRule="exact"/>
        <w:ind w:left="106"/>
        <w:rPr>
          <w:rFonts w:hint="default" w:ascii="Times New Roman" w:eastAsia="Times New Roman" w:cs="Times New Roman"/>
          <w:color w:val="auto"/>
          <w:position w:val="-151"/>
          <w:sz w:val="20"/>
          <w:szCs w:val="20"/>
        </w:rPr>
      </w:pPr>
      <w:r>
        <w:rPr>
          <w:rFonts w:hint="default" w:ascii="Times New Roman" w:cs="Times New Roman"/>
          <w:color w:val="auto"/>
          <w:position w:val="-151"/>
          <w:sz w:val="20"/>
          <w:szCs w:val="20"/>
        </w:rPr>
        <mc:AlternateContent>
          <mc:Choice Requires="wpg">
            <w:drawing>
              <wp:inline distT="0" distB="0" distL="114300" distR="114300">
                <wp:extent cx="5308600" cy="4787265"/>
                <wp:effectExtent l="0" t="0" r="0" b="0"/>
                <wp:docPr id="3" name="组合 150"/>
                <wp:cNvGraphicFramePr/>
                <a:graphic xmlns:a="http://schemas.openxmlformats.org/drawingml/2006/main">
                  <a:graphicData uri="http://schemas.microsoft.com/office/word/2010/wordprocessingGroup">
                    <wpg:wgp>
                      <wpg:cNvGrpSpPr>
                        <a:grpSpLocks noRot="1"/>
                      </wpg:cNvGrpSpPr>
                      <wpg:grpSpPr>
                        <a:xfrm>
                          <a:off x="0" y="0"/>
                          <a:ext cx="5308600" cy="4787265"/>
                          <a:chOff x="0" y="0"/>
                          <a:chExt cx="8365" cy="7535"/>
                        </a:xfrm>
                      </wpg:grpSpPr>
                      <wps:wsp>
                        <wps:cNvPr id="36" name="矩形 151"/>
                        <wps:cNvSpPr/>
                        <wps:spPr>
                          <a:xfrm>
                            <a:off x="0" y="5815"/>
                            <a:ext cx="8300" cy="1720"/>
                          </a:xfrm>
                          <a:prstGeom prst="rect">
                            <a:avLst/>
                          </a:prstGeom>
                          <a:noFill/>
                          <a:ln>
                            <a:noFill/>
                          </a:ln>
                        </wps:spPr>
                        <wps:txbx>
                          <w:txbxContent>
                            <w:p w14:paraId="342B6652">
                              <w:pPr>
                                <w:widowControl/>
                                <w:autoSpaceDE/>
                                <w:autoSpaceDN/>
                                <w:adjustRightInd/>
                                <w:spacing w:line="1720" w:lineRule="atLeast"/>
                                <w:rPr>
                                  <w:rFonts w:hint="default" w:ascii="Times New Roman" w:eastAsia="Times New Roman"/>
                                </w:rPr>
                              </w:pPr>
                              <w:r>
                                <w:rPr>
                                  <w:rFonts w:hint="default" w:ascii="Times New Roman"/>
                                </w:rPr>
                                <w:drawing>
                                  <wp:inline distT="0" distB="0" distL="114300" distR="114300">
                                    <wp:extent cx="5261610" cy="1092200"/>
                                    <wp:effectExtent l="0" t="0" r="15240" b="12700"/>
                                    <wp:docPr id="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pic:cNvPicPr>
                                              <a:picLocks noChangeAspect="1"/>
                                            </pic:cNvPicPr>
                                          </pic:nvPicPr>
                                          <pic:blipFill>
                                            <a:blip r:embed="rId20"/>
                                            <a:stretch>
                                              <a:fillRect/>
                                            </a:stretch>
                                          </pic:blipFill>
                                          <pic:spPr>
                                            <a:xfrm>
                                              <a:off x="0" y="0"/>
                                              <a:ext cx="5261610" cy="1092200"/>
                                            </a:xfrm>
                                            <a:prstGeom prst="rect">
                                              <a:avLst/>
                                            </a:prstGeom>
                                            <a:noFill/>
                                            <a:ln>
                                              <a:noFill/>
                                            </a:ln>
                                          </pic:spPr>
                                        </pic:pic>
                                      </a:graphicData>
                                    </a:graphic>
                                  </wp:inline>
                                </w:drawing>
                              </w:r>
                            </w:p>
                            <w:p w14:paraId="3EF90227">
                              <w:pPr>
                                <w:rPr>
                                  <w:rFonts w:hint="default" w:ascii="Times New Roman" w:eastAsia="Times New Roman"/>
                                </w:rPr>
                              </w:pPr>
                            </w:p>
                          </w:txbxContent>
                        </wps:txbx>
                        <wps:bodyPr wrap="square" lIns="0" tIns="0" rIns="0" bIns="0" upright="1"/>
                      </wps:wsp>
                      <wps:wsp>
                        <wps:cNvPr id="38" name="矩形 152"/>
                        <wps:cNvSpPr/>
                        <wps:spPr>
                          <a:xfrm>
                            <a:off x="65" y="0"/>
                            <a:ext cx="8300" cy="5840"/>
                          </a:xfrm>
                          <a:prstGeom prst="rect">
                            <a:avLst/>
                          </a:prstGeom>
                          <a:noFill/>
                          <a:ln>
                            <a:noFill/>
                          </a:ln>
                        </wps:spPr>
                        <wps:txbx>
                          <w:txbxContent>
                            <w:p w14:paraId="158337FF">
                              <w:pPr>
                                <w:widowControl/>
                                <w:autoSpaceDE/>
                                <w:autoSpaceDN/>
                                <w:adjustRightInd/>
                                <w:spacing w:line="5840" w:lineRule="atLeast"/>
                                <w:rPr>
                                  <w:rFonts w:hint="default" w:ascii="Times New Roman" w:eastAsia="Times New Roman"/>
                                </w:rPr>
                              </w:pPr>
                              <w:r>
                                <w:rPr>
                                  <w:rFonts w:hint="default" w:ascii="Times New Roman"/>
                                </w:rPr>
                                <w:drawing>
                                  <wp:inline distT="0" distB="0" distL="114300" distR="114300">
                                    <wp:extent cx="5279390" cy="3714750"/>
                                    <wp:effectExtent l="0" t="0" r="3810" b="6350"/>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
                                            <pic:cNvPicPr>
                                              <a:picLocks noChangeAspect="1"/>
                                            </pic:cNvPicPr>
                                          </pic:nvPicPr>
                                          <pic:blipFill>
                                            <a:blip r:embed="rId21"/>
                                            <a:stretch>
                                              <a:fillRect/>
                                            </a:stretch>
                                          </pic:blipFill>
                                          <pic:spPr>
                                            <a:xfrm>
                                              <a:off x="0" y="0"/>
                                              <a:ext cx="5279390" cy="3714750"/>
                                            </a:xfrm>
                                            <a:prstGeom prst="rect">
                                              <a:avLst/>
                                            </a:prstGeom>
                                            <a:noFill/>
                                            <a:ln>
                                              <a:noFill/>
                                            </a:ln>
                                          </pic:spPr>
                                        </pic:pic>
                                      </a:graphicData>
                                    </a:graphic>
                                  </wp:inline>
                                </w:drawing>
                              </w:r>
                            </w:p>
                            <w:p w14:paraId="0CBC72FB">
                              <w:pPr>
                                <w:rPr>
                                  <w:rFonts w:hint="default" w:ascii="Times New Roman" w:eastAsia="Times New Roman"/>
                                </w:rPr>
                              </w:pPr>
                            </w:p>
                          </w:txbxContent>
                        </wps:txbx>
                        <wps:bodyPr wrap="square" lIns="0" tIns="0" rIns="0" bIns="0" upright="1"/>
                      </wps:wsp>
                    </wpg:wgp>
                  </a:graphicData>
                </a:graphic>
              </wp:inline>
            </w:drawing>
          </mc:Choice>
          <mc:Fallback>
            <w:pict>
              <v:group id="组合 150" o:spid="_x0000_s1026" o:spt="203" style="height:376.95pt;width:418pt;" coordsize="8365,7535" o:gfxdata="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xG31Z1gAAAAUB&#10;AAAPAAAAAAAAAAEAIAAAACIAAABkcnMvZG93bnJldi54bWxQSwECFAAUAAAACACHTuJAgnoU/lYC&#10;AABeBgAADgAAAAAAAAABACAAAAAlAQAAZHJzL2Uyb0RvYy54bWxQSwUGAAAAAAYABgBZAQAA7QUA&#10;AAAA&#10;">
                <o:lock v:ext="edit" rotation="t" aspectratio="f"/>
                <v:rect id="矩形 151" o:spid="_x0000_s1026" o:spt="1" style="position:absolute;left:0;top:5815;height:1720;width:8300;" filled="f" stroked="f" coordsize="21600,21600" o:gfxdata="UEsDBAoAAAAAAIdO4kAAAAAAAAAAAAAAAAAEAAAAZHJzL1BLAwQUAAAACACHTuJAht/AgL8AAADb&#10;AAAADwAAAGRycy9kb3ducmV2LnhtbEWPT2vCQBTE74LfYXlCb7pJC6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fwIC/&#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42B6652">
                        <w:pPr>
                          <w:widowControl/>
                          <w:autoSpaceDE/>
                          <w:autoSpaceDN/>
                          <w:adjustRightInd/>
                          <w:spacing w:line="1720" w:lineRule="atLeast"/>
                          <w:rPr>
                            <w:rFonts w:hint="default" w:ascii="Times New Roman" w:eastAsia="Times New Roman"/>
                          </w:rPr>
                        </w:pPr>
                        <w:r>
                          <w:rPr>
                            <w:rFonts w:hint="default" w:ascii="Times New Roman"/>
                          </w:rPr>
                          <w:drawing>
                            <wp:inline distT="0" distB="0" distL="114300" distR="114300">
                              <wp:extent cx="5261610" cy="1092200"/>
                              <wp:effectExtent l="0" t="0" r="15240" b="12700"/>
                              <wp:docPr id="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pic:cNvPicPr>
                                        <a:picLocks noChangeAspect="1"/>
                                      </pic:cNvPicPr>
                                    </pic:nvPicPr>
                                    <pic:blipFill>
                                      <a:blip r:embed="rId20"/>
                                      <a:stretch>
                                        <a:fillRect/>
                                      </a:stretch>
                                    </pic:blipFill>
                                    <pic:spPr>
                                      <a:xfrm>
                                        <a:off x="0" y="0"/>
                                        <a:ext cx="5261610" cy="1092200"/>
                                      </a:xfrm>
                                      <a:prstGeom prst="rect">
                                        <a:avLst/>
                                      </a:prstGeom>
                                      <a:noFill/>
                                      <a:ln>
                                        <a:noFill/>
                                      </a:ln>
                                    </pic:spPr>
                                  </pic:pic>
                                </a:graphicData>
                              </a:graphic>
                            </wp:inline>
                          </w:drawing>
                        </w:r>
                      </w:p>
                      <w:p w14:paraId="3EF90227">
                        <w:pPr>
                          <w:rPr>
                            <w:rFonts w:hint="default" w:ascii="Times New Roman" w:eastAsia="Times New Roman"/>
                          </w:rPr>
                        </w:pPr>
                      </w:p>
                    </w:txbxContent>
                  </v:textbox>
                </v:rect>
                <v:rect id="矩形 152" o:spid="_x0000_s1026" o:spt="1" style="position:absolute;left:65;top:0;height:5840;width:8300;" filled="f" stroked="f" coordsize="21600,21600" o:gfxdata="UEsDBAoAAAAAAIdO4kAAAAAAAAAAAAAAAAAEAAAAZHJzL1BLAwQUAAAACACHTuJAmAzxaboAAADb&#10;AAAADwAAAGRycy9kb3ducmV2LnhtbEVPTYvCMBC9C/sfwix401QF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DPFp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58337FF">
                        <w:pPr>
                          <w:widowControl/>
                          <w:autoSpaceDE/>
                          <w:autoSpaceDN/>
                          <w:adjustRightInd/>
                          <w:spacing w:line="5840" w:lineRule="atLeast"/>
                          <w:rPr>
                            <w:rFonts w:hint="default" w:ascii="Times New Roman" w:eastAsia="Times New Roman"/>
                          </w:rPr>
                        </w:pPr>
                        <w:r>
                          <w:rPr>
                            <w:rFonts w:hint="default" w:ascii="Times New Roman"/>
                          </w:rPr>
                          <w:drawing>
                            <wp:inline distT="0" distB="0" distL="114300" distR="114300">
                              <wp:extent cx="5279390" cy="3714750"/>
                              <wp:effectExtent l="0" t="0" r="3810" b="6350"/>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
                                      <pic:cNvPicPr>
                                        <a:picLocks noChangeAspect="1"/>
                                      </pic:cNvPicPr>
                                    </pic:nvPicPr>
                                    <pic:blipFill>
                                      <a:blip r:embed="rId21"/>
                                      <a:stretch>
                                        <a:fillRect/>
                                      </a:stretch>
                                    </pic:blipFill>
                                    <pic:spPr>
                                      <a:xfrm>
                                        <a:off x="0" y="0"/>
                                        <a:ext cx="5279390" cy="3714750"/>
                                      </a:xfrm>
                                      <a:prstGeom prst="rect">
                                        <a:avLst/>
                                      </a:prstGeom>
                                      <a:noFill/>
                                      <a:ln>
                                        <a:noFill/>
                                      </a:ln>
                                    </pic:spPr>
                                  </pic:pic>
                                </a:graphicData>
                              </a:graphic>
                            </wp:inline>
                          </w:drawing>
                        </w:r>
                      </w:p>
                      <w:p w14:paraId="0CBC72FB">
                        <w:pPr>
                          <w:rPr>
                            <w:rFonts w:hint="default" w:ascii="Times New Roman" w:eastAsia="Times New Roman"/>
                          </w:rPr>
                        </w:pPr>
                      </w:p>
                    </w:txbxContent>
                  </v:textbox>
                </v:rect>
                <w10:wrap type="none"/>
                <w10:anchorlock/>
              </v:group>
            </w:pict>
          </mc:Fallback>
        </mc:AlternateContent>
      </w:r>
    </w:p>
    <w:sectPr>
      <w:pgSz w:w="11910" w:h="16840"/>
      <w:pgMar w:top="1380" w:right="1680" w:bottom="1580" w:left="1660" w:header="0" w:footer="139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6E23F">
    <w:pPr>
      <w:pStyle w:val="8"/>
      <w:kinsoku w:val="0"/>
      <w:overflowPunct w:val="0"/>
      <w:spacing w:before="0" w:line="14" w:lineRule="auto"/>
      <w:ind w:left="0"/>
      <w:rPr>
        <w:rFonts w:hint="default" w:ascii="Times New Roman" w:eastAsia="Times New Roman" w:cs="Times New Roman"/>
        <w:sz w:val="20"/>
        <w:szCs w:val="20"/>
      </w:rPr>
    </w:pPr>
    <w:r>
      <w:rPr>
        <w:rFonts w:hint="default"/>
      </w:rPr>
      <mc:AlternateContent>
        <mc:Choice Requires="wps">
          <w:drawing>
            <wp:anchor distT="0" distB="0" distL="114300" distR="114300" simplePos="0" relativeHeight="251665408" behindDoc="1" locked="0" layoutInCell="0" allowOverlap="1">
              <wp:simplePos x="0" y="0"/>
              <wp:positionH relativeFrom="page">
                <wp:posOffset>3726815</wp:posOffset>
              </wp:positionH>
              <wp:positionV relativeFrom="page">
                <wp:posOffset>9653905</wp:posOffset>
              </wp:positionV>
              <wp:extent cx="107950" cy="139700"/>
              <wp:effectExtent l="0" t="0" r="0" b="0"/>
              <wp:wrapNone/>
              <wp:docPr id="21"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34C1A0AD">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6</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1" o:spid="_x0000_s1026" o:spt="202" type="#_x0000_t202" style="position:absolute;left:0pt;margin-left:293.45pt;margin-top:760.15pt;height:11pt;width:8.5pt;mso-position-horizontal-relative:page;mso-position-vertical-relative:page;z-index:-251651072;mso-width-relative:page;mso-height-relative:page;" filled="f" stroked="f" coordsize="21600,21600" o:allowincell="f" o:gfxdata="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Wfp2gAAAA0BAAAPAAAAAAAAAAEAIAAAACIAAABkcnMvZG93&#10;bnJldi54bWxQSwECFAAUAAAACACHTuJAS12IjcUBAACAAwAADgAAAAAAAAABACAAAAApAQAAZHJz&#10;L2Uyb0RvYy54bWxQSwUGAAAAAAYABgBZAQAAYAUAAAAA&#10;">
              <v:fill on="f" focussize="0,0"/>
              <v:stroke on="f"/>
              <v:imagedata o:title=""/>
              <o:lock v:ext="edit" aspectratio="f"/>
              <v:textbox inset="0mm,0mm,0mm,0mm">
                <w:txbxContent>
                  <w:p w14:paraId="34C1A0AD">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6</w:t>
                    </w:r>
                    <w:r>
                      <w:rPr>
                        <w:rFonts w:ascii="Times New Roman" w:eastAsia="Times New Roman" w:cs="Times New Roman"/>
                        <w:sz w:val="18"/>
                        <w:szCs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1E3B">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40B6">
    <w:pPr>
      <w:pStyle w:val="15"/>
      <w:tabs>
        <w:tab w:val="center" w:pos="4422"/>
        <w:tab w:val="clear" w:pos="4153"/>
      </w:tabs>
      <w:rPr>
        <w:rFonts w:hint="default" w:ascii="Times New Roman" w:eastAsia="Times New Roma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1BD4D">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B1BD4D">
                    <w:pPr>
                      <w:pStyle w:val="15"/>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eastAsia="Times New Roma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A9920">
    <w:pPr>
      <w:pStyle w:val="8"/>
      <w:kinsoku w:val="0"/>
      <w:overflowPunct w:val="0"/>
      <w:spacing w:before="0" w:line="14" w:lineRule="auto"/>
      <w:ind w:left="0"/>
      <w:rPr>
        <w:rFonts w:hint="default" w:ascii="Times New Roman" w:eastAsia="Times New Roman" w:cs="Times New Roman"/>
        <w:sz w:val="20"/>
        <w:szCs w:val="20"/>
      </w:rPr>
    </w:pPr>
    <w:r>
      <w:rPr>
        <w:rFonts w:hint="default"/>
      </w:rPr>
      <mc:AlternateContent>
        <mc:Choice Requires="wps">
          <w:drawing>
            <wp:anchor distT="0" distB="0" distL="114300" distR="114300" simplePos="0" relativeHeight="251669504" behindDoc="0" locked="0" layoutInCell="0" allowOverlap="1">
              <wp:simplePos x="0" y="0"/>
              <wp:positionH relativeFrom="margin">
                <wp:align>center</wp:align>
              </wp:positionH>
              <wp:positionV relativeFrom="paragraph">
                <wp:posOffset>0</wp:posOffset>
              </wp:positionV>
              <wp:extent cx="166370" cy="139700"/>
              <wp:effectExtent l="0" t="0" r="0" b="0"/>
              <wp:wrapNone/>
              <wp:docPr id="28" name="文本框 17"/>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5567B567">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56</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pt;mso-position-horizontal:center;mso-position-horizontal-relative:margin;z-index:251669504;mso-width-relative:page;mso-height-relative:page;" filled="f" stroked="f" coordsize="21600,21600" o:allowincell="f"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9KzBtIAAAADAQAADwAAAAAAAAABACAAAAAiAAAAZHJzL2Rvd25yZXYueG1s&#10;UEsBAhQAFAAAAAgAh07iQOyf3UXFAQAAgQMAAA4AAAAAAAAAAQAgAAAAIQEAAGRycy9lMm9Eb2Mu&#10;eG1sUEsFBgAAAAAGAAYAWQEAAFgFAAAAAA==&#10;">
              <v:fill on="f" focussize="0,0"/>
              <v:stroke on="f"/>
              <v:imagedata o:title=""/>
              <o:lock v:ext="edit" aspectratio="f"/>
              <v:textbox inset="0mm,0mm,0mm,0mm">
                <w:txbxContent>
                  <w:p w14:paraId="5567B567">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56</w:t>
                    </w:r>
                    <w:r>
                      <w:rPr>
                        <w:rFonts w:ascii="Times New Roman" w:eastAsia="Times New Roman" w:cs="Times New Roman"/>
                        <w:sz w:val="18"/>
                        <w:szCs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E2C2">
    <w:pPr>
      <w:pStyle w:val="8"/>
      <w:kinsoku w:val="0"/>
      <w:overflowPunct w:val="0"/>
      <w:spacing w:before="0" w:line="14" w:lineRule="auto"/>
      <w:ind w:left="0"/>
      <w:rPr>
        <w:rFonts w:hint="default" w:ascii="Times New Roman" w:eastAsia="Times New Roman" w:cs="Times New Roman"/>
        <w:sz w:val="20"/>
        <w:szCs w:val="20"/>
      </w:rPr>
    </w:pPr>
    <w:r>
      <w:rPr>
        <w:rFonts w:hint="default"/>
      </w:rPr>
      <mc:AlternateContent>
        <mc:Choice Requires="wps">
          <w:drawing>
            <wp:anchor distT="0" distB="0" distL="114300" distR="114300" simplePos="0" relativeHeight="251670528" behindDoc="0" locked="0" layoutInCell="0" allowOverlap="1">
              <wp:simplePos x="0" y="0"/>
              <wp:positionH relativeFrom="margin">
                <wp:align>center</wp:align>
              </wp:positionH>
              <wp:positionV relativeFrom="paragraph">
                <wp:posOffset>0</wp:posOffset>
              </wp:positionV>
              <wp:extent cx="166370" cy="139700"/>
              <wp:effectExtent l="0" t="0" r="0" b="0"/>
              <wp:wrapNone/>
              <wp:docPr id="29" name="文本框 18"/>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73D32B29">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67</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18" o:spid="_x0000_s1026" o:spt="202" type="#_x0000_t202" style="position:absolute;left:0pt;margin-top:0pt;height:11pt;width:13.1pt;mso-position-horizontal:center;mso-position-horizontal-relative:margin;z-index:251670528;mso-width-relative:page;mso-height-relative:page;" filled="f" stroked="f" coordsize="21600,21600" o:allowincell="f"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fSswbSAAAAAwEAAA8AAAAAAAAAAQAgAAAAIgAAAGRycy9kb3ducmV2Lnht&#10;bFBLAQIUABQAAAAIAIdO4kB5rhXYxgEAAIEDAAAOAAAAAAAAAAEAIAAAACEBAABkcnMvZTJvRG9j&#10;LnhtbFBLBQYAAAAABgAGAFkBAABZBQAAAAA=&#10;">
              <v:fill on="f" focussize="0,0"/>
              <v:stroke on="f"/>
              <v:imagedata o:title=""/>
              <o:lock v:ext="edit" aspectratio="f"/>
              <v:textbox inset="0mm,0mm,0mm,0mm">
                <w:txbxContent>
                  <w:p w14:paraId="73D32B29">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67</w:t>
                    </w:r>
                    <w:r>
                      <w:rPr>
                        <w:rFonts w:ascii="Times New Roman" w:eastAsia="Times New Roman" w:cs="Times New Roman"/>
                        <w:sz w:val="18"/>
                        <w:szCs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E760">
    <w:pPr>
      <w:pStyle w:val="8"/>
      <w:kinsoku w:val="0"/>
      <w:overflowPunct w:val="0"/>
      <w:spacing w:before="0" w:line="14" w:lineRule="auto"/>
      <w:ind w:left="0"/>
      <w:rPr>
        <w:rFonts w:hint="default" w:ascii="Times New Roman" w:eastAsia="Times New Roman" w:cs="Times New Roman"/>
        <w:sz w:val="18"/>
        <w:szCs w:val="18"/>
      </w:rPr>
    </w:pPr>
    <w:r>
      <w:rPr>
        <w:rFonts w:hint="default"/>
      </w:rPr>
      <mc:AlternateContent>
        <mc:Choice Requires="wps">
          <w:drawing>
            <wp:anchor distT="0" distB="0" distL="114300" distR="114300" simplePos="0" relativeHeight="251671552" behindDoc="0" locked="0" layoutInCell="0" allowOverlap="1">
              <wp:simplePos x="0" y="0"/>
              <wp:positionH relativeFrom="margin">
                <wp:align>center</wp:align>
              </wp:positionH>
              <wp:positionV relativeFrom="paragraph">
                <wp:posOffset>0</wp:posOffset>
              </wp:positionV>
              <wp:extent cx="166370" cy="139700"/>
              <wp:effectExtent l="0" t="0" r="0" b="0"/>
              <wp:wrapNone/>
              <wp:docPr id="30" name="文本框 19"/>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62BB933F">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77</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19" o:spid="_x0000_s1026" o:spt="202" type="#_x0000_t202" style="position:absolute;left:0pt;margin-top:0pt;height:11pt;width:13.1pt;mso-position-horizontal:center;mso-position-horizontal-relative:margin;z-index:251671552;mso-width-relative:page;mso-height-relative:page;" filled="f" stroked="f" coordsize="21600,21600" o:allowincell="f"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9KzBtIAAAADAQAADwAAAAAAAAABACAAAAAiAAAAZHJzL2Rvd25yZXYueG1s&#10;UEsBAhQAFAAAAAgAh07iQEg1IvjFAQAAgQMAAA4AAAAAAAAAAQAgAAAAIQEAAGRycy9lMm9Eb2Mu&#10;eG1sUEsFBgAAAAAGAAYAWQEAAFgFAAAAAA==&#10;">
              <v:fill on="f" focussize="0,0"/>
              <v:stroke on="f"/>
              <v:imagedata o:title=""/>
              <o:lock v:ext="edit" aspectratio="f"/>
              <v:textbox inset="0mm,0mm,0mm,0mm">
                <w:txbxContent>
                  <w:p w14:paraId="62BB933F">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77</w:t>
                    </w:r>
                    <w:r>
                      <w:rPr>
                        <w:rFonts w:ascii="Times New Roman" w:eastAsia="Times New Roman"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3A390">
    <w:pPr>
      <w:pStyle w:val="8"/>
      <w:kinsoku w:val="0"/>
      <w:overflowPunct w:val="0"/>
      <w:spacing w:before="0" w:line="14" w:lineRule="auto"/>
      <w:ind w:left="0"/>
      <w:rPr>
        <w:rFonts w:hint="default" w:ascii="Times New Roman" w:eastAsia="Times New Roman" w:cs="Times New Roman"/>
        <w:sz w:val="20"/>
        <w:szCs w:val="20"/>
      </w:rPr>
    </w:pPr>
    <w:r>
      <w:rPr>
        <w:rFonts w:hint="default"/>
      </w:rPr>
      <mc:AlternateContent>
        <mc:Choice Requires="wps">
          <w:drawing>
            <wp:anchor distT="0" distB="0" distL="114300" distR="114300" simplePos="0" relativeHeight="251660288" behindDoc="1" locked="0" layoutInCell="0" allowOverlap="1">
              <wp:simplePos x="0" y="0"/>
              <wp:positionH relativeFrom="page">
                <wp:posOffset>3697605</wp:posOffset>
              </wp:positionH>
              <wp:positionV relativeFrom="page">
                <wp:posOffset>9653905</wp:posOffset>
              </wp:positionV>
              <wp:extent cx="166370" cy="139700"/>
              <wp:effectExtent l="0" t="0" r="0" b="0"/>
              <wp:wrapNone/>
              <wp:docPr id="23" name="文本框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49B46B38">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19</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3" o:spid="_x0000_s1026" o:spt="202" type="#_x0000_t202" style="position:absolute;left:0pt;margin-left:291.15pt;margin-top:760.15pt;height:11pt;width:13.1pt;mso-position-horizontal-relative:page;mso-position-vertical-relative:page;z-index:-251656192;mso-width-relative:page;mso-height-relative:page;" filled="f" stroked="f" coordsize="21600,21600" o:allowincell="f" o:gfxdata="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Nmxx2gAAAA0BAAAPAAAAAAAAAAEAIAAAACIAAABkcnMvZG93&#10;bnJldi54bWxQSwECFAAUAAAACACHTuJAXQJIt8UBAACAAwAADgAAAAAAAAABACAAAAApAQAAZHJz&#10;L2Uyb0RvYy54bWxQSwUGAAAAAAYABgBZAQAAYAUAAAAA&#10;">
              <v:fill on="f" focussize="0,0"/>
              <v:stroke on="f"/>
              <v:imagedata o:title=""/>
              <o:lock v:ext="edit" aspectratio="f"/>
              <v:textbox inset="0mm,0mm,0mm,0mm">
                <w:txbxContent>
                  <w:p w14:paraId="49B46B38">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19</w:t>
                    </w:r>
                    <w:r>
                      <w:rPr>
                        <w:rFonts w:ascii="Times New Roman" w:eastAsia="Times New Roman"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ABB40">
    <w:pPr>
      <w:pStyle w:val="8"/>
      <w:kinsoku w:val="0"/>
      <w:overflowPunct w:val="0"/>
      <w:spacing w:before="0" w:line="14" w:lineRule="auto"/>
      <w:ind w:left="0"/>
      <w:rPr>
        <w:rFonts w:hint="default" w:ascii="Times New Roman" w:eastAsia="Times New Roman" w:cs="Times New Roman"/>
        <w:sz w:val="20"/>
        <w:szCs w:val="20"/>
      </w:rPr>
    </w:pPr>
    <w:r>
      <w:rPr>
        <w:rFonts w:hint="default"/>
      </w:rPr>
      <mc:AlternateContent>
        <mc:Choice Requires="wps">
          <w:drawing>
            <wp:anchor distT="0" distB="0" distL="114300" distR="114300" simplePos="0" relativeHeight="251661312" behindDoc="1" locked="0" layoutInCell="0" allowOverlap="1">
              <wp:simplePos x="0" y="0"/>
              <wp:positionH relativeFrom="page">
                <wp:posOffset>3697605</wp:posOffset>
              </wp:positionH>
              <wp:positionV relativeFrom="page">
                <wp:posOffset>9653905</wp:posOffset>
              </wp:positionV>
              <wp:extent cx="166370" cy="139700"/>
              <wp:effectExtent l="0" t="0" r="0" b="0"/>
              <wp:wrapNone/>
              <wp:docPr id="24" name="文本框 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3C4584CD">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20</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4" o:spid="_x0000_s1026" o:spt="202" type="#_x0000_t202" style="position:absolute;left:0pt;margin-left:291.15pt;margin-top:760.15pt;height:11pt;width:13.1pt;mso-position-horizontal-relative:page;mso-position-vertical-relative:page;z-index:-251655168;mso-width-relative:page;mso-height-relative:page;" filled="f" stroked="f" coordsize="21600,21600" o:allowincell="f" o:gfxdata="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Nmxx2gAAAA0BAAAPAAAAAAAAAAEAIAAAACIAAABkcnMvZG93&#10;bnJldi54bWxQSwECFAAUAAAACACHTuJAaqfIjMUBAACAAwAADgAAAAAAAAABACAAAAApAQAAZHJz&#10;L2Uyb0RvYy54bWxQSwUGAAAAAAYABgBZAQAAYAUAAAAA&#10;">
              <v:fill on="f" focussize="0,0"/>
              <v:stroke on="f"/>
              <v:imagedata o:title=""/>
              <o:lock v:ext="edit" aspectratio="f"/>
              <v:textbox inset="0mm,0mm,0mm,0mm">
                <w:txbxContent>
                  <w:p w14:paraId="3C4584CD">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20</w:t>
                    </w:r>
                    <w:r>
                      <w:rPr>
                        <w:rFonts w:ascii="Times New Roman" w:eastAsia="Times New Roman" w:cs="Times New Roman"/>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EAD6C">
    <w:pPr>
      <w:pStyle w:val="8"/>
      <w:kinsoku w:val="0"/>
      <w:overflowPunct w:val="0"/>
      <w:spacing w:before="0" w:line="14" w:lineRule="auto"/>
      <w:ind w:left="0"/>
      <w:rPr>
        <w:rFonts w:hint="default" w:ascii="Times New Roman" w:eastAsia="Times New Roman" w:cs="Times New Roman"/>
        <w:sz w:val="20"/>
        <w:szCs w:val="20"/>
      </w:rPr>
    </w:pPr>
    <w:r>
      <w:rPr>
        <w:rFonts w:hint="default"/>
      </w:rPr>
      <mc:AlternateContent>
        <mc:Choice Requires="wps">
          <w:drawing>
            <wp:anchor distT="0" distB="0" distL="114300" distR="114300" simplePos="0" relativeHeight="251662336" behindDoc="1" locked="0" layoutInCell="0" allowOverlap="1">
              <wp:simplePos x="0" y="0"/>
              <wp:positionH relativeFrom="page">
                <wp:posOffset>3697605</wp:posOffset>
              </wp:positionH>
              <wp:positionV relativeFrom="page">
                <wp:posOffset>9653905</wp:posOffset>
              </wp:positionV>
              <wp:extent cx="166370" cy="139700"/>
              <wp:effectExtent l="0" t="0" r="0" b="0"/>
              <wp:wrapNone/>
              <wp:docPr id="25" name="文本框 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29BB3079">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21</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5" o:spid="_x0000_s1026" o:spt="202" type="#_x0000_t202" style="position:absolute;left:0pt;margin-left:291.15pt;margin-top:760.15pt;height:11pt;width:13.1pt;mso-position-horizontal-relative:page;mso-position-vertical-relative:page;z-index:-251654144;mso-width-relative:page;mso-height-relative:page;" filled="f" stroked="f" coordsize="21600,21600" o:allowincell="f" o:gfxdata="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Nmxx2gAAAA0BAAAPAAAAAAAAAAEAIAAAACIAAABkcnMvZG93&#10;bnJldi54bWxQSwECFAAUAAAACACHTuJAlih4S8UBAACAAwAADgAAAAAAAAABACAAAAApAQAAZHJz&#10;L2Uyb0RvYy54bWxQSwUGAAAAAAYABgBZAQAAYAUAAAAA&#10;">
              <v:fill on="f" focussize="0,0"/>
              <v:stroke on="f"/>
              <v:imagedata o:title=""/>
              <o:lock v:ext="edit" aspectratio="f"/>
              <v:textbox inset="0mm,0mm,0mm,0mm">
                <w:txbxContent>
                  <w:p w14:paraId="29BB3079">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21</w:t>
                    </w:r>
                    <w:r>
                      <w:rPr>
                        <w:rFonts w:ascii="Times New Roman" w:eastAsia="Times New Roman" w:cs="Times New Roman"/>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5A1D">
    <w:pPr>
      <w:pStyle w:val="8"/>
      <w:kinsoku w:val="0"/>
      <w:overflowPunct w:val="0"/>
      <w:spacing w:before="0" w:line="14" w:lineRule="auto"/>
      <w:ind w:left="0"/>
      <w:rPr>
        <w:rFonts w:hint="default" w:ascii="Times New Roman" w:eastAsia="Times New Roman" w:cs="Times New Roman"/>
        <w:sz w:val="20"/>
        <w:szCs w:val="20"/>
      </w:rPr>
    </w:pPr>
    <w:r>
      <w:rPr>
        <w:rFonts w:hint="default"/>
      </w:rPr>
      <mc:AlternateContent>
        <mc:Choice Requires="wps">
          <w:drawing>
            <wp:anchor distT="0" distB="0" distL="114300" distR="114300" simplePos="0" relativeHeight="251663360" behindDoc="1" locked="0" layoutInCell="0" allowOverlap="1">
              <wp:simplePos x="0" y="0"/>
              <wp:positionH relativeFrom="page">
                <wp:posOffset>3697605</wp:posOffset>
              </wp:positionH>
              <wp:positionV relativeFrom="page">
                <wp:posOffset>9653905</wp:posOffset>
              </wp:positionV>
              <wp:extent cx="166370" cy="139700"/>
              <wp:effectExtent l="0" t="0" r="0" b="0"/>
              <wp:wrapNone/>
              <wp:docPr id="26"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60AABED7">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22</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6" o:spid="_x0000_s1026" o:spt="202" type="#_x0000_t202" style="position:absolute;left:0pt;margin-left:291.15pt;margin-top:760.15pt;height:11pt;width:13.1pt;mso-position-horizontal-relative:page;mso-position-vertical-relative:page;z-index:-251653120;mso-width-relative:page;mso-height-relative:page;" filled="f" stroked="f" coordsize="21600,21600" o:allowincell="f" o:gfxdata="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c2bHHaAAAADQEAAA8AAAAAAAAAAQAgAAAAIgAAAGRycy9kb3du&#10;cmV2LnhtbFBLAQIUABQAAAAIAIdO4kDTvtjYxAEAAIADAAAOAAAAAAAAAAEAIAAAACkBAABkcnMv&#10;ZTJvRG9jLnhtbFBLBQYAAAAABgAGAFkBAABfBQAAAAA=&#10;">
              <v:fill on="f" focussize="0,0"/>
              <v:stroke on="f"/>
              <v:imagedata o:title=""/>
              <o:lock v:ext="edit" aspectratio="f"/>
              <v:textbox inset="0mm,0mm,0mm,0mm">
                <w:txbxContent>
                  <w:p w14:paraId="60AABED7">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22</w:t>
                    </w:r>
                    <w:r>
                      <w:rPr>
                        <w:rFonts w:ascii="Times New Roman" w:eastAsia="Times New Roman" w:cs="Times New Roman"/>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90188">
    <w:pPr>
      <w:pStyle w:val="8"/>
      <w:kinsoku w:val="0"/>
      <w:overflowPunct w:val="0"/>
      <w:spacing w:before="0" w:line="14" w:lineRule="auto"/>
      <w:ind w:left="0"/>
      <w:rPr>
        <w:rFonts w:hint="default" w:ascii="Times New Roman" w:eastAsia="Times New Roman" w:cs="Times New Roman"/>
        <w:sz w:val="20"/>
        <w:szCs w:val="20"/>
      </w:rPr>
    </w:pPr>
    <w:r>
      <w:rPr>
        <w:rFonts w:hint="default"/>
      </w:rPr>
      <mc:AlternateContent>
        <mc:Choice Requires="wps">
          <w:drawing>
            <wp:anchor distT="0" distB="0" distL="114300" distR="114300" simplePos="0" relativeHeight="251666432" behindDoc="1" locked="0" layoutInCell="0" allowOverlap="1">
              <wp:simplePos x="0" y="0"/>
              <wp:positionH relativeFrom="page">
                <wp:posOffset>3697605</wp:posOffset>
              </wp:positionH>
              <wp:positionV relativeFrom="page">
                <wp:posOffset>9653905</wp:posOffset>
              </wp:positionV>
              <wp:extent cx="166370" cy="139700"/>
              <wp:effectExtent l="0" t="0" r="0" b="0"/>
              <wp:wrapNone/>
              <wp:docPr id="32" name="文本框 7"/>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615F3579">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30</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left:291.15pt;margin-top:760.15pt;height:11pt;width:13.1pt;mso-position-horizontal-relative:page;mso-position-vertical-relative:page;z-index:-251650048;mso-width-relative:page;mso-height-relative:page;" filled="f" stroked="f" coordsize="21600,21600" o:allowincell="f" o:gfxdata="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c2bHHaAAAADQEAAA8AAAAAAAAAAQAgAAAAIgAAAGRycy9kb3du&#10;cmV2LnhtbFBLAQIUABQAAAAIAIdO4kBSIlGuxAEAAIADAAAOAAAAAAAAAAEAIAAAACkBAABkcnMv&#10;ZTJvRG9jLnhtbFBLBQYAAAAABgAGAFkBAABfBQAAAAA=&#10;">
              <v:fill on="f" focussize="0,0"/>
              <v:stroke on="f"/>
              <v:imagedata o:title=""/>
              <o:lock v:ext="edit" aspectratio="f"/>
              <v:textbox inset="0mm,0mm,0mm,0mm">
                <w:txbxContent>
                  <w:p w14:paraId="615F3579">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30</w:t>
                    </w:r>
                    <w:r>
                      <w:rPr>
                        <w:rFonts w:ascii="Times New Roman" w:eastAsia="Times New Roman" w:cs="Times New Roman"/>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E5D7">
    <w:pPr>
      <w:pStyle w:val="8"/>
      <w:kinsoku w:val="0"/>
      <w:overflowPunct w:val="0"/>
      <w:spacing w:before="0" w:line="14" w:lineRule="auto"/>
      <w:ind w:left="0"/>
      <w:rPr>
        <w:rFonts w:hint="default" w:ascii="Times New Roman" w:eastAsia="Times New Roman" w:cs="Times New Roman"/>
        <w:sz w:val="20"/>
        <w:szCs w:val="20"/>
      </w:rPr>
    </w:pPr>
    <w:r>
      <w:rPr>
        <w:rFonts w:hint="default"/>
      </w:rPr>
      <mc:AlternateContent>
        <mc:Choice Requires="wps">
          <w:drawing>
            <wp:anchor distT="0" distB="0" distL="114300" distR="114300" simplePos="0" relativeHeight="251668480" behindDoc="1" locked="0" layoutInCell="0" allowOverlap="1">
              <wp:simplePos x="0" y="0"/>
              <wp:positionH relativeFrom="page">
                <wp:posOffset>3697605</wp:posOffset>
              </wp:positionH>
              <wp:positionV relativeFrom="page">
                <wp:posOffset>9653905</wp:posOffset>
              </wp:positionV>
              <wp:extent cx="166370" cy="139700"/>
              <wp:effectExtent l="0" t="0" r="0" b="0"/>
              <wp:wrapNone/>
              <wp:docPr id="35" name="文本框 10"/>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6D523319">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37</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10" o:spid="_x0000_s1026" o:spt="202" type="#_x0000_t202" style="position:absolute;left:0pt;margin-left:291.15pt;margin-top:760.15pt;height:11pt;width:13.1pt;mso-position-horizontal-relative:page;mso-position-vertical-relative:page;z-index:-251648000;mso-width-relative:page;mso-height-relative:page;" filled="f" stroked="f" coordsize="21600,21600" o:allowincell="f" o:gfxdata="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c2bHHaAAAADQEAAA8AAAAAAAAAAQAgAAAAIgAAAGRycy9kb3du&#10;cmV2LnhtbFBLAQIUABQAAAAIAIdO4kBCA2KnxAEAAIEDAAAOAAAAAAAAAAEAIAAAACkBAABkcnMv&#10;ZTJvRG9jLnhtbFBLBQYAAAAABgAGAFkBAABfBQAAAAA=&#10;">
              <v:fill on="f" focussize="0,0"/>
              <v:stroke on="f"/>
              <v:imagedata o:title=""/>
              <o:lock v:ext="edit" aspectratio="f"/>
              <v:textbox inset="0mm,0mm,0mm,0mm">
                <w:txbxContent>
                  <w:p w14:paraId="6D523319">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37</w:t>
                    </w:r>
                    <w:r>
                      <w:rPr>
                        <w:rFonts w:ascii="Times New Roman" w:eastAsia="Times New Roman" w:cs="Times New Roman"/>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38C1">
    <w:pPr>
      <w:pStyle w:val="8"/>
      <w:kinsoku w:val="0"/>
      <w:overflowPunct w:val="0"/>
      <w:spacing w:before="0" w:line="14" w:lineRule="auto"/>
      <w:ind w:left="0"/>
      <w:rPr>
        <w:rFonts w:hint="default" w:ascii="Times New Roman" w:eastAsia="Times New Roman" w:cs="Times New Roman"/>
        <w:sz w:val="20"/>
        <w:szCs w:val="20"/>
      </w:rPr>
    </w:pPr>
    <w:r>
      <w:rPr>
        <w:rFonts w:hint="default"/>
      </w:rPr>
      <mc:AlternateContent>
        <mc:Choice Requires="wps">
          <w:drawing>
            <wp:anchor distT="0" distB="0" distL="114300" distR="114300" simplePos="0" relativeHeight="251664384" behindDoc="1" locked="0" layoutInCell="0" allowOverlap="1">
              <wp:simplePos x="0" y="0"/>
              <wp:positionH relativeFrom="page">
                <wp:posOffset>3697605</wp:posOffset>
              </wp:positionH>
              <wp:positionV relativeFrom="page">
                <wp:posOffset>9653905</wp:posOffset>
              </wp:positionV>
              <wp:extent cx="166370" cy="139700"/>
              <wp:effectExtent l="0" t="0" r="0" b="0"/>
              <wp:wrapNone/>
              <wp:docPr id="27" name="文本框 1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55F48189">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24</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11" o:spid="_x0000_s1026" o:spt="202" type="#_x0000_t202" style="position:absolute;left:0pt;margin-left:291.15pt;margin-top:760.15pt;height:11pt;width:13.1pt;mso-position-horizontal-relative:page;mso-position-vertical-relative:page;z-index:-251652096;mso-width-relative:page;mso-height-relative:page;" filled="f" stroked="f" coordsize="21600,21600" o:allowincell="f" o:gfxdata="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c2bHHaAAAADQEAAA8AAAAAAAAAAQAgAAAAIgAAAGRycy9kb3du&#10;cmV2LnhtbFBLAQIUABQAAAAIAIdO4kB2IADIxAEAAIEDAAAOAAAAAAAAAAEAIAAAACkBAABkcnMv&#10;ZTJvRG9jLnhtbFBLBQYAAAAABgAGAFkBAABfBQAAAAA=&#10;">
              <v:fill on="f" focussize="0,0"/>
              <v:stroke on="f"/>
              <v:imagedata o:title=""/>
              <o:lock v:ext="edit" aspectratio="f"/>
              <v:textbox inset="0mm,0mm,0mm,0mm">
                <w:txbxContent>
                  <w:p w14:paraId="55F48189">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24</w:t>
                    </w:r>
                    <w:r>
                      <w:rPr>
                        <w:rFonts w:ascii="Times New Roman" w:eastAsia="Times New Roman" w:cs="Times New Roman"/>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3DF1">
    <w:pPr>
      <w:pStyle w:val="8"/>
      <w:kinsoku w:val="0"/>
      <w:overflowPunct w:val="0"/>
      <w:spacing w:before="0" w:line="14" w:lineRule="auto"/>
      <w:ind w:left="0"/>
      <w:rPr>
        <w:rFonts w:hint="default" w:ascii="Times New Roman" w:eastAsia="Times New Roman" w:cs="Times New Roman"/>
        <w:sz w:val="20"/>
        <w:szCs w:val="20"/>
      </w:rPr>
    </w:pPr>
    <w:r>
      <w:rPr>
        <w:rFonts w:hint="default"/>
      </w:rPr>
      <mc:AlternateContent>
        <mc:Choice Requires="wps">
          <w:drawing>
            <wp:anchor distT="0" distB="0" distL="114300" distR="114300" simplePos="0" relativeHeight="251666432" behindDoc="1" locked="0" layoutInCell="0" allowOverlap="1">
              <wp:simplePos x="0" y="0"/>
              <wp:positionH relativeFrom="page">
                <wp:posOffset>3697605</wp:posOffset>
              </wp:positionH>
              <wp:positionV relativeFrom="page">
                <wp:posOffset>9653905</wp:posOffset>
              </wp:positionV>
              <wp:extent cx="166370" cy="139700"/>
              <wp:effectExtent l="0" t="0" r="0" b="0"/>
              <wp:wrapNone/>
              <wp:docPr id="31" name="文本框 1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56DB92F7">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33</w:t>
                          </w:r>
                          <w:r>
                            <w:rPr>
                              <w:rFonts w:ascii="Times New Roman" w:eastAsia="Times New Roman" w:cs="Times New Roman"/>
                              <w:sz w:val="18"/>
                              <w:szCs w:val="18"/>
                            </w:rPr>
                            <w:fldChar w:fldCharType="end"/>
                          </w:r>
                        </w:p>
                      </w:txbxContent>
                    </wps:txbx>
                    <wps:bodyPr wrap="square" lIns="0" tIns="0" rIns="0" bIns="0" upright="1"/>
                  </wps:wsp>
                </a:graphicData>
              </a:graphic>
            </wp:anchor>
          </w:drawing>
        </mc:Choice>
        <mc:Fallback>
          <w:pict>
            <v:shape id="文本框 15" o:spid="_x0000_s1026" o:spt="202" type="#_x0000_t202" style="position:absolute;left:0pt;margin-left:291.15pt;margin-top:760.15pt;height:11pt;width:13.1pt;mso-position-horizontal-relative:page;mso-position-vertical-relative:page;z-index:-251650048;mso-width-relative:page;mso-height-relative:page;" filled="f" stroked="f" coordsize="21600,21600" o:allowincell="f" o:gfxdata="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Nmxx2gAAAA0BAAAPAAAAAAAAAAEAIAAAACIAAABkcnMvZG93&#10;bnJldi54bWxQSwECFAAUAAAACACHTuJA80NVzMUBAACBAwAADgAAAAAAAAABACAAAAApAQAAZHJz&#10;L2Uyb0RvYy54bWxQSwUGAAAAAAYABgBZAQAAYAUAAAAA&#10;">
              <v:fill on="f" focussize="0,0"/>
              <v:stroke on="f"/>
              <v:imagedata o:title=""/>
              <o:lock v:ext="edit" aspectratio="f"/>
              <v:textbox inset="0mm,0mm,0mm,0mm">
                <w:txbxContent>
                  <w:p w14:paraId="56DB92F7">
                    <w:pPr>
                      <w:pStyle w:val="8"/>
                      <w:kinsoku w:val="0"/>
                      <w:overflowPunct w:val="0"/>
                      <w:spacing w:before="0" w:line="204" w:lineRule="exact"/>
                      <w:ind w:left="40"/>
                      <w:rPr>
                        <w:rFonts w:hint="default" w:ascii="Times New Roman" w:eastAsia="Times New Roman" w:cs="Times New Roman"/>
                        <w:sz w:val="18"/>
                        <w:szCs w:val="18"/>
                      </w:rPr>
                    </w:pPr>
                    <w:r>
                      <w:rPr>
                        <w:rFonts w:ascii="Times New Roman" w:eastAsia="Times New Roman" w:cs="Times New Roman"/>
                        <w:sz w:val="18"/>
                        <w:szCs w:val="18"/>
                      </w:rPr>
                      <w:fldChar w:fldCharType="begin"/>
                    </w:r>
                    <w:r>
                      <w:rPr>
                        <w:rFonts w:ascii="Times New Roman" w:eastAsia="Times New Roman" w:cs="Times New Roman"/>
                        <w:sz w:val="18"/>
                        <w:szCs w:val="18"/>
                      </w:rPr>
                      <w:instrText xml:space="preserve"> PAGE </w:instrText>
                    </w:r>
                    <w:r>
                      <w:rPr>
                        <w:rFonts w:ascii="Times New Roman" w:eastAsia="Times New Roman" w:cs="Times New Roman"/>
                        <w:sz w:val="18"/>
                        <w:szCs w:val="18"/>
                      </w:rPr>
                      <w:fldChar w:fldCharType="separate"/>
                    </w:r>
                    <w:r>
                      <w:rPr>
                        <w:rFonts w:hint="default" w:ascii="Times New Roman" w:eastAsia="Times New Roman" w:cs="Times New Roman"/>
                        <w:sz w:val="18"/>
                        <w:szCs w:val="18"/>
                      </w:rPr>
                      <w:t>33</w:t>
                    </w:r>
                    <w:r>
                      <w:rPr>
                        <w:rFonts w:ascii="Times New Roman" w:eastAsia="Times New Roman" w:cs="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5D57E">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68AC4"/>
    <w:multiLevelType w:val="singleLevel"/>
    <w:tmpl w:val="86468AC4"/>
    <w:lvl w:ilvl="0" w:tentative="0">
      <w:start w:val="6"/>
      <w:numFmt w:val="decimal"/>
      <w:suff w:val="nothing"/>
      <w:lvlText w:val="%1、"/>
      <w:lvlJc w:val="left"/>
    </w:lvl>
  </w:abstractNum>
  <w:abstractNum w:abstractNumId="1">
    <w:nsid w:val="ABF84552"/>
    <w:multiLevelType w:val="singleLevel"/>
    <w:tmpl w:val="ABF84552"/>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378F32D9"/>
    <w:multiLevelType w:val="multilevel"/>
    <w:tmpl w:val="378F32D9"/>
    <w:lvl w:ilvl="0" w:tentative="0">
      <w:start w:val="1"/>
      <w:numFmt w:val="decimal"/>
      <w:pStyle w:val="10"/>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7A0F6431"/>
    <w:multiLevelType w:val="singleLevel"/>
    <w:tmpl w:val="7A0F6431"/>
    <w:lvl w:ilvl="0" w:tentative="0">
      <w:start w:val="1"/>
      <w:numFmt w:val="decimal"/>
      <w:suff w:val="space"/>
      <w:lvlText w:val="%1."/>
      <w:lvlJc w:val="left"/>
    </w:lvl>
  </w:abstractNum>
  <w:abstractNum w:abstractNumId="10">
    <w:nsid w:val="7D99202C"/>
    <w:multiLevelType w:val="singleLevel"/>
    <w:tmpl w:val="7D99202C"/>
    <w:lvl w:ilvl="0" w:tentative="0">
      <w:start w:val="1"/>
      <w:numFmt w:val="decimal"/>
      <w:suff w:val="nothing"/>
      <w:lvlText w:val="%1、"/>
      <w:lvlJc w:val="left"/>
    </w:lvl>
  </w:abstractNum>
  <w:num w:numId="1">
    <w:abstractNumId w:val="8"/>
  </w:num>
  <w:num w:numId="2">
    <w:abstractNumId w:val="1"/>
  </w:num>
  <w:num w:numId="3">
    <w:abstractNumId w:val="9"/>
  </w:num>
  <w:num w:numId="4">
    <w:abstractNumId w:val="3"/>
  </w:num>
  <w:num w:numId="5">
    <w:abstractNumId w:val="7"/>
  </w:num>
  <w:num w:numId="6">
    <w:abstractNumId w:val="5"/>
  </w:num>
  <w:num w:numId="7">
    <w:abstractNumId w:val="4"/>
  </w:num>
  <w:num w:numId="8">
    <w:abstractNumId w:val="2"/>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Y2IxNTQzZmRiN2RiZWE2MDY1ZDFhY2NhNDMwMzgifQ=="/>
  </w:docVars>
  <w:rsids>
    <w:rsidRoot w:val="00172A27"/>
    <w:rsid w:val="000369C7"/>
    <w:rsid w:val="0008718D"/>
    <w:rsid w:val="00097D65"/>
    <w:rsid w:val="000C3C9C"/>
    <w:rsid w:val="000E01AB"/>
    <w:rsid w:val="000E3B8F"/>
    <w:rsid w:val="000F794A"/>
    <w:rsid w:val="0012370B"/>
    <w:rsid w:val="00135EC5"/>
    <w:rsid w:val="00144FCB"/>
    <w:rsid w:val="00172A27"/>
    <w:rsid w:val="001B662E"/>
    <w:rsid w:val="001B6A13"/>
    <w:rsid w:val="001F1928"/>
    <w:rsid w:val="00231D15"/>
    <w:rsid w:val="002748C1"/>
    <w:rsid w:val="002873AE"/>
    <w:rsid w:val="00315CE6"/>
    <w:rsid w:val="003503CF"/>
    <w:rsid w:val="00396EEB"/>
    <w:rsid w:val="0040121A"/>
    <w:rsid w:val="00404B53"/>
    <w:rsid w:val="00416621"/>
    <w:rsid w:val="00454F5C"/>
    <w:rsid w:val="004D3F5E"/>
    <w:rsid w:val="004F2D50"/>
    <w:rsid w:val="0052701F"/>
    <w:rsid w:val="005933E9"/>
    <w:rsid w:val="00596C92"/>
    <w:rsid w:val="005B58F8"/>
    <w:rsid w:val="005C6EF8"/>
    <w:rsid w:val="005D01F2"/>
    <w:rsid w:val="00624F49"/>
    <w:rsid w:val="006429C9"/>
    <w:rsid w:val="006A289B"/>
    <w:rsid w:val="006C3C38"/>
    <w:rsid w:val="006D64F6"/>
    <w:rsid w:val="006F67B5"/>
    <w:rsid w:val="00706CC5"/>
    <w:rsid w:val="00724D66"/>
    <w:rsid w:val="00832E56"/>
    <w:rsid w:val="00856A4B"/>
    <w:rsid w:val="00871DA6"/>
    <w:rsid w:val="008F7F76"/>
    <w:rsid w:val="00902BD4"/>
    <w:rsid w:val="00955A69"/>
    <w:rsid w:val="00A75BED"/>
    <w:rsid w:val="00A831A6"/>
    <w:rsid w:val="00AA5B35"/>
    <w:rsid w:val="00AF2F88"/>
    <w:rsid w:val="00B860B6"/>
    <w:rsid w:val="00B913FC"/>
    <w:rsid w:val="00C26E59"/>
    <w:rsid w:val="00C31205"/>
    <w:rsid w:val="00C324CF"/>
    <w:rsid w:val="00C620D2"/>
    <w:rsid w:val="00C92AD7"/>
    <w:rsid w:val="00CC4CB0"/>
    <w:rsid w:val="00D17320"/>
    <w:rsid w:val="00D66C2E"/>
    <w:rsid w:val="00D91E7C"/>
    <w:rsid w:val="00D97DEE"/>
    <w:rsid w:val="00DF2D4E"/>
    <w:rsid w:val="00E57986"/>
    <w:rsid w:val="00FA1B0D"/>
    <w:rsid w:val="00FD4CEB"/>
    <w:rsid w:val="01491869"/>
    <w:rsid w:val="02301EDC"/>
    <w:rsid w:val="025B06F1"/>
    <w:rsid w:val="02CF596C"/>
    <w:rsid w:val="03B60BF9"/>
    <w:rsid w:val="06F21B2C"/>
    <w:rsid w:val="076E21B0"/>
    <w:rsid w:val="08EC0D27"/>
    <w:rsid w:val="0A054F80"/>
    <w:rsid w:val="0A785072"/>
    <w:rsid w:val="0AA45546"/>
    <w:rsid w:val="0B4A7DD6"/>
    <w:rsid w:val="0B94572A"/>
    <w:rsid w:val="0C16553C"/>
    <w:rsid w:val="0C2E7B44"/>
    <w:rsid w:val="0CE20F77"/>
    <w:rsid w:val="0D425ED9"/>
    <w:rsid w:val="0FFD0AAF"/>
    <w:rsid w:val="111125D8"/>
    <w:rsid w:val="12F33E82"/>
    <w:rsid w:val="15D91E5E"/>
    <w:rsid w:val="169E79F7"/>
    <w:rsid w:val="17676610"/>
    <w:rsid w:val="1A0657DA"/>
    <w:rsid w:val="1B265119"/>
    <w:rsid w:val="1E254DA8"/>
    <w:rsid w:val="1F06465C"/>
    <w:rsid w:val="1F5F0015"/>
    <w:rsid w:val="1F7317C2"/>
    <w:rsid w:val="1FC5398A"/>
    <w:rsid w:val="1FE16B01"/>
    <w:rsid w:val="22716598"/>
    <w:rsid w:val="22757D7E"/>
    <w:rsid w:val="2558727E"/>
    <w:rsid w:val="256E5816"/>
    <w:rsid w:val="266E7DD7"/>
    <w:rsid w:val="26937354"/>
    <w:rsid w:val="27113BE4"/>
    <w:rsid w:val="287808E5"/>
    <w:rsid w:val="29F86E76"/>
    <w:rsid w:val="2C344819"/>
    <w:rsid w:val="2D3D11F1"/>
    <w:rsid w:val="2DA635DD"/>
    <w:rsid w:val="2F2D7712"/>
    <w:rsid w:val="2F550CE3"/>
    <w:rsid w:val="2FE3403D"/>
    <w:rsid w:val="302127DE"/>
    <w:rsid w:val="30CB0F91"/>
    <w:rsid w:val="310E604C"/>
    <w:rsid w:val="31364167"/>
    <w:rsid w:val="3261193F"/>
    <w:rsid w:val="335C5C9C"/>
    <w:rsid w:val="338543B1"/>
    <w:rsid w:val="33B22CAA"/>
    <w:rsid w:val="344A71E1"/>
    <w:rsid w:val="34777F6D"/>
    <w:rsid w:val="354572D7"/>
    <w:rsid w:val="37307DA0"/>
    <w:rsid w:val="375C3B1F"/>
    <w:rsid w:val="3A276278"/>
    <w:rsid w:val="3B003C7F"/>
    <w:rsid w:val="3BE92A90"/>
    <w:rsid w:val="3BF5245A"/>
    <w:rsid w:val="3E7B6987"/>
    <w:rsid w:val="3EB07A18"/>
    <w:rsid w:val="3F781209"/>
    <w:rsid w:val="3F9E7229"/>
    <w:rsid w:val="409C4EAF"/>
    <w:rsid w:val="40CF5B67"/>
    <w:rsid w:val="41E7425A"/>
    <w:rsid w:val="446A2766"/>
    <w:rsid w:val="446F7A2D"/>
    <w:rsid w:val="458540BF"/>
    <w:rsid w:val="481829DE"/>
    <w:rsid w:val="48E672B3"/>
    <w:rsid w:val="497F2D4F"/>
    <w:rsid w:val="49875BEC"/>
    <w:rsid w:val="4A1312AD"/>
    <w:rsid w:val="4A52657A"/>
    <w:rsid w:val="4BE01CBF"/>
    <w:rsid w:val="4C786216"/>
    <w:rsid w:val="4D8A78F7"/>
    <w:rsid w:val="4E1F1264"/>
    <w:rsid w:val="4E6D2B88"/>
    <w:rsid w:val="4E874358"/>
    <w:rsid w:val="4F0948B9"/>
    <w:rsid w:val="4F6A5DF5"/>
    <w:rsid w:val="4FC93CF4"/>
    <w:rsid w:val="502B5524"/>
    <w:rsid w:val="50E449C6"/>
    <w:rsid w:val="50E87B49"/>
    <w:rsid w:val="513D38B6"/>
    <w:rsid w:val="52045688"/>
    <w:rsid w:val="554E54AB"/>
    <w:rsid w:val="56B665DF"/>
    <w:rsid w:val="56EA0E52"/>
    <w:rsid w:val="579B705F"/>
    <w:rsid w:val="583E77C5"/>
    <w:rsid w:val="5A124F88"/>
    <w:rsid w:val="5A302FEA"/>
    <w:rsid w:val="5A5A6D5E"/>
    <w:rsid w:val="5B7F60E1"/>
    <w:rsid w:val="5BB32FA6"/>
    <w:rsid w:val="5CA11AC7"/>
    <w:rsid w:val="5CCA03B6"/>
    <w:rsid w:val="5D096819"/>
    <w:rsid w:val="5DA201A9"/>
    <w:rsid w:val="5DD4797A"/>
    <w:rsid w:val="621E6889"/>
    <w:rsid w:val="63636F80"/>
    <w:rsid w:val="658A0400"/>
    <w:rsid w:val="66955696"/>
    <w:rsid w:val="66A8401D"/>
    <w:rsid w:val="69575A06"/>
    <w:rsid w:val="69B907A6"/>
    <w:rsid w:val="69EB1449"/>
    <w:rsid w:val="6D915021"/>
    <w:rsid w:val="6F473B82"/>
    <w:rsid w:val="707D10B6"/>
    <w:rsid w:val="7137280D"/>
    <w:rsid w:val="71615282"/>
    <w:rsid w:val="7237348B"/>
    <w:rsid w:val="730E464F"/>
    <w:rsid w:val="73B21561"/>
    <w:rsid w:val="74436232"/>
    <w:rsid w:val="75051844"/>
    <w:rsid w:val="7586597F"/>
    <w:rsid w:val="75CD7C50"/>
    <w:rsid w:val="76367D72"/>
    <w:rsid w:val="769F1031"/>
    <w:rsid w:val="77720FAC"/>
    <w:rsid w:val="77E336A1"/>
    <w:rsid w:val="78414C61"/>
    <w:rsid w:val="79B9711C"/>
    <w:rsid w:val="7AA8436C"/>
    <w:rsid w:val="7BB91A25"/>
    <w:rsid w:val="7CBD5499"/>
    <w:rsid w:val="7D6B2EAC"/>
    <w:rsid w:val="7E030047"/>
    <w:rsid w:val="7FE1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semiHidden="0" w:name="Balloon Text"/>
    <w:lsdException w:qFormat="1" w:unhideWhenUsed="0" w:uiPriority="3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1"/>
    <w:pPr>
      <w:widowControl w:val="0"/>
      <w:autoSpaceDE w:val="0"/>
      <w:autoSpaceDN w:val="0"/>
      <w:adjustRightInd w:val="0"/>
    </w:pPr>
    <w:rPr>
      <w:rFonts w:hint="eastAsia" w:ascii="宋体" w:hAnsi="Times New Roman" w:eastAsia="宋体" w:cs="Times New Roman"/>
      <w:sz w:val="24"/>
      <w:szCs w:val="24"/>
      <w:lang w:val="en-US" w:eastAsia="zh-CN" w:bidi="ar-SA"/>
    </w:rPr>
  </w:style>
  <w:style w:type="paragraph" w:styleId="2">
    <w:name w:val="heading 1"/>
    <w:basedOn w:val="1"/>
    <w:next w:val="1"/>
    <w:link w:val="40"/>
    <w:autoRedefine/>
    <w:unhideWhenUsed/>
    <w:qFormat/>
    <w:uiPriority w:val="1"/>
    <w:pPr>
      <w:ind w:left="1"/>
      <w:outlineLvl w:val="0"/>
    </w:pPr>
    <w:rPr>
      <w:rFonts w:cs="宋体"/>
      <w:b/>
      <w:sz w:val="36"/>
      <w:szCs w:val="36"/>
    </w:rPr>
  </w:style>
  <w:style w:type="paragraph" w:styleId="3">
    <w:name w:val="heading 2"/>
    <w:basedOn w:val="1"/>
    <w:next w:val="1"/>
    <w:link w:val="35"/>
    <w:autoRedefine/>
    <w:unhideWhenUsed/>
    <w:qFormat/>
    <w:uiPriority w:val="1"/>
    <w:pPr>
      <w:ind w:left="120"/>
      <w:outlineLvl w:val="1"/>
    </w:pPr>
    <w:rPr>
      <w:rFonts w:ascii="黑体" w:eastAsia="黑体" w:cs="黑体"/>
      <w:b/>
      <w:sz w:val="32"/>
      <w:szCs w:val="32"/>
    </w:rPr>
  </w:style>
  <w:style w:type="paragraph" w:styleId="4">
    <w:name w:val="heading 3"/>
    <w:basedOn w:val="1"/>
    <w:next w:val="1"/>
    <w:link w:val="31"/>
    <w:autoRedefine/>
    <w:unhideWhenUsed/>
    <w:qFormat/>
    <w:uiPriority w:val="1"/>
    <w:pPr>
      <w:ind w:left="120"/>
      <w:outlineLvl w:val="2"/>
    </w:pPr>
    <w:rPr>
      <w:rFonts w:ascii="仿宋" w:eastAsia="仿宋" w:cs="仿宋"/>
      <w:sz w:val="32"/>
      <w:szCs w:val="32"/>
    </w:rPr>
  </w:style>
  <w:style w:type="paragraph" w:styleId="5">
    <w:name w:val="heading 4"/>
    <w:basedOn w:val="1"/>
    <w:next w:val="1"/>
    <w:link w:val="36"/>
    <w:autoRedefine/>
    <w:unhideWhenUsed/>
    <w:qFormat/>
    <w:uiPriority w:val="1"/>
    <w:pPr>
      <w:outlineLvl w:val="3"/>
    </w:pPr>
    <w:rPr>
      <w:rFonts w:cs="宋体"/>
      <w:b/>
      <w:sz w:val="28"/>
      <w:szCs w:val="28"/>
    </w:rPr>
  </w:style>
  <w:style w:type="paragraph" w:styleId="6">
    <w:name w:val="heading 5"/>
    <w:basedOn w:val="1"/>
    <w:next w:val="1"/>
    <w:link w:val="41"/>
    <w:autoRedefine/>
    <w:unhideWhenUsed/>
    <w:qFormat/>
    <w:uiPriority w:val="1"/>
    <w:pPr>
      <w:spacing w:before="36"/>
      <w:ind w:left="120"/>
      <w:outlineLvl w:val="4"/>
    </w:pPr>
    <w:rPr>
      <w:rFonts w:cs="宋体"/>
      <w:b/>
    </w:rPr>
  </w:style>
  <w:style w:type="character" w:default="1" w:styleId="22">
    <w:name w:val="Default Paragraph Font"/>
    <w:autoRedefine/>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unhideWhenUsed/>
    <w:qFormat/>
    <w:uiPriority w:val="0"/>
    <w:pPr>
      <w:ind w:firstLine="420"/>
    </w:pPr>
    <w:rPr>
      <w:szCs w:val="20"/>
    </w:rPr>
  </w:style>
  <w:style w:type="paragraph" w:styleId="8">
    <w:name w:val="Body Text"/>
    <w:basedOn w:val="1"/>
    <w:next w:val="9"/>
    <w:link w:val="39"/>
    <w:autoRedefine/>
    <w:unhideWhenUsed/>
    <w:qFormat/>
    <w:uiPriority w:val="1"/>
    <w:pPr>
      <w:spacing w:before="36"/>
      <w:ind w:left="120"/>
    </w:pPr>
    <w:rPr>
      <w:rFonts w:cs="宋体"/>
    </w:rPr>
  </w:style>
  <w:style w:type="paragraph" w:customStyle="1" w:styleId="9">
    <w:name w:val="Default"/>
    <w:basedOn w:val="10"/>
    <w:qFormat/>
    <w:uiPriority w:val="0"/>
    <w:pPr>
      <w:widowControl w:val="0"/>
      <w:autoSpaceDE w:val="0"/>
      <w:autoSpaceDN w:val="0"/>
      <w:adjustRightInd w:val="0"/>
      <w:spacing w:line="440" w:lineRule="exact"/>
    </w:pPr>
    <w:rPr>
      <w:rFonts w:ascii="Times New Roman" w:hAnsi="Times New Roman" w:eastAsia="宋体" w:cs="宋体"/>
      <w:color w:val="000000"/>
      <w:kern w:val="0"/>
      <w:sz w:val="24"/>
      <w:szCs w:val="24"/>
      <w:lang w:val="en-US" w:eastAsia="zh-CN" w:bidi="ar-SA"/>
    </w:rPr>
  </w:style>
  <w:style w:type="paragraph" w:styleId="10">
    <w:name w:val="Title"/>
    <w:basedOn w:val="1"/>
    <w:next w:val="1"/>
    <w:qFormat/>
    <w:uiPriority w:val="0"/>
    <w:pPr>
      <w:numPr>
        <w:ilvl w:val="0"/>
        <w:numId w:val="1"/>
      </w:numPr>
      <w:ind w:left="0" w:firstLine="200"/>
      <w:jc w:val="left"/>
    </w:pPr>
  </w:style>
  <w:style w:type="paragraph" w:styleId="11">
    <w:name w:val="Body Text Indent"/>
    <w:basedOn w:val="1"/>
    <w:autoRedefine/>
    <w:qFormat/>
    <w:uiPriority w:val="0"/>
    <w:pPr>
      <w:spacing w:line="520" w:lineRule="exact"/>
      <w:ind w:left="570"/>
    </w:pPr>
    <w:rPr>
      <w:rFonts w:ascii="方正仿宋简体" w:hAnsi="创艺简仿宋" w:eastAsia="方正仿宋简体"/>
      <w:sz w:val="24"/>
    </w:rPr>
  </w:style>
  <w:style w:type="paragraph" w:styleId="12">
    <w:name w:val="Plain Text"/>
    <w:basedOn w:val="1"/>
    <w:link w:val="44"/>
    <w:autoRedefine/>
    <w:qFormat/>
    <w:uiPriority w:val="0"/>
    <w:pPr>
      <w:autoSpaceDE/>
      <w:autoSpaceDN/>
      <w:adjustRightInd/>
      <w:jc w:val="both"/>
    </w:pPr>
    <w:rPr>
      <w:rFonts w:hint="default" w:hAnsi="Courier New" w:cs="Calibri"/>
      <w:kern w:val="2"/>
      <w:sz w:val="21"/>
      <w:szCs w:val="20"/>
    </w:rPr>
  </w:style>
  <w:style w:type="paragraph" w:styleId="13">
    <w:name w:val="Date"/>
    <w:basedOn w:val="1"/>
    <w:next w:val="1"/>
    <w:autoRedefine/>
    <w:qFormat/>
    <w:uiPriority w:val="0"/>
    <w:pPr>
      <w:ind w:left="100" w:leftChars="2500"/>
    </w:pPr>
    <w:rPr>
      <w:sz w:val="24"/>
    </w:rPr>
  </w:style>
  <w:style w:type="paragraph" w:styleId="14">
    <w:name w:val="Balloon Text"/>
    <w:basedOn w:val="1"/>
    <w:link w:val="37"/>
    <w:autoRedefine/>
    <w:unhideWhenUsed/>
    <w:qFormat/>
    <w:uiPriority w:val="99"/>
    <w:rPr>
      <w:sz w:val="18"/>
      <w:szCs w:val="18"/>
    </w:rPr>
  </w:style>
  <w:style w:type="paragraph" w:styleId="15">
    <w:name w:val="footer"/>
    <w:basedOn w:val="1"/>
    <w:link w:val="28"/>
    <w:autoRedefine/>
    <w:unhideWhenUsed/>
    <w:qFormat/>
    <w:uiPriority w:val="99"/>
    <w:pPr>
      <w:tabs>
        <w:tab w:val="center" w:pos="4153"/>
        <w:tab w:val="right" w:pos="8306"/>
      </w:tabs>
      <w:snapToGrid w:val="0"/>
    </w:pPr>
    <w:rPr>
      <w:sz w:val="18"/>
      <w:szCs w:val="18"/>
    </w:rPr>
  </w:style>
  <w:style w:type="paragraph" w:styleId="16">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Body Text First Indent"/>
    <w:basedOn w:val="8"/>
    <w:autoRedefine/>
    <w:qFormat/>
    <w:uiPriority w:val="0"/>
    <w:pPr>
      <w:tabs>
        <w:tab w:val="left" w:pos="630"/>
      </w:tabs>
      <w:spacing w:after="120"/>
      <w:ind w:firstLine="100" w:firstLineChars="100"/>
      <w:jc w:val="both"/>
      <w:textAlignment w:val="auto"/>
    </w:pPr>
    <w:rPr>
      <w:rFonts w:ascii="Times New Roman"/>
      <w:sz w:val="21"/>
      <w:szCs w:val="24"/>
    </w:rPr>
  </w:style>
  <w:style w:type="paragraph" w:styleId="19">
    <w:name w:val="Body Text First Indent 2"/>
    <w:basedOn w:val="11"/>
    <w:autoRedefine/>
    <w:unhideWhenUsed/>
    <w:qFormat/>
    <w:uiPriority w:val="99"/>
    <w:pPr>
      <w:ind w:firstLine="420" w:firstLineChars="200"/>
    </w:p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正文 首行缩进:  2 字符"/>
    <w:basedOn w:val="1"/>
    <w:autoRedefine/>
    <w:unhideWhenUsed/>
    <w:qFormat/>
    <w:uiPriority w:val="0"/>
    <w:pPr>
      <w:ind w:firstLine="579" w:firstLineChars="200"/>
    </w:pPr>
    <w:rPr>
      <w:rFonts w:cs="宋体"/>
      <w:sz w:val="28"/>
      <w:szCs w:val="20"/>
    </w:rPr>
  </w:style>
  <w:style w:type="paragraph" w:customStyle="1" w:styleId="25">
    <w:name w:val="Table Paragraph"/>
    <w:basedOn w:val="1"/>
    <w:autoRedefine/>
    <w:unhideWhenUsed/>
    <w:qFormat/>
    <w:uiPriority w:val="1"/>
  </w:style>
  <w:style w:type="paragraph" w:customStyle="1" w:styleId="26">
    <w:name w:val="Heading1"/>
    <w:basedOn w:val="1"/>
    <w:next w:val="1"/>
    <w:autoRedefine/>
    <w:unhideWhenUsed/>
    <w:qFormat/>
    <w:uiPriority w:val="0"/>
    <w:pPr>
      <w:keepNext/>
      <w:keepLines/>
      <w:spacing w:before="240" w:after="120" w:line="300" w:lineRule="auto"/>
      <w:jc w:val="center"/>
      <w:textAlignment w:val="baseline"/>
    </w:pPr>
    <w:rPr>
      <w:b/>
      <w:kern w:val="44"/>
      <w:sz w:val="32"/>
      <w:szCs w:val="20"/>
    </w:rPr>
  </w:style>
  <w:style w:type="paragraph" w:styleId="27">
    <w:name w:val="List Paragraph"/>
    <w:basedOn w:val="1"/>
    <w:autoRedefine/>
    <w:unhideWhenUsed/>
    <w:qFormat/>
    <w:uiPriority w:val="1"/>
  </w:style>
  <w:style w:type="character" w:customStyle="1" w:styleId="28">
    <w:name w:val="页脚 Char"/>
    <w:basedOn w:val="22"/>
    <w:link w:val="15"/>
    <w:autoRedefine/>
    <w:unhideWhenUsed/>
    <w:qFormat/>
    <w:locked/>
    <w:uiPriority w:val="99"/>
    <w:rPr>
      <w:rFonts w:hint="eastAsia" w:ascii="Times New Roman" w:hAnsi="Times New Roman" w:eastAsia="Times New Roman" w:cs="Times New Roman"/>
      <w:sz w:val="18"/>
      <w:szCs w:val="18"/>
    </w:rPr>
  </w:style>
  <w:style w:type="character" w:customStyle="1" w:styleId="29">
    <w:name w:val="页脚 Char13"/>
    <w:basedOn w:val="22"/>
    <w:autoRedefine/>
    <w:unhideWhenUsed/>
    <w:qFormat/>
    <w:uiPriority w:val="99"/>
    <w:rPr>
      <w:rFonts w:hint="eastAsia" w:ascii="Times New Roman" w:hAnsi="Times New Roman" w:eastAsia="Times New Roman" w:cs="Times New Roman"/>
      <w:sz w:val="18"/>
      <w:szCs w:val="18"/>
    </w:rPr>
  </w:style>
  <w:style w:type="character" w:customStyle="1" w:styleId="30">
    <w:name w:val="页脚 Char12"/>
    <w:basedOn w:val="22"/>
    <w:autoRedefine/>
    <w:unhideWhenUsed/>
    <w:qFormat/>
    <w:uiPriority w:val="99"/>
    <w:rPr>
      <w:rFonts w:hint="eastAsia" w:ascii="Times New Roman" w:hAnsi="Times New Roman" w:eastAsia="Times New Roman" w:cs="Times New Roman"/>
      <w:sz w:val="18"/>
      <w:szCs w:val="18"/>
    </w:rPr>
  </w:style>
  <w:style w:type="character" w:customStyle="1" w:styleId="31">
    <w:name w:val="标题 3 Char"/>
    <w:basedOn w:val="22"/>
    <w:link w:val="4"/>
    <w:autoRedefine/>
    <w:unhideWhenUsed/>
    <w:qFormat/>
    <w:locked/>
    <w:uiPriority w:val="9"/>
    <w:rPr>
      <w:rFonts w:hint="eastAsia" w:ascii="Times New Roman" w:hAnsi="Times New Roman" w:eastAsia="Times New Roman" w:cs="Times New Roman"/>
      <w:b/>
      <w:sz w:val="32"/>
      <w:szCs w:val="32"/>
    </w:rPr>
  </w:style>
  <w:style w:type="character" w:customStyle="1" w:styleId="32">
    <w:name w:val="页脚 字符3"/>
    <w:basedOn w:val="22"/>
    <w:autoRedefine/>
    <w:unhideWhenUsed/>
    <w:qFormat/>
    <w:uiPriority w:val="99"/>
    <w:rPr>
      <w:rFonts w:hint="eastAsia" w:ascii="Times New Roman" w:hAnsi="Times New Roman" w:eastAsia="Times New Roman" w:cs="Times New Roman"/>
      <w:sz w:val="18"/>
      <w:szCs w:val="18"/>
    </w:rPr>
  </w:style>
  <w:style w:type="character" w:customStyle="1" w:styleId="33">
    <w:name w:val="页脚 Char1"/>
    <w:basedOn w:val="22"/>
    <w:autoRedefine/>
    <w:unhideWhenUsed/>
    <w:qFormat/>
    <w:uiPriority w:val="99"/>
    <w:rPr>
      <w:rFonts w:hint="eastAsia" w:ascii="Times New Roman" w:hAnsi="Times New Roman" w:eastAsia="Times New Roman" w:cs="Times New Roman"/>
      <w:sz w:val="18"/>
      <w:szCs w:val="18"/>
    </w:rPr>
  </w:style>
  <w:style w:type="character" w:customStyle="1" w:styleId="34">
    <w:name w:val="页脚 Char11"/>
    <w:basedOn w:val="22"/>
    <w:autoRedefine/>
    <w:unhideWhenUsed/>
    <w:qFormat/>
    <w:uiPriority w:val="99"/>
    <w:rPr>
      <w:rFonts w:hint="eastAsia" w:ascii="Times New Roman" w:hAnsi="Times New Roman" w:eastAsia="Times New Roman" w:cs="Times New Roman"/>
      <w:sz w:val="18"/>
      <w:szCs w:val="18"/>
    </w:rPr>
  </w:style>
  <w:style w:type="character" w:customStyle="1" w:styleId="35">
    <w:name w:val="标题 2 Char"/>
    <w:basedOn w:val="22"/>
    <w:link w:val="3"/>
    <w:autoRedefine/>
    <w:unhideWhenUsed/>
    <w:qFormat/>
    <w:locked/>
    <w:uiPriority w:val="9"/>
    <w:rPr>
      <w:rFonts w:hint="eastAsia" w:ascii="宋体" w:hAnsi="Cambria" w:eastAsia="宋体" w:cs="Times New Roman"/>
      <w:b/>
      <w:sz w:val="32"/>
      <w:szCs w:val="32"/>
    </w:rPr>
  </w:style>
  <w:style w:type="character" w:customStyle="1" w:styleId="36">
    <w:name w:val="标题 4 Char"/>
    <w:basedOn w:val="22"/>
    <w:link w:val="5"/>
    <w:autoRedefine/>
    <w:unhideWhenUsed/>
    <w:qFormat/>
    <w:locked/>
    <w:uiPriority w:val="9"/>
    <w:rPr>
      <w:rFonts w:hint="eastAsia" w:ascii="宋体" w:hAnsi="Cambria" w:eastAsia="宋体" w:cs="Times New Roman"/>
      <w:b/>
      <w:sz w:val="28"/>
      <w:szCs w:val="28"/>
    </w:rPr>
  </w:style>
  <w:style w:type="character" w:customStyle="1" w:styleId="37">
    <w:name w:val="批注框文本 Char"/>
    <w:basedOn w:val="22"/>
    <w:link w:val="14"/>
    <w:autoRedefine/>
    <w:unhideWhenUsed/>
    <w:qFormat/>
    <w:locked/>
    <w:uiPriority w:val="99"/>
    <w:rPr>
      <w:rFonts w:hint="eastAsia" w:ascii="Times New Roman" w:hAnsi="Times New Roman" w:eastAsia="Times New Roman" w:cs="Times New Roman"/>
      <w:sz w:val="18"/>
      <w:szCs w:val="18"/>
    </w:rPr>
  </w:style>
  <w:style w:type="character" w:customStyle="1" w:styleId="38">
    <w:name w:val="页脚 字符"/>
    <w:basedOn w:val="22"/>
    <w:autoRedefine/>
    <w:unhideWhenUsed/>
    <w:qFormat/>
    <w:uiPriority w:val="99"/>
    <w:rPr>
      <w:rFonts w:hint="eastAsia" w:ascii="Times New Roman" w:hAnsi="Times New Roman" w:eastAsia="Times New Roman" w:cs="Times New Roman"/>
      <w:sz w:val="18"/>
      <w:szCs w:val="18"/>
    </w:rPr>
  </w:style>
  <w:style w:type="character" w:customStyle="1" w:styleId="39">
    <w:name w:val="正文文本 Char"/>
    <w:basedOn w:val="22"/>
    <w:link w:val="8"/>
    <w:autoRedefine/>
    <w:unhideWhenUsed/>
    <w:qFormat/>
    <w:locked/>
    <w:uiPriority w:val="99"/>
    <w:rPr>
      <w:rFonts w:hint="eastAsia" w:ascii="Times New Roman" w:hAnsi="Times New Roman" w:eastAsia="Times New Roman" w:cs="Times New Roman"/>
      <w:sz w:val="24"/>
      <w:szCs w:val="24"/>
    </w:rPr>
  </w:style>
  <w:style w:type="character" w:customStyle="1" w:styleId="40">
    <w:name w:val="标题 1 Char"/>
    <w:basedOn w:val="22"/>
    <w:link w:val="2"/>
    <w:autoRedefine/>
    <w:unhideWhenUsed/>
    <w:qFormat/>
    <w:locked/>
    <w:uiPriority w:val="9"/>
    <w:rPr>
      <w:rFonts w:hint="eastAsia" w:ascii="Times New Roman" w:hAnsi="Times New Roman" w:eastAsia="Times New Roman" w:cs="Times New Roman"/>
      <w:b/>
      <w:kern w:val="44"/>
      <w:sz w:val="44"/>
      <w:szCs w:val="44"/>
    </w:rPr>
  </w:style>
  <w:style w:type="character" w:customStyle="1" w:styleId="41">
    <w:name w:val="标题 5 Char"/>
    <w:basedOn w:val="22"/>
    <w:link w:val="6"/>
    <w:autoRedefine/>
    <w:unhideWhenUsed/>
    <w:qFormat/>
    <w:locked/>
    <w:uiPriority w:val="9"/>
    <w:rPr>
      <w:rFonts w:hint="eastAsia" w:ascii="Times New Roman" w:hAnsi="Times New Roman" w:eastAsia="Times New Roman" w:cs="Times New Roman"/>
      <w:b/>
      <w:sz w:val="28"/>
      <w:szCs w:val="28"/>
    </w:rPr>
  </w:style>
  <w:style w:type="character" w:customStyle="1" w:styleId="42">
    <w:name w:val="页眉 Char"/>
    <w:basedOn w:val="22"/>
    <w:link w:val="16"/>
    <w:autoRedefine/>
    <w:unhideWhenUsed/>
    <w:qFormat/>
    <w:locked/>
    <w:uiPriority w:val="99"/>
    <w:rPr>
      <w:rFonts w:hint="eastAsia" w:ascii="Times New Roman" w:hAnsi="Times New Roman" w:eastAsia="Times New Roman" w:cs="Times New Roman"/>
      <w:sz w:val="18"/>
      <w:szCs w:val="18"/>
    </w:rPr>
  </w:style>
  <w:style w:type="character" w:customStyle="1" w:styleId="43">
    <w:name w:val="页脚 字符2"/>
    <w:basedOn w:val="22"/>
    <w:autoRedefine/>
    <w:unhideWhenUsed/>
    <w:qFormat/>
    <w:uiPriority w:val="99"/>
    <w:rPr>
      <w:rFonts w:hint="eastAsia" w:ascii="Times New Roman" w:hAnsi="Times New Roman" w:eastAsia="Times New Roman" w:cs="Times New Roman"/>
      <w:sz w:val="18"/>
      <w:szCs w:val="18"/>
    </w:rPr>
  </w:style>
  <w:style w:type="character" w:customStyle="1" w:styleId="44">
    <w:name w:val="纯文本 Char"/>
    <w:basedOn w:val="22"/>
    <w:link w:val="12"/>
    <w:autoRedefine/>
    <w:qFormat/>
    <w:uiPriority w:val="0"/>
    <w:rPr>
      <w:rFonts w:ascii="宋体" w:hAnsi="Courier New" w:cs="Calibri"/>
      <w:kern w:val="2"/>
      <w:sz w:val="21"/>
    </w:rPr>
  </w:style>
  <w:style w:type="paragraph" w:customStyle="1" w:styleId="4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列出段落1"/>
    <w:basedOn w:val="1"/>
    <w:autoRedefine/>
    <w:qFormat/>
    <w:uiPriority w:val="0"/>
    <w:pPr>
      <w:ind w:firstLine="420" w:firstLineChars="200"/>
    </w:pPr>
    <w:rPr>
      <w:szCs w:val="21"/>
    </w:rPr>
  </w:style>
  <w:style w:type="paragraph" w:customStyle="1" w:styleId="47">
    <w:name w:val="正文_4_1"/>
    <w:next w:val="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首行缩进"/>
    <w:basedOn w:val="49"/>
    <w:qFormat/>
    <w:uiPriority w:val="0"/>
    <w:pPr>
      <w:ind w:firstLine="480" w:firstLineChars="200"/>
    </w:pPr>
    <w:rPr>
      <w:lang w:val="zh-CN"/>
    </w:rPr>
  </w:style>
  <w:style w:type="paragraph" w:customStyle="1" w:styleId="49">
    <w:name w:val="正文_4"/>
    <w:next w:val="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5_0"/>
    <w:next w:val="5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缩进_0_0_0"/>
    <w:basedOn w:val="50"/>
    <w:unhideWhenUsed/>
    <w:qFormat/>
    <w:uiPriority w:val="0"/>
    <w:pPr>
      <w:ind w:firstLine="420" w:firstLineChars="200"/>
    </w:pPr>
    <w:rPr>
      <w:rFonts w:ascii="Calibri" w:hAnsi="Calibri"/>
    </w:rPr>
  </w:style>
  <w:style w:type="paragraph" w:customStyle="1" w:styleId="52">
    <w:name w:val="Normal_8"/>
    <w:qFormat/>
    <w:uiPriority w:val="0"/>
    <w:rPr>
      <w:rFonts w:ascii="黑体" w:hAnsi="黑体" w:eastAsia="黑体" w:cs="Times New Roman"/>
      <w:b/>
      <w:sz w:val="32"/>
      <w:szCs w:val="24"/>
      <w:lang w:val="en-US" w:eastAsia="zh-CN" w:bidi="ar-SA"/>
    </w:rPr>
  </w:style>
  <w:style w:type="paragraph" w:customStyle="1" w:styleId="53">
    <w:name w:val="正文2"/>
    <w:next w:val="54"/>
    <w:qFormat/>
    <w:uiPriority w:val="0"/>
    <w:rPr>
      <w:rFonts w:ascii="Times New Roman" w:hAnsi="Times New Roman" w:eastAsia="Times New Roman" w:cs="Times New Roman"/>
      <w:sz w:val="24"/>
      <w:szCs w:val="24"/>
      <w:lang w:val="en-US" w:eastAsia="zh-CN" w:bidi="ar-SA"/>
    </w:rPr>
  </w:style>
  <w:style w:type="paragraph" w:customStyle="1" w:styleId="54">
    <w:name w:val="正文缩进1"/>
    <w:basedOn w:val="53"/>
    <w:unhideWhenUsed/>
    <w:qFormat/>
    <w:uiPriority w:val="0"/>
    <w:pPr>
      <w:ind w:firstLine="420" w:firstLineChars="200"/>
    </w:pPr>
    <w:rPr>
      <w:rFonts w:ascii="Calibri" w:hAnsi="Calibri"/>
      <w:szCs w:val="22"/>
    </w:rPr>
  </w:style>
  <w:style w:type="paragraph" w:customStyle="1" w:styleId="55">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2975</Words>
  <Characters>3462</Characters>
  <Lines>71</Lines>
  <Paragraphs>90</Paragraphs>
  <TotalTime>2</TotalTime>
  <ScaleCrop>false</ScaleCrop>
  <LinksUpToDate>false</LinksUpToDate>
  <CharactersWithSpaces>3538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2022-08-19T06:56:00Z</dcterms:created>
  <dc:creator>DELL</dc:creator>
  <cp:lastModifiedBy>你会恨我吗？</cp:lastModifiedBy>
  <cp:lastPrinted>2023-03-28T02:50:00Z</cp:lastPrinted>
  <dcterms:modified xsi:type="dcterms:W3CDTF">2025-02-27T02:58:55Z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67ACF591B6EC494B92219338DB195283_13</vt:lpwstr>
  </property>
  <property fmtid="{D5CDD505-2E9C-101B-9397-08002B2CF9AE}" pid="4" name="KSOTemplateDocerSaveRecord">
    <vt:lpwstr>eyJoZGlkIjoiNTU2NTk3NGZmZWUwZGM1Mzk2YTk0ZTNlNzhjMjdkYWYiLCJ1c2VySWQiOiIzMDMyNjEzNDIifQ==</vt:lpwstr>
  </property>
</Properties>
</file>