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3848">
      <w:pPr>
        <w:pStyle w:val="30"/>
        <w:jc w:val="center"/>
        <w:rPr>
          <w:rFonts w:hint="default" w:ascii="宋体" w:hAnsi="宋体" w:eastAsia="宋体" w:cs="宋体"/>
          <w:color w:val="auto"/>
          <w:sz w:val="32"/>
          <w:highlight w:val="none"/>
          <w:lang w:val="en-US" w:eastAsia="zh-CN"/>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项目标项编号：XJQZ-202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-0</w:t>
      </w:r>
      <w:r>
        <w:rPr>
          <w:rFonts w:hint="eastAsia" w:ascii="宋体" w:hAnsi="宋体" w:cs="宋体"/>
          <w:color w:val="auto"/>
          <w:sz w:val="28"/>
          <w:szCs w:val="28"/>
          <w:highlight w:val="none"/>
          <w:lang w:val="en-US" w:eastAsia="zh-CN"/>
        </w:rPr>
        <w:t>10</w:t>
      </w:r>
    </w:p>
    <w:p w14:paraId="4D5A7240">
      <w:pPr>
        <w:pStyle w:val="30"/>
        <w:jc w:val="center"/>
        <w:rPr>
          <w:rFonts w:hint="eastAsia" w:ascii="宋体" w:hAnsi="宋体" w:cs="宋体"/>
          <w:b/>
          <w:color w:val="FF0000"/>
          <w:sz w:val="44"/>
          <w:szCs w:val="44"/>
          <w:highlight w:val="none"/>
          <w:lang w:eastAsia="zh-CN"/>
        </w:rPr>
      </w:pPr>
    </w:p>
    <w:p w14:paraId="031E4A3F">
      <w:pPr>
        <w:pStyle w:val="30"/>
        <w:jc w:val="center"/>
        <w:rPr>
          <w:rFonts w:hint="default" w:ascii="宋体" w:hAnsi="宋体" w:cs="宋体"/>
          <w:b/>
          <w:bCs/>
          <w:sz w:val="40"/>
          <w:szCs w:val="40"/>
          <w:highlight w:val="none"/>
          <w:lang w:val="en-US"/>
        </w:rPr>
      </w:pPr>
      <w:r>
        <w:rPr>
          <w:rFonts w:hint="default" w:ascii="宋体" w:hAnsi="宋体" w:cs="宋体"/>
          <w:b/>
          <w:bCs/>
          <w:sz w:val="40"/>
          <w:szCs w:val="40"/>
          <w:highlight w:val="none"/>
          <w:lang w:val="en-US"/>
        </w:rPr>
        <w:t>伊宁县伊东工业园区化工产业集中区智慧平台项目</w:t>
      </w:r>
    </w:p>
    <w:p w14:paraId="302B70DC">
      <w:pPr>
        <w:pStyle w:val="30"/>
        <w:jc w:val="center"/>
        <w:rPr>
          <w:rFonts w:hint="eastAsia" w:ascii="宋体" w:hAnsi="宋体" w:cs="宋体"/>
          <w:color w:val="auto"/>
          <w:sz w:val="28"/>
          <w:szCs w:val="28"/>
          <w:highlight w:val="none"/>
        </w:rPr>
      </w:pPr>
    </w:p>
    <w:p w14:paraId="26B05A9C">
      <w:pPr>
        <w:jc w:val="center"/>
        <w:rPr>
          <w:rFonts w:hint="eastAsia" w:ascii="宋体" w:hAnsi="宋体" w:cs="宋体"/>
          <w:b/>
          <w:bCs/>
          <w:sz w:val="84"/>
          <w:szCs w:val="84"/>
          <w:highlight w:val="none"/>
          <w:lang w:val="en-US" w:eastAsia="zh-CN"/>
        </w:rPr>
      </w:pPr>
    </w:p>
    <w:p w14:paraId="6CA61E19">
      <w:pPr>
        <w:jc w:val="center"/>
        <w:rPr>
          <w:rFonts w:ascii="宋体" w:hAnsi="宋体" w:cs="宋体"/>
          <w:b/>
          <w:bCs/>
          <w:sz w:val="84"/>
          <w:szCs w:val="84"/>
          <w:highlight w:val="none"/>
        </w:rPr>
      </w:pPr>
      <w:r>
        <w:rPr>
          <w:rFonts w:hint="eastAsia" w:ascii="宋体" w:hAnsi="宋体" w:cs="宋体"/>
          <w:b/>
          <w:bCs/>
          <w:sz w:val="84"/>
          <w:szCs w:val="84"/>
          <w:highlight w:val="none"/>
          <w:lang w:val="en-US" w:eastAsia="zh-CN"/>
        </w:rPr>
        <w:t>公 开 招 标 文 件</w:t>
      </w:r>
    </w:p>
    <w:p w14:paraId="0B462F0F">
      <w:pPr>
        <w:pStyle w:val="30"/>
        <w:rPr>
          <w:rFonts w:ascii="宋体" w:hAnsi="宋体" w:cs="宋体"/>
          <w:color w:val="auto"/>
          <w:sz w:val="32"/>
          <w:highlight w:val="none"/>
        </w:rPr>
      </w:pPr>
    </w:p>
    <w:p w14:paraId="062CC47C">
      <w:pPr>
        <w:pStyle w:val="30"/>
        <w:rPr>
          <w:rFonts w:ascii="宋体" w:hAnsi="宋体" w:cs="宋体"/>
          <w:color w:val="auto"/>
          <w:sz w:val="32"/>
          <w:highlight w:val="none"/>
        </w:rPr>
      </w:pPr>
    </w:p>
    <w:p w14:paraId="137251D7">
      <w:pPr>
        <w:pStyle w:val="30"/>
        <w:rPr>
          <w:rFonts w:ascii="宋体" w:hAnsi="宋体" w:cs="宋体"/>
          <w:color w:val="auto"/>
          <w:sz w:val="32"/>
          <w:highlight w:val="none"/>
        </w:rPr>
      </w:pPr>
    </w:p>
    <w:p w14:paraId="630D1E65">
      <w:pPr>
        <w:pStyle w:val="30"/>
        <w:rPr>
          <w:rFonts w:ascii="宋体" w:hAnsi="宋体" w:cs="宋体"/>
          <w:color w:val="auto"/>
          <w:sz w:val="32"/>
          <w:highlight w:val="none"/>
        </w:rPr>
      </w:pPr>
    </w:p>
    <w:p w14:paraId="37C6037D">
      <w:pPr>
        <w:rPr>
          <w:rFonts w:ascii="宋体" w:hAnsi="宋体" w:cs="宋体"/>
          <w:sz w:val="32"/>
          <w:szCs w:val="32"/>
          <w:highlight w:val="none"/>
        </w:rPr>
      </w:pPr>
      <w:r>
        <w:rPr>
          <w:rFonts w:hint="eastAsia" w:ascii="宋体" w:hAnsi="宋体" w:cs="宋体"/>
          <w:sz w:val="32"/>
          <w:szCs w:val="32"/>
          <w:highlight w:val="none"/>
        </w:rPr>
        <w:t>采购人：</w:t>
      </w:r>
      <w:r>
        <w:rPr>
          <w:rFonts w:hint="eastAsia" w:ascii="宋体" w:hAnsi="宋体" w:cs="宋体"/>
          <w:sz w:val="32"/>
          <w:szCs w:val="32"/>
          <w:highlight w:val="none"/>
          <w:lang w:val="en-US" w:eastAsia="zh-CN"/>
        </w:rPr>
        <w:t>伊宁县伊东工业园区管理委员会</w:t>
      </w:r>
      <w:r>
        <w:rPr>
          <w:rFonts w:hint="eastAsia" w:ascii="宋体" w:hAnsi="宋体" w:cs="宋体"/>
          <w:sz w:val="32"/>
          <w:szCs w:val="32"/>
          <w:highlight w:val="none"/>
        </w:rPr>
        <w:t>（盖章）</w:t>
      </w:r>
    </w:p>
    <w:p w14:paraId="3897DCC3">
      <w:pPr>
        <w:rPr>
          <w:rFonts w:ascii="宋体" w:hAnsi="宋体" w:cs="宋体"/>
          <w:sz w:val="32"/>
          <w:szCs w:val="32"/>
          <w:highlight w:val="none"/>
        </w:rPr>
      </w:pPr>
    </w:p>
    <w:p w14:paraId="3168C031">
      <w:pPr>
        <w:ind w:firstLine="1920" w:firstLineChars="600"/>
        <w:rPr>
          <w:rFonts w:ascii="宋体" w:hAnsi="宋体" w:cs="宋体"/>
          <w:sz w:val="32"/>
          <w:szCs w:val="32"/>
          <w:highlight w:val="none"/>
        </w:rPr>
      </w:pPr>
    </w:p>
    <w:p w14:paraId="33197C33">
      <w:pPr>
        <w:pStyle w:val="30"/>
        <w:rPr>
          <w:rFonts w:ascii="宋体" w:hAnsi="宋体" w:cs="宋体"/>
          <w:color w:val="auto"/>
          <w:sz w:val="32"/>
          <w:highlight w:val="none"/>
        </w:rPr>
      </w:pPr>
    </w:p>
    <w:p w14:paraId="6E7906D7">
      <w:pPr>
        <w:pStyle w:val="30"/>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val="en-US" w:eastAsia="zh-CN"/>
        </w:rPr>
        <w:t>新疆启中项目管理有限公司</w:t>
      </w:r>
      <w:r>
        <w:rPr>
          <w:rFonts w:hint="eastAsia" w:ascii="宋体" w:hAnsi="宋体" w:cs="宋体"/>
          <w:color w:val="auto"/>
          <w:sz w:val="32"/>
          <w:highlight w:val="none"/>
        </w:rPr>
        <w:t>（盖章）</w:t>
      </w:r>
    </w:p>
    <w:p w14:paraId="6F25C4EE">
      <w:pPr>
        <w:ind w:firstLine="1280" w:firstLineChars="400"/>
        <w:rPr>
          <w:rFonts w:ascii="宋体" w:hAnsi="宋体" w:cs="宋体"/>
          <w:sz w:val="30"/>
          <w:highlight w:val="none"/>
        </w:rPr>
      </w:pPr>
      <w:r>
        <w:rPr>
          <w:rFonts w:hint="eastAsia" w:ascii="宋体" w:hAnsi="宋体" w:cs="宋体"/>
          <w:sz w:val="32"/>
          <w:szCs w:val="32"/>
          <w:highlight w:val="none"/>
        </w:rPr>
        <w:t xml:space="preserve"> </w:t>
      </w:r>
    </w:p>
    <w:p w14:paraId="29DDF490">
      <w:pPr>
        <w:pStyle w:val="30"/>
        <w:jc w:val="center"/>
        <w:rPr>
          <w:rFonts w:ascii="宋体" w:hAnsi="宋体" w:cs="宋体"/>
          <w:color w:val="auto"/>
          <w:sz w:val="30"/>
          <w:highlight w:val="none"/>
        </w:rPr>
      </w:pPr>
      <w:r>
        <w:rPr>
          <w:rFonts w:hint="eastAsia" w:ascii="宋体" w:hAnsi="宋体" w:cs="宋体"/>
          <w:color w:val="auto"/>
          <w:sz w:val="30"/>
          <w:szCs w:val="30"/>
          <w:highlight w:val="none"/>
        </w:rPr>
        <w:t>二零二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二</w:t>
      </w:r>
      <w:r>
        <w:rPr>
          <w:rFonts w:hint="eastAsia" w:ascii="宋体" w:hAnsi="宋体" w:cs="宋体"/>
          <w:color w:val="auto"/>
          <w:sz w:val="30"/>
          <w:szCs w:val="30"/>
          <w:highlight w:val="none"/>
        </w:rPr>
        <w:t>月</w:t>
      </w:r>
    </w:p>
    <w:p w14:paraId="6E484258">
      <w:pPr>
        <w:ind w:firstLine="3520" w:firstLineChars="800"/>
        <w:outlineLvl w:val="0"/>
        <w:rPr>
          <w:rFonts w:ascii="宋体" w:hAnsi="宋体" w:cs="宋体"/>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Toc4261"/>
    </w:p>
    <w:bookmarkEnd w:id="0"/>
    <w:p w14:paraId="6B2C4955">
      <w:pPr>
        <w:jc w:val="both"/>
        <w:rPr>
          <w:rFonts w:hint="eastAsia" w:ascii="宋体" w:hAnsi="宋体" w:eastAsia="宋体" w:cs="宋体"/>
          <w:b/>
          <w:bCs/>
          <w:color w:val="auto"/>
          <w:sz w:val="44"/>
          <w:szCs w:val="44"/>
          <w:highlight w:val="none"/>
        </w:rPr>
      </w:pPr>
    </w:p>
    <w:p w14:paraId="211A9D15">
      <w:pPr>
        <w:jc w:val="center"/>
        <w:rPr>
          <w:rFonts w:hint="eastAsia" w:ascii="宋体" w:hAnsi="宋体" w:eastAsia="宋体" w:cs="宋体"/>
          <w:b/>
          <w:bCs/>
          <w:color w:val="auto"/>
          <w:sz w:val="44"/>
          <w:szCs w:val="44"/>
          <w:highlight w:val="none"/>
        </w:rPr>
      </w:pPr>
    </w:p>
    <w:p w14:paraId="7DB61665">
      <w:pPr>
        <w:jc w:val="center"/>
        <w:outlineLvl w:val="9"/>
        <w:rPr>
          <w:rFonts w:ascii="宋体" w:hAnsi="宋体" w:cs="楷体"/>
          <w:b/>
          <w:spacing w:val="140"/>
          <w:sz w:val="52"/>
          <w:szCs w:val="52"/>
          <w:highlight w:val="none"/>
          <w:u w:val="double"/>
        </w:rPr>
      </w:pPr>
      <w:r>
        <w:rPr>
          <w:rFonts w:hint="eastAsia" w:ascii="宋体" w:hAnsi="宋体" w:cs="楷体"/>
          <w:b/>
          <w:spacing w:val="140"/>
          <w:sz w:val="52"/>
          <w:szCs w:val="52"/>
          <w:highlight w:val="none"/>
          <w:u w:val="double"/>
        </w:rPr>
        <w:t>特别提示</w:t>
      </w:r>
    </w:p>
    <w:p w14:paraId="0F4896BF">
      <w:pPr>
        <w:ind w:firstLine="422"/>
        <w:outlineLvl w:val="9"/>
        <w:rPr>
          <w:rFonts w:ascii="宋体" w:hAnsi="宋体" w:cs="宋体"/>
          <w:b/>
          <w:sz w:val="21"/>
          <w:szCs w:val="21"/>
          <w:highlight w:val="none"/>
        </w:rPr>
      </w:pPr>
    </w:p>
    <w:p w14:paraId="2E1FA785">
      <w:pPr>
        <w:spacing w:line="560" w:lineRule="exact"/>
        <w:ind w:firstLine="422"/>
        <w:outlineLvl w:val="9"/>
        <w:rPr>
          <w:rFonts w:ascii="宋体" w:hAnsi="宋体" w:cs="楷体"/>
          <w:b/>
          <w:szCs w:val="24"/>
          <w:highlight w:val="none"/>
        </w:rPr>
      </w:pPr>
    </w:p>
    <w:p w14:paraId="2241F6BF">
      <w:pPr>
        <w:spacing w:line="560" w:lineRule="exact"/>
        <w:ind w:firstLine="422"/>
        <w:outlineLvl w:val="9"/>
        <w:rPr>
          <w:rFonts w:ascii="宋体" w:hAnsi="宋体" w:cs="楷体"/>
          <w:szCs w:val="24"/>
          <w:highlight w:val="none"/>
        </w:rPr>
      </w:pPr>
      <w:r>
        <w:rPr>
          <w:rFonts w:hint="eastAsia" w:ascii="宋体" w:hAnsi="宋体" w:cs="楷体"/>
          <w:b/>
          <w:szCs w:val="24"/>
          <w:highlight w:val="none"/>
        </w:rPr>
        <w:t>各投标人</w:t>
      </w:r>
      <w:r>
        <w:rPr>
          <w:rFonts w:hint="eastAsia" w:ascii="宋体" w:hAnsi="宋体" w:cs="楷体"/>
          <w:szCs w:val="24"/>
          <w:highlight w:val="none"/>
        </w:rPr>
        <w:t>：在此我们特别善意地提醒您注意！</w:t>
      </w:r>
    </w:p>
    <w:p w14:paraId="47B7B8F2">
      <w:pPr>
        <w:tabs>
          <w:tab w:val="left" w:pos="1064"/>
        </w:tabs>
        <w:spacing w:line="560" w:lineRule="exact"/>
        <w:ind w:firstLine="420"/>
        <w:outlineLvl w:val="9"/>
        <w:rPr>
          <w:rFonts w:ascii="宋体" w:hAnsi="宋体" w:cs="楷体"/>
          <w:szCs w:val="24"/>
          <w:highlight w:val="none"/>
        </w:rPr>
      </w:pPr>
      <w:r>
        <w:rPr>
          <w:rFonts w:hint="eastAsia" w:ascii="宋体" w:hAnsi="宋体" w:cs="楷体"/>
          <w:szCs w:val="24"/>
          <w:highlight w:val="none"/>
        </w:rPr>
        <w:t>1、请您仔细地阅读招标文件并正确理解招标文件中各项具体要求。</w:t>
      </w:r>
    </w:p>
    <w:p w14:paraId="01809E51">
      <w:pPr>
        <w:tabs>
          <w:tab w:val="left" w:pos="1064"/>
        </w:tabs>
        <w:spacing w:line="560" w:lineRule="exact"/>
        <w:ind w:firstLine="420"/>
        <w:outlineLvl w:val="9"/>
        <w:rPr>
          <w:rFonts w:ascii="宋体" w:hAnsi="宋体" w:cs="楷体"/>
          <w:szCs w:val="24"/>
          <w:highlight w:val="none"/>
        </w:rPr>
      </w:pPr>
      <w:r>
        <w:rPr>
          <w:rFonts w:hint="eastAsia" w:ascii="宋体" w:hAnsi="宋体" w:cs="楷体"/>
          <w:szCs w:val="24"/>
          <w:highlight w:val="none"/>
        </w:rPr>
        <w:t>2、请您严格按照招标文件载明的投标文件格式要求编制投标文件。</w:t>
      </w:r>
    </w:p>
    <w:p w14:paraId="74890357">
      <w:pPr>
        <w:tabs>
          <w:tab w:val="left" w:pos="1064"/>
        </w:tabs>
        <w:spacing w:line="560" w:lineRule="exact"/>
        <w:ind w:firstLine="422"/>
        <w:outlineLvl w:val="9"/>
        <w:rPr>
          <w:rFonts w:ascii="宋体" w:hAnsi="宋体" w:cs="楷体"/>
          <w:b w:val="0"/>
          <w:bCs w:val="0"/>
          <w:szCs w:val="24"/>
          <w:highlight w:val="none"/>
        </w:rPr>
      </w:pPr>
      <w:r>
        <w:rPr>
          <w:rFonts w:hint="eastAsia" w:ascii="宋体" w:hAnsi="宋体" w:cs="楷体"/>
          <w:b w:val="0"/>
          <w:bCs w:val="0"/>
          <w:szCs w:val="24"/>
          <w:highlight w:val="none"/>
          <w:lang w:val="en-US" w:eastAsia="zh-CN"/>
        </w:rPr>
        <w:t>3</w:t>
      </w:r>
      <w:r>
        <w:rPr>
          <w:rFonts w:hint="eastAsia" w:ascii="宋体" w:hAnsi="宋体" w:cs="楷体"/>
          <w:b w:val="0"/>
          <w:bCs w:val="0"/>
          <w:szCs w:val="24"/>
          <w:highlight w:val="none"/>
        </w:rPr>
        <w:t>、如在投标文件递交截止时间前放弃本次投标，请以书面形式发出弃标函。</w:t>
      </w:r>
    </w:p>
    <w:p w14:paraId="5E9E375A">
      <w:pPr>
        <w:tabs>
          <w:tab w:val="left" w:pos="1064"/>
        </w:tabs>
        <w:spacing w:line="560" w:lineRule="exact"/>
        <w:ind w:firstLine="420"/>
        <w:outlineLvl w:val="9"/>
        <w:rPr>
          <w:rFonts w:ascii="宋体" w:hAnsi="宋体" w:cs="楷体"/>
          <w:szCs w:val="24"/>
          <w:highlight w:val="none"/>
        </w:rPr>
      </w:pPr>
      <w:r>
        <w:rPr>
          <w:rFonts w:hint="eastAsia" w:ascii="宋体" w:hAnsi="宋体" w:cs="楷体"/>
          <w:szCs w:val="24"/>
          <w:highlight w:val="none"/>
          <w:lang w:val="en-US" w:eastAsia="zh-CN"/>
        </w:rPr>
        <w:t>4</w:t>
      </w:r>
      <w:r>
        <w:rPr>
          <w:rFonts w:hint="eastAsia" w:ascii="宋体" w:hAnsi="宋体" w:cs="楷体"/>
          <w:szCs w:val="24"/>
          <w:highlight w:val="none"/>
        </w:rPr>
        <w:t>、请您于202</w:t>
      </w:r>
      <w:r>
        <w:rPr>
          <w:rFonts w:hint="eastAsia" w:ascii="宋体" w:hAnsi="宋体" w:cs="楷体"/>
          <w:szCs w:val="24"/>
          <w:highlight w:val="none"/>
          <w:lang w:val="en-US" w:eastAsia="zh-CN"/>
        </w:rPr>
        <w:t>5</w:t>
      </w:r>
      <w:r>
        <w:rPr>
          <w:rFonts w:hint="eastAsia" w:ascii="宋体" w:hAnsi="宋体" w:cs="楷体"/>
          <w:szCs w:val="24"/>
          <w:highlight w:val="none"/>
        </w:rPr>
        <w:t>年</w:t>
      </w:r>
      <w:r>
        <w:rPr>
          <w:rFonts w:hint="eastAsia" w:hAnsi="宋体" w:cs="楷体"/>
          <w:szCs w:val="24"/>
          <w:highlight w:val="none"/>
          <w:lang w:val="en-US" w:eastAsia="zh-CN"/>
        </w:rPr>
        <w:t>3</w:t>
      </w:r>
      <w:r>
        <w:rPr>
          <w:rFonts w:hint="eastAsia" w:ascii="宋体" w:hAnsi="宋体" w:cs="楷体"/>
          <w:szCs w:val="24"/>
          <w:highlight w:val="none"/>
        </w:rPr>
        <w:t>月</w:t>
      </w:r>
      <w:r>
        <w:rPr>
          <w:rFonts w:hint="eastAsia" w:hAnsi="宋体" w:cs="楷体"/>
          <w:szCs w:val="24"/>
          <w:highlight w:val="none"/>
          <w:lang w:val="en-US" w:eastAsia="zh-CN"/>
        </w:rPr>
        <w:t>24</w:t>
      </w:r>
      <w:r>
        <w:rPr>
          <w:rFonts w:hint="eastAsia" w:ascii="宋体" w:hAnsi="宋体" w:cs="楷体"/>
          <w:szCs w:val="24"/>
          <w:highlight w:val="none"/>
        </w:rPr>
        <w:t>日</w:t>
      </w:r>
      <w:r>
        <w:rPr>
          <w:rFonts w:hint="eastAsia" w:hAnsi="宋体" w:cs="楷体"/>
          <w:szCs w:val="24"/>
          <w:highlight w:val="none"/>
          <w:lang w:val="en-US" w:eastAsia="zh-CN"/>
        </w:rPr>
        <w:t>11</w:t>
      </w:r>
      <w:r>
        <w:rPr>
          <w:rFonts w:hint="eastAsia" w:ascii="宋体" w:hAnsi="宋体" w:cs="楷体"/>
          <w:szCs w:val="24"/>
          <w:highlight w:val="none"/>
        </w:rPr>
        <w:t>点</w:t>
      </w:r>
      <w:r>
        <w:rPr>
          <w:rFonts w:hint="eastAsia" w:hAnsi="宋体" w:cs="楷体"/>
          <w:szCs w:val="24"/>
          <w:highlight w:val="none"/>
          <w:lang w:val="en-US" w:eastAsia="zh-CN"/>
        </w:rPr>
        <w:t>0</w:t>
      </w:r>
      <w:r>
        <w:rPr>
          <w:rFonts w:hint="eastAsia" w:ascii="宋体" w:hAnsi="宋体" w:cs="楷体"/>
          <w:szCs w:val="24"/>
          <w:highlight w:val="none"/>
        </w:rPr>
        <w:t>0分（北京时间）前到请登录政采云投标客户端，在截止时间前将加密的电子投标文件（.jmbs）上传到新疆政府采购网对应的位置（逾期上传或者未上传指定地点的响应文件，采购人不予受理）。参加开标会议，避免迟误。</w:t>
      </w:r>
    </w:p>
    <w:p w14:paraId="664F6564">
      <w:pPr>
        <w:tabs>
          <w:tab w:val="left" w:pos="1064"/>
        </w:tabs>
        <w:spacing w:line="560" w:lineRule="exact"/>
        <w:ind w:firstLine="420"/>
        <w:outlineLvl w:val="9"/>
        <w:rPr>
          <w:rFonts w:ascii="宋体" w:hAnsi="宋体" w:cs="宋体"/>
          <w:sz w:val="21"/>
          <w:szCs w:val="21"/>
          <w:highlight w:val="none"/>
        </w:rPr>
      </w:pPr>
      <w:r>
        <w:rPr>
          <w:rFonts w:hint="eastAsia" w:ascii="宋体" w:hAnsi="宋体" w:cs="楷体"/>
          <w:szCs w:val="24"/>
          <w:highlight w:val="none"/>
        </w:rPr>
        <w:t>谨记上述提示，将有助您顺利地参加投标。若有什么需要帮助，请您与我们的工作人员联系，我们将竭诚为您服务。</w:t>
      </w:r>
    </w:p>
    <w:p w14:paraId="5E4B9D87">
      <w:pPr>
        <w:outlineLvl w:val="9"/>
        <w:rPr>
          <w:rFonts w:ascii="宋体" w:hAnsi="宋体" w:cs="楷体"/>
          <w:sz w:val="48"/>
          <w:szCs w:val="48"/>
          <w:highlight w:val="none"/>
          <w:lang w:val="zh-CN"/>
        </w:rPr>
      </w:pPr>
    </w:p>
    <w:p w14:paraId="621E20B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58E411E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5B584C7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592F943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47FC34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5E7F796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65F9D07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26F1FB7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084477E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44"/>
          <w:szCs w:val="44"/>
          <w:highlight w:val="none"/>
        </w:rPr>
      </w:pPr>
    </w:p>
    <w:p w14:paraId="17DDA71F">
      <w:pPr>
        <w:spacing w:before="0" w:beforeLines="0" w:after="0" w:afterLines="0" w:line="240" w:lineRule="auto"/>
        <w:ind w:left="0" w:leftChars="0" w:right="0" w:rightChars="0" w:firstLine="0" w:firstLineChars="0"/>
        <w:jc w:val="center"/>
        <w:rPr>
          <w:rFonts w:ascii="宋体" w:hAnsi="宋体" w:eastAsia="宋体"/>
          <w:b/>
          <w:bCs/>
          <w:sz w:val="36"/>
          <w:szCs w:val="36"/>
          <w:highlight w:val="none"/>
        </w:rPr>
      </w:pPr>
      <w:r>
        <w:rPr>
          <w:rFonts w:hint="eastAsia" w:ascii="宋体" w:hAnsi="宋体" w:eastAsia="宋体" w:cs="宋体"/>
          <w:b/>
          <w:sz w:val="44"/>
          <w:szCs w:val="44"/>
          <w:highlight w:val="none"/>
        </w:rPr>
        <w:br w:type="page"/>
      </w:r>
      <w:r>
        <w:rPr>
          <w:rFonts w:ascii="宋体" w:hAnsi="宋体" w:eastAsia="宋体"/>
          <w:b/>
          <w:bCs/>
          <w:sz w:val="36"/>
          <w:szCs w:val="36"/>
          <w:highlight w:val="none"/>
        </w:rPr>
        <w:t>目</w:t>
      </w:r>
      <w:r>
        <w:rPr>
          <w:rFonts w:hint="eastAsia" w:hAnsi="宋体" w:eastAsia="宋体"/>
          <w:b/>
          <w:bCs/>
          <w:sz w:val="36"/>
          <w:szCs w:val="36"/>
          <w:highlight w:val="none"/>
          <w:lang w:val="en-US" w:eastAsia="zh-CN"/>
        </w:rPr>
        <w:t xml:space="preserve">  </w:t>
      </w:r>
      <w:r>
        <w:rPr>
          <w:rFonts w:ascii="宋体" w:hAnsi="宋体" w:eastAsia="宋体"/>
          <w:b/>
          <w:bCs/>
          <w:sz w:val="36"/>
          <w:szCs w:val="36"/>
          <w:highlight w:val="none"/>
        </w:rPr>
        <w:t>录</w:t>
      </w:r>
    </w:p>
    <w:p w14:paraId="5042D897">
      <w:pPr>
        <w:rPr>
          <w:highlight w:val="none"/>
        </w:rPr>
      </w:pPr>
    </w:p>
    <w:p w14:paraId="49F8C526">
      <w:pPr>
        <w:pStyle w:val="43"/>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b/>
          <w:sz w:val="44"/>
          <w:szCs w:val="44"/>
          <w:highlight w:val="none"/>
        </w:rPr>
        <w:fldChar w:fldCharType="begin"/>
      </w:r>
      <w:r>
        <w:rPr>
          <w:rFonts w:hint="eastAsia" w:ascii="宋体" w:hAnsi="宋体" w:eastAsia="宋体" w:cs="宋体"/>
          <w:b/>
          <w:sz w:val="44"/>
          <w:szCs w:val="44"/>
          <w:highlight w:val="none"/>
        </w:rPr>
        <w:instrText xml:space="preserve">TOC \o "1-1" \h \u </w:instrText>
      </w:r>
      <w:r>
        <w:rPr>
          <w:rFonts w:hint="eastAsia" w:ascii="宋体" w:hAnsi="宋体" w:eastAsia="宋体" w:cs="宋体"/>
          <w:b/>
          <w:sz w:val="44"/>
          <w:szCs w:val="44"/>
          <w:highlight w:val="none"/>
        </w:rPr>
        <w:fldChar w:fldCharType="separate"/>
      </w:r>
      <w:r>
        <w:rPr>
          <w:rFonts w:hint="eastAsia" w:ascii="宋体" w:hAnsi="宋体" w:eastAsia="宋体" w:cs="宋体"/>
          <w:szCs w:val="44"/>
          <w:highlight w:val="none"/>
        </w:rPr>
        <w:fldChar w:fldCharType="begin"/>
      </w:r>
      <w:r>
        <w:rPr>
          <w:rFonts w:hint="eastAsia" w:ascii="宋体" w:hAnsi="宋体" w:eastAsia="宋体" w:cs="宋体"/>
          <w:szCs w:val="44"/>
          <w:highlight w:val="none"/>
        </w:rPr>
        <w:instrText xml:space="preserve"> HYPERLINK \l _Toc22928 </w:instrText>
      </w:r>
      <w:r>
        <w:rPr>
          <w:rFonts w:hint="eastAsia" w:ascii="宋体" w:hAnsi="宋体" w:eastAsia="宋体" w:cs="宋体"/>
          <w:szCs w:val="44"/>
          <w:highlight w:val="none"/>
        </w:rPr>
        <w:fldChar w:fldCharType="separate"/>
      </w:r>
      <w:r>
        <w:rPr>
          <w:rFonts w:hint="eastAsia" w:ascii="宋体" w:hAnsi="宋体" w:eastAsia="宋体" w:cs="宋体"/>
          <w:szCs w:val="36"/>
          <w:highlight w:val="none"/>
        </w:rPr>
        <w:t>第一章  招标公告</w:t>
      </w:r>
      <w:r>
        <w:rPr>
          <w:highlight w:val="none"/>
        </w:rPr>
        <w:tab/>
      </w:r>
      <w:r>
        <w:rPr>
          <w:rFonts w:hint="eastAsia"/>
          <w:highlight w:val="none"/>
          <w:lang w:val="en-US" w:eastAsia="zh-CN"/>
        </w:rPr>
        <w:t>1</w:t>
      </w:r>
      <w:r>
        <w:rPr>
          <w:rFonts w:hint="eastAsia" w:ascii="宋体" w:hAnsi="宋体" w:eastAsia="宋体" w:cs="宋体"/>
          <w:szCs w:val="44"/>
          <w:highlight w:val="none"/>
        </w:rPr>
        <w:fldChar w:fldCharType="end"/>
      </w:r>
    </w:p>
    <w:p w14:paraId="50CB1510">
      <w:pPr>
        <w:pStyle w:val="43"/>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Cs w:val="44"/>
          <w:highlight w:val="none"/>
        </w:rPr>
        <w:fldChar w:fldCharType="begin"/>
      </w:r>
      <w:r>
        <w:rPr>
          <w:rFonts w:hint="eastAsia" w:ascii="宋体" w:hAnsi="宋体" w:eastAsia="宋体" w:cs="宋体"/>
          <w:szCs w:val="44"/>
          <w:highlight w:val="none"/>
        </w:rPr>
        <w:instrText xml:space="preserve"> HYPERLINK \l _Toc27345 </w:instrText>
      </w:r>
      <w:r>
        <w:rPr>
          <w:rFonts w:hint="eastAsia" w:ascii="宋体" w:hAnsi="宋体" w:eastAsia="宋体" w:cs="宋体"/>
          <w:szCs w:val="44"/>
          <w:highlight w:val="none"/>
        </w:rPr>
        <w:fldChar w:fldCharType="separate"/>
      </w:r>
      <w:r>
        <w:rPr>
          <w:rFonts w:hint="eastAsia" w:ascii="宋体" w:hAnsi="宋体" w:eastAsia="宋体" w:cs="宋体"/>
          <w:szCs w:val="36"/>
          <w:highlight w:val="none"/>
          <w:lang w:val="en-US" w:eastAsia="zh-CN"/>
        </w:rPr>
        <w:t xml:space="preserve">第二章  </w:t>
      </w:r>
      <w:r>
        <w:rPr>
          <w:rFonts w:hint="eastAsia" w:hAnsi="宋体" w:eastAsia="宋体" w:cs="宋体"/>
          <w:szCs w:val="36"/>
          <w:highlight w:val="none"/>
          <w:lang w:val="en-US" w:eastAsia="zh-CN"/>
        </w:rPr>
        <w:t>供应商</w:t>
      </w:r>
      <w:r>
        <w:rPr>
          <w:rFonts w:hint="eastAsia" w:ascii="宋体" w:hAnsi="宋体" w:eastAsia="宋体" w:cs="宋体"/>
          <w:szCs w:val="36"/>
          <w:highlight w:val="none"/>
          <w:lang w:val="en-US" w:eastAsia="zh-CN"/>
        </w:rPr>
        <w:t>须知</w:t>
      </w:r>
      <w:r>
        <w:rPr>
          <w:highlight w:val="none"/>
        </w:rPr>
        <w:tab/>
      </w:r>
      <w:r>
        <w:rPr>
          <w:rFonts w:hint="eastAsia"/>
          <w:highlight w:val="none"/>
          <w:lang w:val="en-US" w:eastAsia="zh-CN"/>
        </w:rPr>
        <w:t>5</w:t>
      </w:r>
      <w:r>
        <w:rPr>
          <w:rFonts w:hint="eastAsia" w:ascii="宋体" w:hAnsi="宋体" w:eastAsia="宋体" w:cs="宋体"/>
          <w:szCs w:val="44"/>
          <w:highlight w:val="none"/>
        </w:rPr>
        <w:fldChar w:fldCharType="end"/>
      </w:r>
    </w:p>
    <w:p w14:paraId="6741AD59">
      <w:pPr>
        <w:pStyle w:val="43"/>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Cs w:val="44"/>
          <w:highlight w:val="none"/>
        </w:rPr>
        <w:fldChar w:fldCharType="begin"/>
      </w:r>
      <w:r>
        <w:rPr>
          <w:rFonts w:hint="eastAsia" w:ascii="宋体" w:hAnsi="宋体" w:eastAsia="宋体" w:cs="宋体"/>
          <w:szCs w:val="44"/>
          <w:highlight w:val="none"/>
        </w:rPr>
        <w:instrText xml:space="preserve"> HYPERLINK \l _Toc21982 </w:instrText>
      </w:r>
      <w:r>
        <w:rPr>
          <w:rFonts w:hint="eastAsia" w:ascii="宋体" w:hAnsi="宋体" w:eastAsia="宋体" w:cs="宋体"/>
          <w:szCs w:val="44"/>
          <w:highlight w:val="none"/>
        </w:rPr>
        <w:fldChar w:fldCharType="separate"/>
      </w:r>
      <w:r>
        <w:rPr>
          <w:rFonts w:hint="eastAsia" w:ascii="宋体" w:hAnsi="宋体" w:eastAsia="宋体" w:cs="宋体"/>
          <w:kern w:val="2"/>
          <w:szCs w:val="36"/>
          <w:highlight w:val="none"/>
          <w:lang w:val="en-US" w:eastAsia="zh-CN" w:bidi="ar-SA"/>
        </w:rPr>
        <w:t>第三章 合同条款及格式</w:t>
      </w:r>
      <w:r>
        <w:rPr>
          <w:highlight w:val="none"/>
        </w:rPr>
        <w:tab/>
      </w:r>
      <w:r>
        <w:rPr>
          <w:highlight w:val="none"/>
        </w:rPr>
        <w:fldChar w:fldCharType="begin"/>
      </w:r>
      <w:r>
        <w:rPr>
          <w:highlight w:val="none"/>
        </w:rPr>
        <w:instrText xml:space="preserve"> PAGEREF _Toc21982 \h </w:instrText>
      </w:r>
      <w:r>
        <w:rPr>
          <w:highlight w:val="none"/>
        </w:rPr>
        <w:fldChar w:fldCharType="separate"/>
      </w:r>
      <w:r>
        <w:rPr>
          <w:highlight w:val="none"/>
        </w:rPr>
        <w:t>2</w:t>
      </w:r>
      <w:r>
        <w:rPr>
          <w:rFonts w:hint="eastAsia"/>
          <w:highlight w:val="none"/>
          <w:lang w:val="en-US" w:eastAsia="zh-CN"/>
        </w:rPr>
        <w:t>5</w:t>
      </w:r>
      <w:r>
        <w:rPr>
          <w:highlight w:val="none"/>
        </w:rPr>
        <w:fldChar w:fldCharType="end"/>
      </w:r>
      <w:r>
        <w:rPr>
          <w:rFonts w:hint="eastAsia" w:ascii="宋体" w:hAnsi="宋体" w:eastAsia="宋体" w:cs="宋体"/>
          <w:szCs w:val="44"/>
          <w:highlight w:val="none"/>
        </w:rPr>
        <w:fldChar w:fldCharType="end"/>
      </w:r>
    </w:p>
    <w:p w14:paraId="7C845D33">
      <w:pPr>
        <w:pStyle w:val="43"/>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Cs w:val="44"/>
          <w:highlight w:val="none"/>
        </w:rPr>
        <w:fldChar w:fldCharType="begin"/>
      </w:r>
      <w:r>
        <w:rPr>
          <w:rFonts w:hint="eastAsia" w:ascii="宋体" w:hAnsi="宋体" w:eastAsia="宋体" w:cs="宋体"/>
          <w:szCs w:val="44"/>
          <w:highlight w:val="none"/>
        </w:rPr>
        <w:instrText xml:space="preserve"> HYPERLINK \l _Toc27448 </w:instrText>
      </w:r>
      <w:r>
        <w:rPr>
          <w:rFonts w:hint="eastAsia" w:ascii="宋体" w:hAnsi="宋体" w:eastAsia="宋体" w:cs="宋体"/>
          <w:szCs w:val="44"/>
          <w:highlight w:val="none"/>
        </w:rPr>
        <w:fldChar w:fldCharType="separate"/>
      </w:r>
      <w:r>
        <w:rPr>
          <w:rFonts w:hint="eastAsia" w:ascii="宋体" w:hAnsi="宋体" w:eastAsia="宋体" w:cs="宋体"/>
          <w:kern w:val="2"/>
          <w:szCs w:val="36"/>
          <w:highlight w:val="none"/>
          <w:lang w:val="en-US" w:eastAsia="zh-CN" w:bidi="ar-SA"/>
        </w:rPr>
        <w:t xml:space="preserve">第四章 </w:t>
      </w:r>
      <w:r>
        <w:rPr>
          <w:rFonts w:hint="eastAsia" w:ascii="宋体" w:eastAsia="宋体" w:cs="宋体"/>
          <w:kern w:val="2"/>
          <w:szCs w:val="36"/>
          <w:highlight w:val="none"/>
          <w:lang w:val="en-US" w:eastAsia="zh-CN" w:bidi="ar-SA"/>
        </w:rPr>
        <w:t>采购</w:t>
      </w:r>
      <w:r>
        <w:rPr>
          <w:rFonts w:hint="eastAsia" w:ascii="宋体" w:hAnsi="宋体" w:eastAsia="宋体" w:cs="宋体"/>
          <w:kern w:val="2"/>
          <w:szCs w:val="36"/>
          <w:highlight w:val="none"/>
          <w:lang w:val="en-US" w:eastAsia="zh-CN" w:bidi="ar-SA"/>
        </w:rPr>
        <w:t>内容及技术要求</w:t>
      </w:r>
      <w:r>
        <w:rPr>
          <w:highlight w:val="none"/>
        </w:rPr>
        <w:tab/>
      </w:r>
      <w:r>
        <w:rPr>
          <w:highlight w:val="none"/>
        </w:rPr>
        <w:fldChar w:fldCharType="begin"/>
      </w:r>
      <w:r>
        <w:rPr>
          <w:highlight w:val="none"/>
        </w:rPr>
        <w:instrText xml:space="preserve"> PAGEREF _Toc27448 \h </w:instrText>
      </w:r>
      <w:r>
        <w:rPr>
          <w:highlight w:val="none"/>
        </w:rPr>
        <w:fldChar w:fldCharType="separate"/>
      </w:r>
      <w:r>
        <w:rPr>
          <w:highlight w:val="none"/>
        </w:rPr>
        <w:t>29</w:t>
      </w:r>
      <w:r>
        <w:rPr>
          <w:highlight w:val="none"/>
        </w:rPr>
        <w:fldChar w:fldCharType="end"/>
      </w:r>
      <w:r>
        <w:rPr>
          <w:rFonts w:hint="eastAsia" w:ascii="宋体" w:hAnsi="宋体" w:eastAsia="宋体" w:cs="宋体"/>
          <w:szCs w:val="44"/>
          <w:highlight w:val="none"/>
        </w:rPr>
        <w:fldChar w:fldCharType="end"/>
      </w:r>
    </w:p>
    <w:p w14:paraId="4E537E0A">
      <w:pPr>
        <w:pStyle w:val="43"/>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Cs w:val="44"/>
          <w:highlight w:val="none"/>
        </w:rPr>
        <w:fldChar w:fldCharType="begin"/>
      </w:r>
      <w:r>
        <w:rPr>
          <w:rFonts w:hint="eastAsia" w:ascii="宋体" w:hAnsi="宋体" w:eastAsia="宋体" w:cs="宋体"/>
          <w:szCs w:val="44"/>
          <w:highlight w:val="none"/>
        </w:rPr>
        <w:instrText xml:space="preserve"> HYPERLINK \l _Toc20186 </w:instrText>
      </w:r>
      <w:r>
        <w:rPr>
          <w:rFonts w:hint="eastAsia" w:ascii="宋体" w:hAnsi="宋体" w:eastAsia="宋体" w:cs="宋体"/>
          <w:szCs w:val="44"/>
          <w:highlight w:val="none"/>
        </w:rPr>
        <w:fldChar w:fldCharType="separate"/>
      </w:r>
      <w:r>
        <w:rPr>
          <w:rFonts w:hint="eastAsia" w:ascii="宋体" w:hAnsi="宋体" w:eastAsia="宋体" w:cs="宋体"/>
          <w:kern w:val="2"/>
          <w:szCs w:val="36"/>
          <w:highlight w:val="none"/>
          <w:lang w:val="en-US" w:eastAsia="zh-CN" w:bidi="ar-SA"/>
        </w:rPr>
        <w:t>第五章 商务要求</w:t>
      </w:r>
      <w:r>
        <w:rPr>
          <w:highlight w:val="none"/>
        </w:rPr>
        <w:tab/>
      </w:r>
      <w:r>
        <w:rPr>
          <w:highlight w:val="none"/>
        </w:rPr>
        <w:fldChar w:fldCharType="begin"/>
      </w:r>
      <w:r>
        <w:rPr>
          <w:highlight w:val="none"/>
        </w:rPr>
        <w:instrText xml:space="preserve"> PAGEREF _Toc20186 \h </w:instrText>
      </w:r>
      <w:r>
        <w:rPr>
          <w:highlight w:val="none"/>
        </w:rPr>
        <w:fldChar w:fldCharType="separate"/>
      </w:r>
      <w:r>
        <w:rPr>
          <w:highlight w:val="none"/>
        </w:rPr>
        <w:t>3</w:t>
      </w:r>
      <w:r>
        <w:rPr>
          <w:rFonts w:hint="eastAsia"/>
          <w:highlight w:val="none"/>
          <w:lang w:val="en-US" w:eastAsia="zh-CN"/>
        </w:rPr>
        <w:t>2</w:t>
      </w:r>
      <w:r>
        <w:rPr>
          <w:highlight w:val="none"/>
        </w:rPr>
        <w:fldChar w:fldCharType="end"/>
      </w:r>
      <w:r>
        <w:rPr>
          <w:rFonts w:hint="eastAsia" w:ascii="宋体" w:hAnsi="宋体" w:eastAsia="宋体" w:cs="宋体"/>
          <w:szCs w:val="44"/>
          <w:highlight w:val="none"/>
        </w:rPr>
        <w:fldChar w:fldCharType="end"/>
      </w:r>
    </w:p>
    <w:p w14:paraId="76981656">
      <w:pPr>
        <w:pStyle w:val="43"/>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Cs w:val="44"/>
          <w:highlight w:val="none"/>
        </w:rPr>
        <w:fldChar w:fldCharType="begin"/>
      </w:r>
      <w:r>
        <w:rPr>
          <w:rFonts w:hint="eastAsia" w:ascii="宋体" w:hAnsi="宋体" w:eastAsia="宋体" w:cs="宋体"/>
          <w:szCs w:val="44"/>
          <w:highlight w:val="none"/>
        </w:rPr>
        <w:instrText xml:space="preserve"> HYPERLINK \l _Toc853 </w:instrText>
      </w:r>
      <w:r>
        <w:rPr>
          <w:rFonts w:hint="eastAsia" w:ascii="宋体" w:hAnsi="宋体" w:eastAsia="宋体" w:cs="宋体"/>
          <w:szCs w:val="44"/>
          <w:highlight w:val="none"/>
        </w:rPr>
        <w:fldChar w:fldCharType="separate"/>
      </w:r>
      <w:r>
        <w:rPr>
          <w:rFonts w:hint="eastAsia" w:ascii="宋体" w:hAnsi="宋体" w:eastAsia="宋体" w:cs="宋体"/>
          <w:bCs w:val="0"/>
          <w:szCs w:val="36"/>
          <w:highlight w:val="none"/>
        </w:rPr>
        <w:t>第</w:t>
      </w:r>
      <w:r>
        <w:rPr>
          <w:rFonts w:hint="eastAsia" w:ascii="宋体" w:eastAsia="宋体" w:cs="宋体"/>
          <w:bCs w:val="0"/>
          <w:szCs w:val="36"/>
          <w:highlight w:val="none"/>
          <w:lang w:val="en-US" w:eastAsia="zh-CN"/>
        </w:rPr>
        <w:t>六</w:t>
      </w:r>
      <w:r>
        <w:rPr>
          <w:rFonts w:hint="eastAsia" w:ascii="宋体" w:hAnsi="宋体" w:eastAsia="宋体" w:cs="宋体"/>
          <w:bCs w:val="0"/>
          <w:szCs w:val="36"/>
          <w:highlight w:val="none"/>
        </w:rPr>
        <w:t>章 评标方法</w:t>
      </w:r>
      <w:r>
        <w:rPr>
          <w:highlight w:val="none"/>
        </w:rPr>
        <w:tab/>
      </w:r>
      <w:r>
        <w:rPr>
          <w:highlight w:val="none"/>
        </w:rPr>
        <w:fldChar w:fldCharType="begin"/>
      </w:r>
      <w:r>
        <w:rPr>
          <w:highlight w:val="none"/>
        </w:rPr>
        <w:instrText xml:space="preserve"> PAGEREF _Toc853 \h </w:instrText>
      </w:r>
      <w:r>
        <w:rPr>
          <w:highlight w:val="none"/>
        </w:rPr>
        <w:fldChar w:fldCharType="separate"/>
      </w:r>
      <w:r>
        <w:rPr>
          <w:rFonts w:hint="eastAsia"/>
          <w:highlight w:val="none"/>
          <w:lang w:val="en-US" w:eastAsia="zh-CN"/>
        </w:rPr>
        <w:t>33</w:t>
      </w:r>
      <w:r>
        <w:rPr>
          <w:highlight w:val="none"/>
        </w:rPr>
        <w:fldChar w:fldCharType="end"/>
      </w:r>
      <w:r>
        <w:rPr>
          <w:rFonts w:hint="eastAsia" w:ascii="宋体" w:hAnsi="宋体" w:eastAsia="宋体" w:cs="宋体"/>
          <w:szCs w:val="44"/>
          <w:highlight w:val="none"/>
        </w:rPr>
        <w:fldChar w:fldCharType="end"/>
      </w:r>
    </w:p>
    <w:p w14:paraId="7C9692B2">
      <w:pPr>
        <w:pStyle w:val="43"/>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Cs w:val="44"/>
          <w:highlight w:val="none"/>
        </w:rPr>
        <w:fldChar w:fldCharType="begin"/>
      </w:r>
      <w:r>
        <w:rPr>
          <w:rFonts w:hint="eastAsia" w:ascii="宋体" w:hAnsi="宋体" w:eastAsia="宋体" w:cs="宋体"/>
          <w:szCs w:val="44"/>
          <w:highlight w:val="none"/>
        </w:rPr>
        <w:instrText xml:space="preserve"> HYPERLINK \l _Toc10353 </w:instrText>
      </w:r>
      <w:r>
        <w:rPr>
          <w:rFonts w:hint="eastAsia" w:ascii="宋体" w:hAnsi="宋体" w:eastAsia="宋体" w:cs="宋体"/>
          <w:szCs w:val="44"/>
          <w:highlight w:val="none"/>
        </w:rPr>
        <w:fldChar w:fldCharType="separate"/>
      </w:r>
      <w:r>
        <w:rPr>
          <w:rFonts w:hint="eastAsia" w:ascii="宋体" w:hAnsi="宋体" w:eastAsia="宋体" w:cs="宋体"/>
          <w:bCs w:val="0"/>
          <w:szCs w:val="36"/>
          <w:highlight w:val="none"/>
        </w:rPr>
        <w:t>第</w:t>
      </w:r>
      <w:r>
        <w:rPr>
          <w:rFonts w:hint="eastAsia" w:hAnsi="宋体" w:eastAsia="宋体" w:cs="宋体"/>
          <w:bCs w:val="0"/>
          <w:szCs w:val="36"/>
          <w:highlight w:val="none"/>
          <w:lang w:val="en-US" w:eastAsia="zh-CN"/>
        </w:rPr>
        <w:t>七</w:t>
      </w:r>
      <w:r>
        <w:rPr>
          <w:rFonts w:hint="eastAsia" w:ascii="宋体" w:hAnsi="宋体" w:eastAsia="宋体" w:cs="宋体"/>
          <w:bCs w:val="0"/>
          <w:szCs w:val="36"/>
          <w:highlight w:val="none"/>
        </w:rPr>
        <w:t>章 投标文件构成及格式</w:t>
      </w:r>
      <w:r>
        <w:rPr>
          <w:highlight w:val="none"/>
        </w:rPr>
        <w:tab/>
      </w:r>
      <w:r>
        <w:rPr>
          <w:highlight w:val="none"/>
        </w:rPr>
        <w:fldChar w:fldCharType="begin"/>
      </w:r>
      <w:r>
        <w:rPr>
          <w:highlight w:val="none"/>
        </w:rPr>
        <w:instrText xml:space="preserve"> PAGEREF _Toc10353 \h </w:instrText>
      </w:r>
      <w:r>
        <w:rPr>
          <w:highlight w:val="none"/>
        </w:rPr>
        <w:fldChar w:fldCharType="separate"/>
      </w:r>
      <w:r>
        <w:rPr>
          <w:rFonts w:hint="eastAsia"/>
          <w:highlight w:val="none"/>
          <w:lang w:val="en-US" w:eastAsia="zh-CN"/>
        </w:rPr>
        <w:t>43</w:t>
      </w:r>
      <w:r>
        <w:rPr>
          <w:highlight w:val="none"/>
        </w:rPr>
        <w:fldChar w:fldCharType="end"/>
      </w:r>
      <w:r>
        <w:rPr>
          <w:rFonts w:hint="eastAsia" w:ascii="宋体" w:hAnsi="宋体" w:eastAsia="宋体" w:cs="宋体"/>
          <w:szCs w:val="44"/>
          <w:highlight w:val="none"/>
        </w:rPr>
        <w:fldChar w:fldCharType="end"/>
      </w:r>
    </w:p>
    <w:p w14:paraId="6F8F3675">
      <w:pPr>
        <w:pStyle w:val="8"/>
        <w:keepNext w:val="0"/>
        <w:keepLines w:val="0"/>
        <w:pageBreakBefore w:val="0"/>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b/>
          <w:sz w:val="44"/>
          <w:szCs w:val="44"/>
          <w:highlight w:val="none"/>
        </w:rPr>
      </w:pPr>
      <w:r>
        <w:rPr>
          <w:rFonts w:hint="eastAsia" w:ascii="宋体" w:hAnsi="宋体" w:eastAsia="宋体" w:cs="宋体"/>
          <w:szCs w:val="44"/>
          <w:highlight w:val="none"/>
        </w:rPr>
        <w:fldChar w:fldCharType="end"/>
      </w:r>
    </w:p>
    <w:p w14:paraId="797077A4">
      <w:pPr>
        <w:pStyle w:val="16"/>
        <w:keepNext w:val="0"/>
        <w:keepLines w:val="0"/>
        <w:pageBreakBefore w:val="0"/>
        <w:widowControl w:val="0"/>
        <w:tabs>
          <w:tab w:val="left" w:pos="1418"/>
          <w:tab w:val="right" w:leader="dot" w:pos="8302"/>
        </w:tabs>
        <w:kinsoku/>
        <w:wordWrap/>
        <w:overflowPunct/>
        <w:topLinePunct w:val="0"/>
        <w:autoSpaceDE/>
        <w:autoSpaceDN/>
        <w:bidi w:val="0"/>
        <w:adjustRightInd/>
        <w:snapToGrid/>
        <w:spacing w:line="900" w:lineRule="exact"/>
        <w:ind w:right="0" w:rightChars="0" w:firstLine="0" w:firstLineChars="0"/>
        <w:jc w:val="both"/>
        <w:textAlignment w:val="auto"/>
        <w:outlineLvl w:val="9"/>
        <w:rPr>
          <w:rFonts w:hint="eastAsia" w:ascii="宋体" w:hAnsi="宋体" w:eastAsia="宋体" w:cs="宋体"/>
          <w:highlight w:val="none"/>
        </w:rPr>
      </w:pPr>
      <w:bookmarkStart w:id="1" w:name="_Toc20858"/>
      <w:bookmarkStart w:id="2" w:name="_Toc20652"/>
      <w:bookmarkStart w:id="3" w:name="_Toc5293"/>
      <w:bookmarkStart w:id="4" w:name="_Toc16218"/>
      <w:bookmarkStart w:id="5" w:name="_Toc19886"/>
      <w:bookmarkStart w:id="6" w:name="_Toc21518"/>
      <w:bookmarkStart w:id="7" w:name="_Toc389582033"/>
      <w:bookmarkStart w:id="8" w:name="_Toc426457691"/>
      <w:bookmarkStart w:id="9" w:name="_Toc363474016"/>
      <w:bookmarkStart w:id="10" w:name="_Toc403077638"/>
      <w:bookmarkStart w:id="11" w:name="_Toc363473971"/>
    </w:p>
    <w:p w14:paraId="5E3A1102">
      <w:pPr>
        <w:keepNext w:val="0"/>
        <w:keepLines w:val="0"/>
        <w:pageBreakBefore w:val="0"/>
        <w:widowControl w:val="0"/>
        <w:tabs>
          <w:tab w:val="left" w:pos="525"/>
        </w:tabs>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highlight w:val="none"/>
        </w:rPr>
        <w:sectPr>
          <w:headerReference r:id="rId7" w:type="first"/>
          <w:footerReference r:id="rId9" w:type="first"/>
          <w:headerReference r:id="rId6" w:type="default"/>
          <w:footerReference r:id="rId8" w:type="default"/>
          <w:pgSz w:w="11906" w:h="16838"/>
          <w:pgMar w:top="1417" w:right="1134" w:bottom="1417" w:left="1417" w:header="1134" w:footer="992" w:gutter="0"/>
          <w:pgBorders>
            <w:top w:val="none" w:sz="0" w:space="0"/>
            <w:left w:val="none" w:sz="0" w:space="0"/>
            <w:bottom w:val="none" w:sz="0" w:space="0"/>
            <w:right w:val="none" w:sz="0" w:space="0"/>
          </w:pgBorders>
          <w:pgNumType w:fmt="decimal" w:start="1"/>
          <w:cols w:space="720" w:num="1"/>
          <w:titlePg/>
          <w:rtlGutter w:val="0"/>
          <w:docGrid w:type="lines" w:linePitch="333" w:charSpace="0"/>
        </w:sectPr>
      </w:pPr>
    </w:p>
    <w:p w14:paraId="632CE1D3">
      <w:pPr>
        <w:pStyle w:val="8"/>
        <w:outlineLvl w:val="9"/>
        <w:rPr>
          <w:rFonts w:hint="eastAsia" w:ascii="宋体" w:hAnsi="宋体" w:eastAsia="宋体" w:cs="宋体"/>
          <w:highlight w:val="none"/>
        </w:rPr>
      </w:pPr>
    </w:p>
    <w:p w14:paraId="60EA5A67">
      <w:pPr>
        <w:keepNext/>
        <w:keepLines w:val="0"/>
        <w:pageBreakBefore w:val="0"/>
        <w:widowControl w:val="0"/>
        <w:kinsoku/>
        <w:wordWrap/>
        <w:overflowPunct/>
        <w:topLinePunct w:val="0"/>
        <w:autoSpaceDE/>
        <w:autoSpaceDN/>
        <w:bidi w:val="0"/>
        <w:adjustRightInd/>
        <w:snapToGrid/>
        <w:spacing w:after="334" w:afterLines="100" w:line="500" w:lineRule="exact"/>
        <w:ind w:left="0" w:leftChars="0" w:right="0" w:rightChars="0" w:firstLine="0" w:firstLineChars="0"/>
        <w:jc w:val="center"/>
        <w:textAlignment w:val="auto"/>
        <w:outlineLvl w:val="0"/>
        <w:rPr>
          <w:rFonts w:hint="eastAsia" w:ascii="宋体" w:hAnsi="宋体" w:eastAsia="宋体" w:cs="宋体"/>
          <w:sz w:val="36"/>
          <w:szCs w:val="36"/>
          <w:highlight w:val="none"/>
        </w:rPr>
      </w:pPr>
      <w:bookmarkStart w:id="12" w:name="_Toc31289"/>
      <w:bookmarkStart w:id="13" w:name="_Toc22928"/>
      <w:bookmarkStart w:id="14" w:name="_Toc26849"/>
      <w:bookmarkStart w:id="15" w:name="_Toc28504"/>
      <w:r>
        <w:rPr>
          <w:rFonts w:hint="eastAsia" w:ascii="宋体" w:hAns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sz w:val="36"/>
          <w:szCs w:val="36"/>
          <w:highlight w:val="none"/>
        </w:rPr>
        <w:t>招标公告</w:t>
      </w:r>
      <w:bookmarkEnd w:id="8"/>
      <w:bookmarkEnd w:id="12"/>
      <w:bookmarkEnd w:id="13"/>
      <w:bookmarkEnd w:id="14"/>
      <w:bookmarkEnd w:id="15"/>
    </w:p>
    <w:p w14:paraId="58A7E6BB">
      <w:pPr>
        <w:pStyle w:val="3"/>
        <w:pageBreakBefore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b/>
          <w:bCs/>
          <w:sz w:val="32"/>
          <w:szCs w:val="32"/>
        </w:rPr>
      </w:pPr>
      <w:bookmarkStart w:id="16" w:name="_Toc389582035"/>
      <w:bookmarkStart w:id="17" w:name="_Toc2929"/>
      <w:bookmarkStart w:id="18" w:name="_Toc426457692"/>
      <w:bookmarkStart w:id="19" w:name="_Toc27345"/>
      <w:bookmarkStart w:id="20" w:name="_Toc501"/>
      <w:bookmarkStart w:id="21" w:name="_Toc30304"/>
      <w:r>
        <w:rPr>
          <w:rFonts w:hint="eastAsia" w:ascii="新宋体" w:hAnsi="新宋体" w:eastAsia="新宋体" w:cs="新宋体"/>
          <w:sz w:val="32"/>
          <w:szCs w:val="32"/>
          <w:lang w:val="en-US" w:eastAsia="zh-CN"/>
        </w:rPr>
        <w:t>伊宁县伊东工业园区化工产业集中区智慧平台项目公开招标公告</w:t>
      </w:r>
    </w:p>
    <w:p w14:paraId="3964592B">
      <w:pPr>
        <w:pStyle w:val="17"/>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60" w:beforeAutospacing="0" w:after="60" w:afterAutospacing="0" w:line="480" w:lineRule="exact"/>
        <w:ind w:left="0" w:right="0"/>
        <w:textAlignment w:val="auto"/>
        <w:rPr>
          <w:rFonts w:hint="eastAsia" w:ascii="新宋体" w:hAnsi="新宋体" w:eastAsia="新宋体" w:cs="新宋体"/>
          <w:sz w:val="24"/>
          <w:szCs w:val="24"/>
        </w:rPr>
      </w:pPr>
      <w:r>
        <w:rPr>
          <w:rFonts w:hint="eastAsia" w:ascii="新宋体" w:hAnsi="新宋体" w:eastAsia="新宋体" w:cs="新宋体"/>
          <w:sz w:val="24"/>
          <w:szCs w:val="24"/>
        </w:rPr>
        <w:t>   项目概况</w:t>
      </w:r>
    </w:p>
    <w:p w14:paraId="1F98FBFA">
      <w:pPr>
        <w:pStyle w:val="17"/>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60" w:beforeAutospacing="0" w:after="60" w:afterAutospacing="0" w:line="480" w:lineRule="exact"/>
        <w:ind w:right="0" w:firstLine="480" w:firstLineChars="200"/>
        <w:textAlignment w:val="auto"/>
        <w:rPr>
          <w:rFonts w:hint="eastAsia" w:ascii="新宋体" w:hAnsi="新宋体" w:eastAsia="新宋体" w:cs="新宋体"/>
          <w:sz w:val="24"/>
          <w:szCs w:val="24"/>
        </w:rPr>
      </w:pPr>
      <w:r>
        <w:rPr>
          <w:rFonts w:hint="eastAsia" w:ascii="新宋体" w:hAnsi="新宋体" w:eastAsia="新宋体" w:cs="新宋体"/>
          <w:color w:val="auto"/>
          <w:sz w:val="24"/>
          <w:szCs w:val="24"/>
          <w:lang w:val="en-US" w:eastAsia="zh-CN"/>
        </w:rPr>
        <w:t>伊宁县伊东工业园区化工产业集中区智慧平台项目公开招标</w:t>
      </w:r>
      <w:r>
        <w:rPr>
          <w:rFonts w:hint="eastAsia" w:ascii="新宋体" w:hAnsi="新宋体" w:eastAsia="新宋体" w:cs="新宋体"/>
          <w:color w:val="auto"/>
          <w:sz w:val="24"/>
          <w:szCs w:val="24"/>
        </w:rPr>
        <w:t>的潜在投标人应在</w:t>
      </w:r>
      <w:r>
        <w:rPr>
          <w:rFonts w:hint="eastAsia" w:ascii="新宋体" w:hAnsi="新宋体" w:eastAsia="新宋体" w:cs="新宋体"/>
          <w:color w:val="auto"/>
          <w:sz w:val="24"/>
          <w:szCs w:val="24"/>
          <w:lang w:eastAsia="zh-CN"/>
        </w:rPr>
        <w:t>政采云平台线上获取采购文件</w:t>
      </w:r>
      <w:r>
        <w:rPr>
          <w:rFonts w:hint="eastAsia" w:ascii="新宋体" w:hAnsi="新宋体" w:eastAsia="新宋体" w:cs="新宋体"/>
          <w:color w:val="auto"/>
          <w:sz w:val="24"/>
          <w:szCs w:val="24"/>
        </w:rPr>
        <w:t>，并于</w:t>
      </w:r>
      <w:r>
        <w:rPr>
          <w:rFonts w:hint="eastAsia" w:ascii="新宋体" w:hAnsi="新宋体" w:eastAsia="新宋体" w:cs="新宋体"/>
          <w:color w:val="auto"/>
          <w:sz w:val="24"/>
          <w:szCs w:val="24"/>
          <w:lang w:eastAsia="zh-CN"/>
        </w:rPr>
        <w:t>202</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lang w:eastAsia="zh-CN"/>
        </w:rPr>
        <w:t>年</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lang w:eastAsia="zh-CN"/>
        </w:rPr>
        <w:t>月</w:t>
      </w:r>
      <w:r>
        <w:rPr>
          <w:rFonts w:hint="eastAsia" w:ascii="新宋体" w:hAnsi="新宋体" w:eastAsia="新宋体" w:cs="新宋体"/>
          <w:color w:val="auto"/>
          <w:sz w:val="24"/>
          <w:szCs w:val="24"/>
          <w:lang w:val="en-US" w:eastAsia="zh-CN"/>
        </w:rPr>
        <w:t>24</w:t>
      </w:r>
      <w:r>
        <w:rPr>
          <w:rFonts w:hint="eastAsia" w:ascii="新宋体" w:hAnsi="新宋体" w:eastAsia="新宋体" w:cs="新宋体"/>
          <w:color w:val="auto"/>
          <w:sz w:val="24"/>
          <w:szCs w:val="24"/>
          <w:lang w:eastAsia="zh-CN"/>
        </w:rPr>
        <w:t>日</w:t>
      </w:r>
      <w:r>
        <w:rPr>
          <w:rFonts w:hint="eastAsia" w:ascii="新宋体" w:hAnsi="新宋体" w:eastAsia="新宋体" w:cs="新宋体"/>
          <w:color w:val="auto"/>
          <w:sz w:val="24"/>
          <w:szCs w:val="24"/>
        </w:rPr>
        <w:t xml:space="preserve"> </w:t>
      </w:r>
      <w:r>
        <w:rPr>
          <w:rFonts w:hint="eastAsia" w:ascii="新宋体" w:hAnsi="新宋体" w:eastAsia="新宋体" w:cs="新宋体"/>
          <w:color w:val="auto"/>
          <w:sz w:val="24"/>
          <w:szCs w:val="24"/>
          <w:lang w:val="en-US" w:eastAsia="zh-CN"/>
        </w:rPr>
        <w:t>11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0</w:t>
      </w:r>
      <w:r>
        <w:rPr>
          <w:rFonts w:hint="eastAsia" w:ascii="新宋体" w:hAnsi="新宋体" w:eastAsia="新宋体" w:cs="新宋体"/>
          <w:color w:val="auto"/>
          <w:sz w:val="24"/>
          <w:szCs w:val="24"/>
        </w:rPr>
        <w:t>0（北京时间）前递交投标文件。</w:t>
      </w:r>
      <w:r>
        <w:rPr>
          <w:rFonts w:hint="eastAsia" w:ascii="新宋体" w:hAnsi="新宋体" w:eastAsia="新宋体" w:cs="新宋体"/>
          <w:sz w:val="24"/>
          <w:szCs w:val="24"/>
        </w:rPr>
        <w:t>                          </w:t>
      </w:r>
    </w:p>
    <w:p w14:paraId="3AA63B7D">
      <w:pPr>
        <w:bidi w:val="0"/>
        <w:spacing w:line="360" w:lineRule="auto"/>
        <w:rPr>
          <w:rFonts w:hint="eastAsia" w:ascii="新宋体" w:hAnsi="新宋体" w:eastAsia="新宋体" w:cs="新宋体"/>
          <w:b/>
          <w:bCs/>
          <w:sz w:val="24"/>
          <w:szCs w:val="32"/>
        </w:rPr>
      </w:pPr>
      <w:r>
        <w:rPr>
          <w:rFonts w:hint="eastAsia" w:ascii="新宋体" w:hAnsi="新宋体" w:eastAsia="新宋体" w:cs="新宋体"/>
          <w:b/>
          <w:bCs/>
          <w:sz w:val="24"/>
          <w:szCs w:val="32"/>
        </w:rPr>
        <w:t>一、项目基本情况</w:t>
      </w:r>
    </w:p>
    <w:p w14:paraId="5A5E6AF2">
      <w:pPr>
        <w:bidi w:val="0"/>
        <w:spacing w:line="360" w:lineRule="auto"/>
        <w:rPr>
          <w:rFonts w:hint="eastAsia" w:ascii="新宋体" w:hAnsi="新宋体" w:eastAsia="新宋体" w:cs="新宋体"/>
          <w:sz w:val="24"/>
          <w:szCs w:val="32"/>
          <w:lang w:val="en-US" w:eastAsia="zh-CN"/>
        </w:rPr>
      </w:pPr>
      <w:r>
        <w:rPr>
          <w:rFonts w:hint="eastAsia" w:ascii="新宋体" w:hAnsi="新宋体" w:eastAsia="新宋体" w:cs="新宋体"/>
          <w:sz w:val="24"/>
          <w:szCs w:val="32"/>
        </w:rPr>
        <w:t>项目编号：</w:t>
      </w:r>
      <w:r>
        <w:rPr>
          <w:rFonts w:hint="eastAsia" w:ascii="新宋体" w:hAnsi="新宋体" w:eastAsia="新宋体" w:cs="新宋体"/>
          <w:color w:val="0000FF"/>
          <w:sz w:val="24"/>
          <w:szCs w:val="32"/>
          <w:lang w:val="en-US" w:eastAsia="zh-CN"/>
        </w:rPr>
        <w:t xml:space="preserve"> </w:t>
      </w:r>
      <w:r>
        <w:rPr>
          <w:rFonts w:hint="eastAsia" w:ascii="新宋体" w:hAnsi="新宋体" w:eastAsia="新宋体" w:cs="新宋体"/>
          <w:color w:val="0000FF"/>
          <w:sz w:val="24"/>
          <w:szCs w:val="32"/>
        </w:rPr>
        <w:t> </w:t>
      </w:r>
    </w:p>
    <w:p w14:paraId="27A78D4C">
      <w:pPr>
        <w:bidi w:val="0"/>
        <w:spacing w:line="360" w:lineRule="auto"/>
        <w:rPr>
          <w:rFonts w:hint="eastAsia" w:ascii="新宋体" w:hAnsi="新宋体" w:eastAsia="新宋体" w:cs="新宋体"/>
          <w:color w:val="auto"/>
          <w:sz w:val="24"/>
          <w:szCs w:val="24"/>
          <w:lang w:val="en-US" w:eastAsia="zh-CN"/>
        </w:rPr>
      </w:pPr>
      <w:r>
        <w:rPr>
          <w:rFonts w:hint="eastAsia" w:ascii="新宋体" w:hAnsi="新宋体" w:eastAsia="新宋体" w:cs="新宋体"/>
          <w:sz w:val="24"/>
          <w:szCs w:val="32"/>
        </w:rPr>
        <w:t>项目名称：</w:t>
      </w:r>
      <w:bookmarkStart w:id="22" w:name="OLE_LINK1"/>
      <w:r>
        <w:rPr>
          <w:rFonts w:hint="eastAsia" w:ascii="新宋体" w:hAnsi="新宋体" w:eastAsia="新宋体" w:cs="新宋体"/>
          <w:color w:val="auto"/>
          <w:sz w:val="24"/>
          <w:szCs w:val="24"/>
          <w:lang w:val="en-US" w:eastAsia="zh-CN"/>
        </w:rPr>
        <w:t>伊宁县伊东工业园区化工产业集中区智慧平台项目</w:t>
      </w:r>
    </w:p>
    <w:bookmarkEnd w:id="22"/>
    <w:p w14:paraId="45604716">
      <w:pPr>
        <w:bidi w:val="0"/>
        <w:spacing w:line="360" w:lineRule="auto"/>
        <w:rPr>
          <w:rFonts w:hint="default" w:ascii="新宋体" w:hAnsi="新宋体" w:eastAsia="新宋体" w:cs="新宋体"/>
          <w:sz w:val="24"/>
          <w:szCs w:val="32"/>
          <w:lang w:val="en-US" w:eastAsia="zh-CN"/>
        </w:rPr>
      </w:pPr>
      <w:r>
        <w:rPr>
          <w:rFonts w:hint="eastAsia" w:ascii="新宋体" w:hAnsi="新宋体" w:eastAsia="新宋体" w:cs="新宋体"/>
          <w:sz w:val="24"/>
          <w:szCs w:val="32"/>
        </w:rPr>
        <w:t>采购方式：</w:t>
      </w:r>
      <w:r>
        <w:rPr>
          <w:rFonts w:hint="eastAsia" w:ascii="新宋体" w:hAnsi="新宋体" w:eastAsia="新宋体" w:cs="新宋体"/>
          <w:sz w:val="24"/>
          <w:szCs w:val="32"/>
          <w:lang w:val="en-US" w:eastAsia="zh-CN"/>
        </w:rPr>
        <w:t>公开招标</w:t>
      </w:r>
    </w:p>
    <w:p w14:paraId="19E05EDA">
      <w:pPr>
        <w:bidi w:val="0"/>
        <w:spacing w:line="360" w:lineRule="auto"/>
        <w:rPr>
          <w:rFonts w:hint="eastAsia" w:ascii="新宋体" w:hAnsi="新宋体" w:eastAsia="新宋体" w:cs="新宋体"/>
          <w:sz w:val="24"/>
          <w:szCs w:val="32"/>
          <w:lang w:val="en-US" w:eastAsia="zh-CN"/>
        </w:rPr>
      </w:pPr>
      <w:r>
        <w:rPr>
          <w:rFonts w:hint="eastAsia" w:ascii="新宋体" w:hAnsi="新宋体" w:eastAsia="新宋体" w:cs="新宋体"/>
          <w:sz w:val="24"/>
          <w:szCs w:val="32"/>
        </w:rPr>
        <w:t>预算金额（元）：</w:t>
      </w:r>
      <w:r>
        <w:rPr>
          <w:rFonts w:hint="eastAsia" w:ascii="新宋体" w:hAnsi="新宋体" w:eastAsia="新宋体" w:cs="新宋体"/>
          <w:sz w:val="24"/>
          <w:szCs w:val="32"/>
          <w:lang w:val="en-US" w:eastAsia="zh-CN"/>
        </w:rPr>
        <w:t>3200000</w:t>
      </w:r>
      <w:r>
        <w:rPr>
          <w:rFonts w:hint="eastAsia" w:ascii="新宋体" w:hAnsi="新宋体" w:eastAsia="新宋体" w:cs="新宋体"/>
          <w:sz w:val="24"/>
          <w:szCs w:val="32"/>
        </w:rPr>
        <w:t>.00 </w:t>
      </w:r>
    </w:p>
    <w:p w14:paraId="25709F74">
      <w:pPr>
        <w:bidi w:val="0"/>
        <w:spacing w:line="360" w:lineRule="auto"/>
        <w:rPr>
          <w:rFonts w:hint="eastAsia" w:ascii="新宋体" w:hAnsi="新宋体" w:eastAsia="新宋体" w:cs="新宋体"/>
          <w:sz w:val="24"/>
          <w:szCs w:val="32"/>
          <w:lang w:val="en-US" w:eastAsia="zh-CN"/>
        </w:rPr>
      </w:pPr>
      <w:r>
        <w:rPr>
          <w:rFonts w:hint="eastAsia" w:ascii="新宋体" w:hAnsi="新宋体" w:eastAsia="新宋体" w:cs="新宋体"/>
          <w:sz w:val="24"/>
          <w:szCs w:val="32"/>
        </w:rPr>
        <w:t>最高限价（元）：</w:t>
      </w:r>
      <w:r>
        <w:rPr>
          <w:rFonts w:hint="eastAsia" w:ascii="新宋体" w:hAnsi="新宋体" w:eastAsia="新宋体" w:cs="新宋体"/>
          <w:sz w:val="24"/>
          <w:szCs w:val="32"/>
          <w:lang w:val="en-US" w:eastAsia="zh-CN"/>
        </w:rPr>
        <w:t>3200000</w:t>
      </w:r>
      <w:r>
        <w:rPr>
          <w:rFonts w:hint="eastAsia" w:ascii="新宋体" w:hAnsi="新宋体" w:eastAsia="新宋体" w:cs="新宋体"/>
          <w:sz w:val="24"/>
          <w:szCs w:val="32"/>
        </w:rPr>
        <w:t>.00 </w:t>
      </w:r>
    </w:p>
    <w:p w14:paraId="70330027">
      <w:pPr>
        <w:bidi w:val="0"/>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采购需求：</w:t>
      </w:r>
    </w:p>
    <w:p w14:paraId="1BF27589">
      <w:pPr>
        <w:bidi w:val="0"/>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标项一:</w:t>
      </w:r>
    </w:p>
    <w:p w14:paraId="689EBBFC">
      <w:pPr>
        <w:bidi w:val="0"/>
        <w:spacing w:line="360" w:lineRule="auto"/>
        <w:rPr>
          <w:rFonts w:hint="eastAsia" w:ascii="新宋体" w:hAnsi="新宋体" w:eastAsia="新宋体" w:cs="新宋体"/>
          <w:color w:val="auto"/>
          <w:sz w:val="24"/>
          <w:szCs w:val="24"/>
          <w:lang w:val="en-US" w:eastAsia="zh-CN"/>
        </w:rPr>
      </w:pPr>
      <w:r>
        <w:rPr>
          <w:rFonts w:hint="eastAsia" w:ascii="新宋体" w:hAnsi="新宋体" w:eastAsia="新宋体" w:cs="新宋体"/>
          <w:sz w:val="24"/>
          <w:szCs w:val="32"/>
        </w:rPr>
        <w:t>标项名称:</w:t>
      </w:r>
      <w:r>
        <w:rPr>
          <w:rFonts w:hint="eastAsia" w:ascii="新宋体" w:hAnsi="新宋体" w:eastAsia="新宋体" w:cs="新宋体"/>
          <w:color w:val="auto"/>
          <w:sz w:val="24"/>
          <w:szCs w:val="24"/>
          <w:lang w:val="en-US" w:eastAsia="zh-CN"/>
        </w:rPr>
        <w:t>伊宁县伊东工业园区化工产业集中区智慧平台项目</w:t>
      </w:r>
    </w:p>
    <w:p w14:paraId="7E936149">
      <w:pPr>
        <w:bidi w:val="0"/>
        <w:spacing w:line="360" w:lineRule="auto"/>
        <w:rPr>
          <w:rFonts w:hint="eastAsia" w:ascii="新宋体" w:hAnsi="新宋体" w:eastAsia="新宋体" w:cs="新宋体"/>
          <w:color w:val="auto"/>
          <w:sz w:val="24"/>
          <w:szCs w:val="32"/>
          <w:lang w:val="en-US" w:eastAsia="zh-CN"/>
        </w:rPr>
      </w:pPr>
      <w:r>
        <w:rPr>
          <w:rFonts w:hint="eastAsia" w:ascii="新宋体" w:hAnsi="新宋体" w:eastAsia="新宋体" w:cs="新宋体"/>
          <w:sz w:val="24"/>
          <w:szCs w:val="32"/>
        </w:rPr>
        <w:t>数量:</w:t>
      </w:r>
      <w:r>
        <w:rPr>
          <w:rFonts w:hint="eastAsia" w:ascii="新宋体" w:hAnsi="新宋体" w:eastAsia="新宋体" w:cs="新宋体"/>
          <w:sz w:val="24"/>
          <w:szCs w:val="32"/>
          <w:lang w:val="en-US" w:eastAsia="zh-CN"/>
        </w:rPr>
        <w:t>不限</w:t>
      </w:r>
      <w:r>
        <w:rPr>
          <w:rFonts w:hint="eastAsia" w:ascii="新宋体" w:hAnsi="新宋体" w:eastAsia="新宋体" w:cs="新宋体"/>
          <w:sz w:val="24"/>
          <w:szCs w:val="32"/>
        </w:rPr>
        <w:br w:type="textWrapping"/>
      </w:r>
      <w:r>
        <w:rPr>
          <w:rFonts w:hint="eastAsia" w:ascii="宋体" w:hAnsi="宋体" w:eastAsia="宋体" w:cs="宋体"/>
          <w:color w:val="auto"/>
          <w:sz w:val="24"/>
          <w:szCs w:val="24"/>
          <w:highlight w:val="none"/>
          <w:lang w:val="en-US" w:eastAsia="zh-CN"/>
        </w:rPr>
        <w:t>预算金额（元）:</w:t>
      </w:r>
      <w:r>
        <w:rPr>
          <w:rFonts w:hint="eastAsia" w:ascii="新宋体" w:hAnsi="新宋体" w:eastAsia="新宋体" w:cs="新宋体"/>
          <w:sz w:val="24"/>
          <w:szCs w:val="32"/>
          <w:lang w:val="en-US" w:eastAsia="zh-CN"/>
        </w:rPr>
        <w:t>3200000</w:t>
      </w:r>
      <w:r>
        <w:rPr>
          <w:rFonts w:hint="eastAsia" w:ascii="新宋体" w:hAnsi="新宋体" w:eastAsia="新宋体" w:cs="新宋体"/>
          <w:sz w:val="24"/>
          <w:szCs w:val="32"/>
        </w:rPr>
        <w:t>.00 </w:t>
      </w:r>
      <w:r>
        <w:rPr>
          <w:rFonts w:hint="eastAsia" w:ascii="新宋体" w:hAnsi="新宋体" w:eastAsia="新宋体" w:cs="新宋体"/>
          <w:color w:val="auto"/>
          <w:sz w:val="24"/>
          <w:szCs w:val="32"/>
        </w:rPr>
        <w:t> </w:t>
      </w:r>
    </w:p>
    <w:p w14:paraId="6089577C">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简要规格描述或项目基本概况介绍、用途：</w:t>
      </w:r>
      <w:r>
        <w:rPr>
          <w:rFonts w:hint="eastAsia" w:ascii="新宋体" w:hAnsi="新宋体" w:eastAsia="新宋体" w:cs="新宋体"/>
          <w:color w:val="auto"/>
          <w:sz w:val="24"/>
          <w:szCs w:val="24"/>
          <w:lang w:val="en-US" w:eastAsia="zh-CN"/>
        </w:rPr>
        <w:t>工业园区化工产业集中区智慧平台搭建</w:t>
      </w:r>
      <w:r>
        <w:rPr>
          <w:rFonts w:hint="eastAsia" w:ascii="宋体" w:hAnsi="宋体" w:cs="宋体"/>
          <w:color w:val="auto"/>
          <w:sz w:val="24"/>
          <w:szCs w:val="24"/>
          <w:highlight w:val="none"/>
          <w:lang w:val="en-US" w:eastAsia="zh-CN"/>
        </w:rPr>
        <w:t>。（具体内容详见采购文件）</w:t>
      </w:r>
      <w:r>
        <w:rPr>
          <w:rFonts w:hint="eastAsia" w:ascii="新宋体" w:hAnsi="新宋体" w:eastAsia="新宋体" w:cs="新宋体"/>
          <w:color w:val="auto"/>
          <w:sz w:val="24"/>
          <w:szCs w:val="32"/>
        </w:rPr>
        <w:t> </w:t>
      </w:r>
    </w:p>
    <w:p w14:paraId="278FF1D9">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0000FF"/>
          <w:sz w:val="24"/>
          <w:szCs w:val="24"/>
          <w:lang w:val="en-US" w:eastAsia="zh-CN"/>
        </w:rPr>
        <w:t>合同履约期限</w:t>
      </w:r>
      <w:r>
        <w:rPr>
          <w:rFonts w:hint="eastAsia" w:ascii="新宋体" w:hAnsi="新宋体" w:eastAsia="新宋体" w:cs="新宋体"/>
          <w:color w:val="auto"/>
          <w:sz w:val="24"/>
          <w:szCs w:val="24"/>
          <w:lang w:val="en-US" w:eastAsia="zh-CN"/>
        </w:rPr>
        <w:t>：合同签订后15个工</w:t>
      </w:r>
      <w:r>
        <w:rPr>
          <w:rFonts w:hint="eastAsia" w:ascii="新宋体" w:hAnsi="新宋体" w:eastAsia="新宋体" w:cs="新宋体"/>
          <w:color w:val="auto"/>
          <w:sz w:val="24"/>
          <w:szCs w:val="32"/>
          <w:lang w:val="en-US" w:eastAsia="zh-CN"/>
        </w:rPr>
        <w:t>作日内完成甲方要求的所有内容</w:t>
      </w:r>
      <w:r>
        <w:rPr>
          <w:rFonts w:hint="eastAsia" w:ascii="新宋体" w:hAnsi="新宋体" w:eastAsia="新宋体" w:cs="新宋体"/>
          <w:color w:val="auto"/>
          <w:sz w:val="24"/>
          <w:szCs w:val="32"/>
        </w:rPr>
        <w:t>。 </w:t>
      </w:r>
    </w:p>
    <w:p w14:paraId="290123AC">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本项目（否）接受联合体投标。  </w:t>
      </w:r>
    </w:p>
    <w:p w14:paraId="0387BFB5">
      <w:pPr>
        <w:bidi w:val="0"/>
        <w:spacing w:line="360" w:lineRule="auto"/>
        <w:rPr>
          <w:rFonts w:hint="eastAsia" w:ascii="新宋体" w:hAnsi="新宋体" w:eastAsia="新宋体" w:cs="新宋体"/>
          <w:b/>
          <w:bCs/>
          <w:color w:val="auto"/>
          <w:sz w:val="24"/>
          <w:szCs w:val="32"/>
        </w:rPr>
      </w:pPr>
      <w:r>
        <w:rPr>
          <w:rFonts w:hint="eastAsia" w:ascii="新宋体" w:hAnsi="新宋体" w:eastAsia="新宋体" w:cs="新宋体"/>
          <w:b/>
          <w:bCs/>
          <w:color w:val="auto"/>
          <w:sz w:val="24"/>
          <w:szCs w:val="32"/>
        </w:rPr>
        <w:t>二、申请人的资格要求：</w:t>
      </w:r>
    </w:p>
    <w:p w14:paraId="27586A21">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1.满足《中华人民共和国政府采购法》第二十二条规定；</w:t>
      </w:r>
    </w:p>
    <w:p w14:paraId="4A685A3D">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rPr>
        <w:t>2.落实政府采购</w:t>
      </w:r>
      <w:r>
        <w:rPr>
          <w:rFonts w:hint="eastAsia" w:ascii="新宋体" w:hAnsi="新宋体" w:eastAsia="新宋体" w:cs="新宋体"/>
          <w:color w:val="auto"/>
          <w:sz w:val="24"/>
          <w:szCs w:val="32"/>
          <w:highlight w:val="none"/>
        </w:rPr>
        <w:t>政策需满足的资格要求：</w:t>
      </w:r>
      <w:r>
        <w:rPr>
          <w:rFonts w:hint="eastAsia" w:ascii="新宋体" w:hAnsi="新宋体" w:eastAsia="新宋体" w:cs="新宋体"/>
          <w:color w:val="auto"/>
          <w:sz w:val="24"/>
          <w:szCs w:val="32"/>
          <w:highlight w:val="none"/>
          <w:lang w:val="en-US" w:eastAsia="zh-CN"/>
        </w:rPr>
        <w:t>无</w:t>
      </w:r>
    </w:p>
    <w:p w14:paraId="1468EDDF">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3.本项目的特定资格要求：</w:t>
      </w:r>
    </w:p>
    <w:p w14:paraId="461CB8B7">
      <w:pPr>
        <w:bidi w:val="0"/>
        <w:spacing w:line="360" w:lineRule="auto"/>
        <w:rPr>
          <w:rFonts w:hint="eastAsia" w:ascii="新宋体" w:hAnsi="新宋体" w:eastAsia="新宋体" w:cs="新宋体"/>
          <w:sz w:val="24"/>
          <w:szCs w:val="32"/>
          <w:highlight w:val="none"/>
        </w:rPr>
      </w:pPr>
      <w:r>
        <w:rPr>
          <w:rFonts w:hint="eastAsia" w:ascii="新宋体" w:hAnsi="新宋体" w:eastAsia="新宋体" w:cs="新宋体"/>
          <w:sz w:val="24"/>
          <w:szCs w:val="32"/>
          <w:highlight w:val="none"/>
        </w:rPr>
        <w:t>（1）</w:t>
      </w:r>
      <w:r>
        <w:rPr>
          <w:rFonts w:hint="eastAsia" w:ascii="新宋体" w:hAnsi="新宋体" w:eastAsia="新宋体" w:cs="新宋体"/>
          <w:sz w:val="24"/>
          <w:szCs w:val="32"/>
          <w:highlight w:val="none"/>
          <w:lang w:val="en-US" w:eastAsia="zh-CN"/>
        </w:rPr>
        <w:t>具有独立承担民事责任能力的法人或者其他组织</w:t>
      </w:r>
      <w:r>
        <w:rPr>
          <w:rFonts w:hint="eastAsia" w:ascii="新宋体" w:hAnsi="新宋体" w:eastAsia="新宋体" w:cs="新宋体"/>
          <w:sz w:val="24"/>
          <w:szCs w:val="32"/>
          <w:highlight w:val="none"/>
        </w:rPr>
        <w:t>（提供合法有效的法人营业执照且经营范围包含本次采购项目相关内容）；</w:t>
      </w:r>
    </w:p>
    <w:p w14:paraId="0AE3E93D">
      <w:pPr>
        <w:bidi w:val="0"/>
        <w:spacing w:line="360" w:lineRule="auto"/>
        <w:rPr>
          <w:rFonts w:hint="eastAsia" w:ascii="新宋体" w:hAnsi="新宋体" w:eastAsia="新宋体" w:cs="新宋体"/>
          <w:sz w:val="24"/>
          <w:szCs w:val="32"/>
          <w:highlight w:val="none"/>
        </w:rPr>
      </w:pPr>
      <w:r>
        <w:rPr>
          <w:rFonts w:hint="eastAsia" w:ascii="新宋体" w:hAnsi="新宋体" w:eastAsia="新宋体" w:cs="新宋体"/>
          <w:sz w:val="24"/>
          <w:szCs w:val="32"/>
          <w:highlight w:val="none"/>
        </w:rPr>
        <w:t>（</w:t>
      </w:r>
      <w:r>
        <w:rPr>
          <w:rFonts w:hint="eastAsia" w:ascii="新宋体" w:hAnsi="新宋体" w:eastAsia="新宋体" w:cs="新宋体"/>
          <w:sz w:val="24"/>
          <w:szCs w:val="32"/>
          <w:highlight w:val="none"/>
          <w:lang w:val="en-US" w:eastAsia="zh-CN"/>
        </w:rPr>
        <w:t>2</w:t>
      </w:r>
      <w:r>
        <w:rPr>
          <w:rFonts w:hint="eastAsia" w:ascii="新宋体" w:hAnsi="新宋体" w:eastAsia="新宋体" w:cs="新宋体"/>
          <w:sz w:val="24"/>
          <w:szCs w:val="32"/>
          <w:highlight w:val="none"/>
        </w:rPr>
        <w:t>）凡拟参加本次招标项目的供应商，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新宋体" w:hAnsi="新宋体" w:eastAsia="新宋体" w:cs="新宋体"/>
          <w:sz w:val="24"/>
          <w:szCs w:val="32"/>
          <w:highlight w:val="none"/>
        </w:rPr>
        <w:br w:type="textWrapping"/>
      </w:r>
      <w:r>
        <w:rPr>
          <w:rFonts w:hint="eastAsia" w:ascii="新宋体" w:hAnsi="新宋体" w:eastAsia="新宋体" w:cs="新宋体"/>
          <w:sz w:val="24"/>
          <w:szCs w:val="32"/>
          <w:highlight w:val="none"/>
        </w:rPr>
        <w:t>（</w:t>
      </w:r>
      <w:r>
        <w:rPr>
          <w:rFonts w:hint="eastAsia" w:ascii="新宋体" w:hAnsi="新宋体" w:eastAsia="新宋体" w:cs="新宋体"/>
          <w:sz w:val="24"/>
          <w:szCs w:val="32"/>
          <w:highlight w:val="none"/>
          <w:lang w:val="en-US" w:eastAsia="zh-CN"/>
        </w:rPr>
        <w:t>3</w:t>
      </w:r>
      <w:r>
        <w:rPr>
          <w:rFonts w:hint="eastAsia" w:ascii="新宋体" w:hAnsi="新宋体" w:eastAsia="新宋体" w:cs="新宋体"/>
          <w:sz w:val="24"/>
          <w:szCs w:val="32"/>
          <w:highlight w:val="none"/>
        </w:rPr>
        <w:t>）与采购人存在利害关系可能影响招标公正性的法人、其他组织或者个人，不得参加投标。单位负责人为同一人或者存在控股、管理关系的不同单位，不得参加同一招标项目投标。违反前两款规定的，相关投标均无效。</w:t>
      </w:r>
    </w:p>
    <w:p w14:paraId="7DF0D33F">
      <w:pPr>
        <w:bidi w:val="0"/>
        <w:spacing w:line="360" w:lineRule="auto"/>
        <w:rPr>
          <w:rFonts w:hint="eastAsia" w:ascii="新宋体" w:hAnsi="新宋体" w:eastAsia="新宋体" w:cs="新宋体"/>
          <w:sz w:val="24"/>
          <w:szCs w:val="32"/>
          <w:highlight w:val="none"/>
        </w:rPr>
      </w:pPr>
      <w:r>
        <w:rPr>
          <w:rFonts w:hint="eastAsia" w:ascii="新宋体" w:hAnsi="新宋体" w:eastAsia="新宋体" w:cs="新宋体"/>
          <w:sz w:val="24"/>
          <w:szCs w:val="32"/>
          <w:highlight w:val="none"/>
        </w:rPr>
        <w:t>三、获取采购文件</w:t>
      </w:r>
    </w:p>
    <w:p w14:paraId="073FC44F">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sz w:val="24"/>
          <w:szCs w:val="32"/>
          <w:highlight w:val="none"/>
        </w:rPr>
        <w:t>时间：202</w:t>
      </w:r>
      <w:r>
        <w:rPr>
          <w:rFonts w:hint="eastAsia" w:ascii="新宋体" w:hAnsi="新宋体" w:eastAsia="新宋体" w:cs="新宋体"/>
          <w:sz w:val="24"/>
          <w:szCs w:val="32"/>
          <w:highlight w:val="none"/>
          <w:lang w:val="en-US" w:eastAsia="zh-CN"/>
        </w:rPr>
        <w:t>5</w:t>
      </w:r>
      <w:r>
        <w:rPr>
          <w:rFonts w:hint="eastAsia" w:ascii="新宋体" w:hAnsi="新宋体" w:eastAsia="新宋体" w:cs="新宋体"/>
          <w:sz w:val="24"/>
          <w:szCs w:val="32"/>
          <w:highlight w:val="none"/>
        </w:rPr>
        <w:t>年</w:t>
      </w:r>
      <w:r>
        <w:rPr>
          <w:rFonts w:hint="eastAsia" w:ascii="新宋体" w:hAnsi="新宋体" w:eastAsia="新宋体" w:cs="新宋体"/>
          <w:sz w:val="24"/>
          <w:szCs w:val="32"/>
          <w:highlight w:val="none"/>
          <w:lang w:val="en-US" w:eastAsia="zh-CN"/>
        </w:rPr>
        <w:t>3</w:t>
      </w:r>
      <w:r>
        <w:rPr>
          <w:rFonts w:hint="eastAsia" w:ascii="新宋体" w:hAnsi="新宋体" w:eastAsia="新宋体" w:cs="新宋体"/>
          <w:sz w:val="24"/>
          <w:szCs w:val="32"/>
          <w:highlight w:val="none"/>
        </w:rPr>
        <w:t>月</w:t>
      </w:r>
      <w:r>
        <w:rPr>
          <w:rFonts w:hint="eastAsia" w:ascii="新宋体" w:hAnsi="新宋体" w:eastAsia="新宋体" w:cs="新宋体"/>
          <w:sz w:val="24"/>
          <w:szCs w:val="32"/>
          <w:highlight w:val="none"/>
          <w:lang w:val="en-US" w:eastAsia="zh-CN"/>
        </w:rPr>
        <w:t>4</w:t>
      </w:r>
      <w:r>
        <w:rPr>
          <w:rFonts w:hint="eastAsia" w:ascii="新宋体" w:hAnsi="新宋体" w:eastAsia="新宋体" w:cs="新宋体"/>
          <w:sz w:val="24"/>
          <w:szCs w:val="32"/>
          <w:highlight w:val="none"/>
        </w:rPr>
        <w:t>日至202</w:t>
      </w:r>
      <w:r>
        <w:rPr>
          <w:rFonts w:hint="eastAsia" w:ascii="新宋体" w:hAnsi="新宋体" w:eastAsia="新宋体" w:cs="新宋体"/>
          <w:sz w:val="24"/>
          <w:szCs w:val="32"/>
          <w:highlight w:val="none"/>
          <w:lang w:val="en-US" w:eastAsia="zh-CN"/>
        </w:rPr>
        <w:t>5</w:t>
      </w:r>
      <w:r>
        <w:rPr>
          <w:rFonts w:hint="eastAsia" w:ascii="新宋体" w:hAnsi="新宋体" w:eastAsia="新宋体" w:cs="新宋体"/>
          <w:sz w:val="24"/>
          <w:szCs w:val="32"/>
          <w:highlight w:val="none"/>
        </w:rPr>
        <w:t>年</w:t>
      </w:r>
      <w:r>
        <w:rPr>
          <w:rFonts w:hint="eastAsia" w:ascii="新宋体" w:hAnsi="新宋体" w:eastAsia="新宋体" w:cs="新宋体"/>
          <w:sz w:val="24"/>
          <w:szCs w:val="32"/>
          <w:highlight w:val="none"/>
          <w:lang w:val="en-US" w:eastAsia="zh-CN"/>
        </w:rPr>
        <w:t>3</w:t>
      </w:r>
      <w:r>
        <w:rPr>
          <w:rFonts w:hint="eastAsia" w:ascii="新宋体" w:hAnsi="新宋体" w:eastAsia="新宋体" w:cs="新宋体"/>
          <w:sz w:val="24"/>
          <w:szCs w:val="32"/>
          <w:highlight w:val="none"/>
        </w:rPr>
        <w:t>月</w:t>
      </w:r>
      <w:r>
        <w:rPr>
          <w:rFonts w:hint="eastAsia" w:ascii="新宋体" w:hAnsi="新宋体" w:eastAsia="新宋体" w:cs="新宋体"/>
          <w:sz w:val="24"/>
          <w:szCs w:val="32"/>
          <w:highlight w:val="none"/>
          <w:lang w:val="en-US" w:eastAsia="zh-CN"/>
        </w:rPr>
        <w:t>10</w:t>
      </w:r>
      <w:r>
        <w:rPr>
          <w:rFonts w:hint="eastAsia" w:ascii="新宋体" w:hAnsi="新宋体" w:eastAsia="新宋体" w:cs="新宋体"/>
          <w:sz w:val="24"/>
          <w:szCs w:val="32"/>
          <w:highlight w:val="none"/>
        </w:rPr>
        <w:t>日，每天上午</w:t>
      </w:r>
      <w:r>
        <w:rPr>
          <w:rFonts w:hint="eastAsia" w:ascii="新宋体" w:hAnsi="新宋体" w:eastAsia="新宋体" w:cs="新宋体"/>
          <w:sz w:val="24"/>
          <w:szCs w:val="32"/>
          <w:highlight w:val="none"/>
          <w:lang w:val="en-US" w:eastAsia="zh-CN"/>
        </w:rPr>
        <w:t>00</w:t>
      </w:r>
      <w:r>
        <w:rPr>
          <w:rFonts w:hint="eastAsia" w:ascii="新宋体" w:hAnsi="新宋体" w:eastAsia="新宋体" w:cs="新宋体"/>
          <w:sz w:val="24"/>
          <w:szCs w:val="32"/>
          <w:highlight w:val="none"/>
        </w:rPr>
        <w:t>:</w:t>
      </w:r>
      <w:r>
        <w:rPr>
          <w:rFonts w:hint="eastAsia" w:ascii="新宋体" w:hAnsi="新宋体" w:eastAsia="新宋体" w:cs="新宋体"/>
          <w:sz w:val="24"/>
          <w:szCs w:val="32"/>
          <w:highlight w:val="none"/>
          <w:lang w:val="en-US" w:eastAsia="zh-CN"/>
        </w:rPr>
        <w:t>0</w:t>
      </w:r>
      <w:r>
        <w:rPr>
          <w:rFonts w:hint="eastAsia" w:ascii="新宋体" w:hAnsi="新宋体" w:eastAsia="新宋体" w:cs="新宋体"/>
          <w:sz w:val="24"/>
          <w:szCs w:val="32"/>
          <w:highlight w:val="none"/>
        </w:rPr>
        <w:t>0至1</w:t>
      </w:r>
      <w:r>
        <w:rPr>
          <w:rFonts w:hint="eastAsia" w:ascii="新宋体" w:hAnsi="新宋体" w:eastAsia="新宋体" w:cs="新宋体"/>
          <w:sz w:val="24"/>
          <w:szCs w:val="32"/>
          <w:highlight w:val="none"/>
          <w:lang w:val="en-US" w:eastAsia="zh-CN"/>
        </w:rPr>
        <w:t>2</w:t>
      </w:r>
      <w:r>
        <w:rPr>
          <w:rFonts w:hint="eastAsia" w:ascii="新宋体" w:hAnsi="新宋体" w:eastAsia="新宋体" w:cs="新宋体"/>
          <w:sz w:val="24"/>
          <w:szCs w:val="32"/>
          <w:highlight w:val="none"/>
        </w:rPr>
        <w:t>:</w:t>
      </w:r>
      <w:r>
        <w:rPr>
          <w:rFonts w:hint="eastAsia" w:ascii="新宋体" w:hAnsi="新宋体" w:eastAsia="新宋体" w:cs="新宋体"/>
          <w:sz w:val="24"/>
          <w:szCs w:val="32"/>
          <w:highlight w:val="none"/>
          <w:lang w:val="en-US" w:eastAsia="zh-CN"/>
        </w:rPr>
        <w:t>0</w:t>
      </w:r>
      <w:r>
        <w:rPr>
          <w:rFonts w:hint="eastAsia" w:ascii="新宋体" w:hAnsi="新宋体" w:eastAsia="新宋体" w:cs="新宋体"/>
          <w:sz w:val="24"/>
          <w:szCs w:val="32"/>
          <w:highlight w:val="none"/>
        </w:rPr>
        <w:t>0，下午1</w:t>
      </w:r>
      <w:r>
        <w:rPr>
          <w:rFonts w:hint="eastAsia" w:ascii="新宋体" w:hAnsi="新宋体" w:eastAsia="新宋体" w:cs="新宋体"/>
          <w:sz w:val="24"/>
          <w:szCs w:val="32"/>
          <w:highlight w:val="none"/>
          <w:lang w:val="en-US" w:eastAsia="zh-CN"/>
        </w:rPr>
        <w:t>2</w:t>
      </w:r>
      <w:r>
        <w:rPr>
          <w:rFonts w:hint="eastAsia" w:ascii="新宋体" w:hAnsi="新宋体" w:eastAsia="新宋体" w:cs="新宋体"/>
          <w:sz w:val="24"/>
          <w:szCs w:val="32"/>
          <w:highlight w:val="none"/>
        </w:rPr>
        <w:t>:</w:t>
      </w:r>
      <w:r>
        <w:rPr>
          <w:rFonts w:hint="eastAsia" w:ascii="新宋体" w:hAnsi="新宋体" w:eastAsia="新宋体" w:cs="新宋体"/>
          <w:sz w:val="24"/>
          <w:szCs w:val="32"/>
          <w:highlight w:val="none"/>
          <w:lang w:val="en-US" w:eastAsia="zh-CN"/>
        </w:rPr>
        <w:t>00</w:t>
      </w:r>
      <w:r>
        <w:rPr>
          <w:rFonts w:hint="eastAsia" w:ascii="新宋体" w:hAnsi="新宋体" w:eastAsia="新宋体" w:cs="新宋体"/>
          <w:color w:val="auto"/>
          <w:sz w:val="24"/>
          <w:szCs w:val="32"/>
        </w:rPr>
        <w:t>至</w:t>
      </w:r>
      <w:r>
        <w:rPr>
          <w:rFonts w:hint="eastAsia" w:ascii="新宋体" w:hAnsi="新宋体" w:eastAsia="新宋体" w:cs="新宋体"/>
          <w:color w:val="auto"/>
          <w:sz w:val="24"/>
          <w:szCs w:val="32"/>
          <w:lang w:val="en-US" w:eastAsia="zh-CN"/>
        </w:rPr>
        <w:t>23</w:t>
      </w:r>
      <w:r>
        <w:rPr>
          <w:rFonts w:hint="eastAsia" w:ascii="新宋体" w:hAnsi="新宋体" w:eastAsia="新宋体" w:cs="新宋体"/>
          <w:color w:val="auto"/>
          <w:sz w:val="24"/>
          <w:szCs w:val="32"/>
        </w:rPr>
        <w:t>:</w:t>
      </w:r>
      <w:r>
        <w:rPr>
          <w:rFonts w:hint="eastAsia" w:ascii="新宋体" w:hAnsi="新宋体" w:eastAsia="新宋体" w:cs="新宋体"/>
          <w:color w:val="auto"/>
          <w:sz w:val="24"/>
          <w:szCs w:val="32"/>
          <w:lang w:val="en-US" w:eastAsia="zh-CN"/>
        </w:rPr>
        <w:t>59</w:t>
      </w:r>
      <w:r>
        <w:rPr>
          <w:rFonts w:hint="eastAsia" w:ascii="新宋体" w:hAnsi="新宋体" w:eastAsia="新宋体" w:cs="新宋体"/>
          <w:color w:val="auto"/>
          <w:sz w:val="24"/>
          <w:szCs w:val="32"/>
        </w:rPr>
        <w:t>（北京时间，法定节假日除外）</w:t>
      </w:r>
    </w:p>
    <w:p w14:paraId="0C76EBD3">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地点：政采云平台线上获取 </w:t>
      </w:r>
    </w:p>
    <w:p w14:paraId="731A251E">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方式：供应商登录政采云平台https://www.zcygov.cn/在线申请获取采购文件（进入“项目采购”应用，在获取采购文件菜单中选择项目，申请获取采购文件） </w:t>
      </w:r>
    </w:p>
    <w:p w14:paraId="5B70D642">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售价（元）：0 </w:t>
      </w:r>
    </w:p>
    <w:p w14:paraId="06034201">
      <w:pPr>
        <w:bidi w:val="0"/>
        <w:spacing w:line="360" w:lineRule="auto"/>
        <w:rPr>
          <w:rFonts w:hint="eastAsia" w:ascii="新宋体" w:hAnsi="新宋体" w:eastAsia="新宋体" w:cs="新宋体"/>
          <w:b/>
          <w:bCs/>
          <w:color w:val="auto"/>
          <w:sz w:val="24"/>
          <w:szCs w:val="32"/>
        </w:rPr>
      </w:pPr>
      <w:r>
        <w:rPr>
          <w:rFonts w:hint="eastAsia" w:ascii="新宋体" w:hAnsi="新宋体" w:eastAsia="新宋体" w:cs="新宋体"/>
          <w:b/>
          <w:bCs/>
          <w:color w:val="auto"/>
          <w:sz w:val="24"/>
          <w:szCs w:val="32"/>
        </w:rPr>
        <w:t>四、响应文件提交 </w:t>
      </w:r>
    </w:p>
    <w:p w14:paraId="56580142">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截止时间：202</w:t>
      </w:r>
      <w:r>
        <w:rPr>
          <w:rFonts w:hint="eastAsia" w:ascii="新宋体" w:hAnsi="新宋体" w:eastAsia="新宋体" w:cs="新宋体"/>
          <w:color w:val="auto"/>
          <w:sz w:val="24"/>
          <w:szCs w:val="32"/>
          <w:lang w:val="en-US" w:eastAsia="zh-CN"/>
        </w:rPr>
        <w:t>5</w:t>
      </w:r>
      <w:r>
        <w:rPr>
          <w:rFonts w:hint="eastAsia" w:ascii="新宋体" w:hAnsi="新宋体" w:eastAsia="新宋体" w:cs="新宋体"/>
          <w:color w:val="auto"/>
          <w:sz w:val="24"/>
          <w:szCs w:val="32"/>
        </w:rPr>
        <w:t>年</w:t>
      </w:r>
      <w:r>
        <w:rPr>
          <w:rFonts w:hint="eastAsia" w:ascii="新宋体" w:hAnsi="新宋体" w:eastAsia="新宋体" w:cs="新宋体"/>
          <w:color w:val="auto"/>
          <w:sz w:val="24"/>
          <w:szCs w:val="32"/>
          <w:lang w:val="en-US" w:eastAsia="zh-CN"/>
        </w:rPr>
        <w:t>3</w:t>
      </w:r>
      <w:r>
        <w:rPr>
          <w:rFonts w:hint="eastAsia" w:ascii="新宋体" w:hAnsi="新宋体" w:eastAsia="新宋体" w:cs="新宋体"/>
          <w:color w:val="auto"/>
          <w:sz w:val="24"/>
          <w:szCs w:val="32"/>
        </w:rPr>
        <w:t>月</w:t>
      </w:r>
      <w:r>
        <w:rPr>
          <w:rFonts w:hint="eastAsia" w:ascii="新宋体" w:hAnsi="新宋体" w:eastAsia="新宋体" w:cs="新宋体"/>
          <w:color w:val="auto"/>
          <w:sz w:val="24"/>
          <w:szCs w:val="32"/>
          <w:lang w:val="en-US" w:eastAsia="zh-CN"/>
        </w:rPr>
        <w:t>24</w:t>
      </w:r>
      <w:r>
        <w:rPr>
          <w:rFonts w:hint="eastAsia" w:ascii="新宋体" w:hAnsi="新宋体" w:eastAsia="新宋体" w:cs="新宋体"/>
          <w:color w:val="auto"/>
          <w:sz w:val="24"/>
          <w:szCs w:val="32"/>
        </w:rPr>
        <w:t>日 1</w:t>
      </w:r>
      <w:r>
        <w:rPr>
          <w:rFonts w:hint="eastAsia" w:ascii="新宋体" w:hAnsi="新宋体" w:eastAsia="新宋体" w:cs="新宋体"/>
          <w:color w:val="auto"/>
          <w:sz w:val="24"/>
          <w:szCs w:val="32"/>
          <w:lang w:val="en-US" w:eastAsia="zh-CN"/>
        </w:rPr>
        <w:t>1</w:t>
      </w:r>
      <w:r>
        <w:rPr>
          <w:rFonts w:hint="eastAsia" w:ascii="新宋体" w:hAnsi="新宋体" w:eastAsia="新宋体" w:cs="新宋体"/>
          <w:color w:val="auto"/>
          <w:sz w:val="24"/>
          <w:szCs w:val="32"/>
        </w:rPr>
        <w:t>:</w:t>
      </w:r>
      <w:r>
        <w:rPr>
          <w:rFonts w:hint="eastAsia" w:ascii="新宋体" w:hAnsi="新宋体" w:eastAsia="新宋体" w:cs="新宋体"/>
          <w:color w:val="auto"/>
          <w:sz w:val="24"/>
          <w:szCs w:val="32"/>
          <w:lang w:val="en-US" w:eastAsia="zh-CN"/>
        </w:rPr>
        <w:t>0</w:t>
      </w:r>
      <w:r>
        <w:rPr>
          <w:rFonts w:hint="eastAsia" w:ascii="新宋体" w:hAnsi="新宋体" w:eastAsia="新宋体" w:cs="新宋体"/>
          <w:color w:val="auto"/>
          <w:sz w:val="24"/>
          <w:szCs w:val="32"/>
        </w:rPr>
        <w:t>0（北京时间）</w:t>
      </w:r>
    </w:p>
    <w:p w14:paraId="6EDAFBBE">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地点：请登录政采云投标客户端投标</w:t>
      </w:r>
    </w:p>
    <w:p w14:paraId="52E1B420">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b/>
          <w:bCs/>
          <w:color w:val="auto"/>
          <w:sz w:val="24"/>
          <w:szCs w:val="32"/>
        </w:rPr>
        <w:t>五、响应文件开启</w:t>
      </w:r>
      <w:r>
        <w:rPr>
          <w:rFonts w:hint="eastAsia" w:ascii="新宋体" w:hAnsi="新宋体" w:eastAsia="新宋体" w:cs="新宋体"/>
          <w:color w:val="auto"/>
          <w:sz w:val="24"/>
          <w:szCs w:val="32"/>
        </w:rPr>
        <w:t> </w:t>
      </w:r>
    </w:p>
    <w:p w14:paraId="5DD4E6B2">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开启时间：202</w:t>
      </w:r>
      <w:r>
        <w:rPr>
          <w:rFonts w:hint="eastAsia" w:ascii="新宋体" w:hAnsi="新宋体" w:eastAsia="新宋体" w:cs="新宋体"/>
          <w:color w:val="auto"/>
          <w:sz w:val="24"/>
          <w:szCs w:val="32"/>
          <w:lang w:val="en-US" w:eastAsia="zh-CN"/>
        </w:rPr>
        <w:t>5</w:t>
      </w:r>
      <w:r>
        <w:rPr>
          <w:rFonts w:hint="eastAsia" w:ascii="新宋体" w:hAnsi="新宋体" w:eastAsia="新宋体" w:cs="新宋体"/>
          <w:color w:val="auto"/>
          <w:sz w:val="24"/>
          <w:szCs w:val="32"/>
        </w:rPr>
        <w:t>年</w:t>
      </w:r>
      <w:r>
        <w:rPr>
          <w:rFonts w:hint="eastAsia" w:ascii="新宋体" w:hAnsi="新宋体" w:eastAsia="新宋体" w:cs="新宋体"/>
          <w:color w:val="auto"/>
          <w:sz w:val="24"/>
          <w:szCs w:val="32"/>
          <w:lang w:val="en-US" w:eastAsia="zh-CN"/>
        </w:rPr>
        <w:t>3</w:t>
      </w:r>
      <w:r>
        <w:rPr>
          <w:rFonts w:hint="eastAsia" w:ascii="新宋体" w:hAnsi="新宋体" w:eastAsia="新宋体" w:cs="新宋体"/>
          <w:color w:val="auto"/>
          <w:sz w:val="24"/>
          <w:szCs w:val="32"/>
        </w:rPr>
        <w:t>月</w:t>
      </w:r>
      <w:r>
        <w:rPr>
          <w:rFonts w:hint="eastAsia" w:ascii="新宋体" w:hAnsi="新宋体" w:eastAsia="新宋体" w:cs="新宋体"/>
          <w:color w:val="auto"/>
          <w:sz w:val="24"/>
          <w:szCs w:val="32"/>
          <w:lang w:val="en-US" w:eastAsia="zh-CN"/>
        </w:rPr>
        <w:t>24</w:t>
      </w:r>
      <w:r>
        <w:rPr>
          <w:rFonts w:hint="eastAsia" w:ascii="新宋体" w:hAnsi="新宋体" w:eastAsia="新宋体" w:cs="新宋体"/>
          <w:color w:val="auto"/>
          <w:sz w:val="24"/>
          <w:szCs w:val="32"/>
        </w:rPr>
        <w:t>日 1</w:t>
      </w:r>
      <w:r>
        <w:rPr>
          <w:rFonts w:hint="eastAsia" w:ascii="新宋体" w:hAnsi="新宋体" w:eastAsia="新宋体" w:cs="新宋体"/>
          <w:color w:val="auto"/>
          <w:sz w:val="24"/>
          <w:szCs w:val="32"/>
          <w:lang w:val="en-US" w:eastAsia="zh-CN"/>
        </w:rPr>
        <w:t>1</w:t>
      </w:r>
      <w:r>
        <w:rPr>
          <w:rFonts w:hint="eastAsia" w:ascii="新宋体" w:hAnsi="新宋体" w:eastAsia="新宋体" w:cs="新宋体"/>
          <w:color w:val="auto"/>
          <w:sz w:val="24"/>
          <w:szCs w:val="32"/>
        </w:rPr>
        <w:t>:</w:t>
      </w:r>
      <w:r>
        <w:rPr>
          <w:rFonts w:hint="eastAsia" w:ascii="新宋体" w:hAnsi="新宋体" w:eastAsia="新宋体" w:cs="新宋体"/>
          <w:color w:val="auto"/>
          <w:sz w:val="24"/>
          <w:szCs w:val="32"/>
          <w:lang w:val="en-US" w:eastAsia="zh-CN"/>
        </w:rPr>
        <w:t>0</w:t>
      </w:r>
      <w:r>
        <w:rPr>
          <w:rFonts w:hint="eastAsia" w:ascii="新宋体" w:hAnsi="新宋体" w:eastAsia="新宋体" w:cs="新宋体"/>
          <w:color w:val="auto"/>
          <w:sz w:val="24"/>
          <w:szCs w:val="32"/>
        </w:rPr>
        <w:t>0（北京时间）</w:t>
      </w:r>
    </w:p>
    <w:p w14:paraId="7B80D36B">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地点：政采云电子开标大厅</w:t>
      </w:r>
    </w:p>
    <w:p w14:paraId="16806A27">
      <w:pPr>
        <w:bidi w:val="0"/>
        <w:spacing w:line="360" w:lineRule="auto"/>
        <w:rPr>
          <w:rFonts w:hint="eastAsia" w:ascii="新宋体" w:hAnsi="新宋体" w:eastAsia="新宋体" w:cs="新宋体"/>
          <w:b/>
          <w:bCs/>
          <w:color w:val="auto"/>
          <w:sz w:val="24"/>
          <w:szCs w:val="32"/>
        </w:rPr>
      </w:pPr>
      <w:r>
        <w:rPr>
          <w:rFonts w:hint="eastAsia" w:ascii="新宋体" w:hAnsi="新宋体" w:eastAsia="新宋体" w:cs="新宋体"/>
          <w:b/>
          <w:bCs/>
          <w:color w:val="auto"/>
          <w:sz w:val="24"/>
          <w:szCs w:val="32"/>
        </w:rPr>
        <w:t>六、公告期限</w:t>
      </w:r>
    </w:p>
    <w:p w14:paraId="0161426D">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自本公告发布之日起</w:t>
      </w:r>
      <w:r>
        <w:rPr>
          <w:rFonts w:hint="eastAsia" w:ascii="新宋体" w:hAnsi="新宋体" w:eastAsia="新宋体" w:cs="新宋体"/>
          <w:color w:val="auto"/>
          <w:sz w:val="24"/>
          <w:szCs w:val="32"/>
          <w:lang w:val="en-US" w:eastAsia="zh-CN"/>
        </w:rPr>
        <w:t>5</w:t>
      </w:r>
      <w:r>
        <w:rPr>
          <w:rFonts w:hint="eastAsia" w:ascii="新宋体" w:hAnsi="新宋体" w:eastAsia="新宋体" w:cs="新宋体"/>
          <w:color w:val="auto"/>
          <w:sz w:val="24"/>
          <w:szCs w:val="32"/>
        </w:rPr>
        <w:t>个工作日。</w:t>
      </w:r>
    </w:p>
    <w:p w14:paraId="67DE4464">
      <w:pPr>
        <w:bidi w:val="0"/>
        <w:spacing w:line="360" w:lineRule="auto"/>
        <w:rPr>
          <w:rFonts w:hint="eastAsia" w:ascii="新宋体" w:hAnsi="新宋体" w:eastAsia="新宋体" w:cs="新宋体"/>
          <w:b/>
          <w:bCs/>
          <w:color w:val="auto"/>
          <w:sz w:val="24"/>
          <w:szCs w:val="32"/>
        </w:rPr>
      </w:pPr>
      <w:r>
        <w:rPr>
          <w:rFonts w:hint="eastAsia" w:ascii="新宋体" w:hAnsi="新宋体" w:eastAsia="新宋体" w:cs="新宋体"/>
          <w:b/>
          <w:bCs/>
          <w:color w:val="auto"/>
          <w:sz w:val="24"/>
          <w:szCs w:val="32"/>
        </w:rPr>
        <w:t>七、其他补充事宜 </w:t>
      </w:r>
    </w:p>
    <w:p w14:paraId="26DA67B6">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1、本公告在新疆政府采购网发布。</w:t>
      </w:r>
    </w:p>
    <w:p w14:paraId="3A9D5DF7">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2、本项目实行电子招投标，供应商须登录政采云平台申请获取</w:t>
      </w:r>
      <w:r>
        <w:rPr>
          <w:rFonts w:hint="eastAsia" w:ascii="新宋体" w:hAnsi="新宋体" w:eastAsia="新宋体" w:cs="新宋体"/>
          <w:color w:val="auto"/>
          <w:sz w:val="24"/>
          <w:szCs w:val="32"/>
          <w:lang w:eastAsia="zh-CN"/>
        </w:rPr>
        <w:t>采购文件</w:t>
      </w:r>
      <w:r>
        <w:rPr>
          <w:rFonts w:hint="eastAsia" w:ascii="新宋体" w:hAnsi="新宋体" w:eastAsia="新宋体" w:cs="新宋体"/>
          <w:color w:val="auto"/>
          <w:sz w:val="24"/>
          <w:szCs w:val="32"/>
        </w:rPr>
        <w:t>，并通过政采云电子投标客户端制作响应文件，同时自行承担与投标有关的一切费用。</w:t>
      </w:r>
    </w:p>
    <w:p w14:paraId="3F6A891A">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2B498543">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4、有意向参与新疆区域电子开评标的供应商，可访问新疆数字证书认证中心官方网站（https://www.xjca.com.cn/）或下载“新疆政务通”APP自行进行申领。如需咨询，请联系新疆CA服务热线0991-2819290。</w:t>
      </w:r>
    </w:p>
    <w:p w14:paraId="0D3ECEE8">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1845519B">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48F399D">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7、供应商在开标前须提前配置好电脑浏览器（建议使用360浏览器或谷歌浏览器），开标时请使用制作加密电子响应文件的CA锁进行解密及报价确认。本项目响应文件解密时间定为</w:t>
      </w:r>
      <w:r>
        <w:rPr>
          <w:rFonts w:hint="eastAsia" w:ascii="新宋体" w:hAnsi="新宋体" w:eastAsia="新宋体" w:cs="新宋体"/>
          <w:color w:val="auto"/>
          <w:sz w:val="24"/>
          <w:szCs w:val="32"/>
          <w:lang w:val="en-US" w:eastAsia="zh-CN"/>
        </w:rPr>
        <w:t>3</w:t>
      </w:r>
      <w:r>
        <w:rPr>
          <w:rFonts w:hint="eastAsia" w:ascii="新宋体" w:hAnsi="新宋体" w:eastAsia="新宋体" w:cs="新宋体"/>
          <w:color w:val="auto"/>
          <w:sz w:val="24"/>
          <w:szCs w:val="32"/>
        </w:rPr>
        <w:t>0分钟，如因自身原因导致无法正常解密，后果由供应商自行承担。</w:t>
      </w:r>
    </w:p>
    <w:p w14:paraId="27D81602">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8、申请获取采购文件时必须预留供应商联系人真实联系方式。  </w:t>
      </w:r>
    </w:p>
    <w:p w14:paraId="2419E31E">
      <w:pPr>
        <w:bidi w:val="0"/>
        <w:spacing w:line="360" w:lineRule="auto"/>
        <w:rPr>
          <w:rFonts w:hint="eastAsia" w:ascii="新宋体" w:hAnsi="新宋体" w:eastAsia="新宋体" w:cs="新宋体"/>
          <w:b/>
          <w:bCs/>
          <w:sz w:val="22"/>
          <w:szCs w:val="28"/>
        </w:rPr>
      </w:pPr>
      <w:r>
        <w:rPr>
          <w:rFonts w:hint="eastAsia" w:ascii="新宋体" w:hAnsi="新宋体" w:eastAsia="新宋体" w:cs="新宋体"/>
          <w:b/>
          <w:bCs/>
          <w:color w:val="auto"/>
          <w:sz w:val="22"/>
          <w:szCs w:val="28"/>
        </w:rPr>
        <w:t>特别提示：</w:t>
      </w:r>
      <w:r>
        <w:rPr>
          <w:rFonts w:hint="eastAsia" w:ascii="新宋体" w:hAnsi="新宋体" w:eastAsia="新宋体" w:cs="新宋体"/>
          <w:b/>
          <w:bCs/>
          <w:color w:val="auto"/>
          <w:sz w:val="22"/>
          <w:szCs w:val="28"/>
        </w:rPr>
        <w:br w:type="textWrapping"/>
      </w:r>
      <w:r>
        <w:rPr>
          <w:rFonts w:hint="eastAsia" w:ascii="新宋体" w:hAnsi="新宋体" w:eastAsia="新宋体" w:cs="新宋体"/>
          <w:b/>
          <w:bCs/>
          <w:color w:val="auto"/>
          <w:sz w:val="22"/>
          <w:szCs w:val="28"/>
        </w:rPr>
        <w:t>1、超过200万元的货物和服务采购项目、超过400万元的工程采购项目中适宜由中小企业提供</w:t>
      </w:r>
      <w:r>
        <w:rPr>
          <w:rFonts w:hint="eastAsia" w:ascii="新宋体" w:hAnsi="新宋体" w:eastAsia="新宋体" w:cs="新宋体"/>
          <w:b/>
          <w:bCs/>
          <w:sz w:val="22"/>
          <w:szCs w:val="28"/>
        </w:rPr>
        <w:t>的，预留该部分采购项目预算总额的30%以上专门面向中小企业采购，其中预留给小微企业的比例不低于60%。</w:t>
      </w:r>
      <w:r>
        <w:rPr>
          <w:rFonts w:hint="eastAsia" w:ascii="新宋体" w:hAnsi="新宋体" w:eastAsia="新宋体" w:cs="新宋体"/>
          <w:b/>
          <w:bCs/>
          <w:sz w:val="22"/>
          <w:szCs w:val="28"/>
        </w:rPr>
        <w:br w:type="textWrapping"/>
      </w:r>
      <w:r>
        <w:rPr>
          <w:rFonts w:hint="eastAsia" w:ascii="新宋体" w:hAnsi="新宋体" w:eastAsia="新宋体" w:cs="新宋体"/>
          <w:b/>
          <w:bCs/>
          <w:sz w:val="22"/>
          <w:szCs w:val="28"/>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新宋体" w:hAnsi="新宋体" w:eastAsia="新宋体" w:cs="新宋体"/>
          <w:b/>
          <w:bCs/>
          <w:sz w:val="22"/>
          <w:szCs w:val="28"/>
        </w:rPr>
        <w:br w:type="textWrapping"/>
      </w:r>
      <w:r>
        <w:rPr>
          <w:rFonts w:hint="eastAsia" w:ascii="新宋体" w:hAnsi="新宋体" w:eastAsia="新宋体" w:cs="新宋体"/>
          <w:b/>
          <w:bCs/>
          <w:sz w:val="22"/>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A70162">
      <w:pPr>
        <w:bidi w:val="0"/>
        <w:spacing w:line="360" w:lineRule="auto"/>
        <w:rPr>
          <w:rFonts w:hint="eastAsia" w:ascii="新宋体" w:hAnsi="新宋体" w:eastAsia="新宋体" w:cs="新宋体"/>
          <w:b/>
          <w:bCs/>
          <w:sz w:val="24"/>
          <w:szCs w:val="32"/>
        </w:rPr>
      </w:pPr>
      <w:r>
        <w:rPr>
          <w:rFonts w:hint="eastAsia" w:ascii="新宋体" w:hAnsi="新宋体" w:eastAsia="新宋体" w:cs="新宋体"/>
          <w:b/>
          <w:bCs/>
          <w:sz w:val="24"/>
          <w:szCs w:val="32"/>
        </w:rPr>
        <w:t>八、凡对本次招标提出询问，请按以下方式联系</w:t>
      </w:r>
    </w:p>
    <w:p w14:paraId="57E3267B">
      <w:pPr>
        <w:bidi w:val="0"/>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1.采购人信息</w:t>
      </w:r>
    </w:p>
    <w:p w14:paraId="73C30B53">
      <w:pPr>
        <w:bidi w:val="0"/>
        <w:spacing w:line="360" w:lineRule="auto"/>
        <w:rPr>
          <w:rFonts w:hint="default" w:ascii="新宋体" w:hAnsi="新宋体" w:eastAsia="新宋体" w:cs="新宋体"/>
          <w:sz w:val="24"/>
          <w:szCs w:val="32"/>
          <w:lang w:val="en-US"/>
        </w:rPr>
      </w:pPr>
      <w:r>
        <w:rPr>
          <w:rFonts w:hint="eastAsia" w:ascii="新宋体" w:hAnsi="新宋体" w:eastAsia="新宋体" w:cs="新宋体"/>
          <w:sz w:val="24"/>
          <w:szCs w:val="32"/>
        </w:rPr>
        <w:t>名 称：</w:t>
      </w:r>
      <w:r>
        <w:rPr>
          <w:rFonts w:hint="eastAsia" w:ascii="新宋体" w:hAnsi="新宋体" w:eastAsia="新宋体" w:cs="新宋体"/>
          <w:sz w:val="24"/>
          <w:szCs w:val="32"/>
          <w:lang w:val="en-US" w:eastAsia="zh-CN"/>
        </w:rPr>
        <w:t>伊宁县伊东工业园管理委员会</w:t>
      </w:r>
    </w:p>
    <w:p w14:paraId="0B589254">
      <w:pPr>
        <w:bidi w:val="0"/>
        <w:spacing w:line="360" w:lineRule="auto"/>
        <w:rPr>
          <w:rFonts w:hint="eastAsia" w:ascii="新宋体" w:hAnsi="新宋体" w:eastAsia="新宋体" w:cs="新宋体"/>
          <w:sz w:val="24"/>
          <w:szCs w:val="32"/>
          <w:lang w:val="en-US" w:eastAsia="zh-CN"/>
        </w:rPr>
      </w:pPr>
      <w:r>
        <w:rPr>
          <w:rFonts w:hint="eastAsia" w:ascii="新宋体" w:hAnsi="新宋体" w:eastAsia="新宋体" w:cs="新宋体"/>
          <w:sz w:val="24"/>
          <w:szCs w:val="32"/>
        </w:rPr>
        <w:t>地 址：</w:t>
      </w:r>
      <w:r>
        <w:rPr>
          <w:rFonts w:hint="eastAsia" w:ascii="新宋体" w:hAnsi="新宋体" w:eastAsia="新宋体" w:cs="新宋体"/>
          <w:sz w:val="24"/>
          <w:szCs w:val="32"/>
          <w:lang w:val="en-US" w:eastAsia="zh-CN"/>
        </w:rPr>
        <w:t>伊宁县</w:t>
      </w:r>
    </w:p>
    <w:p w14:paraId="54662E0D">
      <w:pPr>
        <w:bidi w:val="0"/>
        <w:spacing w:line="360" w:lineRule="auto"/>
        <w:rPr>
          <w:rFonts w:hint="eastAsia" w:hAnsi="宋体" w:eastAsia="宋体" w:cs="宋体"/>
          <w:color w:val="auto"/>
          <w:sz w:val="24"/>
          <w:szCs w:val="24"/>
          <w:highlight w:val="none"/>
          <w:lang w:val="en-US" w:eastAsia="zh-CN"/>
        </w:rPr>
      </w:pPr>
      <w:r>
        <w:rPr>
          <w:rFonts w:hint="eastAsia" w:ascii="新宋体" w:hAnsi="新宋体" w:eastAsia="新宋体" w:cs="新宋体"/>
          <w:sz w:val="24"/>
          <w:szCs w:val="32"/>
        </w:rPr>
        <w:t>联系方式：</w:t>
      </w:r>
      <w:r>
        <w:rPr>
          <w:rFonts w:hint="eastAsia" w:hAnsi="宋体" w:eastAsia="宋体" w:cs="宋体"/>
          <w:color w:val="auto"/>
          <w:sz w:val="24"/>
          <w:szCs w:val="24"/>
          <w:highlight w:val="none"/>
          <w:lang w:val="en-US" w:eastAsia="zh-CN"/>
        </w:rPr>
        <w:t>19109999590</w:t>
      </w:r>
    </w:p>
    <w:p w14:paraId="2566F669">
      <w:pPr>
        <w:bidi w:val="0"/>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2.采购代理机构信息</w:t>
      </w:r>
    </w:p>
    <w:p w14:paraId="07B6AF49">
      <w:pPr>
        <w:bidi w:val="0"/>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名 称：新疆启中项目管理有限公司</w:t>
      </w:r>
    </w:p>
    <w:p w14:paraId="268DD2AE">
      <w:pPr>
        <w:bidi w:val="0"/>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地 址：伊宁市经济合作区北京路2568号金茂新天地</w:t>
      </w:r>
      <w:r>
        <w:rPr>
          <w:rFonts w:hint="eastAsia" w:ascii="新宋体" w:hAnsi="新宋体" w:eastAsia="新宋体" w:cs="新宋体"/>
          <w:sz w:val="24"/>
          <w:szCs w:val="32"/>
          <w:lang w:val="en-US" w:eastAsia="zh-CN"/>
        </w:rPr>
        <w:t>A座</w:t>
      </w:r>
      <w:r>
        <w:rPr>
          <w:rFonts w:hint="eastAsia" w:ascii="新宋体" w:hAnsi="新宋体" w:eastAsia="新宋体" w:cs="新宋体"/>
          <w:sz w:val="24"/>
          <w:szCs w:val="32"/>
        </w:rPr>
        <w:t>5层514号</w:t>
      </w:r>
    </w:p>
    <w:p w14:paraId="12D8CD6E">
      <w:pPr>
        <w:bidi w:val="0"/>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3.项目联系方式</w:t>
      </w:r>
    </w:p>
    <w:p w14:paraId="7604DB13">
      <w:pPr>
        <w:bidi w:val="0"/>
        <w:spacing w:line="360" w:lineRule="auto"/>
        <w:rPr>
          <w:rFonts w:hint="eastAsia" w:ascii="新宋体" w:hAnsi="新宋体" w:eastAsia="新宋体" w:cs="新宋体"/>
          <w:sz w:val="24"/>
          <w:szCs w:val="32"/>
          <w:lang w:val="en-US" w:eastAsia="zh-CN"/>
        </w:rPr>
      </w:pPr>
      <w:r>
        <w:rPr>
          <w:rFonts w:hint="eastAsia" w:ascii="新宋体" w:hAnsi="新宋体" w:eastAsia="新宋体" w:cs="新宋体"/>
          <w:sz w:val="24"/>
          <w:szCs w:val="32"/>
        </w:rPr>
        <w:t>项目联系人：</w:t>
      </w:r>
      <w:r>
        <w:rPr>
          <w:rFonts w:hint="eastAsia" w:ascii="新宋体" w:hAnsi="新宋体" w:eastAsia="新宋体" w:cs="新宋体"/>
          <w:sz w:val="24"/>
          <w:szCs w:val="32"/>
          <w:lang w:val="en-US" w:eastAsia="zh-CN"/>
        </w:rPr>
        <w:t xml:space="preserve">范工  </w:t>
      </w:r>
    </w:p>
    <w:p w14:paraId="605777E0">
      <w:pPr>
        <w:bidi w:val="0"/>
        <w:spacing w:line="360" w:lineRule="auto"/>
        <w:rPr>
          <w:rFonts w:hint="default" w:ascii="新宋体" w:hAnsi="新宋体" w:eastAsia="新宋体" w:cs="新宋体"/>
          <w:sz w:val="24"/>
          <w:szCs w:val="32"/>
          <w:lang w:val="en-US" w:eastAsia="zh-CN"/>
        </w:rPr>
      </w:pPr>
      <w:r>
        <w:rPr>
          <w:rFonts w:hint="eastAsia" w:ascii="新宋体" w:hAnsi="新宋体" w:eastAsia="新宋体" w:cs="新宋体"/>
          <w:sz w:val="24"/>
          <w:szCs w:val="32"/>
        </w:rPr>
        <w:t>电 话：</w:t>
      </w:r>
      <w:r>
        <w:rPr>
          <w:rFonts w:hint="eastAsia" w:ascii="新宋体" w:hAnsi="新宋体" w:eastAsia="新宋体" w:cs="新宋体"/>
          <w:sz w:val="24"/>
          <w:szCs w:val="32"/>
          <w:lang w:val="en-US" w:eastAsia="zh-CN"/>
        </w:rPr>
        <w:t>18196969533</w:t>
      </w:r>
    </w:p>
    <w:p w14:paraId="0B0408C8"/>
    <w:p w14:paraId="657328B6">
      <w:pPr>
        <w:pStyle w:val="10"/>
        <w:rPr>
          <w:rFonts w:hint="default" w:ascii="宋体" w:hAnsi="宋体" w:eastAsia="宋体" w:cs="宋体"/>
          <w:i w:val="0"/>
          <w:iCs w:val="0"/>
          <w:sz w:val="24"/>
          <w:szCs w:val="24"/>
          <w:highlight w:val="none"/>
          <w:u w:val="none"/>
          <w:lang w:val="en-US" w:eastAsia="zh-CN"/>
        </w:rPr>
      </w:pPr>
    </w:p>
    <w:p w14:paraId="1BC6A679">
      <w:pPr>
        <w:keepNext w:val="0"/>
        <w:keepLines w:val="0"/>
        <w:widowControl/>
        <w:suppressLineNumbers w:val="0"/>
        <w:jc w:val="left"/>
      </w:pPr>
    </w:p>
    <w:p w14:paraId="604AFC76">
      <w:pPr>
        <w:rPr>
          <w:rFonts w:hint="eastAsia"/>
        </w:rPr>
      </w:pPr>
    </w:p>
    <w:p w14:paraId="17BEC91E">
      <w:pPr>
        <w:pStyle w:val="29"/>
        <w:rPr>
          <w:rFonts w:hint="eastAsia"/>
        </w:rPr>
      </w:pPr>
    </w:p>
    <w:p w14:paraId="659F8372">
      <w:pPr>
        <w:jc w:val="center"/>
        <w:outlineLvl w:val="0"/>
        <w:rPr>
          <w:rStyle w:val="44"/>
          <w:rFonts w:hint="eastAsia" w:ascii="宋体" w:hAnsi="宋体" w:eastAsia="宋体" w:cs="宋体"/>
          <w:sz w:val="36"/>
          <w:szCs w:val="36"/>
          <w:highlight w:val="none"/>
          <w:lang w:val="en-US" w:eastAsia="zh-CN"/>
        </w:rPr>
      </w:pPr>
    </w:p>
    <w:p w14:paraId="321E00F4">
      <w:pPr>
        <w:pStyle w:val="29"/>
        <w:rPr>
          <w:rStyle w:val="44"/>
          <w:rFonts w:hint="eastAsia" w:ascii="宋体" w:hAnsi="宋体" w:eastAsia="宋体" w:cs="宋体"/>
          <w:sz w:val="36"/>
          <w:szCs w:val="36"/>
          <w:highlight w:val="none"/>
          <w:lang w:val="en-US" w:eastAsia="zh-CN"/>
        </w:rPr>
      </w:pPr>
    </w:p>
    <w:p w14:paraId="04D00A9F">
      <w:pPr>
        <w:pStyle w:val="29"/>
        <w:rPr>
          <w:rStyle w:val="44"/>
          <w:rFonts w:hint="eastAsia" w:ascii="宋体" w:hAnsi="宋体" w:eastAsia="宋体" w:cs="宋体"/>
          <w:sz w:val="36"/>
          <w:szCs w:val="36"/>
          <w:highlight w:val="none"/>
          <w:lang w:val="en-US" w:eastAsia="zh-CN"/>
        </w:rPr>
      </w:pPr>
    </w:p>
    <w:p w14:paraId="0DB80CAB">
      <w:pPr>
        <w:pStyle w:val="29"/>
        <w:rPr>
          <w:rStyle w:val="44"/>
          <w:rFonts w:hint="eastAsia" w:ascii="宋体" w:hAnsi="宋体" w:eastAsia="宋体" w:cs="宋体"/>
          <w:sz w:val="36"/>
          <w:szCs w:val="36"/>
          <w:highlight w:val="none"/>
          <w:lang w:val="en-US" w:eastAsia="zh-CN"/>
        </w:rPr>
      </w:pPr>
    </w:p>
    <w:p w14:paraId="722E7619">
      <w:pPr>
        <w:pStyle w:val="29"/>
        <w:rPr>
          <w:rStyle w:val="44"/>
          <w:rFonts w:hint="eastAsia" w:ascii="宋体" w:hAnsi="宋体" w:eastAsia="宋体" w:cs="宋体"/>
          <w:sz w:val="36"/>
          <w:szCs w:val="36"/>
          <w:highlight w:val="none"/>
          <w:lang w:val="en-US" w:eastAsia="zh-CN"/>
        </w:rPr>
      </w:pPr>
    </w:p>
    <w:p w14:paraId="5C2F3ACC">
      <w:pPr>
        <w:pStyle w:val="29"/>
        <w:rPr>
          <w:rStyle w:val="44"/>
          <w:rFonts w:hint="eastAsia" w:ascii="宋体" w:hAnsi="宋体" w:eastAsia="宋体" w:cs="宋体"/>
          <w:sz w:val="36"/>
          <w:szCs w:val="36"/>
          <w:highlight w:val="none"/>
          <w:lang w:val="en-US" w:eastAsia="zh-CN"/>
        </w:rPr>
      </w:pPr>
    </w:p>
    <w:p w14:paraId="454A06EB">
      <w:pPr>
        <w:pStyle w:val="29"/>
        <w:rPr>
          <w:rStyle w:val="44"/>
          <w:rFonts w:hint="eastAsia" w:ascii="宋体" w:hAnsi="宋体" w:eastAsia="宋体" w:cs="宋体"/>
          <w:sz w:val="36"/>
          <w:szCs w:val="36"/>
          <w:highlight w:val="none"/>
          <w:lang w:val="en-US" w:eastAsia="zh-CN"/>
        </w:rPr>
      </w:pPr>
    </w:p>
    <w:p w14:paraId="76A2AFE0">
      <w:pPr>
        <w:pStyle w:val="29"/>
        <w:rPr>
          <w:rStyle w:val="44"/>
          <w:rFonts w:hint="eastAsia" w:ascii="宋体" w:hAnsi="宋体" w:eastAsia="宋体" w:cs="宋体"/>
          <w:sz w:val="36"/>
          <w:szCs w:val="36"/>
          <w:highlight w:val="none"/>
          <w:lang w:val="en-US" w:eastAsia="zh-CN"/>
        </w:rPr>
      </w:pPr>
    </w:p>
    <w:p w14:paraId="7C253420">
      <w:pPr>
        <w:pStyle w:val="29"/>
        <w:rPr>
          <w:rStyle w:val="44"/>
          <w:rFonts w:hint="eastAsia" w:ascii="宋体" w:hAnsi="宋体" w:eastAsia="宋体" w:cs="宋体"/>
          <w:sz w:val="36"/>
          <w:szCs w:val="36"/>
          <w:highlight w:val="none"/>
          <w:lang w:val="en-US" w:eastAsia="zh-CN"/>
        </w:rPr>
      </w:pPr>
    </w:p>
    <w:p w14:paraId="4423B970">
      <w:pPr>
        <w:jc w:val="both"/>
        <w:outlineLvl w:val="0"/>
        <w:rPr>
          <w:rStyle w:val="44"/>
          <w:rFonts w:hint="eastAsia" w:ascii="宋体" w:hAnsi="宋体" w:eastAsia="宋体" w:cs="宋体"/>
          <w:sz w:val="36"/>
          <w:szCs w:val="36"/>
          <w:highlight w:val="none"/>
          <w:lang w:val="en-US" w:eastAsia="zh-CN"/>
        </w:rPr>
      </w:pPr>
    </w:p>
    <w:p w14:paraId="15537338">
      <w:pPr>
        <w:jc w:val="center"/>
        <w:outlineLvl w:val="0"/>
        <w:rPr>
          <w:rStyle w:val="44"/>
          <w:rFonts w:hint="eastAsia" w:ascii="宋体" w:hAnsi="宋体" w:eastAsia="宋体" w:cs="宋体"/>
          <w:sz w:val="36"/>
          <w:szCs w:val="36"/>
          <w:highlight w:val="none"/>
          <w:lang w:val="en-US" w:eastAsia="zh-CN"/>
        </w:rPr>
      </w:pPr>
      <w:r>
        <w:rPr>
          <w:rStyle w:val="44"/>
          <w:rFonts w:hint="eastAsia" w:ascii="宋体" w:hAnsi="宋体" w:eastAsia="宋体" w:cs="宋体"/>
          <w:sz w:val="36"/>
          <w:szCs w:val="36"/>
          <w:highlight w:val="none"/>
          <w:lang w:val="en-US" w:eastAsia="zh-CN"/>
        </w:rPr>
        <w:t xml:space="preserve">第二章  </w:t>
      </w:r>
      <w:bookmarkEnd w:id="16"/>
      <w:bookmarkEnd w:id="17"/>
      <w:r>
        <w:rPr>
          <w:rStyle w:val="44"/>
          <w:rFonts w:hint="eastAsia" w:hAnsi="宋体" w:eastAsia="宋体" w:cs="宋体"/>
          <w:sz w:val="36"/>
          <w:szCs w:val="36"/>
          <w:highlight w:val="none"/>
          <w:lang w:val="en-US" w:eastAsia="zh-CN"/>
        </w:rPr>
        <w:t>供应商</w:t>
      </w:r>
      <w:r>
        <w:rPr>
          <w:rStyle w:val="44"/>
          <w:rFonts w:hint="eastAsia" w:ascii="宋体" w:hAnsi="宋体" w:eastAsia="宋体" w:cs="宋体"/>
          <w:sz w:val="36"/>
          <w:szCs w:val="36"/>
          <w:highlight w:val="none"/>
          <w:lang w:val="en-US" w:eastAsia="zh-CN"/>
        </w:rPr>
        <w:t>须知</w:t>
      </w:r>
      <w:bookmarkEnd w:id="18"/>
      <w:bookmarkEnd w:id="19"/>
    </w:p>
    <w:bookmarkEnd w:id="20"/>
    <w:bookmarkEnd w:id="21"/>
    <w:p w14:paraId="713FED9A">
      <w:pPr>
        <w:spacing w:before="120" w:after="120"/>
        <w:ind w:left="0" w:leftChars="0" w:firstLine="0" w:firstLineChars="0"/>
        <w:jc w:val="center"/>
        <w:outlineLvl w:val="9"/>
        <w:rPr>
          <w:rFonts w:hint="eastAsia" w:ascii="宋体" w:hAnsi="宋体" w:eastAsia="宋体" w:cs="宋体"/>
          <w:sz w:val="32"/>
          <w:highlight w:val="none"/>
        </w:rPr>
      </w:pPr>
      <w:bookmarkStart w:id="23" w:name="_Toc30222"/>
      <w:bookmarkStart w:id="24" w:name="_Toc13232"/>
      <w:bookmarkStart w:id="25" w:name="_Toc426457693"/>
      <w:bookmarkStart w:id="26" w:name="_Toc28609"/>
      <w:bookmarkStart w:id="27" w:name="_Toc11975"/>
      <w:bookmarkStart w:id="28" w:name="_Toc23108"/>
      <w:r>
        <w:rPr>
          <w:rFonts w:hint="eastAsia" w:ascii="宋体" w:hAnsi="宋体" w:eastAsia="宋体" w:cs="宋体"/>
          <w:sz w:val="32"/>
          <w:highlight w:val="none"/>
          <w:lang w:eastAsia="zh-CN"/>
        </w:rPr>
        <w:t>供应商</w:t>
      </w:r>
      <w:r>
        <w:rPr>
          <w:rFonts w:hint="eastAsia" w:ascii="宋体" w:hAnsi="宋体" w:eastAsia="宋体" w:cs="宋体"/>
          <w:sz w:val="32"/>
          <w:highlight w:val="none"/>
        </w:rPr>
        <w:t>须知前附表</w:t>
      </w:r>
      <w:bookmarkEnd w:id="23"/>
      <w:bookmarkEnd w:id="24"/>
      <w:bookmarkEnd w:id="25"/>
      <w:bookmarkEnd w:id="26"/>
      <w:bookmarkEnd w:id="27"/>
      <w:bookmarkEnd w:id="28"/>
    </w:p>
    <w:tbl>
      <w:tblPr>
        <w:tblStyle w:val="21"/>
        <w:tblW w:w="98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6542"/>
      </w:tblGrid>
      <w:tr w14:paraId="15F5DB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3" w:type="dxa"/>
            <w:tcBorders>
              <w:tl2br w:val="nil"/>
              <w:tr2bl w:val="nil"/>
            </w:tcBorders>
            <w:noWrap w:val="0"/>
            <w:vAlign w:val="center"/>
          </w:tcPr>
          <w:p w14:paraId="5A94CA3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项号</w:t>
            </w:r>
          </w:p>
        </w:tc>
        <w:tc>
          <w:tcPr>
            <w:tcW w:w="2493" w:type="dxa"/>
            <w:tcBorders>
              <w:tl2br w:val="nil"/>
              <w:tr2bl w:val="nil"/>
            </w:tcBorders>
            <w:noWrap w:val="0"/>
            <w:vAlign w:val="center"/>
          </w:tcPr>
          <w:p w14:paraId="57B0236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    容</w:t>
            </w:r>
          </w:p>
        </w:tc>
        <w:tc>
          <w:tcPr>
            <w:tcW w:w="6542" w:type="dxa"/>
            <w:tcBorders>
              <w:tl2br w:val="nil"/>
              <w:tr2bl w:val="nil"/>
            </w:tcBorders>
            <w:noWrap w:val="0"/>
            <w:vAlign w:val="top"/>
          </w:tcPr>
          <w:p w14:paraId="24B5C79D">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说明与要求</w:t>
            </w:r>
          </w:p>
        </w:tc>
      </w:tr>
      <w:tr w14:paraId="6EA575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7FDE691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493" w:type="dxa"/>
            <w:tcBorders>
              <w:tl2br w:val="nil"/>
              <w:tr2bl w:val="nil"/>
            </w:tcBorders>
            <w:noWrap w:val="0"/>
            <w:vAlign w:val="center"/>
          </w:tcPr>
          <w:p w14:paraId="413B617B">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采购人</w:t>
            </w:r>
          </w:p>
        </w:tc>
        <w:tc>
          <w:tcPr>
            <w:tcW w:w="6542" w:type="dxa"/>
            <w:tcBorders>
              <w:tl2br w:val="nil"/>
              <w:tr2bl w:val="nil"/>
            </w:tcBorders>
            <w:noWrap w:val="0"/>
            <w:vAlign w:val="center"/>
          </w:tcPr>
          <w:p w14:paraId="1CC2E574">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val="en-US" w:eastAsia="zh-CN"/>
              </w:rPr>
              <w:t>伊宁伊东工业园区管理委员会</w:t>
            </w:r>
          </w:p>
          <w:p w14:paraId="714DDE10">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val="en-US" w:eastAsia="zh-CN"/>
              </w:rPr>
              <w:t>伊宁县</w:t>
            </w:r>
          </w:p>
          <w:p w14:paraId="3AE50414">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 xml:space="preserve">黄晓东 </w:t>
            </w:r>
          </w:p>
          <w:p w14:paraId="70981264">
            <w:pPr>
              <w:spacing w:line="360" w:lineRule="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联系方式：</w:t>
            </w:r>
            <w:r>
              <w:rPr>
                <w:rFonts w:hint="eastAsia" w:ascii="宋体" w:hAnsi="宋体" w:cs="宋体"/>
                <w:color w:val="000000"/>
                <w:sz w:val="24"/>
                <w:szCs w:val="24"/>
                <w:highlight w:val="none"/>
                <w:lang w:val="en-US" w:eastAsia="zh-CN"/>
              </w:rPr>
              <w:t>19109999590</w:t>
            </w:r>
          </w:p>
        </w:tc>
      </w:tr>
      <w:tr w14:paraId="401EF4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15D3F46A">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93" w:type="dxa"/>
            <w:tcBorders>
              <w:tl2br w:val="nil"/>
              <w:tr2bl w:val="nil"/>
            </w:tcBorders>
            <w:noWrap w:val="0"/>
            <w:vAlign w:val="center"/>
          </w:tcPr>
          <w:p w14:paraId="0B5CB35D">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采购代理机构</w:t>
            </w:r>
          </w:p>
        </w:tc>
        <w:tc>
          <w:tcPr>
            <w:tcW w:w="6542" w:type="dxa"/>
            <w:tcBorders>
              <w:tl2br w:val="nil"/>
              <w:tr2bl w:val="nil"/>
            </w:tcBorders>
            <w:noWrap w:val="0"/>
            <w:vAlign w:val="center"/>
          </w:tcPr>
          <w:p w14:paraId="715324DB">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新宋体" w:hAnsi="新宋体" w:eastAsia="新宋体" w:cs="新宋体"/>
                <w:sz w:val="24"/>
                <w:szCs w:val="32"/>
              </w:rPr>
              <w:t>新疆启中项目管理有限公司</w:t>
            </w:r>
          </w:p>
          <w:p w14:paraId="5EF7A143">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地址：</w:t>
            </w:r>
            <w:r>
              <w:rPr>
                <w:rFonts w:hint="eastAsia" w:ascii="新宋体" w:hAnsi="新宋体" w:eastAsia="新宋体" w:cs="新宋体"/>
                <w:sz w:val="24"/>
                <w:szCs w:val="32"/>
              </w:rPr>
              <w:t>伊宁市经济合作区北京路2568号金茂新天地</w:t>
            </w:r>
            <w:r>
              <w:rPr>
                <w:rFonts w:hint="eastAsia" w:ascii="新宋体" w:hAnsi="新宋体" w:eastAsia="新宋体" w:cs="新宋体"/>
                <w:sz w:val="24"/>
                <w:szCs w:val="32"/>
                <w:lang w:val="en-US" w:eastAsia="zh-CN"/>
              </w:rPr>
              <w:t>A座</w:t>
            </w:r>
            <w:r>
              <w:rPr>
                <w:rFonts w:hint="eastAsia" w:ascii="新宋体" w:hAnsi="新宋体" w:eastAsia="新宋体" w:cs="新宋体"/>
                <w:sz w:val="24"/>
                <w:szCs w:val="32"/>
              </w:rPr>
              <w:t>5层514号</w:t>
            </w:r>
          </w:p>
          <w:p w14:paraId="6ABA3354">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新宋体" w:hAnsi="新宋体" w:eastAsia="新宋体" w:cs="新宋体"/>
                <w:sz w:val="24"/>
                <w:szCs w:val="32"/>
                <w:lang w:val="en-US" w:eastAsia="zh-CN"/>
              </w:rPr>
              <w:t>范工</w:t>
            </w:r>
            <w:r>
              <w:rPr>
                <w:rFonts w:hint="eastAsia" w:ascii="宋体" w:hAnsi="宋体" w:cs="宋体"/>
                <w:color w:val="000000"/>
                <w:sz w:val="24"/>
                <w:szCs w:val="24"/>
                <w:highlight w:val="none"/>
                <w:lang w:val="en-US" w:eastAsia="zh-CN"/>
              </w:rPr>
              <w:t xml:space="preserve">    </w:t>
            </w:r>
          </w:p>
          <w:p w14:paraId="42FE26B7">
            <w:pPr>
              <w:spacing w:line="360" w:lineRule="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联系方式：</w:t>
            </w:r>
            <w:r>
              <w:rPr>
                <w:rFonts w:hint="eastAsia" w:ascii="宋体" w:hAnsi="宋体" w:cs="宋体"/>
                <w:color w:val="000000"/>
                <w:sz w:val="24"/>
                <w:szCs w:val="24"/>
                <w:highlight w:val="none"/>
                <w:lang w:val="en-US" w:eastAsia="zh-CN"/>
              </w:rPr>
              <w:t>18196969533</w:t>
            </w:r>
          </w:p>
        </w:tc>
      </w:tr>
      <w:tr w14:paraId="551A6C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7EA76FB2">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493" w:type="dxa"/>
            <w:tcBorders>
              <w:tl2br w:val="nil"/>
              <w:tr2bl w:val="nil"/>
            </w:tcBorders>
            <w:noWrap w:val="0"/>
            <w:vAlign w:val="center"/>
          </w:tcPr>
          <w:p w14:paraId="517C991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采购名称</w:t>
            </w:r>
            <w:r>
              <w:rPr>
                <w:rFonts w:hint="eastAsia" w:ascii="宋体" w:hAnsi="宋体" w:cs="宋体"/>
                <w:color w:val="000000"/>
                <w:kern w:val="2"/>
                <w:sz w:val="24"/>
                <w:szCs w:val="24"/>
                <w:highlight w:val="none"/>
                <w:lang w:val="en-US" w:eastAsia="zh-CN" w:bidi="ar-SA"/>
              </w:rPr>
              <w:t>及编号</w:t>
            </w:r>
          </w:p>
        </w:tc>
        <w:tc>
          <w:tcPr>
            <w:tcW w:w="6542" w:type="dxa"/>
            <w:tcBorders>
              <w:tl2br w:val="nil"/>
              <w:tr2bl w:val="nil"/>
            </w:tcBorders>
            <w:noWrap w:val="0"/>
            <w:vAlign w:val="center"/>
          </w:tcPr>
          <w:p w14:paraId="62D5EFC8">
            <w:pPr>
              <w:spacing w:line="360" w:lineRule="auto"/>
              <w:rPr>
                <w:rFonts w:hint="eastAsia" w:ascii="新宋体" w:hAnsi="新宋体" w:eastAsia="新宋体" w:cs="新宋体"/>
                <w:sz w:val="24"/>
                <w:szCs w:val="32"/>
                <w:lang w:val="en-US" w:eastAsia="zh-CN"/>
              </w:rPr>
            </w:pPr>
            <w:r>
              <w:rPr>
                <w:rFonts w:hint="eastAsia" w:ascii="新宋体" w:hAnsi="新宋体" w:eastAsia="新宋体" w:cs="新宋体"/>
                <w:sz w:val="24"/>
                <w:szCs w:val="32"/>
                <w:lang w:eastAsia="zh-CN"/>
              </w:rPr>
              <w:t>采购项目名称：</w:t>
            </w:r>
            <w:r>
              <w:rPr>
                <w:rFonts w:hint="eastAsia" w:ascii="新宋体" w:hAnsi="新宋体" w:eastAsia="新宋体" w:cs="新宋体"/>
                <w:sz w:val="24"/>
                <w:szCs w:val="32"/>
                <w:lang w:val="en-US" w:eastAsia="zh-CN"/>
              </w:rPr>
              <w:t>伊宁县伊东工业园区化工产业集中区智慧平台项目</w:t>
            </w:r>
          </w:p>
          <w:p w14:paraId="371B79F5">
            <w:pPr>
              <w:spacing w:line="360" w:lineRule="auto"/>
              <w:rPr>
                <w:rFonts w:hint="eastAsia" w:ascii="宋体" w:hAnsi="宋体" w:eastAsia="宋体" w:cs="宋体"/>
                <w:color w:val="0000FF"/>
                <w:sz w:val="24"/>
                <w:szCs w:val="24"/>
                <w:highlight w:val="none"/>
                <w:lang w:val="en-US" w:eastAsia="zh-CN"/>
              </w:rPr>
            </w:pPr>
            <w:r>
              <w:rPr>
                <w:rFonts w:hint="eastAsia" w:ascii="新宋体" w:hAnsi="新宋体" w:eastAsia="新宋体" w:cs="新宋体"/>
                <w:sz w:val="24"/>
                <w:szCs w:val="32"/>
                <w:lang w:eastAsia="zh-CN"/>
              </w:rPr>
              <w:t>项目编号：XJQZ-2025-010</w:t>
            </w:r>
          </w:p>
        </w:tc>
      </w:tr>
      <w:tr w14:paraId="0CE250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4F4DA885">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493" w:type="dxa"/>
            <w:tcBorders>
              <w:tl2br w:val="nil"/>
              <w:tr2bl w:val="nil"/>
            </w:tcBorders>
            <w:noWrap w:val="0"/>
            <w:vAlign w:val="center"/>
          </w:tcPr>
          <w:p w14:paraId="14DA1561">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项目地点</w:t>
            </w:r>
          </w:p>
        </w:tc>
        <w:tc>
          <w:tcPr>
            <w:tcW w:w="6542" w:type="dxa"/>
            <w:tcBorders>
              <w:tl2br w:val="nil"/>
              <w:tr2bl w:val="nil"/>
            </w:tcBorders>
            <w:noWrap w:val="0"/>
            <w:vAlign w:val="center"/>
          </w:tcPr>
          <w:p w14:paraId="7582E090">
            <w:pPr>
              <w:spacing w:line="360" w:lineRule="auto"/>
              <w:rPr>
                <w:rFonts w:hint="default" w:ascii="宋体" w:hAnsi="宋体" w:eastAsia="宋体" w:cs="宋体"/>
                <w:color w:val="0000FF"/>
                <w:sz w:val="24"/>
                <w:szCs w:val="24"/>
                <w:highlight w:val="none"/>
                <w:lang w:val="en-US" w:eastAsia="zh-CN"/>
              </w:rPr>
            </w:pPr>
            <w:r>
              <w:rPr>
                <w:rFonts w:hint="eastAsia" w:ascii="新宋体" w:hAnsi="新宋体" w:eastAsia="新宋体" w:cs="新宋体"/>
                <w:sz w:val="24"/>
                <w:szCs w:val="32"/>
                <w:lang w:val="en-US" w:eastAsia="zh-CN"/>
              </w:rPr>
              <w:t>甲方指定地点</w:t>
            </w:r>
          </w:p>
        </w:tc>
      </w:tr>
      <w:tr w14:paraId="6F71C5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773" w:type="dxa"/>
            <w:tcBorders>
              <w:tl2br w:val="nil"/>
              <w:tr2bl w:val="nil"/>
            </w:tcBorders>
            <w:noWrap w:val="0"/>
            <w:vAlign w:val="center"/>
          </w:tcPr>
          <w:p w14:paraId="54C141F9">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493" w:type="dxa"/>
            <w:tcBorders>
              <w:tl2br w:val="nil"/>
              <w:tr2bl w:val="nil"/>
            </w:tcBorders>
            <w:noWrap w:val="0"/>
            <w:vAlign w:val="center"/>
          </w:tcPr>
          <w:p w14:paraId="58DFDBCA">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采购范围</w:t>
            </w:r>
          </w:p>
        </w:tc>
        <w:tc>
          <w:tcPr>
            <w:tcW w:w="6542" w:type="dxa"/>
            <w:tcBorders>
              <w:tl2br w:val="nil"/>
              <w:tr2bl w:val="nil"/>
            </w:tcBorders>
            <w:noWrap w:val="0"/>
            <w:vAlign w:val="center"/>
          </w:tcPr>
          <w:p w14:paraId="7B0D08DE">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文件及采购内容包含的全部工作内容</w:t>
            </w:r>
            <w:r>
              <w:rPr>
                <w:rFonts w:hint="eastAsia" w:ascii="宋体" w:hAnsi="宋体" w:cs="宋体"/>
                <w:color w:val="auto"/>
                <w:sz w:val="24"/>
                <w:szCs w:val="24"/>
                <w:highlight w:val="none"/>
                <w:lang w:val="en-US" w:eastAsia="zh-CN"/>
              </w:rPr>
              <w:t>。</w:t>
            </w:r>
          </w:p>
        </w:tc>
      </w:tr>
      <w:tr w14:paraId="290764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189A6194">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6</w:t>
            </w:r>
          </w:p>
        </w:tc>
        <w:tc>
          <w:tcPr>
            <w:tcW w:w="2493" w:type="dxa"/>
            <w:tcBorders>
              <w:tl2br w:val="nil"/>
              <w:tr2bl w:val="nil"/>
            </w:tcBorders>
            <w:noWrap w:val="0"/>
            <w:vAlign w:val="center"/>
          </w:tcPr>
          <w:p w14:paraId="7511CA24">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sz w:val="24"/>
                <w:szCs w:val="24"/>
                <w:highlight w:val="none"/>
              </w:rPr>
              <w:t>采购内容</w:t>
            </w:r>
          </w:p>
        </w:tc>
        <w:tc>
          <w:tcPr>
            <w:tcW w:w="6542" w:type="dxa"/>
            <w:tcBorders>
              <w:tl2br w:val="nil"/>
              <w:tr2bl w:val="nil"/>
            </w:tcBorders>
            <w:noWrap w:val="0"/>
            <w:vAlign w:val="center"/>
          </w:tcPr>
          <w:p w14:paraId="43249D2E">
            <w:pPr>
              <w:spacing w:line="360" w:lineRule="auto"/>
              <w:rPr>
                <w:rFonts w:hint="eastAsia" w:ascii="宋体" w:hAnsi="宋体" w:eastAsia="宋体" w:cs="宋体"/>
                <w:color w:val="auto"/>
                <w:sz w:val="24"/>
                <w:szCs w:val="24"/>
                <w:highlight w:val="none"/>
                <w:lang w:eastAsia="zh-CN"/>
              </w:rPr>
            </w:pPr>
            <w:r>
              <w:rPr>
                <w:rFonts w:hint="eastAsia" w:ascii="新宋体" w:hAnsi="新宋体" w:eastAsia="新宋体" w:cs="新宋体"/>
                <w:color w:val="auto"/>
                <w:sz w:val="24"/>
                <w:szCs w:val="24"/>
                <w:lang w:val="en-US" w:eastAsia="zh-CN"/>
              </w:rPr>
              <w:t>工业园区化工产业集中区智慧平台搭建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（具体内容详见采购文件）</w:t>
            </w:r>
          </w:p>
        </w:tc>
      </w:tr>
      <w:tr w14:paraId="7F0462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5E9C6EAE">
            <w:pPr>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7</w:t>
            </w:r>
          </w:p>
        </w:tc>
        <w:tc>
          <w:tcPr>
            <w:tcW w:w="2493" w:type="dxa"/>
            <w:tcBorders>
              <w:tl2br w:val="nil"/>
              <w:tr2bl w:val="nil"/>
            </w:tcBorders>
            <w:noWrap w:val="0"/>
            <w:vAlign w:val="center"/>
          </w:tcPr>
          <w:p w14:paraId="66E4CD8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新宋体" w:hAnsi="新宋体" w:eastAsia="新宋体" w:cs="新宋体"/>
                <w:color w:val="0000FF"/>
                <w:sz w:val="24"/>
                <w:szCs w:val="32"/>
                <w:highlight w:val="none"/>
                <w:lang w:val="en-US" w:eastAsia="zh-CN"/>
              </w:rPr>
              <w:t>合同履约期限</w:t>
            </w:r>
          </w:p>
        </w:tc>
        <w:tc>
          <w:tcPr>
            <w:tcW w:w="6542" w:type="dxa"/>
            <w:tcBorders>
              <w:tl2br w:val="nil"/>
              <w:tr2bl w:val="nil"/>
            </w:tcBorders>
            <w:noWrap w:val="0"/>
            <w:vAlign w:val="center"/>
          </w:tcPr>
          <w:p w14:paraId="0B2E5599">
            <w:pPr>
              <w:bidi w:val="0"/>
              <w:spacing w:line="360" w:lineRule="auto"/>
              <w:rPr>
                <w:rFonts w:hint="default"/>
                <w:color w:val="auto"/>
                <w:highlight w:val="none"/>
                <w:lang w:val="en-US" w:eastAsia="zh-CN"/>
              </w:rPr>
            </w:pPr>
            <w:r>
              <w:rPr>
                <w:rFonts w:hint="eastAsia" w:ascii="新宋体" w:hAnsi="新宋体" w:eastAsia="新宋体" w:cs="新宋体"/>
                <w:color w:val="auto"/>
                <w:sz w:val="24"/>
                <w:szCs w:val="32"/>
                <w:highlight w:val="none"/>
                <w:lang w:val="en-US" w:eastAsia="zh-CN"/>
              </w:rPr>
              <w:t xml:space="preserve"> 合同签订后15个工作日内完成甲方要求的所有内容。 </w:t>
            </w:r>
          </w:p>
        </w:tc>
      </w:tr>
      <w:tr w14:paraId="000E3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773" w:type="dxa"/>
            <w:tcBorders>
              <w:tl2br w:val="nil"/>
              <w:tr2bl w:val="nil"/>
            </w:tcBorders>
            <w:noWrap w:val="0"/>
            <w:vAlign w:val="center"/>
          </w:tcPr>
          <w:p w14:paraId="31F692A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8</w:t>
            </w:r>
          </w:p>
        </w:tc>
        <w:tc>
          <w:tcPr>
            <w:tcW w:w="2493" w:type="dxa"/>
            <w:tcBorders>
              <w:tl2br w:val="nil"/>
              <w:tr2bl w:val="nil"/>
            </w:tcBorders>
            <w:noWrap w:val="0"/>
            <w:vAlign w:val="center"/>
          </w:tcPr>
          <w:p w14:paraId="5C8DB6C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质量</w:t>
            </w:r>
            <w:r>
              <w:rPr>
                <w:rFonts w:hint="eastAsia" w:ascii="宋体" w:hAnsi="宋体" w:eastAsia="宋体" w:cs="宋体"/>
                <w:color w:val="000000"/>
                <w:sz w:val="24"/>
                <w:szCs w:val="24"/>
                <w:highlight w:val="none"/>
                <w:lang w:val="en-US" w:eastAsia="zh-CN"/>
              </w:rPr>
              <w:t>标准</w:t>
            </w:r>
          </w:p>
        </w:tc>
        <w:tc>
          <w:tcPr>
            <w:tcW w:w="6542" w:type="dxa"/>
            <w:tcBorders>
              <w:tl2br w:val="nil"/>
              <w:tr2bl w:val="nil"/>
            </w:tcBorders>
            <w:noWrap w:val="0"/>
            <w:vAlign w:val="center"/>
          </w:tcPr>
          <w:p w14:paraId="50617EAC">
            <w:pPr>
              <w:spacing w:line="360" w:lineRule="auto"/>
              <w:rPr>
                <w:rFonts w:hint="default"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32"/>
                <w:highlight w:val="none"/>
              </w:rPr>
              <w:t>合格</w:t>
            </w:r>
          </w:p>
        </w:tc>
      </w:tr>
      <w:tr w14:paraId="52A6CA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3EE49929">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2493" w:type="dxa"/>
            <w:tcBorders>
              <w:tl2br w:val="nil"/>
              <w:tr2bl w:val="nil"/>
            </w:tcBorders>
            <w:noWrap w:val="0"/>
            <w:vAlign w:val="center"/>
          </w:tcPr>
          <w:p w14:paraId="5F3B9921">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供应商资格条件</w:t>
            </w:r>
          </w:p>
        </w:tc>
        <w:tc>
          <w:tcPr>
            <w:tcW w:w="6542" w:type="dxa"/>
            <w:tcBorders>
              <w:tl2br w:val="nil"/>
              <w:tr2bl w:val="nil"/>
            </w:tcBorders>
            <w:noWrap w:val="0"/>
            <w:vAlign w:val="center"/>
          </w:tcPr>
          <w:p w14:paraId="3163BE46">
            <w:pPr>
              <w:bidi w:val="0"/>
              <w:spacing w:line="360" w:lineRule="auto"/>
              <w:rPr>
                <w:rFonts w:hint="eastAsia" w:ascii="新宋体" w:hAnsi="新宋体" w:eastAsia="新宋体" w:cs="新宋体"/>
                <w:color w:val="auto"/>
                <w:sz w:val="24"/>
                <w:szCs w:val="32"/>
              </w:rPr>
            </w:pPr>
            <w:r>
              <w:rPr>
                <w:rFonts w:hint="eastAsia" w:ascii="新宋体" w:hAnsi="新宋体" w:eastAsia="新宋体" w:cs="新宋体"/>
                <w:color w:val="auto"/>
                <w:sz w:val="24"/>
                <w:szCs w:val="32"/>
              </w:rPr>
              <w:t>1.满足《中华人民共和国政府采购法》第二十二条规定；</w:t>
            </w:r>
          </w:p>
          <w:p w14:paraId="224E8EB0">
            <w:pPr>
              <w:bidi w:val="0"/>
              <w:spacing w:line="360" w:lineRule="auto"/>
              <w:rPr>
                <w:rFonts w:hint="eastAsia" w:ascii="新宋体" w:hAnsi="新宋体" w:eastAsia="新宋体" w:cs="新宋体"/>
                <w:color w:val="auto"/>
                <w:sz w:val="24"/>
                <w:szCs w:val="32"/>
                <w:lang w:val="en-US" w:eastAsia="zh-CN"/>
              </w:rPr>
            </w:pPr>
            <w:r>
              <w:rPr>
                <w:rFonts w:hint="eastAsia" w:ascii="新宋体" w:hAnsi="新宋体" w:eastAsia="新宋体" w:cs="新宋体"/>
                <w:color w:val="auto"/>
                <w:sz w:val="24"/>
                <w:szCs w:val="32"/>
              </w:rPr>
              <w:t>2.落实政府采购政策需满足的资格要求：</w:t>
            </w:r>
            <w:r>
              <w:rPr>
                <w:rFonts w:hint="eastAsia" w:ascii="新宋体" w:hAnsi="新宋体" w:eastAsia="新宋体" w:cs="新宋体"/>
                <w:color w:val="auto"/>
                <w:sz w:val="24"/>
                <w:szCs w:val="32"/>
                <w:lang w:val="en-US" w:eastAsia="zh-CN"/>
              </w:rPr>
              <w:t>无</w:t>
            </w:r>
          </w:p>
          <w:p w14:paraId="0B7E1125">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rPr>
              <w:t>3.本项目的特定资格要求：</w:t>
            </w:r>
            <w:r>
              <w:rPr>
                <w:rFonts w:hint="eastAsia" w:ascii="新宋体" w:hAnsi="新宋体" w:eastAsia="新宋体" w:cs="新宋体"/>
                <w:color w:val="auto"/>
                <w:sz w:val="24"/>
                <w:szCs w:val="32"/>
              </w:rPr>
              <w:br w:type="textWrapping"/>
            </w:r>
            <w:r>
              <w:rPr>
                <w:rFonts w:hint="eastAsia" w:ascii="新宋体" w:hAnsi="新宋体" w:eastAsia="新宋体" w:cs="新宋体"/>
                <w:color w:val="auto"/>
                <w:sz w:val="24"/>
                <w:szCs w:val="32"/>
                <w:highlight w:val="none"/>
              </w:rPr>
              <w:t>（1）</w:t>
            </w:r>
            <w:r>
              <w:rPr>
                <w:rFonts w:hint="eastAsia" w:ascii="新宋体" w:hAnsi="新宋体" w:eastAsia="新宋体" w:cs="新宋体"/>
                <w:color w:val="auto"/>
                <w:sz w:val="24"/>
                <w:szCs w:val="32"/>
                <w:highlight w:val="none"/>
                <w:lang w:val="en-US" w:eastAsia="zh-CN"/>
              </w:rPr>
              <w:t>具有独立承担民事责任能力的法人或者其他组织</w:t>
            </w:r>
            <w:r>
              <w:rPr>
                <w:rFonts w:hint="eastAsia" w:ascii="新宋体" w:hAnsi="新宋体" w:eastAsia="新宋体" w:cs="新宋体"/>
                <w:color w:val="auto"/>
                <w:sz w:val="24"/>
                <w:szCs w:val="32"/>
                <w:highlight w:val="none"/>
              </w:rPr>
              <w:t>（提供合法有效的法人营业执照且经营范围包含本次采购项目相关内容）；</w:t>
            </w:r>
          </w:p>
          <w:p w14:paraId="68DA422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2</w:t>
            </w:r>
            <w:r>
              <w:rPr>
                <w:rFonts w:hint="eastAsia" w:ascii="新宋体" w:hAnsi="新宋体" w:eastAsia="新宋体" w:cs="新宋体"/>
                <w:color w:val="auto"/>
                <w:sz w:val="24"/>
                <w:szCs w:val="32"/>
                <w:highlight w:val="none"/>
              </w:rPr>
              <w:t>）凡拟参加本次招标项目的供应商，如在“信用中国”网站（www.creditchina.gov.cn）被列入失信被执行人、重大税收违法失信主体、政府采购严重违法失信行为记录名单，在中国政府采购网（www.ccgp.gov.cn）被列入政府采购严重违法失信行为记录名单尚在处罚</w:t>
            </w:r>
            <w:r>
              <w:rPr>
                <w:rFonts w:hint="eastAsia" w:ascii="新宋体" w:hAnsi="新宋体" w:eastAsia="新宋体" w:cs="新宋体"/>
                <w:color w:val="auto"/>
                <w:sz w:val="24"/>
                <w:szCs w:val="32"/>
              </w:rPr>
              <w:t>期内的将被拒绝参加本次政府采购活动。</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3</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459625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64955A35">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11</w:t>
            </w:r>
          </w:p>
        </w:tc>
        <w:tc>
          <w:tcPr>
            <w:tcW w:w="2493" w:type="dxa"/>
            <w:tcBorders>
              <w:tl2br w:val="nil"/>
              <w:tr2bl w:val="nil"/>
            </w:tcBorders>
            <w:noWrap w:val="0"/>
            <w:vAlign w:val="center"/>
          </w:tcPr>
          <w:p w14:paraId="04C90C12">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项目预算金额</w:t>
            </w:r>
            <w:r>
              <w:rPr>
                <w:rFonts w:hint="eastAsia" w:ascii="宋体" w:hAnsi="宋体" w:cs="宋体"/>
                <w:color w:val="000000"/>
                <w:sz w:val="24"/>
                <w:szCs w:val="24"/>
                <w:highlight w:val="none"/>
                <w:lang w:val="en-US" w:eastAsia="zh-CN"/>
              </w:rPr>
              <w:t>及资金来源</w:t>
            </w:r>
          </w:p>
        </w:tc>
        <w:tc>
          <w:tcPr>
            <w:tcW w:w="6542" w:type="dxa"/>
            <w:tcBorders>
              <w:tl2br w:val="nil"/>
              <w:tr2bl w:val="nil"/>
            </w:tcBorders>
            <w:noWrap w:val="0"/>
            <w:vAlign w:val="center"/>
          </w:tcPr>
          <w:p w14:paraId="0E87476B">
            <w:pPr>
              <w:spacing w:line="36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预算金额：</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3200000.00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叁佰贰拾万元整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p w14:paraId="1B0FF343">
            <w:pPr>
              <w:spacing w:line="360" w:lineRule="auto"/>
              <w:rPr>
                <w:rFonts w:hint="default" w:ascii="宋体" w:hAnsi="宋体" w:eastAsia="新宋体" w:cs="宋体"/>
                <w:color w:val="0000FF"/>
                <w:kern w:val="2"/>
                <w:sz w:val="24"/>
                <w:szCs w:val="24"/>
                <w:highlight w:val="none"/>
                <w:lang w:val="en-US" w:eastAsia="zh-CN" w:bidi="ar-SA"/>
              </w:rPr>
            </w:pPr>
            <w:r>
              <w:rPr>
                <w:rFonts w:hint="eastAsia" w:ascii="新宋体" w:hAnsi="新宋体" w:eastAsia="新宋体" w:cs="新宋体"/>
                <w:bCs/>
                <w:color w:val="auto"/>
                <w:sz w:val="24"/>
                <w:szCs w:val="24"/>
                <w:highlight w:val="none"/>
                <w:lang w:val="en-US" w:eastAsia="zh-CN"/>
              </w:rPr>
              <w:t>资金来源：自筹资金</w:t>
            </w:r>
          </w:p>
        </w:tc>
      </w:tr>
      <w:tr w14:paraId="6AD5F8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3908BEB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12</w:t>
            </w:r>
          </w:p>
        </w:tc>
        <w:tc>
          <w:tcPr>
            <w:tcW w:w="2493" w:type="dxa"/>
            <w:tcBorders>
              <w:tl2br w:val="nil"/>
              <w:tr2bl w:val="nil"/>
            </w:tcBorders>
            <w:noWrap w:val="0"/>
            <w:vAlign w:val="center"/>
          </w:tcPr>
          <w:p w14:paraId="140ADCF6">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最高限价</w:t>
            </w:r>
          </w:p>
        </w:tc>
        <w:tc>
          <w:tcPr>
            <w:tcW w:w="6542" w:type="dxa"/>
            <w:tcBorders>
              <w:tl2br w:val="nil"/>
              <w:tr2bl w:val="nil"/>
            </w:tcBorders>
            <w:noWrap w:val="0"/>
            <w:vAlign w:val="center"/>
          </w:tcPr>
          <w:p w14:paraId="3E7D91ED">
            <w:pPr>
              <w:spacing w:line="360" w:lineRule="auto"/>
              <w:rPr>
                <w:color w:val="000000"/>
                <w:highlight w:val="none"/>
              </w:rPr>
            </w:pPr>
            <w:r>
              <w:rPr>
                <w:rFonts w:hint="eastAsia" w:ascii="新宋体" w:hAnsi="新宋体" w:eastAsia="新宋体" w:cs="新宋体"/>
                <w:bCs/>
                <w:color w:val="000000"/>
                <w:sz w:val="24"/>
                <w:szCs w:val="24"/>
                <w:highlight w:val="none"/>
                <w:lang w:val="en-US" w:eastAsia="zh-CN"/>
              </w:rPr>
              <w:t>最高限价：</w:t>
            </w:r>
            <w:r>
              <w:rPr>
                <w:rFonts w:hint="eastAsia" w:ascii="新宋体" w:hAnsi="新宋体" w:eastAsia="新宋体" w:cs="新宋体"/>
                <w:b/>
                <w:color w:val="000000"/>
                <w:sz w:val="24"/>
                <w:szCs w:val="24"/>
                <w:highlight w:val="none"/>
                <w:u w:val="single"/>
              </w:rPr>
              <w:t>¥</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3200000.00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叁佰贰拾万元整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000000"/>
                <w:sz w:val="24"/>
                <w:szCs w:val="24"/>
                <w:highlight w:val="none"/>
              </w:rPr>
              <w:t>；</w:t>
            </w:r>
          </w:p>
          <w:p w14:paraId="4159E2E0">
            <w:pPr>
              <w:spacing w:line="360" w:lineRule="auto"/>
              <w:jc w:val="left"/>
              <w:rPr>
                <w:rFonts w:hint="eastAsia" w:ascii="宋体" w:hAnsi="宋体" w:eastAsia="宋体" w:cs="宋体"/>
                <w:color w:val="000000"/>
                <w:sz w:val="24"/>
                <w:szCs w:val="24"/>
                <w:highlight w:val="none"/>
                <w:lang w:val="en-US" w:eastAsia="zh-CN"/>
              </w:rPr>
            </w:pPr>
            <w:r>
              <w:rPr>
                <w:rFonts w:hint="eastAsia" w:ascii="新宋体" w:hAnsi="新宋体" w:eastAsia="新宋体" w:cs="新宋体"/>
                <w:b/>
                <w:bCs w:val="0"/>
                <w:color w:val="000000"/>
                <w:sz w:val="24"/>
                <w:szCs w:val="24"/>
                <w:highlight w:val="none"/>
              </w:rPr>
              <w:t>预算金额是采购人对本项目的最高限价。投标供应商的投标报价不得高于预算金额，否则作废标处理。</w:t>
            </w:r>
          </w:p>
        </w:tc>
      </w:tr>
      <w:tr w14:paraId="21956B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350BC2E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13</w:t>
            </w:r>
          </w:p>
        </w:tc>
        <w:tc>
          <w:tcPr>
            <w:tcW w:w="2493" w:type="dxa"/>
            <w:tcBorders>
              <w:tl2br w:val="nil"/>
              <w:tr2bl w:val="nil"/>
            </w:tcBorders>
            <w:noWrap w:val="0"/>
            <w:vAlign w:val="center"/>
          </w:tcPr>
          <w:p w14:paraId="26632E32">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联合体形式</w:t>
            </w:r>
          </w:p>
        </w:tc>
        <w:tc>
          <w:tcPr>
            <w:tcW w:w="6542" w:type="dxa"/>
            <w:tcBorders>
              <w:tl2br w:val="nil"/>
              <w:tr2bl w:val="nil"/>
            </w:tcBorders>
            <w:noWrap w:val="0"/>
            <w:vAlign w:val="center"/>
          </w:tcPr>
          <w:p w14:paraId="39A1FFC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不接受</w:t>
            </w:r>
          </w:p>
          <w:p w14:paraId="5F8173AD">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接受</w:t>
            </w:r>
          </w:p>
        </w:tc>
      </w:tr>
      <w:tr w14:paraId="29B06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773" w:type="dxa"/>
            <w:tcBorders>
              <w:tl2br w:val="nil"/>
              <w:tr2bl w:val="nil"/>
            </w:tcBorders>
            <w:noWrap w:val="0"/>
            <w:vAlign w:val="center"/>
          </w:tcPr>
          <w:p w14:paraId="5BAE35F5">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14</w:t>
            </w:r>
          </w:p>
        </w:tc>
        <w:tc>
          <w:tcPr>
            <w:tcW w:w="2493" w:type="dxa"/>
            <w:tcBorders>
              <w:tl2br w:val="nil"/>
              <w:tr2bl w:val="nil"/>
            </w:tcBorders>
            <w:noWrap w:val="0"/>
            <w:vAlign w:val="center"/>
          </w:tcPr>
          <w:p w14:paraId="0E547BA6">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分包</w:t>
            </w:r>
          </w:p>
        </w:tc>
        <w:tc>
          <w:tcPr>
            <w:tcW w:w="6542" w:type="dxa"/>
            <w:tcBorders>
              <w:tl2br w:val="nil"/>
              <w:tr2bl w:val="nil"/>
            </w:tcBorders>
            <w:noWrap w:val="0"/>
            <w:vAlign w:val="center"/>
          </w:tcPr>
          <w:p w14:paraId="1D518B75">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sym w:font="Wingdings 2" w:char="0052"/>
            </w:r>
            <w:r>
              <w:rPr>
                <w:rFonts w:hint="eastAsia" w:ascii="宋体" w:hAnsi="宋体" w:eastAsia="宋体" w:cs="宋体"/>
                <w:color w:val="000000"/>
                <w:sz w:val="24"/>
                <w:szCs w:val="24"/>
                <w:highlight w:val="none"/>
              </w:rPr>
              <w:t>不允许</w:t>
            </w:r>
          </w:p>
          <w:p w14:paraId="3D829A9D">
            <w:pPr>
              <w:spacing w:line="360" w:lineRule="auto"/>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允许,分包内容要求</w:t>
            </w:r>
            <w:r>
              <w:rPr>
                <w:rFonts w:hint="eastAsia" w:ascii="宋体" w:hAnsi="宋体" w:cs="宋体"/>
                <w:color w:val="000000"/>
                <w:sz w:val="24"/>
                <w:szCs w:val="24"/>
                <w:highlight w:val="none"/>
                <w:lang w:eastAsia="zh-CN"/>
              </w:rPr>
              <w:t>：</w:t>
            </w:r>
          </w:p>
          <w:p w14:paraId="00EA81B1">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接受分包供应商资格要求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w:t>
            </w:r>
          </w:p>
        </w:tc>
      </w:tr>
      <w:tr w14:paraId="301D1F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27326C83">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2493" w:type="dxa"/>
            <w:tcBorders>
              <w:tl2br w:val="nil"/>
              <w:tr2bl w:val="nil"/>
            </w:tcBorders>
            <w:noWrap w:val="0"/>
            <w:vAlign w:val="center"/>
          </w:tcPr>
          <w:p w14:paraId="732F5278">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计量单位</w:t>
            </w:r>
          </w:p>
        </w:tc>
        <w:tc>
          <w:tcPr>
            <w:tcW w:w="6542" w:type="dxa"/>
            <w:tcBorders>
              <w:tl2br w:val="nil"/>
              <w:tr2bl w:val="nil"/>
            </w:tcBorders>
            <w:noWrap w:val="0"/>
            <w:vAlign w:val="center"/>
          </w:tcPr>
          <w:p w14:paraId="04D61539">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中华人民共和国法定计量单位</w:t>
            </w:r>
          </w:p>
          <w:p w14:paraId="6A2C3690">
            <w:pPr>
              <w:spacing w:line="360" w:lineRule="auto"/>
              <w:ind w:firstLine="240" w:firstLineChars="1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其他：             </w:t>
            </w:r>
          </w:p>
        </w:tc>
      </w:tr>
      <w:tr w14:paraId="117834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00D53A5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16</w:t>
            </w:r>
          </w:p>
        </w:tc>
        <w:tc>
          <w:tcPr>
            <w:tcW w:w="2493" w:type="dxa"/>
            <w:tcBorders>
              <w:tl2br w:val="nil"/>
              <w:tr2bl w:val="nil"/>
            </w:tcBorders>
            <w:noWrap w:val="0"/>
            <w:vAlign w:val="center"/>
          </w:tcPr>
          <w:p w14:paraId="2A244CB9">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现场考察、开标前答疑会</w:t>
            </w:r>
          </w:p>
        </w:tc>
        <w:tc>
          <w:tcPr>
            <w:tcW w:w="6542" w:type="dxa"/>
            <w:tcBorders>
              <w:tl2br w:val="nil"/>
              <w:tr2bl w:val="nil"/>
            </w:tcBorders>
            <w:noWrap w:val="0"/>
            <w:vAlign w:val="center"/>
          </w:tcPr>
          <w:p w14:paraId="6FD3A344">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不组织</w:t>
            </w:r>
          </w:p>
          <w:p w14:paraId="70AC5354">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组织，时  间：         </w:t>
            </w:r>
          </w:p>
          <w:p w14:paraId="680B7E76">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点：         </w:t>
            </w:r>
          </w:p>
          <w:p w14:paraId="2C677237">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联系人：         </w:t>
            </w:r>
          </w:p>
          <w:p w14:paraId="6A5CC953">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w:t>
            </w:r>
          </w:p>
          <w:p w14:paraId="08D45095">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组织，</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提供期限截止后以书面形式通知。</w:t>
            </w:r>
          </w:p>
        </w:tc>
      </w:tr>
      <w:tr w14:paraId="02342B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57A53746">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2493" w:type="dxa"/>
            <w:tcBorders>
              <w:tl2br w:val="nil"/>
              <w:tr2bl w:val="nil"/>
            </w:tcBorders>
            <w:noWrap w:val="0"/>
            <w:vAlign w:val="center"/>
          </w:tcPr>
          <w:p w14:paraId="5AE0CF1E">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投标报价货币要求</w:t>
            </w:r>
          </w:p>
        </w:tc>
        <w:tc>
          <w:tcPr>
            <w:tcW w:w="6542" w:type="dxa"/>
            <w:tcBorders>
              <w:tl2br w:val="nil"/>
              <w:tr2bl w:val="nil"/>
            </w:tcBorders>
            <w:noWrap w:val="0"/>
            <w:vAlign w:val="center"/>
          </w:tcPr>
          <w:p w14:paraId="0F448058">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所有投标均按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货币进行报价。</w:t>
            </w:r>
          </w:p>
          <w:p w14:paraId="324220A1">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其它：               </w:t>
            </w:r>
          </w:p>
        </w:tc>
      </w:tr>
      <w:tr w14:paraId="24EF88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137ED57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2493" w:type="dxa"/>
            <w:tcBorders>
              <w:tl2br w:val="nil"/>
              <w:tr2bl w:val="nil"/>
            </w:tcBorders>
            <w:noWrap w:val="0"/>
            <w:vAlign w:val="center"/>
          </w:tcPr>
          <w:p w14:paraId="5F5C5BCE">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6542" w:type="dxa"/>
            <w:tcBorders>
              <w:tl2br w:val="nil"/>
              <w:tr2bl w:val="nil"/>
            </w:tcBorders>
            <w:noWrap w:val="0"/>
            <w:vAlign w:val="center"/>
          </w:tcPr>
          <w:p w14:paraId="4D7466F9">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投标保证金金额：</w:t>
            </w:r>
            <w:r>
              <w:rPr>
                <w:rFonts w:hint="eastAsia" w:ascii="宋体" w:hAnsi="宋体" w:cs="宋体"/>
                <w:b/>
                <w:color w:val="000000"/>
                <w:sz w:val="24"/>
                <w:szCs w:val="24"/>
                <w:highlight w:val="none"/>
                <w:u w:val="single"/>
                <w:lang w:val="en-US" w:eastAsia="zh-CN"/>
              </w:rPr>
              <w:t>伍万元整</w:t>
            </w:r>
            <w:r>
              <w:rPr>
                <w:rFonts w:hint="eastAsia" w:ascii="宋体" w:hAnsi="宋体" w:cs="宋体"/>
                <w:b/>
                <w:color w:val="000000"/>
                <w:sz w:val="24"/>
                <w:szCs w:val="24"/>
                <w:highlight w:val="none"/>
                <w:u w:val="single"/>
                <w:lang w:eastAsia="zh-CN"/>
              </w:rPr>
              <w:t>（</w:t>
            </w:r>
            <w:r>
              <w:rPr>
                <w:rFonts w:hint="eastAsia" w:ascii="宋体" w:hAnsi="宋体" w:cs="宋体"/>
                <w:b/>
                <w:color w:val="000000"/>
                <w:sz w:val="24"/>
                <w:szCs w:val="24"/>
                <w:highlight w:val="none"/>
                <w:u w:val="single"/>
                <w:lang w:val="en-US" w:eastAsia="zh-CN"/>
              </w:rPr>
              <w:t>人民币50000.00元</w:t>
            </w:r>
            <w:r>
              <w:rPr>
                <w:rFonts w:hint="eastAsia" w:ascii="宋体" w:hAnsi="宋体" w:cs="宋体"/>
                <w:b/>
                <w:color w:val="000000"/>
                <w:sz w:val="24"/>
                <w:szCs w:val="24"/>
                <w:highlight w:val="none"/>
                <w:u w:val="single"/>
                <w:lang w:eastAsia="zh-CN"/>
              </w:rPr>
              <w:t>）</w:t>
            </w:r>
          </w:p>
          <w:p w14:paraId="02282B39">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投标保证金交纳方式：</w:t>
            </w:r>
            <w:r>
              <w:rPr>
                <w:rFonts w:hint="eastAsia" w:ascii="宋体" w:hAnsi="宋体" w:cs="宋体"/>
                <w:bCs/>
                <w:color w:val="000000"/>
                <w:sz w:val="24"/>
                <w:szCs w:val="24"/>
                <w:highlight w:val="none"/>
              </w:rPr>
              <w:t>转账支票、</w:t>
            </w:r>
            <w:r>
              <w:rPr>
                <w:rFonts w:hint="eastAsia" w:ascii="宋体" w:hAnsi="宋体" w:cs="宋体"/>
                <w:bCs/>
                <w:color w:val="000000"/>
                <w:sz w:val="24"/>
                <w:szCs w:val="24"/>
                <w:highlight w:val="none"/>
                <w:lang w:val="en-US" w:eastAsia="zh-CN"/>
              </w:rPr>
              <w:t>电汇、</w:t>
            </w:r>
            <w:r>
              <w:rPr>
                <w:rFonts w:hint="eastAsia" w:ascii="宋体" w:hAnsi="宋体" w:cs="宋体"/>
                <w:bCs/>
                <w:color w:val="000000"/>
                <w:sz w:val="24"/>
                <w:szCs w:val="24"/>
                <w:highlight w:val="none"/>
              </w:rPr>
              <w:t>企业网银</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保函</w:t>
            </w:r>
            <w:r>
              <w:rPr>
                <w:rFonts w:hint="eastAsia" w:ascii="宋体" w:hAnsi="宋体" w:cs="宋体"/>
                <w:bCs/>
                <w:color w:val="000000"/>
                <w:sz w:val="24"/>
                <w:szCs w:val="24"/>
                <w:highlight w:val="none"/>
              </w:rPr>
              <w:t>等非现金形式</w:t>
            </w:r>
          </w:p>
          <w:p w14:paraId="44DD6950">
            <w:pPr>
              <w:spacing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（1）采用网上银行支付方式的</w:t>
            </w:r>
            <w:r>
              <w:rPr>
                <w:rFonts w:hint="eastAsia" w:ascii="宋体" w:hAnsi="宋体" w:cs="宋体"/>
                <w:bCs/>
                <w:color w:val="000000"/>
                <w:sz w:val="24"/>
                <w:szCs w:val="24"/>
                <w:highlight w:val="none"/>
              </w:rPr>
              <w:t>供应商将</w:t>
            </w:r>
            <w:r>
              <w:rPr>
                <w:rFonts w:hint="eastAsia" w:ascii="宋体" w:hAnsi="宋体" w:cs="宋体"/>
                <w:bCs/>
                <w:color w:val="000000"/>
                <w:sz w:val="24"/>
                <w:szCs w:val="24"/>
                <w:highlight w:val="none"/>
                <w:lang w:val="en-US" w:eastAsia="zh-CN"/>
              </w:rPr>
              <w:t>投标保证金</w:t>
            </w:r>
            <w:r>
              <w:rPr>
                <w:rFonts w:hint="eastAsia" w:ascii="宋体" w:hAnsi="宋体" w:cs="宋体"/>
                <w:bCs/>
                <w:color w:val="000000"/>
                <w:sz w:val="24"/>
                <w:szCs w:val="24"/>
                <w:highlight w:val="none"/>
              </w:rPr>
              <w:t>从企业基本帐户汇至以下账户</w:t>
            </w:r>
            <w:r>
              <w:rPr>
                <w:rFonts w:hint="eastAsia" w:ascii="宋体" w:hAnsi="宋体" w:cs="宋体"/>
                <w:bCs/>
                <w:color w:val="000000"/>
                <w:sz w:val="24"/>
                <w:szCs w:val="24"/>
                <w:highlight w:val="none"/>
                <w:lang w:eastAsia="zh-CN"/>
              </w:rPr>
              <w:t>：</w:t>
            </w:r>
          </w:p>
          <w:p w14:paraId="347F32B3">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单位名称：</w:t>
            </w:r>
            <w:r>
              <w:rPr>
                <w:rFonts w:hint="eastAsia" w:ascii="宋体" w:hAnsi="宋体" w:cs="宋体"/>
                <w:bCs/>
                <w:color w:val="000000"/>
                <w:sz w:val="24"/>
                <w:szCs w:val="24"/>
                <w:highlight w:val="none"/>
                <w:lang w:val="en-US" w:eastAsia="zh-CN"/>
              </w:rPr>
              <w:t>新疆启中项目管理有限公司</w:t>
            </w:r>
          </w:p>
          <w:p w14:paraId="03D938BA">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帐  号：</w:t>
            </w:r>
            <w:r>
              <w:rPr>
                <w:rFonts w:hint="eastAsia" w:ascii="宋体" w:hAnsi="宋体" w:cs="宋体"/>
                <w:bCs/>
                <w:color w:val="000000"/>
                <w:sz w:val="24"/>
                <w:szCs w:val="24"/>
                <w:highlight w:val="none"/>
                <w:lang w:val="en-US" w:eastAsia="zh-CN"/>
              </w:rPr>
              <w:t>812020012010115386501</w:t>
            </w:r>
          </w:p>
          <w:p w14:paraId="2E8E3DB8">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 户 行：</w:t>
            </w:r>
            <w:r>
              <w:rPr>
                <w:rFonts w:hint="eastAsia" w:ascii="宋体" w:hAnsi="宋体" w:cs="宋体"/>
                <w:bCs/>
                <w:color w:val="000000"/>
                <w:sz w:val="24"/>
                <w:szCs w:val="24"/>
                <w:highlight w:val="none"/>
                <w:lang w:val="en-US" w:eastAsia="zh-CN"/>
              </w:rPr>
              <w:t>新疆伊犁农村商业银行股份有限公司合作区支行</w:t>
            </w:r>
          </w:p>
          <w:p w14:paraId="00D6ECE1">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 xml:space="preserve">行   号: </w:t>
            </w:r>
            <w:r>
              <w:rPr>
                <w:rFonts w:hint="eastAsia" w:ascii="宋体" w:hAnsi="宋体" w:cs="宋体"/>
                <w:bCs/>
                <w:color w:val="000000"/>
                <w:sz w:val="24"/>
                <w:szCs w:val="24"/>
                <w:highlight w:val="none"/>
                <w:lang w:val="en-US" w:eastAsia="zh-CN"/>
              </w:rPr>
              <w:t xml:space="preserve"> 402898000156</w:t>
            </w:r>
          </w:p>
          <w:p w14:paraId="07FFE4A5">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须在用途栏中填写项目名称，汇出后</w:t>
            </w:r>
            <w:r>
              <w:rPr>
                <w:rFonts w:hint="eastAsia" w:ascii="宋体" w:hAnsi="宋体" w:cs="宋体"/>
                <w:bCs/>
                <w:color w:val="000000"/>
                <w:sz w:val="24"/>
                <w:szCs w:val="24"/>
                <w:highlight w:val="none"/>
              </w:rPr>
              <w:t>供应商</w:t>
            </w:r>
            <w:r>
              <w:rPr>
                <w:rFonts w:hint="eastAsia" w:ascii="宋体" w:hAnsi="宋体" w:cs="宋体"/>
                <w:bCs/>
                <w:color w:val="000000"/>
                <w:sz w:val="24"/>
                <w:szCs w:val="24"/>
                <w:highlight w:val="none"/>
                <w:lang w:val="en-US" w:eastAsia="zh-CN"/>
              </w:rPr>
              <w:t>应电话与采购代理公司联系确认到账，联系招标代理公司出具投标保证金收据。</w:t>
            </w:r>
          </w:p>
          <w:p w14:paraId="5548622C">
            <w:pPr>
              <w:spacing w:line="360" w:lineRule="auto"/>
              <w:rPr>
                <w:rFonts w:hint="eastAsia" w:ascii="宋体" w:hAnsi="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投标</w:t>
            </w:r>
            <w:r>
              <w:rPr>
                <w:rFonts w:hint="eastAsia" w:ascii="宋体" w:hAnsi="宋体" w:cs="宋体"/>
                <w:b/>
                <w:bCs w:val="0"/>
                <w:color w:val="000000"/>
                <w:sz w:val="24"/>
                <w:szCs w:val="24"/>
                <w:highlight w:val="none"/>
              </w:rPr>
              <w:t>保证金缴纳截止时间：</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24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lang w:val="en-US" w:eastAsia="zh-CN"/>
              </w:rPr>
              <w:t xml:space="preserve">11 </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00</w:t>
            </w:r>
            <w:r>
              <w:rPr>
                <w:rFonts w:hint="eastAsia" w:ascii="宋体" w:hAnsi="宋体" w:cs="宋体"/>
                <w:b/>
                <w:bCs/>
                <w:color w:val="auto"/>
                <w:sz w:val="24"/>
                <w:szCs w:val="24"/>
                <w:highlight w:val="none"/>
                <w:lang w:val="en-US" w:eastAsia="zh-CN"/>
              </w:rPr>
              <w:t>时</w:t>
            </w:r>
            <w:r>
              <w:rPr>
                <w:rFonts w:hint="eastAsia" w:ascii="宋体" w:hAnsi="宋体" w:cs="宋体"/>
                <w:b/>
                <w:bCs w:val="0"/>
                <w:color w:val="000000"/>
                <w:sz w:val="24"/>
                <w:szCs w:val="24"/>
                <w:highlight w:val="none"/>
              </w:rPr>
              <w:t>之前截止（以实际到账时间为准）</w:t>
            </w:r>
          </w:p>
          <w:p w14:paraId="7234D6A7">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（2）采用保函形式递交投标保证金的，供应商须在投标截止时间前，电话通知代理机构已办理保函事宜并将所投项目对应的保函随响应文件一起上传到政采云平台。</w:t>
            </w:r>
          </w:p>
          <w:p w14:paraId="164D772F">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000000"/>
                <w:sz w:val="24"/>
                <w:szCs w:val="24"/>
                <w:highlight w:val="none"/>
              </w:rPr>
              <w:t>。</w:t>
            </w:r>
          </w:p>
          <w:p w14:paraId="5E31694A">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投标保证金有效期：投标截止时间后</w:t>
            </w:r>
            <w:r>
              <w:rPr>
                <w:rFonts w:hint="eastAsia" w:ascii="宋体" w:hAnsi="宋体" w:cs="宋体"/>
                <w:bCs/>
                <w:color w:val="000000"/>
                <w:sz w:val="24"/>
                <w:szCs w:val="24"/>
                <w:highlight w:val="none"/>
                <w:lang w:val="en-US" w:eastAsia="zh-CN"/>
              </w:rPr>
              <w:t>60</w:t>
            </w:r>
            <w:r>
              <w:rPr>
                <w:rFonts w:hint="eastAsia" w:ascii="宋体" w:hAnsi="宋体" w:cs="宋体"/>
                <w:bCs/>
                <w:color w:val="000000"/>
                <w:sz w:val="24"/>
                <w:szCs w:val="24"/>
                <w:highlight w:val="none"/>
              </w:rPr>
              <w:t>天。</w:t>
            </w:r>
          </w:p>
        </w:tc>
      </w:tr>
      <w:tr w14:paraId="101A8A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2BFCC994">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9</w:t>
            </w:r>
          </w:p>
        </w:tc>
        <w:tc>
          <w:tcPr>
            <w:tcW w:w="2493" w:type="dxa"/>
            <w:tcBorders>
              <w:tl2br w:val="nil"/>
              <w:tr2bl w:val="nil"/>
            </w:tcBorders>
            <w:noWrap w:val="0"/>
            <w:vAlign w:val="center"/>
          </w:tcPr>
          <w:p w14:paraId="2580964A">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542" w:type="dxa"/>
            <w:tcBorders>
              <w:tl2br w:val="nil"/>
              <w:tr2bl w:val="nil"/>
            </w:tcBorders>
            <w:noWrap w:val="0"/>
            <w:vAlign w:val="center"/>
          </w:tcPr>
          <w:p w14:paraId="07D56365">
            <w:pPr>
              <w:snapToGrid w:val="0"/>
              <w:spacing w:line="320" w:lineRule="exact"/>
              <w:rPr>
                <w:rFonts w:ascii="宋体" w:hAnsi="宋体" w:cs="宋体"/>
                <w:szCs w:val="21"/>
                <w:highlight w:val="none"/>
              </w:rPr>
            </w:pPr>
            <w:r>
              <w:rPr>
                <w:rFonts w:hint="eastAsia" w:ascii="宋体" w:hAnsi="宋体" w:cs="宋体"/>
                <w:bCs/>
                <w:sz w:val="24"/>
                <w:szCs w:val="24"/>
                <w:highlight w:val="none"/>
                <w:lang w:val="en-US" w:eastAsia="zh-CN"/>
              </w:rPr>
              <w:t>60</w:t>
            </w:r>
            <w:r>
              <w:rPr>
                <w:rFonts w:hint="eastAsia" w:ascii="宋体" w:hAnsi="宋体" w:cs="宋体"/>
                <w:bCs/>
                <w:sz w:val="24"/>
                <w:szCs w:val="24"/>
                <w:highlight w:val="none"/>
              </w:rPr>
              <w:t>日历天（自投标截止之日起）</w:t>
            </w:r>
          </w:p>
        </w:tc>
      </w:tr>
      <w:tr w14:paraId="4F41B2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2AA97D32">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493" w:type="dxa"/>
            <w:tcBorders>
              <w:tl2br w:val="nil"/>
              <w:tr2bl w:val="nil"/>
            </w:tcBorders>
            <w:noWrap w:val="0"/>
            <w:vAlign w:val="center"/>
          </w:tcPr>
          <w:p w14:paraId="0BF6D7A1">
            <w:pPr>
              <w:pStyle w:val="31"/>
              <w:snapToGrid w:val="0"/>
              <w:spacing w:line="360" w:lineRule="auto"/>
              <w:jc w:val="center"/>
              <w:rPr>
                <w:rFonts w:hint="eastAsia" w:ascii="宋体" w:hAnsi="宋体" w:cs="宋体"/>
                <w:sz w:val="28"/>
                <w:szCs w:val="28"/>
                <w:highlight w:val="none"/>
              </w:rPr>
            </w:pPr>
            <w:r>
              <w:rPr>
                <w:rFonts w:hint="eastAsia" w:ascii="宋体" w:hAnsi="宋体" w:cs="宋体"/>
                <w:color w:val="auto"/>
                <w:sz w:val="24"/>
                <w:szCs w:val="24"/>
                <w:highlight w:val="none"/>
              </w:rPr>
              <w:t>标前准备</w:t>
            </w:r>
          </w:p>
        </w:tc>
        <w:tc>
          <w:tcPr>
            <w:tcW w:w="6542" w:type="dxa"/>
            <w:tcBorders>
              <w:tl2br w:val="nil"/>
              <w:tr2bl w:val="nil"/>
            </w:tcBorders>
            <w:noWrap w:val="0"/>
            <w:vAlign w:val="center"/>
          </w:tcPr>
          <w:p w14:paraId="6DDEA8A9">
            <w:pPr>
              <w:pStyle w:val="31"/>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1、本项目实行网上投标，采用电子投标文件。若</w:t>
            </w:r>
            <w:r>
              <w:rPr>
                <w:rFonts w:hint="eastAsia" w:ascii="宋体" w:hAnsi="宋体"/>
                <w:sz w:val="24"/>
                <w:szCs w:val="24"/>
                <w:highlight w:val="none"/>
              </w:rPr>
              <w:t>投标人</w:t>
            </w:r>
            <w:r>
              <w:rPr>
                <w:rFonts w:hint="eastAsia" w:ascii="宋体" w:hAnsi="宋体" w:cs="宋体"/>
                <w:color w:val="auto"/>
                <w:sz w:val="24"/>
                <w:szCs w:val="24"/>
                <w:highlight w:val="none"/>
              </w:rPr>
              <w:t>参与投标，自行承担投标一切费用。</w:t>
            </w:r>
          </w:p>
          <w:p w14:paraId="24ADE5C9">
            <w:pPr>
              <w:pStyle w:val="31"/>
              <w:wordWrap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2、各</w:t>
            </w:r>
            <w:r>
              <w:rPr>
                <w:rFonts w:hint="eastAsia" w:ascii="宋体" w:hAnsi="宋体"/>
                <w:sz w:val="24"/>
                <w:szCs w:val="24"/>
                <w:highlight w:val="none"/>
              </w:rPr>
              <w:t>投标人</w:t>
            </w:r>
            <w:r>
              <w:rPr>
                <w:rFonts w:hint="eastAsia" w:ascii="宋体" w:hAnsi="宋体" w:cs="宋体"/>
                <w:color w:val="auto"/>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宋体" w:hAnsi="宋体"/>
                <w:sz w:val="24"/>
                <w:szCs w:val="24"/>
                <w:highlight w:val="none"/>
              </w:rPr>
              <w:t>投标人</w:t>
            </w:r>
            <w:r>
              <w:rPr>
                <w:rFonts w:hint="eastAsia" w:ascii="宋体" w:hAnsi="宋体" w:cs="宋体"/>
                <w:color w:val="auto"/>
                <w:sz w:val="24"/>
                <w:szCs w:val="24"/>
                <w:highlight w:val="none"/>
              </w:rPr>
              <w:t>自行承担。</w:t>
            </w:r>
          </w:p>
          <w:p w14:paraId="59975095">
            <w:pPr>
              <w:pStyle w:val="31"/>
              <w:wordWrap w:val="0"/>
              <w:snapToGrid w:val="0"/>
              <w:spacing w:line="360" w:lineRule="auto"/>
              <w:jc w:val="both"/>
              <w:rPr>
                <w:rFonts w:hint="eastAsia" w:ascii="宋体" w:hAnsi="宋体" w:cs="宋体"/>
                <w:bCs/>
                <w:sz w:val="28"/>
                <w:szCs w:val="28"/>
                <w:highlight w:val="none"/>
                <w:lang w:val="en-US" w:eastAsia="zh-CN"/>
              </w:rPr>
            </w:pPr>
            <w:r>
              <w:rPr>
                <w:rFonts w:hint="eastAsia" w:ascii="宋体" w:hAnsi="宋体" w:cs="宋体"/>
                <w:color w:val="auto"/>
                <w:sz w:val="24"/>
                <w:szCs w:val="24"/>
                <w:highlight w:val="none"/>
              </w:rPr>
              <w:t>3、</w:t>
            </w:r>
            <w:r>
              <w:rPr>
                <w:rFonts w:hint="eastAsia" w:ascii="宋体" w:hAnsi="宋体"/>
                <w:sz w:val="24"/>
                <w:szCs w:val="24"/>
                <w:highlight w:val="none"/>
              </w:rPr>
              <w:t>投标人</w:t>
            </w:r>
            <w:r>
              <w:rPr>
                <w:rFonts w:hint="eastAsia" w:ascii="宋体" w:hAnsi="宋体" w:cs="宋体"/>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15B0A5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43BC82C2">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w:t>
            </w:r>
          </w:p>
        </w:tc>
        <w:tc>
          <w:tcPr>
            <w:tcW w:w="2493" w:type="dxa"/>
            <w:tcBorders>
              <w:tl2br w:val="nil"/>
              <w:tr2bl w:val="nil"/>
            </w:tcBorders>
            <w:noWrap w:val="0"/>
            <w:vAlign w:val="center"/>
          </w:tcPr>
          <w:p w14:paraId="55DD933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投标文件份数及其他要求</w:t>
            </w:r>
          </w:p>
        </w:tc>
        <w:tc>
          <w:tcPr>
            <w:tcW w:w="6542" w:type="dxa"/>
            <w:tcBorders>
              <w:tl2br w:val="nil"/>
              <w:tr2bl w:val="nil"/>
            </w:tcBorders>
            <w:noWrap w:val="0"/>
            <w:vAlign w:val="top"/>
          </w:tcPr>
          <w:p w14:paraId="6D1E079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电子加密投标文件一份(.jmbs格式)在新疆政府采购网指定位置上传。</w:t>
            </w:r>
          </w:p>
          <w:p w14:paraId="2CB0759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cs="宋体"/>
                <w:sz w:val="24"/>
                <w:szCs w:val="24"/>
                <w:highlight w:val="none"/>
                <w:lang w:eastAsia="zh-CN"/>
              </w:rPr>
              <w:t>投标供应商评标结束后</w:t>
            </w:r>
            <w:r>
              <w:rPr>
                <w:rFonts w:hint="eastAsia" w:ascii="宋体" w:hAnsi="宋体" w:eastAsia="宋体" w:cs="宋体"/>
                <w:sz w:val="24"/>
                <w:szCs w:val="24"/>
                <w:highlight w:val="none"/>
              </w:rPr>
              <w:t>须提供：</w:t>
            </w:r>
          </w:p>
          <w:p w14:paraId="42AB10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w:t>
            </w:r>
            <w:r>
              <w:rPr>
                <w:rFonts w:hint="eastAsia" w:ascii="宋体" w:hAnsi="宋体" w:cs="宋体"/>
                <w:sz w:val="24"/>
                <w:szCs w:val="24"/>
                <w:highlight w:val="none"/>
                <w:lang w:eastAsia="zh-CN"/>
              </w:rPr>
              <w:t>（纸质版）</w:t>
            </w:r>
            <w:r>
              <w:rPr>
                <w:rFonts w:hint="eastAsia" w:ascii="宋体" w:hAnsi="宋体" w:eastAsia="宋体" w:cs="宋体"/>
                <w:sz w:val="24"/>
                <w:szCs w:val="24"/>
                <w:highlight w:val="none"/>
              </w:rPr>
              <w:t>份数：正本一份、副本</w:t>
            </w:r>
            <w:r>
              <w:rPr>
                <w:rFonts w:hint="eastAsia" w:ascii="宋体" w:hAnsi="宋体" w:cs="宋体"/>
                <w:sz w:val="24"/>
                <w:szCs w:val="24"/>
                <w:highlight w:val="none"/>
                <w:lang w:eastAsia="zh-CN"/>
              </w:rPr>
              <w:t>贰</w:t>
            </w:r>
            <w:r>
              <w:rPr>
                <w:rFonts w:hint="eastAsia" w:ascii="宋体" w:hAnsi="宋体" w:eastAsia="宋体" w:cs="宋体"/>
                <w:sz w:val="24"/>
                <w:szCs w:val="24"/>
                <w:highlight w:val="none"/>
              </w:rPr>
              <w:t>份。</w:t>
            </w:r>
          </w:p>
          <w:p w14:paraId="4822063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是否要求提交电子版文件：是，提供整套标书U盘</w:t>
            </w:r>
            <w:r>
              <w:rPr>
                <w:rFonts w:hint="eastAsia" w:ascii="宋体" w:hAnsi="宋体" w:cs="宋体"/>
                <w:sz w:val="24"/>
                <w:szCs w:val="24"/>
                <w:highlight w:val="none"/>
                <w:lang w:val="en-US" w:eastAsia="zh-CN"/>
              </w:rPr>
              <w:t>壹</w:t>
            </w:r>
            <w:r>
              <w:rPr>
                <w:rFonts w:hint="eastAsia" w:ascii="宋体" w:hAnsi="宋体" w:eastAsia="宋体" w:cs="宋体"/>
                <w:sz w:val="24"/>
                <w:szCs w:val="24"/>
                <w:highlight w:val="none"/>
              </w:rPr>
              <w:t>份。</w:t>
            </w:r>
          </w:p>
          <w:p w14:paraId="76A193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p w14:paraId="3DE3C999">
            <w:pPr>
              <w:pStyle w:val="16"/>
              <w:keepNext w:val="0"/>
              <w:keepLines w:val="0"/>
              <w:pageBreakBefore w:val="0"/>
              <w:tabs>
                <w:tab w:val="left" w:pos="1418"/>
                <w:tab w:val="right" w:leader="dot" w:pos="8302"/>
              </w:tabs>
              <w:kinsoku/>
              <w:wordWrap/>
              <w:overflowPunct/>
              <w:topLinePunct w:val="0"/>
              <w:autoSpaceDE/>
              <w:autoSpaceDN/>
              <w:bidi w:val="0"/>
              <w:adjustRightInd w:val="0"/>
              <w:snapToGrid w:val="0"/>
              <w:spacing w:line="360" w:lineRule="auto"/>
              <w:textAlignment w:val="auto"/>
              <w:rPr>
                <w:rFonts w:ascii="宋体" w:hAnsi="宋体" w:cs="宋体"/>
                <w:bCs/>
                <w:sz w:val="24"/>
                <w:szCs w:val="24"/>
                <w:highlight w:val="none"/>
              </w:rPr>
            </w:pPr>
            <w:r>
              <w:rPr>
                <w:rFonts w:hint="eastAsia" w:ascii="宋体" w:hAnsi="宋体" w:eastAsia="宋体" w:cs="宋体"/>
                <w:b/>
                <w:bCs/>
                <w:kern w:val="2"/>
                <w:sz w:val="24"/>
                <w:szCs w:val="24"/>
                <w:highlight w:val="none"/>
              </w:rPr>
              <w:t>若</w:t>
            </w:r>
            <w:r>
              <w:rPr>
                <w:rFonts w:hint="eastAsia" w:ascii="宋体" w:hAnsi="宋体" w:cs="宋体"/>
                <w:b/>
                <w:bCs/>
                <w:kern w:val="2"/>
                <w:sz w:val="24"/>
                <w:szCs w:val="24"/>
                <w:highlight w:val="none"/>
                <w:lang w:eastAsia="zh-CN"/>
              </w:rPr>
              <w:t>采购文件</w:t>
            </w:r>
            <w:r>
              <w:rPr>
                <w:rFonts w:hint="eastAsia" w:ascii="宋体" w:hAnsi="宋体" w:eastAsia="宋体" w:cs="宋体"/>
                <w:b/>
                <w:bCs/>
                <w:kern w:val="2"/>
                <w:sz w:val="24"/>
                <w:szCs w:val="24"/>
                <w:highlight w:val="none"/>
              </w:rPr>
              <w:t>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14:paraId="3CB3FE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1715F706">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2493" w:type="dxa"/>
            <w:tcBorders>
              <w:tl2br w:val="nil"/>
              <w:tr2bl w:val="nil"/>
            </w:tcBorders>
            <w:noWrap w:val="0"/>
            <w:vAlign w:val="center"/>
          </w:tcPr>
          <w:p w14:paraId="60CD021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投标文件是否需分册装订</w:t>
            </w:r>
          </w:p>
        </w:tc>
        <w:tc>
          <w:tcPr>
            <w:tcW w:w="6542" w:type="dxa"/>
            <w:tcBorders>
              <w:tl2br w:val="nil"/>
              <w:tr2bl w:val="nil"/>
            </w:tcBorders>
            <w:noWrap w:val="0"/>
            <w:vAlign w:val="center"/>
          </w:tcPr>
          <w:p w14:paraId="213AE5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14:paraId="3FE4EA2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□需要，分册装订要求：/</w:t>
            </w:r>
          </w:p>
        </w:tc>
      </w:tr>
      <w:tr w14:paraId="513837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17BE17C7">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23</w:t>
            </w:r>
          </w:p>
        </w:tc>
        <w:tc>
          <w:tcPr>
            <w:tcW w:w="2493" w:type="dxa"/>
            <w:tcBorders>
              <w:tl2br w:val="nil"/>
              <w:tr2bl w:val="nil"/>
            </w:tcBorders>
            <w:noWrap w:val="0"/>
            <w:vAlign w:val="center"/>
          </w:tcPr>
          <w:p w14:paraId="070EEA7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6542" w:type="dxa"/>
            <w:tcBorders>
              <w:tl2br w:val="nil"/>
              <w:tr2bl w:val="nil"/>
            </w:tcBorders>
            <w:noWrap w:val="0"/>
            <w:vAlign w:val="center"/>
          </w:tcPr>
          <w:p w14:paraId="1991226F">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24</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lang w:val="en-US" w:eastAsia="zh-CN"/>
              </w:rPr>
              <w:t xml:space="preserve"> 11 ：00</w:t>
            </w:r>
            <w:r>
              <w:rPr>
                <w:rFonts w:hint="eastAsia" w:ascii="宋体" w:hAnsi="宋体" w:cs="宋体"/>
                <w:b/>
                <w:bCs/>
                <w:color w:val="auto"/>
                <w:sz w:val="24"/>
                <w:szCs w:val="24"/>
                <w:highlight w:val="none"/>
                <w:lang w:val="en-US" w:eastAsia="zh-CN"/>
              </w:rPr>
              <w:t>时；电子投标文件递交地点：投标人应于</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24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lang w:val="en-US" w:eastAsia="zh-CN"/>
              </w:rPr>
              <w:t>11：00</w:t>
            </w:r>
            <w:r>
              <w:rPr>
                <w:rFonts w:hint="eastAsia" w:ascii="宋体" w:hAnsi="宋体" w:cs="宋体"/>
                <w:b/>
                <w:bCs/>
                <w:color w:val="auto"/>
                <w:sz w:val="24"/>
                <w:szCs w:val="24"/>
                <w:highlight w:val="none"/>
                <w:lang w:val="en-US" w:eastAsia="zh-CN"/>
              </w:rPr>
              <w:t>时之前将电子投标文件上传到“政采云”平台</w:t>
            </w:r>
            <w:r>
              <w:rPr>
                <w:rFonts w:hint="eastAsia" w:ascii="宋体" w:hAnsi="宋体" w:cs="宋体"/>
                <w:b/>
                <w:bCs/>
                <w:sz w:val="24"/>
                <w:szCs w:val="24"/>
                <w:highlight w:val="none"/>
                <w:lang w:val="en-US" w:eastAsia="zh-CN"/>
              </w:rPr>
              <w:t>。应按照本项目采购文件和政采云平台的要求编制、加密传输投标文件。投标人在使用系统进行投标的过程中遇到涉及平台使用的任何问题，可致电政采云平台技术支持热线咨询，联系方式：400-881-7190。</w:t>
            </w:r>
          </w:p>
          <w:p w14:paraId="03CA4986">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sz w:val="24"/>
                <w:szCs w:val="24"/>
                <w:highlight w:val="none"/>
                <w:u w:val="single"/>
                <w:lang w:val="en-US" w:eastAsia="zh-CN"/>
              </w:rPr>
              <w:t>30</w:t>
            </w:r>
            <w:r>
              <w:rPr>
                <w:rFonts w:hint="eastAsia" w:ascii="宋体" w:hAnsi="宋体" w:cs="宋体"/>
                <w:b/>
                <w:bCs/>
                <w:sz w:val="24"/>
                <w:szCs w:val="24"/>
                <w:highlight w:val="none"/>
                <w:lang w:val="en-US" w:eastAsia="zh-CN"/>
              </w:rPr>
              <w:t>分钟内解密投标文件；</w:t>
            </w:r>
          </w:p>
          <w:p w14:paraId="33323913">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14:paraId="45C2666C">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14:paraId="104CE3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0E193585">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24</w:t>
            </w:r>
          </w:p>
        </w:tc>
        <w:tc>
          <w:tcPr>
            <w:tcW w:w="2493" w:type="dxa"/>
            <w:tcBorders>
              <w:tl2br w:val="nil"/>
              <w:tr2bl w:val="nil"/>
            </w:tcBorders>
            <w:noWrap w:val="0"/>
            <w:vAlign w:val="center"/>
          </w:tcPr>
          <w:p w14:paraId="7CC67E8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投标文件解密时间</w:t>
            </w:r>
          </w:p>
        </w:tc>
        <w:tc>
          <w:tcPr>
            <w:tcW w:w="6542" w:type="dxa"/>
            <w:tcBorders>
              <w:tl2br w:val="nil"/>
              <w:tr2bl w:val="nil"/>
            </w:tcBorders>
            <w:noWrap w:val="0"/>
            <w:vAlign w:val="top"/>
          </w:tcPr>
          <w:p w14:paraId="7992AEA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24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lang w:val="en-US" w:eastAsia="zh-CN"/>
              </w:rPr>
              <w:t xml:space="preserve"> 11：00</w:t>
            </w:r>
            <w:r>
              <w:rPr>
                <w:rFonts w:hint="eastAsia" w:ascii="宋体" w:hAnsi="宋体" w:cs="宋体"/>
                <w:b/>
                <w:bCs/>
                <w:color w:val="auto"/>
                <w:sz w:val="24"/>
                <w:szCs w:val="24"/>
                <w:highlight w:val="none"/>
                <w:lang w:val="en-US" w:eastAsia="zh-CN"/>
              </w:rPr>
              <w:t>时</w:t>
            </w:r>
            <w:r>
              <w:rPr>
                <w:rFonts w:hint="eastAsia" w:ascii="宋体" w:hAnsi="宋体" w:eastAsia="宋体" w:cs="宋体"/>
                <w:b/>
                <w:bCs w:val="0"/>
                <w:color w:val="auto"/>
                <w:kern w:val="2"/>
                <w:sz w:val="24"/>
                <w:szCs w:val="24"/>
                <w:highlight w:val="none"/>
                <w:lang w:val="en-US" w:eastAsia="zh-CN" w:bidi="ar-SA"/>
              </w:rPr>
              <w:t>之前将电子投标文件上传到“政采云”平台。开标时间后</w:t>
            </w:r>
            <w:r>
              <w:rPr>
                <w:rFonts w:hint="eastAsia" w:ascii="宋体" w:hAnsi="宋体" w:cs="宋体"/>
                <w:b/>
                <w:bCs w:val="0"/>
                <w:color w:val="auto"/>
                <w:kern w:val="2"/>
                <w:sz w:val="24"/>
                <w:szCs w:val="24"/>
                <w:highlight w:val="none"/>
                <w:lang w:val="en-US" w:eastAsia="zh-CN" w:bidi="ar-SA"/>
              </w:rPr>
              <w:t>30</w:t>
            </w:r>
            <w:r>
              <w:rPr>
                <w:rFonts w:hint="eastAsia" w:ascii="宋体" w:hAnsi="宋体" w:eastAsia="宋体" w:cs="宋体"/>
                <w:b/>
                <w:bCs w:val="0"/>
                <w:color w:val="auto"/>
                <w:kern w:val="2"/>
                <w:sz w:val="24"/>
                <w:szCs w:val="24"/>
                <w:highlight w:val="none"/>
                <w:lang w:val="en-US" w:eastAsia="zh-CN" w:bidi="ar-SA"/>
              </w:rPr>
              <w:t>分钟内</w:t>
            </w:r>
            <w:r>
              <w:rPr>
                <w:rFonts w:hint="eastAsia" w:ascii="宋体" w:hAnsi="宋体" w:cs="宋体"/>
                <w:b/>
                <w:bCs w:val="0"/>
                <w:color w:val="000000"/>
                <w:kern w:val="2"/>
                <w:sz w:val="24"/>
                <w:szCs w:val="24"/>
                <w:highlight w:val="none"/>
                <w:lang w:val="en-US" w:eastAsia="zh-CN" w:bidi="ar-SA"/>
              </w:rPr>
              <w:t>，</w:t>
            </w:r>
            <w:r>
              <w:rPr>
                <w:rFonts w:hint="eastAsia" w:ascii="宋体" w:hAnsi="宋体" w:eastAsia="宋体" w:cs="宋体"/>
                <w:b/>
                <w:bCs w:val="0"/>
                <w:color w:val="000000"/>
                <w:kern w:val="2"/>
                <w:sz w:val="24"/>
                <w:szCs w:val="24"/>
                <w:highlight w:val="none"/>
                <w:lang w:val="en-US" w:eastAsia="zh-CN" w:bidi="ar-SA"/>
              </w:rPr>
              <w:t>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14:paraId="06F11A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74031B23">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25</w:t>
            </w:r>
          </w:p>
        </w:tc>
        <w:tc>
          <w:tcPr>
            <w:tcW w:w="2493" w:type="dxa"/>
            <w:tcBorders>
              <w:tl2br w:val="nil"/>
              <w:tr2bl w:val="nil"/>
            </w:tcBorders>
            <w:noWrap w:val="0"/>
            <w:vAlign w:val="center"/>
          </w:tcPr>
          <w:p w14:paraId="5854034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是否采用电子招标投标</w:t>
            </w:r>
          </w:p>
        </w:tc>
        <w:tc>
          <w:tcPr>
            <w:tcW w:w="6542" w:type="dxa"/>
            <w:tcBorders>
              <w:tl2br w:val="nil"/>
              <w:tr2bl w:val="nil"/>
            </w:tcBorders>
            <w:noWrap w:val="0"/>
            <w:vAlign w:val="top"/>
          </w:tcPr>
          <w:p w14:paraId="49A3B72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□否</w:t>
            </w:r>
          </w:p>
          <w:p w14:paraId="07FD9AB1">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14:paraId="2AC52D97">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eastAsia="宋体" w:cs="宋体"/>
                <w:kern w:val="2"/>
                <w:sz w:val="24"/>
                <w:szCs w:val="24"/>
                <w:highlight w:val="none"/>
                <w:lang w:val="en-US" w:eastAsia="zh-CN"/>
              </w:rPr>
              <w:t>30</w:t>
            </w:r>
            <w:r>
              <w:rPr>
                <w:rFonts w:hint="eastAsia" w:ascii="宋体" w:hAnsi="宋体" w:eastAsia="宋体" w:cs="宋体"/>
                <w:kern w:val="2"/>
                <w:sz w:val="24"/>
                <w:szCs w:val="24"/>
                <w:highlight w:val="none"/>
              </w:rPr>
              <w:t>分钟，开标前需投标单位用CA证书登录政采云平台开标大厅签到，在</w:t>
            </w:r>
            <w:r>
              <w:rPr>
                <w:rFonts w:hint="eastAsia" w:ascii="宋体" w:hAnsi="宋体" w:cs="宋体"/>
                <w:kern w:val="2"/>
                <w:sz w:val="24"/>
                <w:szCs w:val="24"/>
                <w:highlight w:val="none"/>
                <w:lang w:val="en-US" w:eastAsia="zh-CN"/>
              </w:rPr>
              <w:t>30</w:t>
            </w:r>
            <w:r>
              <w:rPr>
                <w:rFonts w:hint="eastAsia" w:ascii="宋体" w:hAnsi="宋体" w:eastAsia="宋体" w:cs="宋体"/>
                <w:kern w:val="2"/>
                <w:sz w:val="24"/>
                <w:szCs w:val="24"/>
                <w:highlight w:val="none"/>
              </w:rPr>
              <w:t>分钟解密时间内输入CA证书PIN码解密投标文件。在</w:t>
            </w:r>
            <w:r>
              <w:rPr>
                <w:rFonts w:hint="eastAsia" w:ascii="宋体" w:hAnsi="宋体" w:cs="宋体"/>
                <w:kern w:val="2"/>
                <w:sz w:val="24"/>
                <w:szCs w:val="24"/>
                <w:highlight w:val="none"/>
                <w:lang w:val="en-US" w:eastAsia="zh-CN"/>
              </w:rPr>
              <w:t>30</w:t>
            </w:r>
            <w:r>
              <w:rPr>
                <w:rFonts w:hint="eastAsia" w:ascii="宋体" w:hAnsi="宋体" w:eastAsia="宋体" w:cs="宋体"/>
                <w:kern w:val="2"/>
                <w:sz w:val="24"/>
                <w:szCs w:val="24"/>
                <w:highlight w:val="none"/>
              </w:rPr>
              <w:t>分钟解密时间内未进行解密的投标单位将导致废标。（解密时间开始时政采云平台将以短信形式向供应商在政采云平台预留的手机号发送短信通知，请供应商及时关注。）</w:t>
            </w:r>
          </w:p>
          <w:p w14:paraId="62A4F85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14:paraId="0A71E52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14:paraId="76B80200">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39C536C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059333B1">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67619980">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00C59EE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14:paraId="359DE20A">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03CBBE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72903349">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26</w:t>
            </w:r>
          </w:p>
        </w:tc>
        <w:tc>
          <w:tcPr>
            <w:tcW w:w="2493" w:type="dxa"/>
            <w:tcBorders>
              <w:tl2br w:val="nil"/>
              <w:tr2bl w:val="nil"/>
            </w:tcBorders>
            <w:noWrap w:val="0"/>
            <w:vAlign w:val="center"/>
          </w:tcPr>
          <w:p w14:paraId="545117CB">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评标办法</w:t>
            </w:r>
          </w:p>
        </w:tc>
        <w:tc>
          <w:tcPr>
            <w:tcW w:w="6542" w:type="dxa"/>
            <w:tcBorders>
              <w:tl2br w:val="nil"/>
              <w:tr2bl w:val="nil"/>
            </w:tcBorders>
            <w:noWrap w:val="0"/>
            <w:vAlign w:val="center"/>
          </w:tcPr>
          <w:p w14:paraId="6DF67522">
            <w:pPr>
              <w:spacing w:line="360" w:lineRule="auto"/>
              <w:rPr>
                <w:rFonts w:hint="eastAsia" w:ascii="宋体" w:hAnsi="宋体" w:eastAsia="宋体" w:cs="宋体"/>
                <w:kern w:val="2"/>
                <w:sz w:val="21"/>
                <w:highlight w:val="none"/>
                <w:lang w:val="en-US" w:eastAsia="zh-CN" w:bidi="ar-SA"/>
              </w:rPr>
            </w:pPr>
            <w:r>
              <w:rPr>
                <w:rFonts w:hint="eastAsia" w:ascii="宋体" w:hAnsi="宋体" w:cs="宋体"/>
                <w:sz w:val="24"/>
                <w:szCs w:val="24"/>
                <w:highlight w:val="none"/>
              </w:rPr>
              <w:t>综合评分法</w:t>
            </w:r>
          </w:p>
        </w:tc>
      </w:tr>
      <w:tr w14:paraId="64E929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6A05D8FD">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27</w:t>
            </w:r>
          </w:p>
        </w:tc>
        <w:tc>
          <w:tcPr>
            <w:tcW w:w="2493" w:type="dxa"/>
            <w:tcBorders>
              <w:tl2br w:val="nil"/>
              <w:tr2bl w:val="nil"/>
            </w:tcBorders>
            <w:noWrap w:val="0"/>
            <w:vAlign w:val="center"/>
          </w:tcPr>
          <w:p w14:paraId="098CF5E5">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6542" w:type="dxa"/>
            <w:tcBorders>
              <w:tl2br w:val="nil"/>
              <w:tr2bl w:val="nil"/>
            </w:tcBorders>
            <w:noWrap w:val="0"/>
            <w:vAlign w:val="center"/>
          </w:tcPr>
          <w:p w14:paraId="32EA4A01">
            <w:pPr>
              <w:spacing w:line="360" w:lineRule="auto"/>
              <w:rPr>
                <w:rFonts w:hint="eastAsia" w:ascii="宋体" w:hAnsi="宋体" w:eastAsia="宋体" w:cs="宋体"/>
                <w:kern w:val="2"/>
                <w:sz w:val="21"/>
                <w:highlight w:val="none"/>
                <w:lang w:val="en-US" w:eastAsia="zh-CN" w:bidi="ar-SA"/>
              </w:rPr>
            </w:pPr>
            <w:r>
              <w:rPr>
                <w:rFonts w:hint="eastAsia" w:ascii="宋体" w:hAnsi="宋体" w:cs="宋体"/>
                <w:color w:val="000000"/>
                <w:sz w:val="24"/>
                <w:highlight w:val="none"/>
              </w:rPr>
              <w:t>新疆政府采购网（www.ccgp-xinjiang.gov.cn/）</w:t>
            </w:r>
          </w:p>
        </w:tc>
      </w:tr>
      <w:tr w14:paraId="46BCF0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1BC4AD30">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28</w:t>
            </w:r>
          </w:p>
        </w:tc>
        <w:tc>
          <w:tcPr>
            <w:tcW w:w="2493" w:type="dxa"/>
            <w:tcBorders>
              <w:tl2br w:val="nil"/>
              <w:tr2bl w:val="nil"/>
            </w:tcBorders>
            <w:noWrap w:val="0"/>
            <w:vAlign w:val="center"/>
          </w:tcPr>
          <w:p w14:paraId="3B3C781B">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新宋体" w:hAnsi="新宋体" w:eastAsia="新宋体" w:cs="新宋体"/>
                <w:sz w:val="24"/>
                <w:szCs w:val="24"/>
                <w:highlight w:val="none"/>
              </w:rPr>
              <w:t>资格审查</w:t>
            </w:r>
          </w:p>
        </w:tc>
        <w:tc>
          <w:tcPr>
            <w:tcW w:w="6542" w:type="dxa"/>
            <w:tcBorders>
              <w:tl2br w:val="nil"/>
              <w:tr2bl w:val="nil"/>
            </w:tcBorders>
            <w:noWrap w:val="0"/>
            <w:vAlign w:val="center"/>
          </w:tcPr>
          <w:p w14:paraId="3655E0E8">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07F3CD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46958715">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2493" w:type="dxa"/>
            <w:tcBorders>
              <w:tl2br w:val="nil"/>
              <w:tr2bl w:val="nil"/>
            </w:tcBorders>
            <w:noWrap w:val="0"/>
            <w:vAlign w:val="center"/>
          </w:tcPr>
          <w:p w14:paraId="0D11909E">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推荐中标候选人的数量</w:t>
            </w:r>
          </w:p>
        </w:tc>
        <w:tc>
          <w:tcPr>
            <w:tcW w:w="6542" w:type="dxa"/>
            <w:tcBorders>
              <w:tl2br w:val="nil"/>
              <w:tr2bl w:val="nil"/>
            </w:tcBorders>
            <w:noWrap w:val="0"/>
            <w:vAlign w:val="center"/>
          </w:tcPr>
          <w:p w14:paraId="7C678B24">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3</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tc>
      </w:tr>
      <w:tr w14:paraId="4DE50E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7438C5EF">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w:t>
            </w:r>
          </w:p>
        </w:tc>
        <w:tc>
          <w:tcPr>
            <w:tcW w:w="2493" w:type="dxa"/>
            <w:tcBorders>
              <w:tl2br w:val="nil"/>
              <w:tr2bl w:val="nil"/>
            </w:tcBorders>
            <w:noWrap w:val="0"/>
            <w:vAlign w:val="center"/>
          </w:tcPr>
          <w:p w14:paraId="54656901">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确定中标人的方式</w:t>
            </w:r>
          </w:p>
        </w:tc>
        <w:tc>
          <w:tcPr>
            <w:tcW w:w="6542" w:type="dxa"/>
            <w:tcBorders>
              <w:tl2br w:val="nil"/>
              <w:tr2bl w:val="nil"/>
            </w:tcBorders>
            <w:noWrap w:val="0"/>
            <w:vAlign w:val="center"/>
          </w:tcPr>
          <w:p w14:paraId="2D6AA170">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p w14:paraId="20A3B30A">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采购人委托评标委员会直接确定中标人</w:t>
            </w:r>
          </w:p>
          <w:p w14:paraId="2AC3B855">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采购人确定中标人</w:t>
            </w:r>
          </w:p>
        </w:tc>
      </w:tr>
      <w:tr w14:paraId="515C15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543BFAF4">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31</w:t>
            </w:r>
          </w:p>
        </w:tc>
        <w:tc>
          <w:tcPr>
            <w:tcW w:w="2493" w:type="dxa"/>
            <w:tcBorders>
              <w:tl2br w:val="nil"/>
              <w:tr2bl w:val="nil"/>
            </w:tcBorders>
            <w:noWrap w:val="0"/>
            <w:vAlign w:val="center"/>
          </w:tcPr>
          <w:p w14:paraId="4E6CE3C2">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中标（成交）结果公告发布媒介</w:t>
            </w:r>
          </w:p>
        </w:tc>
        <w:tc>
          <w:tcPr>
            <w:tcW w:w="6542" w:type="dxa"/>
            <w:tcBorders>
              <w:tl2br w:val="nil"/>
              <w:tr2bl w:val="nil"/>
            </w:tcBorders>
            <w:noWrap w:val="0"/>
            <w:vAlign w:val="center"/>
          </w:tcPr>
          <w:p w14:paraId="3F49462E">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14:paraId="3279C5F9">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14:paraId="75CE7E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1D6B4A81">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32</w:t>
            </w:r>
          </w:p>
        </w:tc>
        <w:tc>
          <w:tcPr>
            <w:tcW w:w="2493" w:type="dxa"/>
            <w:tcBorders>
              <w:tl2br w:val="nil"/>
              <w:tr2bl w:val="nil"/>
            </w:tcBorders>
            <w:noWrap w:val="0"/>
            <w:vAlign w:val="center"/>
          </w:tcPr>
          <w:p w14:paraId="6D24BB9D">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中标（成交）通知书</w:t>
            </w:r>
          </w:p>
        </w:tc>
        <w:tc>
          <w:tcPr>
            <w:tcW w:w="6542" w:type="dxa"/>
            <w:tcBorders>
              <w:tl2br w:val="nil"/>
              <w:tr2bl w:val="nil"/>
            </w:tcBorders>
            <w:noWrap w:val="0"/>
            <w:vAlign w:val="center"/>
          </w:tcPr>
          <w:p w14:paraId="03781E9A">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中标（成交）结果公告1工作日无异议后发放</w:t>
            </w:r>
          </w:p>
        </w:tc>
      </w:tr>
      <w:tr w14:paraId="3378EE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0CF78A0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33</w:t>
            </w:r>
          </w:p>
        </w:tc>
        <w:tc>
          <w:tcPr>
            <w:tcW w:w="2493" w:type="dxa"/>
            <w:tcBorders>
              <w:tl2br w:val="nil"/>
              <w:tr2bl w:val="nil"/>
            </w:tcBorders>
            <w:noWrap w:val="0"/>
            <w:vAlign w:val="center"/>
          </w:tcPr>
          <w:p w14:paraId="7A1A55F2">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开标时投标供应商需提供下列</w:t>
            </w:r>
            <w:r>
              <w:rPr>
                <w:rFonts w:hint="eastAsia" w:ascii="宋体" w:hAnsi="宋体" w:cs="宋体"/>
                <w:color w:val="000000"/>
                <w:sz w:val="24"/>
                <w:szCs w:val="24"/>
                <w:highlight w:val="none"/>
                <w:lang w:val="en-US" w:eastAsia="zh-CN"/>
              </w:rPr>
              <w:t>资格证明文件</w:t>
            </w:r>
          </w:p>
        </w:tc>
        <w:tc>
          <w:tcPr>
            <w:tcW w:w="6542" w:type="dxa"/>
            <w:tcBorders>
              <w:tl2br w:val="nil"/>
              <w:tr2bl w:val="nil"/>
            </w:tcBorders>
            <w:noWrap w:val="0"/>
            <w:vAlign w:val="center"/>
          </w:tcPr>
          <w:p w14:paraId="262D6E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开标前，请各投标人将下列有效证件</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由资格审查小组进行</w:t>
            </w:r>
            <w:r>
              <w:rPr>
                <w:rFonts w:hint="eastAsia" w:ascii="宋体" w:hAnsi="宋体" w:eastAsia="宋体" w:cs="宋体"/>
                <w:color w:val="auto"/>
                <w:sz w:val="24"/>
                <w:szCs w:val="24"/>
                <w:highlight w:val="none"/>
              </w:rPr>
              <w:t>查验。</w:t>
            </w:r>
          </w:p>
          <w:p w14:paraId="6A940FBF">
            <w:pPr>
              <w:numPr>
                <w:ilvl w:val="0"/>
                <w:numId w:val="0"/>
              </w:numPr>
              <w:spacing w:line="360" w:lineRule="auto"/>
              <w:rPr>
                <w:rStyle w:val="23"/>
                <w:rFonts w:hint="eastAsia"/>
                <w:lang w:val="zh-CN" w:eastAsia="zh-CN"/>
              </w:rPr>
            </w:pPr>
            <w:r>
              <w:rPr>
                <w:rStyle w:val="23"/>
                <w:rFonts w:hint="eastAsia"/>
                <w:lang w:eastAsia="zh-CN"/>
              </w:rPr>
              <w:t>（</w:t>
            </w:r>
            <w:r>
              <w:rPr>
                <w:rStyle w:val="23"/>
                <w:rFonts w:hint="eastAsia"/>
                <w:lang w:val="en-US" w:eastAsia="zh-CN"/>
              </w:rPr>
              <w:t>1</w:t>
            </w:r>
            <w:r>
              <w:rPr>
                <w:rStyle w:val="23"/>
                <w:rFonts w:hint="eastAsia"/>
                <w:lang w:eastAsia="zh-CN"/>
              </w:rPr>
              <w:t>）</w:t>
            </w:r>
            <w:r>
              <w:rPr>
                <w:rStyle w:val="23"/>
                <w:rFonts w:hint="eastAsia"/>
              </w:rPr>
              <w:t>法定代表人身份证（驾驶执照正本、护照或公安部门的相关证明）或法定代表人授权委托书原件和</w:t>
            </w:r>
            <w:r>
              <w:rPr>
                <w:rStyle w:val="23"/>
                <w:rFonts w:hint="eastAsia"/>
                <w:lang w:val="en-US" w:eastAsia="zh-CN"/>
              </w:rPr>
              <w:t>被</w:t>
            </w:r>
            <w:r>
              <w:rPr>
                <w:rStyle w:val="23"/>
                <w:rFonts w:hint="eastAsia"/>
              </w:rPr>
              <w:t>授权委托人的身份证（驾驶执照正本、护照或公安部门的相关证明），并与投标文件中所提供的相一致；（2）</w:t>
            </w:r>
            <w:r>
              <w:rPr>
                <w:rStyle w:val="23"/>
                <w:rFonts w:hint="eastAsia"/>
                <w:lang w:val="en-US" w:eastAsia="zh-CN"/>
              </w:rPr>
              <w:t>具有独立承担民事责任能力的法人或者其他组织（提供合法有效的法人营业执照或其他证明资料）</w:t>
            </w:r>
            <w:r>
              <w:rPr>
                <w:rStyle w:val="23"/>
                <w:rFonts w:hint="eastAsia"/>
              </w:rPr>
              <w:t>；（</w:t>
            </w:r>
            <w:r>
              <w:rPr>
                <w:rStyle w:val="23"/>
                <w:rFonts w:hint="eastAsia"/>
                <w:lang w:val="en-US" w:eastAsia="zh-CN"/>
              </w:rPr>
              <w:t>3</w:t>
            </w:r>
            <w:r>
              <w:rPr>
                <w:rStyle w:val="23"/>
                <w:rFonts w:hint="eastAsia"/>
              </w:rPr>
              <w:t>）</w:t>
            </w:r>
            <w:r>
              <w:rPr>
                <w:rStyle w:val="23"/>
                <w:rFonts w:hint="eastAsia"/>
                <w:lang w:val="en-US" w:eastAsia="zh-CN"/>
              </w:rPr>
              <w:t>采购代理机构开具的投标保证金收据或保函</w:t>
            </w:r>
            <w:r>
              <w:rPr>
                <w:rStyle w:val="23"/>
                <w:rFonts w:hint="eastAsia"/>
                <w:lang w:eastAsia="zh-CN"/>
              </w:rPr>
              <w:t>；</w:t>
            </w:r>
            <w:r>
              <w:rPr>
                <w:rStyle w:val="23"/>
                <w:rFonts w:hint="eastAsia"/>
                <w:lang w:val="en-US" w:eastAsia="zh-CN"/>
              </w:rPr>
              <w:t>（4）</w:t>
            </w:r>
            <w:r>
              <w:rPr>
                <w:rStyle w:val="23"/>
                <w:rFonts w:hint="eastAsia"/>
                <w:lang w:val="zh-CN" w:eastAsia="zh-CN"/>
              </w:rPr>
              <w:t>投标人须提供投标截止日前半年内任意一个月的纳税及社保缴纳的证明材料（如依法免税的，应提供相应文件证明其依法免税；如依法不需要缴纳社会保险费的，应提供相应文件证明其不需要缴纳社会保险费）；（</w:t>
            </w:r>
            <w:r>
              <w:rPr>
                <w:rStyle w:val="23"/>
                <w:rFonts w:hint="eastAsia"/>
                <w:lang w:val="en-US" w:eastAsia="zh-CN"/>
              </w:rPr>
              <w:t>5</w:t>
            </w:r>
            <w:r>
              <w:rPr>
                <w:rStyle w:val="23"/>
                <w:rFonts w:hint="eastAsia"/>
                <w:lang w:val="zh-CN" w:eastAsia="zh-CN"/>
              </w:rPr>
              <w:t>）信用中国、中国政府采购网查询结果截图（采购公告发布</w:t>
            </w:r>
            <w:r>
              <w:rPr>
                <w:rStyle w:val="23"/>
                <w:rFonts w:hint="eastAsia"/>
                <w:lang w:val="en-US" w:eastAsia="zh-CN"/>
              </w:rPr>
              <w:t>之日起至投标截止时间内</w:t>
            </w:r>
            <w:r>
              <w:rPr>
                <w:rStyle w:val="23"/>
                <w:rFonts w:hint="eastAsia"/>
                <w:lang w:val="zh-CN" w:eastAsia="zh-CN"/>
              </w:rPr>
              <w:t>从上述网站中打印并加盖企业公章）。</w:t>
            </w:r>
          </w:p>
          <w:p w14:paraId="45CD0616">
            <w:pPr>
              <w:spacing w:line="360" w:lineRule="auto"/>
              <w:rPr>
                <w:rFonts w:hint="eastAsia" w:ascii="宋体" w:hAnsi="宋体" w:eastAsia="宋体" w:cs="宋体"/>
                <w:color w:val="0000FF"/>
                <w:kern w:val="2"/>
                <w:sz w:val="24"/>
                <w:szCs w:val="24"/>
                <w:highlight w:val="none"/>
                <w:lang w:val="en-US" w:eastAsia="zh-CN" w:bidi="ar-SA"/>
              </w:rPr>
            </w:pPr>
            <w:r>
              <w:rPr>
                <w:rStyle w:val="23"/>
                <w:rFonts w:hint="eastAsia"/>
                <w:lang w:val="en-US" w:eastAsia="zh-CN"/>
              </w:rPr>
              <w:t>说明：1、上述资料为开标时资格审查的必备条件，如果缺项或不符合要求则视为对采购文件资格审查内容的不响应，投标将被拒绝（电子版投标文件内所有资格证明文件，投标人须逐页加盖电子签章）；2、开标前，请各投标人将上述有效证件的扫描件上传到“政采云”平台待开标时查验，上述证件的公证件本次采购不予认可。</w:t>
            </w:r>
          </w:p>
        </w:tc>
      </w:tr>
      <w:tr w14:paraId="1EFF5F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299BCB59">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34</w:t>
            </w:r>
          </w:p>
        </w:tc>
        <w:tc>
          <w:tcPr>
            <w:tcW w:w="2493" w:type="dxa"/>
            <w:tcBorders>
              <w:tl2br w:val="nil"/>
              <w:tr2bl w:val="nil"/>
            </w:tcBorders>
            <w:noWrap w:val="0"/>
            <w:vAlign w:val="center"/>
          </w:tcPr>
          <w:p w14:paraId="1E366A58">
            <w:pPr>
              <w:pStyle w:val="32"/>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评标委员会的组建</w:t>
            </w:r>
          </w:p>
        </w:tc>
        <w:tc>
          <w:tcPr>
            <w:tcW w:w="6542" w:type="dxa"/>
            <w:tcBorders>
              <w:tl2br w:val="nil"/>
              <w:tr2bl w:val="nil"/>
            </w:tcBorders>
            <w:noWrap w:val="0"/>
            <w:vAlign w:val="center"/>
          </w:tcPr>
          <w:p w14:paraId="2A89E4F9">
            <w:pPr>
              <w:pStyle w:val="32"/>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评标委员会构成：</w:t>
            </w:r>
            <w:r>
              <w:rPr>
                <w:rFonts w:hint="eastAsia" w:ascii="宋体" w:hAnsi="宋体" w:cs="宋体"/>
                <w:kern w:val="0"/>
                <w:sz w:val="24"/>
                <w:szCs w:val="28"/>
                <w:highlight w:val="none"/>
                <w:lang w:val="en-US" w:eastAsia="zh-CN"/>
              </w:rPr>
              <w:t>5</w:t>
            </w:r>
            <w:r>
              <w:rPr>
                <w:rFonts w:hint="eastAsia" w:ascii="宋体" w:hAnsi="宋体" w:cs="宋体"/>
                <w:kern w:val="0"/>
                <w:sz w:val="24"/>
                <w:szCs w:val="28"/>
                <w:highlight w:val="none"/>
              </w:rPr>
              <w:t>人，其中采购人代表1人（限采购人在职人员，且应当具备评标专家相应的或类似的条件），专家</w:t>
            </w:r>
            <w:r>
              <w:rPr>
                <w:rFonts w:hint="eastAsia" w:ascii="宋体" w:hAnsi="宋体" w:cs="宋体"/>
                <w:kern w:val="0"/>
                <w:sz w:val="24"/>
                <w:szCs w:val="28"/>
                <w:highlight w:val="none"/>
                <w:lang w:val="en-US" w:eastAsia="zh-CN"/>
              </w:rPr>
              <w:t>4</w:t>
            </w:r>
            <w:r>
              <w:rPr>
                <w:rFonts w:hint="eastAsia" w:ascii="宋体" w:hAnsi="宋体" w:cs="宋体"/>
                <w:kern w:val="0"/>
                <w:sz w:val="24"/>
                <w:szCs w:val="28"/>
                <w:highlight w:val="none"/>
              </w:rPr>
              <w:t>人；评标专家确定方式：从新疆政府采购网专家库中随机抽取。</w:t>
            </w:r>
          </w:p>
        </w:tc>
      </w:tr>
      <w:tr w14:paraId="0DB849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504C2696">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35</w:t>
            </w:r>
          </w:p>
        </w:tc>
        <w:tc>
          <w:tcPr>
            <w:tcW w:w="2493" w:type="dxa"/>
            <w:tcBorders>
              <w:tl2br w:val="nil"/>
              <w:tr2bl w:val="nil"/>
            </w:tcBorders>
            <w:noWrap w:val="0"/>
            <w:vAlign w:val="center"/>
          </w:tcPr>
          <w:p w14:paraId="34589733">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履约保证金</w:t>
            </w:r>
          </w:p>
        </w:tc>
        <w:tc>
          <w:tcPr>
            <w:tcW w:w="6542" w:type="dxa"/>
            <w:tcBorders>
              <w:tl2br w:val="nil"/>
              <w:tr2bl w:val="nil"/>
            </w:tcBorders>
            <w:noWrap w:val="0"/>
            <w:vAlign w:val="center"/>
          </w:tcPr>
          <w:p w14:paraId="2264ECE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本项目不收取履约保证金</w:t>
            </w:r>
          </w:p>
          <w:p w14:paraId="7396F93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本项目收取履约保证金</w:t>
            </w:r>
          </w:p>
          <w:p w14:paraId="76C40E80">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14:paraId="140D242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14:paraId="25B9C77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履约保证金递交方式：□保函   □支票  □电汇</w:t>
            </w:r>
          </w:p>
          <w:p w14:paraId="1A0EFC3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账户信息：</w:t>
            </w:r>
            <w:r>
              <w:rPr>
                <w:rFonts w:hint="eastAsia" w:ascii="宋体" w:hAnsi="宋体" w:eastAsia="宋体" w:cs="宋体"/>
                <w:color w:val="auto"/>
                <w:kern w:val="0"/>
                <w:szCs w:val="21"/>
                <w:highlight w:val="none"/>
                <w:u w:val="single"/>
              </w:rPr>
              <w:t xml:space="preserve">                 </w:t>
            </w:r>
          </w:p>
          <w:p w14:paraId="2223B8B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14:paraId="69141C93">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14:paraId="58DCBF6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14:paraId="2D0AE712">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tc>
      </w:tr>
      <w:tr w14:paraId="6765DB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4DFD889B">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36</w:t>
            </w:r>
          </w:p>
        </w:tc>
        <w:tc>
          <w:tcPr>
            <w:tcW w:w="2493" w:type="dxa"/>
            <w:tcBorders>
              <w:tl2br w:val="nil"/>
              <w:tr2bl w:val="nil"/>
            </w:tcBorders>
            <w:noWrap w:val="0"/>
            <w:vAlign w:val="center"/>
          </w:tcPr>
          <w:p w14:paraId="454F8D0A">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合同签订</w:t>
            </w:r>
          </w:p>
        </w:tc>
        <w:tc>
          <w:tcPr>
            <w:tcW w:w="6542" w:type="dxa"/>
            <w:tcBorders>
              <w:tl2br w:val="nil"/>
              <w:tr2bl w:val="nil"/>
            </w:tcBorders>
            <w:noWrap w:val="0"/>
            <w:vAlign w:val="center"/>
          </w:tcPr>
          <w:p w14:paraId="69688553">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采购人与中标供应商在代理具体项目时自行约定，双方并签订具体服务合同</w:t>
            </w:r>
          </w:p>
        </w:tc>
      </w:tr>
      <w:tr w14:paraId="38EB11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3F10FFAA">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37</w:t>
            </w:r>
          </w:p>
        </w:tc>
        <w:tc>
          <w:tcPr>
            <w:tcW w:w="2493" w:type="dxa"/>
            <w:tcBorders>
              <w:tl2br w:val="nil"/>
              <w:tr2bl w:val="nil"/>
            </w:tcBorders>
            <w:noWrap w:val="0"/>
            <w:vAlign w:val="center"/>
          </w:tcPr>
          <w:p w14:paraId="74756D23">
            <w:pPr>
              <w:pStyle w:val="32"/>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低于成本价不正当竞争预防措施</w:t>
            </w:r>
          </w:p>
        </w:tc>
        <w:tc>
          <w:tcPr>
            <w:tcW w:w="6542" w:type="dxa"/>
            <w:tcBorders>
              <w:tl2br w:val="nil"/>
              <w:tr2bl w:val="nil"/>
            </w:tcBorders>
            <w:noWrap w:val="0"/>
            <w:vAlign w:val="center"/>
          </w:tcPr>
          <w:p w14:paraId="542F9EB7">
            <w:pPr>
              <w:pStyle w:val="32"/>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110D60F1">
            <w:pPr>
              <w:pStyle w:val="32"/>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71D21C72">
            <w:pPr>
              <w:pStyle w:val="32"/>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76717C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50950384">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38</w:t>
            </w:r>
          </w:p>
        </w:tc>
        <w:tc>
          <w:tcPr>
            <w:tcW w:w="2493" w:type="dxa"/>
            <w:tcBorders>
              <w:tl2br w:val="nil"/>
              <w:tr2bl w:val="nil"/>
            </w:tcBorders>
            <w:noWrap w:val="0"/>
            <w:vAlign w:val="center"/>
          </w:tcPr>
          <w:p w14:paraId="46286266">
            <w:pPr>
              <w:pStyle w:val="32"/>
              <w:spacing w:before="156" w:beforeLines="50" w:after="156" w:afterLines="50" w:line="300" w:lineRule="exact"/>
              <w:jc w:val="center"/>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采购代理服务费</w:t>
            </w:r>
          </w:p>
        </w:tc>
        <w:tc>
          <w:tcPr>
            <w:tcW w:w="6542" w:type="dxa"/>
            <w:tcBorders>
              <w:tl2br w:val="nil"/>
              <w:tr2bl w:val="nil"/>
            </w:tcBorders>
            <w:noWrap w:val="0"/>
            <w:vAlign w:val="center"/>
          </w:tcPr>
          <w:p w14:paraId="1E0AEBE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A3"/>
            </w:r>
            <w:r>
              <w:rPr>
                <w:rFonts w:hint="eastAsia" w:ascii="宋体" w:hAnsi="宋体" w:eastAsia="宋体" w:cs="宋体"/>
                <w:sz w:val="24"/>
                <w:szCs w:val="24"/>
                <w:highlight w:val="none"/>
              </w:rPr>
              <w:t>本项目不收取采购代理服务费</w:t>
            </w:r>
          </w:p>
          <w:p w14:paraId="1D578D8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本项目收取采购代理服务费</w:t>
            </w:r>
          </w:p>
          <w:p w14:paraId="74EB06EF">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本项目采购代理服务费向采购代理机构予以支付。支付标准：</w:t>
            </w:r>
            <w:r>
              <w:rPr>
                <w:rFonts w:hint="eastAsia" w:ascii="宋体" w:hAnsi="宋体" w:eastAsia="宋体" w:cs="宋体"/>
                <w:sz w:val="24"/>
                <w:szCs w:val="24"/>
                <w:highlight w:val="none"/>
                <w:u w:val="single"/>
              </w:rPr>
              <w:t xml:space="preserve"> 参照“发改价格【20</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199</w:t>
            </w:r>
            <w:r>
              <w:rPr>
                <w:rFonts w:hint="eastAsia" w:ascii="宋体" w:hAnsi="宋体" w:eastAsia="宋体" w:cs="宋体"/>
                <w:sz w:val="24"/>
                <w:szCs w:val="24"/>
                <w:highlight w:val="none"/>
                <w:u w:val="single"/>
              </w:rPr>
              <w:t>号”文件规定，计费方式为差额定率累进计费。按照相关要求标准进行收费</w:t>
            </w:r>
            <w:r>
              <w:rPr>
                <w:rFonts w:hint="eastAsia" w:ascii="宋体" w:hAnsi="宋体" w:eastAsia="宋体" w:cs="宋体"/>
                <w:sz w:val="24"/>
                <w:szCs w:val="24"/>
                <w:highlight w:val="none"/>
                <w:u w:val="single"/>
                <w:lang w:eastAsia="zh-CN"/>
              </w:rPr>
              <w:t>。</w:t>
            </w:r>
          </w:p>
          <w:p w14:paraId="72671C0E">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支付形式：</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现金或电汇 </w:t>
            </w:r>
          </w:p>
        </w:tc>
      </w:tr>
      <w:tr w14:paraId="1BC9F0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26253FE3">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9</w:t>
            </w:r>
          </w:p>
        </w:tc>
        <w:tc>
          <w:tcPr>
            <w:tcW w:w="2493" w:type="dxa"/>
            <w:tcBorders>
              <w:tl2br w:val="nil"/>
              <w:tr2bl w:val="nil"/>
            </w:tcBorders>
            <w:noWrap w:val="0"/>
            <w:vAlign w:val="center"/>
          </w:tcPr>
          <w:p w14:paraId="1DC9D356">
            <w:pPr>
              <w:pStyle w:val="32"/>
              <w:spacing w:before="156" w:beforeLines="50" w:after="156" w:afterLines="50" w:line="300" w:lineRule="exact"/>
              <w:jc w:val="center"/>
              <w:rPr>
                <w:rFonts w:hint="eastAsia" w:ascii="宋体" w:hAnsi="宋体" w:eastAsia="宋体" w:cs="宋体"/>
                <w:kern w:val="0"/>
                <w:sz w:val="24"/>
                <w:szCs w:val="28"/>
                <w:highlight w:val="none"/>
                <w:lang w:val="en-US" w:eastAsia="en-US" w:bidi="ar-SA"/>
              </w:rPr>
            </w:pPr>
            <w:r>
              <w:rPr>
                <w:rFonts w:hint="eastAsia" w:ascii="宋体" w:hAnsi="宋体" w:eastAsia="宋体" w:cs="宋体"/>
                <w:kern w:val="0"/>
                <w:sz w:val="24"/>
                <w:szCs w:val="28"/>
                <w:highlight w:val="none"/>
              </w:rPr>
              <w:t>质疑</w:t>
            </w:r>
          </w:p>
        </w:tc>
        <w:tc>
          <w:tcPr>
            <w:tcW w:w="6542" w:type="dxa"/>
            <w:tcBorders>
              <w:tl2br w:val="nil"/>
              <w:tr2bl w:val="nil"/>
            </w:tcBorders>
            <w:noWrap w:val="0"/>
            <w:vAlign w:val="center"/>
          </w:tcPr>
          <w:p w14:paraId="625B77DA">
            <w:pPr>
              <w:pStyle w:val="32"/>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一、投标人认为自己的权益受到损害的，可以在知道或者应知其权益受到损害之日起七个工作日内，向采购代理机构提出质疑。</w:t>
            </w:r>
          </w:p>
          <w:p w14:paraId="4C2A436A">
            <w:pPr>
              <w:pStyle w:val="32"/>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1、接收质疑函的方式：接收加盖单位公章的书面质疑函</w:t>
            </w:r>
          </w:p>
          <w:p w14:paraId="5D821DBE">
            <w:pPr>
              <w:pStyle w:val="32"/>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联系单位：</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val="en-US" w:eastAsia="zh-CN"/>
              </w:rPr>
              <w:t>新疆启中项目管理有限公司</w:t>
            </w:r>
            <w:r>
              <w:rPr>
                <w:rFonts w:hint="eastAsia" w:ascii="宋体" w:hAnsi="宋体" w:eastAsia="宋体" w:cs="宋体"/>
                <w:kern w:val="0"/>
                <w:sz w:val="24"/>
                <w:szCs w:val="28"/>
                <w:highlight w:val="none"/>
                <w:u w:val="single"/>
              </w:rPr>
              <w:t xml:space="preserve"> </w:t>
            </w:r>
          </w:p>
          <w:p w14:paraId="76813F41">
            <w:pPr>
              <w:pStyle w:val="32"/>
              <w:spacing w:before="156" w:beforeLines="50" w:after="156" w:afterLines="50" w:line="300" w:lineRule="exact"/>
              <w:jc w:val="left"/>
              <w:rPr>
                <w:rFonts w:hint="eastAsia" w:ascii="宋体" w:hAnsi="宋体" w:eastAsia="宋体" w:cs="宋体"/>
                <w:kern w:val="0"/>
                <w:sz w:val="24"/>
                <w:szCs w:val="28"/>
                <w:highlight w:val="none"/>
                <w:u w:val="single"/>
              </w:rPr>
            </w:pPr>
            <w:r>
              <w:rPr>
                <w:rFonts w:hint="eastAsia" w:ascii="宋体" w:hAnsi="宋体" w:eastAsia="宋体" w:cs="宋体"/>
                <w:kern w:val="0"/>
                <w:sz w:val="24"/>
                <w:szCs w:val="28"/>
                <w:highlight w:val="none"/>
              </w:rPr>
              <w:t>联 系 人：</w:t>
            </w:r>
            <w:r>
              <w:rPr>
                <w:rFonts w:hint="eastAsia" w:ascii="宋体" w:hAnsi="宋体" w:cs="宋体"/>
                <w:kern w:val="0"/>
                <w:sz w:val="24"/>
                <w:szCs w:val="28"/>
                <w:highlight w:val="none"/>
                <w:u w:val="single"/>
                <w:lang w:val="en-US" w:eastAsia="zh-CN"/>
              </w:rPr>
              <w:t>范工</w:t>
            </w:r>
            <w:r>
              <w:rPr>
                <w:rFonts w:hint="eastAsia" w:ascii="宋体" w:hAnsi="宋体" w:eastAsia="宋体" w:cs="宋体"/>
                <w:kern w:val="0"/>
                <w:sz w:val="24"/>
                <w:szCs w:val="28"/>
                <w:highlight w:val="none"/>
                <w:u w:val="single"/>
              </w:rPr>
              <w:t xml:space="preserve">    </w:t>
            </w:r>
          </w:p>
          <w:p w14:paraId="7F2C7FA7">
            <w:pPr>
              <w:pStyle w:val="32"/>
              <w:spacing w:before="156" w:beforeLines="50" w:after="156" w:afterLines="50" w:line="300" w:lineRule="exact"/>
              <w:jc w:val="left"/>
              <w:rPr>
                <w:rFonts w:hint="default"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联系电话：</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18196969533</w:t>
            </w:r>
          </w:p>
          <w:p w14:paraId="6ED384F1">
            <w:pPr>
              <w:pStyle w:val="32"/>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伊宁市经济合作区北京路2568号金茂新天地</w:t>
            </w:r>
            <w:r>
              <w:rPr>
                <w:rFonts w:hint="eastAsia" w:ascii="宋体" w:hAnsi="宋体" w:cs="宋体"/>
                <w:kern w:val="0"/>
                <w:sz w:val="24"/>
                <w:szCs w:val="28"/>
                <w:highlight w:val="none"/>
                <w:u w:val="single"/>
                <w:lang w:val="en-US" w:eastAsia="zh-CN"/>
              </w:rPr>
              <w:t>A座</w:t>
            </w:r>
            <w:r>
              <w:rPr>
                <w:rFonts w:hint="eastAsia" w:ascii="宋体" w:hAnsi="宋体" w:eastAsia="宋体" w:cs="宋体"/>
                <w:kern w:val="0"/>
                <w:sz w:val="24"/>
                <w:szCs w:val="28"/>
                <w:highlight w:val="none"/>
                <w:u w:val="single"/>
                <w:lang w:val="en-US" w:eastAsia="zh-CN"/>
              </w:rPr>
              <w:t>5层514号</w:t>
            </w:r>
          </w:p>
          <w:p w14:paraId="6C2F1E96">
            <w:pPr>
              <w:pStyle w:val="32"/>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2、质疑函的内容、格式：应符合《政府采购质疑和投诉办法》相关规定和财政部门制定的《政府采购质疑函范本》格式。</w:t>
            </w:r>
          </w:p>
          <w:p w14:paraId="127DFF9A">
            <w:pPr>
              <w:pStyle w:val="32"/>
              <w:spacing w:before="156" w:beforeLines="50" w:after="156" w:afterLines="50" w:line="300" w:lineRule="exact"/>
              <w:jc w:val="left"/>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二、投标人应在法定质疑期内一次性针对同一采购程序环节提出质疑，否则针对再次提出质疑将不予接收。（采购程序环节分为：</w:t>
            </w:r>
            <w:r>
              <w:rPr>
                <w:rFonts w:hint="eastAsia" w:ascii="宋体" w:hAnsi="宋体" w:cs="宋体"/>
                <w:kern w:val="0"/>
                <w:sz w:val="24"/>
                <w:szCs w:val="28"/>
                <w:highlight w:val="none"/>
                <w:lang w:eastAsia="zh-CN"/>
              </w:rPr>
              <w:t>采购公告</w:t>
            </w:r>
            <w:r>
              <w:rPr>
                <w:rFonts w:hint="eastAsia" w:ascii="宋体" w:hAnsi="宋体" w:eastAsia="宋体" w:cs="宋体"/>
                <w:kern w:val="0"/>
                <w:sz w:val="24"/>
                <w:szCs w:val="28"/>
                <w:highlight w:val="none"/>
              </w:rPr>
              <w:t>、</w:t>
            </w:r>
            <w:r>
              <w:rPr>
                <w:rFonts w:hint="eastAsia" w:ascii="宋体" w:hAnsi="宋体" w:cs="宋体"/>
                <w:kern w:val="0"/>
                <w:sz w:val="24"/>
                <w:szCs w:val="28"/>
                <w:highlight w:val="none"/>
                <w:lang w:eastAsia="zh-CN"/>
              </w:rPr>
              <w:t>采购文件</w:t>
            </w:r>
            <w:r>
              <w:rPr>
                <w:rFonts w:hint="eastAsia" w:ascii="宋体" w:hAnsi="宋体" w:eastAsia="宋体" w:cs="宋体"/>
                <w:kern w:val="0"/>
                <w:sz w:val="24"/>
                <w:szCs w:val="28"/>
                <w:highlight w:val="none"/>
              </w:rPr>
              <w:t>、招标过程、中标结果）</w:t>
            </w:r>
          </w:p>
        </w:tc>
      </w:tr>
      <w:tr w14:paraId="771FFB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5645A7A3">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40</w:t>
            </w:r>
          </w:p>
        </w:tc>
        <w:tc>
          <w:tcPr>
            <w:tcW w:w="2493" w:type="dxa"/>
            <w:tcBorders>
              <w:tl2br w:val="nil"/>
              <w:tr2bl w:val="nil"/>
            </w:tcBorders>
            <w:noWrap w:val="0"/>
            <w:vAlign w:val="center"/>
          </w:tcPr>
          <w:p w14:paraId="4849167D">
            <w:pPr>
              <w:pStyle w:val="32"/>
              <w:spacing w:before="156" w:beforeLines="50" w:after="156" w:afterLines="50" w:line="300" w:lineRule="exact"/>
              <w:jc w:val="center"/>
              <w:rPr>
                <w:rFonts w:hint="eastAsia" w:ascii="宋体" w:hAnsi="宋体" w:eastAsia="宋体" w:cs="Times New Roman"/>
                <w:kern w:val="2"/>
                <w:sz w:val="24"/>
                <w:szCs w:val="28"/>
                <w:highlight w:val="none"/>
                <w:lang w:val="en-US" w:eastAsia="en-US" w:bidi="ar-SA"/>
              </w:rPr>
            </w:pPr>
            <w:r>
              <w:rPr>
                <w:rFonts w:hint="eastAsia" w:ascii="宋体" w:hAnsi="宋体"/>
                <w:sz w:val="24"/>
                <w:szCs w:val="28"/>
                <w:highlight w:val="none"/>
                <w:lang w:eastAsia="en-US"/>
              </w:rPr>
              <w:t>注意事项</w:t>
            </w:r>
          </w:p>
        </w:tc>
        <w:tc>
          <w:tcPr>
            <w:tcW w:w="6542" w:type="dxa"/>
            <w:tcBorders>
              <w:tl2br w:val="nil"/>
              <w:tr2bl w:val="nil"/>
            </w:tcBorders>
            <w:noWrap w:val="0"/>
            <w:vAlign w:val="center"/>
          </w:tcPr>
          <w:p w14:paraId="708E8DA6">
            <w:pPr>
              <w:pStyle w:val="32"/>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请各供应商务必详细阅读本采购文件的全部条款，以减少不必要的失误，否则，由此引起的损失或风险由供应商自行承担。</w:t>
            </w:r>
          </w:p>
          <w:p w14:paraId="265B46C5">
            <w:pPr>
              <w:pStyle w:val="32"/>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供应商获取采购文件后应认真及时阅读采购文件中所有的事项、格式、条款和规范要求等，做好投标工作。</w:t>
            </w:r>
          </w:p>
          <w:p w14:paraId="3D1F36F7">
            <w:pPr>
              <w:pStyle w:val="32"/>
              <w:spacing w:before="156" w:beforeLines="50" w:after="156" w:afterLines="50" w:line="300" w:lineRule="exact"/>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 xml:space="preserve">供应商不得以投诉为名，排挤竞争对手，不得进行虚假、恶意投诉，阻碍招标投标活动的正常进行。  </w:t>
            </w:r>
          </w:p>
        </w:tc>
      </w:tr>
      <w:tr w14:paraId="196D02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noWrap w:val="0"/>
            <w:vAlign w:val="center"/>
          </w:tcPr>
          <w:p w14:paraId="5EE1AFF7">
            <w:pPr>
              <w:spacing w:line="360" w:lineRule="auto"/>
              <w:jc w:val="center"/>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41</w:t>
            </w:r>
          </w:p>
        </w:tc>
        <w:tc>
          <w:tcPr>
            <w:tcW w:w="2493" w:type="dxa"/>
            <w:tcBorders>
              <w:tl2br w:val="nil"/>
              <w:tr2bl w:val="nil"/>
            </w:tcBorders>
            <w:shd w:val="clear" w:color="auto" w:fill="auto"/>
            <w:noWrap w:val="0"/>
            <w:vAlign w:val="center"/>
          </w:tcPr>
          <w:p w14:paraId="63288DEA">
            <w:pPr>
              <w:pStyle w:val="32"/>
              <w:spacing w:before="156" w:beforeLines="50" w:after="156" w:afterLines="50" w:line="300" w:lineRule="exact"/>
              <w:jc w:val="center"/>
              <w:rPr>
                <w:rFonts w:hint="eastAsia" w:ascii="宋体" w:hAnsi="宋体" w:eastAsia="宋体" w:cs="Times New Roman"/>
                <w:kern w:val="2"/>
                <w:sz w:val="24"/>
                <w:szCs w:val="28"/>
                <w:highlight w:val="none"/>
                <w:lang w:val="en-US" w:eastAsia="en-US" w:bidi="ar-SA"/>
              </w:rPr>
            </w:pPr>
            <w:r>
              <w:rPr>
                <w:rFonts w:hint="eastAsia" w:ascii="宋体" w:hAnsi="宋体"/>
                <w:sz w:val="24"/>
                <w:szCs w:val="28"/>
                <w:highlight w:val="none"/>
                <w:lang w:val="en-US" w:eastAsia="zh-CN"/>
              </w:rPr>
              <w:t>备注</w:t>
            </w:r>
          </w:p>
        </w:tc>
        <w:tc>
          <w:tcPr>
            <w:tcW w:w="6542" w:type="dxa"/>
            <w:tcBorders>
              <w:tl2br w:val="nil"/>
              <w:tr2bl w:val="nil"/>
            </w:tcBorders>
            <w:shd w:val="clear" w:color="auto" w:fill="auto"/>
            <w:noWrap w:val="0"/>
            <w:vAlign w:val="center"/>
          </w:tcPr>
          <w:p w14:paraId="504D542C">
            <w:pPr>
              <w:pStyle w:val="32"/>
              <w:spacing w:before="156" w:beforeLines="50" w:after="156" w:afterLines="50" w:line="300" w:lineRule="exact"/>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lang w:val="en-US" w:eastAsia="zh-CN"/>
              </w:rPr>
              <w:t>本项目采购内容所属行业为：信息传输业。</w:t>
            </w:r>
          </w:p>
        </w:tc>
      </w:tr>
    </w:tbl>
    <w:p w14:paraId="71FA5933">
      <w:pPr>
        <w:spacing w:before="312" w:beforeLines="100"/>
        <w:rPr>
          <w:rFonts w:ascii="宋体" w:hAnsi="宋体"/>
          <w:bCs/>
          <w:highlight w:val="none"/>
        </w:rPr>
      </w:pPr>
      <w:r>
        <w:rPr>
          <w:rFonts w:ascii="宋体" w:hAnsi="宋体"/>
          <w:bCs/>
          <w:highlight w:val="none"/>
        </w:rPr>
        <w:t>注：</w:t>
      </w:r>
      <w:r>
        <w:rPr>
          <w:rFonts w:hint="eastAsia" w:ascii="宋体" w:hAnsi="宋体"/>
          <w:bCs/>
          <w:highlight w:val="none"/>
        </w:rPr>
        <w:t>如有矛盾以本</w:t>
      </w:r>
      <w:r>
        <w:rPr>
          <w:rFonts w:ascii="宋体" w:hAnsi="宋体"/>
          <w:bCs/>
          <w:highlight w:val="none"/>
        </w:rPr>
        <w:t>表为准。</w:t>
      </w:r>
    </w:p>
    <w:p w14:paraId="08D1D8D7">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sz w:val="32"/>
          <w:szCs w:val="32"/>
          <w:highlight w:val="none"/>
        </w:rPr>
      </w:pPr>
      <w:r>
        <w:rPr>
          <w:rFonts w:hint="eastAsia" w:ascii="宋体" w:hAnsi="宋体" w:eastAsia="宋体" w:cs="宋体"/>
          <w:highlight w:val="none"/>
        </w:rPr>
        <w:br w:type="page"/>
      </w:r>
      <w:bookmarkEnd w:id="9"/>
      <w:bookmarkEnd w:id="10"/>
      <w:bookmarkEnd w:id="11"/>
      <w:bookmarkStart w:id="29" w:name="_Toc363474017"/>
      <w:bookmarkStart w:id="30" w:name="_Toc403077639"/>
      <w:bookmarkStart w:id="31" w:name="_Toc363473972"/>
      <w:bookmarkStart w:id="32" w:name="_Toc31133"/>
      <w:r>
        <w:rPr>
          <w:rFonts w:hint="eastAsia" w:ascii="宋体" w:hAnsi="宋体" w:eastAsia="宋体" w:cs="宋体"/>
          <w:b/>
          <w:sz w:val="32"/>
          <w:szCs w:val="32"/>
          <w:highlight w:val="none"/>
        </w:rPr>
        <w:t>一.总  则</w:t>
      </w:r>
      <w:bookmarkEnd w:id="29"/>
      <w:bookmarkEnd w:id="30"/>
      <w:bookmarkEnd w:id="31"/>
      <w:bookmarkEnd w:id="32"/>
    </w:p>
    <w:p w14:paraId="3D35A6C4">
      <w:pPr>
        <w:keepNext w:val="0"/>
        <w:keepLines w:val="0"/>
        <w:pageBreakBefore w:val="0"/>
        <w:wordWrap/>
        <w:overflowPunct/>
        <w:topLinePunct w:val="0"/>
        <w:bidi w:val="0"/>
        <w:spacing w:line="500" w:lineRule="exact"/>
        <w:outlineLvl w:val="9"/>
        <w:rPr>
          <w:rFonts w:hint="default" w:ascii="宋体" w:hAnsi="宋体" w:eastAsia="宋体" w:cs="宋体"/>
          <w:b/>
          <w:szCs w:val="24"/>
          <w:highlight w:val="none"/>
          <w:lang w:val="en-US" w:eastAsia="zh-CN"/>
        </w:rPr>
      </w:pPr>
      <w:bookmarkStart w:id="33" w:name="_Toc4942"/>
      <w:r>
        <w:rPr>
          <w:rFonts w:hint="eastAsia" w:ascii="宋体" w:hAnsi="宋体" w:eastAsia="宋体" w:cs="宋体"/>
          <w:b/>
          <w:szCs w:val="24"/>
          <w:highlight w:val="none"/>
        </w:rPr>
        <w:t>1.</w:t>
      </w:r>
      <w:bookmarkEnd w:id="33"/>
      <w:r>
        <w:rPr>
          <w:rFonts w:hint="eastAsia" w:hAnsi="宋体" w:eastAsia="宋体" w:cs="宋体"/>
          <w:b/>
          <w:szCs w:val="24"/>
          <w:highlight w:val="none"/>
          <w:lang w:val="en-US" w:eastAsia="zh-CN"/>
        </w:rPr>
        <w:t>项目概况</w:t>
      </w:r>
    </w:p>
    <w:p w14:paraId="7FED70E2">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1.1本次招标采购所签合同使用财政资金支付，资金已落实到位。</w:t>
      </w:r>
    </w:p>
    <w:p w14:paraId="4B067CDB">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1.2项目名称：见供应商须知前附表</w:t>
      </w:r>
    </w:p>
    <w:p w14:paraId="72B5684A">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1.3项目编号：见供应商须知前附表</w:t>
      </w:r>
    </w:p>
    <w:p w14:paraId="0049BBAD">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1.4资金来源：见供应商须知前附表</w:t>
      </w:r>
    </w:p>
    <w:p w14:paraId="385BABBD">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1.5采购预算：见供应商须知前附表</w:t>
      </w:r>
    </w:p>
    <w:p w14:paraId="682F4FD9">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1.6采购内容：完见供应商须知前附表</w:t>
      </w:r>
    </w:p>
    <w:p w14:paraId="6E78E985">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1.7合同履行期限：见供应商须知前附表</w:t>
      </w:r>
    </w:p>
    <w:p w14:paraId="32B80106">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1.8实施地点：见供应商须知前附表</w:t>
      </w:r>
    </w:p>
    <w:p w14:paraId="7007FF78">
      <w:pPr>
        <w:keepNext w:val="0"/>
        <w:keepLines w:val="0"/>
        <w:pageBreakBefore w:val="0"/>
        <w:numPr>
          <w:ilvl w:val="0"/>
          <w:numId w:val="0"/>
        </w:numPr>
        <w:wordWrap/>
        <w:overflowPunct/>
        <w:topLinePunct w:val="0"/>
        <w:bidi w:val="0"/>
        <w:spacing w:line="500" w:lineRule="exact"/>
        <w:outlineLvl w:val="9"/>
        <w:rPr>
          <w:rFonts w:hint="eastAsia" w:ascii="宋体" w:hAnsi="宋体" w:eastAsia="宋体" w:cs="宋体"/>
          <w:b/>
          <w:szCs w:val="24"/>
          <w:highlight w:val="none"/>
          <w:lang w:val="en-US" w:eastAsia="zh-CN"/>
        </w:rPr>
      </w:pPr>
      <w:bookmarkStart w:id="34" w:name="_Toc7068"/>
      <w:r>
        <w:rPr>
          <w:rFonts w:hint="eastAsia" w:hAnsi="宋体" w:eastAsia="宋体" w:cs="宋体"/>
          <w:b/>
          <w:szCs w:val="24"/>
          <w:highlight w:val="none"/>
          <w:lang w:val="en-US" w:eastAsia="zh-CN"/>
        </w:rPr>
        <w:t>2.</w:t>
      </w:r>
      <w:r>
        <w:rPr>
          <w:rFonts w:hint="eastAsia" w:ascii="宋体" w:hAnsi="宋体" w:eastAsia="宋体" w:cs="宋体"/>
          <w:b/>
          <w:szCs w:val="24"/>
          <w:highlight w:val="none"/>
          <w:lang w:val="en-US" w:eastAsia="zh-CN"/>
        </w:rPr>
        <w:t>名词解释</w:t>
      </w:r>
      <w:bookmarkEnd w:id="34"/>
    </w:p>
    <w:p w14:paraId="1691293D">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2.1采购人：见供应商须知前附表</w:t>
      </w:r>
    </w:p>
    <w:p w14:paraId="2B1DFAB3">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2.2采购代理机构：新疆启中项目管理有限公司</w:t>
      </w:r>
    </w:p>
    <w:p w14:paraId="3CC7A2A1">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2.3 监督机构：同级人民政府财政部门及有关部门</w:t>
      </w:r>
    </w:p>
    <w:p w14:paraId="31702244">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2.4供应商：是指响应和符合招标文件规定资格条件且参与投标竞争的法人、其他组织或者自然人。</w:t>
      </w:r>
    </w:p>
    <w:p w14:paraId="3666B084">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2.5服务是指供应商为满足招标文件要求而提供的服务。</w:t>
      </w:r>
    </w:p>
    <w:p w14:paraId="791A0E57">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2.6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92FB7C7">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D0F46B">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2.8残疾人福利性单位是指符合《三部门联合发布关于促进残疾人就业政府采购政策的通知》财库〔2017〕141号规定的对残疾人福利性单位划分标准的单位。</w:t>
      </w:r>
    </w:p>
    <w:p w14:paraId="6EE7F45B">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lang w:eastAsia="zh-CN"/>
        </w:rPr>
      </w:pPr>
      <w:bookmarkStart w:id="35" w:name="_Toc20734"/>
      <w:r>
        <w:rPr>
          <w:rFonts w:hint="eastAsia" w:ascii="宋体" w:hAnsi="宋体" w:eastAsia="宋体" w:cs="宋体"/>
          <w:b/>
          <w:szCs w:val="24"/>
          <w:highlight w:val="none"/>
          <w:lang w:val="en-US" w:eastAsia="zh-CN"/>
        </w:rPr>
        <w:t>3</w:t>
      </w:r>
      <w:r>
        <w:rPr>
          <w:rFonts w:hint="eastAsia" w:ascii="宋体" w:hAnsi="宋体" w:eastAsia="宋体" w:cs="宋体"/>
          <w:b/>
          <w:szCs w:val="24"/>
          <w:highlight w:val="none"/>
        </w:rPr>
        <w:t>.合格的</w:t>
      </w:r>
      <w:r>
        <w:rPr>
          <w:rFonts w:hint="eastAsia" w:hAnsi="宋体" w:eastAsia="宋体" w:cs="宋体"/>
          <w:b/>
          <w:szCs w:val="24"/>
          <w:highlight w:val="none"/>
          <w:lang w:eastAsia="zh-CN"/>
        </w:rPr>
        <w:t>供应商</w:t>
      </w:r>
      <w:bookmarkEnd w:id="35"/>
    </w:p>
    <w:p w14:paraId="2B5982E2">
      <w:pPr>
        <w:keepNext w:val="0"/>
        <w:keepLines w:val="0"/>
        <w:pageBreakBefore w:val="0"/>
        <w:tabs>
          <w:tab w:val="left" w:pos="851"/>
        </w:tabs>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lang w:val="en-US" w:eastAsia="zh-CN"/>
        </w:rPr>
        <w:t>3.1</w:t>
      </w:r>
      <w:r>
        <w:rPr>
          <w:rFonts w:hint="eastAsia" w:ascii="宋体" w:hAnsi="宋体" w:eastAsia="宋体" w:cs="宋体"/>
          <w:szCs w:val="24"/>
          <w:highlight w:val="none"/>
        </w:rPr>
        <w:t>《政府采购法》第二十二条第一款规定的</w:t>
      </w:r>
      <w:r>
        <w:rPr>
          <w:rFonts w:hint="eastAsia" w:hAnsi="宋体" w:eastAsia="宋体" w:cs="宋体"/>
          <w:szCs w:val="24"/>
          <w:highlight w:val="none"/>
          <w:lang w:eastAsia="zh-CN"/>
        </w:rPr>
        <w:t>供应商</w:t>
      </w:r>
      <w:r>
        <w:rPr>
          <w:rFonts w:hint="eastAsia" w:ascii="宋体" w:hAnsi="宋体" w:eastAsia="宋体" w:cs="宋体"/>
          <w:szCs w:val="24"/>
          <w:highlight w:val="none"/>
        </w:rPr>
        <w:t>基本资格条件</w:t>
      </w:r>
      <w:r>
        <w:rPr>
          <w:rFonts w:hint="eastAsia" w:ascii="宋体" w:hAnsi="宋体" w:eastAsia="宋体" w:cs="宋体"/>
          <w:szCs w:val="24"/>
          <w:highlight w:val="none"/>
          <w:lang w:val="en-US" w:eastAsia="zh-CN"/>
        </w:rPr>
        <w:t>:</w:t>
      </w:r>
    </w:p>
    <w:p w14:paraId="75E35748">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（1）投标人为企业法人应提供合法有效的标识有统一社会信用代码的营业执照；事业法人应提供事业单位法人证书；其他组织应提供合法登记证明文件；</w:t>
      </w:r>
    </w:p>
    <w:p w14:paraId="63FE77D6">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（2）法定代表人身份证或法定代表人授权委托书和委托代理人的身份证。法定代表人授权委托书应当与投标文件中所提供的相一致；</w:t>
      </w:r>
    </w:p>
    <w:p w14:paraId="0BA7C891">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w:t>
      </w:r>
      <w:r>
        <w:rPr>
          <w:rFonts w:hint="eastAsia" w:hAnsi="宋体" w:eastAsia="宋体" w:cs="宋体"/>
          <w:szCs w:val="24"/>
          <w:highlight w:val="none"/>
          <w:lang w:eastAsia="zh-CN"/>
        </w:rPr>
        <w:t>招标</w:t>
      </w:r>
      <w:r>
        <w:rPr>
          <w:rFonts w:hint="eastAsia" w:ascii="宋体" w:hAnsi="宋体" w:eastAsia="宋体" w:cs="宋体"/>
          <w:szCs w:val="24"/>
          <w:highlight w:val="none"/>
        </w:rPr>
        <w:t>文件发布之日起至投标截止时间从上述网站中打印）；</w:t>
      </w:r>
    </w:p>
    <w:p w14:paraId="784AF9F2">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zh-CN" w:eastAsia="zh-CN"/>
        </w:rPr>
      </w:pPr>
      <w:r>
        <w:rPr>
          <w:rFonts w:hint="eastAsia" w:ascii="宋体" w:hAnsi="宋体" w:eastAsia="宋体" w:cs="宋体"/>
          <w:szCs w:val="24"/>
          <w:highlight w:val="none"/>
        </w:rPr>
        <w:t>（4）投标人提供</w:t>
      </w:r>
      <w:r>
        <w:rPr>
          <w:rFonts w:hint="eastAsia" w:ascii="宋体" w:hAnsi="宋体" w:eastAsia="宋体" w:cs="宋体"/>
          <w:szCs w:val="24"/>
          <w:highlight w:val="none"/>
          <w:lang w:val="zh-CN" w:eastAsia="zh-CN"/>
        </w:rPr>
        <w:t>投标截止日前半年内任意一个月的纳税及社保缴纳的证明材料（如依法免税的，应提供相应文件证明其依法免税；如依法不需要缴纳社会保险费的，应提供相应文件证明其不需要缴纳社会保险费）</w:t>
      </w:r>
      <w:r>
        <w:rPr>
          <w:rFonts w:hint="eastAsia" w:hAnsi="宋体" w:eastAsia="宋体" w:cs="宋体"/>
          <w:szCs w:val="24"/>
          <w:highlight w:val="none"/>
          <w:lang w:val="zh-CN" w:eastAsia="zh-CN"/>
        </w:rPr>
        <w:t>；</w:t>
      </w:r>
    </w:p>
    <w:p w14:paraId="039D75A4">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）投标人应具备良好的商业信誉，提供参加政府采购活动前3年内在经营活动中没有重大违法记录的书面声明；</w:t>
      </w:r>
    </w:p>
    <w:p w14:paraId="238BFF23">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lang w:val="en-US" w:eastAsia="zh-CN"/>
        </w:rPr>
        <w:t>（6）单位负责人为同一人或者存在直接控股、管理关系的不同投标人，不得参加</w:t>
      </w:r>
      <w:r>
        <w:rPr>
          <w:rFonts w:hint="eastAsia" w:ascii="宋体" w:hAnsi="宋体" w:eastAsia="宋体" w:cs="宋体"/>
          <w:szCs w:val="24"/>
          <w:highlight w:val="none"/>
        </w:rPr>
        <w:t>同一合同项下的政府采购活动。除单一来源采购项目外，为采购项目提供整体设计、规范编制或者项目管理、监理、检测等服务的投标人，不得再参加该采购项目的其他采购活动。</w:t>
      </w:r>
    </w:p>
    <w:p w14:paraId="2EF5632B">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bookmarkStart w:id="36" w:name="OLE_LINK33"/>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w:t>
      </w:r>
      <w:bookmarkEnd w:id="36"/>
      <w:r>
        <w:rPr>
          <w:rFonts w:hint="eastAsia" w:ascii="宋体" w:hAnsi="宋体" w:eastAsia="宋体" w:cs="宋体"/>
          <w:szCs w:val="24"/>
          <w:highlight w:val="none"/>
          <w:lang w:val="en-US" w:eastAsia="zh-CN"/>
        </w:rPr>
        <w:t>5联合体投标</w:t>
      </w:r>
    </w:p>
    <w:p w14:paraId="01817688">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lang w:val="en-US" w:eastAsia="zh-CN"/>
        </w:rPr>
        <w:t>3.5.1</w:t>
      </w:r>
      <w:r>
        <w:rPr>
          <w:rFonts w:hint="eastAsia" w:ascii="宋体" w:hAnsi="宋体" w:eastAsia="宋体" w:cs="宋体"/>
          <w:szCs w:val="24"/>
          <w:highlight w:val="none"/>
        </w:rPr>
        <w:t>如果在招标文件中接受联合体投标（见</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须知前附表），则两个以上</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可以组成一个投标联合体，以一个</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的身份投标。以联合体形式参加投标的，联合体各方均应当符合《中华人民共和国政府采购法》及实施条例规定的条件。采购人根据采购项目的特殊要求规定</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特定条件的，联合体各方中至少应当有一方符合采购人规定的特定条件。</w:t>
      </w:r>
    </w:p>
    <w:p w14:paraId="7C44B62F">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lang w:val="en-US" w:eastAsia="zh-CN"/>
        </w:rPr>
        <w:t>3.5.2</w:t>
      </w:r>
      <w:r>
        <w:rPr>
          <w:rFonts w:hint="eastAsia" w:ascii="宋体" w:hAnsi="宋体" w:eastAsia="宋体" w:cs="宋体"/>
          <w:szCs w:val="24"/>
          <w:highlight w:val="none"/>
        </w:rPr>
        <w:t>联合体各方之间应当签订共同投标协议，明确约定联合体各方承担的工作和相应的责任，并将共同投标协议连同投标文件一并提交</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。联合体各方签订共同投标协议后，不得再以自己名义单独在同一项目中投标，也不得组成新的联合体参加同一项目投标。</w:t>
      </w:r>
    </w:p>
    <w:p w14:paraId="54CE3DC1">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lang w:val="en-US" w:eastAsia="zh-CN"/>
        </w:rPr>
        <w:t>3.5.3</w:t>
      </w:r>
      <w:r>
        <w:rPr>
          <w:rFonts w:hint="eastAsia" w:ascii="宋体" w:hAnsi="宋体" w:eastAsia="宋体" w:cs="宋体"/>
          <w:szCs w:val="24"/>
          <w:highlight w:val="none"/>
        </w:rPr>
        <w:t>联合体各方应当共同与采购人签订采购合同，就采购合同约定的事项对采购人承担连带责任。</w:t>
      </w:r>
    </w:p>
    <w:p w14:paraId="66EB280B">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szCs w:val="24"/>
          <w:highlight w:val="none"/>
          <w:lang w:val="en-US" w:eastAsia="zh-CN"/>
        </w:rPr>
        <w:t>3.</w:t>
      </w:r>
      <w:r>
        <w:rPr>
          <w:rFonts w:hint="eastAsia" w:hAnsi="宋体" w:eastAsia="宋体" w:cs="宋体"/>
          <w:szCs w:val="24"/>
          <w:highlight w:val="none"/>
          <w:lang w:val="en-US" w:eastAsia="zh-CN"/>
        </w:rPr>
        <w:t>6</w:t>
      </w:r>
      <w:r>
        <w:rPr>
          <w:rFonts w:hint="eastAsia" w:ascii="宋体" w:hAnsi="宋体" w:eastAsia="宋体" w:cs="宋体"/>
          <w:color w:val="auto"/>
          <w:szCs w:val="24"/>
          <w:highlight w:val="none"/>
        </w:rPr>
        <w:t>投标费用自理。不论投标的结果如何，</w:t>
      </w:r>
      <w:r>
        <w:rPr>
          <w:rFonts w:hint="eastAsia" w:hAnsi="宋体" w:eastAsia="宋体" w:cs="宋体"/>
          <w:color w:val="auto"/>
          <w:szCs w:val="24"/>
          <w:highlight w:val="none"/>
          <w:lang w:eastAsia="zh-CN"/>
        </w:rPr>
        <w:t>供应商</w:t>
      </w:r>
      <w:r>
        <w:rPr>
          <w:rFonts w:hint="eastAsia" w:ascii="宋体" w:hAnsi="宋体" w:eastAsia="宋体" w:cs="宋体"/>
          <w:color w:val="auto"/>
          <w:szCs w:val="24"/>
          <w:highlight w:val="none"/>
        </w:rPr>
        <w:t>均应自行承担所有与参加投标有关的费用。</w:t>
      </w:r>
    </w:p>
    <w:p w14:paraId="6DC6D872">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right="0" w:rightChars="0"/>
        <w:jc w:val="both"/>
        <w:textAlignment w:val="auto"/>
        <w:outlineLvl w:val="9"/>
        <w:rPr>
          <w:rFonts w:hint="eastAsia" w:ascii="宋体" w:hAnsi="宋体" w:eastAsia="宋体" w:cs="宋体"/>
          <w:b/>
          <w:bCs/>
          <w:color w:val="auto"/>
          <w:sz w:val="24"/>
          <w:highlight w:val="none"/>
        </w:rPr>
      </w:pPr>
      <w:bookmarkStart w:id="37" w:name="_Toc6816"/>
      <w:r>
        <w:rPr>
          <w:rFonts w:hint="eastAsia" w:ascii="宋体" w:hAnsi="宋体" w:eastAsia="宋体" w:cs="宋体"/>
          <w:b/>
          <w:bCs/>
          <w:color w:val="auto"/>
          <w:sz w:val="24"/>
          <w:highlight w:val="none"/>
        </w:rPr>
        <w:t>4.合格的服务</w:t>
      </w:r>
      <w:bookmarkEnd w:id="37"/>
    </w:p>
    <w:p w14:paraId="08EC3AFF">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szCs w:val="24"/>
          <w:highlight w:val="none"/>
          <w:lang w:val="en-US" w:eastAsia="zh-CN"/>
        </w:rPr>
        <w:t>.1供应商提供的所有服务，必须符合国家有关标准要求，并满足招标文件规定的服务要求。</w:t>
      </w:r>
    </w:p>
    <w:p w14:paraId="13489ABD">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szCs w:val="24"/>
          <w:highlight w:val="none"/>
          <w:lang w:val="en-US" w:eastAsia="zh-CN"/>
        </w:rPr>
        <w:t>4.2采购人有权拒绝接受任何不合格的</w:t>
      </w:r>
      <w:r>
        <w:rPr>
          <w:rFonts w:hint="eastAsia" w:ascii="宋体" w:hAnsi="宋体" w:eastAsia="宋体" w:cs="宋体"/>
          <w:color w:val="auto"/>
          <w:sz w:val="24"/>
          <w:highlight w:val="none"/>
        </w:rPr>
        <w:t>服务，由此产生的费用及相关后果均由</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14:paraId="102BC8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szCs w:val="21"/>
          <w:highlight w:val="none"/>
        </w:rPr>
      </w:pPr>
      <w:bookmarkStart w:id="38" w:name="_Toc16980"/>
      <w:r>
        <w:rPr>
          <w:rFonts w:hint="eastAsia" w:ascii="宋体" w:hAnsi="宋体"/>
          <w:b/>
          <w:szCs w:val="21"/>
          <w:highlight w:val="none"/>
          <w:lang w:val="en-US" w:eastAsia="zh-CN"/>
        </w:rPr>
        <w:t>5</w:t>
      </w:r>
      <w:r>
        <w:rPr>
          <w:rFonts w:hint="eastAsia" w:ascii="宋体" w:hAnsi="宋体"/>
          <w:b/>
          <w:szCs w:val="21"/>
          <w:highlight w:val="none"/>
        </w:rPr>
        <w:t>.</w:t>
      </w:r>
      <w:r>
        <w:rPr>
          <w:rFonts w:hint="eastAsia" w:hAnsi="宋体"/>
          <w:b/>
          <w:szCs w:val="21"/>
          <w:highlight w:val="none"/>
          <w:lang w:eastAsia="zh-CN"/>
        </w:rPr>
        <w:t>供应商</w:t>
      </w:r>
      <w:r>
        <w:rPr>
          <w:rFonts w:hint="eastAsia" w:ascii="宋体" w:hAnsi="宋体"/>
          <w:b/>
          <w:szCs w:val="21"/>
          <w:highlight w:val="none"/>
        </w:rPr>
        <w:t>信用记录查询及使用</w:t>
      </w:r>
      <w:bookmarkEnd w:id="38"/>
    </w:p>
    <w:p w14:paraId="507F986E">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信用中国”网站（www.creditchina.gov.cn）和“中国政府采购网”（ccgp.gov.cn）为供应商信用信息查询渠道，如果供应商被查实在投标截止时间前已列入失信被执行人、重大税收违法案件当事人名单、政府采购严重违法失信行为记录名单及其他不符合《中华人民共和国政府采购法》第二十二条规定的，其投标无效。采购代理机构将打印查询记录作为证据留存。</w:t>
      </w:r>
    </w:p>
    <w:p w14:paraId="1B584BCE">
      <w:pPr>
        <w:keepNext w:val="0"/>
        <w:keepLines w:val="0"/>
        <w:pageBreakBefore w:val="0"/>
        <w:kinsoku/>
        <w:wordWrap/>
        <w:overflowPunct/>
        <w:topLinePunct w:val="0"/>
        <w:autoSpaceDE/>
        <w:autoSpaceDN/>
        <w:bidi w:val="0"/>
        <w:adjustRightInd/>
        <w:spacing w:line="500" w:lineRule="exact"/>
        <w:textAlignment w:val="auto"/>
        <w:outlineLvl w:val="9"/>
        <w:rPr>
          <w:rFonts w:hint="eastAsia" w:ascii="宋体" w:hAnsi="宋体" w:eastAsia="宋体" w:cs="宋体"/>
          <w:b/>
          <w:szCs w:val="24"/>
          <w:highlight w:val="none"/>
        </w:rPr>
      </w:pPr>
      <w:bookmarkStart w:id="39" w:name="_Toc14239"/>
      <w:r>
        <w:rPr>
          <w:rFonts w:hint="eastAsia" w:hAnsi="宋体" w:eastAsia="宋体" w:cs="宋体"/>
          <w:b/>
          <w:szCs w:val="24"/>
          <w:highlight w:val="none"/>
          <w:lang w:val="en-US" w:eastAsia="zh-CN"/>
        </w:rPr>
        <w:t>6</w:t>
      </w:r>
      <w:r>
        <w:rPr>
          <w:rFonts w:hint="eastAsia" w:ascii="宋体" w:hAnsi="宋体" w:eastAsia="宋体" w:cs="宋体"/>
          <w:b/>
          <w:szCs w:val="24"/>
          <w:highlight w:val="none"/>
        </w:rPr>
        <w:t>.投标文件内容的真实性</w:t>
      </w:r>
      <w:bookmarkEnd w:id="39"/>
    </w:p>
    <w:p w14:paraId="2F66EDFB">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hAnsi="宋体" w:eastAsia="宋体" w:cs="宋体"/>
          <w:szCs w:val="24"/>
          <w:highlight w:val="none"/>
          <w:lang w:val="en-US" w:eastAsia="zh-CN"/>
        </w:rPr>
        <w:t>6</w:t>
      </w:r>
      <w:r>
        <w:rPr>
          <w:rFonts w:hint="eastAsia" w:ascii="宋体" w:hAnsi="宋体" w:eastAsia="宋体" w:cs="宋体"/>
          <w:szCs w:val="24"/>
          <w:highlight w:val="none"/>
        </w:rPr>
        <w:t>.1</w:t>
      </w:r>
      <w:r>
        <w:rPr>
          <w:rFonts w:hint="eastAsia" w:hAnsi="宋体" w:eastAsia="宋体" w:cs="宋体"/>
          <w:szCs w:val="24"/>
          <w:highlight w:val="none"/>
          <w:lang w:eastAsia="zh-CN"/>
        </w:rPr>
        <w:t>供应商</w:t>
      </w:r>
      <w:r>
        <w:rPr>
          <w:rFonts w:hint="eastAsia" w:ascii="宋体" w:hAnsi="宋体" w:eastAsia="宋体" w:cs="宋体"/>
          <w:szCs w:val="24"/>
          <w:highlight w:val="none"/>
        </w:rPr>
        <w:t>应保证其投标文件中所提供的所有投标资料、信息是真实的，并且来源于合法的渠道。因投标文件中所提供的投标资料、信息不真实或者其来源不合法而导致的所有法律责任，由</w:t>
      </w:r>
      <w:r>
        <w:rPr>
          <w:rFonts w:hint="eastAsia" w:hAnsi="宋体" w:eastAsia="宋体" w:cs="宋体"/>
          <w:szCs w:val="24"/>
          <w:highlight w:val="none"/>
          <w:lang w:eastAsia="zh-CN"/>
        </w:rPr>
        <w:t>供应商</w:t>
      </w:r>
      <w:r>
        <w:rPr>
          <w:rFonts w:hint="eastAsia" w:ascii="宋体" w:hAnsi="宋体" w:eastAsia="宋体" w:cs="宋体"/>
          <w:szCs w:val="24"/>
          <w:highlight w:val="none"/>
        </w:rPr>
        <w:t>自行承担。</w:t>
      </w:r>
    </w:p>
    <w:p w14:paraId="42F44B60">
      <w:pPr>
        <w:keepNext w:val="0"/>
        <w:keepLines w:val="0"/>
        <w:pageBreakBefore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b/>
          <w:sz w:val="32"/>
          <w:szCs w:val="32"/>
          <w:highlight w:val="none"/>
        </w:rPr>
      </w:pPr>
      <w:bookmarkStart w:id="40" w:name="_Toc363474018"/>
      <w:bookmarkStart w:id="41" w:name="_Toc403077640"/>
      <w:bookmarkStart w:id="42" w:name="_Toc25595"/>
      <w:bookmarkStart w:id="43" w:name="_Toc363473973"/>
    </w:p>
    <w:p w14:paraId="4A8E0A98">
      <w:pPr>
        <w:keepNext w:val="0"/>
        <w:keepLines w:val="0"/>
        <w:pageBreakBefore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二.招标文件</w:t>
      </w:r>
      <w:bookmarkEnd w:id="40"/>
      <w:bookmarkEnd w:id="41"/>
      <w:bookmarkEnd w:id="42"/>
      <w:bookmarkEnd w:id="43"/>
    </w:p>
    <w:p w14:paraId="562AADEC">
      <w:pPr>
        <w:keepNext w:val="0"/>
        <w:keepLines w:val="0"/>
        <w:pageBreakBefore w:val="0"/>
        <w:kinsoku/>
        <w:wordWrap/>
        <w:overflowPunct/>
        <w:topLinePunct w:val="0"/>
        <w:autoSpaceDE/>
        <w:autoSpaceDN/>
        <w:bidi w:val="0"/>
        <w:adjustRightInd/>
        <w:spacing w:line="500" w:lineRule="exact"/>
        <w:textAlignment w:val="auto"/>
        <w:outlineLvl w:val="9"/>
        <w:rPr>
          <w:rFonts w:hint="eastAsia" w:ascii="宋体" w:hAnsi="宋体" w:eastAsia="宋体" w:cs="宋体"/>
          <w:b/>
          <w:szCs w:val="24"/>
          <w:highlight w:val="none"/>
        </w:rPr>
      </w:pPr>
      <w:bookmarkStart w:id="44" w:name="_Toc1498"/>
      <w:r>
        <w:rPr>
          <w:rFonts w:hint="eastAsia" w:hAnsi="宋体" w:eastAsia="宋体" w:cs="宋体"/>
          <w:b/>
          <w:szCs w:val="24"/>
          <w:highlight w:val="none"/>
          <w:lang w:val="en-US" w:eastAsia="zh-CN"/>
        </w:rPr>
        <w:t>7</w:t>
      </w:r>
      <w:r>
        <w:rPr>
          <w:rFonts w:hint="eastAsia" w:ascii="宋体" w:hAnsi="宋体" w:eastAsia="宋体" w:cs="宋体"/>
          <w:b/>
          <w:szCs w:val="24"/>
          <w:highlight w:val="none"/>
        </w:rPr>
        <w:t>.招标文件构成</w:t>
      </w:r>
      <w:bookmarkEnd w:id="44"/>
    </w:p>
    <w:p w14:paraId="559D20FF">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hAnsi="宋体" w:eastAsia="宋体" w:cs="宋体"/>
          <w:szCs w:val="24"/>
          <w:highlight w:val="none"/>
          <w:lang w:val="en-US" w:eastAsia="zh-CN"/>
        </w:rPr>
        <w:t>7</w:t>
      </w:r>
      <w:r>
        <w:rPr>
          <w:rFonts w:hint="eastAsia" w:ascii="宋体" w:hAnsi="宋体" w:eastAsia="宋体" w:cs="宋体"/>
          <w:szCs w:val="24"/>
          <w:highlight w:val="none"/>
        </w:rPr>
        <w:t>.1 招标文件要求提供的货物、服务，招标程序和合同条件在招标文件中均有说明。招标文件共六章，内容如下：</w:t>
      </w:r>
    </w:p>
    <w:p w14:paraId="7938C3F8">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第一章  招标公告</w:t>
      </w:r>
      <w:r>
        <w:rPr>
          <w:rFonts w:hint="eastAsia" w:ascii="宋体" w:hAnsi="宋体" w:eastAsia="宋体" w:cs="宋体"/>
          <w:szCs w:val="24"/>
          <w:highlight w:val="none"/>
        </w:rPr>
        <w:tab/>
      </w:r>
    </w:p>
    <w:p w14:paraId="488417A2">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第二章  供应商须知</w:t>
      </w:r>
      <w:r>
        <w:rPr>
          <w:rFonts w:hint="eastAsia" w:ascii="宋体" w:hAnsi="宋体" w:eastAsia="宋体" w:cs="宋体"/>
          <w:szCs w:val="24"/>
          <w:highlight w:val="none"/>
        </w:rPr>
        <w:tab/>
      </w:r>
    </w:p>
    <w:p w14:paraId="41817228">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第三章 合同条款及格式</w:t>
      </w:r>
      <w:r>
        <w:rPr>
          <w:rFonts w:hint="eastAsia" w:ascii="宋体" w:hAnsi="宋体" w:eastAsia="宋体" w:cs="宋体"/>
          <w:szCs w:val="24"/>
          <w:highlight w:val="none"/>
        </w:rPr>
        <w:tab/>
      </w:r>
    </w:p>
    <w:p w14:paraId="7523E0F2">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第四章 采购内容及技术要求</w:t>
      </w:r>
      <w:r>
        <w:rPr>
          <w:rFonts w:hint="eastAsia" w:ascii="宋体" w:hAnsi="宋体" w:eastAsia="宋体" w:cs="宋体"/>
          <w:szCs w:val="24"/>
          <w:highlight w:val="none"/>
        </w:rPr>
        <w:tab/>
      </w:r>
    </w:p>
    <w:p w14:paraId="0C5BABBF">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第五章 商务要求</w:t>
      </w:r>
      <w:r>
        <w:rPr>
          <w:rFonts w:hint="eastAsia" w:ascii="宋体" w:hAnsi="宋体" w:eastAsia="宋体" w:cs="宋体"/>
          <w:szCs w:val="24"/>
          <w:highlight w:val="none"/>
        </w:rPr>
        <w:tab/>
      </w:r>
    </w:p>
    <w:p w14:paraId="4BA9FFF3">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第六章 评标方法</w:t>
      </w:r>
      <w:r>
        <w:rPr>
          <w:rFonts w:hint="eastAsia" w:ascii="宋体" w:hAnsi="宋体" w:eastAsia="宋体" w:cs="宋体"/>
          <w:szCs w:val="24"/>
          <w:highlight w:val="none"/>
        </w:rPr>
        <w:tab/>
      </w:r>
    </w:p>
    <w:p w14:paraId="1E6E4F01">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第七章 投标文件构成及格式</w:t>
      </w:r>
      <w:r>
        <w:rPr>
          <w:rFonts w:hint="eastAsia" w:ascii="宋体" w:hAnsi="宋体" w:eastAsia="宋体" w:cs="宋体"/>
          <w:szCs w:val="24"/>
          <w:highlight w:val="none"/>
        </w:rPr>
        <w:tab/>
      </w:r>
    </w:p>
    <w:p w14:paraId="3DFD804F">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hAnsi="宋体" w:eastAsia="宋体" w:cs="宋体"/>
          <w:szCs w:val="24"/>
          <w:highlight w:val="none"/>
          <w:lang w:val="en-US" w:eastAsia="zh-CN"/>
        </w:rPr>
        <w:t>7</w:t>
      </w:r>
      <w:r>
        <w:rPr>
          <w:rFonts w:hint="eastAsia" w:ascii="宋体" w:hAnsi="宋体" w:eastAsia="宋体" w:cs="宋体"/>
          <w:szCs w:val="24"/>
          <w:highlight w:val="none"/>
        </w:rPr>
        <w:t>.2</w:t>
      </w:r>
      <w:r>
        <w:rPr>
          <w:rFonts w:hint="eastAsia" w:hAnsi="宋体" w:eastAsia="宋体" w:cs="宋体"/>
          <w:szCs w:val="24"/>
          <w:highlight w:val="none"/>
          <w:lang w:eastAsia="zh-CN"/>
        </w:rPr>
        <w:t>供应商</w:t>
      </w:r>
      <w:r>
        <w:rPr>
          <w:rFonts w:hint="eastAsia" w:ascii="宋体" w:hAnsi="宋体" w:eastAsia="宋体" w:cs="宋体"/>
          <w:szCs w:val="24"/>
          <w:highlight w:val="none"/>
        </w:rPr>
        <w:t>应认真阅读招标文件中所有的事项、格式、条款和规范等要求。如果</w:t>
      </w:r>
      <w:r>
        <w:rPr>
          <w:rFonts w:hint="eastAsia" w:hAnsi="宋体" w:eastAsia="宋体" w:cs="宋体"/>
          <w:szCs w:val="24"/>
          <w:highlight w:val="none"/>
          <w:lang w:eastAsia="zh-CN"/>
        </w:rPr>
        <w:t>供应商</w:t>
      </w:r>
      <w:r>
        <w:rPr>
          <w:rFonts w:hint="eastAsia" w:ascii="宋体" w:hAnsi="宋体" w:eastAsia="宋体" w:cs="宋体"/>
          <w:szCs w:val="24"/>
          <w:highlight w:val="none"/>
        </w:rPr>
        <w:t>没有按照招标文件要求提交全部资料，或者投标文件没有对招标文件在各方面都做出实质性响应，由此带来不利于</w:t>
      </w:r>
      <w:r>
        <w:rPr>
          <w:rFonts w:hint="eastAsia" w:hAnsi="宋体" w:eastAsia="宋体" w:cs="宋体"/>
          <w:szCs w:val="24"/>
          <w:highlight w:val="none"/>
          <w:lang w:eastAsia="zh-CN"/>
        </w:rPr>
        <w:t>供应商</w:t>
      </w:r>
      <w:r>
        <w:rPr>
          <w:rFonts w:hint="eastAsia" w:ascii="宋体" w:hAnsi="宋体" w:eastAsia="宋体" w:cs="宋体"/>
          <w:szCs w:val="24"/>
          <w:highlight w:val="none"/>
        </w:rPr>
        <w:t>的评标结果，其风险由</w:t>
      </w:r>
      <w:r>
        <w:rPr>
          <w:rFonts w:hint="eastAsia" w:hAnsi="宋体" w:eastAsia="宋体" w:cs="宋体"/>
          <w:szCs w:val="24"/>
          <w:highlight w:val="none"/>
          <w:lang w:eastAsia="zh-CN"/>
        </w:rPr>
        <w:t>供应商</w:t>
      </w:r>
      <w:r>
        <w:rPr>
          <w:rFonts w:hint="eastAsia" w:ascii="宋体" w:hAnsi="宋体" w:eastAsia="宋体" w:cs="宋体"/>
          <w:szCs w:val="24"/>
          <w:highlight w:val="none"/>
        </w:rPr>
        <w:t>承担。</w:t>
      </w:r>
    </w:p>
    <w:p w14:paraId="42D15312">
      <w:pPr>
        <w:keepNext w:val="0"/>
        <w:keepLines w:val="0"/>
        <w:pageBreakBefore w:val="0"/>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szCs w:val="24"/>
          <w:highlight w:val="none"/>
        </w:rPr>
      </w:pPr>
      <w:r>
        <w:rPr>
          <w:rFonts w:hint="eastAsia" w:hAnsi="宋体" w:eastAsia="宋体" w:cs="宋体"/>
          <w:szCs w:val="24"/>
          <w:highlight w:val="none"/>
          <w:lang w:val="en-US" w:eastAsia="zh-CN"/>
        </w:rPr>
        <w:t>7</w:t>
      </w:r>
      <w:r>
        <w:rPr>
          <w:rFonts w:hint="eastAsia" w:ascii="宋体" w:hAnsi="宋体" w:eastAsia="宋体" w:cs="宋体"/>
          <w:szCs w:val="24"/>
          <w:highlight w:val="none"/>
        </w:rPr>
        <w:t>.3本招标文件的解释权归</w:t>
      </w:r>
      <w:r>
        <w:rPr>
          <w:rFonts w:hint="eastAsia" w:hAnsi="宋体" w:eastAsia="宋体" w:cs="宋体"/>
          <w:szCs w:val="24"/>
          <w:highlight w:val="none"/>
          <w:lang w:eastAsia="zh-CN"/>
        </w:rPr>
        <w:t>新疆</w:t>
      </w:r>
      <w:r>
        <w:rPr>
          <w:rFonts w:hint="eastAsia" w:hAnsi="宋体" w:eastAsia="宋体" w:cs="宋体"/>
          <w:szCs w:val="24"/>
          <w:highlight w:val="none"/>
          <w:lang w:val="en-US" w:eastAsia="zh-CN"/>
        </w:rPr>
        <w:t>启中</w:t>
      </w:r>
      <w:r>
        <w:rPr>
          <w:rFonts w:hint="eastAsia" w:hAnsi="宋体" w:eastAsia="宋体" w:cs="宋体"/>
          <w:szCs w:val="24"/>
          <w:highlight w:val="none"/>
          <w:lang w:eastAsia="zh-CN"/>
        </w:rPr>
        <w:t>项目管理有限公司</w:t>
      </w:r>
      <w:r>
        <w:rPr>
          <w:rFonts w:hint="eastAsia" w:ascii="宋体" w:hAnsi="宋体" w:eastAsia="宋体" w:cs="宋体"/>
          <w:szCs w:val="24"/>
          <w:highlight w:val="none"/>
          <w:lang w:eastAsia="zh-CN"/>
        </w:rPr>
        <w:t>，</w:t>
      </w:r>
      <w:r>
        <w:rPr>
          <w:rFonts w:hint="eastAsia" w:ascii="宋体" w:hAnsi="宋体" w:eastAsia="宋体" w:cs="宋体"/>
          <w:szCs w:val="24"/>
          <w:highlight w:val="none"/>
        </w:rPr>
        <w:t>如发现招标文件内容与现行法律法规不相符的情况，以现行法律法规为准。</w:t>
      </w:r>
    </w:p>
    <w:p w14:paraId="3EC5E8C4">
      <w:pPr>
        <w:spacing w:line="360" w:lineRule="auto"/>
        <w:outlineLvl w:val="9"/>
        <w:rPr>
          <w:rFonts w:hint="default" w:ascii="宋体" w:hAnsi="宋体" w:eastAsia="宋体"/>
          <w:b/>
          <w:color w:val="auto"/>
          <w:szCs w:val="21"/>
          <w:highlight w:val="none"/>
          <w:lang w:val="en-US" w:eastAsia="zh-CN"/>
        </w:rPr>
      </w:pPr>
      <w:bookmarkStart w:id="45" w:name="_Toc2133"/>
      <w:r>
        <w:rPr>
          <w:rFonts w:hint="eastAsia" w:hAnsi="宋体"/>
          <w:b/>
          <w:color w:val="auto"/>
          <w:szCs w:val="21"/>
          <w:highlight w:val="none"/>
          <w:lang w:val="en-US" w:eastAsia="zh-CN"/>
        </w:rPr>
        <w:t>8</w:t>
      </w:r>
      <w:r>
        <w:rPr>
          <w:rFonts w:hint="eastAsia" w:ascii="宋体" w:hAnsi="宋体"/>
          <w:b/>
          <w:color w:val="auto"/>
          <w:szCs w:val="21"/>
          <w:highlight w:val="none"/>
        </w:rPr>
        <w:t>.招标文件的澄清修改</w:t>
      </w:r>
      <w:r>
        <w:rPr>
          <w:rFonts w:hint="eastAsia" w:hAnsi="宋体"/>
          <w:b/>
          <w:color w:val="auto"/>
          <w:szCs w:val="21"/>
          <w:highlight w:val="none"/>
          <w:lang w:val="en-US" w:eastAsia="zh-CN"/>
        </w:rPr>
        <w:t>及询问</w:t>
      </w:r>
      <w:bookmarkEnd w:id="45"/>
    </w:p>
    <w:p w14:paraId="2C0D362C">
      <w:pPr>
        <w:spacing w:line="360" w:lineRule="auto"/>
        <w:ind w:firstLine="420" w:firstLineChars="200"/>
        <w:outlineLvl w:val="9"/>
        <w:rPr>
          <w:rFonts w:hint="eastAsia" w:ascii="宋体" w:hAnsi="宋体"/>
          <w:color w:val="auto"/>
          <w:szCs w:val="21"/>
          <w:highlight w:val="none"/>
        </w:rPr>
      </w:pPr>
      <w:r>
        <w:rPr>
          <w:rFonts w:hint="eastAsia" w:hAnsi="宋体"/>
          <w:color w:val="auto"/>
          <w:szCs w:val="21"/>
          <w:highlight w:val="none"/>
          <w:lang w:val="en-US" w:eastAsia="zh-CN"/>
        </w:rPr>
        <w:t>8</w:t>
      </w:r>
      <w:r>
        <w:rPr>
          <w:rFonts w:hint="eastAsia" w:ascii="宋体" w:hAnsi="宋体"/>
          <w:color w:val="auto"/>
          <w:szCs w:val="21"/>
          <w:highlight w:val="none"/>
        </w:rPr>
        <w:t>.1采购人如果对已发出的招标文件进行必要的澄清或者修改，将在原公告发布媒体上发布澄清公告。澄清或者修改的内容为招标文件的组成部分。</w:t>
      </w:r>
    </w:p>
    <w:p w14:paraId="0E86DF63">
      <w:pPr>
        <w:spacing w:line="360" w:lineRule="auto"/>
        <w:ind w:firstLine="420" w:firstLineChars="200"/>
        <w:outlineLvl w:val="9"/>
        <w:rPr>
          <w:rFonts w:hint="eastAsia" w:ascii="宋体" w:hAnsi="宋体"/>
          <w:color w:val="auto"/>
          <w:szCs w:val="21"/>
          <w:highlight w:val="none"/>
        </w:rPr>
      </w:pPr>
      <w:r>
        <w:rPr>
          <w:rFonts w:hint="eastAsia" w:hAnsi="宋体"/>
          <w:color w:val="auto"/>
          <w:szCs w:val="21"/>
          <w:highlight w:val="none"/>
          <w:lang w:val="en-US" w:eastAsia="zh-CN"/>
        </w:rPr>
        <w:t>8</w:t>
      </w:r>
      <w:r>
        <w:rPr>
          <w:rFonts w:hint="eastAsia" w:ascii="宋体" w:hAnsi="宋体"/>
          <w:color w:val="auto"/>
          <w:szCs w:val="21"/>
          <w:highlight w:val="none"/>
        </w:rPr>
        <w:t>.2澄清或者修改的内容可能影响投标文件编制的，采购代理机构将在投标截止时间至少15日前，以</w:t>
      </w:r>
      <w:r>
        <w:rPr>
          <w:rFonts w:hint="eastAsia" w:ascii="宋体" w:hAnsi="宋体"/>
          <w:color w:val="auto"/>
          <w:szCs w:val="21"/>
          <w:highlight w:val="none"/>
          <w:lang w:val="en-US" w:eastAsia="zh-CN"/>
        </w:rPr>
        <w:t>政采云平台或</w:t>
      </w:r>
      <w:r>
        <w:rPr>
          <w:rFonts w:hint="eastAsia" w:ascii="宋体" w:hAnsi="宋体"/>
          <w:color w:val="auto"/>
          <w:szCs w:val="21"/>
          <w:highlight w:val="none"/>
        </w:rPr>
        <w:t>书面形式通知所有获取招标文件的潜在</w:t>
      </w:r>
      <w:r>
        <w:rPr>
          <w:rFonts w:hint="eastAsia" w:hAnsi="宋体"/>
          <w:color w:val="auto"/>
          <w:szCs w:val="21"/>
          <w:highlight w:val="none"/>
          <w:lang w:eastAsia="zh-CN"/>
        </w:rPr>
        <w:t>供应商</w:t>
      </w:r>
      <w:r>
        <w:rPr>
          <w:rFonts w:hint="eastAsia" w:ascii="宋体" w:hAnsi="宋体"/>
          <w:color w:val="auto"/>
          <w:szCs w:val="21"/>
          <w:highlight w:val="none"/>
        </w:rPr>
        <w:t>；不足15日的，采购代理机构将顺延提交投标文件的截止时间。</w:t>
      </w:r>
    </w:p>
    <w:p w14:paraId="664B9DE6">
      <w:pPr>
        <w:spacing w:line="360" w:lineRule="auto"/>
        <w:ind w:firstLine="420" w:firstLineChars="200"/>
        <w:outlineLvl w:val="9"/>
        <w:rPr>
          <w:rFonts w:hint="eastAsia" w:ascii="宋体" w:hAnsi="宋体"/>
          <w:color w:val="auto"/>
          <w:szCs w:val="21"/>
          <w:highlight w:val="none"/>
        </w:rPr>
      </w:pPr>
      <w:r>
        <w:rPr>
          <w:rFonts w:hint="eastAsia" w:hAnsi="宋体"/>
          <w:color w:val="auto"/>
          <w:szCs w:val="21"/>
          <w:highlight w:val="none"/>
          <w:lang w:val="en-US" w:eastAsia="zh-CN"/>
        </w:rPr>
        <w:t>8</w:t>
      </w:r>
      <w:r>
        <w:rPr>
          <w:rFonts w:hint="eastAsia" w:ascii="宋体" w:hAnsi="宋体"/>
          <w:color w:val="auto"/>
          <w:szCs w:val="21"/>
          <w:highlight w:val="none"/>
        </w:rPr>
        <w:t>.</w:t>
      </w:r>
      <w:r>
        <w:rPr>
          <w:rFonts w:hint="eastAsia" w:hAnsi="宋体"/>
          <w:color w:val="auto"/>
          <w:szCs w:val="21"/>
          <w:highlight w:val="none"/>
          <w:lang w:val="en-US" w:eastAsia="zh-CN"/>
        </w:rPr>
        <w:t>3</w:t>
      </w:r>
      <w:r>
        <w:rPr>
          <w:rFonts w:hint="eastAsia" w:ascii="宋体" w:hAnsi="宋体"/>
          <w:color w:val="auto"/>
          <w:szCs w:val="21"/>
          <w:highlight w:val="none"/>
        </w:rPr>
        <w:t>已经购买招标文件的供应商对招标文件有疑问的，采购代理机构将在</w:t>
      </w:r>
      <w:r>
        <w:rPr>
          <w:rFonts w:hint="eastAsia" w:hAnsi="宋体"/>
          <w:color w:val="auto"/>
          <w:szCs w:val="21"/>
          <w:highlight w:val="none"/>
          <w:lang w:val="en-US" w:eastAsia="zh-CN"/>
        </w:rPr>
        <w:t>3</w:t>
      </w:r>
      <w:r>
        <w:rPr>
          <w:rFonts w:hint="eastAsia" w:ascii="宋体" w:hAnsi="宋体"/>
          <w:color w:val="auto"/>
          <w:szCs w:val="21"/>
          <w:highlight w:val="none"/>
        </w:rPr>
        <w:t>个工作日内</w:t>
      </w:r>
      <w:r>
        <w:rPr>
          <w:rFonts w:hint="eastAsia" w:ascii="宋体" w:hAnsi="宋体" w:eastAsia="宋体" w:cs="宋体"/>
          <w:color w:val="auto"/>
          <w:szCs w:val="24"/>
          <w:highlight w:val="none"/>
          <w:lang w:eastAsia="zh-CN"/>
        </w:rPr>
        <w:t>采用适当方式予以澄清或以</w:t>
      </w:r>
      <w:r>
        <w:rPr>
          <w:rFonts w:hint="eastAsia" w:ascii="宋体" w:hAnsi="宋体"/>
          <w:color w:val="auto"/>
          <w:szCs w:val="21"/>
          <w:highlight w:val="none"/>
          <w:lang w:val="en-US" w:eastAsia="zh-CN"/>
        </w:rPr>
        <w:t>政采云平台或</w:t>
      </w:r>
      <w:r>
        <w:rPr>
          <w:rFonts w:hint="eastAsia" w:ascii="宋体" w:hAnsi="宋体"/>
          <w:color w:val="auto"/>
          <w:szCs w:val="21"/>
          <w:highlight w:val="none"/>
        </w:rPr>
        <w:t>书面形式</w:t>
      </w:r>
      <w:r>
        <w:rPr>
          <w:rFonts w:hint="eastAsia" w:ascii="宋体" w:hAnsi="宋体" w:eastAsia="宋体" w:cs="宋体"/>
          <w:color w:val="auto"/>
          <w:szCs w:val="24"/>
          <w:highlight w:val="none"/>
          <w:lang w:eastAsia="zh-CN"/>
        </w:rPr>
        <w:t>予以答复</w:t>
      </w:r>
      <w:r>
        <w:rPr>
          <w:rFonts w:hint="eastAsia" w:ascii="宋体" w:hAnsi="宋体"/>
          <w:color w:val="auto"/>
          <w:szCs w:val="21"/>
          <w:highlight w:val="none"/>
        </w:rPr>
        <w:t>。</w:t>
      </w:r>
    </w:p>
    <w:p w14:paraId="62238092">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highlight w:val="none"/>
        </w:rPr>
      </w:pPr>
      <w:r>
        <w:rPr>
          <w:rFonts w:hint="eastAsia" w:hAnsi="宋体" w:eastAsia="宋体" w:cs="宋体"/>
          <w:szCs w:val="24"/>
          <w:highlight w:val="none"/>
          <w:lang w:val="en-US" w:eastAsia="zh-CN"/>
        </w:rPr>
        <w:t>8</w:t>
      </w:r>
      <w:r>
        <w:rPr>
          <w:rFonts w:hint="eastAsia" w:ascii="宋体" w:hAnsi="宋体" w:eastAsia="宋体" w:cs="宋体"/>
          <w:szCs w:val="24"/>
          <w:highlight w:val="none"/>
        </w:rPr>
        <w:t>.</w:t>
      </w:r>
      <w:r>
        <w:rPr>
          <w:rFonts w:hint="eastAsia" w:hAnsi="宋体" w:eastAsia="宋体" w:cs="宋体"/>
          <w:szCs w:val="24"/>
          <w:highlight w:val="none"/>
          <w:lang w:val="en-US" w:eastAsia="zh-CN"/>
        </w:rPr>
        <w:t>4</w:t>
      </w:r>
      <w:r>
        <w:rPr>
          <w:rFonts w:hint="eastAsia" w:hAnsi="宋体" w:eastAsia="宋体" w:cs="宋体"/>
          <w:highlight w:val="none"/>
          <w:lang w:eastAsia="zh-CN"/>
        </w:rPr>
        <w:t>供应商</w:t>
      </w:r>
      <w:r>
        <w:rPr>
          <w:rFonts w:hint="eastAsia" w:ascii="宋体" w:hAnsi="宋体" w:eastAsia="宋体" w:cs="宋体"/>
          <w:highlight w:val="none"/>
        </w:rPr>
        <w:t>在收到上述通知后，应立即向采购代理机构回函确认。</w:t>
      </w:r>
    </w:p>
    <w:p w14:paraId="42C12A30">
      <w:pPr>
        <w:keepNext w:val="0"/>
        <w:keepLines w:val="0"/>
        <w:pageBreakBefore w:val="0"/>
        <w:wordWrap/>
        <w:overflowPunct/>
        <w:topLinePunct w:val="0"/>
        <w:bidi w:val="0"/>
        <w:spacing w:line="500" w:lineRule="exact"/>
        <w:jc w:val="center"/>
        <w:outlineLvl w:val="9"/>
        <w:rPr>
          <w:rFonts w:hint="eastAsia" w:ascii="宋体" w:hAnsi="宋体" w:eastAsia="宋体" w:cs="宋体"/>
          <w:b/>
          <w:sz w:val="32"/>
          <w:szCs w:val="32"/>
          <w:highlight w:val="none"/>
        </w:rPr>
      </w:pPr>
      <w:bookmarkStart w:id="46" w:name="_Toc363474019"/>
      <w:bookmarkStart w:id="47" w:name="_Toc363473974"/>
      <w:bookmarkStart w:id="48" w:name="_Toc403077641"/>
      <w:bookmarkStart w:id="49" w:name="_Toc29131"/>
    </w:p>
    <w:p w14:paraId="4C6BCFBA">
      <w:pPr>
        <w:keepNext w:val="0"/>
        <w:keepLines w:val="0"/>
        <w:pageBreakBefore w:val="0"/>
        <w:wordWrap/>
        <w:overflowPunct/>
        <w:topLinePunct w:val="0"/>
        <w:bidi w:val="0"/>
        <w:spacing w:line="500" w:lineRule="exact"/>
        <w:jc w:val="center"/>
        <w:outlineLvl w:val="9"/>
        <w:rPr>
          <w:rFonts w:hint="eastAsia" w:ascii="宋体" w:hAnsi="宋体" w:eastAsia="宋体" w:cs="宋体"/>
          <w:b/>
          <w:sz w:val="32"/>
          <w:szCs w:val="32"/>
          <w:highlight w:val="none"/>
        </w:rPr>
      </w:pPr>
    </w:p>
    <w:p w14:paraId="6188AA31">
      <w:pPr>
        <w:keepNext w:val="0"/>
        <w:keepLines w:val="0"/>
        <w:pageBreakBefore w:val="0"/>
        <w:wordWrap/>
        <w:overflowPunct/>
        <w:topLinePunct w:val="0"/>
        <w:bidi w:val="0"/>
        <w:spacing w:line="500" w:lineRule="exact"/>
        <w:jc w:val="center"/>
        <w:outlineLvl w:val="9"/>
        <w:rPr>
          <w:rFonts w:hint="eastAsia" w:ascii="宋体" w:hAnsi="宋体" w:eastAsia="宋体" w:cs="宋体"/>
          <w:b/>
          <w:sz w:val="32"/>
          <w:szCs w:val="32"/>
          <w:highlight w:val="none"/>
        </w:rPr>
      </w:pPr>
    </w:p>
    <w:p w14:paraId="5AED016C">
      <w:pPr>
        <w:keepNext w:val="0"/>
        <w:keepLines w:val="0"/>
        <w:pageBreakBefore w:val="0"/>
        <w:wordWrap/>
        <w:overflowPunct/>
        <w:topLinePunct w:val="0"/>
        <w:bidi w:val="0"/>
        <w:spacing w:line="500" w:lineRule="exact"/>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三.投标文件的编制</w:t>
      </w:r>
      <w:bookmarkEnd w:id="46"/>
      <w:bookmarkEnd w:id="47"/>
      <w:bookmarkEnd w:id="48"/>
      <w:bookmarkEnd w:id="49"/>
    </w:p>
    <w:p w14:paraId="7CB0EC0B">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50" w:name="_Toc10023"/>
      <w:r>
        <w:rPr>
          <w:rFonts w:hint="eastAsia" w:hAnsi="宋体" w:eastAsia="宋体" w:cs="宋体"/>
          <w:b/>
          <w:szCs w:val="24"/>
          <w:highlight w:val="none"/>
          <w:lang w:val="en-US" w:eastAsia="zh-CN"/>
        </w:rPr>
        <w:t>9</w:t>
      </w:r>
      <w:r>
        <w:rPr>
          <w:rFonts w:hint="eastAsia" w:ascii="宋体" w:hAnsi="宋体" w:eastAsia="宋体" w:cs="宋体"/>
          <w:b/>
          <w:szCs w:val="24"/>
          <w:highlight w:val="none"/>
        </w:rPr>
        <w:t>. 投标语言和投标货币</w:t>
      </w:r>
      <w:bookmarkEnd w:id="50"/>
    </w:p>
    <w:p w14:paraId="30CEEBBE">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b/>
          <w:szCs w:val="24"/>
          <w:highlight w:val="none"/>
        </w:rPr>
      </w:pPr>
      <w:r>
        <w:rPr>
          <w:rFonts w:hint="eastAsia" w:hAnsi="宋体" w:eastAsia="宋体" w:cs="宋体"/>
          <w:szCs w:val="24"/>
          <w:highlight w:val="none"/>
          <w:lang w:val="en-US" w:eastAsia="zh-CN"/>
        </w:rPr>
        <w:t>9</w:t>
      </w:r>
      <w:r>
        <w:rPr>
          <w:rFonts w:hint="eastAsia" w:ascii="宋体" w:hAnsi="宋体" w:eastAsia="宋体" w:cs="宋体"/>
          <w:szCs w:val="24"/>
          <w:highlight w:val="none"/>
        </w:rPr>
        <w:t>.1</w:t>
      </w:r>
      <w:r>
        <w:rPr>
          <w:rFonts w:hint="eastAsia" w:hAnsi="宋体" w:eastAsia="宋体" w:cs="宋体"/>
          <w:szCs w:val="24"/>
          <w:highlight w:val="none"/>
          <w:lang w:eastAsia="zh-CN"/>
        </w:rPr>
        <w:t>供应商</w:t>
      </w:r>
      <w:r>
        <w:rPr>
          <w:rFonts w:hint="eastAsia" w:ascii="宋体" w:hAnsi="宋体" w:eastAsia="宋体" w:cs="宋体"/>
          <w:szCs w:val="24"/>
          <w:highlight w:val="none"/>
        </w:rPr>
        <w:t>提交的投标文件以及</w:t>
      </w:r>
      <w:r>
        <w:rPr>
          <w:rFonts w:hint="eastAsia" w:hAnsi="宋体" w:eastAsia="宋体" w:cs="宋体"/>
          <w:szCs w:val="24"/>
          <w:highlight w:val="none"/>
          <w:lang w:eastAsia="zh-CN"/>
        </w:rPr>
        <w:t>供应商</w:t>
      </w:r>
      <w:r>
        <w:rPr>
          <w:rFonts w:hint="eastAsia" w:ascii="宋体" w:hAnsi="宋体" w:eastAsia="宋体" w:cs="宋体"/>
          <w:szCs w:val="24"/>
          <w:highlight w:val="none"/>
        </w:rPr>
        <w:t>与采购代理机构就有关投标的所有来往函电均应使用中文。</w:t>
      </w:r>
    </w:p>
    <w:p w14:paraId="736EE138">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color w:val="auto"/>
          <w:szCs w:val="24"/>
          <w:highlight w:val="none"/>
        </w:rPr>
      </w:pPr>
      <w:r>
        <w:rPr>
          <w:rFonts w:hint="eastAsia" w:hAnsi="宋体" w:eastAsia="宋体" w:cs="宋体"/>
          <w:color w:val="auto"/>
          <w:szCs w:val="24"/>
          <w:highlight w:val="none"/>
          <w:lang w:val="en-US" w:eastAsia="zh-CN"/>
        </w:rPr>
        <w:t>9</w:t>
      </w:r>
      <w:r>
        <w:rPr>
          <w:rFonts w:hint="eastAsia" w:ascii="宋体" w:hAnsi="宋体" w:eastAsia="宋体" w:cs="宋体"/>
          <w:color w:val="auto"/>
          <w:szCs w:val="24"/>
          <w:highlight w:val="none"/>
        </w:rPr>
        <w:t>.2投标应以</w:t>
      </w:r>
      <w:r>
        <w:rPr>
          <w:rFonts w:hint="eastAsia"/>
          <w:highlight w:val="none"/>
          <w:lang w:val="en-US" w:eastAsia="zh-CN"/>
        </w:rPr>
        <w:t>投标</w:t>
      </w:r>
      <w:r>
        <w:rPr>
          <w:rFonts w:hint="eastAsia"/>
          <w:highlight w:val="none"/>
          <w:lang w:eastAsia="zh-CN"/>
        </w:rPr>
        <w:t>报价（即</w:t>
      </w:r>
      <w:r>
        <w:rPr>
          <w:rFonts w:hint="eastAsia"/>
          <w:highlight w:val="none"/>
          <w:lang w:val="en-US" w:eastAsia="zh-CN"/>
        </w:rPr>
        <w:t>人民币</w:t>
      </w:r>
      <w:r>
        <w:rPr>
          <w:rFonts w:hint="eastAsia"/>
          <w:highlight w:val="none"/>
          <w:lang w:eastAsia="zh-CN"/>
        </w:rPr>
        <w:t>）</w:t>
      </w:r>
      <w:r>
        <w:rPr>
          <w:rFonts w:hint="eastAsia" w:ascii="宋体" w:hAnsi="宋体" w:eastAsia="宋体" w:cs="宋体"/>
          <w:color w:val="auto"/>
          <w:szCs w:val="24"/>
          <w:highlight w:val="none"/>
        </w:rPr>
        <w:t>。任何</w:t>
      </w:r>
      <w:r>
        <w:rPr>
          <w:rFonts w:hint="eastAsia" w:hAnsi="宋体" w:eastAsia="宋体" w:cs="宋体"/>
          <w:color w:val="auto"/>
          <w:szCs w:val="24"/>
          <w:highlight w:val="none"/>
          <w:lang w:eastAsia="zh-CN"/>
        </w:rPr>
        <w:t>其他报价形式</w:t>
      </w:r>
      <w:r>
        <w:rPr>
          <w:rFonts w:hint="eastAsia" w:ascii="宋体" w:hAnsi="宋体" w:eastAsia="宋体" w:cs="宋体"/>
          <w:color w:val="auto"/>
          <w:szCs w:val="24"/>
          <w:highlight w:val="none"/>
        </w:rPr>
        <w:t>的投标将按无效</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处理。</w:t>
      </w:r>
    </w:p>
    <w:p w14:paraId="2BEF6371">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51" w:name="_Toc9356"/>
      <w:r>
        <w:rPr>
          <w:rFonts w:hint="eastAsia" w:hAnsi="宋体" w:eastAsia="宋体" w:cs="宋体"/>
          <w:b/>
          <w:szCs w:val="24"/>
          <w:highlight w:val="none"/>
          <w:lang w:val="en-US" w:eastAsia="zh-CN"/>
        </w:rPr>
        <w:t>10</w:t>
      </w:r>
      <w:r>
        <w:rPr>
          <w:rFonts w:hint="eastAsia" w:ascii="宋体" w:hAnsi="宋体" w:eastAsia="宋体" w:cs="宋体"/>
          <w:b/>
          <w:szCs w:val="24"/>
          <w:highlight w:val="none"/>
        </w:rPr>
        <w:t>.投标文件的构成</w:t>
      </w:r>
      <w:bookmarkEnd w:id="51"/>
    </w:p>
    <w:p w14:paraId="58178C0A">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hAnsi="宋体" w:eastAsia="宋体" w:cs="宋体"/>
          <w:szCs w:val="24"/>
          <w:highlight w:val="none"/>
          <w:lang w:val="en-US" w:eastAsia="zh-CN"/>
        </w:rPr>
        <w:t>10</w:t>
      </w:r>
      <w:r>
        <w:rPr>
          <w:rFonts w:hint="eastAsia" w:ascii="宋体" w:hAnsi="宋体" w:eastAsia="宋体" w:cs="宋体"/>
          <w:szCs w:val="24"/>
          <w:highlight w:val="none"/>
        </w:rPr>
        <w:t xml:space="preserve">.1 </w:t>
      </w:r>
      <w:r>
        <w:rPr>
          <w:rFonts w:hint="eastAsia" w:hAnsi="宋体" w:eastAsia="宋体" w:cs="宋体"/>
          <w:szCs w:val="24"/>
          <w:highlight w:val="none"/>
          <w:lang w:eastAsia="zh-CN"/>
        </w:rPr>
        <w:t>供应商</w:t>
      </w:r>
      <w:r>
        <w:rPr>
          <w:rFonts w:hint="eastAsia" w:ascii="宋体" w:hAnsi="宋体" w:eastAsia="宋体" w:cs="宋体"/>
          <w:szCs w:val="24"/>
          <w:highlight w:val="none"/>
        </w:rPr>
        <w:t>提交的投标文件应包括下列部分的内容：</w:t>
      </w:r>
    </w:p>
    <w:p w14:paraId="50D3FC13">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color w:val="auto"/>
          <w:szCs w:val="24"/>
          <w:highlight w:val="none"/>
        </w:rPr>
      </w:pPr>
      <w:r>
        <w:rPr>
          <w:rFonts w:hint="eastAsia" w:hAnsi="宋体" w:eastAsia="宋体" w:cs="宋体"/>
          <w:szCs w:val="24"/>
          <w:highlight w:val="none"/>
          <w:lang w:val="en-US" w:eastAsia="zh-CN"/>
        </w:rPr>
        <w:t>10.1.1</w:t>
      </w:r>
      <w:r>
        <w:rPr>
          <w:rFonts w:hint="eastAsia" w:ascii="宋体" w:hAnsi="宋体" w:eastAsia="宋体" w:cs="宋体"/>
          <w:szCs w:val="24"/>
          <w:highlight w:val="none"/>
        </w:rPr>
        <w:t>按照</w:t>
      </w:r>
      <w:r>
        <w:rPr>
          <w:rFonts w:hint="eastAsia" w:hAnsi="宋体" w:eastAsia="宋体" w:cs="宋体"/>
          <w:szCs w:val="24"/>
          <w:highlight w:val="none"/>
          <w:lang w:eastAsia="zh-CN"/>
        </w:rPr>
        <w:t>供应商</w:t>
      </w:r>
      <w:r>
        <w:rPr>
          <w:rFonts w:hint="eastAsia" w:ascii="宋体" w:hAnsi="宋体" w:eastAsia="宋体" w:cs="宋体"/>
          <w:szCs w:val="24"/>
          <w:highlight w:val="none"/>
        </w:rPr>
        <w:t>须知的要求和</w:t>
      </w:r>
      <w:r>
        <w:rPr>
          <w:rFonts w:hint="eastAsia" w:ascii="宋体" w:hAnsi="宋体" w:eastAsia="宋体" w:cs="宋体"/>
          <w:color w:val="auto"/>
          <w:szCs w:val="24"/>
          <w:highlight w:val="none"/>
          <w:lang w:eastAsia="zh-CN"/>
        </w:rPr>
        <w:t>招</w:t>
      </w:r>
      <w:r>
        <w:rPr>
          <w:rFonts w:hint="eastAsia" w:ascii="宋体" w:hAnsi="宋体" w:eastAsia="宋体" w:cs="宋体"/>
          <w:szCs w:val="24"/>
          <w:highlight w:val="none"/>
        </w:rPr>
        <w:t>标文件规定的格式填写的投标函、投标报价表、</w:t>
      </w:r>
      <w:r>
        <w:rPr>
          <w:rFonts w:hint="eastAsia" w:ascii="宋体" w:hAnsi="宋体" w:eastAsia="宋体" w:cs="宋体"/>
          <w:color w:val="auto"/>
          <w:szCs w:val="24"/>
          <w:highlight w:val="none"/>
          <w:lang w:eastAsia="zh-CN"/>
        </w:rPr>
        <w:t>法定代表人</w:t>
      </w:r>
      <w:r>
        <w:rPr>
          <w:rFonts w:hint="eastAsia" w:ascii="宋体" w:hAnsi="宋体" w:eastAsia="宋体" w:cs="宋体"/>
          <w:color w:val="auto"/>
          <w:szCs w:val="24"/>
          <w:highlight w:val="none"/>
        </w:rPr>
        <w:t>授权书。</w:t>
      </w:r>
    </w:p>
    <w:p w14:paraId="5D41120C">
      <w:pPr>
        <w:spacing w:line="360" w:lineRule="auto"/>
        <w:ind w:firstLine="420" w:firstLineChars="200"/>
        <w:outlineLvl w:val="9"/>
        <w:rPr>
          <w:rFonts w:hint="eastAsia" w:ascii="宋体" w:hAnsi="宋体"/>
          <w:szCs w:val="21"/>
          <w:highlight w:val="none"/>
        </w:rPr>
      </w:pPr>
      <w:r>
        <w:rPr>
          <w:rFonts w:hint="eastAsia" w:hAnsi="宋体" w:eastAsia="宋体" w:cs="宋体"/>
          <w:szCs w:val="24"/>
          <w:highlight w:val="none"/>
          <w:lang w:val="en-US" w:eastAsia="zh-CN"/>
        </w:rPr>
        <w:t>10.1.2</w:t>
      </w:r>
      <w:r>
        <w:rPr>
          <w:rFonts w:hint="eastAsia" w:ascii="宋体" w:hAnsi="宋体" w:eastAsia="宋体" w:cs="宋体"/>
          <w:szCs w:val="24"/>
          <w:highlight w:val="none"/>
        </w:rPr>
        <w:t>按照招标文件的要求编制的投标方案说明书，</w:t>
      </w:r>
      <w:r>
        <w:rPr>
          <w:rFonts w:hint="eastAsia" w:ascii="宋体" w:hAnsi="宋体"/>
          <w:szCs w:val="21"/>
          <w:highlight w:val="none"/>
        </w:rPr>
        <w:t>内容应包括所提供服务的详细说明和售后服务承诺等。</w:t>
      </w:r>
    </w:p>
    <w:p w14:paraId="18CAB3F4">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r>
        <w:rPr>
          <w:rFonts w:hint="eastAsia" w:hAnsi="宋体" w:eastAsia="宋体" w:cs="宋体"/>
          <w:szCs w:val="24"/>
          <w:highlight w:val="none"/>
          <w:lang w:val="en-US" w:eastAsia="zh-CN"/>
        </w:rPr>
        <w:t>10.1.3</w:t>
      </w:r>
      <w:r>
        <w:rPr>
          <w:rFonts w:hint="eastAsia" w:ascii="宋体" w:hAnsi="宋体" w:eastAsia="宋体" w:cs="宋体"/>
          <w:szCs w:val="24"/>
          <w:highlight w:val="none"/>
        </w:rPr>
        <w:t>按照招标文件</w:t>
      </w:r>
      <w:r>
        <w:rPr>
          <w:rFonts w:hint="eastAsia" w:hAnsi="宋体" w:eastAsia="宋体" w:cs="宋体"/>
          <w:szCs w:val="24"/>
          <w:highlight w:val="none"/>
          <w:lang w:eastAsia="zh-CN"/>
        </w:rPr>
        <w:t>供应商</w:t>
      </w:r>
      <w:r>
        <w:rPr>
          <w:rFonts w:hint="eastAsia" w:ascii="宋体" w:hAnsi="宋体" w:eastAsia="宋体" w:cs="宋体"/>
          <w:szCs w:val="24"/>
          <w:highlight w:val="none"/>
        </w:rPr>
        <w:t xml:space="preserve">须知前附表的要求提交的资格证明文件；  </w:t>
      </w:r>
    </w:p>
    <w:p w14:paraId="08648B62">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10.1.4</w:t>
      </w:r>
      <w:r>
        <w:rPr>
          <w:rFonts w:hint="eastAsia" w:ascii="宋体" w:hAnsi="宋体" w:eastAsia="宋体" w:cs="宋体"/>
          <w:szCs w:val="24"/>
          <w:highlight w:val="none"/>
          <w:lang w:eastAsia="zh-CN"/>
        </w:rPr>
        <w:t>按照本须知第1</w:t>
      </w:r>
      <w:r>
        <w:rPr>
          <w:rFonts w:hint="eastAsia" w:hAnsi="宋体" w:eastAsia="宋体" w:cs="宋体"/>
          <w:szCs w:val="24"/>
          <w:highlight w:val="none"/>
          <w:lang w:val="en-US" w:eastAsia="zh-CN"/>
        </w:rPr>
        <w:t>8</w:t>
      </w:r>
      <w:r>
        <w:rPr>
          <w:rFonts w:hint="eastAsia" w:ascii="宋体" w:hAnsi="宋体" w:eastAsia="宋体" w:cs="宋体"/>
          <w:szCs w:val="24"/>
          <w:highlight w:val="none"/>
          <w:lang w:eastAsia="zh-CN"/>
        </w:rPr>
        <w:t>条要求提交的投标保证金；</w:t>
      </w:r>
    </w:p>
    <w:p w14:paraId="7451BDD5">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10.1.5</w:t>
      </w:r>
      <w:r>
        <w:rPr>
          <w:rFonts w:hint="eastAsia" w:ascii="宋体" w:hAnsi="宋体" w:eastAsia="宋体" w:cs="宋体"/>
          <w:szCs w:val="24"/>
          <w:highlight w:val="none"/>
          <w:lang w:eastAsia="zh-CN"/>
        </w:rPr>
        <w:t>招标文件中要求的其他证明文件。</w:t>
      </w:r>
    </w:p>
    <w:p w14:paraId="14F20885">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r>
        <w:rPr>
          <w:rFonts w:hint="eastAsia" w:hAnsi="宋体" w:eastAsia="宋体" w:cs="宋体"/>
          <w:szCs w:val="24"/>
          <w:highlight w:val="none"/>
          <w:lang w:val="en-US" w:eastAsia="zh-CN"/>
        </w:rPr>
        <w:t>10</w:t>
      </w:r>
      <w:r>
        <w:rPr>
          <w:rFonts w:hint="eastAsia" w:ascii="宋体" w:hAnsi="宋体" w:eastAsia="宋体" w:cs="宋体"/>
          <w:szCs w:val="24"/>
          <w:highlight w:val="none"/>
        </w:rPr>
        <w:t>.2 如果在招标文件中没有允许提供备选方案，则每个</w:t>
      </w:r>
      <w:r>
        <w:rPr>
          <w:rFonts w:hint="eastAsia" w:hAnsi="宋体" w:eastAsia="宋体" w:cs="宋体"/>
          <w:szCs w:val="24"/>
          <w:highlight w:val="none"/>
          <w:lang w:eastAsia="zh-CN"/>
        </w:rPr>
        <w:t>供应商</w:t>
      </w:r>
      <w:r>
        <w:rPr>
          <w:rFonts w:hint="eastAsia" w:ascii="宋体" w:hAnsi="宋体" w:eastAsia="宋体" w:cs="宋体"/>
          <w:szCs w:val="24"/>
          <w:highlight w:val="none"/>
        </w:rPr>
        <w:t>只允许提交一个投标方案，否则，其投标将按照无效投标处理。</w:t>
      </w:r>
    </w:p>
    <w:p w14:paraId="37ACC899">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color w:val="FF0000"/>
          <w:szCs w:val="24"/>
          <w:highlight w:val="none"/>
        </w:rPr>
      </w:pPr>
      <w:r>
        <w:rPr>
          <w:rFonts w:hint="eastAsia" w:hAnsi="宋体" w:eastAsia="宋体" w:cs="宋体"/>
          <w:szCs w:val="24"/>
          <w:highlight w:val="none"/>
          <w:lang w:val="en-US" w:eastAsia="zh-CN"/>
        </w:rPr>
        <w:t>10</w:t>
      </w:r>
      <w:r>
        <w:rPr>
          <w:rFonts w:hint="eastAsia" w:ascii="宋体" w:hAnsi="宋体" w:eastAsia="宋体" w:cs="宋体"/>
          <w:szCs w:val="24"/>
          <w:highlight w:val="none"/>
        </w:rPr>
        <w:t>.3 本次投标的最小单</w:t>
      </w:r>
      <w:r>
        <w:rPr>
          <w:rFonts w:hint="eastAsia" w:ascii="宋体" w:hAnsi="宋体" w:eastAsia="宋体" w:cs="宋体"/>
          <w:color w:val="auto"/>
          <w:szCs w:val="24"/>
          <w:highlight w:val="none"/>
        </w:rPr>
        <w:t>元</w:t>
      </w:r>
      <w:r>
        <w:rPr>
          <w:rFonts w:hint="eastAsia" w:hAnsi="宋体" w:eastAsia="宋体" w:cs="宋体"/>
          <w:color w:val="auto"/>
          <w:szCs w:val="24"/>
          <w:highlight w:val="none"/>
          <w:lang w:eastAsia="zh-CN"/>
        </w:rPr>
        <w:t>：</w:t>
      </w:r>
      <w:r>
        <w:rPr>
          <w:rFonts w:hint="eastAsia" w:hAnsi="宋体" w:eastAsia="宋体" w:cs="宋体"/>
          <w:b w:val="0"/>
          <w:bCs w:val="0"/>
          <w:color w:val="auto"/>
          <w:szCs w:val="24"/>
          <w:highlight w:val="none"/>
          <w:lang w:eastAsia="zh-CN"/>
        </w:rPr>
        <w:t>见供应商须知前附表</w:t>
      </w:r>
      <w:r>
        <w:rPr>
          <w:rFonts w:hint="eastAsia" w:ascii="宋体" w:hAnsi="宋体" w:eastAsia="宋体" w:cs="宋体"/>
          <w:color w:val="auto"/>
          <w:szCs w:val="24"/>
          <w:highlight w:val="none"/>
        </w:rPr>
        <w:t>，</w:t>
      </w:r>
      <w:r>
        <w:rPr>
          <w:rFonts w:hint="eastAsia" w:hAnsi="宋体" w:eastAsia="宋体" w:cs="宋体"/>
          <w:color w:val="auto"/>
          <w:szCs w:val="24"/>
          <w:highlight w:val="none"/>
          <w:lang w:eastAsia="zh-CN"/>
        </w:rPr>
        <w:t>供应商</w:t>
      </w:r>
      <w:r>
        <w:rPr>
          <w:rFonts w:hint="eastAsia" w:ascii="宋体" w:hAnsi="宋体" w:eastAsia="宋体" w:cs="宋体"/>
          <w:color w:val="auto"/>
          <w:szCs w:val="24"/>
          <w:highlight w:val="none"/>
        </w:rPr>
        <w:t>可根</w:t>
      </w:r>
      <w:r>
        <w:rPr>
          <w:rFonts w:hint="eastAsia" w:ascii="宋体" w:hAnsi="宋体" w:eastAsia="宋体" w:cs="宋体"/>
          <w:szCs w:val="24"/>
          <w:highlight w:val="none"/>
        </w:rPr>
        <w:t>据自身的资质情况和经营范围进行投标，但不得将其子目自行分解或针对品目进行不完全投标，任何不完全的投标将按无效投标处理。</w:t>
      </w:r>
    </w:p>
    <w:p w14:paraId="40DBB05E">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rPr>
      </w:pPr>
      <w:bookmarkStart w:id="52" w:name="_Toc15330"/>
      <w:r>
        <w:rPr>
          <w:rFonts w:hint="eastAsia" w:hAnsi="宋体" w:eastAsia="宋体" w:cs="宋体"/>
          <w:b/>
          <w:szCs w:val="24"/>
          <w:highlight w:val="none"/>
          <w:lang w:val="en-US" w:eastAsia="zh-CN"/>
        </w:rPr>
        <w:t>11</w:t>
      </w:r>
      <w:r>
        <w:rPr>
          <w:rFonts w:hint="eastAsia" w:ascii="宋体" w:hAnsi="宋体" w:eastAsia="宋体" w:cs="宋体"/>
          <w:b/>
          <w:szCs w:val="24"/>
          <w:highlight w:val="none"/>
        </w:rPr>
        <w:t>.投标文件格式</w:t>
      </w:r>
      <w:bookmarkEnd w:id="52"/>
    </w:p>
    <w:p w14:paraId="477D0F0D">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color w:val="auto"/>
          <w:szCs w:val="24"/>
          <w:highlight w:val="none"/>
        </w:rPr>
      </w:pPr>
      <w:r>
        <w:rPr>
          <w:rFonts w:hint="eastAsia" w:hAnsi="宋体" w:eastAsia="宋体" w:cs="宋体"/>
          <w:szCs w:val="24"/>
          <w:highlight w:val="none"/>
          <w:lang w:val="en-US" w:eastAsia="zh-CN"/>
        </w:rPr>
        <w:t>11</w:t>
      </w:r>
      <w:r>
        <w:rPr>
          <w:rFonts w:hint="eastAsia" w:ascii="宋体" w:hAnsi="宋体" w:eastAsia="宋体" w:cs="宋体"/>
          <w:szCs w:val="24"/>
          <w:highlight w:val="none"/>
        </w:rPr>
        <w:t xml:space="preserve">.1 </w:t>
      </w:r>
      <w:r>
        <w:rPr>
          <w:rFonts w:hint="eastAsia" w:hAnsi="宋体" w:eastAsia="宋体" w:cs="宋体"/>
          <w:szCs w:val="24"/>
          <w:highlight w:val="none"/>
          <w:lang w:eastAsia="zh-CN"/>
        </w:rPr>
        <w:t>供应商</w:t>
      </w:r>
      <w:r>
        <w:rPr>
          <w:rFonts w:hint="eastAsia" w:ascii="宋体" w:hAnsi="宋体" w:eastAsia="宋体" w:cs="宋体"/>
          <w:szCs w:val="24"/>
          <w:highlight w:val="none"/>
        </w:rPr>
        <w:t>应按照招标文件中第六章所提供的格式和要求制作投标文件，明确表达投标意愿，详细说明投</w:t>
      </w:r>
      <w:r>
        <w:rPr>
          <w:rFonts w:hint="eastAsia" w:ascii="宋体" w:hAnsi="宋体" w:eastAsia="宋体" w:cs="宋体"/>
          <w:color w:val="auto"/>
          <w:szCs w:val="24"/>
          <w:highlight w:val="none"/>
        </w:rPr>
        <w:t>标方案、承诺及价格。</w:t>
      </w:r>
    </w:p>
    <w:p w14:paraId="50CE6CED">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eastAsia="宋体" w:cs="宋体"/>
          <w:color w:val="auto"/>
          <w:szCs w:val="24"/>
          <w:highlight w:val="none"/>
          <w:lang w:val="en-US" w:eastAsia="zh-CN"/>
        </w:rPr>
        <w:t>1</w:t>
      </w:r>
      <w:r>
        <w:rPr>
          <w:rFonts w:hint="eastAsia" w:ascii="宋体" w:hAnsi="宋体" w:eastAsia="宋体" w:cs="宋体"/>
          <w:color w:val="auto"/>
          <w:szCs w:val="24"/>
          <w:highlight w:val="none"/>
        </w:rPr>
        <w:t>.2</w:t>
      </w:r>
      <w:r>
        <w:rPr>
          <w:rFonts w:hint="eastAsia" w:hAnsi="宋体" w:eastAsia="宋体"/>
          <w:color w:val="auto"/>
          <w:szCs w:val="21"/>
          <w:highlight w:val="none"/>
          <w:lang w:eastAsia="zh-CN"/>
        </w:rPr>
        <w:t>供应商</w:t>
      </w:r>
      <w:r>
        <w:rPr>
          <w:rFonts w:hint="eastAsia" w:ascii="宋体" w:hAnsi="宋体"/>
          <w:color w:val="auto"/>
          <w:szCs w:val="21"/>
          <w:highlight w:val="none"/>
        </w:rPr>
        <w:t>应完整地提供招标文件要求的所有数据和资料。</w:t>
      </w:r>
    </w:p>
    <w:p w14:paraId="7BA4A940">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rPr>
      </w:pPr>
      <w:bookmarkStart w:id="53" w:name="_Toc20354"/>
      <w:r>
        <w:rPr>
          <w:rFonts w:hint="eastAsia" w:ascii="宋体" w:hAnsi="宋体" w:eastAsia="宋体" w:cs="宋体"/>
          <w:b/>
          <w:szCs w:val="24"/>
          <w:highlight w:val="none"/>
        </w:rPr>
        <w:t>1</w:t>
      </w:r>
      <w:r>
        <w:rPr>
          <w:rFonts w:hint="eastAsia" w:hAnsi="宋体" w:eastAsia="宋体" w:cs="宋体"/>
          <w:b/>
          <w:szCs w:val="24"/>
          <w:highlight w:val="none"/>
          <w:lang w:val="en-US" w:eastAsia="zh-CN"/>
        </w:rPr>
        <w:t>2</w:t>
      </w:r>
      <w:r>
        <w:rPr>
          <w:rFonts w:hint="eastAsia" w:ascii="宋体" w:hAnsi="宋体" w:eastAsia="宋体" w:cs="宋体"/>
          <w:b/>
          <w:szCs w:val="24"/>
          <w:highlight w:val="none"/>
        </w:rPr>
        <w:t>.投标报价</w:t>
      </w:r>
      <w:bookmarkEnd w:id="53"/>
    </w:p>
    <w:p w14:paraId="240148A3">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b w:val="0"/>
          <w:bCs w:val="0"/>
          <w:color w:val="FF0000"/>
          <w:szCs w:val="24"/>
          <w:highlight w:val="none"/>
        </w:rPr>
      </w:pPr>
      <w:r>
        <w:rPr>
          <w:rFonts w:hint="eastAsia" w:hAnsi="宋体" w:eastAsia="宋体" w:cs="宋体"/>
          <w:szCs w:val="24"/>
          <w:highlight w:val="none"/>
          <w:lang w:val="en-US" w:eastAsia="zh-CN"/>
        </w:rPr>
        <w:t>12</w:t>
      </w:r>
      <w:r>
        <w:rPr>
          <w:rFonts w:hint="eastAsia" w:ascii="宋体" w:hAnsi="宋体" w:eastAsia="宋体" w:cs="宋体"/>
          <w:szCs w:val="24"/>
          <w:highlight w:val="none"/>
        </w:rPr>
        <w:t>.1投</w:t>
      </w:r>
      <w:r>
        <w:rPr>
          <w:rFonts w:hint="eastAsia" w:ascii="宋体" w:hAnsi="宋体" w:eastAsia="宋体" w:cs="宋体"/>
          <w:color w:val="auto"/>
          <w:szCs w:val="24"/>
          <w:highlight w:val="none"/>
        </w:rPr>
        <w:t>标报价：</w:t>
      </w:r>
      <w:r>
        <w:rPr>
          <w:rFonts w:hint="eastAsia" w:hAnsi="宋体" w:eastAsia="宋体" w:cs="宋体"/>
          <w:b w:val="0"/>
          <w:bCs w:val="0"/>
          <w:color w:val="auto"/>
          <w:szCs w:val="24"/>
          <w:highlight w:val="none"/>
          <w:lang w:eastAsia="zh-CN"/>
        </w:rPr>
        <w:t>见供应商须知前附表。</w:t>
      </w:r>
    </w:p>
    <w:p w14:paraId="7FB17CCF">
      <w:pPr>
        <w:keepNext w:val="0"/>
        <w:keepLines w:val="0"/>
        <w:pageBreakBefore w:val="0"/>
        <w:kinsoku/>
        <w:wordWrap/>
        <w:overflowPunct/>
        <w:topLinePunct w:val="0"/>
        <w:bidi w:val="0"/>
        <w:adjustRightInd/>
        <w:snapToGrid/>
        <w:spacing w:line="500" w:lineRule="exact"/>
        <w:ind w:firstLine="420" w:firstLineChars="200"/>
        <w:outlineLvl w:val="9"/>
        <w:rPr>
          <w:rFonts w:hint="default" w:ascii="宋体" w:hAnsi="宋体" w:eastAsia="宋体" w:cs="宋体"/>
          <w:color w:val="FF0000"/>
          <w:szCs w:val="24"/>
          <w:highlight w:val="none"/>
          <w:lang w:val="en-US" w:eastAsia="zh-CN"/>
        </w:rPr>
      </w:pPr>
      <w:r>
        <w:rPr>
          <w:rFonts w:hint="eastAsia" w:hAnsi="宋体" w:eastAsia="宋体" w:cs="宋体"/>
          <w:szCs w:val="24"/>
          <w:highlight w:val="none"/>
          <w:lang w:val="en-US" w:eastAsia="zh-CN"/>
        </w:rPr>
        <w:t>12</w:t>
      </w:r>
      <w:r>
        <w:rPr>
          <w:rFonts w:hint="eastAsia" w:ascii="宋体" w:hAnsi="宋体" w:eastAsia="宋体" w:cs="宋体"/>
          <w:szCs w:val="24"/>
          <w:highlight w:val="none"/>
        </w:rPr>
        <w:t>.2投标报价表中标明的价格应为履行合同的固定价格，不得以任何理由予以变更。以可调整的价格提交的投标文件将按无效投标处理。</w:t>
      </w:r>
    </w:p>
    <w:p w14:paraId="369D4E3B">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rPr>
      </w:pPr>
      <w:bookmarkStart w:id="54" w:name="_Toc12073"/>
      <w:r>
        <w:rPr>
          <w:rFonts w:hint="eastAsia" w:ascii="宋体" w:hAnsi="宋体" w:eastAsia="宋体" w:cs="宋体"/>
          <w:b/>
          <w:szCs w:val="24"/>
          <w:highlight w:val="none"/>
        </w:rPr>
        <w:t>1</w:t>
      </w:r>
      <w:r>
        <w:rPr>
          <w:rFonts w:hint="eastAsia" w:hAnsi="宋体" w:eastAsia="宋体" w:cs="宋体"/>
          <w:b/>
          <w:szCs w:val="24"/>
          <w:highlight w:val="none"/>
          <w:lang w:val="en-US" w:eastAsia="zh-CN"/>
        </w:rPr>
        <w:t>3</w:t>
      </w:r>
      <w:r>
        <w:rPr>
          <w:rFonts w:hint="eastAsia" w:ascii="宋体" w:hAnsi="宋体" w:eastAsia="宋体" w:cs="宋体"/>
          <w:b/>
          <w:szCs w:val="24"/>
          <w:highlight w:val="none"/>
        </w:rPr>
        <w:t>.证明</w:t>
      </w:r>
      <w:r>
        <w:rPr>
          <w:rFonts w:hint="eastAsia" w:hAnsi="宋体" w:eastAsia="宋体" w:cs="宋体"/>
          <w:b/>
          <w:szCs w:val="24"/>
          <w:highlight w:val="none"/>
          <w:lang w:eastAsia="zh-CN"/>
        </w:rPr>
        <w:t>供应商</w:t>
      </w:r>
      <w:r>
        <w:rPr>
          <w:rFonts w:hint="eastAsia" w:ascii="宋体" w:hAnsi="宋体" w:eastAsia="宋体" w:cs="宋体"/>
          <w:b/>
          <w:szCs w:val="24"/>
          <w:highlight w:val="none"/>
        </w:rPr>
        <w:t>合格和资格的文件</w:t>
      </w:r>
      <w:bookmarkEnd w:id="54"/>
    </w:p>
    <w:p w14:paraId="2EA1C195">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hAnsi="宋体" w:eastAsia="宋体" w:cs="宋体"/>
          <w:szCs w:val="24"/>
          <w:highlight w:val="none"/>
          <w:lang w:val="en-US" w:eastAsia="zh-CN"/>
        </w:rPr>
        <w:t>3</w:t>
      </w:r>
      <w:r>
        <w:rPr>
          <w:rFonts w:hint="eastAsia" w:ascii="宋体" w:hAnsi="宋体" w:eastAsia="宋体" w:cs="宋体"/>
          <w:szCs w:val="24"/>
          <w:highlight w:val="none"/>
        </w:rPr>
        <w:t>.1</w:t>
      </w:r>
      <w:r>
        <w:rPr>
          <w:rFonts w:hint="eastAsia" w:hAnsi="宋体" w:eastAsia="宋体" w:cs="宋体"/>
          <w:szCs w:val="24"/>
          <w:highlight w:val="none"/>
          <w:lang w:eastAsia="zh-CN"/>
        </w:rPr>
        <w:t>供应商</w:t>
      </w:r>
      <w:r>
        <w:rPr>
          <w:rFonts w:hint="eastAsia" w:ascii="宋体" w:hAnsi="宋体" w:eastAsia="宋体" w:cs="宋体"/>
          <w:szCs w:val="24"/>
          <w:highlight w:val="none"/>
        </w:rPr>
        <w:t>应按照招标文件“</w:t>
      </w:r>
      <w:r>
        <w:rPr>
          <w:rFonts w:hint="eastAsia" w:hAnsi="宋体" w:eastAsia="宋体" w:cs="宋体"/>
          <w:szCs w:val="24"/>
          <w:highlight w:val="none"/>
          <w:lang w:eastAsia="zh-CN"/>
        </w:rPr>
        <w:t>供应商</w:t>
      </w:r>
      <w:r>
        <w:rPr>
          <w:rFonts w:hint="eastAsia" w:ascii="宋体" w:hAnsi="宋体" w:eastAsia="宋体" w:cs="宋体"/>
          <w:szCs w:val="24"/>
          <w:highlight w:val="none"/>
        </w:rPr>
        <w:t>须知前附表”的要求，在投标文件中提交合格的资格证明文件。如果资格证明文件不</w:t>
      </w:r>
      <w:r>
        <w:rPr>
          <w:rFonts w:hint="eastAsia" w:ascii="宋体" w:hAnsi="宋体" w:eastAsia="宋体" w:cs="宋体"/>
          <w:szCs w:val="24"/>
          <w:highlight w:val="none"/>
          <w:lang w:eastAsia="zh-CN"/>
        </w:rPr>
        <w:t>齐全</w:t>
      </w:r>
      <w:r>
        <w:rPr>
          <w:rFonts w:hint="eastAsia" w:ascii="宋体" w:hAnsi="宋体" w:eastAsia="宋体" w:cs="宋体"/>
          <w:szCs w:val="24"/>
          <w:highlight w:val="none"/>
        </w:rPr>
        <w:t>或不合格的，其投标将按无效投标处理。</w:t>
      </w:r>
    </w:p>
    <w:p w14:paraId="529A603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highlight w:val="none"/>
        </w:rPr>
      </w:pPr>
      <w:bookmarkStart w:id="55" w:name="_Toc2639"/>
      <w:r>
        <w:rPr>
          <w:rFonts w:hint="eastAsia" w:hAnsi="宋体" w:eastAsia="宋体" w:cs="宋体"/>
          <w:b/>
          <w:szCs w:val="24"/>
          <w:highlight w:val="none"/>
          <w:lang w:val="en-US" w:eastAsia="zh-CN"/>
        </w:rPr>
        <w:t>14.</w:t>
      </w:r>
      <w:r>
        <w:rPr>
          <w:rFonts w:hint="eastAsia" w:ascii="宋体" w:hAnsi="宋体" w:eastAsia="宋体" w:cs="宋体"/>
          <w:b/>
          <w:szCs w:val="24"/>
          <w:highlight w:val="none"/>
        </w:rPr>
        <w:t>证明</w:t>
      </w:r>
      <w:r>
        <w:rPr>
          <w:rFonts w:hint="eastAsia" w:ascii="宋体" w:hAnsi="宋体" w:eastAsia="宋体" w:cs="宋体"/>
          <w:b/>
          <w:szCs w:val="24"/>
          <w:highlight w:val="none"/>
          <w:lang w:eastAsia="zh-CN"/>
        </w:rPr>
        <w:t>服务符合</w:t>
      </w:r>
      <w:r>
        <w:rPr>
          <w:rFonts w:hint="eastAsia" w:ascii="宋体" w:hAnsi="宋体" w:eastAsia="宋体" w:cs="宋体"/>
          <w:b/>
          <w:szCs w:val="24"/>
          <w:highlight w:val="none"/>
        </w:rPr>
        <w:t>招标文件规定的文件</w:t>
      </w:r>
      <w:bookmarkEnd w:id="55"/>
    </w:p>
    <w:p w14:paraId="5E76B64D">
      <w:pPr>
        <w:keepNext w:val="0"/>
        <w:keepLines w:val="0"/>
        <w:pageBreakBefore w:val="0"/>
        <w:wordWrap/>
        <w:overflowPunct/>
        <w:topLinePunct w:val="0"/>
        <w:bidi w:val="0"/>
        <w:spacing w:line="48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.1</w:t>
      </w:r>
      <w:r>
        <w:rPr>
          <w:rFonts w:hint="eastAsia" w:hAnsi="宋体" w:eastAsia="宋体" w:cs="宋体"/>
          <w:szCs w:val="24"/>
          <w:highlight w:val="none"/>
          <w:lang w:eastAsia="zh-CN"/>
        </w:rPr>
        <w:t>供应商</w:t>
      </w:r>
      <w:r>
        <w:rPr>
          <w:rFonts w:hint="eastAsia" w:ascii="宋体" w:hAnsi="宋体" w:eastAsia="宋体" w:cs="宋体"/>
          <w:szCs w:val="24"/>
          <w:highlight w:val="none"/>
        </w:rPr>
        <w:t>应在投标文件中提交服务满足招标文件要求并符合国家法律法规、行业管理部门要求的其他强制性标准的证明文件。</w:t>
      </w:r>
    </w:p>
    <w:p w14:paraId="2C4E7A8A">
      <w:pPr>
        <w:keepNext w:val="0"/>
        <w:keepLines w:val="0"/>
        <w:pageBreakBefore w:val="0"/>
        <w:wordWrap/>
        <w:overflowPunct/>
        <w:topLinePunct w:val="0"/>
        <w:bidi w:val="0"/>
        <w:spacing w:line="480" w:lineRule="exact"/>
        <w:ind w:firstLine="420" w:firstLineChars="200"/>
        <w:outlineLvl w:val="9"/>
        <w:rPr>
          <w:rFonts w:hint="eastAsia" w:ascii="宋体" w:hAnsi="宋体" w:eastAsia="宋体" w:cs="宋体"/>
          <w:color w:val="auto"/>
          <w:szCs w:val="24"/>
          <w:highlight w:val="none"/>
          <w:lang w:eastAsia="zh-CN"/>
        </w:rPr>
      </w:pPr>
      <w:r>
        <w:rPr>
          <w:rFonts w:hint="eastAsia" w:hAnsi="宋体" w:eastAsia="宋体" w:cs="宋体"/>
          <w:color w:val="auto"/>
          <w:szCs w:val="24"/>
          <w:highlight w:val="none"/>
          <w:lang w:val="en-US" w:eastAsia="zh-CN"/>
        </w:rPr>
        <w:t>14.2</w:t>
      </w:r>
      <w:r>
        <w:rPr>
          <w:rFonts w:hint="eastAsia" w:ascii="宋体" w:hAnsi="宋体" w:eastAsia="宋体" w:cs="宋体"/>
          <w:color w:val="auto"/>
          <w:szCs w:val="24"/>
          <w:highlight w:val="none"/>
        </w:rPr>
        <w:t>服务内容、服务实施方案等的详细说明</w:t>
      </w:r>
      <w:r>
        <w:rPr>
          <w:rFonts w:hint="eastAsia" w:hAnsi="宋体" w:eastAsia="宋体" w:cs="宋体"/>
          <w:color w:val="auto"/>
          <w:szCs w:val="24"/>
          <w:highlight w:val="none"/>
          <w:lang w:eastAsia="zh-CN"/>
        </w:rPr>
        <w:t>。</w:t>
      </w:r>
    </w:p>
    <w:p w14:paraId="5729F472">
      <w:pPr>
        <w:keepNext w:val="0"/>
        <w:keepLines w:val="0"/>
        <w:pageBreakBefore w:val="0"/>
        <w:wordWrap/>
        <w:overflowPunct/>
        <w:topLinePunct w:val="0"/>
        <w:bidi w:val="0"/>
        <w:spacing w:line="480" w:lineRule="exact"/>
        <w:ind w:firstLine="420" w:firstLineChars="200"/>
        <w:outlineLvl w:val="9"/>
        <w:rPr>
          <w:rFonts w:hint="eastAsia" w:ascii="宋体" w:hAnsi="宋体" w:eastAsia="宋体" w:cs="宋体"/>
          <w:color w:val="auto"/>
          <w:szCs w:val="24"/>
          <w:highlight w:val="none"/>
          <w:lang w:eastAsia="zh-CN"/>
        </w:rPr>
      </w:pPr>
      <w:r>
        <w:rPr>
          <w:rFonts w:hint="eastAsia" w:hAnsi="宋体" w:eastAsia="宋体" w:cs="宋体"/>
          <w:color w:val="auto"/>
          <w:szCs w:val="24"/>
          <w:highlight w:val="none"/>
          <w:lang w:val="en-US" w:eastAsia="zh-CN"/>
        </w:rPr>
        <w:t>14.3</w:t>
      </w:r>
      <w:r>
        <w:rPr>
          <w:rFonts w:hint="eastAsia" w:hAnsi="宋体" w:eastAsia="宋体" w:cs="宋体"/>
          <w:color w:val="auto"/>
          <w:szCs w:val="24"/>
          <w:highlight w:val="none"/>
          <w:lang w:eastAsia="zh-CN"/>
        </w:rPr>
        <w:t>服务</w:t>
      </w:r>
      <w:r>
        <w:rPr>
          <w:rFonts w:hint="eastAsia" w:ascii="宋体" w:hAnsi="宋体" w:eastAsia="宋体" w:cs="宋体"/>
          <w:color w:val="auto"/>
          <w:szCs w:val="24"/>
          <w:highlight w:val="none"/>
        </w:rPr>
        <w:t>要求和商务要求</w:t>
      </w:r>
      <w:r>
        <w:rPr>
          <w:rFonts w:hint="eastAsia" w:hAnsi="宋体" w:eastAsia="宋体" w:cs="宋体"/>
          <w:color w:val="auto"/>
          <w:szCs w:val="24"/>
          <w:highlight w:val="none"/>
          <w:lang w:eastAsia="zh-CN"/>
        </w:rPr>
        <w:t>的</w:t>
      </w:r>
      <w:r>
        <w:rPr>
          <w:rFonts w:hint="eastAsia" w:ascii="宋体" w:hAnsi="宋体" w:eastAsia="宋体" w:cs="宋体"/>
          <w:color w:val="auto"/>
          <w:szCs w:val="24"/>
          <w:highlight w:val="none"/>
        </w:rPr>
        <w:t>应答，说明所提</w:t>
      </w:r>
      <w:r>
        <w:rPr>
          <w:rFonts w:hint="eastAsia" w:hAnsi="宋体" w:eastAsia="宋体" w:cs="宋体"/>
          <w:color w:val="auto"/>
          <w:szCs w:val="24"/>
          <w:highlight w:val="none"/>
          <w:lang w:eastAsia="zh-CN"/>
        </w:rPr>
        <w:t>供</w:t>
      </w:r>
      <w:r>
        <w:rPr>
          <w:rFonts w:hint="eastAsia" w:ascii="宋体" w:hAnsi="宋体" w:eastAsia="宋体" w:cs="宋体"/>
          <w:color w:val="auto"/>
          <w:szCs w:val="24"/>
          <w:highlight w:val="none"/>
        </w:rPr>
        <w:t>服务对招标的技术和商务要求做出了实质性响应并提供支持文件</w:t>
      </w:r>
      <w:r>
        <w:rPr>
          <w:rFonts w:hint="eastAsia" w:hAnsi="宋体" w:eastAsia="宋体" w:cs="宋体"/>
          <w:color w:val="auto"/>
          <w:szCs w:val="24"/>
          <w:highlight w:val="none"/>
          <w:lang w:eastAsia="zh-CN"/>
        </w:rPr>
        <w:t>。</w:t>
      </w:r>
    </w:p>
    <w:p w14:paraId="751D99B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szCs w:val="24"/>
          <w:highlight w:val="none"/>
        </w:rPr>
      </w:pPr>
      <w:bookmarkStart w:id="56" w:name="_Toc28026"/>
      <w:r>
        <w:rPr>
          <w:rFonts w:hint="eastAsia" w:ascii="宋体" w:hAnsi="宋体" w:eastAsia="宋体" w:cs="宋体"/>
          <w:b/>
          <w:szCs w:val="24"/>
          <w:highlight w:val="none"/>
        </w:rPr>
        <w:t>1</w:t>
      </w:r>
      <w:r>
        <w:rPr>
          <w:rFonts w:hint="eastAsia" w:hAnsi="宋体" w:eastAsia="宋体" w:cs="宋体"/>
          <w:b/>
          <w:szCs w:val="24"/>
          <w:highlight w:val="none"/>
          <w:lang w:val="en-US" w:eastAsia="zh-CN"/>
        </w:rPr>
        <w:t>5</w:t>
      </w:r>
      <w:r>
        <w:rPr>
          <w:rFonts w:hint="eastAsia" w:ascii="宋体" w:hAnsi="宋体" w:eastAsia="宋体" w:cs="宋体"/>
          <w:b/>
          <w:szCs w:val="24"/>
          <w:highlight w:val="none"/>
        </w:rPr>
        <w:t>.投标保证金</w:t>
      </w:r>
      <w:bookmarkEnd w:id="56"/>
    </w:p>
    <w:p w14:paraId="61B6EF84">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bookmarkStart w:id="57" w:name="_Toc32084"/>
      <w:r>
        <w:rPr>
          <w:rFonts w:hint="eastAsia" w:ascii="宋体" w:hAnsi="宋体" w:eastAsia="宋体" w:cs="宋体"/>
          <w:szCs w:val="24"/>
          <w:highlight w:val="none"/>
        </w:rPr>
        <w:t>15.1如果招标文件有要求，投标人应按照“投标人须知前附表”的要求，在投标时提交投标保证金,其有效期与投标有效期一致，并作为其投标的一部分。</w:t>
      </w:r>
    </w:p>
    <w:p w14:paraId="72364916">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15.2投标保证金的数额、形式、交纳办法和交纳时间见“投标人须知前附表”。</w:t>
      </w:r>
    </w:p>
    <w:p w14:paraId="471625B1">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15.3联合体投标的，可以由联合体中的一方或者共同提交投标保证金，以一方名义提交投标保证金的，对联合体各方均具有约束力。</w:t>
      </w:r>
    </w:p>
    <w:p w14:paraId="7DD4C4F2">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15.4开标后经审查，未按照“投标人须知前附表”的要求交纳投标保证金的、已交纳的投标保证金金额不足的或有效期不足的，其投标按照无效投标处理。</w:t>
      </w:r>
    </w:p>
    <w:p w14:paraId="426B63FD">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15.5未中标人的投标保证金，在中标通知书发出后五个工作日内退还；中标人的投标保证金，在采购合同签订后五个工作日内退还。</w:t>
      </w:r>
    </w:p>
    <w:p w14:paraId="2669256B">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 xml:space="preserve">15.6有下列情形之一的，投标保证金不予退还： </w:t>
      </w:r>
    </w:p>
    <w:p w14:paraId="247BAA5C">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15.6.1投标人在提交投标文件截止时间后撤回其投标的；</w:t>
      </w:r>
    </w:p>
    <w:p w14:paraId="5EC74A2A">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15.6.2投标人在投标文件中提供虚假材料的；</w:t>
      </w:r>
    </w:p>
    <w:p w14:paraId="6A77C3FB">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15.6.3除因不可抗力或招标文件认可的情形以外，中标供应商不与采购人签订合同的；</w:t>
      </w:r>
    </w:p>
    <w:p w14:paraId="1657118A">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15.6.4投标人与采购人、其他投标人恶意串通的；</w:t>
      </w:r>
    </w:p>
    <w:p w14:paraId="3192C55C">
      <w:pPr>
        <w:keepNext w:val="0"/>
        <w:keepLines w:val="0"/>
        <w:pageBreakBefore w:val="0"/>
        <w:kinsoku/>
        <w:wordWrap/>
        <w:overflowPunct/>
        <w:topLinePunct w:val="0"/>
        <w:bidi w:val="0"/>
        <w:adjustRightInd/>
        <w:snapToGrid/>
        <w:spacing w:line="500" w:lineRule="exact"/>
        <w:ind w:firstLine="420" w:firstLineChars="200"/>
        <w:outlineLvl w:val="9"/>
        <w:rPr>
          <w:rFonts w:hint="eastAsia" w:hAnsi="宋体" w:eastAsia="宋体" w:cs="宋体"/>
          <w:b w:val="0"/>
          <w:bCs w:val="0"/>
          <w:color w:val="auto"/>
          <w:szCs w:val="24"/>
          <w:highlight w:val="none"/>
          <w:lang w:eastAsia="zh-CN"/>
        </w:rPr>
      </w:pPr>
      <w:r>
        <w:rPr>
          <w:rFonts w:hint="eastAsia" w:hAnsi="宋体" w:eastAsia="宋体" w:cs="宋体"/>
          <w:b w:val="0"/>
          <w:bCs w:val="0"/>
          <w:color w:val="auto"/>
          <w:szCs w:val="24"/>
          <w:highlight w:val="none"/>
          <w:lang w:eastAsia="zh-CN"/>
        </w:rPr>
        <w:t>15.6.5中标供应商未能按规定交纳代理服务费的。</w:t>
      </w:r>
    </w:p>
    <w:p w14:paraId="2858307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hAnsi="宋体" w:eastAsia="宋体" w:cs="宋体"/>
          <w:b/>
          <w:szCs w:val="24"/>
          <w:highlight w:val="none"/>
          <w:lang w:val="en-US" w:eastAsia="zh-CN"/>
        </w:rPr>
        <w:t>6</w:t>
      </w:r>
      <w:r>
        <w:rPr>
          <w:rFonts w:hint="eastAsia" w:ascii="宋体" w:hAnsi="宋体" w:eastAsia="宋体" w:cs="宋体"/>
          <w:b/>
          <w:szCs w:val="24"/>
          <w:highlight w:val="none"/>
        </w:rPr>
        <w:t>.投标有效期</w:t>
      </w:r>
      <w:bookmarkEnd w:id="57"/>
    </w:p>
    <w:p w14:paraId="1ED9330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szCs w:val="24"/>
          <w:highlight w:val="none"/>
        </w:rPr>
      </w:pPr>
      <w:r>
        <w:rPr>
          <w:rFonts w:hint="eastAsia" w:ascii="宋体" w:hAnsi="宋体" w:eastAsia="宋体" w:cs="宋体"/>
          <w:b w:val="0"/>
          <w:bCs w:val="0"/>
          <w:szCs w:val="24"/>
          <w:highlight w:val="none"/>
        </w:rPr>
        <w:t>1</w:t>
      </w:r>
      <w:r>
        <w:rPr>
          <w:rFonts w:hint="eastAsia" w:hAnsi="宋体" w:eastAsia="宋体" w:cs="宋体"/>
          <w:b w:val="0"/>
          <w:bCs w:val="0"/>
          <w:color w:val="auto"/>
          <w:szCs w:val="24"/>
          <w:highlight w:val="none"/>
          <w:lang w:val="en-US" w:eastAsia="zh-CN"/>
        </w:rPr>
        <w:t>6</w:t>
      </w:r>
      <w:r>
        <w:rPr>
          <w:rFonts w:hint="eastAsia" w:ascii="宋体" w:hAnsi="宋体" w:eastAsia="宋体" w:cs="宋体"/>
          <w:b w:val="0"/>
          <w:bCs w:val="0"/>
          <w:color w:val="auto"/>
          <w:szCs w:val="24"/>
          <w:highlight w:val="none"/>
        </w:rPr>
        <w:t>.1投标有效期</w:t>
      </w:r>
      <w:r>
        <w:rPr>
          <w:rFonts w:hint="eastAsia" w:hAnsi="宋体" w:eastAsia="宋体" w:cs="宋体"/>
          <w:b w:val="0"/>
          <w:bCs w:val="0"/>
          <w:color w:val="auto"/>
          <w:szCs w:val="24"/>
          <w:highlight w:val="none"/>
          <w:lang w:eastAsia="zh-CN"/>
        </w:rPr>
        <w:t>：见供应商须知前附表</w:t>
      </w:r>
      <w:r>
        <w:rPr>
          <w:rFonts w:hint="eastAsia" w:ascii="宋体" w:hAnsi="宋体" w:eastAsia="宋体" w:cs="宋体"/>
          <w:b w:val="0"/>
          <w:bCs w:val="0"/>
          <w:color w:val="auto"/>
          <w:szCs w:val="24"/>
          <w:highlight w:val="none"/>
        </w:rPr>
        <w:t>。投标</w:t>
      </w:r>
      <w:r>
        <w:rPr>
          <w:rFonts w:hint="eastAsia" w:ascii="宋体" w:hAnsi="宋体" w:eastAsia="宋体" w:cs="宋体"/>
          <w:b w:val="0"/>
          <w:bCs w:val="0"/>
          <w:szCs w:val="24"/>
          <w:highlight w:val="none"/>
        </w:rPr>
        <w:t>文件应在投标有效期内保持有效。投标有效期不满足规定有效期的投标文件将被视为无效投标。</w:t>
      </w:r>
    </w:p>
    <w:p w14:paraId="1895770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szCs w:val="24"/>
          <w:highlight w:val="none"/>
        </w:rPr>
        <w:t>1</w:t>
      </w:r>
      <w:r>
        <w:rPr>
          <w:rFonts w:hint="eastAsia" w:hAnsi="宋体" w:eastAsia="宋体" w:cs="宋体"/>
          <w:szCs w:val="24"/>
          <w:highlight w:val="none"/>
          <w:lang w:val="en-US" w:eastAsia="zh-CN"/>
        </w:rPr>
        <w:t>6</w:t>
      </w:r>
      <w:r>
        <w:rPr>
          <w:rFonts w:hint="eastAsia" w:ascii="宋体" w:hAnsi="宋体" w:eastAsia="宋体" w:cs="宋体"/>
          <w:szCs w:val="24"/>
          <w:highlight w:val="none"/>
        </w:rPr>
        <w:t>.2特殊情况下，在原投标有效期期满之前，采购代理机构可向</w:t>
      </w:r>
      <w:r>
        <w:rPr>
          <w:rFonts w:hint="eastAsia" w:hAnsi="宋体" w:eastAsia="宋体" w:cs="宋体"/>
          <w:szCs w:val="24"/>
          <w:highlight w:val="none"/>
          <w:lang w:eastAsia="zh-CN"/>
        </w:rPr>
        <w:t>供应商</w:t>
      </w:r>
      <w:r>
        <w:rPr>
          <w:rFonts w:hint="eastAsia" w:ascii="宋体" w:hAnsi="宋体" w:eastAsia="宋体" w:cs="宋体"/>
          <w:szCs w:val="24"/>
          <w:highlight w:val="none"/>
        </w:rPr>
        <w:t>提出延长投标有效期的要求。这种要求与答复均应以书面的形式。</w:t>
      </w:r>
      <w:r>
        <w:rPr>
          <w:rFonts w:hint="eastAsia" w:hAnsi="宋体" w:eastAsia="宋体" w:cs="宋体"/>
          <w:szCs w:val="24"/>
          <w:highlight w:val="none"/>
          <w:lang w:eastAsia="zh-CN"/>
        </w:rPr>
        <w:t>供应商</w:t>
      </w:r>
      <w:r>
        <w:rPr>
          <w:rFonts w:hint="eastAsia" w:ascii="宋体" w:hAnsi="宋体" w:eastAsia="宋体" w:cs="宋体"/>
          <w:szCs w:val="24"/>
          <w:highlight w:val="none"/>
        </w:rPr>
        <w:t>可以拒绝采购代理机构的这种要求,其投标保证金也不被没收。同意延长的</w:t>
      </w:r>
      <w:r>
        <w:rPr>
          <w:rFonts w:hint="eastAsia" w:hAnsi="宋体" w:eastAsia="宋体" w:cs="宋体"/>
          <w:szCs w:val="24"/>
          <w:highlight w:val="none"/>
          <w:lang w:eastAsia="zh-CN"/>
        </w:rPr>
        <w:t>供应商</w:t>
      </w:r>
      <w:r>
        <w:rPr>
          <w:rFonts w:hint="eastAsia" w:ascii="宋体" w:hAnsi="宋体" w:eastAsia="宋体" w:cs="宋体"/>
          <w:szCs w:val="24"/>
          <w:highlight w:val="none"/>
        </w:rPr>
        <w:t>既不能要求也不允许修改其投标文件，但要相应延长其投标保证金的有效期。在这种情况下，本</w:t>
      </w:r>
      <w:r>
        <w:rPr>
          <w:rFonts w:hint="eastAsia" w:ascii="宋体" w:hAnsi="宋体" w:eastAsia="宋体" w:cs="宋体"/>
          <w:color w:val="auto"/>
          <w:szCs w:val="24"/>
          <w:highlight w:val="none"/>
          <w:lang w:eastAsia="zh-CN"/>
        </w:rPr>
        <w:t>章</w:t>
      </w:r>
      <w:r>
        <w:rPr>
          <w:rFonts w:hint="eastAsia" w:ascii="宋体" w:hAnsi="宋体" w:eastAsia="宋体" w:cs="宋体"/>
          <w:szCs w:val="24"/>
          <w:highlight w:val="none"/>
        </w:rPr>
        <w:t>第1</w:t>
      </w:r>
      <w:r>
        <w:rPr>
          <w:rFonts w:hint="eastAsia" w:hAnsi="宋体" w:eastAsia="宋体" w:cs="宋体"/>
          <w:szCs w:val="24"/>
          <w:highlight w:val="none"/>
          <w:lang w:val="en-US" w:eastAsia="zh-CN"/>
        </w:rPr>
        <w:t>5</w:t>
      </w:r>
      <w:r>
        <w:rPr>
          <w:rFonts w:hint="eastAsia" w:ascii="宋体" w:hAnsi="宋体" w:eastAsia="宋体" w:cs="宋体"/>
          <w:szCs w:val="24"/>
          <w:highlight w:val="none"/>
        </w:rPr>
        <w:t>条有关投标保证金的</w:t>
      </w:r>
      <w:r>
        <w:rPr>
          <w:rFonts w:hint="eastAsia" w:ascii="宋体" w:hAnsi="宋体" w:eastAsia="宋体" w:cs="宋体"/>
          <w:color w:val="auto"/>
          <w:szCs w:val="24"/>
          <w:highlight w:val="none"/>
        </w:rPr>
        <w:t>退还和没收的规定将在延长了的有效期内</w:t>
      </w:r>
      <w:r>
        <w:rPr>
          <w:rFonts w:hint="eastAsia" w:ascii="宋体" w:hAnsi="宋体" w:eastAsia="宋体" w:cs="宋体"/>
          <w:color w:val="auto"/>
          <w:highlight w:val="none"/>
        </w:rPr>
        <w:t>继续有效。</w:t>
      </w:r>
    </w:p>
    <w:p w14:paraId="763F171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color w:val="auto"/>
          <w:szCs w:val="24"/>
          <w:highlight w:val="none"/>
        </w:rPr>
      </w:pPr>
      <w:bookmarkStart w:id="58" w:name="_Toc7204"/>
      <w:r>
        <w:rPr>
          <w:rFonts w:hint="eastAsia" w:hAnsi="宋体" w:eastAsia="宋体" w:cs="宋体"/>
          <w:b/>
          <w:color w:val="auto"/>
          <w:szCs w:val="24"/>
          <w:highlight w:val="none"/>
          <w:lang w:val="en-US" w:eastAsia="zh-CN"/>
        </w:rPr>
        <w:t>17.</w:t>
      </w:r>
      <w:r>
        <w:rPr>
          <w:rFonts w:hint="eastAsia" w:ascii="宋体" w:hAnsi="宋体" w:eastAsia="宋体" w:cs="宋体"/>
          <w:b/>
          <w:color w:val="auto"/>
          <w:szCs w:val="24"/>
          <w:highlight w:val="none"/>
        </w:rPr>
        <w:t>投标文件的式样和签署</w:t>
      </w:r>
      <w:bookmarkEnd w:id="58"/>
    </w:p>
    <w:p w14:paraId="14B3BC5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szCs w:val="24"/>
          <w:highlight w:val="none"/>
        </w:rPr>
      </w:pPr>
      <w:bookmarkStart w:id="59" w:name="_Toc9549"/>
      <w:bookmarkStart w:id="60" w:name="_Toc403077642"/>
      <w:bookmarkStart w:id="61" w:name="_Toc363474020"/>
      <w:bookmarkStart w:id="62" w:name="_Toc363473975"/>
      <w:r>
        <w:rPr>
          <w:rFonts w:hint="eastAsia" w:ascii="宋体" w:hAnsi="宋体" w:eastAsia="宋体" w:cs="宋体"/>
          <w:b w:val="0"/>
          <w:bCs w:val="0"/>
          <w:szCs w:val="24"/>
          <w:highlight w:val="none"/>
        </w:rPr>
        <w:t>本项目投标文件应采用涉密软件文件形式，电报、传真、电子邮件形式的投标文件不予接受。</w:t>
      </w:r>
    </w:p>
    <w:p w14:paraId="234F664B">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lang w:val="zh-CN" w:eastAsia="zh-CN"/>
        </w:rPr>
      </w:pPr>
      <w:r>
        <w:rPr>
          <w:rFonts w:hint="eastAsia" w:ascii="宋体" w:hAnsi="宋体" w:eastAsia="宋体" w:cs="宋体"/>
          <w:b/>
          <w:szCs w:val="24"/>
          <w:highlight w:val="none"/>
          <w:lang w:val="en-US" w:eastAsia="zh-CN"/>
        </w:rPr>
        <w:t xml:space="preserve">18. </w:t>
      </w:r>
      <w:r>
        <w:rPr>
          <w:rFonts w:hint="eastAsia" w:ascii="宋体" w:hAnsi="宋体" w:eastAsia="宋体" w:cs="宋体"/>
          <w:b/>
          <w:szCs w:val="24"/>
          <w:highlight w:val="none"/>
          <w:lang w:val="zh-CN" w:eastAsia="zh-CN"/>
        </w:rPr>
        <w:t>解密</w:t>
      </w:r>
      <w:r>
        <w:rPr>
          <w:rFonts w:hint="eastAsia" w:ascii="宋体" w:hAnsi="宋体" w:eastAsia="宋体" w:cs="宋体"/>
          <w:b/>
          <w:szCs w:val="24"/>
          <w:highlight w:val="none"/>
          <w:lang w:val="en-US" w:eastAsia="zh-CN"/>
        </w:rPr>
        <w:t>投标</w:t>
      </w:r>
      <w:r>
        <w:rPr>
          <w:rFonts w:hint="eastAsia" w:ascii="宋体" w:hAnsi="宋体" w:eastAsia="宋体" w:cs="宋体"/>
          <w:b/>
          <w:szCs w:val="24"/>
          <w:highlight w:val="none"/>
          <w:lang w:val="zh-CN" w:eastAsia="zh-CN"/>
        </w:rPr>
        <w:t>文件时间</w:t>
      </w:r>
    </w:p>
    <w:p w14:paraId="784433E8">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cs="宋体"/>
          <w:b/>
          <w:bCs/>
          <w:sz w:val="24"/>
          <w:highlight w:val="none"/>
        </w:rPr>
      </w:pPr>
      <w:r>
        <w:rPr>
          <w:rFonts w:hint="eastAsia" w:ascii="宋体" w:hAnsi="宋体" w:eastAsia="宋体" w:cs="宋体"/>
          <w:szCs w:val="24"/>
          <w:highlight w:val="none"/>
          <w:lang w:val="en-US" w:eastAsia="zh-CN"/>
        </w:rPr>
        <w:t>21.1</w:t>
      </w:r>
      <w:r>
        <w:rPr>
          <w:rFonts w:hint="eastAsia" w:ascii="宋体" w:hAnsi="宋体" w:eastAsia="宋体" w:cs="宋体"/>
          <w:szCs w:val="24"/>
          <w:highlight w:val="none"/>
        </w:rPr>
        <w:t>解密</w:t>
      </w:r>
      <w:r>
        <w:rPr>
          <w:rFonts w:hint="eastAsia" w:hAnsi="宋体" w:eastAsia="宋体" w:cs="宋体"/>
          <w:szCs w:val="24"/>
          <w:highlight w:val="none"/>
          <w:lang w:eastAsia="zh-CN"/>
        </w:rPr>
        <w:t>投标</w:t>
      </w:r>
      <w:r>
        <w:rPr>
          <w:rFonts w:hint="eastAsia" w:ascii="宋体" w:hAnsi="宋体" w:eastAsia="宋体" w:cs="宋体"/>
          <w:szCs w:val="24"/>
          <w:highlight w:val="none"/>
        </w:rPr>
        <w:t>文件时间：</w:t>
      </w:r>
      <w:r>
        <w:rPr>
          <w:rFonts w:hint="eastAsia" w:ascii="宋体" w:hAnsi="宋体" w:eastAsia="宋体" w:cs="宋体"/>
          <w:b/>
          <w:bCs/>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24</w:t>
      </w:r>
      <w:r>
        <w:rPr>
          <w:rFonts w:hint="eastAsia" w:ascii="宋体" w:hAnsi="宋体" w:cs="宋体"/>
          <w:b/>
          <w:bCs/>
          <w:sz w:val="24"/>
          <w:highlight w:val="none"/>
          <w:u w:val="single"/>
        </w:rPr>
        <w:t xml:space="preserve"> </w:t>
      </w:r>
      <w:r>
        <w:rPr>
          <w:rFonts w:hint="eastAsia" w:ascii="宋体" w:hAnsi="宋体" w:cs="宋体"/>
          <w:b/>
          <w:bCs/>
          <w:sz w:val="24"/>
          <w:highlight w:val="none"/>
        </w:rPr>
        <w:t>条</w:t>
      </w:r>
    </w:p>
    <w:p w14:paraId="677C3EBC">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lang w:val="en-US" w:eastAsia="zh-CN"/>
        </w:rPr>
        <w:t>21.2</w:t>
      </w:r>
      <w:r>
        <w:rPr>
          <w:rFonts w:hint="eastAsia" w:ascii="宋体" w:hAnsi="宋体" w:eastAsia="宋体" w:cs="宋体"/>
          <w:szCs w:val="24"/>
          <w:highlight w:val="none"/>
        </w:rPr>
        <w:t>解密</w:t>
      </w:r>
      <w:r>
        <w:rPr>
          <w:rFonts w:hint="eastAsia" w:hAnsi="宋体" w:eastAsia="宋体" w:cs="宋体"/>
          <w:szCs w:val="24"/>
          <w:highlight w:val="none"/>
          <w:lang w:eastAsia="zh-CN"/>
        </w:rPr>
        <w:t>投标</w:t>
      </w:r>
      <w:r>
        <w:rPr>
          <w:rFonts w:hint="eastAsia" w:ascii="宋体" w:hAnsi="宋体" w:eastAsia="宋体" w:cs="宋体"/>
          <w:szCs w:val="24"/>
          <w:highlight w:val="none"/>
        </w:rPr>
        <w:t>文件地点：</w:t>
      </w:r>
      <w:r>
        <w:rPr>
          <w:rFonts w:hint="eastAsia" w:ascii="宋体" w:hAnsi="宋体" w:eastAsia="宋体" w:cs="宋体"/>
          <w:b/>
          <w:bCs/>
          <w:sz w:val="24"/>
          <w:highlight w:val="none"/>
        </w:rPr>
        <w:t>详见投</w:t>
      </w:r>
      <w:r>
        <w:rPr>
          <w:rFonts w:hint="eastAsia" w:ascii="宋体" w:hAnsi="宋体" w:cs="宋体"/>
          <w:b/>
          <w:bCs/>
          <w:sz w:val="24"/>
          <w:highlight w:val="none"/>
        </w:rPr>
        <w:t>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rPr>
        <w:t xml:space="preserve">  </w:t>
      </w:r>
      <w:r>
        <w:rPr>
          <w:rFonts w:hint="eastAsia" w:ascii="宋体" w:hAnsi="宋体" w:cs="宋体"/>
          <w:b/>
          <w:bCs/>
          <w:sz w:val="24"/>
          <w:highlight w:val="none"/>
        </w:rPr>
        <w:t>条</w:t>
      </w:r>
    </w:p>
    <w:p w14:paraId="60C7AE50">
      <w:pPr>
        <w:keepNext w:val="0"/>
        <w:keepLines w:val="0"/>
        <w:pageBreakBefore w:val="0"/>
        <w:widowControl w:val="0"/>
        <w:kinsoku/>
        <w:wordWrap/>
        <w:overflowPunct/>
        <w:topLinePunct w:val="0"/>
        <w:autoSpaceDE/>
        <w:autoSpaceDN/>
        <w:bidi w:val="0"/>
        <w:adjustRightInd/>
        <w:snapToGrid/>
        <w:spacing w:before="334" w:beforeLines="100" w:after="334" w:afterLines="100" w:line="500" w:lineRule="exact"/>
        <w:jc w:val="center"/>
        <w:textAlignment w:val="auto"/>
        <w:outlineLvl w:val="9"/>
        <w:rPr>
          <w:rFonts w:hint="eastAsia" w:ascii="宋体" w:hAnsi="宋体" w:eastAsia="宋体" w:cs="宋体"/>
          <w:b/>
          <w:sz w:val="32"/>
          <w:szCs w:val="32"/>
          <w:highlight w:val="none"/>
        </w:rPr>
      </w:pPr>
    </w:p>
    <w:p w14:paraId="21E080EB">
      <w:pPr>
        <w:keepNext w:val="0"/>
        <w:keepLines w:val="0"/>
        <w:pageBreakBefore w:val="0"/>
        <w:widowControl w:val="0"/>
        <w:kinsoku/>
        <w:wordWrap/>
        <w:overflowPunct/>
        <w:topLinePunct w:val="0"/>
        <w:autoSpaceDE/>
        <w:autoSpaceDN/>
        <w:bidi w:val="0"/>
        <w:adjustRightInd/>
        <w:snapToGrid/>
        <w:spacing w:before="334" w:beforeLines="100" w:after="334" w:afterLines="100" w:line="500" w:lineRule="exact"/>
        <w:jc w:val="center"/>
        <w:textAlignment w:val="auto"/>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四.投标文件的递交</w:t>
      </w:r>
      <w:bookmarkEnd w:id="59"/>
      <w:bookmarkEnd w:id="60"/>
      <w:bookmarkEnd w:id="61"/>
      <w:bookmarkEnd w:id="62"/>
    </w:p>
    <w:p w14:paraId="2708EF3D">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lang w:val="zh-CN"/>
        </w:rPr>
      </w:pPr>
      <w:bookmarkStart w:id="63" w:name="_Toc8400"/>
      <w:r>
        <w:rPr>
          <w:rFonts w:hint="eastAsia" w:ascii="宋体" w:hAnsi="宋体" w:eastAsia="宋体" w:cs="宋体"/>
          <w:szCs w:val="24"/>
          <w:highlight w:val="none"/>
          <w:lang w:val="zh-CN"/>
        </w:rPr>
        <w:t>采用不见面</w:t>
      </w:r>
      <w:r>
        <w:rPr>
          <w:rFonts w:hint="eastAsia" w:ascii="宋体" w:hAnsi="宋体" w:eastAsia="宋体" w:cs="宋体"/>
          <w:szCs w:val="24"/>
          <w:highlight w:val="none"/>
          <w:lang w:val="en-US" w:eastAsia="zh-CN"/>
        </w:rPr>
        <w:t>开标</w:t>
      </w:r>
      <w:r>
        <w:rPr>
          <w:rFonts w:hint="eastAsia" w:ascii="宋体" w:hAnsi="宋体" w:eastAsia="宋体" w:cs="宋体"/>
          <w:szCs w:val="24"/>
          <w:highlight w:val="none"/>
          <w:lang w:val="zh-CN"/>
        </w:rPr>
        <w:t>：</w:t>
      </w:r>
    </w:p>
    <w:p w14:paraId="7BC7CEF3">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lang w:val="zh-CN"/>
        </w:rPr>
      </w:pPr>
      <w:r>
        <w:rPr>
          <w:rFonts w:hint="eastAsia" w:ascii="宋体" w:hAnsi="宋体" w:eastAsia="宋体" w:cs="宋体"/>
          <w:szCs w:val="24"/>
          <w:highlight w:val="none"/>
          <w:lang w:val="zh-CN"/>
        </w:rPr>
        <w:t>1．本项目采用不见面</w:t>
      </w:r>
      <w:r>
        <w:rPr>
          <w:rFonts w:hint="eastAsia" w:ascii="宋体" w:hAnsi="宋体" w:eastAsia="宋体" w:cs="宋体"/>
          <w:szCs w:val="24"/>
          <w:highlight w:val="none"/>
          <w:lang w:val="en-US" w:eastAsia="zh-CN"/>
        </w:rPr>
        <w:t>开标</w:t>
      </w:r>
      <w:r>
        <w:rPr>
          <w:rFonts w:hint="eastAsia" w:ascii="宋体" w:hAnsi="宋体" w:eastAsia="宋体" w:cs="宋体"/>
          <w:szCs w:val="24"/>
          <w:highlight w:val="none"/>
          <w:lang w:val="zh-CN"/>
        </w:rPr>
        <w:t>、供应商需要递交电子投标文件，加密的电子投标文件，在投标截止时间前通过新疆政府采购网政采云平台上传到指定位置。无需递交纸质文件。</w:t>
      </w:r>
    </w:p>
    <w:p w14:paraId="4812780F">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lang w:val="zh-CN"/>
        </w:rPr>
      </w:pPr>
      <w:r>
        <w:rPr>
          <w:rFonts w:hint="eastAsia" w:ascii="宋体" w:hAnsi="宋体" w:eastAsia="宋体" w:cs="宋体"/>
          <w:szCs w:val="24"/>
          <w:highlight w:val="none"/>
          <w:lang w:val="zh-CN"/>
        </w:rPr>
        <w:t>2.本项目采用远程不见面交易的模式。开标当日，供应商无需到达开标现场，仅需在任意地点通过新疆政府采购网政采云平台不见面开标系统（登录地址详见网站操作手册）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14:paraId="5FECCE3B">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lang w:val="zh-CN"/>
        </w:rPr>
      </w:pPr>
      <w:r>
        <w:rPr>
          <w:rFonts w:hint="eastAsia" w:ascii="宋体" w:hAnsi="宋体" w:eastAsia="宋体" w:cs="宋体"/>
          <w:szCs w:val="24"/>
          <w:highlight w:val="none"/>
          <w:lang w:val="zh-CN"/>
        </w:rPr>
        <w:t>3.远程</w:t>
      </w:r>
      <w:r>
        <w:rPr>
          <w:rFonts w:hint="eastAsia" w:ascii="宋体" w:hAnsi="宋体" w:eastAsia="宋体" w:cs="宋体"/>
          <w:szCs w:val="24"/>
          <w:highlight w:val="none"/>
          <w:lang w:val="en-US" w:eastAsia="zh-CN"/>
        </w:rPr>
        <w:t>开标</w:t>
      </w:r>
      <w:r>
        <w:rPr>
          <w:rFonts w:hint="eastAsia" w:ascii="宋体" w:hAnsi="宋体" w:eastAsia="宋体" w:cs="宋体"/>
          <w:szCs w:val="24"/>
          <w:highlight w:val="none"/>
          <w:lang w:val="zh-CN"/>
        </w:rPr>
        <w:t>前，供应商务必在新疆政府采购网政采云平台（http://ccgp-bingtuan.gov.cn）投标文件上传模块中使用“模拟解密”功能，验证本机远程自助解密环境。</w:t>
      </w:r>
    </w:p>
    <w:bookmarkEnd w:id="63"/>
    <w:p w14:paraId="2DB85503">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rPr>
      </w:pPr>
      <w:bookmarkStart w:id="64" w:name="_Toc29754"/>
      <w:r>
        <w:rPr>
          <w:rFonts w:hint="eastAsia" w:hAnsi="宋体" w:eastAsia="宋体" w:cs="宋体"/>
          <w:b/>
          <w:szCs w:val="24"/>
          <w:highlight w:val="none"/>
          <w:lang w:val="en-US" w:eastAsia="zh-CN"/>
        </w:rPr>
        <w:t>19</w:t>
      </w:r>
      <w:r>
        <w:rPr>
          <w:rFonts w:hint="eastAsia" w:ascii="宋体" w:hAnsi="宋体" w:eastAsia="宋体" w:cs="宋体"/>
          <w:b/>
          <w:szCs w:val="24"/>
          <w:highlight w:val="none"/>
        </w:rPr>
        <w:t>．迟交的投标文件</w:t>
      </w:r>
      <w:bookmarkEnd w:id="64"/>
    </w:p>
    <w:p w14:paraId="7275CC55">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r>
        <w:rPr>
          <w:rFonts w:hint="eastAsia" w:hAnsi="宋体" w:eastAsia="宋体" w:cs="宋体"/>
          <w:szCs w:val="24"/>
          <w:highlight w:val="none"/>
          <w:lang w:val="en-US" w:eastAsia="zh-CN"/>
        </w:rPr>
        <w:t>19</w:t>
      </w:r>
      <w:r>
        <w:rPr>
          <w:rFonts w:hint="eastAsia" w:ascii="宋体" w:hAnsi="宋体" w:eastAsia="宋体" w:cs="宋体"/>
          <w:szCs w:val="24"/>
          <w:highlight w:val="none"/>
        </w:rPr>
        <w:t>.1按照招标文件的规定，在</w:t>
      </w:r>
      <w:r>
        <w:rPr>
          <w:rFonts w:hint="eastAsia" w:ascii="宋体" w:hAnsi="宋体" w:eastAsia="宋体" w:cs="宋体"/>
          <w:szCs w:val="24"/>
          <w:highlight w:val="none"/>
          <w:lang w:eastAsia="zh-CN"/>
        </w:rPr>
        <w:t>递交</w:t>
      </w:r>
      <w:r>
        <w:rPr>
          <w:rFonts w:hint="eastAsia" w:ascii="宋体" w:hAnsi="宋体" w:eastAsia="宋体" w:cs="宋体"/>
          <w:szCs w:val="24"/>
          <w:highlight w:val="none"/>
        </w:rPr>
        <w:t>投标文件的截止时间之后送达的投标文件，为无效投标文件，采购代理机构将拒绝接收。</w:t>
      </w:r>
    </w:p>
    <w:p w14:paraId="049E1DE9">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rPr>
      </w:pPr>
      <w:bookmarkStart w:id="65" w:name="_Toc16048"/>
      <w:r>
        <w:rPr>
          <w:rFonts w:hint="eastAsia" w:hAnsi="宋体" w:eastAsia="宋体" w:cs="宋体"/>
          <w:b/>
          <w:szCs w:val="24"/>
          <w:highlight w:val="none"/>
          <w:lang w:val="en-US" w:eastAsia="zh-CN"/>
        </w:rPr>
        <w:t>20</w:t>
      </w:r>
      <w:r>
        <w:rPr>
          <w:rFonts w:hint="eastAsia" w:ascii="宋体" w:hAnsi="宋体" w:eastAsia="宋体" w:cs="宋体"/>
          <w:b/>
          <w:szCs w:val="24"/>
          <w:highlight w:val="none"/>
        </w:rPr>
        <w:t>．投标的修改与撤回</w:t>
      </w:r>
      <w:bookmarkEnd w:id="65"/>
    </w:p>
    <w:p w14:paraId="03325411">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r>
        <w:rPr>
          <w:rFonts w:hint="eastAsia" w:hAnsi="宋体" w:eastAsia="宋体" w:cs="宋体"/>
          <w:szCs w:val="24"/>
          <w:highlight w:val="none"/>
          <w:lang w:val="en-US" w:eastAsia="zh-CN"/>
        </w:rPr>
        <w:t>20</w:t>
      </w:r>
      <w:r>
        <w:rPr>
          <w:rFonts w:hint="eastAsia" w:ascii="宋体" w:hAnsi="宋体" w:eastAsia="宋体" w:cs="宋体"/>
          <w:szCs w:val="24"/>
          <w:highlight w:val="none"/>
        </w:rPr>
        <w:t xml:space="preserve">.1 </w:t>
      </w:r>
      <w:r>
        <w:rPr>
          <w:rFonts w:hint="eastAsia" w:hAnsi="宋体" w:eastAsia="宋体" w:cs="宋体"/>
          <w:szCs w:val="24"/>
          <w:highlight w:val="none"/>
          <w:lang w:eastAsia="zh-CN"/>
        </w:rPr>
        <w:t>供应商</w:t>
      </w:r>
      <w:r>
        <w:rPr>
          <w:rFonts w:hint="eastAsia" w:ascii="宋体" w:hAnsi="宋体" w:eastAsia="宋体" w:cs="宋体"/>
          <w:szCs w:val="24"/>
          <w:highlight w:val="none"/>
        </w:rPr>
        <w:t>投标文件递交截止时间</w:t>
      </w:r>
      <w:r>
        <w:rPr>
          <w:rFonts w:hint="eastAsia" w:hAnsi="宋体" w:eastAsia="宋体" w:cs="宋体"/>
          <w:szCs w:val="24"/>
          <w:highlight w:val="none"/>
          <w:lang w:eastAsia="zh-CN"/>
        </w:rPr>
        <w:t>前</w:t>
      </w:r>
      <w:r>
        <w:rPr>
          <w:rFonts w:hint="eastAsia" w:ascii="宋体" w:hAnsi="宋体" w:eastAsia="宋体" w:cs="宋体"/>
          <w:szCs w:val="24"/>
          <w:highlight w:val="none"/>
        </w:rPr>
        <w:t>，可以修改或撤回其</w:t>
      </w:r>
      <w:r>
        <w:rPr>
          <w:rFonts w:hint="eastAsia" w:hAnsi="宋体" w:eastAsia="宋体" w:cs="宋体"/>
          <w:szCs w:val="24"/>
          <w:highlight w:val="none"/>
          <w:lang w:eastAsia="zh-CN"/>
        </w:rPr>
        <w:t>已递交的</w:t>
      </w:r>
      <w:r>
        <w:rPr>
          <w:rFonts w:hint="eastAsia" w:ascii="宋体" w:hAnsi="宋体" w:eastAsia="宋体" w:cs="宋体"/>
          <w:szCs w:val="24"/>
          <w:highlight w:val="none"/>
        </w:rPr>
        <w:t>投标文件</w:t>
      </w:r>
    </w:p>
    <w:p w14:paraId="324CC8B0">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szCs w:val="24"/>
          <w:highlight w:val="none"/>
        </w:rPr>
      </w:pPr>
      <w:r>
        <w:rPr>
          <w:rFonts w:hint="eastAsia" w:hAnsi="宋体" w:eastAsia="宋体" w:cs="宋体"/>
          <w:szCs w:val="24"/>
          <w:highlight w:val="none"/>
          <w:lang w:val="en-US" w:eastAsia="zh-CN"/>
        </w:rPr>
        <w:t>20.2</w:t>
      </w:r>
      <w:r>
        <w:rPr>
          <w:rFonts w:hint="eastAsia" w:ascii="宋体" w:hAnsi="宋体" w:eastAsia="宋体" w:cs="宋体"/>
          <w:szCs w:val="24"/>
          <w:highlight w:val="none"/>
        </w:rPr>
        <w:t xml:space="preserve"> 在投标文件递交截止时间之后，</w:t>
      </w:r>
      <w:r>
        <w:rPr>
          <w:rFonts w:hint="eastAsia" w:hAnsi="宋体" w:eastAsia="宋体" w:cs="宋体"/>
          <w:szCs w:val="24"/>
          <w:highlight w:val="none"/>
          <w:lang w:eastAsia="zh-CN"/>
        </w:rPr>
        <w:t>供应商</w:t>
      </w:r>
      <w:r>
        <w:rPr>
          <w:rFonts w:hint="eastAsia" w:ascii="宋体" w:hAnsi="宋体" w:eastAsia="宋体" w:cs="宋体"/>
          <w:szCs w:val="24"/>
          <w:highlight w:val="none"/>
        </w:rPr>
        <w:t>不得对其投标做任何修改或撤回。</w:t>
      </w:r>
    </w:p>
    <w:p w14:paraId="4E7D7669">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lang w:val="zh-CN" w:eastAsia="zh-CN"/>
        </w:rPr>
      </w:pPr>
      <w:bookmarkStart w:id="66" w:name="_Toc363473976"/>
      <w:bookmarkStart w:id="67" w:name="_Toc363474021"/>
      <w:bookmarkStart w:id="68" w:name="_Toc403077643"/>
      <w:bookmarkStart w:id="69" w:name="_Toc14876"/>
      <w:r>
        <w:rPr>
          <w:rFonts w:hint="eastAsia" w:ascii="宋体" w:hAnsi="宋体" w:eastAsia="宋体" w:cs="宋体"/>
          <w:b/>
          <w:szCs w:val="24"/>
          <w:highlight w:val="none"/>
          <w:lang w:val="en-US" w:eastAsia="zh-CN"/>
        </w:rPr>
        <w:t xml:space="preserve">21. </w:t>
      </w:r>
      <w:r>
        <w:rPr>
          <w:rFonts w:hint="eastAsia" w:ascii="宋体" w:hAnsi="宋体" w:eastAsia="宋体" w:cs="宋体"/>
          <w:b/>
          <w:szCs w:val="24"/>
          <w:highlight w:val="none"/>
          <w:lang w:val="zh-CN" w:eastAsia="zh-CN"/>
        </w:rPr>
        <w:t>解密</w:t>
      </w:r>
      <w:r>
        <w:rPr>
          <w:rFonts w:hint="eastAsia" w:ascii="宋体" w:hAnsi="宋体" w:eastAsia="宋体" w:cs="宋体"/>
          <w:b/>
          <w:szCs w:val="24"/>
          <w:highlight w:val="none"/>
          <w:lang w:val="en-US" w:eastAsia="zh-CN"/>
        </w:rPr>
        <w:t>投标</w:t>
      </w:r>
      <w:r>
        <w:rPr>
          <w:rFonts w:hint="eastAsia" w:ascii="宋体" w:hAnsi="宋体" w:eastAsia="宋体" w:cs="宋体"/>
          <w:b/>
          <w:szCs w:val="24"/>
          <w:highlight w:val="none"/>
          <w:lang w:val="zh-CN" w:eastAsia="zh-CN"/>
        </w:rPr>
        <w:t>文件时间</w:t>
      </w:r>
    </w:p>
    <w:p w14:paraId="5FDFD055">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cs="宋体"/>
          <w:b/>
          <w:bCs/>
          <w:sz w:val="24"/>
          <w:highlight w:val="none"/>
        </w:rPr>
      </w:pPr>
      <w:r>
        <w:rPr>
          <w:rFonts w:hint="eastAsia" w:ascii="宋体" w:hAnsi="宋体" w:eastAsia="宋体" w:cs="宋体"/>
          <w:szCs w:val="24"/>
          <w:highlight w:val="none"/>
          <w:lang w:val="en-US" w:eastAsia="zh-CN"/>
        </w:rPr>
        <w:t>21.1</w:t>
      </w:r>
      <w:r>
        <w:rPr>
          <w:rFonts w:hint="eastAsia" w:ascii="宋体" w:hAnsi="宋体" w:eastAsia="宋体" w:cs="宋体"/>
          <w:szCs w:val="24"/>
          <w:highlight w:val="none"/>
        </w:rPr>
        <w:t>解密</w:t>
      </w:r>
      <w:r>
        <w:rPr>
          <w:rFonts w:hint="eastAsia" w:hAnsi="宋体" w:eastAsia="宋体" w:cs="宋体"/>
          <w:szCs w:val="24"/>
          <w:highlight w:val="none"/>
          <w:lang w:eastAsia="zh-CN"/>
        </w:rPr>
        <w:t>投标</w:t>
      </w:r>
      <w:r>
        <w:rPr>
          <w:rFonts w:hint="eastAsia" w:ascii="宋体" w:hAnsi="宋体" w:eastAsia="宋体" w:cs="宋体"/>
          <w:szCs w:val="24"/>
          <w:highlight w:val="none"/>
        </w:rPr>
        <w:t>文件时间：</w:t>
      </w:r>
      <w:r>
        <w:rPr>
          <w:rFonts w:hint="eastAsia" w:ascii="宋体" w:hAnsi="宋体" w:eastAsia="宋体" w:cs="宋体"/>
          <w:b/>
          <w:bCs/>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24</w:t>
      </w:r>
      <w:r>
        <w:rPr>
          <w:rFonts w:hint="eastAsia" w:ascii="宋体" w:hAnsi="宋体" w:cs="宋体"/>
          <w:b/>
          <w:bCs/>
          <w:sz w:val="24"/>
          <w:highlight w:val="none"/>
          <w:u w:val="single"/>
        </w:rPr>
        <w:t xml:space="preserve"> </w:t>
      </w:r>
      <w:r>
        <w:rPr>
          <w:rFonts w:hint="eastAsia" w:ascii="宋体" w:hAnsi="宋体" w:cs="宋体"/>
          <w:b/>
          <w:bCs/>
          <w:sz w:val="24"/>
          <w:highlight w:val="none"/>
        </w:rPr>
        <w:t>条</w:t>
      </w:r>
    </w:p>
    <w:p w14:paraId="0F2113EA">
      <w:pPr>
        <w:keepNext w:val="0"/>
        <w:keepLines w:val="0"/>
        <w:pageBreakBefore w:val="0"/>
        <w:kinsoku/>
        <w:wordWrap/>
        <w:overflowPunct/>
        <w:topLinePunct w:val="0"/>
        <w:bidi w:val="0"/>
        <w:adjustRightInd/>
        <w:snapToGrid/>
        <w:spacing w:line="500" w:lineRule="exact"/>
        <w:ind w:firstLine="420" w:firstLineChars="200"/>
        <w:outlineLvl w:val="9"/>
        <w:rPr>
          <w:rFonts w:hint="eastAsia" w:ascii="宋体" w:hAnsi="宋体" w:eastAsia="宋体" w:cs="宋体"/>
          <w:b/>
          <w:szCs w:val="24"/>
          <w:highlight w:val="none"/>
          <w:lang w:val="zh-CN" w:eastAsia="zh-CN"/>
        </w:rPr>
      </w:pPr>
      <w:r>
        <w:rPr>
          <w:rFonts w:hint="eastAsia" w:ascii="宋体" w:hAnsi="宋体" w:eastAsia="宋体" w:cs="宋体"/>
          <w:szCs w:val="24"/>
          <w:highlight w:val="none"/>
          <w:lang w:val="en-US" w:eastAsia="zh-CN"/>
        </w:rPr>
        <w:t>21.2</w:t>
      </w:r>
      <w:r>
        <w:rPr>
          <w:rFonts w:hint="eastAsia" w:ascii="宋体" w:hAnsi="宋体" w:eastAsia="宋体" w:cs="宋体"/>
          <w:szCs w:val="24"/>
          <w:highlight w:val="none"/>
        </w:rPr>
        <w:t>解密</w:t>
      </w:r>
      <w:r>
        <w:rPr>
          <w:rFonts w:hint="eastAsia" w:hAnsi="宋体" w:eastAsia="宋体" w:cs="宋体"/>
          <w:szCs w:val="24"/>
          <w:highlight w:val="none"/>
          <w:lang w:eastAsia="zh-CN"/>
        </w:rPr>
        <w:t>投标</w:t>
      </w:r>
      <w:r>
        <w:rPr>
          <w:rFonts w:hint="eastAsia" w:ascii="宋体" w:hAnsi="宋体" w:eastAsia="宋体" w:cs="宋体"/>
          <w:szCs w:val="24"/>
          <w:highlight w:val="none"/>
        </w:rPr>
        <w:t>文件地点：</w:t>
      </w:r>
      <w:r>
        <w:rPr>
          <w:rFonts w:hint="eastAsia" w:ascii="宋体" w:hAnsi="宋体" w:eastAsia="宋体" w:cs="宋体"/>
          <w:b/>
          <w:bCs/>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rPr>
        <w:t xml:space="preserve"> </w:t>
      </w:r>
      <w:r>
        <w:rPr>
          <w:rFonts w:hint="eastAsia" w:ascii="宋体" w:hAnsi="宋体" w:cs="宋体"/>
          <w:b/>
          <w:bCs/>
          <w:sz w:val="24"/>
          <w:highlight w:val="none"/>
        </w:rPr>
        <w:t>条</w:t>
      </w:r>
    </w:p>
    <w:p w14:paraId="16656707">
      <w:pPr>
        <w:rPr>
          <w:rFonts w:hint="eastAsia"/>
          <w:lang w:val="zh-CN" w:eastAsia="zh-CN"/>
        </w:rPr>
      </w:pPr>
    </w:p>
    <w:p w14:paraId="30092B21">
      <w:pPr>
        <w:keepNext w:val="0"/>
        <w:keepLines w:val="0"/>
        <w:pageBreakBefore w:val="0"/>
        <w:kinsoku/>
        <w:wordWrap/>
        <w:overflowPunct/>
        <w:topLinePunct w:val="0"/>
        <w:bidi w:val="0"/>
        <w:adjustRightInd/>
        <w:snapToGrid/>
        <w:spacing w:line="500" w:lineRule="exact"/>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五.开标与评标</w:t>
      </w:r>
      <w:bookmarkEnd w:id="66"/>
      <w:bookmarkEnd w:id="67"/>
      <w:bookmarkEnd w:id="68"/>
      <w:bookmarkEnd w:id="69"/>
    </w:p>
    <w:p w14:paraId="4038A3B6">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lang w:val="en-US" w:eastAsia="zh-CN"/>
        </w:rPr>
      </w:pPr>
      <w:bookmarkStart w:id="70" w:name="_Toc31897"/>
      <w:r>
        <w:rPr>
          <w:rFonts w:hint="eastAsia" w:ascii="宋体" w:hAnsi="宋体" w:eastAsia="宋体" w:cs="宋体"/>
          <w:b/>
          <w:szCs w:val="24"/>
          <w:highlight w:val="none"/>
          <w:lang w:val="en-US" w:eastAsia="zh-CN"/>
        </w:rPr>
        <w:t>22. 开标</w:t>
      </w:r>
      <w:bookmarkEnd w:id="70"/>
    </w:p>
    <w:p w14:paraId="1A679532">
      <w:pPr>
        <w:spacing w:line="360" w:lineRule="auto"/>
        <w:ind w:firstLine="420" w:firstLineChars="200"/>
        <w:outlineLvl w:val="9"/>
        <w:rPr>
          <w:rFonts w:hint="eastAsia" w:ascii="宋体" w:hAnsi="宋体" w:eastAsia="宋体" w:cs="Times New Roman"/>
          <w:szCs w:val="21"/>
          <w:highlight w:val="none"/>
        </w:rPr>
      </w:pPr>
      <w:bookmarkStart w:id="71" w:name="_Toc1871"/>
      <w:r>
        <w:rPr>
          <w:rFonts w:hint="eastAsia" w:ascii="宋体" w:hAnsi="宋体" w:eastAsia="宋体" w:cs="Times New Roman"/>
          <w:szCs w:val="21"/>
          <w:highlight w:val="none"/>
          <w:lang w:val="en-US" w:eastAsia="zh-CN"/>
        </w:rPr>
        <w:t>22.1</w:t>
      </w:r>
      <w:r>
        <w:rPr>
          <w:rFonts w:hint="eastAsia" w:ascii="宋体" w:hAnsi="宋体" w:eastAsia="宋体" w:cs="Times New Roman"/>
          <w:szCs w:val="21"/>
          <w:highlight w:val="none"/>
        </w:rPr>
        <w:t xml:space="preserve"> 开标由采购代理机构主持。主持人按照招标文件规定的开标时间宣布开标，并按下列程序进行（但不限于）：</w:t>
      </w:r>
    </w:p>
    <w:p w14:paraId="51D22F24">
      <w:pPr>
        <w:spacing w:line="360" w:lineRule="auto"/>
        <w:ind w:firstLine="420" w:firstLineChars="200"/>
        <w:outlineLvl w:val="9"/>
        <w:rPr>
          <w:rFonts w:hint="eastAsia" w:ascii="宋体" w:hAnsi="宋体" w:eastAsia="宋体" w:cs="Times New Roman"/>
          <w:szCs w:val="21"/>
          <w:highlight w:val="none"/>
        </w:rPr>
      </w:pPr>
      <w:r>
        <w:rPr>
          <w:rFonts w:hint="eastAsia" w:ascii="宋体" w:hAnsi="宋体" w:eastAsia="宋体" w:cs="Times New Roman"/>
          <w:szCs w:val="21"/>
          <w:highlight w:val="none"/>
        </w:rPr>
        <w:t>（1）宣布开标开始和开启录音录像设备并致辞；</w:t>
      </w:r>
    </w:p>
    <w:p w14:paraId="66330CCD">
      <w:pPr>
        <w:spacing w:line="360" w:lineRule="auto"/>
        <w:ind w:firstLine="420" w:firstLineChars="200"/>
        <w:outlineLvl w:val="9"/>
        <w:rPr>
          <w:rFonts w:hint="eastAsia" w:ascii="宋体" w:hAnsi="宋体" w:eastAsia="宋体" w:cs="Times New Roman"/>
          <w:szCs w:val="21"/>
          <w:highlight w:val="none"/>
        </w:rPr>
      </w:pPr>
      <w:r>
        <w:rPr>
          <w:rFonts w:hint="eastAsia" w:ascii="宋体" w:hAnsi="宋体" w:eastAsia="宋体" w:cs="Times New Roman"/>
          <w:szCs w:val="21"/>
          <w:highlight w:val="none"/>
        </w:rPr>
        <w:t>（2）宣布开标纪律和有关注意事项；</w:t>
      </w:r>
    </w:p>
    <w:p w14:paraId="4181F84B">
      <w:pPr>
        <w:spacing w:line="360" w:lineRule="auto"/>
        <w:ind w:firstLine="420" w:firstLineChars="200"/>
        <w:outlineLvl w:val="9"/>
        <w:rPr>
          <w:rFonts w:hint="eastAsia" w:ascii="宋体" w:hAnsi="宋体" w:eastAsia="宋体" w:cs="Times New Roman"/>
          <w:szCs w:val="21"/>
          <w:highlight w:val="none"/>
        </w:rPr>
      </w:pPr>
      <w:r>
        <w:rPr>
          <w:rFonts w:hint="eastAsia" w:ascii="宋体" w:hAnsi="宋体" w:eastAsia="宋体" w:cs="Times New Roman"/>
          <w:szCs w:val="21"/>
          <w:highlight w:val="none"/>
        </w:rPr>
        <w:t>（3）公布在投标截止时间前递交投标文件的投标人名称（根据投标人签到表）；</w:t>
      </w:r>
    </w:p>
    <w:p w14:paraId="5B013468">
      <w:pPr>
        <w:spacing w:line="360" w:lineRule="auto"/>
        <w:ind w:firstLine="420" w:firstLineChars="200"/>
        <w:outlineLvl w:val="9"/>
        <w:rPr>
          <w:rFonts w:hint="eastAsia" w:ascii="宋体" w:hAnsi="宋体" w:eastAsia="宋体" w:cs="Times New Roman"/>
          <w:szCs w:val="21"/>
          <w:highlight w:val="none"/>
        </w:rPr>
      </w:pPr>
      <w:r>
        <w:rPr>
          <w:rFonts w:hint="eastAsia" w:ascii="宋体" w:hAnsi="宋体" w:eastAsia="宋体" w:cs="Times New Roman"/>
          <w:szCs w:val="21"/>
          <w:highlight w:val="none"/>
        </w:rPr>
        <w:t>（4）宣布开标人、唱标人、监标人、记录人等有关工作人员和现场监督人员姓名；</w:t>
      </w:r>
    </w:p>
    <w:p w14:paraId="0E2CC9FF">
      <w:pPr>
        <w:spacing w:line="360" w:lineRule="auto"/>
        <w:ind w:firstLine="420" w:firstLineChars="200"/>
        <w:outlineLvl w:val="9"/>
        <w:rPr>
          <w:rFonts w:hint="eastAsia" w:ascii="宋体" w:hAnsi="宋体" w:eastAsia="宋体" w:cs="Times New Roman"/>
          <w:szCs w:val="21"/>
          <w:highlight w:val="none"/>
        </w:rPr>
      </w:pPr>
      <w:r>
        <w:rPr>
          <w:rFonts w:hint="eastAsia" w:ascii="宋体" w:hAnsi="宋体" w:eastAsia="宋体" w:cs="Times New Roman"/>
          <w:szCs w:val="21"/>
          <w:highlight w:val="none"/>
        </w:rPr>
        <w:t>（6）开标唱标：主持人宣布开标后，由现场工作人员按顺序对投标人的“投标文件”对其中“开标一览表”的投标人名称、投标总价、合同履行期限等内容进行宣读并做开标记录；所有投标唱标完毕，如投标人对宣读的“开标一览表”上的内容有异议的，提出示意，经现场监督人员核实后，当场予以更正；无异议后，由投标人法定代表人或委托代理人及监督管理机构代表签字确认唱标内容；</w:t>
      </w:r>
    </w:p>
    <w:p w14:paraId="6D3AD844">
      <w:pPr>
        <w:spacing w:line="360" w:lineRule="auto"/>
        <w:ind w:firstLine="420" w:firstLineChars="200"/>
        <w:outlineLvl w:val="9"/>
        <w:rPr>
          <w:rFonts w:hint="eastAsia" w:ascii="宋体" w:hAnsi="宋体" w:eastAsia="宋体" w:cs="Times New Roman"/>
          <w:szCs w:val="21"/>
          <w:highlight w:val="none"/>
        </w:rPr>
      </w:pPr>
      <w:r>
        <w:rPr>
          <w:rFonts w:hint="eastAsia" w:ascii="宋体" w:hAnsi="宋体" w:eastAsia="宋体" w:cs="Times New Roman"/>
          <w:szCs w:val="21"/>
          <w:highlight w:val="none"/>
        </w:rPr>
        <w:t>（7）宣布开标结束：主持人宣布开标结束后，所有投标人应保持通讯设备的畅通，以方便在评标过程中评标委员会要求投标人对投标文件的必要澄清。</w:t>
      </w:r>
    </w:p>
    <w:p w14:paraId="5F9F0B25">
      <w:pPr>
        <w:spacing w:line="360" w:lineRule="auto"/>
        <w:ind w:firstLine="420" w:firstLineChars="200"/>
        <w:outlineLvl w:val="9"/>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22.2</w:t>
      </w:r>
      <w:r>
        <w:rPr>
          <w:rFonts w:hint="eastAsia" w:ascii="宋体" w:hAnsi="宋体" w:eastAsia="宋体" w:cs="Times New Roman"/>
          <w:szCs w:val="21"/>
          <w:highlight w:val="none"/>
        </w:rPr>
        <w:t xml:space="preserve"> 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3F8D41D1">
      <w:pPr>
        <w:keepNext w:val="0"/>
        <w:keepLines w:val="0"/>
        <w:pageBreakBefore w:val="0"/>
        <w:kinsoku/>
        <w:wordWrap/>
        <w:overflowPunct/>
        <w:topLinePunct w:val="0"/>
        <w:bidi w:val="0"/>
        <w:adjustRightInd/>
        <w:snapToGrid/>
        <w:spacing w:line="500" w:lineRule="exact"/>
        <w:outlineLvl w:val="9"/>
        <w:rPr>
          <w:rFonts w:hint="eastAsia" w:ascii="宋体" w:hAnsi="宋体" w:eastAsia="宋体" w:cs="宋体"/>
          <w:b/>
          <w:szCs w:val="24"/>
          <w:highlight w:val="none"/>
        </w:rPr>
      </w:pPr>
      <w:r>
        <w:rPr>
          <w:rFonts w:hint="eastAsia" w:ascii="宋体" w:hAnsi="宋体" w:eastAsia="宋体" w:cs="宋体"/>
          <w:b/>
          <w:szCs w:val="24"/>
          <w:highlight w:val="none"/>
        </w:rPr>
        <w:t>2</w:t>
      </w:r>
      <w:r>
        <w:rPr>
          <w:rFonts w:hint="eastAsia" w:hAnsi="宋体" w:eastAsia="宋体" w:cs="宋体"/>
          <w:b/>
          <w:szCs w:val="24"/>
          <w:highlight w:val="none"/>
          <w:lang w:val="en-US" w:eastAsia="zh-CN"/>
        </w:rPr>
        <w:t>3</w:t>
      </w:r>
      <w:r>
        <w:rPr>
          <w:rFonts w:hint="eastAsia" w:ascii="宋体" w:hAnsi="宋体" w:eastAsia="宋体" w:cs="宋体"/>
          <w:b/>
          <w:szCs w:val="24"/>
          <w:highlight w:val="none"/>
        </w:rPr>
        <w:t>．评标组织及评标原则</w:t>
      </w:r>
      <w:bookmarkEnd w:id="71"/>
    </w:p>
    <w:p w14:paraId="34365951">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szCs w:val="21"/>
          <w:highlight w:val="none"/>
        </w:rPr>
        <w:t>.1按照《中华人民共和国政府采购法》、中华人民共和国2015年第658号国务院令--《中华人民共和国政府采购法实施条例》和中华人民共和国财政部2017年第87号部长令--《政府采购</w:t>
      </w:r>
      <w:r>
        <w:rPr>
          <w:rFonts w:hint="eastAsia" w:hAnsi="宋体"/>
          <w:szCs w:val="21"/>
          <w:highlight w:val="none"/>
          <w:lang w:eastAsia="zh-CN"/>
        </w:rPr>
        <w:t>货物</w:t>
      </w:r>
      <w:r>
        <w:rPr>
          <w:rFonts w:hint="eastAsia" w:ascii="宋体" w:hAnsi="宋体"/>
          <w:szCs w:val="21"/>
          <w:highlight w:val="none"/>
        </w:rPr>
        <w:t>和服务招标投标管理办法》的规定，依法组建评标委员会。评标委员会按照招标文件规定的评标方法独立进行评标工作。</w:t>
      </w:r>
    </w:p>
    <w:p w14:paraId="0422BCC0">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szCs w:val="21"/>
          <w:highlight w:val="none"/>
        </w:rPr>
        <w:t>.2招标文件和投标文件是评标的依据。在评标中，不得改变招标文件中规定的评标标准、方法和中标条件。</w:t>
      </w:r>
      <w:r>
        <w:rPr>
          <w:rFonts w:hint="eastAsia" w:hAnsi="宋体"/>
          <w:szCs w:val="21"/>
          <w:highlight w:val="none"/>
          <w:lang w:eastAsia="zh-CN"/>
        </w:rPr>
        <w:t>供应商</w:t>
      </w:r>
      <w:r>
        <w:rPr>
          <w:rFonts w:hint="eastAsia" w:ascii="宋体" w:hAnsi="宋体"/>
          <w:szCs w:val="21"/>
          <w:highlight w:val="none"/>
        </w:rPr>
        <w:t>不得在开标后使用任何方式对投标文件的实质性内容做任何更改。</w:t>
      </w:r>
    </w:p>
    <w:p w14:paraId="1B156326">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szCs w:val="21"/>
          <w:highlight w:val="none"/>
        </w:rPr>
        <w:t>.3在评标期间，对于投标文件中含义不明确、同类问题表述不一致或者有明显文字和计算错误的内容，评标委员会应当以</w:t>
      </w:r>
      <w:r>
        <w:rPr>
          <w:rFonts w:hint="eastAsia" w:ascii="宋体" w:hAnsi="宋体"/>
          <w:szCs w:val="21"/>
          <w:highlight w:val="none"/>
          <w:lang w:val="en-US" w:eastAsia="zh-CN"/>
        </w:rPr>
        <w:t>政采云平台或</w:t>
      </w:r>
      <w:r>
        <w:rPr>
          <w:rFonts w:hint="eastAsia" w:ascii="宋体" w:hAnsi="宋体"/>
          <w:szCs w:val="21"/>
          <w:highlight w:val="none"/>
        </w:rPr>
        <w:t>书面形式（由评标委员会专家签字）要求</w:t>
      </w:r>
      <w:r>
        <w:rPr>
          <w:rFonts w:hint="eastAsia" w:ascii="宋体" w:hAnsi="宋体"/>
          <w:szCs w:val="21"/>
          <w:highlight w:val="none"/>
          <w:lang w:val="en-US" w:eastAsia="zh-CN"/>
        </w:rPr>
        <w:t>供应商</w:t>
      </w:r>
      <w:r>
        <w:rPr>
          <w:rFonts w:hint="eastAsia" w:ascii="宋体" w:hAnsi="宋体"/>
          <w:szCs w:val="21"/>
          <w:highlight w:val="none"/>
        </w:rPr>
        <w:t>做出必要的澄清、说明或者纠正。</w:t>
      </w:r>
      <w:r>
        <w:rPr>
          <w:rFonts w:hint="eastAsia" w:hAnsi="宋体"/>
          <w:szCs w:val="21"/>
          <w:highlight w:val="none"/>
          <w:lang w:eastAsia="zh-CN"/>
        </w:rPr>
        <w:t>供应商</w:t>
      </w:r>
      <w:r>
        <w:rPr>
          <w:rFonts w:hint="eastAsia" w:ascii="宋体" w:hAnsi="宋体"/>
          <w:szCs w:val="21"/>
          <w:highlight w:val="none"/>
        </w:rPr>
        <w:t>的澄清、说明或者补正应当采用</w:t>
      </w:r>
      <w:r>
        <w:rPr>
          <w:rFonts w:hint="eastAsia" w:ascii="宋体" w:hAnsi="宋体"/>
          <w:color w:val="auto"/>
          <w:szCs w:val="21"/>
          <w:highlight w:val="none"/>
          <w:lang w:val="en-US" w:eastAsia="zh-CN"/>
        </w:rPr>
        <w:t>政采云平台或</w:t>
      </w:r>
      <w:r>
        <w:rPr>
          <w:rFonts w:hint="eastAsia" w:ascii="宋体" w:hAnsi="宋体"/>
          <w:color w:val="auto"/>
          <w:szCs w:val="21"/>
          <w:highlight w:val="none"/>
        </w:rPr>
        <w:t>书面形式</w:t>
      </w:r>
      <w:r>
        <w:rPr>
          <w:rFonts w:hint="eastAsia" w:ascii="宋体" w:hAnsi="宋体"/>
          <w:szCs w:val="21"/>
          <w:highlight w:val="none"/>
        </w:rPr>
        <w:t>，并由其法人代表或授权代表签署全名。</w:t>
      </w:r>
      <w:r>
        <w:rPr>
          <w:rFonts w:hint="eastAsia" w:hAnsi="宋体"/>
          <w:szCs w:val="21"/>
          <w:highlight w:val="none"/>
          <w:lang w:eastAsia="zh-CN"/>
        </w:rPr>
        <w:t>供应商</w:t>
      </w:r>
      <w:r>
        <w:rPr>
          <w:rFonts w:hint="eastAsia" w:ascii="宋体" w:hAnsi="宋体"/>
          <w:szCs w:val="21"/>
          <w:highlight w:val="none"/>
        </w:rPr>
        <w:t>的澄清、说明或者补正不得超出投标文件的范围或者改变投标文件的实质性内容。</w:t>
      </w:r>
    </w:p>
    <w:p w14:paraId="6CE0E5FC">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szCs w:val="21"/>
          <w:highlight w:val="none"/>
        </w:rPr>
        <w:t>.4如果</w:t>
      </w:r>
      <w:r>
        <w:rPr>
          <w:rFonts w:hint="eastAsia" w:ascii="宋体" w:hAnsi="宋体"/>
          <w:szCs w:val="21"/>
          <w:highlight w:val="none"/>
          <w:lang w:val="en-US" w:eastAsia="zh-CN"/>
        </w:rPr>
        <w:t>供应商</w:t>
      </w:r>
      <w:r>
        <w:rPr>
          <w:rFonts w:hint="eastAsia" w:ascii="宋体" w:hAnsi="宋体"/>
          <w:szCs w:val="21"/>
          <w:highlight w:val="none"/>
        </w:rPr>
        <w:t>在规定时限内，未能答复或拒绝答复评委会提出的澄清、说明或者补正的要求，将由评委会根据其投标文件按最大风险进行评标。</w:t>
      </w:r>
    </w:p>
    <w:p w14:paraId="4941FFE7">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72" w:name="_Toc24411"/>
      <w:r>
        <w:rPr>
          <w:rFonts w:hint="eastAsia" w:ascii="宋体" w:hAnsi="宋体" w:eastAsia="宋体" w:cs="宋体"/>
          <w:b/>
          <w:szCs w:val="24"/>
          <w:highlight w:val="none"/>
        </w:rPr>
        <w:t>2</w:t>
      </w:r>
      <w:r>
        <w:rPr>
          <w:rFonts w:hint="eastAsia" w:hAnsi="宋体" w:eastAsia="宋体" w:cs="宋体"/>
          <w:b/>
          <w:szCs w:val="24"/>
          <w:highlight w:val="none"/>
          <w:lang w:val="en-US" w:eastAsia="zh-CN"/>
        </w:rPr>
        <w:t>4</w:t>
      </w:r>
      <w:r>
        <w:rPr>
          <w:rFonts w:hint="eastAsia" w:ascii="宋体" w:hAnsi="宋体" w:eastAsia="宋体" w:cs="宋体"/>
          <w:b/>
          <w:szCs w:val="24"/>
          <w:highlight w:val="none"/>
        </w:rPr>
        <w:t>．评标过程的保密</w:t>
      </w:r>
      <w:bookmarkEnd w:id="72"/>
    </w:p>
    <w:p w14:paraId="56A2BE74">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hAnsi="宋体" w:eastAsia="宋体" w:cs="宋体"/>
          <w:szCs w:val="24"/>
          <w:highlight w:val="none"/>
          <w:lang w:val="en-US" w:eastAsia="zh-CN"/>
        </w:rPr>
        <w:t>4</w:t>
      </w:r>
      <w:r>
        <w:rPr>
          <w:rFonts w:hint="eastAsia" w:ascii="宋体" w:hAnsi="宋体" w:eastAsia="宋体" w:cs="宋体"/>
          <w:szCs w:val="24"/>
          <w:highlight w:val="none"/>
        </w:rPr>
        <w:t>.1评标委员会成员和与评标活动有关的工作人员不得泄露有关投标文件的评审和比较、中标候选人的推荐以及与评标有关的其他情况。</w:t>
      </w:r>
    </w:p>
    <w:p w14:paraId="6762B967">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hAnsi="宋体" w:eastAsia="宋体" w:cs="宋体"/>
          <w:szCs w:val="24"/>
          <w:highlight w:val="none"/>
          <w:lang w:val="en-US" w:eastAsia="zh-CN"/>
        </w:rPr>
        <w:t>4</w:t>
      </w:r>
      <w:r>
        <w:rPr>
          <w:rFonts w:hint="eastAsia" w:ascii="宋体" w:hAnsi="宋体" w:eastAsia="宋体" w:cs="宋体"/>
          <w:szCs w:val="24"/>
          <w:highlight w:val="none"/>
        </w:rPr>
        <w:t>.2在评标过程中，如果</w:t>
      </w:r>
      <w:r>
        <w:rPr>
          <w:rFonts w:hint="eastAsia" w:hAnsi="宋体" w:eastAsia="宋体" w:cs="宋体"/>
          <w:szCs w:val="24"/>
          <w:highlight w:val="none"/>
          <w:lang w:eastAsia="zh-CN"/>
        </w:rPr>
        <w:t>供应商</w:t>
      </w:r>
      <w:r>
        <w:rPr>
          <w:rFonts w:hint="eastAsia" w:ascii="宋体" w:hAnsi="宋体" w:eastAsia="宋体" w:cs="宋体"/>
          <w:szCs w:val="24"/>
          <w:highlight w:val="none"/>
        </w:rPr>
        <w:t>试图在投标文件的评审和比较、中标候选人的推荐以及与评标有关的其他方面，向评标人、采购人和采购代理机构施加任何影响，</w:t>
      </w:r>
      <w:r>
        <w:rPr>
          <w:rFonts w:hint="eastAsia" w:ascii="宋体" w:hAnsi="宋体" w:eastAsia="宋体" w:cs="宋体"/>
          <w:szCs w:val="24"/>
          <w:highlight w:val="none"/>
          <w:lang w:eastAsia="zh-CN"/>
        </w:rPr>
        <w:t>其投标应做无效投标处理</w:t>
      </w:r>
      <w:r>
        <w:rPr>
          <w:rFonts w:hint="eastAsia" w:ascii="宋体" w:hAnsi="宋体" w:eastAsia="宋体" w:cs="宋体"/>
          <w:szCs w:val="24"/>
          <w:highlight w:val="none"/>
        </w:rPr>
        <w:t>。</w:t>
      </w:r>
    </w:p>
    <w:p w14:paraId="2275213C">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73" w:name="_Toc25249"/>
      <w:r>
        <w:rPr>
          <w:rFonts w:hint="eastAsia" w:ascii="宋体" w:hAnsi="宋体" w:eastAsia="宋体" w:cs="宋体"/>
          <w:b/>
          <w:szCs w:val="24"/>
          <w:highlight w:val="none"/>
        </w:rPr>
        <w:t>2</w:t>
      </w:r>
      <w:r>
        <w:rPr>
          <w:rFonts w:hint="eastAsia" w:hAnsi="宋体" w:eastAsia="宋体" w:cs="宋体"/>
          <w:b/>
          <w:szCs w:val="24"/>
          <w:highlight w:val="none"/>
          <w:lang w:val="en-US" w:eastAsia="zh-CN"/>
        </w:rPr>
        <w:t>5</w:t>
      </w:r>
      <w:r>
        <w:rPr>
          <w:rFonts w:hint="eastAsia" w:ascii="宋体" w:hAnsi="宋体" w:eastAsia="宋体" w:cs="宋体"/>
          <w:b/>
          <w:szCs w:val="24"/>
          <w:highlight w:val="none"/>
        </w:rPr>
        <w:t>．评标方法</w:t>
      </w:r>
      <w:bookmarkEnd w:id="73"/>
    </w:p>
    <w:p w14:paraId="55A6E912">
      <w:pPr>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.1按照《中华人民共和国政府采购法实施条例》和《政府采购</w:t>
      </w:r>
      <w:r>
        <w:rPr>
          <w:rFonts w:hint="eastAsia" w:hAnsi="宋体"/>
          <w:color w:val="auto"/>
          <w:szCs w:val="21"/>
          <w:highlight w:val="none"/>
          <w:lang w:eastAsia="zh-CN"/>
        </w:rPr>
        <w:t>货物</w:t>
      </w:r>
      <w:r>
        <w:rPr>
          <w:rFonts w:hint="eastAsia" w:ascii="宋体" w:hAnsi="宋体"/>
          <w:color w:val="auto"/>
          <w:szCs w:val="21"/>
          <w:highlight w:val="none"/>
        </w:rPr>
        <w:t>和服务招标投标管理办法》的规定，本次评标采用以下评标方法中的一种：</w:t>
      </w:r>
      <w:r>
        <w:rPr>
          <w:rFonts w:hint="eastAsia" w:hAnsi="宋体"/>
          <w:color w:val="auto"/>
          <w:szCs w:val="21"/>
          <w:highlight w:val="none"/>
          <w:lang w:eastAsia="zh-CN"/>
        </w:rPr>
        <w:t>详</w:t>
      </w:r>
      <w:r>
        <w:rPr>
          <w:rFonts w:hint="eastAsia" w:ascii="宋体" w:hAnsi="宋体"/>
          <w:color w:val="auto"/>
          <w:szCs w:val="21"/>
          <w:highlight w:val="none"/>
        </w:rPr>
        <w:t>见“</w:t>
      </w:r>
      <w:r>
        <w:rPr>
          <w:rFonts w:hint="eastAsia" w:ascii="宋体" w:hAnsi="宋体"/>
          <w:color w:val="auto"/>
          <w:szCs w:val="21"/>
          <w:highlight w:val="none"/>
          <w:lang w:eastAsia="zh-CN"/>
        </w:rPr>
        <w:t>供应商须知前附表</w:t>
      </w:r>
      <w:r>
        <w:rPr>
          <w:rFonts w:hint="eastAsia" w:ascii="宋体" w:hAnsi="宋体"/>
          <w:color w:val="auto"/>
          <w:szCs w:val="21"/>
          <w:highlight w:val="none"/>
        </w:rPr>
        <w:t>”。</w:t>
      </w:r>
    </w:p>
    <w:p w14:paraId="23A1DE6A">
      <w:pPr>
        <w:spacing w:line="360" w:lineRule="auto"/>
        <w:ind w:firstLine="420" w:firstLineChars="200"/>
        <w:outlineLvl w:val="9"/>
        <w:rPr>
          <w:rFonts w:hint="eastAsia" w:ascii="宋体" w:hAnsi="宋体"/>
          <w:color w:val="auto"/>
          <w:kern w:val="0"/>
          <w:szCs w:val="21"/>
          <w:highlight w:val="none"/>
        </w:rPr>
      </w:pPr>
      <w:r>
        <w:rPr>
          <w:rFonts w:hint="eastAsia" w:hAnsi="宋体"/>
          <w:color w:val="auto"/>
          <w:szCs w:val="21"/>
          <w:highlight w:val="none"/>
          <w:lang w:val="en-US" w:eastAsia="zh-CN"/>
        </w:rPr>
        <w:t>25.1.1</w:t>
      </w:r>
      <w:r>
        <w:rPr>
          <w:rFonts w:hint="eastAsia" w:ascii="宋体" w:hAnsi="宋体"/>
          <w:color w:val="auto"/>
          <w:szCs w:val="21"/>
          <w:highlight w:val="none"/>
        </w:rPr>
        <w:t>最低评标价法，</w:t>
      </w:r>
      <w:r>
        <w:rPr>
          <w:rFonts w:hint="eastAsia" w:ascii="宋体" w:hAnsi="宋体"/>
          <w:color w:val="auto"/>
          <w:kern w:val="0"/>
          <w:szCs w:val="21"/>
          <w:highlight w:val="none"/>
        </w:rPr>
        <w:t>是指投标文件满足招标文件全部实质性要求，且投标报价最低的</w:t>
      </w:r>
      <w:r>
        <w:rPr>
          <w:rFonts w:hint="eastAsia" w:hAnsi="宋体"/>
          <w:color w:val="auto"/>
          <w:kern w:val="0"/>
          <w:szCs w:val="21"/>
          <w:highlight w:val="none"/>
          <w:lang w:eastAsia="zh-CN"/>
        </w:rPr>
        <w:t>供应商</w:t>
      </w:r>
      <w:r>
        <w:rPr>
          <w:rFonts w:hint="eastAsia" w:ascii="宋体" w:hAnsi="宋体"/>
          <w:color w:val="auto"/>
          <w:kern w:val="0"/>
          <w:szCs w:val="21"/>
          <w:highlight w:val="none"/>
        </w:rPr>
        <w:t>为中标候选人的评标方法。</w:t>
      </w:r>
    </w:p>
    <w:p w14:paraId="2B0DEE45">
      <w:pPr>
        <w:spacing w:line="360" w:lineRule="auto"/>
        <w:ind w:firstLine="420" w:firstLineChars="200"/>
        <w:outlineLvl w:val="9"/>
        <w:rPr>
          <w:rFonts w:hint="eastAsia" w:ascii="宋体" w:hAnsi="宋体"/>
          <w:color w:val="auto"/>
          <w:kern w:val="0"/>
          <w:szCs w:val="21"/>
          <w:highlight w:val="none"/>
        </w:rPr>
      </w:pPr>
      <w:r>
        <w:rPr>
          <w:rFonts w:hint="eastAsia" w:hAnsi="宋体"/>
          <w:color w:val="auto"/>
          <w:szCs w:val="21"/>
          <w:highlight w:val="none"/>
          <w:lang w:val="en-US" w:eastAsia="zh-CN"/>
        </w:rPr>
        <w:t>25.1.2</w:t>
      </w:r>
      <w:r>
        <w:rPr>
          <w:rFonts w:hint="eastAsia" w:ascii="宋体" w:hAnsi="宋体"/>
          <w:color w:val="auto"/>
          <w:szCs w:val="21"/>
          <w:highlight w:val="none"/>
        </w:rPr>
        <w:t xml:space="preserve"> 综合评分法，</w:t>
      </w:r>
      <w:r>
        <w:rPr>
          <w:rFonts w:hint="eastAsia" w:ascii="宋体" w:hAnsi="宋体"/>
          <w:color w:val="auto"/>
          <w:kern w:val="0"/>
          <w:szCs w:val="21"/>
          <w:highlight w:val="none"/>
        </w:rPr>
        <w:t>是指投标文件满足招标文件全部实质性要求，且按照评审因素的量化指标评审得分最高的</w:t>
      </w:r>
      <w:r>
        <w:rPr>
          <w:rFonts w:hint="eastAsia" w:hAnsi="宋体"/>
          <w:color w:val="auto"/>
          <w:kern w:val="0"/>
          <w:szCs w:val="21"/>
          <w:highlight w:val="none"/>
          <w:lang w:eastAsia="zh-CN"/>
        </w:rPr>
        <w:t>供应商</w:t>
      </w:r>
      <w:r>
        <w:rPr>
          <w:rFonts w:hint="eastAsia" w:ascii="宋体" w:hAnsi="宋体"/>
          <w:color w:val="auto"/>
          <w:kern w:val="0"/>
          <w:szCs w:val="21"/>
          <w:highlight w:val="none"/>
        </w:rPr>
        <w:t>为中标候选人的评标方法。</w:t>
      </w:r>
    </w:p>
    <w:p w14:paraId="02004D13">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74" w:name="_Toc6845"/>
      <w:r>
        <w:rPr>
          <w:rFonts w:hint="eastAsia" w:ascii="宋体" w:hAnsi="宋体" w:eastAsia="宋体" w:cs="宋体"/>
          <w:b/>
          <w:szCs w:val="24"/>
          <w:highlight w:val="none"/>
        </w:rPr>
        <w:t>2</w:t>
      </w:r>
      <w:r>
        <w:rPr>
          <w:rFonts w:hint="eastAsia" w:hAnsi="宋体" w:eastAsia="宋体" w:cs="宋体"/>
          <w:b/>
          <w:szCs w:val="24"/>
          <w:highlight w:val="none"/>
          <w:lang w:val="en-US" w:eastAsia="zh-CN"/>
        </w:rPr>
        <w:t>6</w:t>
      </w:r>
      <w:r>
        <w:rPr>
          <w:rFonts w:hint="eastAsia" w:ascii="宋体" w:hAnsi="宋体" w:eastAsia="宋体" w:cs="宋体"/>
          <w:b/>
          <w:szCs w:val="24"/>
          <w:highlight w:val="none"/>
        </w:rPr>
        <w:t>．评标程序</w:t>
      </w:r>
      <w:bookmarkEnd w:id="74"/>
    </w:p>
    <w:p w14:paraId="28CC0A3C">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按照投标文件初审、澄清有关问题、比较与评价、推荐中标候选人名单的工作程序进行评标。在上一步评审中</w:t>
      </w:r>
      <w:r>
        <w:rPr>
          <w:rFonts w:hint="eastAsia" w:hAnsi="宋体" w:eastAsia="宋体" w:cs="宋体"/>
          <w:szCs w:val="24"/>
          <w:highlight w:val="none"/>
          <w:lang w:eastAsia="zh-CN"/>
        </w:rPr>
        <w:t>供应商</w:t>
      </w:r>
      <w:r>
        <w:rPr>
          <w:rFonts w:hint="eastAsia" w:ascii="宋体" w:hAnsi="宋体" w:eastAsia="宋体" w:cs="宋体"/>
          <w:szCs w:val="24"/>
          <w:highlight w:val="none"/>
        </w:rPr>
        <w:t>被</w:t>
      </w:r>
      <w:r>
        <w:rPr>
          <w:rFonts w:hint="eastAsia" w:ascii="宋体" w:hAnsi="宋体" w:eastAsia="宋体" w:cs="宋体"/>
          <w:szCs w:val="24"/>
          <w:highlight w:val="none"/>
          <w:lang w:eastAsia="zh-CN"/>
        </w:rPr>
        <w:t>认定</w:t>
      </w:r>
      <w:r>
        <w:rPr>
          <w:rFonts w:hint="eastAsia" w:ascii="宋体" w:hAnsi="宋体" w:eastAsia="宋体" w:cs="宋体"/>
          <w:szCs w:val="24"/>
          <w:highlight w:val="none"/>
        </w:rPr>
        <w:t>无效投标者，不进入下一步的评审。</w:t>
      </w:r>
    </w:p>
    <w:p w14:paraId="352920B4">
      <w:pPr>
        <w:keepNext w:val="0"/>
        <w:keepLines w:val="0"/>
        <w:pageBreakBefore w:val="0"/>
        <w:wordWrap/>
        <w:overflowPunct/>
        <w:topLinePunct w:val="0"/>
        <w:bidi w:val="0"/>
        <w:spacing w:line="500" w:lineRule="exact"/>
        <w:jc w:val="center"/>
        <w:outlineLvl w:val="9"/>
        <w:rPr>
          <w:rFonts w:hint="eastAsia" w:ascii="宋体" w:hAnsi="宋体" w:eastAsia="宋体" w:cs="宋体"/>
          <w:b/>
          <w:sz w:val="32"/>
          <w:szCs w:val="32"/>
          <w:highlight w:val="none"/>
        </w:rPr>
      </w:pPr>
      <w:bookmarkStart w:id="75" w:name="_Toc403077644"/>
      <w:bookmarkStart w:id="76" w:name="_Toc363473977"/>
      <w:bookmarkStart w:id="77" w:name="_Toc363474022"/>
      <w:bookmarkStart w:id="78" w:name="_Toc16399"/>
    </w:p>
    <w:p w14:paraId="49F2891E">
      <w:pPr>
        <w:keepNext w:val="0"/>
        <w:keepLines w:val="0"/>
        <w:pageBreakBefore w:val="0"/>
        <w:wordWrap/>
        <w:overflowPunct/>
        <w:topLinePunct w:val="0"/>
        <w:bidi w:val="0"/>
        <w:spacing w:line="500" w:lineRule="exact"/>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六.定标、中标通知与签约</w:t>
      </w:r>
      <w:bookmarkEnd w:id="75"/>
      <w:bookmarkEnd w:id="76"/>
      <w:bookmarkEnd w:id="77"/>
      <w:bookmarkEnd w:id="78"/>
    </w:p>
    <w:p w14:paraId="6A1321D4">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79" w:name="_Toc27864"/>
      <w:r>
        <w:rPr>
          <w:rFonts w:hint="eastAsia" w:ascii="宋体" w:hAnsi="宋体" w:eastAsia="宋体" w:cs="宋体"/>
          <w:b/>
          <w:szCs w:val="24"/>
          <w:highlight w:val="none"/>
        </w:rPr>
        <w:t>2</w:t>
      </w:r>
      <w:r>
        <w:rPr>
          <w:rFonts w:hint="eastAsia" w:hAnsi="宋体" w:eastAsia="宋体" w:cs="宋体"/>
          <w:b/>
          <w:szCs w:val="24"/>
          <w:highlight w:val="none"/>
          <w:lang w:val="en-US" w:eastAsia="zh-CN"/>
        </w:rPr>
        <w:t>7</w:t>
      </w:r>
      <w:r>
        <w:rPr>
          <w:rFonts w:hint="eastAsia" w:ascii="宋体" w:hAnsi="宋体" w:eastAsia="宋体" w:cs="宋体"/>
          <w:b/>
          <w:szCs w:val="24"/>
          <w:highlight w:val="none"/>
        </w:rPr>
        <w:t>．定标程序</w:t>
      </w:r>
      <w:bookmarkEnd w:id="79"/>
    </w:p>
    <w:p w14:paraId="3946EBE3">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hAnsi="宋体" w:eastAsia="宋体" w:cs="宋体"/>
          <w:szCs w:val="24"/>
          <w:highlight w:val="none"/>
          <w:lang w:val="en-US" w:eastAsia="zh-CN"/>
        </w:rPr>
        <w:t>7</w:t>
      </w:r>
      <w:r>
        <w:rPr>
          <w:rFonts w:hint="eastAsia" w:ascii="宋体" w:hAnsi="宋体" w:eastAsia="宋体" w:cs="宋体"/>
          <w:szCs w:val="24"/>
          <w:highlight w:val="none"/>
        </w:rPr>
        <w:t>.1评标委员会根据评标方法的规定对</w:t>
      </w:r>
      <w:r>
        <w:rPr>
          <w:rFonts w:hint="eastAsia" w:hAnsi="宋体" w:eastAsia="宋体" w:cs="宋体"/>
          <w:szCs w:val="24"/>
          <w:highlight w:val="none"/>
          <w:lang w:eastAsia="zh-CN"/>
        </w:rPr>
        <w:t>供应商</w:t>
      </w:r>
      <w:r>
        <w:rPr>
          <w:rFonts w:hint="eastAsia" w:ascii="宋体" w:hAnsi="宋体" w:eastAsia="宋体" w:cs="宋体"/>
          <w:szCs w:val="24"/>
          <w:highlight w:val="none"/>
        </w:rPr>
        <w:t>进行评审排序，推荐</w:t>
      </w:r>
      <w:r>
        <w:rPr>
          <w:rFonts w:hint="eastAsia" w:ascii="宋体" w:hAnsi="宋体" w:eastAsia="宋体" w:cs="宋体"/>
          <w:color w:val="auto"/>
          <w:szCs w:val="24"/>
          <w:highlight w:val="none"/>
          <w:u w:val="none"/>
        </w:rPr>
        <w:t>3名</w:t>
      </w:r>
      <w:r>
        <w:rPr>
          <w:rFonts w:hint="eastAsia" w:ascii="宋体" w:hAnsi="宋体" w:eastAsia="宋体" w:cs="宋体"/>
          <w:szCs w:val="24"/>
          <w:highlight w:val="none"/>
        </w:rPr>
        <w:t>中标候选人，作为评标结果。评标结果由评标委员会成员签字确认。</w:t>
      </w:r>
    </w:p>
    <w:p w14:paraId="0C657619">
      <w:pPr>
        <w:keepNext w:val="0"/>
        <w:keepLines w:val="0"/>
        <w:pageBreakBefore w:val="0"/>
        <w:wordWrap/>
        <w:overflowPunct/>
        <w:topLinePunct w:val="0"/>
        <w:bidi w:val="0"/>
        <w:spacing w:line="500" w:lineRule="exact"/>
        <w:ind w:firstLine="420" w:firstLineChars="200"/>
        <w:outlineLvl w:val="9"/>
        <w:rPr>
          <w:rFonts w:hint="eastAsia" w:hAnsi="宋体" w:eastAsia="宋体" w:cs="宋体"/>
          <w:szCs w:val="24"/>
          <w:highlight w:val="none"/>
          <w:lang w:val="en-US" w:eastAsia="zh-CN"/>
        </w:rPr>
      </w:pPr>
      <w:r>
        <w:rPr>
          <w:rFonts w:hint="eastAsia" w:hAnsi="宋体" w:eastAsia="宋体" w:cs="宋体"/>
          <w:szCs w:val="24"/>
          <w:highlight w:val="none"/>
          <w:lang w:eastAsia="zh-CN"/>
        </w:rPr>
        <w:t>2</w:t>
      </w:r>
      <w:r>
        <w:rPr>
          <w:rFonts w:hint="eastAsia" w:hAnsi="宋体" w:eastAsia="宋体" w:cs="宋体"/>
          <w:szCs w:val="24"/>
          <w:highlight w:val="none"/>
          <w:lang w:val="en-US" w:eastAsia="zh-CN"/>
        </w:rPr>
        <w:t>7</w:t>
      </w:r>
      <w:r>
        <w:rPr>
          <w:rFonts w:hint="eastAsia" w:hAnsi="宋体" w:eastAsia="宋体" w:cs="宋体"/>
          <w:szCs w:val="24"/>
          <w:highlight w:val="none"/>
          <w:lang w:eastAsia="zh-CN"/>
        </w:rPr>
        <w:t>.2采购代理机构在评标结束后2个工作日内将评标报告送采购人。采购人应当在收到评标报告后5个工作日内，按照评标报告中推荐的中标候选人顺序和有关规定确定中标人。</w:t>
      </w:r>
    </w:p>
    <w:p w14:paraId="2D6331B5">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hAnsi="宋体" w:eastAsia="宋体" w:cs="宋体"/>
          <w:szCs w:val="24"/>
          <w:highlight w:val="none"/>
          <w:lang w:eastAsia="zh-CN"/>
        </w:rPr>
        <w:t>2</w:t>
      </w:r>
      <w:r>
        <w:rPr>
          <w:rFonts w:hint="eastAsia" w:hAnsi="宋体" w:eastAsia="宋体" w:cs="宋体"/>
          <w:szCs w:val="24"/>
          <w:highlight w:val="none"/>
          <w:lang w:val="en-US" w:eastAsia="zh-CN"/>
        </w:rPr>
        <w:t>7</w:t>
      </w:r>
      <w:r>
        <w:rPr>
          <w:rFonts w:hint="eastAsia" w:hAnsi="宋体" w:eastAsia="宋体" w:cs="宋体"/>
          <w:szCs w:val="24"/>
          <w:highlight w:val="none"/>
          <w:lang w:eastAsia="zh-CN"/>
        </w:rPr>
        <w:t>.3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w:t>
      </w:r>
      <w:r>
        <w:rPr>
          <w:rFonts w:hint="eastAsia" w:ascii="宋体" w:hAnsi="宋体" w:eastAsia="宋体" w:cs="宋体"/>
          <w:highlight w:val="none"/>
        </w:rPr>
        <w:t>中标人，也可以重新招标</w:t>
      </w:r>
      <w:r>
        <w:rPr>
          <w:rFonts w:hint="eastAsia" w:ascii="宋体" w:hAnsi="宋体" w:eastAsia="宋体" w:cs="宋体"/>
          <w:szCs w:val="24"/>
          <w:highlight w:val="none"/>
        </w:rPr>
        <w:t>。</w:t>
      </w:r>
    </w:p>
    <w:p w14:paraId="6E908A6F">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.4采购人也可以授权评标委员会评标后直接确定中标人。</w:t>
      </w:r>
    </w:p>
    <w:p w14:paraId="10C13D70">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.5中标人确定之后，中标结果将在财政部门指定的政府采购信息发布媒体上公告。</w:t>
      </w:r>
    </w:p>
    <w:p w14:paraId="39E2833B">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.6</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或者其他利害关系人对评标结果有异议的，应当在</w:t>
      </w:r>
      <w:r>
        <w:rPr>
          <w:rFonts w:hint="eastAsia" w:ascii="宋体" w:hAnsi="宋体" w:eastAsia="宋体" w:cs="宋体"/>
          <w:szCs w:val="24"/>
          <w:highlight w:val="none"/>
          <w:lang w:eastAsia="zh-CN"/>
        </w:rPr>
        <w:t>法律规定的时间内</w:t>
      </w:r>
      <w:r>
        <w:rPr>
          <w:rFonts w:hint="eastAsia" w:ascii="宋体" w:hAnsi="宋体" w:eastAsia="宋体" w:cs="宋体"/>
          <w:szCs w:val="24"/>
          <w:highlight w:val="none"/>
        </w:rPr>
        <w:t>提出。</w:t>
      </w:r>
    </w:p>
    <w:p w14:paraId="625BD3F3">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80" w:name="_Toc16175"/>
      <w:r>
        <w:rPr>
          <w:rFonts w:hint="eastAsia" w:ascii="宋体" w:hAnsi="宋体" w:eastAsia="宋体" w:cs="宋体"/>
          <w:b/>
          <w:szCs w:val="24"/>
          <w:highlight w:val="none"/>
        </w:rPr>
        <w:t>2</w:t>
      </w:r>
      <w:r>
        <w:rPr>
          <w:rFonts w:hint="eastAsia" w:hAnsi="宋体" w:eastAsia="宋体" w:cs="宋体"/>
          <w:b/>
          <w:szCs w:val="24"/>
          <w:highlight w:val="none"/>
          <w:lang w:val="en-US" w:eastAsia="zh-CN"/>
        </w:rPr>
        <w:t>8</w:t>
      </w:r>
      <w:r>
        <w:rPr>
          <w:rFonts w:hint="eastAsia" w:ascii="宋体" w:hAnsi="宋体" w:eastAsia="宋体" w:cs="宋体"/>
          <w:b/>
          <w:szCs w:val="24"/>
          <w:highlight w:val="none"/>
        </w:rPr>
        <w:t>．中标</w:t>
      </w:r>
      <w:r>
        <w:rPr>
          <w:rFonts w:hint="eastAsia" w:ascii="宋体" w:hAnsi="宋体" w:eastAsia="宋体" w:cs="宋体"/>
          <w:b/>
          <w:szCs w:val="24"/>
          <w:highlight w:val="none"/>
          <w:lang w:eastAsia="zh-CN"/>
        </w:rPr>
        <w:t>和落标</w:t>
      </w:r>
      <w:r>
        <w:rPr>
          <w:rFonts w:hint="eastAsia" w:ascii="宋体" w:hAnsi="宋体" w:eastAsia="宋体" w:cs="宋体"/>
          <w:b/>
          <w:szCs w:val="24"/>
          <w:highlight w:val="none"/>
        </w:rPr>
        <w:t>通知</w:t>
      </w:r>
      <w:bookmarkEnd w:id="80"/>
    </w:p>
    <w:p w14:paraId="35C884C3">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hAnsi="宋体" w:eastAsia="宋体" w:cs="宋体"/>
          <w:szCs w:val="24"/>
          <w:highlight w:val="none"/>
          <w:lang w:val="en-US" w:eastAsia="zh-CN"/>
        </w:rPr>
        <w:t>8</w:t>
      </w:r>
      <w:r>
        <w:rPr>
          <w:rFonts w:hint="eastAsia" w:ascii="宋体" w:hAnsi="宋体" w:eastAsia="宋体" w:cs="宋体"/>
          <w:szCs w:val="24"/>
          <w:highlight w:val="none"/>
        </w:rPr>
        <w:t>.1 采购代理机构</w:t>
      </w:r>
      <w:r>
        <w:rPr>
          <w:rFonts w:hint="eastAsia" w:ascii="宋体" w:hAnsi="宋体" w:eastAsia="宋体" w:cs="宋体"/>
          <w:szCs w:val="24"/>
          <w:highlight w:val="none"/>
          <w:lang w:eastAsia="zh-CN"/>
        </w:rPr>
        <w:t>在发布</w:t>
      </w:r>
      <w:r>
        <w:rPr>
          <w:rFonts w:hint="eastAsia" w:ascii="宋体" w:hAnsi="宋体" w:eastAsia="宋体" w:cs="宋体"/>
          <w:szCs w:val="24"/>
          <w:highlight w:val="none"/>
        </w:rPr>
        <w:t>中标公告</w:t>
      </w:r>
      <w:r>
        <w:rPr>
          <w:rFonts w:hint="eastAsia" w:ascii="宋体" w:hAnsi="宋体" w:eastAsia="宋体" w:cs="宋体"/>
          <w:szCs w:val="24"/>
          <w:highlight w:val="none"/>
          <w:lang w:eastAsia="zh-CN"/>
        </w:rPr>
        <w:t>后，</w:t>
      </w:r>
      <w:r>
        <w:rPr>
          <w:rFonts w:hint="eastAsia" w:ascii="宋体" w:hAnsi="宋体" w:eastAsia="宋体" w:cs="宋体"/>
          <w:szCs w:val="24"/>
          <w:highlight w:val="none"/>
        </w:rPr>
        <w:t>向中标人发出《中标通知书》</w:t>
      </w:r>
      <w:r>
        <w:rPr>
          <w:rFonts w:hint="eastAsia" w:hAnsi="宋体" w:eastAsia="宋体" w:cs="宋体"/>
          <w:szCs w:val="24"/>
          <w:highlight w:val="none"/>
          <w:lang w:eastAsia="zh-CN"/>
        </w:rPr>
        <w:t>。</w:t>
      </w:r>
      <w:r>
        <w:rPr>
          <w:rFonts w:hint="eastAsia" w:ascii="宋体" w:hAnsi="宋体" w:eastAsia="宋体" w:cs="宋体"/>
          <w:b/>
          <w:bCs/>
          <w:szCs w:val="24"/>
          <w:highlight w:val="none"/>
          <w:lang w:eastAsia="zh-CN"/>
        </w:rPr>
        <w:t>中标</w:t>
      </w:r>
      <w:r>
        <w:rPr>
          <w:rFonts w:hint="eastAsia" w:hAnsi="宋体" w:eastAsia="宋体" w:cs="宋体"/>
          <w:b/>
          <w:bCs/>
          <w:szCs w:val="24"/>
          <w:highlight w:val="none"/>
          <w:lang w:eastAsia="zh-CN"/>
        </w:rPr>
        <w:t>人</w:t>
      </w:r>
      <w:r>
        <w:rPr>
          <w:rFonts w:hint="eastAsia" w:ascii="宋体" w:hAnsi="宋体" w:eastAsia="宋体" w:cs="宋体"/>
          <w:b/>
          <w:bCs/>
          <w:szCs w:val="24"/>
          <w:highlight w:val="none"/>
          <w:lang w:eastAsia="zh-CN"/>
        </w:rPr>
        <w:t>领取</w:t>
      </w:r>
      <w:r>
        <w:rPr>
          <w:rFonts w:hint="eastAsia" w:hAnsi="宋体" w:eastAsia="宋体" w:cs="宋体"/>
          <w:b/>
          <w:bCs/>
          <w:szCs w:val="24"/>
          <w:highlight w:val="none"/>
          <w:lang w:eastAsia="zh-CN"/>
        </w:rPr>
        <w:t>中标</w:t>
      </w:r>
      <w:r>
        <w:rPr>
          <w:rFonts w:hint="eastAsia" w:ascii="宋体" w:hAnsi="宋体" w:eastAsia="宋体" w:cs="宋体"/>
          <w:b/>
          <w:bCs/>
          <w:szCs w:val="24"/>
          <w:highlight w:val="none"/>
          <w:lang w:eastAsia="zh-CN"/>
        </w:rPr>
        <w:t>通知书时须携带法定代表人授权书及加盖单位公章的被授权人身份证复印件。</w:t>
      </w:r>
    </w:p>
    <w:p w14:paraId="280540E2">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hAnsi="宋体" w:eastAsia="宋体" w:cs="宋体"/>
          <w:szCs w:val="24"/>
          <w:highlight w:val="none"/>
          <w:lang w:val="en-US" w:eastAsia="zh-CN"/>
        </w:rPr>
        <w:t>8</w:t>
      </w:r>
      <w:r>
        <w:rPr>
          <w:rFonts w:hint="eastAsia" w:ascii="宋体" w:hAnsi="宋体" w:eastAsia="宋体" w:cs="宋体"/>
          <w:szCs w:val="24"/>
          <w:highlight w:val="none"/>
        </w:rPr>
        <w:t>.2中标通知书对采购人和中标人具有同等法律效力。中标通知书发出之后，采购人改变中标结果，或者中标人放弃中标，应当承担相应的法律责任。</w:t>
      </w:r>
    </w:p>
    <w:p w14:paraId="4AB3F857">
      <w:pPr>
        <w:keepNext w:val="0"/>
        <w:keepLines w:val="0"/>
        <w:pageBreakBefore w:val="0"/>
        <w:wordWrap/>
        <w:overflowPunct/>
        <w:topLinePunct w:val="0"/>
        <w:bidi w:val="0"/>
        <w:spacing w:line="500" w:lineRule="exact"/>
        <w:ind w:firstLine="420" w:firstLineChars="200"/>
        <w:outlineLvl w:val="9"/>
        <w:rPr>
          <w:rFonts w:hint="eastAsia"/>
          <w:highlight w:val="none"/>
        </w:rPr>
      </w:pPr>
      <w:r>
        <w:rPr>
          <w:rFonts w:hint="eastAsia" w:ascii="宋体" w:hAnsi="宋体" w:eastAsia="宋体" w:cs="宋体"/>
          <w:szCs w:val="24"/>
          <w:highlight w:val="none"/>
          <w:lang w:val="en-US" w:eastAsia="zh-CN"/>
        </w:rPr>
        <w:t>2</w:t>
      </w:r>
      <w:r>
        <w:rPr>
          <w:rFonts w:hint="eastAsia" w:hAnsi="宋体" w:eastAsia="宋体" w:cs="宋体"/>
          <w:szCs w:val="24"/>
          <w:highlight w:val="none"/>
          <w:lang w:val="en-US" w:eastAsia="zh-CN"/>
        </w:rPr>
        <w:t>8</w:t>
      </w:r>
      <w:r>
        <w:rPr>
          <w:rFonts w:hint="eastAsia" w:ascii="宋体" w:hAnsi="宋体" w:eastAsia="宋体" w:cs="宋体"/>
          <w:szCs w:val="24"/>
          <w:highlight w:val="none"/>
          <w:lang w:val="en-US" w:eastAsia="zh-CN"/>
        </w:rPr>
        <w:t>.3中标公告发布后，未中标供应商可致电采购代理机构获知本单位的评审得分与排序。</w:t>
      </w:r>
    </w:p>
    <w:p w14:paraId="6EFD4970">
      <w:pPr>
        <w:keepNext w:val="0"/>
        <w:keepLines w:val="0"/>
        <w:pageBreakBefore w:val="0"/>
        <w:wordWrap/>
        <w:overflowPunct/>
        <w:topLinePunct w:val="0"/>
        <w:bidi w:val="0"/>
        <w:spacing w:line="500" w:lineRule="exact"/>
        <w:outlineLvl w:val="9"/>
        <w:rPr>
          <w:rFonts w:hint="eastAsia" w:ascii="宋体" w:hAnsi="宋体" w:eastAsia="宋体" w:cs="宋体"/>
          <w:b/>
          <w:szCs w:val="24"/>
          <w:highlight w:val="none"/>
        </w:rPr>
      </w:pPr>
      <w:bookmarkStart w:id="81" w:name="_Toc28995"/>
      <w:r>
        <w:rPr>
          <w:rFonts w:hint="eastAsia" w:ascii="宋体" w:hAnsi="宋体" w:eastAsia="宋体" w:cs="宋体"/>
          <w:b/>
          <w:szCs w:val="24"/>
          <w:highlight w:val="none"/>
        </w:rPr>
        <w:t>2</w:t>
      </w:r>
      <w:r>
        <w:rPr>
          <w:rFonts w:hint="eastAsia" w:hAnsi="宋体" w:eastAsia="宋体" w:cs="宋体"/>
          <w:b/>
          <w:szCs w:val="24"/>
          <w:highlight w:val="none"/>
          <w:lang w:val="en-US" w:eastAsia="zh-CN"/>
        </w:rPr>
        <w:t>9</w:t>
      </w:r>
      <w:r>
        <w:rPr>
          <w:rFonts w:hint="eastAsia" w:ascii="宋体" w:hAnsi="宋体" w:eastAsia="宋体" w:cs="宋体"/>
          <w:b/>
          <w:szCs w:val="24"/>
          <w:highlight w:val="none"/>
        </w:rPr>
        <w:t>. 中标合同的签订</w:t>
      </w:r>
      <w:bookmarkEnd w:id="81"/>
    </w:p>
    <w:p w14:paraId="2D195967">
      <w:pPr>
        <w:keepNext w:val="0"/>
        <w:keepLines w:val="0"/>
        <w:pageBreakBefore w:val="0"/>
        <w:wordWrap/>
        <w:overflowPunct/>
        <w:topLinePunct w:val="0"/>
        <w:bidi w:val="0"/>
        <w:spacing w:line="500" w:lineRule="exact"/>
        <w:ind w:firstLine="420" w:firstLineChars="200"/>
        <w:outlineLvl w:val="9"/>
        <w:rPr>
          <w:rFonts w:hint="eastAsia" w:ascii="宋体" w:hAnsi="宋体" w:eastAsia="宋体" w:cs="宋体"/>
          <w:color w:val="auto"/>
          <w:szCs w:val="24"/>
          <w:highlight w:val="none"/>
        </w:rPr>
      </w:pPr>
      <w:r>
        <w:rPr>
          <w:rFonts w:hint="eastAsia" w:ascii="宋体" w:hAnsi="宋体" w:eastAsia="宋体" w:cs="宋体"/>
          <w:szCs w:val="24"/>
          <w:highlight w:val="none"/>
        </w:rPr>
        <w:t>2</w:t>
      </w:r>
      <w:r>
        <w:rPr>
          <w:rFonts w:hint="eastAsia" w:hAnsi="宋体" w:eastAsia="宋体" w:cs="宋体"/>
          <w:szCs w:val="24"/>
          <w:highlight w:val="none"/>
          <w:lang w:val="en-US" w:eastAsia="zh-CN"/>
        </w:rPr>
        <w:t>9</w:t>
      </w:r>
      <w:r>
        <w:rPr>
          <w:rFonts w:hint="eastAsia" w:ascii="宋体" w:hAnsi="宋体" w:eastAsia="宋体" w:cs="宋体"/>
          <w:szCs w:val="24"/>
          <w:highlight w:val="none"/>
        </w:rPr>
        <w:t>.1采购人应当自中标通知书发出之日起三十日内，按照招标文件和中标人投标文件（包括评标中形成的澄清文件）的约定，与中标人签订书面合同。所签订的合同不得</w:t>
      </w:r>
      <w:r>
        <w:rPr>
          <w:rFonts w:hint="eastAsia" w:ascii="宋体" w:hAnsi="宋体" w:eastAsia="宋体" w:cs="宋体"/>
          <w:color w:val="auto"/>
          <w:szCs w:val="24"/>
          <w:highlight w:val="none"/>
        </w:rPr>
        <w:t>对招标文件和中标人的投标文件（包括评标中形成的澄清文件）作实质性修改。</w:t>
      </w:r>
    </w:p>
    <w:p w14:paraId="1898D9CB">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szCs w:val="21"/>
          <w:highlight w:val="none"/>
        </w:rPr>
      </w:pPr>
      <w:r>
        <w:rPr>
          <w:rFonts w:hint="eastAsia" w:ascii="宋体" w:hAnsi="宋体" w:eastAsia="宋体" w:cs="宋体"/>
          <w:color w:val="auto"/>
          <w:szCs w:val="24"/>
          <w:highlight w:val="none"/>
        </w:rPr>
        <w:t>2</w:t>
      </w:r>
      <w:r>
        <w:rPr>
          <w:rFonts w:hint="eastAsia" w:hAnsi="宋体" w:eastAsia="宋体" w:cs="宋体"/>
          <w:color w:val="auto"/>
          <w:szCs w:val="24"/>
          <w:highlight w:val="none"/>
          <w:lang w:val="en-US" w:eastAsia="zh-CN"/>
        </w:rPr>
        <w:t>9</w:t>
      </w:r>
      <w:r>
        <w:rPr>
          <w:rFonts w:hint="eastAsia" w:ascii="宋体" w:hAnsi="宋体" w:eastAsia="宋体" w:cs="宋体"/>
          <w:color w:val="auto"/>
          <w:szCs w:val="24"/>
          <w:highlight w:val="none"/>
        </w:rPr>
        <w:t>.2</w:t>
      </w:r>
      <w:r>
        <w:rPr>
          <w:rFonts w:hint="eastAsia" w:ascii="宋体" w:hAnsi="宋体"/>
          <w:color w:val="auto"/>
          <w:szCs w:val="21"/>
          <w:highlight w:val="none"/>
        </w:rPr>
        <w:t>采购人自政府采购合同签订之日起2个工作日内，将政府采购合同在省级以上人民政府财政部门指定的媒体上公告，但政府采购合同中涉及国家秘密、商业秘密的内容除外。</w:t>
      </w:r>
    </w:p>
    <w:p w14:paraId="01D32110">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szCs w:val="24"/>
          <w:highlight w:val="none"/>
          <w:lang w:eastAsia="zh-CN"/>
        </w:rPr>
      </w:pPr>
      <w:bookmarkStart w:id="82" w:name="_Toc1586"/>
      <w:r>
        <w:rPr>
          <w:rFonts w:hint="eastAsia" w:hAnsi="宋体" w:eastAsia="宋体" w:cs="宋体"/>
          <w:b/>
          <w:color w:val="auto"/>
          <w:szCs w:val="24"/>
          <w:highlight w:val="none"/>
          <w:lang w:val="en-US" w:eastAsia="zh-CN"/>
        </w:rPr>
        <w:t>30</w:t>
      </w:r>
      <w:r>
        <w:rPr>
          <w:rFonts w:hint="eastAsia" w:ascii="宋体" w:hAnsi="宋体" w:eastAsia="宋体" w:cs="宋体"/>
          <w:b/>
          <w:color w:val="auto"/>
          <w:szCs w:val="24"/>
          <w:highlight w:val="none"/>
        </w:rPr>
        <w:t>．招标</w:t>
      </w:r>
      <w:r>
        <w:rPr>
          <w:rFonts w:hint="eastAsia" w:ascii="宋体" w:hAnsi="宋体" w:eastAsia="宋体" w:cs="宋体"/>
          <w:b/>
          <w:szCs w:val="24"/>
          <w:highlight w:val="none"/>
        </w:rPr>
        <w:t>代理服务费</w:t>
      </w:r>
      <w:bookmarkEnd w:id="82"/>
      <w:r>
        <w:rPr>
          <w:rFonts w:hint="eastAsia" w:hAnsi="宋体" w:eastAsia="宋体" w:cs="宋体"/>
          <w:b/>
          <w:szCs w:val="24"/>
          <w:highlight w:val="none"/>
          <w:lang w:eastAsia="zh-CN"/>
        </w:rPr>
        <w:t>：详见供应商须知前附表</w:t>
      </w:r>
    </w:p>
    <w:p w14:paraId="17933141">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hAnsi="宋体" w:eastAsia="宋体" w:cs="宋体"/>
          <w:b/>
          <w:bCs/>
          <w:szCs w:val="24"/>
          <w:highlight w:val="none"/>
          <w:lang w:val="en-US" w:eastAsia="zh-CN"/>
        </w:rPr>
      </w:pPr>
      <w:bookmarkStart w:id="83" w:name="_Toc4754"/>
      <w:r>
        <w:rPr>
          <w:rFonts w:hint="eastAsia" w:hAnsi="宋体" w:eastAsia="宋体" w:cs="宋体"/>
          <w:b/>
          <w:bCs/>
          <w:szCs w:val="24"/>
          <w:highlight w:val="none"/>
          <w:lang w:val="en-US" w:eastAsia="zh-CN"/>
        </w:rPr>
        <w:t>31.合同鉴证费</w:t>
      </w:r>
      <w:bookmarkEnd w:id="83"/>
    </w:p>
    <w:p w14:paraId="16FA2DE4">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outlineLvl w:val="9"/>
        <w:rPr>
          <w:rFonts w:hint="eastAsia" w:hAnsi="宋体" w:eastAsia="宋体" w:cs="宋体"/>
          <w:b w:val="0"/>
          <w:bCs w:val="0"/>
          <w:szCs w:val="24"/>
          <w:highlight w:val="none"/>
          <w:lang w:val="en-US" w:eastAsia="zh-CN"/>
        </w:rPr>
      </w:pPr>
      <w:r>
        <w:rPr>
          <w:rFonts w:hint="eastAsia" w:hAnsi="宋体" w:eastAsia="宋体" w:cs="宋体"/>
          <w:b w:val="0"/>
          <w:bCs w:val="0"/>
          <w:szCs w:val="24"/>
          <w:highlight w:val="none"/>
          <w:lang w:val="en-US" w:eastAsia="zh-CN"/>
        </w:rPr>
        <w:t>31.1</w:t>
      </w:r>
      <w:bookmarkStart w:id="84" w:name="_Toc26072"/>
      <w:r>
        <w:rPr>
          <w:rFonts w:hint="eastAsia" w:hAnsi="宋体" w:eastAsia="宋体" w:cs="宋体"/>
          <w:b w:val="0"/>
          <w:bCs w:val="0"/>
          <w:szCs w:val="24"/>
          <w:highlight w:val="none"/>
          <w:lang w:val="en-US" w:eastAsia="zh-CN"/>
        </w:rPr>
        <w:t>本项目不收取合同鉴证费。</w:t>
      </w:r>
    </w:p>
    <w:p w14:paraId="2D2BC40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宋体" w:hAnsi="宋体" w:eastAsia="宋体" w:cs="宋体"/>
          <w:b/>
          <w:bCs/>
          <w:szCs w:val="24"/>
          <w:highlight w:val="none"/>
          <w:lang w:val="en-US" w:eastAsia="zh-CN"/>
        </w:rPr>
      </w:pPr>
      <w:r>
        <w:rPr>
          <w:rFonts w:hint="eastAsia" w:hAnsi="宋体" w:eastAsia="宋体" w:cs="宋体"/>
          <w:b/>
          <w:bCs/>
          <w:szCs w:val="24"/>
          <w:highlight w:val="none"/>
          <w:lang w:val="en-US" w:eastAsia="zh-CN"/>
        </w:rPr>
        <w:t>32.</w:t>
      </w:r>
      <w:r>
        <w:rPr>
          <w:rFonts w:hint="eastAsia" w:ascii="宋体" w:hAnsi="宋体" w:eastAsia="宋体" w:cs="宋体"/>
          <w:b/>
          <w:bCs/>
          <w:szCs w:val="24"/>
          <w:highlight w:val="none"/>
          <w:lang w:val="en-US" w:eastAsia="zh-CN"/>
        </w:rPr>
        <w:t>履约验收</w:t>
      </w:r>
      <w:bookmarkEnd w:id="84"/>
    </w:p>
    <w:p w14:paraId="601C328D">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szCs w:val="21"/>
          <w:highlight w:val="none"/>
        </w:rPr>
      </w:pPr>
      <w:r>
        <w:rPr>
          <w:rFonts w:hint="eastAsia" w:hAnsi="宋体" w:eastAsia="宋体" w:cs="宋体"/>
          <w:color w:val="auto"/>
          <w:szCs w:val="24"/>
          <w:highlight w:val="none"/>
          <w:lang w:val="en-US" w:eastAsia="zh-CN"/>
        </w:rPr>
        <w:t>32.1</w:t>
      </w:r>
      <w:r>
        <w:rPr>
          <w:rFonts w:hint="eastAsia" w:ascii="宋体" w:hAnsi="宋体"/>
          <w:color w:val="auto"/>
          <w:kern w:val="0"/>
          <w:szCs w:val="21"/>
          <w:highlight w:val="none"/>
        </w:rPr>
        <w:t>政府采购合同的履行、违约责任和解决争议的方法等适用《中华人民共和国</w:t>
      </w:r>
      <w:r>
        <w:rPr>
          <w:rFonts w:hint="eastAsia" w:hAnsi="宋体"/>
          <w:color w:val="auto"/>
          <w:kern w:val="0"/>
          <w:szCs w:val="21"/>
          <w:highlight w:val="none"/>
          <w:lang w:eastAsia="zh-CN"/>
        </w:rPr>
        <w:t>民法典</w:t>
      </w:r>
      <w:r>
        <w:rPr>
          <w:rFonts w:hint="eastAsia" w:ascii="宋体" w:hAnsi="宋体"/>
          <w:color w:val="auto"/>
          <w:kern w:val="0"/>
          <w:szCs w:val="21"/>
          <w:highlight w:val="none"/>
        </w:rPr>
        <w:t>》。</w:t>
      </w:r>
      <w:r>
        <w:rPr>
          <w:rFonts w:hint="eastAsia" w:ascii="宋体" w:hAnsi="宋体"/>
          <w:color w:val="auto"/>
          <w:szCs w:val="21"/>
          <w:highlight w:val="none"/>
        </w:rPr>
        <w:t>采购人按照政府采购合同规定的技术、服务、安全标准组织对供应商履约情况进行验收，并出具验收书。</w:t>
      </w:r>
    </w:p>
    <w:p w14:paraId="53C487CE">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outlineLvl w:val="9"/>
        <w:rPr>
          <w:rFonts w:hint="default" w:ascii="宋体" w:hAnsi="宋体" w:eastAsia="宋体" w:cs="宋体"/>
          <w:color w:val="auto"/>
          <w:szCs w:val="24"/>
          <w:highlight w:val="none"/>
          <w:lang w:val="en-US" w:eastAsia="zh-CN"/>
        </w:rPr>
      </w:pPr>
      <w:r>
        <w:rPr>
          <w:rFonts w:hint="eastAsia" w:hAnsi="宋体" w:eastAsia="宋体" w:cs="宋体"/>
          <w:color w:val="auto"/>
          <w:szCs w:val="24"/>
          <w:highlight w:val="none"/>
          <w:lang w:val="en-US" w:eastAsia="zh-CN"/>
        </w:rPr>
        <w:t>32.2履约验收的费用及要求详见“供应商须知前附表”。</w:t>
      </w:r>
    </w:p>
    <w:p w14:paraId="0C15CE8A">
      <w:pPr>
        <w:keepNext w:val="0"/>
        <w:keepLines w:val="0"/>
        <w:pageBreakBefore w:val="0"/>
        <w:numPr>
          <w:ilvl w:val="0"/>
          <w:numId w:val="0"/>
        </w:numPr>
        <w:kinsoku/>
        <w:wordWrap/>
        <w:overflowPunct/>
        <w:topLinePunct w:val="0"/>
        <w:autoSpaceDE/>
        <w:autoSpaceDN/>
        <w:bidi w:val="0"/>
        <w:adjustRightInd/>
        <w:snapToGrid/>
        <w:spacing w:line="480" w:lineRule="exact"/>
        <w:textAlignment w:val="auto"/>
        <w:outlineLvl w:val="9"/>
        <w:rPr>
          <w:rFonts w:hint="eastAsia" w:ascii="宋体" w:hAnsi="宋体" w:eastAsia="宋体" w:cs="宋体"/>
          <w:b/>
          <w:bCs/>
          <w:sz w:val="24"/>
          <w:szCs w:val="24"/>
          <w:highlight w:val="none"/>
          <w:lang w:val="en-US" w:eastAsia="zh-CN"/>
        </w:rPr>
      </w:pPr>
      <w:bookmarkStart w:id="85" w:name="_Toc13571"/>
      <w:r>
        <w:rPr>
          <w:rFonts w:hint="eastAsia" w:hAnsi="宋体" w:eastAsia="宋体" w:cs="宋体"/>
          <w:b/>
          <w:bCs/>
          <w:sz w:val="24"/>
          <w:szCs w:val="24"/>
          <w:highlight w:val="none"/>
          <w:lang w:val="en-US" w:eastAsia="zh-CN"/>
        </w:rPr>
        <w:t>33.</w:t>
      </w:r>
      <w:r>
        <w:rPr>
          <w:rFonts w:hint="eastAsia" w:ascii="宋体" w:hAnsi="宋体" w:eastAsia="宋体" w:cs="宋体"/>
          <w:b/>
          <w:bCs/>
          <w:sz w:val="24"/>
          <w:szCs w:val="24"/>
          <w:highlight w:val="none"/>
          <w:lang w:val="en-US" w:eastAsia="zh-CN"/>
        </w:rPr>
        <w:t>质疑</w:t>
      </w:r>
      <w:bookmarkEnd w:id="85"/>
    </w:p>
    <w:p w14:paraId="39FA62C9">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33.1供应商认为招标文件、招标过程、中标结果使自己的权益受到损害的，可以在知道或者应知其权益受到损害之日起7个工作日内，以书面形式向采购人、采购代理机构提出质疑。</w:t>
      </w:r>
    </w:p>
    <w:p w14:paraId="7CF52CC4">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33.2供应商必须在法定质疑期内一次性提出针对同一采购程序环节的质疑。</w:t>
      </w:r>
    </w:p>
    <w:p w14:paraId="37344FB7">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AB4CDE3">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33.4以联合体形式参加政府采购活动的，其质疑应当由组成联合体的所有供应商共同提出。</w:t>
      </w:r>
    </w:p>
    <w:p w14:paraId="229273F4">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33.5供应商提出质疑应当提交质疑函和必要的证明材料。质疑函应当包括下列内容：</w:t>
      </w:r>
    </w:p>
    <w:p w14:paraId="70159DC9">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33.5.1供应商的姓名或者名称、地址、邮编、联系人及联系电话；</w:t>
      </w:r>
    </w:p>
    <w:p w14:paraId="050D63EB">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33.5.2质疑项目的名称、编号；</w:t>
      </w:r>
    </w:p>
    <w:p w14:paraId="1452B19C">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33.5.3具体、明确的质疑事项和与质疑事项相关的请求；</w:t>
      </w:r>
    </w:p>
    <w:p w14:paraId="4553CA2B">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33.5.4事实依据；</w:t>
      </w:r>
    </w:p>
    <w:p w14:paraId="7A741812">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33.5.5必要的法律依据；</w:t>
      </w:r>
    </w:p>
    <w:p w14:paraId="3948CCC5">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33.5.6提出质疑的日期。</w:t>
      </w:r>
    </w:p>
    <w:p w14:paraId="7A959DD4">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33.6有下列情形之一的，属于无效质疑，采购代理机构和采购人不予受理：</w:t>
      </w:r>
    </w:p>
    <w:p w14:paraId="02EDDBB7">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33.6.1质疑供应商不是参与本次政府采购项目的供应商；</w:t>
      </w:r>
    </w:p>
    <w:p w14:paraId="39147014">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33.6.2质疑供应商与质疑事项不存在利害关系的；</w:t>
      </w:r>
    </w:p>
    <w:p w14:paraId="1E627A13">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33.6.3未在法定期限内提出质疑的；</w:t>
      </w:r>
    </w:p>
    <w:p w14:paraId="50A926C2">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33.6.4质疑未以书面形式提出，或质疑函主要内容构成不完整的；</w:t>
      </w:r>
    </w:p>
    <w:p w14:paraId="79C1B19E">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33.6.5应当提交授权书而未提交的；</w:t>
      </w:r>
    </w:p>
    <w:p w14:paraId="4A2A187F">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33.6.6以非法手段取得证据、材料的；</w:t>
      </w:r>
    </w:p>
    <w:p w14:paraId="3385500E">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33.6.7质疑答复后，同一质疑人就同一事项或同一采购程序环节再次提出质疑的；</w:t>
      </w:r>
    </w:p>
    <w:p w14:paraId="5A3C609D">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33.6.8不符合法律、法规、规章和政府采购监管机构规定的其他条件的。</w:t>
      </w:r>
    </w:p>
    <w:p w14:paraId="0B54D885">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33.7质疑答复</w:t>
      </w:r>
    </w:p>
    <w:p w14:paraId="4ADF21F2">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33.7.1采购人或采购代理机构在收到质疑函后7个工作日内作出答复，并以书面形式通知质疑供应商和其他有关供应商。</w:t>
      </w:r>
    </w:p>
    <w:p w14:paraId="78FF437C">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33.7.2质疑供应商对采购人、采购代理机构的答复不满意，或者采购人、采购代理机构未在规定时间内作出答复的，可以在答复期满后15个工作日内向同级人民政府财政部门提起投诉。</w:t>
      </w:r>
    </w:p>
    <w:p w14:paraId="5EFA8633">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33.8其他需要说明的事项</w:t>
      </w:r>
    </w:p>
    <w:p w14:paraId="00578B5F">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33.8.1质疑函须按财政部《质疑函范本》给定的格式进行填写，范本下载详见【财政部国库司（gks.mof.gov.cn）】网站〖首页·政府采购管理〗栏目中的《政府采购供应商质疑函范本》。《政府采购供应商质疑函范本》链接地址：</w:t>
      </w:r>
    </w:p>
    <w:p w14:paraId="16075CB1">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http://gks.mof.gov.cn/zhengfucaigouguanli/201802/t20180201_2804589.html</w:t>
      </w:r>
    </w:p>
    <w:p w14:paraId="79E8BC9E">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33.8.2接收质疑函的方式：书面形式</w:t>
      </w:r>
    </w:p>
    <w:p w14:paraId="0FECDB8A">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33.8.3联系部门：见供应商须知前附表</w:t>
      </w:r>
    </w:p>
    <w:p w14:paraId="55306471">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33.8.4联系电话：见供应商须知前附表</w:t>
      </w:r>
    </w:p>
    <w:p w14:paraId="36BB0543">
      <w:pPr>
        <w:pStyle w:val="4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jc w:val="left"/>
        <w:textAlignment w:val="auto"/>
        <w:outlineLvl w:val="9"/>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33.8.5通讯地址：见供应商须知前附表</w:t>
      </w:r>
    </w:p>
    <w:p w14:paraId="666866B3">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Cs w:val="24"/>
          <w:highlight w:val="none"/>
        </w:rPr>
      </w:pPr>
      <w:bookmarkStart w:id="86" w:name="_Toc5630"/>
      <w:r>
        <w:rPr>
          <w:rFonts w:hint="eastAsia" w:ascii="宋体" w:hAnsi="宋体" w:eastAsia="宋体" w:cs="宋体"/>
          <w:b/>
          <w:bCs/>
          <w:szCs w:val="24"/>
          <w:highlight w:val="none"/>
        </w:rPr>
        <w:t>3</w:t>
      </w:r>
      <w:r>
        <w:rPr>
          <w:rFonts w:hint="eastAsia" w:hAnsi="宋体" w:eastAsia="宋体" w:cs="宋体"/>
          <w:b/>
          <w:bCs/>
          <w:szCs w:val="24"/>
          <w:highlight w:val="none"/>
          <w:lang w:val="en-US" w:eastAsia="zh-CN"/>
        </w:rPr>
        <w:t>4</w:t>
      </w:r>
      <w:r>
        <w:rPr>
          <w:rFonts w:hint="eastAsia" w:ascii="宋体" w:hAnsi="宋体" w:eastAsia="宋体" w:cs="宋体"/>
          <w:b/>
          <w:bCs/>
          <w:szCs w:val="24"/>
          <w:highlight w:val="none"/>
        </w:rPr>
        <w:t>.其他</w:t>
      </w:r>
      <w:bookmarkEnd w:id="86"/>
    </w:p>
    <w:p w14:paraId="6859577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hAnsi="宋体" w:eastAsia="宋体" w:cs="宋体"/>
          <w:highlight w:val="none"/>
          <w:lang w:val="en-US" w:eastAsia="zh-CN"/>
        </w:rPr>
        <w:t>4</w:t>
      </w:r>
      <w:r>
        <w:rPr>
          <w:rFonts w:hint="eastAsia" w:ascii="宋体" w:hAnsi="宋体" w:eastAsia="宋体" w:cs="宋体"/>
          <w:highlight w:val="none"/>
        </w:rPr>
        <w:t>.1 废标的情形</w:t>
      </w:r>
    </w:p>
    <w:p w14:paraId="26A60C8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hAnsi="宋体" w:eastAsia="宋体" w:cs="宋体"/>
          <w:highlight w:val="none"/>
          <w:lang w:val="en-US" w:eastAsia="zh-CN"/>
        </w:rPr>
        <w:t>4</w:t>
      </w:r>
      <w:r>
        <w:rPr>
          <w:rFonts w:hint="eastAsia" w:ascii="宋体" w:hAnsi="宋体" w:eastAsia="宋体" w:cs="宋体"/>
          <w:highlight w:val="none"/>
          <w:lang w:val="en-US" w:eastAsia="zh-CN"/>
        </w:rPr>
        <w:t>.1.1</w:t>
      </w:r>
      <w:r>
        <w:rPr>
          <w:rFonts w:hint="eastAsia" w:ascii="宋体" w:hAnsi="宋体" w:eastAsia="宋体" w:cs="宋体"/>
          <w:highlight w:val="none"/>
        </w:rPr>
        <w:t>招标采购中，出现下列情形之一的，应予以废标：</w:t>
      </w:r>
    </w:p>
    <w:p w14:paraId="39719CC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（1）符合专业条件的</w:t>
      </w:r>
      <w:r>
        <w:rPr>
          <w:rFonts w:hint="eastAsia" w:hAnsi="宋体" w:eastAsia="宋体" w:cs="宋体"/>
          <w:highlight w:val="none"/>
          <w:lang w:eastAsia="zh-CN"/>
        </w:rPr>
        <w:t>供应商</w:t>
      </w:r>
      <w:r>
        <w:rPr>
          <w:rFonts w:hint="eastAsia" w:ascii="宋体" w:hAnsi="宋体" w:eastAsia="宋体" w:cs="宋体"/>
          <w:highlight w:val="none"/>
        </w:rPr>
        <w:t>或者对招标文件作实质响应的</w:t>
      </w:r>
      <w:r>
        <w:rPr>
          <w:rFonts w:hint="eastAsia" w:hAnsi="宋体" w:eastAsia="宋体" w:cs="宋体"/>
          <w:highlight w:val="none"/>
          <w:lang w:eastAsia="zh-CN"/>
        </w:rPr>
        <w:t>供应商</w:t>
      </w:r>
      <w:r>
        <w:rPr>
          <w:rFonts w:hint="eastAsia" w:ascii="宋体" w:hAnsi="宋体" w:eastAsia="宋体" w:cs="宋体"/>
          <w:highlight w:val="none"/>
        </w:rPr>
        <w:t>不足3家的；</w:t>
      </w:r>
    </w:p>
    <w:p w14:paraId="36D697C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（2）出现影响采购公正的违法、违规行为的；</w:t>
      </w:r>
    </w:p>
    <w:p w14:paraId="01893C7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（3）</w:t>
      </w:r>
      <w:r>
        <w:rPr>
          <w:rFonts w:hint="eastAsia" w:hAnsi="宋体" w:eastAsia="宋体" w:cs="宋体"/>
          <w:highlight w:val="none"/>
          <w:lang w:eastAsia="zh-CN"/>
        </w:rPr>
        <w:t>供应商</w:t>
      </w:r>
      <w:r>
        <w:rPr>
          <w:rFonts w:hint="eastAsia" w:ascii="宋体" w:hAnsi="宋体" w:eastAsia="宋体" w:cs="宋体"/>
          <w:highlight w:val="none"/>
        </w:rPr>
        <w:t>的报价均超过了采购预算，采购人不能支付的；</w:t>
      </w:r>
    </w:p>
    <w:p w14:paraId="1F9546E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（4）因重大变故，采购任务取消的。</w:t>
      </w:r>
    </w:p>
    <w:p w14:paraId="4B9E629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hAnsi="宋体" w:eastAsia="宋体" w:cs="宋体"/>
          <w:highlight w:val="none"/>
          <w:lang w:val="en-US" w:eastAsia="zh-CN"/>
        </w:rPr>
        <w:t>3</w:t>
      </w:r>
      <w:r>
        <w:rPr>
          <w:rFonts w:hint="eastAsia" w:ascii="宋体" w:hAnsi="宋体" w:eastAsia="宋体" w:cs="宋体"/>
          <w:highlight w:val="none"/>
          <w:lang w:val="en-US" w:eastAsia="zh-CN"/>
        </w:rPr>
        <w:t>.1.2</w:t>
      </w:r>
      <w:r>
        <w:rPr>
          <w:rFonts w:hint="eastAsia" w:ascii="宋体" w:hAnsi="宋体" w:eastAsia="宋体" w:cs="宋体"/>
          <w:highlight w:val="none"/>
        </w:rPr>
        <w:t>废标后，采购代理机构应在财政部门指定采购网上公告，并公告废标的详细理由。</w:t>
      </w:r>
    </w:p>
    <w:p w14:paraId="1CA115A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hAnsi="宋体" w:eastAsia="宋体" w:cs="宋体"/>
          <w:highlight w:val="none"/>
          <w:lang w:val="en-US" w:eastAsia="zh-CN"/>
        </w:rPr>
        <w:t>4</w:t>
      </w:r>
      <w:r>
        <w:rPr>
          <w:rFonts w:hint="eastAsia" w:ascii="宋体" w:hAnsi="宋体" w:eastAsia="宋体" w:cs="宋体"/>
          <w:highlight w:val="none"/>
          <w:lang w:val="en-US" w:eastAsia="zh-CN"/>
        </w:rPr>
        <w:t>.2</w:t>
      </w:r>
      <w:r>
        <w:rPr>
          <w:rFonts w:hint="eastAsia" w:ascii="宋体" w:hAnsi="宋体" w:eastAsia="宋体" w:cs="宋体"/>
          <w:highlight w:val="none"/>
        </w:rPr>
        <w:t>变更采购方式</w:t>
      </w:r>
    </w:p>
    <w:p w14:paraId="5B78A35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2.1</w:t>
      </w:r>
      <w:r>
        <w:rPr>
          <w:rFonts w:hint="eastAsia" w:ascii="宋体" w:hAnsi="宋体" w:eastAsia="宋体" w:cs="宋体"/>
          <w:highlight w:val="none"/>
        </w:rPr>
        <w:t>存在下列情形之一的，除采购任务取消情形外，采购人经同级财政部门同意后，可按《政府采购货物和服务招标投标管理办法》（财政部87号令）第四十三条规定的方式处理：</w:t>
      </w:r>
    </w:p>
    <w:p w14:paraId="6860B69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（1）投标截止后参加投标的人不足3家的；</w:t>
      </w:r>
    </w:p>
    <w:p w14:paraId="5882CE4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（2）通过资格审查的</w:t>
      </w:r>
      <w:r>
        <w:rPr>
          <w:rFonts w:hint="eastAsia" w:hAnsi="宋体" w:eastAsia="宋体" w:cs="宋体"/>
          <w:highlight w:val="none"/>
          <w:lang w:eastAsia="zh-CN"/>
        </w:rPr>
        <w:t>供应商</w:t>
      </w:r>
      <w:r>
        <w:rPr>
          <w:rFonts w:hint="eastAsia" w:ascii="宋体" w:hAnsi="宋体" w:eastAsia="宋体" w:cs="宋体"/>
          <w:highlight w:val="none"/>
        </w:rPr>
        <w:t>不足3家的；</w:t>
      </w:r>
    </w:p>
    <w:p w14:paraId="2580844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（3）通过符合性审查的</w:t>
      </w:r>
      <w:r>
        <w:rPr>
          <w:rFonts w:hint="eastAsia" w:hAnsi="宋体" w:eastAsia="宋体" w:cs="宋体"/>
          <w:highlight w:val="none"/>
          <w:lang w:eastAsia="zh-CN"/>
        </w:rPr>
        <w:t>供应商</w:t>
      </w:r>
      <w:r>
        <w:rPr>
          <w:rFonts w:hint="eastAsia" w:ascii="宋体" w:hAnsi="宋体" w:eastAsia="宋体" w:cs="宋体"/>
          <w:highlight w:val="none"/>
        </w:rPr>
        <w:t>不足3家的。</w:t>
      </w:r>
    </w:p>
    <w:p w14:paraId="5636F3F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color w:val="FF0000"/>
          <w:szCs w:val="22"/>
          <w:highlight w:val="none"/>
          <w:lang w:val="en-US" w:eastAsia="zh-CN"/>
        </w:rPr>
      </w:pPr>
      <w:r>
        <w:rPr>
          <w:rFonts w:hint="eastAsia" w:ascii="宋体" w:hAnsi="宋体" w:eastAsia="宋体" w:cs="宋体"/>
          <w:highlight w:val="none"/>
          <w:lang w:val="en-US" w:eastAsia="zh-CN"/>
        </w:rPr>
        <w:t>3</w:t>
      </w:r>
      <w:r>
        <w:rPr>
          <w:rFonts w:hint="eastAsia" w:hAnsi="宋体" w:eastAsia="宋体" w:cs="宋体"/>
          <w:highlight w:val="none"/>
          <w:lang w:val="en-US" w:eastAsia="zh-CN"/>
        </w:rPr>
        <w:t>4</w:t>
      </w:r>
      <w:r>
        <w:rPr>
          <w:rFonts w:hint="eastAsia" w:ascii="宋体" w:hAnsi="宋体" w:eastAsia="宋体" w:cs="宋体"/>
          <w:highlight w:val="none"/>
          <w:lang w:val="en-US" w:eastAsia="zh-CN"/>
        </w:rPr>
        <w:t>.2.2</w:t>
      </w:r>
      <w:r>
        <w:rPr>
          <w:rFonts w:hint="eastAsia" w:ascii="宋体" w:hAnsi="宋体" w:eastAsia="宋体" w:cs="宋体"/>
          <w:highlight w:val="none"/>
        </w:rPr>
        <w:t>通过符合性审查的</w:t>
      </w:r>
      <w:r>
        <w:rPr>
          <w:rFonts w:hint="eastAsia" w:hAnsi="宋体" w:eastAsia="宋体" w:cs="宋体"/>
          <w:highlight w:val="none"/>
          <w:lang w:eastAsia="zh-CN"/>
        </w:rPr>
        <w:t>供应商</w:t>
      </w:r>
      <w:r>
        <w:rPr>
          <w:rFonts w:hint="eastAsia" w:ascii="宋体" w:hAnsi="宋体" w:eastAsia="宋体" w:cs="宋体"/>
          <w:highlight w:val="none"/>
        </w:rPr>
        <w:t>只有2家时，采购人经同级财政部门同意后，可以按《政府采购非招标采购方式管理办法》（财政部第74号令）的规定与该2家</w:t>
      </w:r>
      <w:r>
        <w:rPr>
          <w:rFonts w:hint="eastAsia" w:hAnsi="宋体" w:eastAsia="宋体" w:cs="宋体"/>
          <w:highlight w:val="none"/>
          <w:lang w:eastAsia="zh-CN"/>
        </w:rPr>
        <w:t>供应商</w:t>
      </w:r>
      <w:r>
        <w:rPr>
          <w:rFonts w:hint="eastAsia" w:ascii="宋体" w:hAnsi="宋体" w:eastAsia="宋体" w:cs="宋体"/>
          <w:color w:val="auto"/>
          <w:szCs w:val="22"/>
          <w:highlight w:val="none"/>
          <w:lang w:val="en-US" w:eastAsia="zh-CN"/>
        </w:rPr>
        <w:t>进行竞争性谈判采购。</w:t>
      </w:r>
    </w:p>
    <w:p w14:paraId="3AB0C07A">
      <w:pPr>
        <w:jc w:val="center"/>
        <w:outlineLvl w:val="0"/>
        <w:rPr>
          <w:rFonts w:hint="eastAsia" w:ascii="宋体" w:hAnsi="宋体" w:eastAsia="宋体" w:cs="宋体"/>
          <w:b/>
          <w:kern w:val="2"/>
          <w:sz w:val="36"/>
          <w:szCs w:val="36"/>
          <w:highlight w:val="none"/>
          <w:lang w:val="en-US" w:eastAsia="zh-CN" w:bidi="ar-SA"/>
        </w:rPr>
      </w:pPr>
      <w:bookmarkStart w:id="87" w:name="_Toc3798"/>
      <w:bookmarkStart w:id="88" w:name="_Toc21982"/>
      <w:bookmarkStart w:id="89" w:name="_Toc403077645"/>
      <w:bookmarkStart w:id="90" w:name="_Toc11810"/>
      <w:bookmarkStart w:id="91" w:name="_Toc15898"/>
      <w:bookmarkStart w:id="92" w:name="_Toc426457694"/>
      <w:bookmarkStart w:id="93" w:name="_Toc363474023"/>
    </w:p>
    <w:p w14:paraId="3AA8810F">
      <w:pPr>
        <w:jc w:val="center"/>
        <w:outlineLvl w:val="0"/>
        <w:rPr>
          <w:rFonts w:hint="eastAsia" w:ascii="宋体" w:hAnsi="宋体" w:eastAsia="宋体" w:cs="宋体"/>
          <w:b/>
          <w:kern w:val="2"/>
          <w:sz w:val="36"/>
          <w:szCs w:val="36"/>
          <w:highlight w:val="none"/>
          <w:lang w:val="en-US" w:eastAsia="zh-CN" w:bidi="ar-SA"/>
        </w:rPr>
      </w:pPr>
    </w:p>
    <w:p w14:paraId="3457AD17">
      <w:pPr>
        <w:jc w:val="center"/>
        <w:outlineLvl w:val="0"/>
        <w:rPr>
          <w:rFonts w:hint="eastAsia" w:ascii="宋体" w:hAnsi="宋体" w:eastAsia="宋体" w:cs="宋体"/>
          <w:b/>
          <w:kern w:val="2"/>
          <w:sz w:val="36"/>
          <w:szCs w:val="36"/>
          <w:highlight w:val="none"/>
          <w:lang w:val="en-US" w:eastAsia="zh-CN" w:bidi="ar-SA"/>
        </w:rPr>
      </w:pPr>
    </w:p>
    <w:p w14:paraId="774AFBA0">
      <w:pPr>
        <w:jc w:val="center"/>
        <w:outlineLvl w:val="0"/>
        <w:rPr>
          <w:rFonts w:hint="eastAsia" w:ascii="宋体" w:hAnsi="宋体" w:eastAsia="宋体" w:cs="宋体"/>
          <w:b/>
          <w:kern w:val="2"/>
          <w:sz w:val="36"/>
          <w:szCs w:val="36"/>
          <w:highlight w:val="none"/>
          <w:lang w:val="en-US" w:eastAsia="zh-CN" w:bidi="ar-SA"/>
        </w:rPr>
      </w:pPr>
      <w:r>
        <w:rPr>
          <w:rFonts w:hint="eastAsia" w:ascii="宋体" w:hAnsi="宋体" w:eastAsia="宋体" w:cs="宋体"/>
          <w:b/>
          <w:kern w:val="2"/>
          <w:sz w:val="36"/>
          <w:szCs w:val="36"/>
          <w:highlight w:val="none"/>
          <w:lang w:val="en-US" w:eastAsia="zh-CN" w:bidi="ar-SA"/>
        </w:rPr>
        <w:br w:type="page"/>
      </w:r>
      <w:r>
        <w:rPr>
          <w:rFonts w:hint="eastAsia" w:ascii="宋体" w:hAnsi="宋体" w:eastAsia="宋体" w:cs="宋体"/>
          <w:b/>
          <w:kern w:val="2"/>
          <w:sz w:val="36"/>
          <w:szCs w:val="36"/>
          <w:highlight w:val="none"/>
          <w:lang w:val="en-US" w:eastAsia="zh-CN" w:bidi="ar-SA"/>
        </w:rPr>
        <w:t>第三章 合同条款及格式</w:t>
      </w:r>
      <w:bookmarkEnd w:id="87"/>
      <w:bookmarkEnd w:id="88"/>
      <w:bookmarkEnd w:id="89"/>
      <w:bookmarkEnd w:id="90"/>
      <w:bookmarkEnd w:id="91"/>
      <w:bookmarkEnd w:id="92"/>
    </w:p>
    <w:p w14:paraId="68466E43">
      <w:pPr>
        <w:pStyle w:val="46"/>
        <w:spacing w:line="360" w:lineRule="auto"/>
        <w:ind w:firstLine="420"/>
        <w:rPr>
          <w:rFonts w:hint="eastAsia" w:ascii="宋体" w:hAnsi="宋体" w:eastAsiaTheme="minorEastAsia" w:cstheme="minorBidi"/>
          <w:color w:val="auto"/>
          <w:kern w:val="0"/>
          <w:sz w:val="21"/>
          <w:szCs w:val="21"/>
          <w:highlight w:val="none"/>
          <w:lang w:val="en-US" w:eastAsia="zh-CN" w:bidi="ar-SA"/>
        </w:rPr>
      </w:pPr>
      <w:bookmarkStart w:id="94" w:name="_Toc19246"/>
      <w:bookmarkStart w:id="95" w:name="_Toc19199"/>
      <w:bookmarkStart w:id="96" w:name="_Toc20230"/>
      <w:bookmarkStart w:id="97" w:name="_Toc8333"/>
      <w:bookmarkStart w:id="98" w:name="_Toc26595"/>
      <w:bookmarkStart w:id="99" w:name="_Toc9053"/>
      <w:bookmarkStart w:id="100" w:name="_Toc29888"/>
      <w:bookmarkStart w:id="101" w:name="_Toc426457696"/>
      <w:bookmarkStart w:id="102" w:name="_Toc389582037"/>
      <w:bookmarkStart w:id="103" w:name="_Toc31520"/>
      <w:bookmarkStart w:id="104" w:name="_Toc31683"/>
      <w:r>
        <w:rPr>
          <w:rFonts w:hint="eastAsia" w:ascii="宋体" w:hAnsi="宋体" w:eastAsiaTheme="minorEastAsia" w:cstheme="minorBidi"/>
          <w:color w:val="auto"/>
          <w:kern w:val="0"/>
          <w:sz w:val="21"/>
          <w:szCs w:val="21"/>
          <w:highlight w:val="none"/>
          <w:lang w:val="en-US" w:eastAsia="zh-CN" w:bidi="ar-SA"/>
        </w:rPr>
        <w:t xml:space="preserve">合同编号： </w:t>
      </w:r>
    </w:p>
    <w:p w14:paraId="2E9B620A">
      <w:pPr>
        <w:pStyle w:val="46"/>
        <w:spacing w:line="360" w:lineRule="auto"/>
        <w:ind w:firstLine="420"/>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 xml:space="preserve">签订地点： </w:t>
      </w:r>
    </w:p>
    <w:p w14:paraId="31E53FD9">
      <w:pPr>
        <w:pStyle w:val="46"/>
        <w:spacing w:line="360" w:lineRule="auto"/>
        <w:ind w:firstLine="420"/>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签订时间:</w:t>
      </w:r>
    </w:p>
    <w:p w14:paraId="632E4AE1">
      <w:pPr>
        <w:pStyle w:val="46"/>
        <w:spacing w:line="360" w:lineRule="auto"/>
        <w:ind w:firstLine="420"/>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采购人（甲方）：</w:t>
      </w:r>
    </w:p>
    <w:p w14:paraId="0EA98C09">
      <w:pPr>
        <w:pStyle w:val="46"/>
        <w:spacing w:line="360" w:lineRule="auto"/>
        <w:ind w:firstLine="420"/>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供应商（乙方）：</w:t>
      </w:r>
    </w:p>
    <w:p w14:paraId="769DD7F1">
      <w:pPr>
        <w:pStyle w:val="46"/>
        <w:spacing w:before="120" w:beforeLines="50" w:line="360" w:lineRule="auto"/>
        <w:ind w:firstLine="420"/>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根据《中华人民共和国政府采购法》及实施条例、《中华人民共和国民法典》第三编和甲方   采购项目（采购项目编号：XJQZ-20</w:t>
      </w:r>
      <w:r>
        <w:rPr>
          <w:rFonts w:hint="eastAsia" w:ascii="宋体" w:hAnsi="宋体" w:cstheme="minorBidi"/>
          <w:color w:val="auto"/>
          <w:kern w:val="0"/>
          <w:sz w:val="21"/>
          <w:szCs w:val="21"/>
          <w:highlight w:val="none"/>
          <w:lang w:val="en-US" w:eastAsia="zh-CN" w:bidi="ar-SA"/>
        </w:rPr>
        <w:t>25</w:t>
      </w:r>
      <w:r>
        <w:rPr>
          <w:rFonts w:hint="eastAsia" w:ascii="宋体" w:hAnsi="宋体" w:eastAsiaTheme="minorEastAsia" w:cstheme="minorBidi"/>
          <w:color w:val="auto"/>
          <w:kern w:val="0"/>
          <w:sz w:val="21"/>
          <w:szCs w:val="21"/>
          <w:highlight w:val="none"/>
          <w:lang w:val="en-US" w:eastAsia="zh-CN" w:bidi="ar-SA"/>
        </w:rPr>
        <w:t>-0</w:t>
      </w:r>
      <w:r>
        <w:rPr>
          <w:rFonts w:hint="eastAsia" w:ascii="宋体" w:hAnsi="宋体" w:cstheme="minorBidi"/>
          <w:color w:val="auto"/>
          <w:kern w:val="0"/>
          <w:sz w:val="21"/>
          <w:szCs w:val="21"/>
          <w:highlight w:val="none"/>
          <w:lang w:val="en-US" w:eastAsia="zh-CN" w:bidi="ar-SA"/>
        </w:rPr>
        <w:t>10</w:t>
      </w:r>
      <w:r>
        <w:rPr>
          <w:rFonts w:hint="eastAsia" w:ascii="宋体" w:hAnsi="宋体" w:eastAsiaTheme="minorEastAsia" w:cstheme="minorBidi"/>
          <w:color w:val="auto"/>
          <w:kern w:val="0"/>
          <w:sz w:val="21"/>
          <w:szCs w:val="21"/>
          <w:highlight w:val="none"/>
          <w:lang w:val="en-US" w:eastAsia="zh-CN" w:bidi="ar-SA"/>
        </w:rPr>
        <w:t>的招标文件、投标文件等有关规定，为确保甲方采购项目的顺利实施，甲、乙双方在平等自愿原则下签订本合同，并共同遵守如下条款：</w:t>
      </w:r>
    </w:p>
    <w:p w14:paraId="69E8E582">
      <w:pPr>
        <w:numPr>
          <w:ilvl w:val="0"/>
          <w:numId w:val="1"/>
        </w:numPr>
        <w:tabs>
          <w:tab w:val="left" w:pos="1379"/>
          <w:tab w:val="clear" w:pos="1521"/>
        </w:tabs>
        <w:spacing w:before="120" w:beforeLines="50" w:after="120" w:afterLines="50" w:line="360" w:lineRule="auto"/>
        <w:ind w:left="1514" w:leftChars="0" w:hanging="1094" w:firstLineChars="0"/>
        <w:rPr>
          <w:rFonts w:hint="eastAsia" w:ascii="宋体" w:hAnsi="宋体"/>
          <w:b/>
          <w:sz w:val="28"/>
          <w:szCs w:val="28"/>
        </w:rPr>
      </w:pPr>
      <w:r>
        <w:rPr>
          <w:rFonts w:hint="eastAsia" w:ascii="宋体" w:hAnsi="宋体"/>
          <w:b/>
          <w:sz w:val="28"/>
          <w:szCs w:val="28"/>
        </w:rPr>
        <w:t>项目基本情况</w:t>
      </w:r>
    </w:p>
    <w:p w14:paraId="3A3FEAB1">
      <w:pPr>
        <w:pStyle w:val="17"/>
        <w:keepNext w:val="0"/>
        <w:keepLines w:val="0"/>
        <w:widowControl/>
        <w:suppressLineNumbers w:val="0"/>
        <w:spacing w:before="0" w:beforeAutospacing="0" w:after="0" w:afterAutospacing="0" w:line="510" w:lineRule="atLeast"/>
        <w:ind w:left="0" w:right="0" w:firstLine="420"/>
        <w:rPr>
          <w:rFonts w:hint="default" w:ascii="宋体" w:hAnsi="宋体"/>
          <w:color w:val="auto"/>
          <w:kern w:val="2"/>
          <w:sz w:val="21"/>
          <w:szCs w:val="21"/>
          <w:highlight w:val="none"/>
          <w:lang w:val="en-US" w:eastAsia="zh-CN" w:bidi="ar-SA"/>
        </w:rPr>
      </w:pPr>
      <w:r>
        <w:rPr>
          <w:rFonts w:hint="eastAsia"/>
          <w:color w:val="auto"/>
          <w:kern w:val="2"/>
          <w:sz w:val="21"/>
          <w:szCs w:val="21"/>
          <w:highlight w:val="none"/>
          <w:u w:val="single"/>
          <w:lang w:val="en-US" w:eastAsia="zh-CN" w:bidi="ar-SA"/>
        </w:rPr>
        <w:t xml:space="preserve">                                                                         </w:t>
      </w:r>
    </w:p>
    <w:p w14:paraId="6BBAAAAA">
      <w:pPr>
        <w:numPr>
          <w:ilvl w:val="0"/>
          <w:numId w:val="1"/>
        </w:numPr>
        <w:tabs>
          <w:tab w:val="left" w:pos="1379"/>
          <w:tab w:val="clear" w:pos="1521"/>
        </w:tabs>
        <w:spacing w:before="120" w:beforeLines="50" w:after="120" w:afterLines="50" w:line="360" w:lineRule="auto"/>
        <w:ind w:left="1514" w:leftChars="0" w:hanging="1094" w:firstLineChars="0"/>
        <w:rPr>
          <w:rFonts w:hint="eastAsia" w:ascii="宋体" w:hAnsi="宋体" w:eastAsia="宋体" w:cs="Times New Roman"/>
          <w:b/>
          <w:sz w:val="28"/>
          <w:szCs w:val="28"/>
        </w:rPr>
      </w:pPr>
      <w:r>
        <w:rPr>
          <w:rFonts w:hint="eastAsia" w:ascii="宋体" w:hAnsi="宋体" w:eastAsia="宋体" w:cs="Times New Roman"/>
          <w:b/>
          <w:sz w:val="28"/>
          <w:szCs w:val="28"/>
        </w:rPr>
        <w:t>合同期限</w:t>
      </w:r>
      <w:r>
        <w:rPr>
          <w:rFonts w:hint="eastAsia" w:ascii="宋体" w:hAnsi="宋体" w:eastAsia="宋体" w:cs="Times New Roman"/>
          <w:b/>
          <w:sz w:val="28"/>
          <w:szCs w:val="28"/>
          <w:lang w:val="en-US" w:eastAsia="zh-CN"/>
        </w:rPr>
        <w:t xml:space="preserve"> 2025年   月   日---2025年  月   日</w:t>
      </w:r>
    </w:p>
    <w:p w14:paraId="02754B0C">
      <w:pPr>
        <w:numPr>
          <w:ilvl w:val="0"/>
          <w:numId w:val="1"/>
        </w:numPr>
        <w:tabs>
          <w:tab w:val="left" w:pos="1379"/>
          <w:tab w:val="clear" w:pos="1521"/>
        </w:tabs>
        <w:spacing w:before="120" w:beforeLines="50" w:after="120" w:afterLines="50" w:line="360" w:lineRule="auto"/>
        <w:ind w:left="1514" w:leftChars="0" w:hanging="1094" w:firstLineChars="0"/>
        <w:rPr>
          <w:rFonts w:hint="eastAsia" w:ascii="宋体" w:hAnsi="宋体" w:eastAsia="宋体" w:cs="Times New Roman"/>
          <w:b/>
          <w:sz w:val="28"/>
          <w:szCs w:val="28"/>
        </w:rPr>
      </w:pPr>
      <w:bookmarkStart w:id="105" w:name="_Toc239233914"/>
      <w:bookmarkStart w:id="106" w:name="_Toc225670751"/>
      <w:bookmarkStart w:id="107" w:name="_Toc241833903"/>
      <w:bookmarkStart w:id="108" w:name="_Toc282696226"/>
      <w:bookmarkStart w:id="109" w:name="_Toc239568418"/>
      <w:bookmarkStart w:id="110" w:name="_Toc238984975"/>
      <w:bookmarkStart w:id="111" w:name="_Toc251768862"/>
      <w:bookmarkStart w:id="112" w:name="_Toc225654644"/>
      <w:bookmarkStart w:id="113" w:name="_Toc212019594"/>
      <w:bookmarkStart w:id="114" w:name="_Toc211854449"/>
      <w:bookmarkStart w:id="115" w:name="_Toc225244852"/>
      <w:bookmarkStart w:id="116" w:name="_Toc185395249"/>
      <w:bookmarkStart w:id="117" w:name="_Toc247334841"/>
      <w:bookmarkStart w:id="118" w:name="_Toc237145406"/>
      <w:bookmarkStart w:id="119" w:name="_Toc211911348"/>
      <w:bookmarkStart w:id="120" w:name="_Toc283019214"/>
      <w:bookmarkStart w:id="121" w:name="_Toc232492928"/>
      <w:bookmarkStart w:id="122" w:name="_Toc286993786"/>
      <w:r>
        <w:rPr>
          <w:rFonts w:hint="eastAsia" w:ascii="宋体" w:hAnsi="宋体" w:eastAsia="宋体" w:cs="Times New Roman"/>
          <w:b/>
          <w:sz w:val="28"/>
          <w:szCs w:val="28"/>
        </w:rPr>
        <w:t>服务内容与质量标准</w:t>
      </w:r>
    </w:p>
    <w:p w14:paraId="59953518">
      <w:pPr>
        <w:pStyle w:val="47"/>
        <w:widowControl/>
        <w:numPr>
          <w:ilvl w:val="0"/>
          <w:numId w:val="0"/>
        </w:numPr>
        <w:spacing w:before="120" w:line="360" w:lineRule="auto"/>
        <w:ind w:firstLine="420" w:firstLineChars="200"/>
        <w:textAlignment w:val="baseline"/>
        <w:rPr>
          <w:rFonts w:hint="eastAsia" w:ascii="宋体" w:hAnsi="宋体" w:eastAsiaTheme="minorEastAsia" w:cstheme="minorBidi"/>
          <w:color w:val="auto"/>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1.</w:t>
      </w:r>
      <w:r>
        <w:rPr>
          <w:rFonts w:hint="eastAsia" w:ascii="宋体" w:hAnsi="宋体" w:eastAsiaTheme="minorEastAsia" w:cstheme="minorBidi"/>
          <w:color w:val="auto"/>
          <w:kern w:val="0"/>
          <w:sz w:val="21"/>
          <w:szCs w:val="21"/>
          <w:highlight w:val="none"/>
          <w:lang w:val="en-US" w:eastAsia="zh-CN" w:bidi="ar-SA"/>
        </w:rPr>
        <w:t>服务内容：</w:t>
      </w:r>
      <w:r>
        <w:rPr>
          <w:rFonts w:hint="eastAsia" w:ascii="宋体" w:hAnsi="宋体" w:cstheme="minorBidi"/>
          <w:color w:val="auto"/>
          <w:kern w:val="0"/>
          <w:sz w:val="21"/>
          <w:szCs w:val="21"/>
          <w:highlight w:val="none"/>
          <w:lang w:val="en-US" w:eastAsia="zh-CN" w:bidi="ar-SA"/>
        </w:rPr>
        <w:t>伊宁县伊东工业园区化工产业集中区智慧平台项目</w:t>
      </w:r>
      <w:r>
        <w:rPr>
          <w:rFonts w:hint="eastAsia" w:ascii="宋体" w:hAnsi="宋体" w:eastAsiaTheme="minorEastAsia" w:cstheme="minorBidi"/>
          <w:color w:val="auto"/>
          <w:kern w:val="0"/>
          <w:sz w:val="21"/>
          <w:szCs w:val="21"/>
          <w:highlight w:val="none"/>
          <w:lang w:val="en-US" w:eastAsia="zh-CN" w:bidi="ar-SA"/>
        </w:rPr>
        <w:t>，具体详见招标文件。</w:t>
      </w:r>
    </w:p>
    <w:p w14:paraId="45E3A989">
      <w:pPr>
        <w:numPr>
          <w:ilvl w:val="0"/>
          <w:numId w:val="0"/>
        </w:numPr>
        <w:spacing w:line="360" w:lineRule="auto"/>
        <w:ind w:firstLine="420" w:firstLineChars="200"/>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2.质量标准：符合及地方相关行业合格标准。</w:t>
      </w:r>
    </w:p>
    <w:p w14:paraId="76C5B28C">
      <w:pPr>
        <w:numPr>
          <w:ilvl w:val="0"/>
          <w:numId w:val="1"/>
        </w:numPr>
        <w:tabs>
          <w:tab w:val="left" w:pos="1379"/>
          <w:tab w:val="clear" w:pos="1521"/>
        </w:tabs>
        <w:spacing w:before="120" w:beforeLines="50" w:after="120" w:afterLines="50" w:line="360" w:lineRule="auto"/>
        <w:ind w:left="1514" w:leftChars="0" w:hanging="1094" w:firstLineChars="0"/>
        <w:rPr>
          <w:rFonts w:hint="eastAsia" w:ascii="宋体" w:hAnsi="宋体" w:eastAsia="宋体" w:cs="Times New Roman"/>
          <w:b/>
          <w:sz w:val="28"/>
          <w:szCs w:val="28"/>
        </w:rPr>
      </w:pPr>
      <w:r>
        <w:rPr>
          <w:rFonts w:hint="eastAsia" w:ascii="宋体" w:hAnsi="宋体" w:eastAsia="宋体" w:cs="Times New Roman"/>
          <w:b/>
          <w:sz w:val="28"/>
          <w:szCs w:val="28"/>
        </w:rPr>
        <w:t>服务费用</w:t>
      </w:r>
    </w:p>
    <w:p w14:paraId="623ED9F5">
      <w:pPr>
        <w:pStyle w:val="3"/>
        <w:spacing w:before="0" w:after="0" w:line="360" w:lineRule="auto"/>
        <w:ind w:firstLine="411" w:firstLineChars="196"/>
        <w:rPr>
          <w:rFonts w:hint="eastAsia" w:ascii="宋体" w:hAnsi="宋体" w:eastAsiaTheme="minorEastAsia" w:cstheme="minorBidi"/>
          <w:b w:val="0"/>
          <w:bCs w:val="0"/>
          <w:color w:val="auto"/>
          <w:kern w:val="0"/>
          <w:sz w:val="21"/>
          <w:szCs w:val="21"/>
          <w:highlight w:val="none"/>
          <w:lang w:val="en-US" w:eastAsia="zh-CN" w:bidi="ar-SA"/>
        </w:rPr>
      </w:pPr>
      <w:r>
        <w:rPr>
          <w:rFonts w:hint="eastAsia" w:ascii="宋体" w:hAnsi="宋体" w:eastAsiaTheme="minorEastAsia" w:cstheme="minorBidi"/>
          <w:b w:val="0"/>
          <w:bCs w:val="0"/>
          <w:color w:val="auto"/>
          <w:kern w:val="0"/>
          <w:sz w:val="21"/>
          <w:szCs w:val="21"/>
          <w:highlight w:val="none"/>
          <w:lang w:val="en-US" w:eastAsia="zh-CN" w:bidi="ar-SA"/>
        </w:rPr>
        <w:t>1.服务总费用为人民币（大写）：             元， ￥           。</w:t>
      </w:r>
    </w:p>
    <w:p w14:paraId="3883CD9B">
      <w:pPr>
        <w:spacing w:line="360" w:lineRule="auto"/>
        <w:ind w:firstLine="411" w:firstLineChars="196"/>
        <w:rPr>
          <w:rFonts w:hint="eastAsia" w:ascii="宋体" w:hAnsi="宋体" w:eastAsiaTheme="minorEastAsia" w:cstheme="minorBidi"/>
          <w:b w:val="0"/>
          <w:bCs w:val="0"/>
          <w:color w:val="auto"/>
          <w:kern w:val="0"/>
          <w:sz w:val="21"/>
          <w:szCs w:val="21"/>
          <w:highlight w:val="none"/>
          <w:lang w:val="en-US" w:eastAsia="zh-CN" w:bidi="ar-SA"/>
        </w:rPr>
      </w:pPr>
      <w:r>
        <w:rPr>
          <w:rFonts w:hint="eastAsia" w:ascii="宋体" w:hAnsi="宋体" w:eastAsiaTheme="minorEastAsia" w:cstheme="minorBidi"/>
          <w:b w:val="0"/>
          <w:bCs w:val="0"/>
          <w:color w:val="auto"/>
          <w:kern w:val="0"/>
          <w:sz w:val="21"/>
          <w:szCs w:val="21"/>
          <w:highlight w:val="none"/>
          <w:lang w:val="en-US" w:eastAsia="zh-CN" w:bidi="ar-SA"/>
        </w:rPr>
        <w:t xml:space="preserve">  2.本项目服务费用由以下组成：</w:t>
      </w:r>
    </w:p>
    <w:p w14:paraId="4CDF3DAC">
      <w:pPr>
        <w:spacing w:line="360" w:lineRule="auto"/>
        <w:ind w:firstLine="420" w:firstLineChars="200"/>
        <w:rPr>
          <w:rFonts w:hint="eastAsia" w:ascii="宋体" w:hAnsi="宋体" w:eastAsiaTheme="minorEastAsia" w:cstheme="minorBidi"/>
          <w:b w:val="0"/>
          <w:bCs w:val="0"/>
          <w:color w:val="auto"/>
          <w:kern w:val="0"/>
          <w:sz w:val="21"/>
          <w:szCs w:val="21"/>
          <w:highlight w:val="none"/>
          <w:lang w:val="en-US" w:eastAsia="zh-CN" w:bidi="ar-SA"/>
        </w:rPr>
      </w:pPr>
      <w:r>
        <w:rPr>
          <w:rFonts w:hint="eastAsia" w:ascii="宋体" w:hAnsi="宋体" w:eastAsiaTheme="minorEastAsia" w:cstheme="minorBidi"/>
          <w:b w:val="0"/>
          <w:bCs w:val="0"/>
          <w:color w:val="auto"/>
          <w:kern w:val="0"/>
          <w:sz w:val="21"/>
          <w:szCs w:val="21"/>
          <w:highlight w:val="none"/>
          <w:lang w:val="en-US" w:eastAsia="zh-CN" w:bidi="ar-SA"/>
        </w:rPr>
        <w:t xml:space="preserve">  （1）XX万元；</w:t>
      </w:r>
    </w:p>
    <w:p w14:paraId="3C874907">
      <w:pPr>
        <w:spacing w:line="360" w:lineRule="auto"/>
        <w:ind w:firstLine="420" w:firstLineChars="200"/>
        <w:rPr>
          <w:rFonts w:hint="eastAsia" w:ascii="宋体" w:hAnsi="宋体" w:eastAsiaTheme="minorEastAsia" w:cstheme="minorBidi"/>
          <w:b w:val="0"/>
          <w:bCs w:val="0"/>
          <w:color w:val="auto"/>
          <w:kern w:val="0"/>
          <w:sz w:val="21"/>
          <w:szCs w:val="21"/>
          <w:highlight w:val="none"/>
          <w:lang w:val="en-US" w:eastAsia="zh-CN" w:bidi="ar-SA"/>
        </w:rPr>
      </w:pPr>
      <w:r>
        <w:rPr>
          <w:rFonts w:hint="eastAsia" w:ascii="宋体" w:hAnsi="宋体" w:eastAsiaTheme="minorEastAsia" w:cstheme="minorBidi"/>
          <w:b w:val="0"/>
          <w:bCs w:val="0"/>
          <w:color w:val="auto"/>
          <w:kern w:val="0"/>
          <w:sz w:val="21"/>
          <w:szCs w:val="21"/>
          <w:highlight w:val="none"/>
          <w:lang w:val="en-US" w:eastAsia="zh-CN" w:bidi="ar-SA"/>
        </w:rPr>
        <w:t xml:space="preserve">  （2）XX万元；</w:t>
      </w:r>
    </w:p>
    <w:p w14:paraId="78F98F06">
      <w:pPr>
        <w:spacing w:line="360" w:lineRule="auto"/>
        <w:ind w:firstLine="420" w:firstLineChars="200"/>
        <w:rPr>
          <w:rFonts w:hint="eastAsia" w:ascii="宋体" w:hAnsi="宋体" w:eastAsiaTheme="minorEastAsia" w:cstheme="minorBidi"/>
          <w:b w:val="0"/>
          <w:bCs w:val="0"/>
          <w:color w:val="auto"/>
          <w:kern w:val="0"/>
          <w:sz w:val="21"/>
          <w:szCs w:val="21"/>
          <w:highlight w:val="none"/>
          <w:lang w:val="en-US" w:eastAsia="zh-CN" w:bidi="ar-SA"/>
        </w:rPr>
      </w:pPr>
      <w:r>
        <w:rPr>
          <w:rFonts w:hint="eastAsia" w:ascii="宋体" w:hAnsi="宋体" w:eastAsiaTheme="minorEastAsia" w:cstheme="minorBidi"/>
          <w:b w:val="0"/>
          <w:bCs w:val="0"/>
          <w:color w:val="auto"/>
          <w:kern w:val="0"/>
          <w:sz w:val="21"/>
          <w:szCs w:val="21"/>
          <w:highlight w:val="none"/>
          <w:lang w:val="en-US" w:eastAsia="zh-CN" w:bidi="ar-SA"/>
        </w:rPr>
        <w:t xml:space="preserve">  （3）XX万元。</w:t>
      </w:r>
    </w:p>
    <w:p w14:paraId="1588107B">
      <w:pPr>
        <w:spacing w:line="360" w:lineRule="auto"/>
        <w:ind w:firstLine="525" w:firstLineChars="250"/>
        <w:rPr>
          <w:rFonts w:hint="eastAsia" w:ascii="宋体" w:hAnsi="宋体" w:eastAsiaTheme="minorEastAsia" w:cstheme="minorBidi"/>
          <w:b w:val="0"/>
          <w:bCs w:val="0"/>
          <w:color w:val="auto"/>
          <w:kern w:val="0"/>
          <w:sz w:val="21"/>
          <w:szCs w:val="21"/>
          <w:highlight w:val="none"/>
          <w:lang w:val="en-US" w:eastAsia="zh-CN" w:bidi="ar-SA"/>
        </w:rPr>
      </w:pPr>
      <w:r>
        <w:rPr>
          <w:rFonts w:hint="eastAsia" w:ascii="宋体" w:hAnsi="宋体" w:eastAsiaTheme="minorEastAsia" w:cstheme="minorBidi"/>
          <w:b w:val="0"/>
          <w:bCs w:val="0"/>
          <w:color w:val="auto"/>
          <w:kern w:val="0"/>
          <w:sz w:val="21"/>
          <w:szCs w:val="21"/>
          <w:highlight w:val="none"/>
          <w:lang w:val="en-US" w:eastAsia="zh-CN" w:bidi="ar-SA"/>
        </w:rPr>
        <w:t>4.本合同执行期间服务总费用不变，甲方无须另向乙方支付本合同规定之外的其他任何费用。</w:t>
      </w:r>
    </w:p>
    <w:p w14:paraId="428B295F">
      <w:pPr>
        <w:spacing w:before="120" w:beforeLines="50" w:after="120" w:afterLines="50" w:line="360" w:lineRule="auto"/>
        <w:ind w:firstLine="602" w:firstLineChars="200"/>
        <w:rPr>
          <w:rFonts w:hint="eastAsia" w:ascii="宋体" w:hAnsi="宋体"/>
          <w:b/>
          <w:sz w:val="30"/>
          <w:szCs w:val="30"/>
        </w:rPr>
      </w:pPr>
      <w:r>
        <w:rPr>
          <w:rFonts w:hint="eastAsia" w:ascii="宋体" w:hAnsi="宋体"/>
          <w:b/>
          <w:sz w:val="30"/>
          <w:szCs w:val="30"/>
        </w:rPr>
        <w:t xml:space="preserve">第五条 </w:t>
      </w:r>
      <w:r>
        <w:rPr>
          <w:rFonts w:hint="eastAsia" w:ascii="宋体" w:hAnsi="宋体"/>
          <w:b/>
          <w:szCs w:val="21"/>
        </w:rPr>
        <w:t xml:space="preserve"> </w:t>
      </w:r>
      <w:r>
        <w:rPr>
          <w:rFonts w:hint="eastAsia" w:ascii="宋体" w:hAnsi="宋体"/>
          <w:b/>
          <w:sz w:val="30"/>
          <w:szCs w:val="30"/>
        </w:rPr>
        <w:t>服务费支付方式</w:t>
      </w:r>
    </w:p>
    <w:p w14:paraId="180401B3">
      <w:pPr>
        <w:spacing w:line="360" w:lineRule="auto"/>
        <w:ind w:firstLine="525" w:firstLineChars="250"/>
        <w:rPr>
          <w:rFonts w:hint="eastAsia" w:ascii="宋体" w:hAnsi="宋体" w:eastAsiaTheme="minorEastAsia" w:cstheme="minorBidi"/>
          <w:b w:val="0"/>
          <w:bCs w:val="0"/>
          <w:color w:val="auto"/>
          <w:kern w:val="0"/>
          <w:sz w:val="21"/>
          <w:szCs w:val="21"/>
          <w:highlight w:val="none"/>
          <w:lang w:val="en-US" w:eastAsia="zh-CN" w:bidi="ar-SA"/>
        </w:rPr>
      </w:pPr>
      <w:r>
        <w:rPr>
          <w:rFonts w:hint="eastAsia" w:ascii="宋体" w:hAnsi="宋体" w:eastAsiaTheme="minorEastAsia" w:cstheme="minorBidi"/>
          <w:b w:val="0"/>
          <w:bCs w:val="0"/>
          <w:color w:val="auto"/>
          <w:kern w:val="0"/>
          <w:sz w:val="21"/>
          <w:szCs w:val="21"/>
          <w:highlight w:val="none"/>
          <w:lang w:val="en-US" w:eastAsia="zh-CN" w:bidi="ar-SA"/>
        </w:rPr>
        <w:t>1、付款方式：与甲方签订合同为准。</w:t>
      </w:r>
    </w:p>
    <w:p w14:paraId="13076540">
      <w:pPr>
        <w:tabs>
          <w:tab w:val="left" w:pos="1440"/>
        </w:tabs>
        <w:spacing w:line="360" w:lineRule="auto"/>
        <w:ind w:firstLine="420" w:firstLineChars="200"/>
        <w:jc w:val="both"/>
        <w:textAlignment w:val="baseline"/>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2、结算方式：银行转账。</w:t>
      </w:r>
    </w:p>
    <w:p w14:paraId="3B342FE3">
      <w:pPr>
        <w:tabs>
          <w:tab w:val="left" w:pos="1440"/>
        </w:tabs>
        <w:spacing w:line="360" w:lineRule="auto"/>
        <w:ind w:firstLine="420" w:firstLineChars="200"/>
        <w:jc w:val="both"/>
        <w:textAlignment w:val="baseline"/>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lang w:val="en-US" w:eastAsia="zh-CN" w:bidi="ar-SA"/>
        </w:rPr>
        <w:t>3、结算单位：由采购人负责结算，乙方开具合同总价数的全额发票交采购人。</w:t>
      </w:r>
    </w:p>
    <w:p w14:paraId="5802B9CD">
      <w:pPr>
        <w:spacing w:before="120" w:beforeLines="50" w:after="120" w:afterLines="50" w:line="360" w:lineRule="auto"/>
        <w:ind w:left="425"/>
        <w:rPr>
          <w:rFonts w:hint="eastAsia" w:ascii="宋体" w:hAnsi="宋体"/>
          <w:b/>
          <w:sz w:val="30"/>
          <w:szCs w:val="30"/>
        </w:rPr>
      </w:pPr>
      <w:r>
        <w:rPr>
          <w:rFonts w:hint="eastAsia" w:ascii="宋体" w:hAnsi="宋体"/>
          <w:b/>
          <w:sz w:val="30"/>
          <w:szCs w:val="30"/>
        </w:rPr>
        <w:t>第六条   知识产权</w:t>
      </w:r>
    </w:p>
    <w:p w14:paraId="092E441C">
      <w:pPr>
        <w:tabs>
          <w:tab w:val="left" w:pos="1440"/>
        </w:tabs>
        <w:spacing w:line="360" w:lineRule="auto"/>
        <w:ind w:firstLine="420" w:firstLineChars="200"/>
        <w:rPr>
          <w:rFonts w:hint="eastAsia" w:ascii="宋体" w:hAnsi="宋体"/>
          <w:szCs w:val="21"/>
        </w:rPr>
      </w:pPr>
      <w:r>
        <w:rPr>
          <w:rFonts w:hint="eastAsia" w:ascii="宋体" w:hAnsi="宋体"/>
          <w:szCs w:val="21"/>
        </w:rPr>
        <w:t>乙方应保证所提供的服务或其任何一部分均不会侵犯任何第三方的专利权、商标权或著作权。</w:t>
      </w:r>
    </w:p>
    <w:p w14:paraId="4FE67CFB">
      <w:pPr>
        <w:spacing w:before="120" w:beforeLines="50" w:after="120" w:afterLines="50" w:line="360" w:lineRule="auto"/>
        <w:ind w:left="425"/>
        <w:rPr>
          <w:rFonts w:hint="eastAsia" w:ascii="宋体" w:hAnsi="宋体"/>
          <w:b/>
          <w:sz w:val="30"/>
          <w:szCs w:val="30"/>
        </w:rPr>
      </w:pPr>
      <w:r>
        <w:rPr>
          <w:rFonts w:hint="eastAsia" w:ascii="宋体" w:hAnsi="宋体"/>
          <w:b/>
          <w:sz w:val="30"/>
          <w:szCs w:val="30"/>
        </w:rPr>
        <w:t>第七条  无产权瑕疵条款</w:t>
      </w:r>
    </w:p>
    <w:p w14:paraId="3A13E4BB">
      <w:pPr>
        <w:tabs>
          <w:tab w:val="left" w:pos="1440"/>
        </w:tabs>
        <w:spacing w:line="360" w:lineRule="auto"/>
        <w:ind w:firstLine="420" w:firstLineChars="200"/>
        <w:rPr>
          <w:rFonts w:hint="eastAsia" w:ascii="宋体" w:hAnsi="宋体"/>
          <w:szCs w:val="21"/>
        </w:rPr>
      </w:pPr>
      <w:r>
        <w:rPr>
          <w:rFonts w:hint="eastAsia" w:ascii="宋体" w:hAnsi="宋体"/>
          <w:szCs w:val="21"/>
        </w:rPr>
        <w:t>乙方保证所提供的服务的所有权完全属于乙方且无任何抵押、查封等产权瑕疵。如有产权瑕疵的，视为乙方违约。乙方应负担由此而产生的一切损失。</w:t>
      </w:r>
    </w:p>
    <w:p w14:paraId="62E7F970">
      <w:pPr>
        <w:widowControl/>
        <w:spacing w:before="120" w:beforeLines="50" w:after="120" w:afterLines="50" w:line="360" w:lineRule="auto"/>
        <w:jc w:val="left"/>
        <w:rPr>
          <w:rFonts w:hint="eastAsia" w:ascii="宋体" w:hAnsi="宋体"/>
          <w:b/>
          <w:sz w:val="30"/>
          <w:szCs w:val="30"/>
        </w:rPr>
      </w:pPr>
      <w:r>
        <w:rPr>
          <w:rFonts w:hint="eastAsia" w:ascii="宋体" w:hAnsi="宋体"/>
          <w:b/>
          <w:sz w:val="30"/>
          <w:szCs w:val="30"/>
        </w:rPr>
        <w:t xml:space="preserve">   第八条   履约保证金</w:t>
      </w:r>
    </w:p>
    <w:p w14:paraId="28FFF30A">
      <w:pPr>
        <w:widowControl/>
        <w:spacing w:line="360" w:lineRule="auto"/>
        <w:ind w:firstLine="420" w:firstLineChars="200"/>
        <w:jc w:val="left"/>
        <w:rPr>
          <w:rFonts w:hint="eastAsia" w:ascii="宋体" w:hAnsi="宋体" w:eastAsia="宋体" w:cs="宋体"/>
          <w:b/>
          <w:szCs w:val="21"/>
        </w:rPr>
      </w:pPr>
      <w:r>
        <w:rPr>
          <w:rFonts w:hint="eastAsia" w:ascii="宋体" w:hAnsi="宋体" w:eastAsia="宋体" w:cs="宋体"/>
          <w:color w:val="000000"/>
          <w:kern w:val="0"/>
          <w:szCs w:val="21"/>
        </w:rPr>
        <w:t>1.乙方在签订本合同之前，向甲方构提交履约保证金人民币（大写）</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元，￥</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14:paraId="43E9D2C8">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bCs/>
          <w:szCs w:val="21"/>
        </w:rPr>
        <w:t>2.</w:t>
      </w:r>
      <w:r>
        <w:rPr>
          <w:rFonts w:hint="eastAsia" w:ascii="宋体" w:hAnsi="宋体" w:eastAsia="宋体" w:cs="宋体"/>
          <w:color w:val="000000"/>
          <w:kern w:val="0"/>
          <w:szCs w:val="21"/>
        </w:rPr>
        <w:t>履约保证金的有效期为乙方承诺的合同履行期限。</w:t>
      </w:r>
    </w:p>
    <w:p w14:paraId="517A0AB0">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3.履约保证金作为违约金的一部分及用于补偿甲方因乙方不能履行合同义务而蒙受的损失。</w:t>
      </w:r>
    </w:p>
    <w:p w14:paraId="52CFF47C">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color w:val="000000"/>
          <w:kern w:val="0"/>
          <w:szCs w:val="21"/>
        </w:rPr>
        <w:t>4.合同履行期限</w:t>
      </w:r>
      <w:r>
        <w:rPr>
          <w:rFonts w:hint="eastAsia" w:ascii="宋体" w:hAnsi="宋体" w:eastAsia="宋体" w:cs="宋体"/>
          <w:szCs w:val="21"/>
        </w:rPr>
        <w:t>结束后，甲方财务部门接到甲方确认本合同服务等约定事项已经履行完毕的正式书面文件后的</w:t>
      </w:r>
      <w:r>
        <w:rPr>
          <w:rFonts w:hint="eastAsia" w:ascii="宋体" w:hAnsi="宋体" w:eastAsia="宋体" w:cs="宋体"/>
          <w:szCs w:val="21"/>
          <w:u w:val="single"/>
        </w:rPr>
        <w:t xml:space="preserve">   </w:t>
      </w:r>
      <w:r>
        <w:rPr>
          <w:rFonts w:hint="eastAsia" w:ascii="宋体" w:hAnsi="宋体" w:eastAsia="宋体" w:cs="宋体"/>
          <w:szCs w:val="21"/>
        </w:rPr>
        <w:t>日内，向乙方退还履约保证金。</w:t>
      </w:r>
    </w:p>
    <w:p w14:paraId="336DB16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szCs w:val="21"/>
        </w:rPr>
        <w:t>5.乙方可以履约担保函的形式交纳履约保证金（格式见附件1）。</w:t>
      </w:r>
    </w:p>
    <w:p w14:paraId="1A58ADE0">
      <w:pPr>
        <w:spacing w:before="120" w:beforeLines="50" w:after="120" w:afterLines="50" w:line="360" w:lineRule="auto"/>
        <w:ind w:left="425"/>
        <w:rPr>
          <w:rFonts w:ascii="宋体" w:hAnsi="宋体"/>
          <w:b/>
          <w:sz w:val="30"/>
          <w:szCs w:val="30"/>
        </w:rPr>
      </w:pPr>
      <w:r>
        <w:rPr>
          <w:rFonts w:hint="eastAsia" w:ascii="宋体" w:hAnsi="宋体"/>
          <w:b/>
          <w:sz w:val="30"/>
          <w:szCs w:val="30"/>
        </w:rPr>
        <w:t xml:space="preserve">第九条  </w:t>
      </w:r>
      <w:r>
        <w:rPr>
          <w:rFonts w:ascii="宋体" w:hAnsi="宋体"/>
          <w:b/>
          <w:sz w:val="30"/>
          <w:szCs w:val="30"/>
        </w:rPr>
        <w:t>甲方的权利和义务</w:t>
      </w:r>
    </w:p>
    <w:p w14:paraId="5340F2E3">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1.甲方有权对合同规定范围内乙方的服务行为进行监督和检查，拥有监管权。有权定期核对乙方提供服务所配备的人员数量。对甲方认为不合理的部分有权下达整改通知书，并要求乙方限期整改。</w:t>
      </w:r>
    </w:p>
    <w:p w14:paraId="7683579C">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2.甲方有权依据双方签订的考评办法对乙方提供的服务进行定期考评。当考评结果未达到标准时，有权依据考评办法约定的数额扣除履约保证金。</w:t>
      </w:r>
    </w:p>
    <w:p w14:paraId="77F5FFFD">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3.负责检查监督乙方管理工作的实施及制度的执行情况。</w:t>
      </w:r>
    </w:p>
    <w:p w14:paraId="2B234FB4">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4.根据本合同规定，按时向乙方支付应付服务费用。</w:t>
      </w:r>
    </w:p>
    <w:p w14:paraId="0805673C">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5.国家法律、法规所规定由甲方承担的其它责任。</w:t>
      </w:r>
    </w:p>
    <w:p w14:paraId="6AC701CF">
      <w:pPr>
        <w:spacing w:before="120" w:beforeLines="50" w:after="120" w:afterLines="50" w:line="360" w:lineRule="auto"/>
        <w:ind w:left="425"/>
        <w:rPr>
          <w:rFonts w:ascii="宋体" w:hAnsi="宋体"/>
          <w:b/>
          <w:sz w:val="30"/>
          <w:szCs w:val="30"/>
        </w:rPr>
      </w:pPr>
      <w:r>
        <w:rPr>
          <w:rFonts w:hint="eastAsia" w:ascii="宋体" w:hAnsi="宋体"/>
          <w:b/>
          <w:sz w:val="30"/>
          <w:szCs w:val="30"/>
        </w:rPr>
        <w:t xml:space="preserve">第十条  </w:t>
      </w:r>
      <w:r>
        <w:rPr>
          <w:rFonts w:ascii="宋体" w:hAnsi="宋体"/>
          <w:b/>
          <w:sz w:val="30"/>
          <w:szCs w:val="30"/>
        </w:rPr>
        <w:t>乙方的权利和义务</w:t>
      </w:r>
    </w:p>
    <w:p w14:paraId="63C748B0">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1.对本合同规定的委托服务范围内的项目享有管理权及服务义务。</w:t>
      </w:r>
    </w:p>
    <w:p w14:paraId="3283D98E">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2.根据本合同的规定向甲方收取相关服务费用，并有权在本项目管理范围内管理及合理使用。</w:t>
      </w:r>
    </w:p>
    <w:p w14:paraId="57A2CE1B">
      <w:pPr>
        <w:adjustRightInd w:val="0"/>
        <w:spacing w:line="360" w:lineRule="auto"/>
        <w:ind w:firstLine="420" w:firstLineChars="200"/>
        <w:jc w:val="left"/>
        <w:textAlignment w:val="baseline"/>
        <w:rPr>
          <w:rFonts w:hint="eastAsia" w:ascii="宋体" w:hAnsi="宋体" w:eastAsia="宋体" w:cs="宋体"/>
          <w:szCs w:val="21"/>
        </w:rPr>
      </w:pPr>
      <w:r>
        <w:rPr>
          <w:rFonts w:hint="eastAsia" w:ascii="宋体" w:hAnsi="宋体" w:eastAsia="宋体" w:cs="宋体"/>
          <w:szCs w:val="21"/>
        </w:rPr>
        <w:t>3.及时向甲方通告本项目服务范围内有关服务的重大事项，及时配合处理投诉。</w:t>
      </w:r>
    </w:p>
    <w:p w14:paraId="080A6AB2">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szCs w:val="21"/>
        </w:rPr>
        <w:t>4.</w:t>
      </w:r>
      <w:r>
        <w:rPr>
          <w:rFonts w:hint="eastAsia" w:ascii="宋体" w:hAnsi="宋体" w:eastAsia="宋体" w:cs="宋体"/>
          <w:bCs/>
          <w:szCs w:val="21"/>
        </w:rPr>
        <w:t>接受项目行业管理部门及政府有关部门的指导，接受甲方的监督。</w:t>
      </w:r>
    </w:p>
    <w:p w14:paraId="24797D1D">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5.国家法律、法规所规定由乙方承担的其它责任。</w:t>
      </w:r>
    </w:p>
    <w:p w14:paraId="44D226D1">
      <w:pPr>
        <w:spacing w:before="120" w:beforeLines="50" w:after="120" w:afterLines="50" w:line="360" w:lineRule="auto"/>
        <w:ind w:left="425"/>
        <w:rPr>
          <w:rFonts w:ascii="宋体" w:hAnsi="宋体"/>
          <w:b/>
          <w:sz w:val="30"/>
          <w:szCs w:val="30"/>
        </w:rPr>
      </w:pPr>
      <w:r>
        <w:rPr>
          <w:rFonts w:hint="eastAsia" w:ascii="宋体" w:hAnsi="宋体"/>
          <w:b/>
          <w:sz w:val="30"/>
          <w:szCs w:val="30"/>
        </w:rPr>
        <w:t xml:space="preserve">第十一条  </w:t>
      </w:r>
      <w:r>
        <w:rPr>
          <w:rFonts w:ascii="宋体" w:hAnsi="宋体"/>
          <w:b/>
          <w:sz w:val="30"/>
          <w:szCs w:val="30"/>
        </w:rPr>
        <w:t>违约责任</w:t>
      </w:r>
    </w:p>
    <w:p w14:paraId="101FA28E">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1.甲乙双方必须遵守本合同并执行合同中的各项规定，保证本合同的正常履行。</w:t>
      </w:r>
    </w:p>
    <w:p w14:paraId="4BE13ACC">
      <w:pPr>
        <w:adjustRightInd w:val="0"/>
        <w:spacing w:line="360" w:lineRule="auto"/>
        <w:ind w:firstLine="420" w:firstLineChars="200"/>
        <w:jc w:val="left"/>
        <w:textAlignment w:val="baseline"/>
        <w:rPr>
          <w:rFonts w:hint="eastAsia" w:ascii="宋体" w:hAnsi="宋体" w:eastAsia="宋体" w:cs="宋体"/>
          <w:bCs/>
          <w:szCs w:val="21"/>
        </w:rPr>
      </w:pPr>
      <w:r>
        <w:rPr>
          <w:rFonts w:hint="eastAsia" w:ascii="宋体" w:hAnsi="宋体" w:eastAsia="宋体" w:cs="宋体"/>
          <w:bCs/>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5A74121">
      <w:pPr>
        <w:spacing w:before="120" w:beforeLines="50" w:after="120" w:afterLines="50" w:line="360" w:lineRule="auto"/>
        <w:ind w:left="425"/>
        <w:rPr>
          <w:rFonts w:hint="eastAsia" w:ascii="宋体" w:hAnsi="宋体"/>
          <w:b/>
          <w:sz w:val="30"/>
          <w:szCs w:val="30"/>
        </w:rPr>
      </w:pPr>
      <w:r>
        <w:rPr>
          <w:rFonts w:hint="eastAsia" w:ascii="宋体" w:hAnsi="宋体"/>
          <w:b/>
          <w:sz w:val="30"/>
          <w:szCs w:val="30"/>
        </w:rPr>
        <w:t>第十二条  不可抗力事件处理</w:t>
      </w:r>
    </w:p>
    <w:p w14:paraId="4E027D7F">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3E84FC67">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02E52482">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3.不可抗力事件延续</w:t>
      </w:r>
      <w:r>
        <w:rPr>
          <w:rFonts w:hint="eastAsia" w:ascii="宋体" w:hAnsi="宋体" w:eastAsia="宋体" w:cs="宋体"/>
          <w:color w:val="000000"/>
          <w:szCs w:val="21"/>
        </w:rPr>
        <w:t>XX</w:t>
      </w:r>
      <w:r>
        <w:rPr>
          <w:rFonts w:hint="eastAsia" w:ascii="宋体" w:hAnsi="宋体" w:eastAsia="宋体" w:cs="宋体"/>
          <w:szCs w:val="21"/>
        </w:rPr>
        <w:t>天以上，双方应通过友好协商，确定是否继续履行合同。</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32C7FCFA">
      <w:pPr>
        <w:widowControl/>
        <w:spacing w:before="120" w:beforeLines="50" w:after="120" w:afterLines="50" w:line="360" w:lineRule="auto"/>
        <w:jc w:val="left"/>
        <w:rPr>
          <w:rFonts w:hint="eastAsia" w:ascii="宋体" w:hAnsi="宋体" w:cs="宋体"/>
          <w:color w:val="000000"/>
          <w:kern w:val="0"/>
          <w:sz w:val="30"/>
          <w:szCs w:val="30"/>
        </w:rPr>
      </w:pPr>
      <w:bookmarkStart w:id="123" w:name="_Toc185395254"/>
      <w:bookmarkStart w:id="124" w:name="_Toc225244857"/>
      <w:bookmarkStart w:id="125" w:name="_Toc239568423"/>
      <w:bookmarkStart w:id="126" w:name="_Toc238984980"/>
      <w:bookmarkStart w:id="127" w:name="_Toc225654649"/>
      <w:bookmarkStart w:id="128" w:name="_Toc239233919"/>
      <w:bookmarkStart w:id="129" w:name="_Toc286993792"/>
      <w:bookmarkStart w:id="130" w:name="_Toc211911353"/>
      <w:bookmarkStart w:id="131" w:name="_Toc237145411"/>
      <w:bookmarkStart w:id="132" w:name="_Toc225670756"/>
      <w:bookmarkStart w:id="133" w:name="_Toc211854454"/>
      <w:bookmarkStart w:id="134" w:name="_Toc251768867"/>
      <w:bookmarkStart w:id="135" w:name="_Toc212019599"/>
      <w:bookmarkStart w:id="136" w:name="_Toc241833908"/>
      <w:bookmarkStart w:id="137" w:name="_Toc247334846"/>
      <w:bookmarkStart w:id="138" w:name="_Toc232492933"/>
      <w:r>
        <w:rPr>
          <w:rFonts w:hint="eastAsia" w:ascii="宋体" w:hAnsi="宋体"/>
          <w:b/>
          <w:sz w:val="30"/>
          <w:szCs w:val="30"/>
        </w:rPr>
        <w:t xml:space="preserve">   第十三条  </w:t>
      </w:r>
      <w:r>
        <w:rPr>
          <w:rFonts w:hint="eastAsia" w:ascii="宋体" w:hAnsi="宋体" w:cs="宋体"/>
          <w:b/>
          <w:color w:val="000000"/>
          <w:kern w:val="0"/>
          <w:sz w:val="30"/>
          <w:szCs w:val="30"/>
        </w:rPr>
        <w:t>合同的变更和终止</w:t>
      </w:r>
    </w:p>
    <w:p w14:paraId="414F7D47">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除《中华人民共和国政府采购法》第49条、第50条第二款规定的情形外，本合同一经签订，甲乙双方不得擅自变更、中止或终止合同。</w:t>
      </w:r>
    </w:p>
    <w:p w14:paraId="02414B45">
      <w:pPr>
        <w:spacing w:before="120" w:beforeLines="50" w:after="120" w:afterLines="50" w:line="360" w:lineRule="auto"/>
        <w:ind w:left="425"/>
        <w:rPr>
          <w:rFonts w:ascii="宋体" w:hAnsi="宋体"/>
          <w:b/>
          <w:szCs w:val="21"/>
        </w:rPr>
      </w:pPr>
      <w:r>
        <w:rPr>
          <w:rFonts w:hint="eastAsia" w:ascii="宋体" w:hAnsi="宋体"/>
          <w:b/>
          <w:sz w:val="30"/>
          <w:szCs w:val="30"/>
        </w:rPr>
        <w:t>第十四条  解</w:t>
      </w:r>
      <w:r>
        <w:rPr>
          <w:rFonts w:ascii="宋体" w:hAnsi="宋体"/>
          <w:b/>
          <w:sz w:val="30"/>
          <w:szCs w:val="30"/>
        </w:rPr>
        <w:t>决合同纠纷的方</w:t>
      </w:r>
      <w:r>
        <w:rPr>
          <w:rFonts w:ascii="宋体" w:hAnsi="宋体"/>
          <w:b/>
          <w:szCs w:val="21"/>
        </w:rPr>
        <w:t>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9A7B868">
      <w:pPr>
        <w:pStyle w:val="46"/>
        <w:spacing w:line="360" w:lineRule="auto"/>
        <w:ind w:firstLine="42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1.在执行本合同中发生的或与本合同有关的争端，双方应通过友好协商解决，经协商在XX天内不能达成协议时，则采取以下第1种方式解决争议：</w:t>
      </w:r>
    </w:p>
    <w:p w14:paraId="47E9DDF4">
      <w:pPr>
        <w:pStyle w:val="46"/>
        <w:spacing w:line="360" w:lineRule="auto"/>
        <w:ind w:firstLine="42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（1）向甲方所在地有管辖权的人民法院提起诉讼；</w:t>
      </w:r>
    </w:p>
    <w:p w14:paraId="43730DA8">
      <w:pPr>
        <w:pStyle w:val="46"/>
        <w:spacing w:line="360" w:lineRule="auto"/>
        <w:ind w:firstLine="42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（2）向____________仲裁委员会按其仲裁规则申请仲裁。</w:t>
      </w:r>
    </w:p>
    <w:p w14:paraId="2B4363E1">
      <w:pPr>
        <w:tabs>
          <w:tab w:val="left" w:pos="0"/>
        </w:tabs>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2.在仲裁期间，本合同应继续履行。</w:t>
      </w:r>
    </w:p>
    <w:p w14:paraId="60587B80">
      <w:pPr>
        <w:spacing w:before="120" w:beforeLines="50" w:after="120" w:afterLines="50" w:line="360" w:lineRule="auto"/>
        <w:ind w:left="425"/>
        <w:rPr>
          <w:rFonts w:ascii="宋体" w:hAnsi="宋体"/>
          <w:b/>
          <w:sz w:val="30"/>
          <w:szCs w:val="30"/>
        </w:rPr>
      </w:pPr>
      <w:bookmarkStart w:id="139" w:name="_Toc212019600"/>
      <w:bookmarkStart w:id="140" w:name="_Toc225654650"/>
      <w:bookmarkStart w:id="141" w:name="_Toc237145412"/>
      <w:bookmarkStart w:id="142" w:name="_Toc225670757"/>
      <w:bookmarkStart w:id="143" w:name="_Toc239568424"/>
      <w:bookmarkStart w:id="144" w:name="_Toc282696231"/>
      <w:bookmarkStart w:id="145" w:name="_Toc239233920"/>
      <w:bookmarkStart w:id="146" w:name="_Toc283019219"/>
      <w:bookmarkStart w:id="147" w:name="_Toc232492934"/>
      <w:bookmarkStart w:id="148" w:name="_Toc251768868"/>
      <w:bookmarkStart w:id="149" w:name="_Toc211911354"/>
      <w:bookmarkStart w:id="150" w:name="_Toc241833909"/>
      <w:bookmarkStart w:id="151" w:name="_Toc238984981"/>
      <w:bookmarkStart w:id="152" w:name="_Toc225244858"/>
      <w:bookmarkStart w:id="153" w:name="_Toc247334847"/>
      <w:bookmarkStart w:id="154" w:name="_Toc286993793"/>
      <w:bookmarkStart w:id="155" w:name="_Toc185395255"/>
      <w:bookmarkStart w:id="156" w:name="_Toc211854455"/>
      <w:r>
        <w:rPr>
          <w:rFonts w:hint="eastAsia" w:ascii="宋体" w:hAnsi="宋体"/>
          <w:b/>
          <w:sz w:val="30"/>
          <w:szCs w:val="30"/>
        </w:rPr>
        <w:t xml:space="preserve">第十四条  </w:t>
      </w:r>
      <w:r>
        <w:rPr>
          <w:rFonts w:ascii="宋体" w:hAnsi="宋体"/>
          <w:b/>
          <w:sz w:val="30"/>
          <w:szCs w:val="30"/>
        </w:rPr>
        <w:t>合同</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b/>
          <w:sz w:val="30"/>
          <w:szCs w:val="30"/>
        </w:rPr>
        <w:t>生效及其他</w:t>
      </w:r>
    </w:p>
    <w:p w14:paraId="0594E8CD">
      <w:pPr>
        <w:pStyle w:val="45"/>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1.合同经双方法定代表人或委托代理人签字并加盖单位章后生效。</w:t>
      </w:r>
    </w:p>
    <w:p w14:paraId="0E99BB1E">
      <w:pPr>
        <w:pStyle w:val="45"/>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2.合同执行中涉及采购资金和采购内容修改或补充的，须经政府采购监管部门审批，并签书面补充协议报政府采购监督管理部门备案，方可作为主合同不可分割的一部分。</w:t>
      </w:r>
    </w:p>
    <w:p w14:paraId="0A103389">
      <w:pPr>
        <w:pStyle w:val="45"/>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3.本合同一式肆份，自双方签章之日起起效。甲方壹份，乙方壹份，政府采购代理机构壹份，同级财政部门备案壹份，具有同等法律效力。</w:t>
      </w:r>
    </w:p>
    <w:p w14:paraId="06507B40">
      <w:pPr>
        <w:spacing w:after="120" w:afterLines="50" w:line="360" w:lineRule="auto"/>
        <w:ind w:left="425"/>
        <w:rPr>
          <w:rFonts w:hint="eastAsia" w:ascii="宋体" w:hAnsi="宋体"/>
          <w:b/>
          <w:sz w:val="30"/>
          <w:szCs w:val="30"/>
        </w:rPr>
      </w:pPr>
      <w:r>
        <w:rPr>
          <w:rFonts w:hint="eastAsia" w:ascii="宋体" w:hAnsi="宋体"/>
          <w:b/>
          <w:sz w:val="30"/>
          <w:szCs w:val="30"/>
        </w:rPr>
        <w:t>第十五条  附件</w:t>
      </w:r>
    </w:p>
    <w:p w14:paraId="2F4A38C9">
      <w:pPr>
        <w:pStyle w:val="45"/>
        <w:spacing w:line="360" w:lineRule="auto"/>
        <w:rPr>
          <w:rFonts w:hint="eastAsia" w:ascii="宋体" w:hAnsi="宋体" w:eastAsia="宋体" w:cs="宋体"/>
          <w:sz w:val="24"/>
          <w:szCs w:val="24"/>
        </w:rPr>
      </w:pPr>
      <w:r>
        <w:rPr>
          <w:rFonts w:hint="eastAsia" w:ascii="宋体" w:hAnsi="宋体" w:eastAsia="宋体" w:cs="宋体"/>
          <w:sz w:val="24"/>
          <w:szCs w:val="24"/>
        </w:rPr>
        <w:t>1.项目</w:t>
      </w:r>
      <w:r>
        <w:rPr>
          <w:rFonts w:hint="eastAsia" w:ascii="宋体" w:hAnsi="宋体" w:eastAsia="宋体" w:cs="宋体"/>
          <w:sz w:val="24"/>
          <w:szCs w:val="24"/>
          <w:lang w:eastAsia="zh-CN"/>
        </w:rPr>
        <w:t>招标</w:t>
      </w:r>
      <w:r>
        <w:rPr>
          <w:rFonts w:hint="eastAsia" w:ascii="宋体" w:hAnsi="宋体" w:eastAsia="宋体" w:cs="宋体"/>
          <w:sz w:val="24"/>
          <w:szCs w:val="24"/>
        </w:rPr>
        <w:t>文件</w:t>
      </w:r>
    </w:p>
    <w:p w14:paraId="16161BA4">
      <w:pPr>
        <w:pStyle w:val="45"/>
        <w:spacing w:line="360" w:lineRule="auto"/>
        <w:rPr>
          <w:rFonts w:hint="eastAsia" w:ascii="宋体" w:hAnsi="宋体" w:eastAsia="宋体" w:cs="宋体"/>
          <w:sz w:val="24"/>
          <w:szCs w:val="24"/>
        </w:rPr>
      </w:pPr>
      <w:r>
        <w:rPr>
          <w:rFonts w:hint="eastAsia" w:ascii="宋体" w:hAnsi="宋体" w:eastAsia="宋体" w:cs="宋体"/>
          <w:sz w:val="24"/>
          <w:szCs w:val="24"/>
        </w:rPr>
        <w:t>2.项目修改澄清文件</w:t>
      </w:r>
    </w:p>
    <w:p w14:paraId="6D6184AD">
      <w:pPr>
        <w:pStyle w:val="45"/>
        <w:spacing w:line="360" w:lineRule="auto"/>
        <w:rPr>
          <w:rFonts w:hint="eastAsia" w:ascii="宋体" w:hAnsi="宋体" w:eastAsia="宋体" w:cs="宋体"/>
          <w:sz w:val="24"/>
          <w:szCs w:val="24"/>
        </w:rPr>
      </w:pPr>
      <w:r>
        <w:rPr>
          <w:rFonts w:hint="eastAsia" w:ascii="宋体" w:hAnsi="宋体" w:eastAsia="宋体" w:cs="宋体"/>
          <w:sz w:val="24"/>
          <w:szCs w:val="24"/>
        </w:rPr>
        <w:t>3.项目投标文件</w:t>
      </w:r>
    </w:p>
    <w:p w14:paraId="00C16A72">
      <w:pPr>
        <w:pStyle w:val="45"/>
        <w:spacing w:line="360" w:lineRule="auto"/>
        <w:rPr>
          <w:rFonts w:hint="eastAsia" w:ascii="宋体" w:hAnsi="宋体" w:eastAsia="宋体" w:cs="宋体"/>
          <w:sz w:val="24"/>
          <w:szCs w:val="24"/>
        </w:rPr>
      </w:pPr>
      <w:r>
        <w:rPr>
          <w:rFonts w:hint="eastAsia" w:ascii="宋体" w:hAnsi="宋体" w:eastAsia="宋体" w:cs="宋体"/>
          <w:sz w:val="24"/>
          <w:szCs w:val="24"/>
        </w:rPr>
        <w:t>4.成交通知书</w:t>
      </w:r>
    </w:p>
    <w:p w14:paraId="61742FF9">
      <w:pPr>
        <w:pStyle w:val="45"/>
        <w:spacing w:line="360" w:lineRule="auto"/>
        <w:rPr>
          <w:rFonts w:hint="eastAsia" w:ascii="宋体" w:hAnsi="宋体" w:eastAsia="宋体" w:cs="宋体"/>
          <w:sz w:val="24"/>
          <w:szCs w:val="24"/>
        </w:rPr>
      </w:pPr>
      <w:r>
        <w:rPr>
          <w:rFonts w:hint="eastAsia" w:ascii="宋体" w:hAnsi="宋体" w:eastAsia="宋体" w:cs="宋体"/>
          <w:sz w:val="24"/>
          <w:szCs w:val="24"/>
        </w:rPr>
        <w:t>5.其他</w:t>
      </w:r>
    </w:p>
    <w:p w14:paraId="25BCD129">
      <w:pPr>
        <w:spacing w:line="360" w:lineRule="auto"/>
        <w:rPr>
          <w:rFonts w:hint="eastAsia" w:ascii="宋体" w:hAnsi="宋体" w:eastAsia="宋体" w:cs="宋体"/>
          <w:sz w:val="24"/>
          <w:szCs w:val="24"/>
        </w:rPr>
      </w:pPr>
    </w:p>
    <w:p w14:paraId="5B593D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14:paraId="6789AF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法定代表人（委托代理人）：              法定代表人（委托代理人）：</w:t>
      </w:r>
    </w:p>
    <w:p w14:paraId="3A6E5D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                             地    址：</w:t>
      </w:r>
    </w:p>
    <w:p w14:paraId="59B876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14:paraId="19C2E6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账号：                                 账号：</w:t>
      </w:r>
    </w:p>
    <w:p w14:paraId="55BDD5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14:paraId="33030D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    真：                             传    真：</w:t>
      </w:r>
    </w:p>
    <w:p w14:paraId="7C1A09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w:t>
      </w:r>
      <w:r>
        <w:rPr>
          <w:rFonts w:hint="eastAsia" w:ascii="宋体" w:hAnsi="宋体" w:eastAsia="宋体" w:cs="宋体"/>
          <w:sz w:val="24"/>
          <w:szCs w:val="24"/>
        </w:rPr>
        <w:t xml:space="preserve">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签约日期：</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XX日</w:t>
      </w:r>
    </w:p>
    <w:p w14:paraId="4D3899BA">
      <w:pPr>
        <w:tabs>
          <w:tab w:val="left" w:pos="8520"/>
        </w:tabs>
        <w:ind w:left="420" w:leftChars="200" w:right="867"/>
        <w:jc w:val="center"/>
        <w:rPr>
          <w:rFonts w:hint="eastAsia" w:ascii="宋体" w:hAnsi="宋体" w:cs="微软雅黑"/>
          <w:b/>
          <w:sz w:val="24"/>
          <w:szCs w:val="24"/>
        </w:rPr>
      </w:pPr>
    </w:p>
    <w:p w14:paraId="41A25AE2">
      <w:pPr>
        <w:spacing w:before="327" w:beforeLines="100" w:after="327" w:afterLines="100"/>
        <w:jc w:val="center"/>
        <w:outlineLvl w:val="0"/>
        <w:rPr>
          <w:rFonts w:hint="eastAsia" w:ascii="宋体" w:hAnsi="宋体" w:eastAsia="宋体" w:cs="宋体"/>
          <w:b/>
          <w:color w:val="auto"/>
          <w:kern w:val="2"/>
          <w:sz w:val="36"/>
          <w:szCs w:val="36"/>
          <w:highlight w:val="none"/>
          <w:lang w:val="en-US" w:eastAsia="zh-CN" w:bidi="ar-SA"/>
        </w:rPr>
      </w:pPr>
      <w:bookmarkStart w:id="157" w:name="_Toc27448"/>
    </w:p>
    <w:p w14:paraId="2CBCE4EC">
      <w:pPr>
        <w:spacing w:before="327" w:beforeLines="100" w:after="327" w:afterLines="100"/>
        <w:jc w:val="center"/>
        <w:outlineLvl w:val="0"/>
        <w:rPr>
          <w:rFonts w:hint="eastAsia" w:ascii="宋体" w:hAnsi="宋体" w:eastAsia="宋体" w:cs="宋体"/>
          <w:b/>
          <w:color w:val="auto"/>
          <w:kern w:val="2"/>
          <w:sz w:val="36"/>
          <w:szCs w:val="36"/>
          <w:highlight w:val="none"/>
          <w:lang w:val="en-US" w:eastAsia="zh-CN" w:bidi="ar-SA"/>
        </w:rPr>
      </w:pPr>
    </w:p>
    <w:p w14:paraId="68D9DD5E">
      <w:pPr>
        <w:pStyle w:val="29"/>
        <w:rPr>
          <w:rFonts w:hint="eastAsia"/>
          <w:lang w:val="en-US" w:eastAsia="zh-CN"/>
        </w:rPr>
      </w:pPr>
    </w:p>
    <w:p w14:paraId="121476B5">
      <w:pPr>
        <w:spacing w:before="327" w:beforeLines="100" w:after="327" w:afterLines="100"/>
        <w:jc w:val="center"/>
        <w:outlineLvl w:val="0"/>
        <w:rPr>
          <w:rFonts w:hint="eastAsia" w:ascii="宋体" w:hAnsi="宋体" w:eastAsia="宋体" w:cs="宋体"/>
          <w:b/>
          <w:color w:val="auto"/>
          <w:kern w:val="2"/>
          <w:sz w:val="36"/>
          <w:szCs w:val="36"/>
          <w:highlight w:val="none"/>
          <w:lang w:val="en-US" w:eastAsia="zh-CN" w:bidi="ar-SA"/>
        </w:rPr>
      </w:pPr>
    </w:p>
    <w:p w14:paraId="167A9D47">
      <w:pPr>
        <w:spacing w:before="327" w:beforeLines="100" w:after="327" w:afterLines="100"/>
        <w:jc w:val="center"/>
        <w:outlineLvl w:val="0"/>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t xml:space="preserve">第四章 </w:t>
      </w:r>
      <w:bookmarkEnd w:id="94"/>
      <w:bookmarkEnd w:id="95"/>
      <w:bookmarkEnd w:id="96"/>
      <w:bookmarkEnd w:id="97"/>
      <w:bookmarkEnd w:id="98"/>
      <w:bookmarkEnd w:id="99"/>
      <w:bookmarkEnd w:id="100"/>
      <w:bookmarkEnd w:id="101"/>
      <w:bookmarkEnd w:id="102"/>
      <w:bookmarkEnd w:id="103"/>
      <w:bookmarkEnd w:id="104"/>
      <w:bookmarkEnd w:id="157"/>
      <w:bookmarkStart w:id="158" w:name="_Toc317530110"/>
      <w:bookmarkStart w:id="159" w:name="_Toc2711"/>
      <w:bookmarkStart w:id="160" w:name="_Toc20481"/>
      <w:bookmarkStart w:id="161" w:name="_Toc389582038"/>
      <w:bookmarkStart w:id="162" w:name="_Toc11450"/>
      <w:bookmarkStart w:id="163" w:name="_Toc23856"/>
      <w:bookmarkStart w:id="164" w:name="_Toc1025"/>
      <w:bookmarkStart w:id="165" w:name="_Toc4053"/>
      <w:r>
        <w:rPr>
          <w:rFonts w:hint="eastAsia" w:ascii="宋体" w:hAnsi="宋体" w:cs="宋体"/>
          <w:b/>
          <w:bCs w:val="0"/>
          <w:color w:val="000000" w:themeColor="text1"/>
          <w:sz w:val="32"/>
          <w:highlight w:val="none"/>
          <w14:textFill>
            <w14:solidFill>
              <w14:schemeClr w14:val="tx1"/>
            </w14:solidFill>
          </w14:textFill>
        </w:rPr>
        <w:t>项目采购内容</w:t>
      </w:r>
    </w:p>
    <w:p w14:paraId="608D23B6">
      <w:pPr>
        <w:spacing w:line="360" w:lineRule="auto"/>
        <w:rPr>
          <w:rFonts w:hint="eastAsia" w:ascii="宋体" w:hAnsi="宋体" w:eastAsia="宋体"/>
          <w:sz w:val="24"/>
          <w:szCs w:val="22"/>
          <w:lang w:eastAsia="zh-CN"/>
        </w:rPr>
      </w:pPr>
      <w:bookmarkStart w:id="166" w:name="_Toc20186"/>
      <w:r>
        <w:rPr>
          <w:rFonts w:hint="eastAsia" w:ascii="宋体" w:hAnsi="宋体"/>
          <w:sz w:val="24"/>
          <w:szCs w:val="22"/>
        </w:rPr>
        <w:t>采购内容</w:t>
      </w:r>
      <w:r>
        <w:rPr>
          <w:rFonts w:hint="eastAsia" w:ascii="宋体" w:hAnsi="宋体"/>
          <w:sz w:val="24"/>
          <w:szCs w:val="22"/>
          <w:lang w:eastAsia="zh-CN"/>
        </w:rPr>
        <w:t>：</w:t>
      </w:r>
    </w:p>
    <w:p w14:paraId="1C1E6C43">
      <w:pPr>
        <w:bidi w:val="0"/>
        <w:ind w:left="0" w:leftChars="0" w:firstLine="602" w:firstLineChars="200"/>
        <w:jc w:val="center"/>
        <w:outlineLvl w:val="1"/>
        <w:rPr>
          <w:rFonts w:hint="default" w:ascii="Times New Roman Regular" w:hAnsi="Times New Roman Regular" w:cs="Times New Roman Regular"/>
          <w:b/>
          <w:bCs/>
          <w:sz w:val="30"/>
          <w:szCs w:val="30"/>
          <w:lang w:val="en-US" w:eastAsia="zh-CN"/>
        </w:rPr>
      </w:pPr>
      <w:bookmarkStart w:id="167" w:name="_Toc1637836186"/>
      <w:r>
        <w:rPr>
          <w:rFonts w:hint="eastAsia" w:ascii="Times New Roman Regular" w:hAnsi="Times New Roman Regular" w:cs="Times New Roman Regular"/>
          <w:b/>
          <w:bCs/>
          <w:sz w:val="30"/>
          <w:szCs w:val="30"/>
          <w:lang w:val="en-US" w:eastAsia="zh-CN"/>
        </w:rPr>
        <w:t>智慧园区</w:t>
      </w:r>
      <w:r>
        <w:rPr>
          <w:rFonts w:hint="default" w:ascii="Times New Roman Regular" w:hAnsi="Times New Roman Regular" w:cs="Times New Roman Regular"/>
          <w:b/>
          <w:bCs/>
          <w:sz w:val="30"/>
          <w:szCs w:val="30"/>
          <w:lang w:val="en-US" w:eastAsia="zh-CN"/>
        </w:rPr>
        <w:t>平台建设</w:t>
      </w:r>
      <w:bookmarkEnd w:id="167"/>
      <w:r>
        <w:rPr>
          <w:rFonts w:hint="eastAsia" w:ascii="Times New Roman Regular" w:hAnsi="Times New Roman Regular" w:cs="Times New Roman Regular"/>
          <w:b/>
          <w:bCs/>
          <w:sz w:val="30"/>
          <w:szCs w:val="30"/>
          <w:lang w:val="en-US" w:eastAsia="zh-CN"/>
        </w:rPr>
        <w:t>需求</w:t>
      </w:r>
    </w:p>
    <w:p w14:paraId="65648B51">
      <w:pPr>
        <w:bidi w:val="0"/>
        <w:spacing w:line="360" w:lineRule="auto"/>
        <w:ind w:left="0" w:leftChars="0" w:firstLine="422" w:firstLineChars="200"/>
        <w:outlineLvl w:val="0"/>
        <w:rPr>
          <w:rFonts w:hint="default" w:ascii="Times New Roman Regular" w:hAnsi="Times New Roman Regular" w:cs="Times New Roman Regular"/>
          <w:b/>
          <w:bCs/>
          <w:highlight w:val="none"/>
          <w:lang w:val="en-US" w:eastAsia="zh-CN"/>
        </w:rPr>
      </w:pPr>
      <w:bookmarkStart w:id="168" w:name="_Toc531028511"/>
      <w:r>
        <w:rPr>
          <w:rFonts w:hint="eastAsia" w:ascii="Times New Roman Regular" w:hAnsi="Times New Roman Regular" w:cs="Times New Roman Regular"/>
          <w:b/>
          <w:bCs/>
          <w:highlight w:val="none"/>
          <w:lang w:val="en-US" w:eastAsia="zh-CN"/>
        </w:rPr>
        <w:t>1.平台建设需求</w:t>
      </w:r>
    </w:p>
    <w:p w14:paraId="540E2C41">
      <w:pPr>
        <w:bidi w:val="0"/>
        <w:spacing w:line="360" w:lineRule="auto"/>
        <w:ind w:left="0" w:leftChars="0" w:firstLine="422" w:firstLineChars="200"/>
        <w:outlineLvl w:val="1"/>
        <w:rPr>
          <w:rFonts w:hint="default" w:ascii="Times New Roman Regular" w:hAnsi="Times New Roman Regular" w:cs="Times New Roman Regular"/>
          <w:b/>
          <w:bCs/>
          <w:highlight w:val="none"/>
          <w:lang w:val="en-US" w:eastAsia="zh-CN"/>
        </w:rPr>
      </w:pPr>
      <w:r>
        <w:rPr>
          <w:rFonts w:hint="eastAsia" w:ascii="Times New Roman Regular" w:hAnsi="Times New Roman Regular" w:cs="Times New Roman Regular"/>
          <w:b/>
          <w:bCs/>
          <w:highlight w:val="none"/>
          <w:lang w:val="en-US" w:eastAsia="zh-CN"/>
        </w:rPr>
        <w:t>1</w:t>
      </w:r>
      <w:r>
        <w:rPr>
          <w:rFonts w:hint="default" w:ascii="Times New Roman Regular" w:hAnsi="Times New Roman Regular" w:cs="Times New Roman Regular"/>
          <w:b/>
          <w:bCs/>
          <w:highlight w:val="none"/>
          <w:lang w:val="en-US" w:eastAsia="zh-CN"/>
        </w:rPr>
        <w:t>.</w:t>
      </w:r>
      <w:r>
        <w:rPr>
          <w:rFonts w:hint="eastAsia" w:ascii="Times New Roman Regular" w:hAnsi="Times New Roman Regular" w:cs="Times New Roman Regular"/>
          <w:b/>
          <w:bCs/>
          <w:highlight w:val="none"/>
          <w:lang w:val="en-US" w:eastAsia="zh-CN"/>
        </w:rPr>
        <w:t>1</w:t>
      </w:r>
      <w:r>
        <w:rPr>
          <w:rFonts w:hint="default" w:ascii="Times New Roman Regular" w:hAnsi="Times New Roman Regular" w:cs="Times New Roman Regular"/>
          <w:b/>
          <w:bCs/>
          <w:highlight w:val="none"/>
          <w:lang w:val="en-US" w:eastAsia="zh-CN"/>
        </w:rPr>
        <w:t>.安全基础管理</w:t>
      </w:r>
      <w:bookmarkEnd w:id="168"/>
    </w:p>
    <w:p w14:paraId="76DA332B">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安全基础管理包括园区基础信息管理、安全生产行政许可管理、第三方单位管理、装置开停车和大检修管理、执法管理等功能。</w:t>
      </w:r>
    </w:p>
    <w:p w14:paraId="70C4D355">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园区基础信息管理包括园区基本信息、园区管理信息、园区企业综合信息等，支持信息维护和快速查询，以及相关数据多维度统计分析和可视化展示。</w:t>
      </w:r>
    </w:p>
    <w:p w14:paraId="07B747B5">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安全生产行政许可管理包括证照信息、三同时相关报告，支持信息维护和快速查询、下载等功能，支持相关证照到期提醒。</w:t>
      </w:r>
    </w:p>
    <w:p w14:paraId="1495BF81">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第三方单位管理包括建立入园/驻园第三方单位信息库，包括但不限于第三方单位基本信息、资质、安全教育培训记录、服务记录、违规记录等，实现第三方单位诚信管理。支持信息维护、核验，诚信评价规则的在线配置。</w:t>
      </w:r>
    </w:p>
    <w:p w14:paraId="37AD3A45">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装置开停车和大检修管理实现园区内企业装置设施开停车和大检修线上备案，备案内容包含但不限于装置开停车方案和时间、大检修方案和时间等。支持备案信息维护、查询，以及开停车、大检修数据等多维度统计分析和可视化展示。</w:t>
      </w:r>
    </w:p>
    <w:p w14:paraId="6CF7D973">
      <w:pPr>
        <w:bidi w:val="0"/>
        <w:spacing w:line="360" w:lineRule="auto"/>
        <w:ind w:left="0" w:leftChars="0" w:firstLine="422" w:firstLineChars="200"/>
        <w:outlineLvl w:val="1"/>
        <w:rPr>
          <w:rFonts w:hint="default" w:ascii="Times New Roman Regular" w:hAnsi="Times New Roman Regular" w:cs="Times New Roman Regular"/>
          <w:b/>
          <w:bCs/>
          <w:highlight w:val="none"/>
          <w:lang w:val="en-US" w:eastAsia="zh-CN"/>
        </w:rPr>
      </w:pPr>
      <w:bookmarkStart w:id="169" w:name="_Toc54147445"/>
      <w:r>
        <w:rPr>
          <w:rFonts w:hint="eastAsia" w:ascii="Times New Roman Regular" w:hAnsi="Times New Roman Regular" w:cs="Times New Roman Regular"/>
          <w:b/>
          <w:bCs/>
          <w:highlight w:val="none"/>
          <w:lang w:val="en-US" w:eastAsia="zh-CN"/>
        </w:rPr>
        <w:t>1</w:t>
      </w:r>
      <w:r>
        <w:rPr>
          <w:rFonts w:hint="default" w:ascii="Times New Roman Regular" w:hAnsi="Times New Roman Regular" w:cs="Times New Roman Regular"/>
          <w:b/>
          <w:bCs/>
          <w:highlight w:val="none"/>
          <w:lang w:val="en-US" w:eastAsia="zh-CN"/>
        </w:rPr>
        <w:t>.</w:t>
      </w:r>
      <w:r>
        <w:rPr>
          <w:rFonts w:hint="eastAsia" w:ascii="Times New Roman Regular" w:hAnsi="Times New Roman Regular" w:cs="Times New Roman Regular"/>
          <w:b/>
          <w:bCs/>
          <w:highlight w:val="none"/>
          <w:lang w:val="en-US" w:eastAsia="zh-CN"/>
        </w:rPr>
        <w:t>2</w:t>
      </w:r>
      <w:r>
        <w:rPr>
          <w:rFonts w:hint="default" w:ascii="Times New Roman Regular" w:hAnsi="Times New Roman Regular" w:cs="Times New Roman Regular"/>
          <w:b/>
          <w:bCs/>
          <w:highlight w:val="none"/>
          <w:lang w:val="en-US" w:eastAsia="zh-CN"/>
        </w:rPr>
        <w:t>.重大危险源安全管理</w:t>
      </w:r>
      <w:bookmarkEnd w:id="169"/>
    </w:p>
    <w:p w14:paraId="3B2F3904">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重大危险源安全管理包括重大危险源的安全包保责任制落实监督、实时状态在线监测和预警、评价/评估报告管理及隐患管理和重大危险源企业分类监管。</w:t>
      </w:r>
    </w:p>
    <w:p w14:paraId="0795BB62">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重大危险源安全包保责任制管理包括三级包保责任人信息管理、三级包保责任人安全包保履职记录。实现重大危险源安全包保履职记录电子化、条目化，管理企业每一处重大危险源包保责任制落实情况，支持重大危险源主要负责人、技术负责人和操作负责人信息及履职记录维护、查询、统计分析功能。</w:t>
      </w:r>
    </w:p>
    <w:p w14:paraId="1D38ABF8">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在线监测预警包括监测管理、报警、预警管理和实时视频监控。汇聚重大危险源现有定时采集的</w:t>
      </w:r>
      <w:r>
        <w:rPr>
          <w:rFonts w:hint="eastAsia" w:ascii="Times New Roman Regular" w:hAnsi="Times New Roman Regular" w:cs="Times New Roman Regular"/>
          <w:lang w:val="en-US" w:eastAsia="zh-CN"/>
        </w:rPr>
        <w:t>实时数据</w:t>
      </w:r>
      <w:r>
        <w:rPr>
          <w:rFonts w:hint="default" w:ascii="Times New Roman Regular" w:hAnsi="Times New Roman Regular" w:cs="Times New Roman Regular"/>
          <w:lang w:val="en-US" w:eastAsia="zh-CN"/>
        </w:rPr>
        <w:t>，支持基于园区GIS平台</w:t>
      </w:r>
      <w:r>
        <w:rPr>
          <w:rFonts w:hint="eastAsia" w:ascii="Times New Roman Regular" w:hAnsi="Times New Roman Regular" w:cs="Times New Roman Regular"/>
          <w:lang w:val="en-US" w:eastAsia="zh-CN"/>
        </w:rPr>
        <w:t>建立的三维模型</w:t>
      </w:r>
      <w:r>
        <w:rPr>
          <w:rFonts w:hint="default" w:ascii="Times New Roman Regular" w:hAnsi="Times New Roman Regular" w:cs="Times New Roman Regular"/>
          <w:lang w:val="en-US" w:eastAsia="zh-CN"/>
        </w:rPr>
        <w:t>的重大危险源浏览功能，查看储罐、装置、危化品库等处的液位、温度、压力和可燃有毒气体浓度的实时监测数据、报警数据，支持历史数据查询；支持查看重大危险源储罐的实时存储量。</w:t>
      </w:r>
    </w:p>
    <w:p w14:paraId="2FB87CAD">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评价/评估报告及隐患管理包括重大危险源评价/评估报告管理、重大危险源隐患管理功能模块。重大危险源评价/评估报告管理可实现重大危险源的安全评价/评估报告上传、查阅、下载；重大危险源隐患管理可实现隐患录入、整改反馈、隐患督办。支持精确和模糊查询、多维度统计分析及可视化展示。</w:t>
      </w:r>
    </w:p>
    <w:p w14:paraId="5FAA56C8">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重大危险源企业分类监管是基于企业分类模型将重大危险源企业分类为特别管控、重点关注、一般监管企业，支持基于 GIS 地图分类标注、多维度统计分析及可视化展示，协助园区实现精准监管。</w:t>
      </w:r>
    </w:p>
    <w:p w14:paraId="5FF39FC7">
      <w:pPr>
        <w:bidi w:val="0"/>
        <w:spacing w:line="360" w:lineRule="auto"/>
        <w:ind w:left="0" w:leftChars="0" w:firstLine="422" w:firstLineChars="200"/>
        <w:outlineLvl w:val="1"/>
        <w:rPr>
          <w:rFonts w:hint="default" w:ascii="Times New Roman Regular" w:hAnsi="Times New Roman Regular" w:cs="Times New Roman Regular"/>
          <w:b/>
          <w:bCs/>
          <w:highlight w:val="none"/>
          <w:lang w:val="en-US" w:eastAsia="zh-CN"/>
        </w:rPr>
      </w:pPr>
      <w:bookmarkStart w:id="170" w:name="_Toc1670525434"/>
      <w:r>
        <w:rPr>
          <w:rFonts w:hint="eastAsia" w:ascii="Times New Roman Regular" w:hAnsi="Times New Roman Regular" w:cs="Times New Roman Regular"/>
          <w:b/>
          <w:bCs/>
          <w:highlight w:val="none"/>
          <w:lang w:val="en-US" w:eastAsia="zh-CN"/>
        </w:rPr>
        <w:t>1</w:t>
      </w:r>
      <w:r>
        <w:rPr>
          <w:rFonts w:hint="default" w:ascii="Times New Roman Regular" w:hAnsi="Times New Roman Regular" w:cs="Times New Roman Regular"/>
          <w:b/>
          <w:bCs/>
          <w:highlight w:val="none"/>
          <w:lang w:val="en-US" w:eastAsia="zh-CN"/>
        </w:rPr>
        <w:t>.</w:t>
      </w:r>
      <w:r>
        <w:rPr>
          <w:rFonts w:hint="eastAsia" w:ascii="Times New Roman Regular" w:hAnsi="Times New Roman Regular" w:cs="Times New Roman Regular"/>
          <w:b/>
          <w:bCs/>
          <w:highlight w:val="none"/>
          <w:lang w:val="en-US" w:eastAsia="zh-CN"/>
        </w:rPr>
        <w:t>3</w:t>
      </w:r>
      <w:r>
        <w:rPr>
          <w:rFonts w:hint="default" w:ascii="Times New Roman Regular" w:hAnsi="Times New Roman Regular" w:cs="Times New Roman Regular"/>
          <w:b/>
          <w:bCs/>
          <w:highlight w:val="none"/>
          <w:lang w:val="en-US" w:eastAsia="zh-CN"/>
        </w:rPr>
        <w:t>.双重预防机制管理</w:t>
      </w:r>
      <w:bookmarkEnd w:id="170"/>
    </w:p>
    <w:p w14:paraId="632BE94C">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双重预防机制管理包括双重预防机制运行情况查询、隐患排查治理督办提醒、双重预防机制运行效果等，支持与企业双重预防机制信息系统对接，推动企业有效运行双重预防机制，提升安全风险防控水平。同时也能将数据推送到各层级应急部门建设的双重预防机制平台，为上级部门监管提供支撑。</w:t>
      </w:r>
    </w:p>
    <w:p w14:paraId="6C5B636D">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双重预防机制运行情况包括风险分级管控清单、隐患排查清单、风险四色图、隐患排查治理情况。隐患排查治理情况包括隐患排查情况及隐患治理情况，支持与企业双重预防机制信息系统对接</w:t>
      </w:r>
      <w:r>
        <w:rPr>
          <w:rFonts w:hint="eastAsia" w:ascii="Times New Roman Regular" w:hAnsi="Times New Roman Regular" w:cs="Times New Roman Regular"/>
          <w:lang w:val="en-US" w:eastAsia="zh-CN"/>
        </w:rPr>
        <w:t>，支持</w:t>
      </w:r>
      <w:r>
        <w:rPr>
          <w:rFonts w:hint="default" w:ascii="Times New Roman Regular" w:hAnsi="Times New Roman Regular" w:cs="Times New Roman Regular"/>
          <w:lang w:val="en-US" w:eastAsia="zh-CN"/>
        </w:rPr>
        <w:t>多维度统计分析、可视化展示</w:t>
      </w:r>
      <w:r>
        <w:rPr>
          <w:rFonts w:hint="eastAsia" w:ascii="Times New Roman Regular" w:hAnsi="Times New Roman Regular" w:cs="Times New Roman Regular"/>
          <w:lang w:val="en-US" w:eastAsia="zh-CN"/>
        </w:rPr>
        <w:t>园区企业双重预防机制运行情况</w:t>
      </w:r>
      <w:r>
        <w:rPr>
          <w:rFonts w:hint="default" w:ascii="Times New Roman Regular" w:hAnsi="Times New Roman Regular" w:cs="Times New Roman Regular"/>
          <w:lang w:val="en-US" w:eastAsia="zh-CN"/>
        </w:rPr>
        <w:t>。</w:t>
      </w:r>
    </w:p>
    <w:p w14:paraId="0B680215">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隐患排查治理督办提醒包括隐患排查治理提醒、隐患治理督办。隐患排查治理提醒包括未排查提醒和</w:t>
      </w:r>
      <w:r>
        <w:rPr>
          <w:rFonts w:hint="eastAsia" w:ascii="Times New Roman Regular" w:hAnsi="Times New Roman Regular" w:cs="Times New Roman Regular"/>
          <w:lang w:val="en-US" w:eastAsia="zh-CN"/>
        </w:rPr>
        <w:t>隐患</w:t>
      </w:r>
      <w:r>
        <w:rPr>
          <w:rFonts w:hint="default" w:ascii="Times New Roman Regular" w:hAnsi="Times New Roman Regular" w:cs="Times New Roman Regular"/>
          <w:lang w:val="en-US" w:eastAsia="zh-CN"/>
        </w:rPr>
        <w:t>超期未整改提醒，根据隐患排查治理情况确定提醒时间；隐患超过整改时限一定时间内仍未整改的，系统自动发送督办通知。支持线上下发督办通知、通过消息提醒的方式向</w:t>
      </w:r>
      <w:r>
        <w:rPr>
          <w:rFonts w:hint="eastAsia" w:ascii="Times New Roman Regular" w:hAnsi="Times New Roman Regular" w:cs="Times New Roman Regular"/>
          <w:lang w:val="en-US" w:eastAsia="zh-CN"/>
        </w:rPr>
        <w:t>企业和园区相关责任</w:t>
      </w:r>
      <w:r>
        <w:rPr>
          <w:rFonts w:hint="default" w:ascii="Times New Roman Regular" w:hAnsi="Times New Roman Regular" w:cs="Times New Roman Regular"/>
          <w:lang w:val="en-US" w:eastAsia="zh-CN"/>
        </w:rPr>
        <w:t>人员发送提醒警示信息等功能，确保实现隐患闭环处置。</w:t>
      </w:r>
    </w:p>
    <w:p w14:paraId="01DBC516">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企业双重预防机制建设及运行效果通过多维度统计展示园区企业风险分析完成率、排查任务完成率及隐患整改完成率，构建运行模型，基于模型对园区企业双重预防机制运行效果定量评价。对企业双重预防机制运行效果、隐患预警情况自动统计分析，为线下精准执法检查提供支撑。</w:t>
      </w:r>
    </w:p>
    <w:p w14:paraId="00CC5A85">
      <w:pPr>
        <w:bidi w:val="0"/>
        <w:spacing w:line="360" w:lineRule="auto"/>
        <w:ind w:left="0" w:leftChars="0" w:firstLine="422" w:firstLineChars="200"/>
        <w:outlineLvl w:val="1"/>
        <w:rPr>
          <w:rFonts w:hint="default" w:ascii="Times New Roman Regular" w:hAnsi="Times New Roman Regular" w:cs="Times New Roman Regular"/>
          <w:b/>
          <w:bCs/>
          <w:highlight w:val="none"/>
          <w:lang w:val="en-US" w:eastAsia="zh-CN"/>
        </w:rPr>
      </w:pPr>
      <w:bookmarkStart w:id="171" w:name="_Toc319768360"/>
      <w:r>
        <w:rPr>
          <w:rFonts w:hint="eastAsia" w:ascii="Times New Roman Regular" w:hAnsi="Times New Roman Regular" w:cs="Times New Roman Regular"/>
          <w:b/>
          <w:bCs/>
          <w:highlight w:val="none"/>
          <w:lang w:val="en-US" w:eastAsia="zh-CN"/>
        </w:rPr>
        <w:t>1</w:t>
      </w:r>
      <w:r>
        <w:rPr>
          <w:rFonts w:hint="default" w:ascii="Times New Roman Regular" w:hAnsi="Times New Roman Regular" w:cs="Times New Roman Regular"/>
          <w:b/>
          <w:bCs/>
          <w:highlight w:val="none"/>
          <w:lang w:val="en-US" w:eastAsia="zh-CN"/>
        </w:rPr>
        <w:t>.</w:t>
      </w:r>
      <w:r>
        <w:rPr>
          <w:rFonts w:hint="eastAsia" w:ascii="Times New Roman Regular" w:hAnsi="Times New Roman Regular" w:cs="Times New Roman Regular"/>
          <w:b/>
          <w:bCs/>
          <w:highlight w:val="none"/>
          <w:lang w:val="en-US" w:eastAsia="zh-CN"/>
        </w:rPr>
        <w:t>4</w:t>
      </w:r>
      <w:r>
        <w:rPr>
          <w:rFonts w:hint="default" w:ascii="Times New Roman Regular" w:hAnsi="Times New Roman Regular" w:cs="Times New Roman Regular"/>
          <w:b/>
          <w:bCs/>
          <w:highlight w:val="none"/>
          <w:lang w:val="en-US" w:eastAsia="zh-CN"/>
        </w:rPr>
        <w:t>.特殊作业管理</w:t>
      </w:r>
      <w:bookmarkEnd w:id="171"/>
    </w:p>
    <w:p w14:paraId="65A22AAB">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特殊作业管理包括作业计划报备、作业票管理、特殊作业在线抽查、统计展示等功能。主要用于园区内企业特殊作业的报备、作业票管理、线上抽查检查、统计分析，使园区管理单位实时掌握园区内特殊作业情况，有针对性进行现场监管。可实现与企业特殊作业系统对接获取特殊作业过程数据。</w:t>
      </w:r>
    </w:p>
    <w:p w14:paraId="339F7FFB">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统计展示实现对园区内的特殊作业进行统计，可从作业类型、</w:t>
      </w:r>
      <w:r>
        <w:rPr>
          <w:rFonts w:hint="eastAsia" w:ascii="Times New Roman Regular" w:hAnsi="Times New Roman Regular" w:cs="Times New Roman Regular"/>
          <w:lang w:val="en-US" w:eastAsia="zh-CN"/>
        </w:rPr>
        <w:t>作业状态</w:t>
      </w:r>
      <w:r>
        <w:rPr>
          <w:rFonts w:hint="default" w:ascii="Times New Roman Regular" w:hAnsi="Times New Roman Regular" w:cs="Times New Roman Regular"/>
          <w:lang w:val="en-US" w:eastAsia="zh-CN"/>
        </w:rPr>
        <w:t>等角度对特殊作业进行统计分析，同时可调阅视频，查看特殊作业的开展情况。</w:t>
      </w:r>
    </w:p>
    <w:p w14:paraId="62277B26">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作业计划报备实现园区内企业在平台进行特殊作业计划的报备，内容包括</w:t>
      </w:r>
      <w:r>
        <w:rPr>
          <w:rFonts w:hint="eastAsia" w:ascii="Times New Roman Regular" w:hAnsi="Times New Roman Regular" w:cs="Times New Roman Regular"/>
          <w:lang w:val="en-US" w:eastAsia="zh-CN"/>
        </w:rPr>
        <w:t>作业类型、作业数量、作业内容</w:t>
      </w:r>
      <w:r>
        <w:rPr>
          <w:rFonts w:hint="default" w:ascii="Times New Roman Regular" w:hAnsi="Times New Roman Regular" w:cs="Times New Roman Regular"/>
          <w:lang w:val="en-US" w:eastAsia="zh-CN"/>
        </w:rPr>
        <w:t>等。</w:t>
      </w:r>
    </w:p>
    <w:p w14:paraId="554BF502">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作业票管理</w:t>
      </w:r>
      <w:r>
        <w:rPr>
          <w:rFonts w:hint="eastAsia" w:ascii="Times New Roman Regular" w:hAnsi="Times New Roman Regular" w:cs="Times New Roman Regular"/>
          <w:lang w:val="en-US" w:eastAsia="zh-CN"/>
        </w:rPr>
        <w:t>支持实时查看园区企业作业票办理签批的情况，支持查看各环节签字情况、当前环节、视频监控情况。支持按照作业类型、作业时间、作业企业等内容进行精准检索</w:t>
      </w:r>
      <w:r>
        <w:rPr>
          <w:rFonts w:hint="default" w:ascii="Times New Roman Regular" w:hAnsi="Times New Roman Regular" w:cs="Times New Roman Regular"/>
          <w:lang w:val="en-US" w:eastAsia="zh-CN"/>
        </w:rPr>
        <w:t>。</w:t>
      </w:r>
    </w:p>
    <w:p w14:paraId="7C696E57">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在线抽查实现在线抽查检查企业的特殊作业情况，支持对企业</w:t>
      </w:r>
      <w:r>
        <w:rPr>
          <w:rFonts w:hint="eastAsia" w:ascii="Times New Roman Regular" w:hAnsi="Times New Roman Regular" w:cs="Times New Roman Regular"/>
          <w:lang w:val="en-US" w:eastAsia="zh-CN"/>
        </w:rPr>
        <w:t>原有</w:t>
      </w:r>
      <w:r>
        <w:rPr>
          <w:rFonts w:hint="default" w:ascii="Times New Roman Regular" w:hAnsi="Times New Roman Regular" w:cs="Times New Roman Regular"/>
          <w:lang w:val="en-US" w:eastAsia="zh-CN"/>
        </w:rPr>
        <w:t>现场</w:t>
      </w:r>
      <w:r>
        <w:rPr>
          <w:rFonts w:hint="eastAsia" w:ascii="Times New Roman Regular" w:hAnsi="Times New Roman Regular" w:cs="Times New Roman Regular"/>
          <w:lang w:val="en-US" w:eastAsia="zh-CN"/>
        </w:rPr>
        <w:t>的</w:t>
      </w:r>
      <w:r>
        <w:rPr>
          <w:rFonts w:hint="default" w:ascii="Times New Roman Regular" w:hAnsi="Times New Roman Regular" w:cs="Times New Roman Regular"/>
          <w:lang w:val="en-US" w:eastAsia="zh-CN"/>
        </w:rPr>
        <w:t>摄像头、现场气体传感器等联动调阅。接入企业现场特殊作业视频，实现作业时的实时视频预览、作业视频联动。</w:t>
      </w:r>
    </w:p>
    <w:p w14:paraId="7D72020C">
      <w:pPr>
        <w:bidi w:val="0"/>
        <w:spacing w:line="360" w:lineRule="auto"/>
        <w:ind w:left="0" w:leftChars="0" w:firstLine="422" w:firstLineChars="200"/>
        <w:outlineLvl w:val="1"/>
        <w:rPr>
          <w:rFonts w:hint="default" w:ascii="Times New Roman Regular" w:hAnsi="Times New Roman Regular" w:cs="Times New Roman Regular"/>
          <w:b/>
          <w:bCs/>
          <w:highlight w:val="none"/>
          <w:lang w:val="en-US" w:eastAsia="zh-CN"/>
        </w:rPr>
      </w:pPr>
      <w:bookmarkStart w:id="172" w:name="_Toc1342741726"/>
      <w:r>
        <w:rPr>
          <w:rFonts w:hint="eastAsia" w:ascii="Times New Roman Regular" w:hAnsi="Times New Roman Regular" w:cs="Times New Roman Regular"/>
          <w:b/>
          <w:bCs/>
          <w:highlight w:val="none"/>
          <w:lang w:val="en-US" w:eastAsia="zh-CN"/>
        </w:rPr>
        <w:t>1</w:t>
      </w:r>
      <w:r>
        <w:rPr>
          <w:rFonts w:hint="default" w:ascii="Times New Roman Regular" w:hAnsi="Times New Roman Regular" w:cs="Times New Roman Regular"/>
          <w:b/>
          <w:bCs/>
          <w:highlight w:val="none"/>
          <w:lang w:val="en-US" w:eastAsia="zh-CN"/>
        </w:rPr>
        <w:t>.</w:t>
      </w:r>
      <w:r>
        <w:rPr>
          <w:rFonts w:hint="eastAsia" w:ascii="Times New Roman Regular" w:hAnsi="Times New Roman Regular" w:cs="Times New Roman Regular"/>
          <w:b/>
          <w:bCs/>
          <w:highlight w:val="none"/>
          <w:lang w:val="en-US" w:eastAsia="zh-CN"/>
        </w:rPr>
        <w:t>5</w:t>
      </w:r>
      <w:r>
        <w:rPr>
          <w:rFonts w:hint="default" w:ascii="Times New Roman Regular" w:hAnsi="Times New Roman Regular" w:cs="Times New Roman Regular"/>
          <w:b/>
          <w:bCs/>
          <w:highlight w:val="none"/>
          <w:lang w:val="en-US" w:eastAsia="zh-CN"/>
        </w:rPr>
        <w:t>.封闭化管理</w:t>
      </w:r>
      <w:bookmarkEnd w:id="172"/>
    </w:p>
    <w:p w14:paraId="5C4EA301">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封闭化管理包括</w:t>
      </w:r>
      <w:r>
        <w:rPr>
          <w:rFonts w:hint="eastAsia" w:ascii="Times New Roman Regular" w:hAnsi="Times New Roman Regular" w:cs="Times New Roman Regular"/>
          <w:lang w:val="en-US" w:eastAsia="zh-CN"/>
        </w:rPr>
        <w:t>门禁卡口管理</w:t>
      </w:r>
      <w:r>
        <w:rPr>
          <w:rFonts w:hint="default" w:ascii="Times New Roman Regular" w:hAnsi="Times New Roman Regular" w:cs="Times New Roman Regular"/>
          <w:lang w:val="en-US" w:eastAsia="zh-CN"/>
        </w:rPr>
        <w:t>、出入园管理、危险化学品运输车辆管理、人员分布</w:t>
      </w:r>
      <w:r>
        <w:rPr>
          <w:rFonts w:hint="eastAsia" w:ascii="Times New Roman Regular" w:hAnsi="Times New Roman Regular" w:cs="Times New Roman Regular"/>
          <w:lang w:val="en-US" w:eastAsia="zh-CN"/>
        </w:rPr>
        <w:t>管理</w:t>
      </w:r>
      <w:r>
        <w:rPr>
          <w:rFonts w:hint="default" w:ascii="Times New Roman Regular" w:hAnsi="Times New Roman Regular" w:cs="Times New Roman Regular"/>
          <w:lang w:val="en-US" w:eastAsia="zh-CN"/>
        </w:rPr>
        <w:t>等。全过程动态监测出入园区的人员、车辆</w:t>
      </w:r>
      <w:r>
        <w:rPr>
          <w:rFonts w:hint="eastAsia" w:ascii="Times New Roman Regular" w:hAnsi="Times New Roman Regular" w:cs="Times New Roman Regular"/>
          <w:lang w:val="en-US" w:eastAsia="zh-CN"/>
        </w:rPr>
        <w:t>、货物</w:t>
      </w:r>
      <w:r>
        <w:rPr>
          <w:rFonts w:hint="default" w:ascii="Times New Roman Regular" w:hAnsi="Times New Roman Regular" w:cs="Times New Roman Regular"/>
          <w:lang w:val="en-US" w:eastAsia="zh-CN"/>
        </w:rPr>
        <w:t>，实现化工园区人流、车流和物流的出入管控，确保区域安全风险有效隔离，切实防范外来输入风险。</w:t>
      </w:r>
    </w:p>
    <w:p w14:paraId="5F561758">
      <w:pPr>
        <w:bidi w:val="0"/>
        <w:spacing w:line="360" w:lineRule="auto"/>
        <w:rPr>
          <w:rFonts w:hint="default"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门禁卡口管理包括基础设施管理、周界管理。基础设施管理主要对园区门禁卡口、卡口视频信息进行管理。周界管理主要对园区周界、智能周界进行管理。</w:t>
      </w:r>
    </w:p>
    <w:p w14:paraId="7B290549">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出入园管理包括</w:t>
      </w:r>
      <w:r>
        <w:rPr>
          <w:rFonts w:hint="eastAsia" w:ascii="Times New Roman Regular" w:hAnsi="Times New Roman Regular" w:cs="Times New Roman Regular"/>
          <w:lang w:val="en-US" w:eastAsia="zh-CN"/>
        </w:rPr>
        <w:t>人员的出入园区管理、车辆的出入园区管理、黑名单管理、异常统计、出入园区统计等。</w:t>
      </w:r>
    </w:p>
    <w:p w14:paraId="7D932645">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危险化学品车辆管理</w:t>
      </w:r>
      <w:r>
        <w:rPr>
          <w:rFonts w:hint="eastAsia" w:ascii="Times New Roman Regular" w:hAnsi="Times New Roman Regular" w:cs="Times New Roman Regular"/>
          <w:lang w:val="en-US" w:eastAsia="zh-CN"/>
        </w:rPr>
        <w:t>基于危险化学品运输车辆实时定位数据和园区重点区域电子围栏，掌握园区内危险化学品运输车辆的实时位置、行驶路线等动态信息，借助车辆定位数据，智能识别危险化学品运输车辆超速、违停、不按车道不按时段通行等不安全行为。包括了运输路径规划、车辆轨迹跟踪、不安全驾驶行为报警、车辆运行数据统计等功能。</w:t>
      </w:r>
    </w:p>
    <w:p w14:paraId="07B2E93C">
      <w:pPr>
        <w:bidi w:val="0"/>
        <w:spacing w:line="360" w:lineRule="auto"/>
        <w:rPr>
          <w:rFonts w:hint="default"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人员分布管理主要是</w:t>
      </w:r>
      <w:r>
        <w:rPr>
          <w:rFonts w:hint="default" w:ascii="Times New Roman Regular" w:hAnsi="Times New Roman Regular" w:cs="Times New Roman Regular"/>
          <w:lang w:val="en-US" w:eastAsia="zh-CN"/>
        </w:rPr>
        <w:t>接入企业生产区域人员定位分布信息，结合卡口/门禁系统数据，准确显示园区企业内部人员分布动态，支持查询展示特定人员实时位置和历史轨迹；支持园区内人员分布异常情况的报警提示。</w:t>
      </w:r>
    </w:p>
    <w:p w14:paraId="681E3AA8">
      <w:pPr>
        <w:bidi w:val="0"/>
        <w:spacing w:line="360" w:lineRule="auto"/>
        <w:ind w:left="0" w:leftChars="0" w:firstLine="422" w:firstLineChars="200"/>
        <w:outlineLvl w:val="1"/>
        <w:rPr>
          <w:rFonts w:hint="default" w:ascii="Times New Roman Regular" w:hAnsi="Times New Roman Regular" w:cs="Times New Roman Regular"/>
          <w:b/>
          <w:bCs/>
          <w:highlight w:val="none"/>
          <w:lang w:val="en-US" w:eastAsia="zh-CN"/>
        </w:rPr>
      </w:pPr>
      <w:bookmarkStart w:id="173" w:name="_Toc1702026206"/>
      <w:r>
        <w:rPr>
          <w:rFonts w:hint="eastAsia" w:ascii="Times New Roman Regular" w:hAnsi="Times New Roman Regular" w:cs="Times New Roman Regular"/>
          <w:b/>
          <w:bCs/>
          <w:highlight w:val="none"/>
          <w:lang w:val="en-US" w:eastAsia="zh-CN"/>
        </w:rPr>
        <w:t>1</w:t>
      </w:r>
      <w:r>
        <w:rPr>
          <w:rFonts w:hint="default" w:ascii="Times New Roman Regular" w:hAnsi="Times New Roman Regular" w:cs="Times New Roman Regular"/>
          <w:b/>
          <w:bCs/>
          <w:highlight w:val="none"/>
          <w:lang w:val="en-US" w:eastAsia="zh-CN"/>
        </w:rPr>
        <w:t>.</w:t>
      </w:r>
      <w:r>
        <w:rPr>
          <w:rFonts w:hint="eastAsia" w:ascii="Times New Roman Regular" w:hAnsi="Times New Roman Regular" w:cs="Times New Roman Regular"/>
          <w:b/>
          <w:bCs/>
          <w:highlight w:val="none"/>
          <w:lang w:val="en-US" w:eastAsia="zh-CN"/>
        </w:rPr>
        <w:t>6</w:t>
      </w:r>
      <w:r>
        <w:rPr>
          <w:rFonts w:hint="default" w:ascii="Times New Roman Regular" w:hAnsi="Times New Roman Regular" w:cs="Times New Roman Regular"/>
          <w:b/>
          <w:bCs/>
          <w:highlight w:val="none"/>
          <w:lang w:val="en-US" w:eastAsia="zh-CN"/>
        </w:rPr>
        <w:t>.敏捷应急</w:t>
      </w:r>
      <w:bookmarkEnd w:id="173"/>
    </w:p>
    <w:p w14:paraId="2EAD9737">
      <w:pPr>
        <w:bidi w:val="0"/>
        <w:spacing w:line="360" w:lineRule="auto"/>
        <w:rPr>
          <w:rFonts w:hint="default"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敏捷应急以融合了GIS平台的园区三维模型为基础，</w:t>
      </w:r>
      <w:r>
        <w:rPr>
          <w:rFonts w:hint="default" w:ascii="Times New Roman Regular" w:hAnsi="Times New Roman Regular" w:cs="Times New Roman Regular"/>
          <w:lang w:val="en-US" w:eastAsia="zh-CN"/>
        </w:rPr>
        <w:t>主要用于安全生产应急预案管理、应急演练管理、应急资源管理</w:t>
      </w:r>
      <w:r>
        <w:rPr>
          <w:rFonts w:hint="eastAsia" w:ascii="Times New Roman Regular" w:hAnsi="Times New Roman Regular" w:cs="Times New Roman Regular"/>
          <w:lang w:val="en-US" w:eastAsia="zh-CN"/>
        </w:rPr>
        <w:t>、应急辅助决策、应急值班值守</w:t>
      </w:r>
      <w:r>
        <w:rPr>
          <w:rFonts w:hint="default" w:ascii="Times New Roman Regular" w:hAnsi="Times New Roman Regular" w:cs="Times New Roman Regular"/>
          <w:lang w:val="en-US" w:eastAsia="zh-CN"/>
        </w:rPr>
        <w:t>，推动园区、企业落实日常应急管理及与各级政府间的应急联动，为事故应急提供技术支持，辅助园区进行快速、精准、科学应急响应。</w:t>
      </w:r>
    </w:p>
    <w:p w14:paraId="1033A5E3">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应急资源管理主要是建立应急资源基本信息库，包括救援物资、救援队伍、救援装备、避难场所、专家信息、应急机构等。实现园区内应急资源的统一管理，支持应急资源信息的维护和快速查询。</w:t>
      </w:r>
    </w:p>
    <w:p w14:paraId="527C1D90">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应急预案包括企业应急预案和园区应急预案，实现企业和园区应急预案的录入、查询、检索、维护功能，支持上级部门应急预案的录入查询</w:t>
      </w:r>
      <w:r>
        <w:rPr>
          <w:rFonts w:hint="eastAsia" w:ascii="Times New Roman Regular" w:hAnsi="Times New Roman Regular" w:cs="Times New Roman Regular"/>
          <w:lang w:val="en-US" w:eastAsia="zh-CN"/>
        </w:rPr>
        <w:t>，支持应急预案备案的临期提醒</w:t>
      </w:r>
      <w:r>
        <w:rPr>
          <w:rFonts w:hint="default" w:ascii="Times New Roman Regular" w:hAnsi="Times New Roman Regular" w:cs="Times New Roman Regular"/>
          <w:lang w:val="en-US" w:eastAsia="zh-CN"/>
        </w:rPr>
        <w:t>。</w:t>
      </w:r>
    </w:p>
    <w:p w14:paraId="65E4E762">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应急演练管理包括应急演练计划、应急演练记录、</w:t>
      </w:r>
      <w:r>
        <w:rPr>
          <w:rFonts w:hint="eastAsia" w:ascii="Times New Roman Regular" w:hAnsi="Times New Roman Regular" w:cs="Times New Roman Regular"/>
          <w:lang w:val="en-US" w:eastAsia="zh-CN"/>
        </w:rPr>
        <w:t>应急演练评估</w:t>
      </w:r>
      <w:r>
        <w:rPr>
          <w:rFonts w:hint="default" w:ascii="Times New Roman Regular" w:hAnsi="Times New Roman Regular" w:cs="Times New Roman Regular"/>
          <w:lang w:val="en-US" w:eastAsia="zh-CN"/>
        </w:rPr>
        <w:t>。应急演练计划、应急演练记录主要实现园区和企业应急演练相关过程记录的上传、维护、下载；应急</w:t>
      </w:r>
      <w:r>
        <w:rPr>
          <w:rFonts w:hint="eastAsia" w:ascii="Times New Roman Regular" w:hAnsi="Times New Roman Regular" w:cs="Times New Roman Regular"/>
          <w:lang w:val="en-US" w:eastAsia="zh-CN"/>
        </w:rPr>
        <w:t>演练评估主要对应急演练记录进行评估打分，发现其中的问题，并进行整改</w:t>
      </w:r>
      <w:r>
        <w:rPr>
          <w:rFonts w:hint="default" w:ascii="Times New Roman Regular" w:hAnsi="Times New Roman Regular" w:cs="Times New Roman Regular"/>
          <w:lang w:val="en-US" w:eastAsia="zh-CN"/>
        </w:rPr>
        <w:t>。</w:t>
      </w:r>
    </w:p>
    <w:p w14:paraId="0BD2ECCB">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应急值班值守包括园区值班值守和企业值班值守。园区和企业定期进行排班，排班内容至少包括值班人员姓名、职务、电话、值班时间。</w:t>
      </w:r>
    </w:p>
    <w:p w14:paraId="406D3549">
      <w:pPr>
        <w:bidi w:val="0"/>
        <w:spacing w:line="360" w:lineRule="auto"/>
        <w:ind w:left="0" w:leftChars="0" w:firstLine="422" w:firstLineChars="200"/>
        <w:outlineLvl w:val="1"/>
        <w:rPr>
          <w:rFonts w:hint="default" w:ascii="Times New Roman Regular" w:hAnsi="Times New Roman Regular" w:cs="Times New Roman Regular"/>
          <w:b/>
          <w:bCs/>
          <w:highlight w:val="none"/>
          <w:lang w:val="en-US" w:eastAsia="zh-CN"/>
        </w:rPr>
      </w:pPr>
      <w:bookmarkStart w:id="174" w:name="_Toc667390856"/>
      <w:bookmarkStart w:id="175" w:name="_Toc1472266202"/>
      <w:r>
        <w:rPr>
          <w:rFonts w:hint="eastAsia" w:ascii="Times New Roman Regular" w:hAnsi="Times New Roman Regular" w:cs="Times New Roman Regular"/>
          <w:b/>
          <w:bCs/>
          <w:highlight w:val="none"/>
          <w:lang w:val="en-US" w:eastAsia="zh-CN"/>
        </w:rPr>
        <w:t>1.7</w:t>
      </w:r>
      <w:r>
        <w:rPr>
          <w:rFonts w:hint="default" w:ascii="Times New Roman Regular" w:hAnsi="Times New Roman Regular" w:cs="Times New Roman Regular"/>
          <w:b/>
          <w:bCs/>
          <w:highlight w:val="none"/>
          <w:lang w:val="en-US" w:eastAsia="zh-CN"/>
        </w:rPr>
        <w:t>大数据分析与展示子系统</w:t>
      </w:r>
    </w:p>
    <w:p w14:paraId="5236C0A2">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利用大数据分析技术 ，贯通“安全基础管理子系统、重大危险源安全管理子 系统、双重预防机制子系统、特殊作业管理子系统、封闭化管理子系统、敏捷应 急子系统 ” ，将园区平台关键数据进行统计分析研判 ，并结合 GIS 地图通过大数 据可视化技术实现实时数据图形可视化、场景化以及实时交互。通过大屏幕进行 大数据智能可视化展示。</w:t>
      </w:r>
    </w:p>
    <w:p w14:paraId="2D62A8DC">
      <w:pPr>
        <w:bidi w:val="0"/>
        <w:spacing w:line="360" w:lineRule="auto"/>
        <w:ind w:left="0" w:leftChars="0" w:firstLine="422" w:firstLineChars="200"/>
        <w:outlineLvl w:val="1"/>
        <w:rPr>
          <w:rFonts w:hint="default" w:ascii="Times New Roman Regular" w:hAnsi="Times New Roman Regular" w:cs="Times New Roman Regular"/>
          <w:b/>
          <w:bCs/>
          <w:lang w:val="en-US" w:eastAsia="zh-CN"/>
        </w:rPr>
      </w:pPr>
      <w:r>
        <w:rPr>
          <w:rFonts w:hint="eastAsia" w:ascii="Times New Roman Regular" w:hAnsi="Times New Roman Regular" w:cs="Times New Roman Regular"/>
          <w:b/>
          <w:bCs/>
          <w:lang w:val="en-US" w:eastAsia="zh-CN"/>
        </w:rPr>
        <w:t>1.8</w:t>
      </w:r>
      <w:r>
        <w:rPr>
          <w:rFonts w:hint="default" w:ascii="Times New Roman Regular" w:hAnsi="Times New Roman Regular" w:cs="Times New Roman Regular"/>
          <w:b/>
          <w:bCs/>
          <w:lang w:val="en-US" w:eastAsia="zh-CN"/>
        </w:rPr>
        <w:t>.</w:t>
      </w:r>
      <w:bookmarkEnd w:id="174"/>
      <w:r>
        <w:rPr>
          <w:rFonts w:hint="eastAsia" w:ascii="Times New Roman Regular" w:hAnsi="Times New Roman Regular" w:cs="Times New Roman Regular"/>
          <w:b/>
          <w:bCs/>
          <w:lang w:val="en-US" w:eastAsia="zh-CN"/>
        </w:rPr>
        <w:t>平台管理及可视化数据系统</w:t>
      </w:r>
    </w:p>
    <w:p w14:paraId="3E4A7734">
      <w:pPr>
        <w:bidi w:val="0"/>
        <w:spacing w:line="360" w:lineRule="auto"/>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实现园区三维可视化管理，融合安全基础管理、重大危险源安全管理、双重预防机制、特殊作业管理、封闭化管理、敏捷应急等应用，构建</w:t>
      </w:r>
      <w:r>
        <w:rPr>
          <w:rFonts w:hint="default" w:ascii="Times New Roman Regular" w:hAnsi="Times New Roman Regular" w:cs="Times New Roman Regular"/>
          <w:color w:val="auto"/>
          <w:lang w:val="en-US" w:eastAsia="zh-CN"/>
        </w:rPr>
        <w:t>园区综合驾驶舱、安全生产驾驶舱、重大危险源驾驶舱、封闭管理驾驶舱、敏捷应急驾驶舱，</w:t>
      </w:r>
      <w:r>
        <w:rPr>
          <w:rFonts w:hint="default" w:ascii="Times New Roman Regular" w:hAnsi="Times New Roman Regular" w:cs="Times New Roman Regular"/>
          <w:lang w:val="en-US" w:eastAsia="zh-CN"/>
        </w:rPr>
        <w:t>对园区企业基本情况、装置开停车、园区风险分布、重大危险源分布、风险隐患情况、报警分布、特殊作业情况、人/车/物流、应急救援等多形式、多模式、多维度的可视化监测预警、统计分析和智能化管控调度。</w:t>
      </w:r>
    </w:p>
    <w:bookmarkEnd w:id="175"/>
    <w:p w14:paraId="234961C2">
      <w:pPr>
        <w:bidi w:val="0"/>
        <w:spacing w:line="360" w:lineRule="auto"/>
        <w:ind w:left="0" w:leftChars="0" w:firstLine="602" w:firstLineChars="200"/>
        <w:outlineLvl w:val="0"/>
        <w:rPr>
          <w:rFonts w:hint="default" w:ascii="Times New Roman Regular" w:hAnsi="Times New Roman Regular" w:cs="Times New Roman Regular"/>
          <w:b/>
          <w:bCs/>
          <w:sz w:val="30"/>
          <w:szCs w:val="30"/>
          <w:lang w:val="en-US" w:eastAsia="zh-CN"/>
        </w:rPr>
      </w:pPr>
      <w:bookmarkStart w:id="176" w:name="_Toc1651457865"/>
      <w:r>
        <w:rPr>
          <w:rFonts w:hint="eastAsia" w:ascii="Times New Roman Regular" w:hAnsi="Times New Roman Regular" w:cs="Times New Roman Regular"/>
          <w:b/>
          <w:bCs/>
          <w:sz w:val="30"/>
          <w:szCs w:val="30"/>
          <w:lang w:val="en-US" w:eastAsia="zh-CN"/>
        </w:rPr>
        <w:t>2.前端位置及服务</w:t>
      </w:r>
      <w:bookmarkEnd w:id="176"/>
    </w:p>
    <w:p w14:paraId="6EE94C8C">
      <w:pPr>
        <w:bidi w:val="0"/>
        <w:spacing w:line="360" w:lineRule="auto"/>
        <w:ind w:left="0" w:leftChars="0" w:firstLine="422" w:firstLineChars="200"/>
        <w:outlineLvl w:val="1"/>
        <w:rPr>
          <w:rFonts w:hint="eastAsia" w:ascii="Times New Roman Regular" w:hAnsi="Times New Roman Regular" w:cs="Times New Roman Regular"/>
          <w:b/>
          <w:bCs/>
          <w:lang w:val="en-US" w:eastAsia="zh-CN"/>
        </w:rPr>
      </w:pPr>
      <w:bookmarkStart w:id="177" w:name="_Toc1973683227"/>
      <w:r>
        <w:rPr>
          <w:rFonts w:hint="eastAsia" w:ascii="Times New Roman Regular" w:hAnsi="Times New Roman Regular" w:cs="Times New Roman Regular"/>
          <w:b/>
          <w:bCs/>
          <w:lang w:val="en-US" w:eastAsia="zh-CN"/>
        </w:rPr>
        <w:t>2.1.危化品车辆定位管理</w:t>
      </w:r>
      <w:bookmarkEnd w:id="177"/>
    </w:p>
    <w:p w14:paraId="70550DAF">
      <w:pPr>
        <w:bidi w:val="0"/>
        <w:spacing w:line="360" w:lineRule="auto"/>
        <w:rPr>
          <w:rFonts w:hint="eastAsia"/>
          <w:lang w:val="en-US" w:eastAsia="zh-CN"/>
        </w:rPr>
      </w:pPr>
      <w:r>
        <w:rPr>
          <w:rFonts w:hint="default"/>
          <w:lang w:val="en-US" w:eastAsia="zh-CN"/>
        </w:rPr>
        <w:t>实现入园</w:t>
      </w:r>
      <w:r>
        <w:rPr>
          <w:rFonts w:hint="eastAsia"/>
          <w:lang w:val="en-US" w:eastAsia="zh-CN"/>
        </w:rPr>
        <w:t>危化品运输</w:t>
      </w:r>
      <w:r>
        <w:rPr>
          <w:rFonts w:hint="default"/>
          <w:lang w:val="en-US" w:eastAsia="zh-CN"/>
        </w:rPr>
        <w:t>车辆的实时位置监控、行驶精准轨迹、车辆统计分析、车辆行驶预报警等功能，解决入园车辆在园区作业过程中</w:t>
      </w:r>
      <w:r>
        <w:rPr>
          <w:rFonts w:hint="eastAsia"/>
          <w:lang w:val="en-US" w:eastAsia="zh-CN"/>
        </w:rPr>
        <w:t>人力</w:t>
      </w:r>
      <w:r>
        <w:rPr>
          <w:rFonts w:hint="default"/>
          <w:lang w:val="en-US" w:eastAsia="zh-CN"/>
        </w:rPr>
        <w:t>监管不足的问题，充分利用目前最前沿的高精度定位技术，通过车载与后端平台、算法以及高精度地图来实现针对车辆的全流程管理，利用基于国家北斗地基增强网系统、算法以及软硬件能力，来实现危化车辆的精细化管理。</w:t>
      </w:r>
      <w:r>
        <w:rPr>
          <w:rFonts w:hint="eastAsia"/>
          <w:lang w:val="en-US" w:eastAsia="zh-CN"/>
        </w:rPr>
        <w:t>具体参数要求如下：</w:t>
      </w:r>
    </w:p>
    <w:p w14:paraId="5330C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lang w:val="en-US" w:eastAsia="zh-CN"/>
        </w:rPr>
      </w:pPr>
      <w:r>
        <w:rPr>
          <w:rFonts w:hint="eastAsia"/>
          <w:lang w:val="en-US" w:eastAsia="zh-CN"/>
        </w:rPr>
        <w:t>位置与服务管理平台</w:t>
      </w:r>
    </w:p>
    <w:p w14:paraId="29730F6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支持对车辆人员位置实时定位、轨迹跟踪及回溯管理功能</w:t>
      </w:r>
    </w:p>
    <w:p w14:paraId="66C768A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支持各类定位终端实时高精度位置上图展现，支持二三维一体化高精度地图</w:t>
      </w:r>
    </w:p>
    <w:p w14:paraId="679C664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提供历史轨迹回溯播放服务能力， 可根据实体 ID 查询单个实体的实时位置和历史轨迹数据</w:t>
      </w:r>
    </w:p>
    <w:p w14:paraId="5E93A23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提供标准 API 开放接口以及地理围栏功能，支持设置禁入/禁出支持叠加专属业务图层；支持创建、删除、更新、查询地理围栏；支持设置全局生效围栏和自定义围栏，自定义围栏可设置生效的实体；提供设置围栏的生效起止时间，是否生效</w:t>
      </w:r>
    </w:p>
    <w:p w14:paraId="54A2D1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支持查看所有实体的总数、在线数量、离线数量、支持以列表形式展示实体列表、支持按照名称查询对应的实体、点击实体名称支持在地图上居中实体并显示实体详情、支持点击跳转查询历史轨迹</w:t>
      </w:r>
      <w:r>
        <w:rPr>
          <w:rFonts w:hint="eastAsia"/>
          <w:lang w:val="en-US" w:eastAsia="zh-CN"/>
        </w:rPr>
        <w:t>。</w:t>
      </w:r>
    </w:p>
    <w:p w14:paraId="75AB759E">
      <w:pPr>
        <w:bidi w:val="0"/>
        <w:spacing w:line="360" w:lineRule="auto"/>
        <w:outlineLvl w:val="2"/>
        <w:rPr>
          <w:rFonts w:hint="default"/>
          <w:lang w:val="en-US" w:eastAsia="zh-CN"/>
        </w:rPr>
      </w:pPr>
      <w:r>
        <w:rPr>
          <w:rFonts w:hint="eastAsia"/>
          <w:lang w:val="en-US" w:eastAsia="zh-CN"/>
        </w:rPr>
        <w:t>3、</w:t>
      </w:r>
      <w:r>
        <w:rPr>
          <w:rFonts w:hint="default"/>
          <w:lang w:val="en-US" w:eastAsia="zh-CN"/>
        </w:rPr>
        <w:t>高精度地图采集和建模</w:t>
      </w:r>
    </w:p>
    <w:p w14:paraId="101AC279">
      <w:pPr>
        <w:bidi w:val="0"/>
        <w:spacing w:line="360" w:lineRule="auto"/>
        <w:rPr>
          <w:rFonts w:hint="default"/>
          <w:lang w:val="en-US" w:eastAsia="zh-CN"/>
        </w:rPr>
      </w:pPr>
      <w:r>
        <w:rPr>
          <w:rFonts w:hint="default"/>
          <w:lang w:val="en-US" w:eastAsia="zh-CN"/>
        </w:rPr>
        <w:t>通过倾斜摄影技术的应用，为园区上层应用提供必要的地图服务，并进行叠加业务的开发，包括安全生产、重大危险源监测、应急资源等各类点位标注、重要设施标注和自定义类型标注，为安全生产、应急救援、封闭管理等功能提供统一的地图服务。</w:t>
      </w:r>
    </w:p>
    <w:p w14:paraId="7E69F1FB">
      <w:pPr>
        <w:bidi w:val="0"/>
        <w:spacing w:line="360" w:lineRule="auto"/>
        <w:ind w:left="0" w:leftChars="0" w:firstLine="422" w:firstLineChars="200"/>
        <w:outlineLvl w:val="1"/>
        <w:rPr>
          <w:rFonts w:hint="eastAsia" w:ascii="Times New Roman Regular" w:hAnsi="Times New Roman Regular" w:cs="Times New Roman Regular"/>
          <w:b/>
          <w:bCs/>
          <w:lang w:val="en-US" w:eastAsia="zh-CN"/>
        </w:rPr>
      </w:pPr>
      <w:bookmarkStart w:id="178" w:name="_Toc1661584627"/>
      <w:r>
        <w:rPr>
          <w:rFonts w:hint="eastAsia" w:ascii="Times New Roman Regular" w:hAnsi="Times New Roman Regular" w:cs="Times New Roman Regular"/>
          <w:b/>
          <w:bCs/>
          <w:lang w:val="en-US" w:eastAsia="zh-CN"/>
        </w:rPr>
        <w:t>2.2.数据采集网关及数据接口对接</w:t>
      </w:r>
      <w:bookmarkEnd w:id="178"/>
    </w:p>
    <w:p w14:paraId="2F18E6C1">
      <w:pPr>
        <w:bidi w:val="0"/>
        <w:spacing w:line="360" w:lineRule="auto"/>
        <w:rPr>
          <w:rFonts w:hint="eastAsia"/>
          <w:lang w:val="en-US" w:eastAsia="zh-CN"/>
        </w:rPr>
      </w:pPr>
      <w:r>
        <w:rPr>
          <w:rFonts w:hint="eastAsia"/>
          <w:lang w:val="en-US" w:eastAsia="zh-CN"/>
        </w:rPr>
        <w:t>本次项目建设需要配套重大危险源数据采集管理平台，进行企业重大危险源实时监测数据的采集、转换、传输和融合。需要提供园区企业侧数据采集服务，实现企业侧平台运行数据、视频监控数据、人员定位数据等的接口对接。另外，智慧园区平台需要预留与上级政府平台数据对接接口，实现园区侧平台数据根据交换规范对接到上级政府相关平台。</w:t>
      </w:r>
    </w:p>
    <w:p w14:paraId="0E86F76B">
      <w:pPr>
        <w:bidi w:val="0"/>
        <w:spacing w:line="360" w:lineRule="auto"/>
        <w:ind w:left="0" w:leftChars="0" w:firstLine="602" w:firstLineChars="200"/>
        <w:outlineLvl w:val="0"/>
        <w:rPr>
          <w:rFonts w:hint="eastAsia" w:ascii="Times New Roman Regular" w:hAnsi="Times New Roman Regular" w:cs="Times New Roman Regular"/>
          <w:b/>
          <w:bCs/>
          <w:sz w:val="30"/>
          <w:szCs w:val="30"/>
          <w:lang w:val="en-US" w:eastAsia="zh-CN"/>
        </w:rPr>
      </w:pPr>
      <w:r>
        <w:rPr>
          <w:rFonts w:hint="eastAsia" w:ascii="Times New Roman Regular" w:hAnsi="Times New Roman Regular" w:cs="Times New Roman Regular"/>
          <w:b/>
          <w:bCs/>
          <w:sz w:val="30"/>
          <w:szCs w:val="30"/>
          <w:lang w:val="en-US" w:eastAsia="zh-CN"/>
        </w:rPr>
        <w:t>3.园区平台显示</w:t>
      </w:r>
    </w:p>
    <w:p w14:paraId="1F3B2BBE">
      <w:pPr>
        <w:bidi w:val="0"/>
        <w:spacing w:line="360" w:lineRule="auto"/>
        <w:rPr>
          <w:rFonts w:hint="eastAsia"/>
          <w:lang w:val="zh-CN" w:eastAsia="zh-CN"/>
        </w:rPr>
      </w:pPr>
      <w:r>
        <w:rPr>
          <w:rFonts w:hint="eastAsia"/>
          <w:lang w:val="zh-CN" w:eastAsia="zh-CN"/>
        </w:rPr>
        <w:t>园区平台显示，建设数据中心显示大屏，大屏设备采购及安装。</w:t>
      </w:r>
    </w:p>
    <w:p w14:paraId="2A637566">
      <w:pPr>
        <w:numPr>
          <w:ilvl w:val="0"/>
          <w:numId w:val="3"/>
        </w:numPr>
        <w:bidi w:val="0"/>
        <w:spacing w:line="360" w:lineRule="auto"/>
        <w:ind w:left="0" w:leftChars="0" w:firstLine="602" w:firstLineChars="200"/>
        <w:outlineLvl w:val="0"/>
        <w:rPr>
          <w:rFonts w:hint="eastAsia" w:ascii="Times New Roman Regular" w:hAnsi="Times New Roman Regular" w:cs="Times New Roman Regular"/>
          <w:b/>
          <w:bCs/>
          <w:sz w:val="30"/>
          <w:szCs w:val="30"/>
          <w:lang w:val="en-US" w:eastAsia="zh-CN"/>
        </w:rPr>
      </w:pPr>
      <w:r>
        <w:rPr>
          <w:rFonts w:hint="eastAsia" w:ascii="Times New Roman Regular" w:hAnsi="Times New Roman Regular" w:cs="Times New Roman Regular"/>
          <w:b/>
          <w:bCs/>
          <w:sz w:val="30"/>
          <w:szCs w:val="30"/>
          <w:lang w:val="en-US" w:eastAsia="zh-CN"/>
        </w:rPr>
        <w:t>具体技术规格参数</w:t>
      </w:r>
    </w:p>
    <w:p w14:paraId="75E9C419">
      <w:pPr>
        <w:pStyle w:val="14"/>
        <w:numPr>
          <w:ilvl w:val="0"/>
          <w:numId w:val="0"/>
        </w:numPr>
        <w:rPr>
          <w:rFonts w:hint="default"/>
          <w:lang w:val="en-US" w:eastAsia="zh-CN"/>
        </w:rPr>
      </w:pPr>
    </w:p>
    <w:tbl>
      <w:tblPr>
        <w:tblStyle w:val="20"/>
        <w:tblW w:w="92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725"/>
        <w:gridCol w:w="1057"/>
        <w:gridCol w:w="1379"/>
        <w:gridCol w:w="3926"/>
        <w:gridCol w:w="725"/>
        <w:gridCol w:w="725"/>
      </w:tblGrid>
      <w:tr w14:paraId="494D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8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E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分项名称</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技术规格</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F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E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49F7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1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8F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安全基础管理子系统</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77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园区基础信息</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5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园区规划</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03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基础信息管理包含但不限于园区规划、园区安全体系、值班值守、“禁限控”等信息。完成园区规划、园区安全体系、企业/园区值班值守等信息在线创建、编辑、查阅、留痕、一键恢复、一键上传功能。支持信息维护和快速查询，以及相关数据多维度统计分析和可视化展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6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53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ADC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83D3E">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4FFC">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园区安全体系</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C6F4">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E1B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362D">
            <w:pPr>
              <w:jc w:val="center"/>
              <w:rPr>
                <w:rFonts w:hint="eastAsia" w:ascii="宋体" w:hAnsi="宋体" w:eastAsia="宋体" w:cs="宋体"/>
                <w:i w:val="0"/>
                <w:iCs w:val="0"/>
                <w:color w:val="000000"/>
                <w:sz w:val="18"/>
                <w:szCs w:val="18"/>
                <w:u w:val="none"/>
              </w:rPr>
            </w:pPr>
          </w:p>
        </w:tc>
      </w:tr>
      <w:tr w14:paraId="0670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552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DC5A">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652D">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企业/园区值班值守</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25F2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C6E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C1CC">
            <w:pPr>
              <w:jc w:val="center"/>
              <w:rPr>
                <w:rFonts w:hint="eastAsia" w:ascii="宋体" w:hAnsi="宋体" w:eastAsia="宋体" w:cs="宋体"/>
                <w:i w:val="0"/>
                <w:iCs w:val="0"/>
                <w:color w:val="000000"/>
                <w:sz w:val="18"/>
                <w:szCs w:val="18"/>
                <w:u w:val="none"/>
              </w:rPr>
            </w:pPr>
          </w:p>
        </w:tc>
      </w:tr>
      <w:tr w14:paraId="3431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356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3147">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9D861">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6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禁限控目录</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5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支持紫限控目录的录入和维护，并与园区、企业系统打通，让录入的禁限控对象被运用起来。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DBC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70CF">
            <w:pPr>
              <w:jc w:val="center"/>
              <w:rPr>
                <w:rFonts w:hint="eastAsia" w:ascii="宋体" w:hAnsi="宋体" w:eastAsia="宋体" w:cs="宋体"/>
                <w:i w:val="0"/>
                <w:iCs w:val="0"/>
                <w:color w:val="000000"/>
                <w:sz w:val="18"/>
                <w:szCs w:val="18"/>
                <w:u w:val="none"/>
              </w:rPr>
            </w:pPr>
          </w:p>
        </w:tc>
      </w:tr>
      <w:tr w14:paraId="22EF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5F7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AF87">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86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企业情况</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企业总览</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情况包含企业总览、两重点一重大、从业人员、企业/园区值班值守、事故事件等模块。完成在线创建、编辑、查阅、留痕、一键恢复、一键上传功能。支持信息维护和快速查询，以及相关数据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FCF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3BD3">
            <w:pPr>
              <w:jc w:val="center"/>
              <w:rPr>
                <w:rFonts w:hint="eastAsia" w:ascii="宋体" w:hAnsi="宋体" w:eastAsia="宋体" w:cs="宋体"/>
                <w:i w:val="0"/>
                <w:iCs w:val="0"/>
                <w:color w:val="000000"/>
                <w:sz w:val="18"/>
                <w:szCs w:val="18"/>
                <w:u w:val="none"/>
              </w:rPr>
            </w:pPr>
          </w:p>
        </w:tc>
      </w:tr>
      <w:tr w14:paraId="2A09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8D0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85662">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571D8">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C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两重点一重大</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5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支持重点监管的危险化工工艺、重点监管的危险化学品，重大危险源的监管信息维护和快速查询，以及相关数据多维度统计分析和可视化展示。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946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6BD1">
            <w:pPr>
              <w:jc w:val="center"/>
              <w:rPr>
                <w:rFonts w:hint="eastAsia" w:ascii="宋体" w:hAnsi="宋体" w:eastAsia="宋体" w:cs="宋体"/>
                <w:i w:val="0"/>
                <w:iCs w:val="0"/>
                <w:color w:val="000000"/>
                <w:sz w:val="18"/>
                <w:szCs w:val="18"/>
                <w:u w:val="none"/>
              </w:rPr>
            </w:pPr>
          </w:p>
        </w:tc>
      </w:tr>
      <w:tr w14:paraId="7D2F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049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6A30A">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605C6">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6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从业人员</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★对人员信息支持数据采集和上传维护等功能，包含姓名、联系方式、照片等信息的录入，同时支持批量导出等功能。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205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5C55">
            <w:pPr>
              <w:jc w:val="center"/>
              <w:rPr>
                <w:rFonts w:hint="eastAsia" w:ascii="宋体" w:hAnsi="宋体" w:eastAsia="宋体" w:cs="宋体"/>
                <w:i w:val="0"/>
                <w:iCs w:val="0"/>
                <w:color w:val="000000"/>
                <w:sz w:val="18"/>
                <w:szCs w:val="18"/>
                <w:u w:val="none"/>
              </w:rPr>
            </w:pPr>
          </w:p>
        </w:tc>
      </w:tr>
      <w:tr w14:paraId="6BF4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51C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3F32">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576FE">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2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企业/园区值班值守</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支持园区值班排版计划生成、批量导入生成，支持多维度复合快速查询值班信息，支持值班信息修改和删除等维护功能。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D3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75DF">
            <w:pPr>
              <w:jc w:val="center"/>
              <w:rPr>
                <w:rFonts w:hint="eastAsia" w:ascii="宋体" w:hAnsi="宋体" w:eastAsia="宋体" w:cs="宋体"/>
                <w:i w:val="0"/>
                <w:iCs w:val="0"/>
                <w:color w:val="000000"/>
                <w:sz w:val="18"/>
                <w:szCs w:val="18"/>
                <w:u w:val="none"/>
              </w:rPr>
            </w:pPr>
          </w:p>
        </w:tc>
      </w:tr>
      <w:tr w14:paraId="4E50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7FF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E723F">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D09B5">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事故事件</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5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建立事故事件信息库，录入事故时间事故事件分析、处理应急办法，支持关键信息缺失提醒等功能。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A8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C204">
            <w:pPr>
              <w:jc w:val="center"/>
              <w:rPr>
                <w:rFonts w:hint="eastAsia" w:ascii="宋体" w:hAnsi="宋体" w:eastAsia="宋体" w:cs="宋体"/>
                <w:i w:val="0"/>
                <w:iCs w:val="0"/>
                <w:color w:val="000000"/>
                <w:sz w:val="18"/>
                <w:szCs w:val="18"/>
                <w:u w:val="none"/>
              </w:rPr>
            </w:pPr>
          </w:p>
        </w:tc>
      </w:tr>
      <w:tr w14:paraId="146E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07F6">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AC76">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89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安全生产行政许可管理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于园区安全管理体系进行数字化，实现危险化学品建设项目“三同时”和安全生产许可相关证照材料线上提报、审核、查阅等全流程监管功能。支持危险化学品建设项目“三同时”管理流程和安全生产许可流程灵活配置，以及建设项目按类别、“三同时”阶段、许可证类型等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1E2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3AA9">
            <w:pPr>
              <w:jc w:val="center"/>
              <w:rPr>
                <w:rFonts w:hint="eastAsia" w:ascii="宋体" w:hAnsi="宋体" w:eastAsia="宋体" w:cs="宋体"/>
                <w:i w:val="0"/>
                <w:iCs w:val="0"/>
                <w:color w:val="000000"/>
                <w:sz w:val="18"/>
                <w:szCs w:val="18"/>
                <w:u w:val="none"/>
              </w:rPr>
            </w:pPr>
          </w:p>
        </w:tc>
      </w:tr>
      <w:tr w14:paraId="3617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E8E0">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7A0B">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57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装置开停车、大检修管理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实现园区内企业装置设施  (含重大危险源)开停车和大检修线上备案，备案内容包含但不限于装置开停车方案和时间、大检修方案和时间等。支持备案信息维护、查询。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921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277D">
            <w:pPr>
              <w:jc w:val="center"/>
              <w:rPr>
                <w:rFonts w:hint="eastAsia" w:ascii="宋体" w:hAnsi="宋体" w:eastAsia="宋体" w:cs="宋体"/>
                <w:i w:val="0"/>
                <w:iCs w:val="0"/>
                <w:color w:val="000000"/>
                <w:sz w:val="18"/>
                <w:szCs w:val="18"/>
                <w:u w:val="none"/>
              </w:rPr>
            </w:pPr>
          </w:p>
        </w:tc>
      </w:tr>
      <w:tr w14:paraId="3577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284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38740">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DC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第三方单位</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建立入园/驻园第三方单位信息库，包括但不限于第三方单位基本信息 、资质、安全教育培训记录、服务记录、违规记录等，实现第三方单位诚信管理。支持信息维护、核验，诚信评价规则的在线配置，以及园区企业对有关信息的自主 填报。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BD4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79CF">
            <w:pPr>
              <w:jc w:val="center"/>
              <w:rPr>
                <w:rFonts w:hint="eastAsia" w:ascii="宋体" w:hAnsi="宋体" w:eastAsia="宋体" w:cs="宋体"/>
                <w:i w:val="0"/>
                <w:iCs w:val="0"/>
                <w:color w:val="000000"/>
                <w:sz w:val="18"/>
                <w:szCs w:val="18"/>
                <w:u w:val="none"/>
              </w:rPr>
            </w:pPr>
          </w:p>
        </w:tc>
      </w:tr>
      <w:tr w14:paraId="72A3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DA9F">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26494">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F9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C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预留功能端口，方便后期对接。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5F1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F5A9">
            <w:pPr>
              <w:jc w:val="center"/>
              <w:rPr>
                <w:rFonts w:hint="eastAsia" w:ascii="宋体" w:hAnsi="宋体" w:eastAsia="宋体" w:cs="宋体"/>
                <w:i w:val="0"/>
                <w:iCs w:val="0"/>
                <w:color w:val="000000"/>
                <w:sz w:val="18"/>
                <w:szCs w:val="18"/>
                <w:u w:val="none"/>
              </w:rPr>
            </w:pPr>
          </w:p>
        </w:tc>
      </w:tr>
      <w:tr w14:paraId="0784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2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9B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重大危险源安全管理子系统</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A1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安全承诺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5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统计分析</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A9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安全承诺包含统计分析、填报记录两个模块，支持信息维护和快速查询，以及相关数据多维度统计分析和可视化展示。具有统计分析、填报记录等功能。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B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72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A88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482E">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E2A9">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B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填报记录</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DC31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D33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849C">
            <w:pPr>
              <w:jc w:val="center"/>
              <w:rPr>
                <w:rFonts w:hint="eastAsia" w:ascii="宋体" w:hAnsi="宋体" w:eastAsia="宋体" w:cs="宋体"/>
                <w:i w:val="0"/>
                <w:iCs w:val="0"/>
                <w:color w:val="000000"/>
                <w:sz w:val="18"/>
                <w:szCs w:val="18"/>
                <w:u w:val="none"/>
              </w:rPr>
            </w:pPr>
          </w:p>
        </w:tc>
      </w:tr>
      <w:tr w14:paraId="6BF7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E085">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27A3D">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5D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包保责任制</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D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履职统计</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18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保责任制包含履职统计、履职情况记录、人员信息维护，实现重大危险源安全包保履职记录电子化、条目化，管理企业每一处重大危险源包保责任落实情况，支持维护重大危险源主要负责人、技术负责人和操作负责人信息，检查三级包保责任人安全包保履职情况，以及信息查询、多维度统计分析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4CD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DDAF">
            <w:pPr>
              <w:jc w:val="center"/>
              <w:rPr>
                <w:rFonts w:hint="eastAsia" w:ascii="宋体" w:hAnsi="宋体" w:eastAsia="宋体" w:cs="宋体"/>
                <w:i w:val="0"/>
                <w:iCs w:val="0"/>
                <w:color w:val="000000"/>
                <w:sz w:val="18"/>
                <w:szCs w:val="18"/>
                <w:u w:val="none"/>
              </w:rPr>
            </w:pPr>
          </w:p>
        </w:tc>
      </w:tr>
      <w:tr w14:paraId="238F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16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9BE1">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F83C">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A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履职情况记录</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D045">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21B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FEC8">
            <w:pPr>
              <w:jc w:val="center"/>
              <w:rPr>
                <w:rFonts w:hint="eastAsia" w:ascii="宋体" w:hAnsi="宋体" w:eastAsia="宋体" w:cs="宋体"/>
                <w:i w:val="0"/>
                <w:iCs w:val="0"/>
                <w:color w:val="000000"/>
                <w:sz w:val="18"/>
                <w:szCs w:val="18"/>
                <w:u w:val="none"/>
              </w:rPr>
            </w:pPr>
          </w:p>
        </w:tc>
      </w:tr>
      <w:tr w14:paraId="01F8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E38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46A9">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218E5">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1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人员信息维护</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26A6">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266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C263">
            <w:pPr>
              <w:jc w:val="center"/>
              <w:rPr>
                <w:rFonts w:hint="eastAsia" w:ascii="宋体" w:hAnsi="宋体" w:eastAsia="宋体" w:cs="宋体"/>
                <w:i w:val="0"/>
                <w:iCs w:val="0"/>
                <w:color w:val="000000"/>
                <w:sz w:val="18"/>
                <w:szCs w:val="18"/>
                <w:u w:val="none"/>
              </w:rPr>
            </w:pPr>
          </w:p>
        </w:tc>
      </w:tr>
      <w:tr w14:paraId="5A0A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70F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816CE">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CE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在线监测预警</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危险源监测参数设置</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7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在线监测预警包含危险源监测参数设置、预警报警记录、Ai视频预警、实时视频监控、在线抽查等模块。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CE4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23A9">
            <w:pPr>
              <w:jc w:val="center"/>
              <w:rPr>
                <w:rFonts w:hint="eastAsia" w:ascii="宋体" w:hAnsi="宋体" w:eastAsia="宋体" w:cs="宋体"/>
                <w:i w:val="0"/>
                <w:iCs w:val="0"/>
                <w:color w:val="000000"/>
                <w:sz w:val="18"/>
                <w:szCs w:val="18"/>
                <w:u w:val="none"/>
              </w:rPr>
            </w:pPr>
          </w:p>
        </w:tc>
      </w:tr>
      <w:tr w14:paraId="7B78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706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0CD5">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EFFB">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F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预警报警记录</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F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危险源在线监测系统接入所有重大危险源的传感器，汇聚现有重大危险源监测数据，可以实现查看储罐、装置、危化品库等处的液位、温度、压力和可燃有毒气体浓度的实时监测数据、报警数据等记录，查询历史数据和对比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014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337">
            <w:pPr>
              <w:jc w:val="center"/>
              <w:rPr>
                <w:rFonts w:hint="eastAsia" w:ascii="宋体" w:hAnsi="宋体" w:eastAsia="宋体" w:cs="宋体"/>
                <w:i w:val="0"/>
                <w:iCs w:val="0"/>
                <w:color w:val="000000"/>
                <w:sz w:val="18"/>
                <w:szCs w:val="18"/>
                <w:u w:val="none"/>
              </w:rPr>
            </w:pPr>
          </w:p>
        </w:tc>
      </w:tr>
      <w:tr w14:paraId="1F71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B16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3A44B">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2843">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4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Ai视频预警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9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★对园区内重点危险源、重点点位实施AI视频监控，实现AI预警。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952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A2FF">
            <w:pPr>
              <w:jc w:val="center"/>
              <w:rPr>
                <w:rFonts w:hint="eastAsia" w:ascii="宋体" w:hAnsi="宋体" w:eastAsia="宋体" w:cs="宋体"/>
                <w:i w:val="0"/>
                <w:iCs w:val="0"/>
                <w:color w:val="000000"/>
                <w:sz w:val="18"/>
                <w:szCs w:val="18"/>
                <w:u w:val="none"/>
              </w:rPr>
            </w:pPr>
          </w:p>
        </w:tc>
      </w:tr>
      <w:tr w14:paraId="2F4B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0D6">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F5FEB">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86F4E">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0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实时视频监控</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6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化工园区危险化学品管理办法，接入重大危险源企业视频，并对重大危险源重要场所摄像头，汇聚视频监控画面信息，实现中控室、重大危险源现场等重点部位的监控视频智能分析，支持实现火灾、烟雾、人员违章(中控室脱岗、睡岗)等进行全方位的识别和预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52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E314">
            <w:pPr>
              <w:jc w:val="center"/>
              <w:rPr>
                <w:rFonts w:hint="eastAsia" w:ascii="宋体" w:hAnsi="宋体" w:eastAsia="宋体" w:cs="宋体"/>
                <w:i w:val="0"/>
                <w:iCs w:val="0"/>
                <w:color w:val="000000"/>
                <w:sz w:val="18"/>
                <w:szCs w:val="18"/>
                <w:u w:val="none"/>
              </w:rPr>
            </w:pPr>
          </w:p>
        </w:tc>
      </w:tr>
      <w:tr w14:paraId="333C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67F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29FCF">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88369">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5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在线抽查</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3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重大危险源在线监测系统接入所有重大危险源的传感器，汇聚现有重大危险源监测数据，可以实现查看储罐、装置、危化品库等处的液位 、温度、压力和可燃有毒气体浓度的实时监测数据、报警数据，查询历史数据和对比分析。现阶段需要实现对重大危险源安全在线抽查功能，支持基于GIS地图的重大危险源浏览。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9D1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859D">
            <w:pPr>
              <w:jc w:val="center"/>
              <w:rPr>
                <w:rFonts w:hint="eastAsia" w:ascii="宋体" w:hAnsi="宋体" w:eastAsia="宋体" w:cs="宋体"/>
                <w:i w:val="0"/>
                <w:iCs w:val="0"/>
                <w:color w:val="000000"/>
                <w:sz w:val="18"/>
                <w:szCs w:val="18"/>
                <w:u w:val="none"/>
              </w:rPr>
            </w:pPr>
          </w:p>
        </w:tc>
      </w:tr>
      <w:tr w14:paraId="5482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E780">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57B52">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3A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重大风险管控</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E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★增加风险预警模型，模型分为重大风险(红)、较大风险(橙)、一般风险(黄)、低风险(蓝) 四个级别，实现重大危险源安全风险的实时评估 分析和展示，支持根据预警级别，按照《危险化学品安全生产风险监测预警系统预警信息处置管理办法(试行)》，即时自动完成预警信息的发送、核查、反馈和督办。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E12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6CAE">
            <w:pPr>
              <w:jc w:val="center"/>
              <w:rPr>
                <w:rFonts w:hint="eastAsia" w:ascii="宋体" w:hAnsi="宋体" w:eastAsia="宋体" w:cs="宋体"/>
                <w:i w:val="0"/>
                <w:iCs w:val="0"/>
                <w:color w:val="000000"/>
                <w:sz w:val="18"/>
                <w:szCs w:val="18"/>
                <w:u w:val="none"/>
              </w:rPr>
            </w:pPr>
          </w:p>
        </w:tc>
      </w:tr>
      <w:tr w14:paraId="3A10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DAA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F4257">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3A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报告及隐患管理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6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汇聚重大危险源的安全评价报告、SIL 等级评估报告和重大危险源专项督导 检查问题隐患相关数据，实现重大危险源的安全评价报告电子化备案、查阅和问题隐患“三录入”、整改反馈，支持精确和模糊查询、上传和管理 、多维度统计分析及可视化展示。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0D4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F606">
            <w:pPr>
              <w:jc w:val="center"/>
              <w:rPr>
                <w:rFonts w:hint="eastAsia" w:ascii="宋体" w:hAnsi="宋体" w:eastAsia="宋体" w:cs="宋体"/>
                <w:i w:val="0"/>
                <w:iCs w:val="0"/>
                <w:color w:val="000000"/>
                <w:sz w:val="18"/>
                <w:szCs w:val="18"/>
                <w:u w:val="none"/>
              </w:rPr>
            </w:pPr>
          </w:p>
        </w:tc>
      </w:tr>
      <w:tr w14:paraId="7252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AE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FF5C">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6B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企业分类监管</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贯通安全承诺公告、实时监测数据、安全包保责任人履职、“三录入”、评 价/评估报告，基于危化品重大危险源企业安全管理现状综合评价体系，自动动态分为特别管控、重点关注和一般监管三类，实现对危化品重大危险源企业分类精准监管，支持基于GIS地图分类标注 、多维度统计分析及可视化展示。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396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780B">
            <w:pPr>
              <w:jc w:val="center"/>
              <w:rPr>
                <w:rFonts w:hint="eastAsia" w:ascii="宋体" w:hAnsi="宋体" w:eastAsia="宋体" w:cs="宋体"/>
                <w:i w:val="0"/>
                <w:iCs w:val="0"/>
                <w:color w:val="000000"/>
                <w:sz w:val="18"/>
                <w:szCs w:val="18"/>
                <w:u w:val="none"/>
              </w:rPr>
            </w:pPr>
          </w:p>
        </w:tc>
      </w:tr>
      <w:tr w14:paraId="3B30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6E8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9562">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4A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危化品名录</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9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支持危化品名录信息录入、维护和快速查询，以及相关数据多维度统计分析和可视化展示。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198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9083">
            <w:pPr>
              <w:jc w:val="center"/>
              <w:rPr>
                <w:rFonts w:hint="eastAsia" w:ascii="宋体" w:hAnsi="宋体" w:eastAsia="宋体" w:cs="宋体"/>
                <w:i w:val="0"/>
                <w:iCs w:val="0"/>
                <w:color w:val="000000"/>
                <w:sz w:val="18"/>
                <w:szCs w:val="18"/>
                <w:u w:val="none"/>
              </w:rPr>
            </w:pPr>
          </w:p>
        </w:tc>
      </w:tr>
      <w:tr w14:paraId="0815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88D5">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5483B">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5B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应急预案管理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2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支持应急预案信息录入、维护和快速查询，以及相关数据多维度统计分析和可视化展示。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ED7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A92D">
            <w:pPr>
              <w:jc w:val="center"/>
              <w:rPr>
                <w:rFonts w:hint="eastAsia" w:ascii="宋体" w:hAnsi="宋体" w:eastAsia="宋体" w:cs="宋体"/>
                <w:i w:val="0"/>
                <w:iCs w:val="0"/>
                <w:color w:val="000000"/>
                <w:sz w:val="18"/>
                <w:szCs w:val="18"/>
                <w:u w:val="none"/>
              </w:rPr>
            </w:pPr>
          </w:p>
        </w:tc>
      </w:tr>
      <w:tr w14:paraId="28EC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5DB0">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843C">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93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监测设备管理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9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支持监测设备管理、维护，以及相关数据多维度统计分析和可视化展示。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259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A2AC">
            <w:pPr>
              <w:jc w:val="center"/>
              <w:rPr>
                <w:rFonts w:hint="eastAsia" w:ascii="宋体" w:hAnsi="宋体" w:eastAsia="宋体" w:cs="宋体"/>
                <w:i w:val="0"/>
                <w:iCs w:val="0"/>
                <w:color w:val="000000"/>
                <w:sz w:val="18"/>
                <w:szCs w:val="18"/>
                <w:u w:val="none"/>
              </w:rPr>
            </w:pPr>
          </w:p>
        </w:tc>
      </w:tr>
      <w:tr w14:paraId="353F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0C2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3513">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B1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危险源短信记录</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5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支持危险源短信等信息维护和快速查询，以及相关数据多维度统计分析和可视化展示。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057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047B">
            <w:pPr>
              <w:jc w:val="center"/>
              <w:rPr>
                <w:rFonts w:hint="eastAsia" w:ascii="宋体" w:hAnsi="宋体" w:eastAsia="宋体" w:cs="宋体"/>
                <w:i w:val="0"/>
                <w:iCs w:val="0"/>
                <w:color w:val="000000"/>
                <w:sz w:val="18"/>
                <w:szCs w:val="18"/>
                <w:u w:val="none"/>
              </w:rPr>
            </w:pPr>
          </w:p>
        </w:tc>
      </w:tr>
      <w:tr w14:paraId="7440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8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C9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双重预防机制子系统</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企业运行概况</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支持层层穿透到企业端双重预防机制信息系统，查看企业生产装置/罐区、风险事件数量、隐患数量等基本信息，并可查询企业风险分级管控清单和隐患排查清单。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0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F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BB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E0A1">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6299C">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2E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督办提醒</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8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★实现对重大隐患线上督办、整改临期提醒及一般隐患超期警示功能 ，支持线上下发督办通知书、通过系统向有关人员发送提醒警示信息等功能，确保实现隐患闭环处置 ，以及不同行业、不同关键装置隐患多维度统计分析和可视化展示。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F45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8A2C">
            <w:pPr>
              <w:jc w:val="center"/>
              <w:rPr>
                <w:rFonts w:hint="eastAsia" w:ascii="宋体" w:hAnsi="宋体" w:eastAsia="宋体" w:cs="宋体"/>
                <w:i w:val="0"/>
                <w:iCs w:val="0"/>
                <w:color w:val="000000"/>
                <w:sz w:val="18"/>
                <w:szCs w:val="18"/>
                <w:u w:val="none"/>
              </w:rPr>
            </w:pPr>
          </w:p>
        </w:tc>
      </w:tr>
      <w:tr w14:paraId="47BE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0186">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D27B">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6C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风险分级管控</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B4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园区内企业双重预防机制运行效果线上线下相融合的监督检查，支持对单个企业风险分析完成率、排查任务完成率及隐患整改完成率的信息查询，对企业双重预防机制运行效果、隐患预警情况自动统计分析、原因分析，通过系统推送等方式定期推送给有关人员，为线下精准执法检查提供支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B85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EEB7">
            <w:pPr>
              <w:jc w:val="center"/>
              <w:rPr>
                <w:rFonts w:hint="eastAsia" w:ascii="宋体" w:hAnsi="宋体" w:eastAsia="宋体" w:cs="宋体"/>
                <w:i w:val="0"/>
                <w:iCs w:val="0"/>
                <w:color w:val="000000"/>
                <w:sz w:val="18"/>
                <w:szCs w:val="18"/>
                <w:u w:val="none"/>
              </w:rPr>
            </w:pPr>
          </w:p>
        </w:tc>
      </w:tr>
      <w:tr w14:paraId="66D1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12E6">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30569">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30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隐患排查治理</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251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3F5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B8D9">
            <w:pPr>
              <w:jc w:val="center"/>
              <w:rPr>
                <w:rFonts w:hint="eastAsia" w:ascii="宋体" w:hAnsi="宋体" w:eastAsia="宋体" w:cs="宋体"/>
                <w:i w:val="0"/>
                <w:iCs w:val="0"/>
                <w:color w:val="000000"/>
                <w:sz w:val="18"/>
                <w:szCs w:val="18"/>
                <w:u w:val="none"/>
              </w:rPr>
            </w:pPr>
          </w:p>
        </w:tc>
      </w:tr>
      <w:tr w14:paraId="38E1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1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E5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特殊作业管理子系统</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5B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统计分析</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★实现与园区内企业电子作业许可系统的结构化数据对接，支持园区内特殊作 业按照企业名称维度、时间维度、作业类型维度进行统计分析 ，并能与其他系统 互联互通，实现数据共享。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5B4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FF80">
            <w:pPr>
              <w:jc w:val="center"/>
              <w:rPr>
                <w:rFonts w:hint="eastAsia" w:ascii="宋体" w:hAnsi="宋体" w:eastAsia="宋体" w:cs="宋体"/>
                <w:i w:val="0"/>
                <w:iCs w:val="0"/>
                <w:color w:val="000000"/>
                <w:sz w:val="18"/>
                <w:szCs w:val="18"/>
                <w:u w:val="none"/>
              </w:rPr>
            </w:pPr>
          </w:p>
        </w:tc>
      </w:tr>
      <w:tr w14:paraId="21E1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D36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9FC2">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43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作业报备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F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根据国家行业标准制定符合本工业园的特殊作业模板，包含吊装作业、动火 作业、动土作业、断路作业、高处作业、设备检修作业、盲板抽堵作业、受限空 间作业共八个模板，并支持在线编辑、查询、同步等功能。企业人员通过 web 后台上传特殊作业全过程资料，园区平台上可以及时查看作业内容 ，数据类型包 含作业属地单位、作业类型、作业内容、作业时间等内容。支持报备信息的维护、查询和统计。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F09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041C">
            <w:pPr>
              <w:jc w:val="center"/>
              <w:rPr>
                <w:rFonts w:hint="eastAsia" w:ascii="宋体" w:hAnsi="宋体" w:eastAsia="宋体" w:cs="宋体"/>
                <w:i w:val="0"/>
                <w:iCs w:val="0"/>
                <w:color w:val="000000"/>
                <w:sz w:val="18"/>
                <w:szCs w:val="18"/>
                <w:u w:val="none"/>
              </w:rPr>
            </w:pPr>
          </w:p>
        </w:tc>
      </w:tr>
      <w:tr w14:paraId="628E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F84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B89BE">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2B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抽查检查</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3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实现在线抽查检查企业的特殊作业情况 ，可与应急管理部特种作业操作证及 安全生产知识和管理能力考核合格信息查询平台互通。 园区工作人员可以调阅追 溯到作业申请 、审批 、作业全流程的数据 、图片、视频 、传感器等内容。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FD2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3DAF">
            <w:pPr>
              <w:jc w:val="center"/>
              <w:rPr>
                <w:rFonts w:hint="eastAsia" w:ascii="宋体" w:hAnsi="宋体" w:eastAsia="宋体" w:cs="宋体"/>
                <w:i w:val="0"/>
                <w:iCs w:val="0"/>
                <w:color w:val="000000"/>
                <w:sz w:val="18"/>
                <w:szCs w:val="18"/>
                <w:u w:val="none"/>
              </w:rPr>
            </w:pPr>
          </w:p>
        </w:tc>
      </w:tr>
      <w:tr w14:paraId="4743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A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93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封闭化管理子系统</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AC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F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预警包含预警事件管理、预警记录显示等，对经过卡口车辆超速等形成预警信息，并记录备案，提示处理。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5C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7A5A">
            <w:pPr>
              <w:jc w:val="center"/>
              <w:rPr>
                <w:rFonts w:hint="eastAsia" w:ascii="宋体" w:hAnsi="宋体" w:eastAsia="宋体" w:cs="宋体"/>
                <w:i w:val="0"/>
                <w:iCs w:val="0"/>
                <w:color w:val="000000"/>
                <w:sz w:val="18"/>
                <w:szCs w:val="18"/>
                <w:u w:val="none"/>
              </w:rPr>
            </w:pPr>
          </w:p>
        </w:tc>
      </w:tr>
      <w:tr w14:paraId="0487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273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60A78">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D0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门禁/卡口管理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3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对接卡口信息，包括卡口内的人员、卡口关联的道闸、与道闸关联的摄像头，以及远程控制卡口的启用停用等。支持车流量统计等。经现场调研，化工园区内有居民，不适合全封闭管理，因此 只对进出园区 车辆进行管理。通过园区道路卡口车牌识别摄像机识别进出园区车辆信息，进而可达到统计车流的目的。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C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D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3A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8EA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B528">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58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定位卡管理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对危险品车辆实施实时定位管理。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2EF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59F8">
            <w:pPr>
              <w:jc w:val="center"/>
              <w:rPr>
                <w:rFonts w:hint="eastAsia" w:ascii="宋体" w:hAnsi="宋体" w:eastAsia="宋体" w:cs="宋体"/>
                <w:i w:val="0"/>
                <w:iCs w:val="0"/>
                <w:color w:val="000000"/>
                <w:sz w:val="18"/>
                <w:szCs w:val="18"/>
                <w:u w:val="none"/>
              </w:rPr>
            </w:pPr>
          </w:p>
        </w:tc>
      </w:tr>
      <w:tr w14:paraId="4032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E4A0">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D42B">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4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人行闸机管理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3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主要包括闸机流量统计、人行闸机管理、人行闸机流水、访客入园审核、人员白名单管理等信息的记录、分析。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305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53C9">
            <w:pPr>
              <w:jc w:val="center"/>
              <w:rPr>
                <w:rFonts w:hint="eastAsia" w:ascii="宋体" w:hAnsi="宋体" w:eastAsia="宋体" w:cs="宋体"/>
                <w:i w:val="0"/>
                <w:iCs w:val="0"/>
                <w:color w:val="000000"/>
                <w:sz w:val="18"/>
                <w:szCs w:val="18"/>
                <w:u w:val="none"/>
              </w:rPr>
            </w:pPr>
          </w:p>
        </w:tc>
      </w:tr>
      <w:tr w14:paraId="0BC3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49F0">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27A89">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7A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出入园管理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4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车辆流量统计</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38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主要包括车辆流量统计、出入园记录、车辆预约审核、车辆白名单管理、黑名单管理等模块，实现信息录入、分析、管理。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EA5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BD04">
            <w:pPr>
              <w:jc w:val="center"/>
              <w:rPr>
                <w:rFonts w:hint="eastAsia" w:ascii="宋体" w:hAnsi="宋体" w:eastAsia="宋体" w:cs="宋体"/>
                <w:i w:val="0"/>
                <w:iCs w:val="0"/>
                <w:color w:val="000000"/>
                <w:sz w:val="18"/>
                <w:szCs w:val="18"/>
                <w:u w:val="none"/>
              </w:rPr>
            </w:pPr>
          </w:p>
        </w:tc>
      </w:tr>
      <w:tr w14:paraId="4AF2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388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4AAB">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B8C80">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B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出入园记录</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3DB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657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7701">
            <w:pPr>
              <w:jc w:val="center"/>
              <w:rPr>
                <w:rFonts w:hint="eastAsia" w:ascii="宋体" w:hAnsi="宋体" w:eastAsia="宋体" w:cs="宋体"/>
                <w:i w:val="0"/>
                <w:iCs w:val="0"/>
                <w:color w:val="000000"/>
                <w:sz w:val="18"/>
                <w:szCs w:val="18"/>
                <w:u w:val="none"/>
              </w:rPr>
            </w:pPr>
          </w:p>
        </w:tc>
      </w:tr>
      <w:tr w14:paraId="7FEA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ED4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C759">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C9BE">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B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车辆预约审核</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D8F7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871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E0DB">
            <w:pPr>
              <w:jc w:val="center"/>
              <w:rPr>
                <w:rFonts w:hint="eastAsia" w:ascii="宋体" w:hAnsi="宋体" w:eastAsia="宋体" w:cs="宋体"/>
                <w:i w:val="0"/>
                <w:iCs w:val="0"/>
                <w:color w:val="000000"/>
                <w:sz w:val="18"/>
                <w:szCs w:val="18"/>
                <w:u w:val="none"/>
              </w:rPr>
            </w:pPr>
          </w:p>
        </w:tc>
      </w:tr>
      <w:tr w14:paraId="0A2D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EFB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8202A">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0AB2A">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车辆白名单管理</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5BE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C4B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FA82">
            <w:pPr>
              <w:jc w:val="center"/>
              <w:rPr>
                <w:rFonts w:hint="eastAsia" w:ascii="宋体" w:hAnsi="宋体" w:eastAsia="宋体" w:cs="宋体"/>
                <w:i w:val="0"/>
                <w:iCs w:val="0"/>
                <w:color w:val="000000"/>
                <w:sz w:val="18"/>
                <w:szCs w:val="18"/>
                <w:u w:val="none"/>
              </w:rPr>
            </w:pPr>
          </w:p>
        </w:tc>
      </w:tr>
      <w:tr w14:paraId="3F83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167A">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0682C">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6A06">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C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黑名单管理</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1AEAF">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4BE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7AA0">
            <w:pPr>
              <w:jc w:val="center"/>
              <w:rPr>
                <w:rFonts w:hint="eastAsia" w:ascii="宋体" w:hAnsi="宋体" w:eastAsia="宋体" w:cs="宋体"/>
                <w:i w:val="0"/>
                <w:iCs w:val="0"/>
                <w:color w:val="000000"/>
                <w:sz w:val="18"/>
                <w:szCs w:val="18"/>
                <w:u w:val="none"/>
              </w:rPr>
            </w:pPr>
          </w:p>
        </w:tc>
      </w:tr>
      <w:tr w14:paraId="182C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E3C7">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DB08">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80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运单信息管理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A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主要包括运单信息录入、统计、分析、管理。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76E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C85F">
            <w:pPr>
              <w:jc w:val="center"/>
              <w:rPr>
                <w:rFonts w:hint="eastAsia" w:ascii="宋体" w:hAnsi="宋体" w:eastAsia="宋体" w:cs="宋体"/>
                <w:i w:val="0"/>
                <w:iCs w:val="0"/>
                <w:color w:val="000000"/>
                <w:sz w:val="18"/>
                <w:szCs w:val="18"/>
                <w:u w:val="none"/>
              </w:rPr>
            </w:pPr>
          </w:p>
        </w:tc>
      </w:tr>
      <w:tr w14:paraId="5805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B0F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783A8">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4A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危险品运输</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7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路径规划</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0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路径规划、抓拍流水、违规流水、危化车轨迹等信息的录入、统计、分析、管理。实现对目前园区内危化车辆路线的划定管理，通过地图的形式对各路线进行绘制。实现对园区区域的统一管理，为区域监控提供基础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05D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3E1D">
            <w:pPr>
              <w:jc w:val="center"/>
              <w:rPr>
                <w:rFonts w:hint="eastAsia" w:ascii="宋体" w:hAnsi="宋体" w:eastAsia="宋体" w:cs="宋体"/>
                <w:i w:val="0"/>
                <w:iCs w:val="0"/>
                <w:color w:val="000000"/>
                <w:sz w:val="18"/>
                <w:szCs w:val="18"/>
                <w:u w:val="none"/>
              </w:rPr>
            </w:pPr>
          </w:p>
        </w:tc>
      </w:tr>
      <w:tr w14:paraId="6B13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730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ABC3">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5BEF">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E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抓拍流水</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40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危化车辆违规时，系统将及时截图证据链，然后报警并推送到其他系统进行展示，同时存储信息便于后期调阅；利用园区道路卡口视频监控记录、车辆定位终端的车辆数据、十字路口视频监控(带测速、行驶轨迹记录功能)记录的车辆数据，当车辆超速、不按规定路线行驶、入园超时等，系统自动记录、抓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3D2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2487">
            <w:pPr>
              <w:jc w:val="center"/>
              <w:rPr>
                <w:rFonts w:hint="eastAsia" w:ascii="宋体" w:hAnsi="宋体" w:eastAsia="宋体" w:cs="宋体"/>
                <w:i w:val="0"/>
                <w:iCs w:val="0"/>
                <w:color w:val="000000"/>
                <w:sz w:val="18"/>
                <w:szCs w:val="18"/>
                <w:u w:val="none"/>
              </w:rPr>
            </w:pPr>
          </w:p>
        </w:tc>
      </w:tr>
      <w:tr w14:paraId="40E9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EB76">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C3F4">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139C">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违规流水</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BC9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A60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189">
            <w:pPr>
              <w:jc w:val="center"/>
              <w:rPr>
                <w:rFonts w:hint="eastAsia" w:ascii="宋体" w:hAnsi="宋体" w:eastAsia="宋体" w:cs="宋体"/>
                <w:i w:val="0"/>
                <w:iCs w:val="0"/>
                <w:color w:val="000000"/>
                <w:sz w:val="18"/>
                <w:szCs w:val="18"/>
                <w:u w:val="none"/>
              </w:rPr>
            </w:pPr>
          </w:p>
        </w:tc>
      </w:tr>
      <w:tr w14:paraId="61D1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0CB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B869">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F190">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8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危化车轨迹</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可以通过车辆车牌，查询到该车辆的运行轨迹。对接园区道口卡口车辆数据、园区十字路口视频监控车辆数据、企业危化品车辆出入口车辆数据，实现对危化品运输车辆的范围定位。系统可将各入园危化品运输车辆在电子地图上定位显示，并可显示车辆在园区、行驶路线、车速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5B5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14C0">
            <w:pPr>
              <w:jc w:val="center"/>
              <w:rPr>
                <w:rFonts w:hint="eastAsia" w:ascii="宋体" w:hAnsi="宋体" w:eastAsia="宋体" w:cs="宋体"/>
                <w:i w:val="0"/>
                <w:iCs w:val="0"/>
                <w:color w:val="000000"/>
                <w:sz w:val="18"/>
                <w:szCs w:val="18"/>
                <w:u w:val="none"/>
              </w:rPr>
            </w:pPr>
          </w:p>
        </w:tc>
      </w:tr>
      <w:tr w14:paraId="3807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F18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292E">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AB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危化停车场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车位路径</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30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企业危化品停车场区域信息，登记企业各类停车位的信息，并且接入停车场摄像头，可以查看停车场停车情况。支持车位路径、调度引导、预约审核、准入清单等信息进行统计、分析、审批、记录等；对相关设备进行候检管理、历史记录、分区管控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9B1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AF47">
            <w:pPr>
              <w:jc w:val="center"/>
              <w:rPr>
                <w:rFonts w:hint="eastAsia" w:ascii="宋体" w:hAnsi="宋体" w:eastAsia="宋体" w:cs="宋体"/>
                <w:i w:val="0"/>
                <w:iCs w:val="0"/>
                <w:color w:val="000000"/>
                <w:sz w:val="18"/>
                <w:szCs w:val="18"/>
                <w:u w:val="none"/>
              </w:rPr>
            </w:pPr>
          </w:p>
        </w:tc>
      </w:tr>
      <w:tr w14:paraId="767A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F16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F368A">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F124">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7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调度引导</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6B6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70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A5D9">
            <w:pPr>
              <w:jc w:val="center"/>
              <w:rPr>
                <w:rFonts w:hint="eastAsia" w:ascii="宋体" w:hAnsi="宋体" w:eastAsia="宋体" w:cs="宋体"/>
                <w:i w:val="0"/>
                <w:iCs w:val="0"/>
                <w:color w:val="000000"/>
                <w:sz w:val="18"/>
                <w:szCs w:val="18"/>
                <w:u w:val="none"/>
              </w:rPr>
            </w:pPr>
          </w:p>
        </w:tc>
      </w:tr>
      <w:tr w14:paraId="024E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147">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8206">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99BE">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A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预约审核</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BAE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C5A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B068">
            <w:pPr>
              <w:jc w:val="center"/>
              <w:rPr>
                <w:rFonts w:hint="eastAsia" w:ascii="宋体" w:hAnsi="宋体" w:eastAsia="宋体" w:cs="宋体"/>
                <w:i w:val="0"/>
                <w:iCs w:val="0"/>
                <w:color w:val="000000"/>
                <w:sz w:val="18"/>
                <w:szCs w:val="18"/>
                <w:u w:val="none"/>
              </w:rPr>
            </w:pPr>
          </w:p>
        </w:tc>
      </w:tr>
      <w:tr w14:paraId="20E6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7CF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29BCA">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6E98">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C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准入清单</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DC1B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86E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AA46">
            <w:pPr>
              <w:jc w:val="center"/>
              <w:rPr>
                <w:rFonts w:hint="eastAsia" w:ascii="宋体" w:hAnsi="宋体" w:eastAsia="宋体" w:cs="宋体"/>
                <w:i w:val="0"/>
                <w:iCs w:val="0"/>
                <w:color w:val="000000"/>
                <w:sz w:val="18"/>
                <w:szCs w:val="18"/>
                <w:u w:val="none"/>
              </w:rPr>
            </w:pPr>
          </w:p>
        </w:tc>
      </w:tr>
      <w:tr w14:paraId="2F43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58CF">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C509">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7F99">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候检管理</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416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E1E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4B32">
            <w:pPr>
              <w:jc w:val="center"/>
              <w:rPr>
                <w:rFonts w:hint="eastAsia" w:ascii="宋体" w:hAnsi="宋体" w:eastAsia="宋体" w:cs="宋体"/>
                <w:i w:val="0"/>
                <w:iCs w:val="0"/>
                <w:color w:val="000000"/>
                <w:sz w:val="18"/>
                <w:szCs w:val="18"/>
                <w:u w:val="none"/>
              </w:rPr>
            </w:pPr>
          </w:p>
        </w:tc>
      </w:tr>
      <w:tr w14:paraId="29E3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D9C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C93D">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68DD">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0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历史记录</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7150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3F9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8617">
            <w:pPr>
              <w:jc w:val="center"/>
              <w:rPr>
                <w:rFonts w:hint="eastAsia" w:ascii="宋体" w:hAnsi="宋体" w:eastAsia="宋体" w:cs="宋体"/>
                <w:i w:val="0"/>
                <w:iCs w:val="0"/>
                <w:color w:val="000000"/>
                <w:sz w:val="18"/>
                <w:szCs w:val="18"/>
                <w:u w:val="none"/>
              </w:rPr>
            </w:pPr>
          </w:p>
        </w:tc>
      </w:tr>
      <w:tr w14:paraId="47F7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9AC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5219">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0437">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2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设备管理</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540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AE0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2E16">
            <w:pPr>
              <w:jc w:val="center"/>
              <w:rPr>
                <w:rFonts w:hint="eastAsia" w:ascii="宋体" w:hAnsi="宋体" w:eastAsia="宋体" w:cs="宋体"/>
                <w:i w:val="0"/>
                <w:iCs w:val="0"/>
                <w:color w:val="000000"/>
                <w:sz w:val="18"/>
                <w:szCs w:val="18"/>
                <w:u w:val="none"/>
              </w:rPr>
            </w:pPr>
          </w:p>
        </w:tc>
      </w:tr>
      <w:tr w14:paraId="2738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F12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E46D">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CD660">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E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统计分析</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580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0E4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1736">
            <w:pPr>
              <w:jc w:val="center"/>
              <w:rPr>
                <w:rFonts w:hint="eastAsia" w:ascii="宋体" w:hAnsi="宋体" w:eastAsia="宋体" w:cs="宋体"/>
                <w:i w:val="0"/>
                <w:iCs w:val="0"/>
                <w:color w:val="000000"/>
                <w:sz w:val="18"/>
                <w:szCs w:val="18"/>
                <w:u w:val="none"/>
              </w:rPr>
            </w:pPr>
          </w:p>
        </w:tc>
      </w:tr>
      <w:tr w14:paraId="2B7A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DEF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AB30">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AA82">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分区管控</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C33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C29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7F83">
            <w:pPr>
              <w:jc w:val="center"/>
              <w:rPr>
                <w:rFonts w:hint="eastAsia" w:ascii="宋体" w:hAnsi="宋体" w:eastAsia="宋体" w:cs="宋体"/>
                <w:i w:val="0"/>
                <w:iCs w:val="0"/>
                <w:color w:val="000000"/>
                <w:sz w:val="18"/>
                <w:szCs w:val="18"/>
                <w:u w:val="none"/>
              </w:rPr>
            </w:pPr>
          </w:p>
        </w:tc>
      </w:tr>
      <w:tr w14:paraId="4B0F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ADE5">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E584">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DF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F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车辆档案</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管理主要包括车辆档案、运输公司、运输人员、车辆挂罐等信息的登记、统计、分析、管控。登记园区内各类车辆信息，包括企业危化品车辆、外来危化品车辆、固定车辆、临时拜访车辆;对于企业危化品车辆及外来运输车辆，企业及运输公司需要对车辆的基础档案进行维护更新；记录车辆在园区内产生的业务信息。通过车辆档案可以查询园区内车辆信息，在查询的下拉列表中点击点位就可以快速定位到车辆，查看车辆信息。车辆信息包括牵引车牌、挂车车牌、驾驶员、押运员、货物(重量)、运输公司、发货地、收货地。点击车辆信息卡片右上角的按钮可以进入车辆细查页面，点击底部的历史轨迹进入车辆的细查页面查看车辆今天的车辆轨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B13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F3FB">
            <w:pPr>
              <w:jc w:val="center"/>
              <w:rPr>
                <w:rFonts w:hint="eastAsia" w:ascii="宋体" w:hAnsi="宋体" w:eastAsia="宋体" w:cs="宋体"/>
                <w:i w:val="0"/>
                <w:iCs w:val="0"/>
                <w:color w:val="000000"/>
                <w:sz w:val="18"/>
                <w:szCs w:val="18"/>
                <w:u w:val="none"/>
              </w:rPr>
            </w:pPr>
          </w:p>
        </w:tc>
      </w:tr>
      <w:tr w14:paraId="1B75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06D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68E1">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CCEFA">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7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运输公司管理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企业基础数据包含统一社会信用编码，企业名称，企业类型，企业法人代表，注册资本，企业住所，营业期限，登记机关，登记状态，责任人，责任人联系电话，企业经营范围以及各类相关证件扫描件。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B27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F63">
            <w:pPr>
              <w:jc w:val="center"/>
              <w:rPr>
                <w:rFonts w:hint="eastAsia" w:ascii="宋体" w:hAnsi="宋体" w:eastAsia="宋体" w:cs="宋体"/>
                <w:i w:val="0"/>
                <w:iCs w:val="0"/>
                <w:color w:val="000000"/>
                <w:sz w:val="18"/>
                <w:szCs w:val="18"/>
                <w:u w:val="none"/>
              </w:rPr>
            </w:pPr>
          </w:p>
        </w:tc>
      </w:tr>
      <w:tr w14:paraId="02C5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F77">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5ED6">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44425">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8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运输人员管理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0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★实现对驾驶员、押运员信息的管理，包含姓名，性别，身份证号码，联系电话，岗位，从业资格证信息，以及各类相关证件扫描件。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4F9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AEED">
            <w:pPr>
              <w:jc w:val="center"/>
              <w:rPr>
                <w:rFonts w:hint="eastAsia" w:ascii="宋体" w:hAnsi="宋体" w:eastAsia="宋体" w:cs="宋体"/>
                <w:i w:val="0"/>
                <w:iCs w:val="0"/>
                <w:color w:val="000000"/>
                <w:sz w:val="18"/>
                <w:szCs w:val="18"/>
                <w:u w:val="none"/>
              </w:rPr>
            </w:pPr>
          </w:p>
        </w:tc>
      </w:tr>
      <w:tr w14:paraId="334E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01A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E6AB">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D8EEC">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车辆挂罐管理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5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实现对进出运输车辆罐体信息的管理，包含罐体编号，罐体类型，容积，投运日期，以及各类相关证件扫描件。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A06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8EF9">
            <w:pPr>
              <w:jc w:val="center"/>
              <w:rPr>
                <w:rFonts w:hint="eastAsia" w:ascii="宋体" w:hAnsi="宋体" w:eastAsia="宋体" w:cs="宋体"/>
                <w:i w:val="0"/>
                <w:iCs w:val="0"/>
                <w:color w:val="000000"/>
                <w:sz w:val="18"/>
                <w:szCs w:val="18"/>
                <w:u w:val="none"/>
              </w:rPr>
            </w:pPr>
          </w:p>
        </w:tc>
      </w:tr>
      <w:tr w14:paraId="01FB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65D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ECEA">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46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4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园区视频监控</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D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包括园区视频监控、周界视频监控、高点位视频监控等监控信息的存预览、流转等及相关硬件设备的管控。支持园区摄像头各种参数的设置，包含企业名称、设备名称、编码和位号、是否有 红外功能、画面质量、监控对象、监控对 象ID等信息。为园区内视频进行分组，方便用户根据分 组进行查看；同时可以实现查看园区内视 频监控的视频。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4D5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AC95">
            <w:pPr>
              <w:jc w:val="center"/>
              <w:rPr>
                <w:rFonts w:hint="eastAsia" w:ascii="宋体" w:hAnsi="宋体" w:eastAsia="宋体" w:cs="宋体"/>
                <w:i w:val="0"/>
                <w:iCs w:val="0"/>
                <w:color w:val="000000"/>
                <w:sz w:val="18"/>
                <w:szCs w:val="18"/>
                <w:u w:val="none"/>
              </w:rPr>
            </w:pPr>
          </w:p>
        </w:tc>
      </w:tr>
      <w:tr w14:paraId="7126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194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EC40">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BBAF">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6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周界视频监控</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为园区内周界视频进行分组，方便用户根 据分组进行查看，同时可实现查看园区周 界视频监控的视频。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BDB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8F71">
            <w:pPr>
              <w:jc w:val="center"/>
              <w:rPr>
                <w:rFonts w:hint="eastAsia" w:ascii="宋体" w:hAnsi="宋体" w:eastAsia="宋体" w:cs="宋体"/>
                <w:i w:val="0"/>
                <w:iCs w:val="0"/>
                <w:color w:val="000000"/>
                <w:sz w:val="18"/>
                <w:szCs w:val="18"/>
                <w:u w:val="none"/>
              </w:rPr>
            </w:pPr>
          </w:p>
        </w:tc>
      </w:tr>
      <w:tr w14:paraId="63AF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060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689A6">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C1801">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E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高点位视频监控</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4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为园区内高点位视频进行分组，方便用户根 据分组进行查看，同时可实现查看园区周 界视频监控的视频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2B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24F2">
            <w:pPr>
              <w:jc w:val="center"/>
              <w:rPr>
                <w:rFonts w:hint="eastAsia" w:ascii="宋体" w:hAnsi="宋体" w:eastAsia="宋体" w:cs="宋体"/>
                <w:i w:val="0"/>
                <w:iCs w:val="0"/>
                <w:color w:val="000000"/>
                <w:sz w:val="18"/>
                <w:szCs w:val="18"/>
                <w:u w:val="none"/>
              </w:rPr>
            </w:pPr>
          </w:p>
        </w:tc>
      </w:tr>
      <w:tr w14:paraId="66CE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482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F8FC">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B9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人员分布管理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3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支持查询展示特定人员实时位置  和历史轨迹。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7F9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80A1">
            <w:pPr>
              <w:jc w:val="center"/>
              <w:rPr>
                <w:rFonts w:hint="eastAsia" w:ascii="宋体" w:hAnsi="宋体" w:eastAsia="宋体" w:cs="宋体"/>
                <w:i w:val="0"/>
                <w:iCs w:val="0"/>
                <w:color w:val="000000"/>
                <w:sz w:val="18"/>
                <w:szCs w:val="18"/>
                <w:u w:val="none"/>
              </w:rPr>
            </w:pPr>
          </w:p>
        </w:tc>
      </w:tr>
      <w:tr w14:paraId="4389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2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10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敏捷应急子系统</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9F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企业应急预案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0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预案查询</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C6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支持企业应急预案的备案、维护等功能，支持预案查询、预案审批、所有预案、综合预案、专项预案、现场处置预案、其他预案等信息查询、检索，多维度统计分析。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5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4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D8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AAE5">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1029">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C8EF">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预案审批</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C3E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4EF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B7E0">
            <w:pPr>
              <w:jc w:val="center"/>
              <w:rPr>
                <w:rFonts w:hint="eastAsia" w:ascii="宋体" w:hAnsi="宋体" w:eastAsia="宋体" w:cs="宋体"/>
                <w:i w:val="0"/>
                <w:iCs w:val="0"/>
                <w:color w:val="000000"/>
                <w:sz w:val="18"/>
                <w:szCs w:val="18"/>
                <w:u w:val="none"/>
              </w:rPr>
            </w:pPr>
          </w:p>
        </w:tc>
      </w:tr>
      <w:tr w14:paraId="6005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C18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E4F0">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5EA78">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C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所有预案</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4E2A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F9B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6782">
            <w:pPr>
              <w:jc w:val="center"/>
              <w:rPr>
                <w:rFonts w:hint="eastAsia" w:ascii="宋体" w:hAnsi="宋体" w:eastAsia="宋体" w:cs="宋体"/>
                <w:i w:val="0"/>
                <w:iCs w:val="0"/>
                <w:color w:val="000000"/>
                <w:sz w:val="18"/>
                <w:szCs w:val="18"/>
                <w:u w:val="none"/>
              </w:rPr>
            </w:pPr>
          </w:p>
        </w:tc>
      </w:tr>
      <w:tr w14:paraId="592A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AA8A">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7489">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449DC">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B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综合预案</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5C78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779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6342">
            <w:pPr>
              <w:jc w:val="center"/>
              <w:rPr>
                <w:rFonts w:hint="eastAsia" w:ascii="宋体" w:hAnsi="宋体" w:eastAsia="宋体" w:cs="宋体"/>
                <w:i w:val="0"/>
                <w:iCs w:val="0"/>
                <w:color w:val="000000"/>
                <w:sz w:val="18"/>
                <w:szCs w:val="18"/>
                <w:u w:val="none"/>
              </w:rPr>
            </w:pPr>
          </w:p>
        </w:tc>
      </w:tr>
      <w:tr w14:paraId="25CA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D8FF">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88B2">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8419">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D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专项预案</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4C1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BFC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87AF">
            <w:pPr>
              <w:jc w:val="center"/>
              <w:rPr>
                <w:rFonts w:hint="eastAsia" w:ascii="宋体" w:hAnsi="宋体" w:eastAsia="宋体" w:cs="宋体"/>
                <w:i w:val="0"/>
                <w:iCs w:val="0"/>
                <w:color w:val="000000"/>
                <w:sz w:val="18"/>
                <w:szCs w:val="18"/>
                <w:u w:val="none"/>
              </w:rPr>
            </w:pPr>
          </w:p>
        </w:tc>
      </w:tr>
      <w:tr w14:paraId="6E8A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ABD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F4EB">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34CB">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现场处置预案</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FE20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8FA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4400">
            <w:pPr>
              <w:jc w:val="center"/>
              <w:rPr>
                <w:rFonts w:hint="eastAsia" w:ascii="宋体" w:hAnsi="宋体" w:eastAsia="宋体" w:cs="宋体"/>
                <w:i w:val="0"/>
                <w:iCs w:val="0"/>
                <w:color w:val="000000"/>
                <w:sz w:val="18"/>
                <w:szCs w:val="18"/>
                <w:u w:val="none"/>
              </w:rPr>
            </w:pPr>
          </w:p>
        </w:tc>
      </w:tr>
      <w:tr w14:paraId="7118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3F8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ABD3B">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72A8">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A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其他预案</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D48B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0BF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024E">
            <w:pPr>
              <w:jc w:val="center"/>
              <w:rPr>
                <w:rFonts w:hint="eastAsia" w:ascii="宋体" w:hAnsi="宋体" w:eastAsia="宋体" w:cs="宋体"/>
                <w:i w:val="0"/>
                <w:iCs w:val="0"/>
                <w:color w:val="000000"/>
                <w:sz w:val="18"/>
                <w:szCs w:val="18"/>
                <w:u w:val="none"/>
              </w:rPr>
            </w:pPr>
          </w:p>
        </w:tc>
      </w:tr>
      <w:tr w14:paraId="3396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DB4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5675">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00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园区预案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C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预案录入</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E4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支持园区预案的录入、评审、公布等流程管理，支持园区预案等信息查询、检索，多维度统计分析。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B65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8B3F">
            <w:pPr>
              <w:jc w:val="center"/>
              <w:rPr>
                <w:rFonts w:hint="eastAsia" w:ascii="宋体" w:hAnsi="宋体" w:eastAsia="宋体" w:cs="宋体"/>
                <w:i w:val="0"/>
                <w:iCs w:val="0"/>
                <w:color w:val="000000"/>
                <w:sz w:val="18"/>
                <w:szCs w:val="18"/>
                <w:u w:val="none"/>
              </w:rPr>
            </w:pPr>
          </w:p>
        </w:tc>
      </w:tr>
      <w:tr w14:paraId="35B3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219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B3520">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3742">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F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预案评审</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D3B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3F4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FD93">
            <w:pPr>
              <w:jc w:val="center"/>
              <w:rPr>
                <w:rFonts w:hint="eastAsia" w:ascii="宋体" w:hAnsi="宋体" w:eastAsia="宋体" w:cs="宋体"/>
                <w:i w:val="0"/>
                <w:iCs w:val="0"/>
                <w:color w:val="000000"/>
                <w:sz w:val="18"/>
                <w:szCs w:val="18"/>
                <w:u w:val="none"/>
              </w:rPr>
            </w:pPr>
          </w:p>
        </w:tc>
      </w:tr>
      <w:tr w14:paraId="1C8F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70A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A6380">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408F">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E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预案查询</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154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A64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9CEF">
            <w:pPr>
              <w:jc w:val="center"/>
              <w:rPr>
                <w:rFonts w:hint="eastAsia" w:ascii="宋体" w:hAnsi="宋体" w:eastAsia="宋体" w:cs="宋体"/>
                <w:i w:val="0"/>
                <w:iCs w:val="0"/>
                <w:color w:val="000000"/>
                <w:sz w:val="18"/>
                <w:szCs w:val="18"/>
                <w:u w:val="none"/>
              </w:rPr>
            </w:pPr>
          </w:p>
        </w:tc>
      </w:tr>
      <w:tr w14:paraId="7D28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A3B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56C56">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5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上级预案</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E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支持上级部门应急预案的录入查询，检索等功能。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BD0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27FA">
            <w:pPr>
              <w:jc w:val="center"/>
              <w:rPr>
                <w:rFonts w:hint="eastAsia" w:ascii="宋体" w:hAnsi="宋体" w:eastAsia="宋体" w:cs="宋体"/>
                <w:i w:val="0"/>
                <w:iCs w:val="0"/>
                <w:color w:val="000000"/>
                <w:sz w:val="18"/>
                <w:szCs w:val="18"/>
                <w:u w:val="none"/>
              </w:rPr>
            </w:pPr>
          </w:p>
        </w:tc>
      </w:tr>
      <w:tr w14:paraId="459D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034A">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483DC">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A2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应急资源管理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B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园区队伍</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资源管理包括园区队伍、园区外队伍、专家、物资概况、可用物资装备、过期物资装备、物资装备预警、消防设施、避难场所、敏感点等信息的录入查询，检索等功能。对园区及各企业应急机构、应急人员的信息进行梳理登记，建立统一的应急人员库，形成架构合理、职责清晰的应急组织架构，便于事故发生时能迅速调集相关人员支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2FE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53A8">
            <w:pPr>
              <w:jc w:val="center"/>
              <w:rPr>
                <w:rFonts w:hint="eastAsia" w:ascii="宋体" w:hAnsi="宋体" w:eastAsia="宋体" w:cs="宋体"/>
                <w:i w:val="0"/>
                <w:iCs w:val="0"/>
                <w:color w:val="000000"/>
                <w:sz w:val="18"/>
                <w:szCs w:val="18"/>
                <w:u w:val="none"/>
              </w:rPr>
            </w:pPr>
          </w:p>
        </w:tc>
      </w:tr>
      <w:tr w14:paraId="12ED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B037">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4297">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894A">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园区外队伍</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C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★护辖区内或周边可以调用的园外救援队伍信息，以备应急响应时统一调配。维护的信息包括救援队伍名称、队伍类型、负责人 、联系电话、队伍人数，队伍总部所在地 经纬度等。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A64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0B84">
            <w:pPr>
              <w:jc w:val="center"/>
              <w:rPr>
                <w:rFonts w:hint="eastAsia" w:ascii="宋体" w:hAnsi="宋体" w:eastAsia="宋体" w:cs="宋体"/>
                <w:i w:val="0"/>
                <w:iCs w:val="0"/>
                <w:color w:val="000000"/>
                <w:sz w:val="18"/>
                <w:szCs w:val="18"/>
                <w:u w:val="none"/>
              </w:rPr>
            </w:pPr>
          </w:p>
        </w:tc>
      </w:tr>
      <w:tr w14:paraId="3413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1BB0">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08FC5">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1892">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9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F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在突发事故发生时需要具有丰富经验和专 业背景的专家对事故的处理处置给出意见 和建议。专家队伍包括化学、化工、环保 、消防、医疗救护、生物医学、职业卫生 等多门类多学科的专业人士。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460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1D81">
            <w:pPr>
              <w:jc w:val="center"/>
              <w:rPr>
                <w:rFonts w:hint="eastAsia" w:ascii="宋体" w:hAnsi="宋体" w:eastAsia="宋体" w:cs="宋体"/>
                <w:i w:val="0"/>
                <w:iCs w:val="0"/>
                <w:color w:val="000000"/>
                <w:sz w:val="18"/>
                <w:szCs w:val="18"/>
                <w:u w:val="none"/>
              </w:rPr>
            </w:pPr>
          </w:p>
        </w:tc>
      </w:tr>
      <w:tr w14:paraId="35E3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941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E21B5">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6AAC">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6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物资概况</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6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装备指发生突发性应急事故时，应急管理机构需要使用的应急车辆、监测设备、防护用具以及堵漏吸附物资等。建立应急资源库、物资仓位管理，整合园区所有物资装备信息，在应急事件发生时能实现对物资的调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CB4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116F">
            <w:pPr>
              <w:jc w:val="center"/>
              <w:rPr>
                <w:rFonts w:hint="eastAsia" w:ascii="宋体" w:hAnsi="宋体" w:eastAsia="宋体" w:cs="宋体"/>
                <w:i w:val="0"/>
                <w:iCs w:val="0"/>
                <w:color w:val="000000"/>
                <w:sz w:val="18"/>
                <w:szCs w:val="18"/>
                <w:u w:val="none"/>
              </w:rPr>
            </w:pPr>
          </w:p>
        </w:tc>
      </w:tr>
      <w:tr w14:paraId="77D4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872F">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1FD4">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03A0">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9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物资装备预警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2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应急物资使用或超保质期，平台应能够向园区发出报警信息，提醒相关单位和企业及时更换。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22F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94E1">
            <w:pPr>
              <w:jc w:val="center"/>
              <w:rPr>
                <w:rFonts w:hint="eastAsia" w:ascii="宋体" w:hAnsi="宋体" w:eastAsia="宋体" w:cs="宋体"/>
                <w:i w:val="0"/>
                <w:iCs w:val="0"/>
                <w:color w:val="000000"/>
                <w:sz w:val="18"/>
                <w:szCs w:val="18"/>
                <w:u w:val="none"/>
              </w:rPr>
            </w:pPr>
          </w:p>
        </w:tc>
      </w:tr>
      <w:tr w14:paraId="1905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350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245F">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19844">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消防设施</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B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对于园区的消防设施能进行维护和设置，同时支持快速查询、批量导出、实时维护等功能。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15F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97BA">
            <w:pPr>
              <w:jc w:val="center"/>
              <w:rPr>
                <w:rFonts w:hint="eastAsia" w:ascii="宋体" w:hAnsi="宋体" w:eastAsia="宋体" w:cs="宋体"/>
                <w:i w:val="0"/>
                <w:iCs w:val="0"/>
                <w:color w:val="000000"/>
                <w:sz w:val="18"/>
                <w:szCs w:val="18"/>
                <w:u w:val="none"/>
              </w:rPr>
            </w:pPr>
          </w:p>
        </w:tc>
      </w:tr>
      <w:tr w14:paraId="0DE9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BF8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7A88">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8B5C8">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避难场所</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3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★维护应急避难场所信息，包括避难场所的名称、容纳人数、具体地址以及经纬度等信息。以便突发事故发生时，制定疏散方案时调用。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117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0B1D">
            <w:pPr>
              <w:jc w:val="center"/>
              <w:rPr>
                <w:rFonts w:hint="eastAsia" w:ascii="宋体" w:hAnsi="宋体" w:eastAsia="宋体" w:cs="宋体"/>
                <w:i w:val="0"/>
                <w:iCs w:val="0"/>
                <w:color w:val="000000"/>
                <w:sz w:val="18"/>
                <w:szCs w:val="18"/>
                <w:u w:val="none"/>
              </w:rPr>
            </w:pPr>
          </w:p>
        </w:tc>
      </w:tr>
      <w:tr w14:paraId="18D2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5A0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E8B6D">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89E7">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4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敏感点</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2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重大危险源区域周边核定范围内的敏感区域情况，包括学校、居民楼、社区、职工宿舍等。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100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1A11">
            <w:pPr>
              <w:jc w:val="center"/>
              <w:rPr>
                <w:rFonts w:hint="eastAsia" w:ascii="宋体" w:hAnsi="宋体" w:eastAsia="宋体" w:cs="宋体"/>
                <w:i w:val="0"/>
                <w:iCs w:val="0"/>
                <w:color w:val="000000"/>
                <w:sz w:val="18"/>
                <w:szCs w:val="18"/>
                <w:u w:val="none"/>
              </w:rPr>
            </w:pPr>
          </w:p>
        </w:tc>
      </w:tr>
      <w:tr w14:paraId="1816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4E5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06D8">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B8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应急演练管理</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D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演练沙盘</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2B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建立预案模型演练库，将数字化的应急预案在应急模拟演练系统中展示，实现异地、多级、协同参演，以此训练各级决策与指挥人员、事故处置人员，使其领会应急职责、熟悉应急处置流程，发现应急处置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过程中存在的问题，检验和评估应急预案的可操作性，从而提高应急熟练度和响应速度，加强应急、消防、环境、公安、企业等综合协调能力和应急处置能力。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546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542D">
            <w:pPr>
              <w:jc w:val="center"/>
              <w:rPr>
                <w:rFonts w:hint="eastAsia" w:ascii="宋体" w:hAnsi="宋体" w:eastAsia="宋体" w:cs="宋体"/>
                <w:i w:val="0"/>
                <w:iCs w:val="0"/>
                <w:color w:val="000000"/>
                <w:sz w:val="18"/>
                <w:szCs w:val="18"/>
                <w:u w:val="none"/>
              </w:rPr>
            </w:pPr>
          </w:p>
        </w:tc>
      </w:tr>
      <w:tr w14:paraId="09AA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B12E">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7CB9A">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10C87">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2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演练记录</w:t>
            </w: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EF4C">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CA3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9200">
            <w:pPr>
              <w:jc w:val="center"/>
              <w:rPr>
                <w:rFonts w:hint="eastAsia" w:ascii="宋体" w:hAnsi="宋体" w:eastAsia="宋体" w:cs="宋体"/>
                <w:i w:val="0"/>
                <w:iCs w:val="0"/>
                <w:color w:val="000000"/>
                <w:sz w:val="18"/>
                <w:szCs w:val="18"/>
                <w:u w:val="none"/>
              </w:rPr>
            </w:pPr>
          </w:p>
        </w:tc>
      </w:tr>
      <w:tr w14:paraId="250E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A41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8C4CD">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FD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应急指挥调度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C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现代数字智能化通讯和网络技术，融合各类应急现场不同种类、不同网系的各种通信工具，快速构建现场临时通信指挥体系，并可与后方指挥中心互联互通，建立全方位、立体化、全融合的综合决策指挥系统，以迅速处置各类突发公共事件。通过视频融合、硬件融合、软件融合对值班值守、应急车辆、接处警记录、应急启动、应急启动记录、上报记录、续报记录、调度短信记录等信息进行记录、统计、分析、查询、检索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EA7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DD32">
            <w:pPr>
              <w:jc w:val="center"/>
              <w:rPr>
                <w:rFonts w:hint="eastAsia" w:ascii="宋体" w:hAnsi="宋体" w:eastAsia="宋体" w:cs="宋体"/>
                <w:i w:val="0"/>
                <w:iCs w:val="0"/>
                <w:color w:val="000000"/>
                <w:sz w:val="18"/>
                <w:szCs w:val="18"/>
                <w:u w:val="none"/>
              </w:rPr>
            </w:pPr>
          </w:p>
        </w:tc>
      </w:tr>
      <w:tr w14:paraId="0A4A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A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11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大数据分析与展示子系统</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D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园区综合画像</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D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GIS和物联网技术实现对园区企业分布情况、重大危险源分级分布情况、各类预警信息（硬件检测、封闭化预警、特殊作业预警、双重预防机制预警、重大危险源预警）及整改状态、园区人数情况、危险化学品车辆分布情况、园区档案等的可视化展示。整合GIS系统，实现实时数据库、设备信息、三维模型在GIS系统中的准确定位和实时数据查询。可按不同的POI（兴趣点）分类分级管理与展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3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F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66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8187">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67ED">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9F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企业综合画像</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5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平台通过对已接入企业数据各类特征因素及所占权重综合分析，形成对园区企业的综合评价，并有效管理。在园区画像的基础上，单击地图上的企业或搜索企业，即可查看企业画像内容，包含企业地图、奇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特重大危险源分布、视频分布、今日预警信息分析和整改状态、企业今日排班等。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056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CADA">
            <w:pPr>
              <w:jc w:val="center"/>
              <w:rPr>
                <w:rFonts w:hint="eastAsia" w:ascii="宋体" w:hAnsi="宋体" w:eastAsia="宋体" w:cs="宋体"/>
                <w:i w:val="0"/>
                <w:iCs w:val="0"/>
                <w:color w:val="000000"/>
                <w:sz w:val="18"/>
                <w:szCs w:val="18"/>
                <w:u w:val="none"/>
              </w:rPr>
            </w:pPr>
          </w:p>
        </w:tc>
      </w:tr>
      <w:tr w14:paraId="7578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45D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23E5">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B6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三维引擎</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★支持三维园区和企业地图展示、标注、数据展示、视频联动展示、人员定位展示、运输车辆展示等内容。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0BF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B47">
            <w:pPr>
              <w:jc w:val="center"/>
              <w:rPr>
                <w:rFonts w:hint="eastAsia" w:ascii="宋体" w:hAnsi="宋体" w:eastAsia="宋体" w:cs="宋体"/>
                <w:i w:val="0"/>
                <w:iCs w:val="0"/>
                <w:color w:val="000000"/>
                <w:sz w:val="18"/>
                <w:szCs w:val="18"/>
                <w:u w:val="none"/>
              </w:rPr>
            </w:pPr>
          </w:p>
        </w:tc>
      </w:tr>
      <w:tr w14:paraId="3BB3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0806">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F7EA">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89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数据融合整理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C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通“安全基础管理子系统、重大危险源安全管理子系统、双重预防机制子系统、特殊作业管理子系统、封闭化系统子系统、敏捷应急子系统”各系统间的数据，完成数据相关性联动展示能力。对融合后的数据进行整理和分析，抽取关键性数据，使用适当的图形、表格，形成高直观性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0BA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186C">
            <w:pPr>
              <w:jc w:val="center"/>
              <w:rPr>
                <w:rFonts w:hint="eastAsia" w:ascii="宋体" w:hAnsi="宋体" w:eastAsia="宋体" w:cs="宋体"/>
                <w:i w:val="0"/>
                <w:iCs w:val="0"/>
                <w:color w:val="000000"/>
                <w:sz w:val="18"/>
                <w:szCs w:val="18"/>
                <w:u w:val="none"/>
              </w:rPr>
            </w:pPr>
          </w:p>
        </w:tc>
      </w:tr>
      <w:tr w14:paraId="21CF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3683">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CD41A">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4B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预警告警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9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对于安全基础管理子系统、重大危险源安全管理子系统、双重预防机制子系统、特殊作业管理子系统、封闭化系统子系统、敏捷应急子系统产生的预警告警内容，在大屏上进行可视化提示。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237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693E">
            <w:pPr>
              <w:jc w:val="center"/>
              <w:rPr>
                <w:rFonts w:hint="eastAsia" w:ascii="宋体" w:hAnsi="宋体" w:eastAsia="宋体" w:cs="宋体"/>
                <w:i w:val="0"/>
                <w:iCs w:val="0"/>
                <w:color w:val="000000"/>
                <w:sz w:val="18"/>
                <w:szCs w:val="18"/>
                <w:u w:val="none"/>
              </w:rPr>
            </w:pPr>
          </w:p>
        </w:tc>
      </w:tr>
      <w:tr w14:paraId="0B14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6C8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C0DC">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B7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系统联动</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1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★对于大屏上的数据条、数据块、统计数据、地图上的点，均可以点击进入对应的系统页面。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5BD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DD31">
            <w:pPr>
              <w:jc w:val="center"/>
              <w:rPr>
                <w:rFonts w:hint="eastAsia" w:ascii="宋体" w:hAnsi="宋体" w:eastAsia="宋体" w:cs="宋体"/>
                <w:i w:val="0"/>
                <w:iCs w:val="0"/>
                <w:color w:val="000000"/>
                <w:sz w:val="18"/>
                <w:szCs w:val="18"/>
                <w:u w:val="none"/>
              </w:rPr>
            </w:pPr>
          </w:p>
        </w:tc>
      </w:tr>
      <w:tr w14:paraId="5805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85CF">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8A2C">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74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实时嗅探</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9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实时嗅探各个系统的数据，保证大屏视频、传感器、重大危险源、封闭化等数据的实时性。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925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5D94">
            <w:pPr>
              <w:jc w:val="center"/>
              <w:rPr>
                <w:rFonts w:hint="eastAsia" w:ascii="宋体" w:hAnsi="宋体" w:eastAsia="宋体" w:cs="宋体"/>
                <w:i w:val="0"/>
                <w:iCs w:val="0"/>
                <w:color w:val="000000"/>
                <w:sz w:val="18"/>
                <w:szCs w:val="18"/>
                <w:u w:val="none"/>
              </w:rPr>
            </w:pPr>
          </w:p>
        </w:tc>
      </w:tr>
      <w:tr w14:paraId="607C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EA2A">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131F5">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FA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动效交互</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1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大屏展示系统除具有功能价值外，还应具有适当的动效交互，满足操作、阅读上的易用性需求。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2F1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6719">
            <w:pPr>
              <w:jc w:val="center"/>
              <w:rPr>
                <w:rFonts w:hint="eastAsia" w:ascii="宋体" w:hAnsi="宋体" w:eastAsia="宋体" w:cs="宋体"/>
                <w:i w:val="0"/>
                <w:iCs w:val="0"/>
                <w:color w:val="000000"/>
                <w:sz w:val="18"/>
                <w:szCs w:val="18"/>
                <w:u w:val="none"/>
              </w:rPr>
            </w:pPr>
          </w:p>
        </w:tc>
      </w:tr>
      <w:tr w14:paraId="711C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6C4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2B5F7">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E6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行业性视觉设计</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大屏页面、页面上的icon、各个弹窗、地图标注、图表样式，均需按照web系统设计规范、行业特点进行视觉设计。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0D7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8520">
            <w:pPr>
              <w:jc w:val="center"/>
              <w:rPr>
                <w:rFonts w:hint="eastAsia" w:ascii="宋体" w:hAnsi="宋体" w:eastAsia="宋体" w:cs="宋体"/>
                <w:i w:val="0"/>
                <w:iCs w:val="0"/>
                <w:color w:val="000000"/>
                <w:sz w:val="18"/>
                <w:szCs w:val="18"/>
                <w:u w:val="none"/>
              </w:rPr>
            </w:pPr>
          </w:p>
        </w:tc>
      </w:tr>
      <w:tr w14:paraId="4E73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831F">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2BF02">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A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数据应用</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4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结合新疆重大危险源在线监测监控系统数据整合要求，将原有平台重大危险源数据进行迁移管理，原有平台数据为部分企业数据有视频、监测等数据。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67F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49FE">
            <w:pPr>
              <w:jc w:val="center"/>
              <w:rPr>
                <w:rFonts w:hint="eastAsia" w:ascii="宋体" w:hAnsi="宋体" w:eastAsia="宋体" w:cs="宋体"/>
                <w:i w:val="0"/>
                <w:iCs w:val="0"/>
                <w:color w:val="000000"/>
                <w:sz w:val="18"/>
                <w:szCs w:val="18"/>
                <w:u w:val="none"/>
              </w:rPr>
            </w:pPr>
          </w:p>
        </w:tc>
      </w:tr>
      <w:tr w14:paraId="483A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E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3D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平台管理子系统</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7B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平台用户管理员</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F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★用于管理员新增、编辑、查询用户，给与用户分权限，给用户分机构，以及相应的权限和机构管理功能。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3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6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D5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A320">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9398">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21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登入用户管理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0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★用于用户自己完成登录安全、查询个人数据、修改个人登录密码等操作。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DEC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4BAE">
            <w:pPr>
              <w:jc w:val="center"/>
              <w:rPr>
                <w:rFonts w:hint="eastAsia" w:ascii="宋体" w:hAnsi="宋体" w:eastAsia="宋体" w:cs="宋体"/>
                <w:i w:val="0"/>
                <w:iCs w:val="0"/>
                <w:color w:val="000000"/>
                <w:sz w:val="18"/>
                <w:szCs w:val="18"/>
                <w:u w:val="none"/>
              </w:rPr>
            </w:pPr>
          </w:p>
        </w:tc>
      </w:tr>
      <w:tr w14:paraId="4B36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28B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71DD">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98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D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支持新增用户、重置用户密码、配置角色、修改用户信息、删除用户信息、查询用户信息、重置用户查询信息等功能。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539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BFDC">
            <w:pPr>
              <w:jc w:val="center"/>
              <w:rPr>
                <w:rFonts w:hint="eastAsia" w:ascii="宋体" w:hAnsi="宋体" w:eastAsia="宋体" w:cs="宋体"/>
                <w:i w:val="0"/>
                <w:iCs w:val="0"/>
                <w:color w:val="000000"/>
                <w:sz w:val="18"/>
                <w:szCs w:val="18"/>
                <w:u w:val="none"/>
              </w:rPr>
            </w:pPr>
          </w:p>
        </w:tc>
      </w:tr>
      <w:tr w14:paraId="030E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CD9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8193">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05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支持新增角色、修改角色、授权角色、禁用角色、删除角色、查询角色、重置角色搜索项等功能。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4C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81D0">
            <w:pPr>
              <w:jc w:val="center"/>
              <w:rPr>
                <w:rFonts w:hint="eastAsia" w:ascii="宋体" w:hAnsi="宋体" w:eastAsia="宋体" w:cs="宋体"/>
                <w:i w:val="0"/>
                <w:iCs w:val="0"/>
                <w:color w:val="000000"/>
                <w:sz w:val="18"/>
                <w:szCs w:val="18"/>
                <w:u w:val="none"/>
              </w:rPr>
            </w:pPr>
          </w:p>
        </w:tc>
      </w:tr>
      <w:tr w14:paraId="06D1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579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F79A">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AB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包含机构新增、机构修改、机构删除、机构删除多重判断，机构查询等功能。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EBE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37C8">
            <w:pPr>
              <w:jc w:val="center"/>
              <w:rPr>
                <w:rFonts w:hint="eastAsia" w:ascii="宋体" w:hAnsi="宋体" w:eastAsia="宋体" w:cs="宋体"/>
                <w:i w:val="0"/>
                <w:iCs w:val="0"/>
                <w:color w:val="000000"/>
                <w:sz w:val="18"/>
                <w:szCs w:val="18"/>
                <w:u w:val="none"/>
              </w:rPr>
            </w:pPr>
          </w:p>
        </w:tc>
      </w:tr>
      <w:tr w14:paraId="7C72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1B4C">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19F8">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1E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登录</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3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完成账号和用户名的校验，提供防注册机、防暴力破解等多重安全措施。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EDE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DDD4">
            <w:pPr>
              <w:jc w:val="center"/>
              <w:rPr>
                <w:rFonts w:hint="eastAsia" w:ascii="宋体" w:hAnsi="宋体" w:eastAsia="宋体" w:cs="宋体"/>
                <w:i w:val="0"/>
                <w:iCs w:val="0"/>
                <w:color w:val="000000"/>
                <w:sz w:val="18"/>
                <w:szCs w:val="18"/>
                <w:u w:val="none"/>
              </w:rPr>
            </w:pPr>
          </w:p>
        </w:tc>
      </w:tr>
      <w:tr w14:paraId="21B7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CDE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A9D82">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58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个人中心</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9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提供用户信息查询、用户密码自主修改、安全退出、自定义用户头像等功能。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12E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9626">
            <w:pPr>
              <w:jc w:val="center"/>
              <w:rPr>
                <w:rFonts w:hint="eastAsia" w:ascii="宋体" w:hAnsi="宋体" w:eastAsia="宋体" w:cs="宋体"/>
                <w:i w:val="0"/>
                <w:iCs w:val="0"/>
                <w:color w:val="000000"/>
                <w:sz w:val="18"/>
                <w:szCs w:val="18"/>
                <w:u w:val="none"/>
              </w:rPr>
            </w:pPr>
          </w:p>
        </w:tc>
      </w:tr>
      <w:tr w14:paraId="6618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E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C5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园区可视化数据子系统</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C4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倾斜摄影</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4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路线为利用自主研发的无人机、双相机摇摆式倾斜摄影相机以及重建大师等软件实现面向工程测量以及基于倾斜影像自动构建三维实景模型。支持一键导入三维建模地图，支持放大缩小各层级图层，支持三维空间旋转和自动运动等功能，满足数据互通互联。1.通过集成气象数据，公共设施数据，危险源数据，应急资源数据等，可以满足实时监管，应急救援，事故模拟，人员定位等丰富业务展示场景需求。2.采用B/S架构设计理念，满足无客户端访问三维地图的需求，有效提高了三维空间信息服务的使用频率和业务系统实现效果。3.前端框架技术自主设计研发，同样具备交互风格统一、代码质量高等优势，并且也可以满足可以满足快速二次开发业务能力的需求。于此同时实现无插件安装，即可实现跨操作系统、跨浏览器的三维GIS应用开发。4. 为园区内重大危险源、重点危险工艺、视频监控设备、高空瞭望设备、卡口门设备、消防报警设备等各类点位进行实地探寻，确定经纬度，并打点标注。5.针对安全、封闭管理、应急等各个模块所需地图展示，提供图层标绘及展示功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A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7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AD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DCD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95035">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F5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数据采集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C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倾斜摄影测量技术可以更全面的获取城区内建筑物、道路、水系、绿化、交通及其附属设施等高精度的原始影像数据。将影像数据和控制点信息导入自动建模软件，便可以生成测区三维模型成果，经过后处理编辑和加工，生成城区真三维地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05D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F6C2">
            <w:pPr>
              <w:jc w:val="center"/>
              <w:rPr>
                <w:rFonts w:hint="eastAsia" w:ascii="宋体" w:hAnsi="宋体" w:eastAsia="宋体" w:cs="宋体"/>
                <w:i w:val="0"/>
                <w:iCs w:val="0"/>
                <w:color w:val="000000"/>
                <w:sz w:val="18"/>
                <w:szCs w:val="18"/>
                <w:u w:val="none"/>
              </w:rPr>
            </w:pPr>
          </w:p>
        </w:tc>
      </w:tr>
      <w:tr w14:paraId="5E3A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DDF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813E">
            <w:pPr>
              <w:jc w:val="center"/>
              <w:rPr>
                <w:rFonts w:hint="eastAsia" w:ascii="宋体" w:hAnsi="宋体" w:eastAsia="宋体" w:cs="宋体"/>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E9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可视化功能</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9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视图管理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2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视图管理即地理信息数据采集服务，在地图标绘危险源、防护目标、现场队伍、应急资源、现场指挥部、园区道路交通、车辆等空间位置进行重点描绘的手段，可以实现在三维的网络地图上绘制依据国家有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关规范中规定的应急标识符号。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183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626">
            <w:pPr>
              <w:jc w:val="center"/>
              <w:rPr>
                <w:rFonts w:hint="eastAsia" w:ascii="宋体" w:hAnsi="宋体" w:eastAsia="宋体" w:cs="宋体"/>
                <w:i w:val="0"/>
                <w:iCs w:val="0"/>
                <w:color w:val="000000"/>
                <w:sz w:val="18"/>
                <w:szCs w:val="18"/>
                <w:u w:val="none"/>
              </w:rPr>
            </w:pPr>
          </w:p>
        </w:tc>
      </w:tr>
      <w:tr w14:paraId="4302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A79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CB9CC">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C8DE8">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1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地图标绘</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A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地图上对危险源、防护目标、现场队伍、应急资源、现场指挥部、园区道路交通、车辆等空间位置进行重点描绘；根据国标规定提供不同的图形和颜色的标注符号；提供对底图与业务系统的关系设置，可以控制业务系统的相关业务图层。系统支持在地图上标绘应急设施、应急事件、救援队伍等空间地理数据，支持通过各种箭头标绘事件发展态势，支持用户在地图上进行临时坐标点及永久坐标点的标绘，支持标绘数据的审核过程，支持临时标绘数据仅对作者可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C27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9BCF">
            <w:pPr>
              <w:jc w:val="center"/>
              <w:rPr>
                <w:rFonts w:hint="eastAsia" w:ascii="宋体" w:hAnsi="宋体" w:eastAsia="宋体" w:cs="宋体"/>
                <w:i w:val="0"/>
                <w:iCs w:val="0"/>
                <w:color w:val="000000"/>
                <w:sz w:val="18"/>
                <w:szCs w:val="18"/>
                <w:u w:val="none"/>
              </w:rPr>
            </w:pPr>
          </w:p>
        </w:tc>
      </w:tr>
      <w:tr w14:paraId="3689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860D">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E86CB">
            <w:pPr>
              <w:jc w:val="center"/>
              <w:rPr>
                <w:rFonts w:hint="eastAsia" w:ascii="宋体" w:hAnsi="宋体" w:eastAsia="宋体" w:cs="宋体"/>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E4F96">
            <w:pPr>
              <w:jc w:val="cente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2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综合查询</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2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关联应急业务数据与空间位置信息，提供查询功能，包括属性选择、空间关系选择、缩放至选中要素、清空选择、选择设置、空间坐标定位、量算工具、选择元素、属性查看；综合查询将应急业务数据与空间位置信息的关系通过查询的方式相互关联起来，查询到的要素结果可以通过在地图上定位的方式展示，查询得到的属性信息可以通过图表等方式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322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F91B">
            <w:pPr>
              <w:jc w:val="center"/>
              <w:rPr>
                <w:rFonts w:hint="eastAsia" w:ascii="宋体" w:hAnsi="宋体" w:eastAsia="宋体" w:cs="宋体"/>
                <w:i w:val="0"/>
                <w:iCs w:val="0"/>
                <w:color w:val="000000"/>
                <w:sz w:val="18"/>
                <w:szCs w:val="18"/>
                <w:u w:val="none"/>
              </w:rPr>
            </w:pPr>
          </w:p>
        </w:tc>
      </w:tr>
      <w:tr w14:paraId="6988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F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8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数据对接</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7C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环保气象</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D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根据需求预留对接接口。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7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D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4C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1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EE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危险化学交通运输精准定位系统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0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危险化学交通运输管理平台</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A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（1）支持4G全网通信：同时兼容中国移动/中国联通/中国电信网络；（2）支持定位时间：冷启动≤ 32s；热启动≤1s；重捕≤1s；（3)支持速度精度：北斗+GPS；双模0.1m/s；北斗0.2m/s。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B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1D52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8997">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9BE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8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为终端提供智能充电服务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B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B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37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2F8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2D693">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F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平台接口对接</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D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车载高精度定位终端与平台接口对接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4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3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A7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3424">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233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6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精细化管理</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F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依托现有的国家北斗地基增强系统，为车载终端提供全天候实时的差分定位账号服务，实现车辆的精细化管理。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D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1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D9A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7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8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位置服务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A8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位置平台</w:t>
            </w:r>
          </w:p>
        </w:tc>
        <w:tc>
          <w:tcPr>
            <w:tcW w:w="3926" w:type="dxa"/>
            <w:tcBorders>
              <w:top w:val="single" w:color="000000" w:sz="4" w:space="0"/>
              <w:left w:val="single" w:color="000000" w:sz="4" w:space="0"/>
              <w:bottom w:val="single" w:color="000000" w:sz="4" w:space="0"/>
              <w:right w:val="nil"/>
            </w:tcBorders>
            <w:shd w:val="clear" w:color="auto" w:fill="auto"/>
            <w:vAlign w:val="center"/>
          </w:tcPr>
          <w:p w14:paraId="66295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位置服务管理平台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9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7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23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B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D8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大屏显示</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80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户内全彩LED屏</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3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具备有无缝、完美显示、使用寿命长、换帧速度快、高刷新、均匀性好、视角度宽、灰度高、自然化色彩还原等特点，广泛运用于指挥调度、安防监控、视频会议、演播展示、室内各类会议室显示领域。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1.可用于实时监控显示现场情况、播放各种宣传广告。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2.产品无缝拼接，拼接无视觉黑缝。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3.显示单元灵活小巧，平面，弧面，流畅拼接。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4.直流低压供电，自然散热，无风扇，工作零噪音。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5.故障仅需维护单个LED像素或单个模块，维护成本低，速度快。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6.支持画面矫正，采用伽马校正技术，可实现逐点亮度颜色校正。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7.支持智能光控，可智能调节亮度，提高画面舒适度，更节能省电。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8.超宽视角显示，显示屏可视范围更大，任意角度观看画面依然清晰。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9.具备超高刷新速度，画面连贯性好，画面流畅度高。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10.画面细腻逼真，低亮度情况下灰度依然出色。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11.支持超高清显示，采用独有的画质增强技术，有效提高图像清晰度，高速画面流畅无拖影。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1.LED封装形式：SMD1515黑灯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2.物理点间距：2.0mm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3.分辨率：250000点/m²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4.灯珠/IC：国产优质铜线/高刷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5.发光点颜色组合：1R1G1B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6.模组分辨率：160*80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7.模组尺寸（mm）：320*160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8.模组重量：≤0.48Kg/张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9.工作电压：DC+4.2V~+5V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10.最佳视距：≥6m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11.水平视角：≥175°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12.垂直视角：≥175°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13.刷新频率：≥3840Hz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14.换帧频率：≥60Hz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15.扫描方式：40S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16.亮度：200-600CD/m²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17.灰度等级：12/14/16bit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18.对比度：≥10000：1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19.衰减率（工作三年）：≤15%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20.亮度调节方式：自动/手动：1-100％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21.计算机操作系统：WIN98/2000/WINXP/WINVista/WIN7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22.显示卡：DVI/HDMI/DP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23.视频信号：兼容PAL/NTSC/SECAM制式,支持S-Video；VGA；RGB；CompositeVideo；SDI；DVI；RF；RGBHV；YUV；YC等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24.控制方式：同步控制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25.驱动器件：恒流驱动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26.平均无故障时间：≥20000H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27.寿命：≥100000H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28.杂点率：≤1/100000且无连续失控点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29.软件：专业LED显示屏系统节目编制软件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30.环境温度：存储-35℃~+85℃，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31.工作温度：－20℃~+60℃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32.工作电压（AC）：220V±10%/50Hz或者110V±10%/60Hz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33.平均功耗：≤168W/m²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34.最大功耗：≤500W/m²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35.安装规格：磁吸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36.亮度均匀性≥99%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37.维护方式：前/后维护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38.防护等级：IP5X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0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D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2A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949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EE42">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22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控制设备以及配套设备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C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产品概述：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专业级LED显示屏控制设备；具备强大的视频信号接收、拼接和处理能力，多路信号间无缝切换，支持视频源任意缩放和裁剪；可完美应用于高端租赁显示屏和小间距LED显示屏。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1.最大带载260万像素，最宽可达4096点，或最高可达2560点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2.最大输入分辨率1920×1200@60Hz，支持分辨率任意设置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3.支持低亮高灰，能有效地保持低亮下灰阶的完整显示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4.支持4路千兆网口输出，支持单机或双机冗余备份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5.支持对视频信号任意切换，裁剪，拼接，缩放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6.支持HDCP高带宽数字内容保护技术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7.支持亮度和色温调节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8.支持独立音频输入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9.支持画面偏移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1.HDMI×1：HDMI1.4规范，支持1920*1200@60Hz，支持HDCP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2.DVI×2：VESA标准，支持1920*1200@60Hz，支持HDCP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3.AUDIO×1：音频输入，搭配多功能卡使用（选配）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4.Port×4：RJ45，4路千兆网口输出，4个网口可上下左右任意拼接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5.USB_OUT×1：USB输出，用于设备之间级联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6.USB_IN×1：USB输入，连接PC用于调试参数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7.设备尺寸：标准1U机箱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8.工作电源：100-240VAC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9.额定功率：10W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10.设备重量：2.0KgYK系列配电柜采用“分步延时上电”的上电方式，避免了大负载对电网瞬间的冲击，有效地保护显示屏体的电子元件，延长显示屏的使用寿命，配合多功能卡使用，提升了LED系统的整体性能。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1.手动控制：一键启动、停止，分步上电、断电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2.时控控制：设置4组控制时间段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3.具有高温断电、浪涌、短路、过流、过载等保护功能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4.内置避雷器，具有避雷防雷功能，II级防雷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5.配电柜含多功能卡控制，具有远程控制功能、RS232串口或千兆网口通信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6.通过LED显示屏智慧控制系统软件搭配多功能卡实现电源监视、温度监控、亮度调节（需搭配光探头）等操作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7.具备应急启动模块，在数控面板发生故障时可对插应急启动模块，进行上电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8.安装方式：壁挂式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9.设备材质：铁箱（表面烤漆皱纹白）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10.内置保险开关及10A-16A三孔维修插座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11.外壳防护等级：IP30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1.额定功率：10KW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2.输入电压：三相五线制AC380V±10％，频率50Hz±5％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3.输出路数：3路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4.单路功率：≤3.5KW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5.输出电压：单相三线制AC220V±10%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6.输出选用开关：D32A*1P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7.交流接触器：（额定电流32A）*1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8.额定电流：16.8A，主断路器电流：32A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9.环境相对湿度：10%—80%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10.工作温度：‐10℃—+60℃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11.箱体尺寸（高*宽*厚）：400mm*300mm*130mm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12.设备重量：≤7Kg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1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B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F7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262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3836D">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71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专业扩声系统</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1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是一款高性能、多种音频处理技术高集成的4路输入4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1.输入：4路平衡式话筒/线路，采用裸线接口端子，平衡接法。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2.输出：4路平衡式线路输出，采用裸线接口端子，平衡接法。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3.提供24bit/48kHz卓越的高品质声音。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6.面板具备USB接口，支持多媒体存储，可进行播放或存储录播。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7.配置双向RS-232接口，可用于控制外部设备。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8.配置RS-485接口，可实现自动摄像跟踪功能。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9.配置8通道可编程GPIO控制接口（可自定义输入输出）。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10.支持断电自动保护记忆功能。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11.支持通道拷贝、粘贴、联控功能。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12.Enternet多用途数据传输及控制端口，可以支持实时管理单台及多台设备。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14.支持通过ipad或iPhone或安卓手机APP软件进行操作控制。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15.支持场景预设功能，最大支持100组场景。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1.输入通道：前级放大、信号发生器、扩展器、压缩器、5段参量均衡、AM自动混音功能、AFC自适应反馈消除、AEC回声消除、ANC噪声消除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2.输出通道：31段图示均衡器、延时器、分频器、高低通滤波器、限幅器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3.采样率：48K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4.幻象供电：DC 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6.总谐波失真+噪声：≤0.003%,4dBu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7.数/模动态范围(A-计权)：114dB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8.模/数动态范围(A-计权)：120dB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9.输入阻抗(平衡式)：20KΩ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10.最大输出阻抗（平衡式)：100Ω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11.通道隔离度：1kHz，104dB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12.输入共模抑制：70dB @80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13.最大输出电平：+18dBu，平衡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14.最大输入电平：+18dBu，平衡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15.工作温度：0℃-40℃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16.工作电源：AC110V-220V,50Hz/60Hz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17.电源功耗：&lt;40W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18.尺寸(宽x深x高)：482×258×45(mm)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19.净重：1.95kg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20.毛重：3kg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B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5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F7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056B">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0A8B">
            <w:pPr>
              <w:jc w:val="center"/>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78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线材材料</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电源线及网线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D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4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2D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9FB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0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安装服务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A9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大屏安装</w:t>
            </w:r>
          </w:p>
        </w:tc>
        <w:tc>
          <w:tcPr>
            <w:tcW w:w="3926" w:type="dxa"/>
            <w:tcBorders>
              <w:top w:val="single" w:color="000000" w:sz="4" w:space="0"/>
              <w:left w:val="single" w:color="000000" w:sz="4" w:space="0"/>
              <w:bottom w:val="single" w:color="000000" w:sz="4" w:space="0"/>
              <w:right w:val="nil"/>
            </w:tcBorders>
            <w:shd w:val="clear" w:color="auto" w:fill="auto"/>
            <w:vAlign w:val="center"/>
          </w:tcPr>
          <w:p w14:paraId="5E05B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大屏设备全部安装服务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7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078936B3">
      <w:pPr>
        <w:adjustRightInd w:val="0"/>
        <w:spacing w:line="240" w:lineRule="auto"/>
        <w:ind w:firstLine="0" w:firstLineChars="0"/>
        <w:outlineLvl w:val="9"/>
        <w:rPr>
          <w:rFonts w:hint="eastAsia" w:ascii="宋体" w:hAnsi="宋体" w:eastAsia="宋体" w:cs="宋体"/>
          <w:b/>
          <w:color w:val="000000"/>
          <w:kern w:val="2"/>
          <w:sz w:val="36"/>
          <w:szCs w:val="36"/>
          <w:highlight w:val="none"/>
          <w:lang w:val="en-US" w:eastAsia="zh-CN" w:bidi="ar-SA"/>
        </w:rPr>
      </w:pPr>
    </w:p>
    <w:p w14:paraId="09C7C530">
      <w:pPr>
        <w:adjustRightInd w:val="0"/>
        <w:spacing w:line="560" w:lineRule="exact"/>
        <w:ind w:firstLine="723" w:firstLineChars="200"/>
        <w:outlineLvl w:val="9"/>
        <w:rPr>
          <w:rFonts w:hint="eastAsia" w:ascii="宋体" w:hAnsi="宋体" w:eastAsia="宋体" w:cs="宋体"/>
          <w:b/>
          <w:color w:val="000000"/>
          <w:kern w:val="2"/>
          <w:sz w:val="36"/>
          <w:szCs w:val="36"/>
          <w:highlight w:val="none"/>
          <w:lang w:val="en-US" w:eastAsia="zh-CN" w:bidi="ar-SA"/>
        </w:rPr>
      </w:pPr>
    </w:p>
    <w:p w14:paraId="4AA7DC3B">
      <w:pPr>
        <w:adjustRightInd w:val="0"/>
        <w:spacing w:line="560" w:lineRule="exact"/>
        <w:ind w:firstLine="723" w:firstLineChars="200"/>
        <w:outlineLvl w:val="9"/>
        <w:rPr>
          <w:rFonts w:hint="eastAsia" w:ascii="宋体" w:hAnsi="宋体" w:eastAsia="宋体" w:cs="宋体"/>
          <w:b/>
          <w:color w:val="000000"/>
          <w:kern w:val="2"/>
          <w:sz w:val="36"/>
          <w:szCs w:val="36"/>
          <w:highlight w:val="none"/>
          <w:lang w:val="en-US" w:eastAsia="zh-CN" w:bidi="ar-SA"/>
        </w:rPr>
      </w:pPr>
    </w:p>
    <w:p w14:paraId="72F2DEFF">
      <w:pPr>
        <w:adjustRightInd w:val="0"/>
        <w:spacing w:line="560" w:lineRule="exact"/>
        <w:outlineLvl w:val="9"/>
        <w:rPr>
          <w:rFonts w:hint="eastAsia" w:ascii="宋体" w:hAnsi="宋体" w:eastAsia="宋体" w:cs="宋体"/>
          <w:b/>
          <w:color w:val="000000"/>
          <w:kern w:val="2"/>
          <w:sz w:val="36"/>
          <w:szCs w:val="36"/>
          <w:highlight w:val="none"/>
          <w:lang w:val="en-US" w:eastAsia="zh-CN" w:bidi="ar-SA"/>
        </w:rPr>
      </w:pPr>
    </w:p>
    <w:p w14:paraId="1A934BDB">
      <w:pPr>
        <w:adjustRightInd w:val="0"/>
        <w:spacing w:line="560" w:lineRule="exact"/>
        <w:outlineLvl w:val="9"/>
        <w:rPr>
          <w:rFonts w:hint="eastAsia" w:ascii="宋体" w:hAnsi="宋体" w:eastAsia="宋体" w:cs="宋体"/>
          <w:b/>
          <w:color w:val="000000"/>
          <w:kern w:val="2"/>
          <w:sz w:val="36"/>
          <w:szCs w:val="36"/>
          <w:highlight w:val="none"/>
          <w:lang w:val="en-US" w:eastAsia="zh-CN" w:bidi="ar-SA"/>
        </w:rPr>
      </w:pPr>
    </w:p>
    <w:p w14:paraId="3F264B48">
      <w:pPr>
        <w:adjustRightInd w:val="0"/>
        <w:spacing w:line="560" w:lineRule="exact"/>
        <w:ind w:firstLine="2891" w:firstLineChars="800"/>
        <w:outlineLvl w:val="9"/>
        <w:rPr>
          <w:rFonts w:hint="eastAsia" w:ascii="宋体" w:hAnsi="宋体" w:eastAsia="宋体" w:cs="宋体"/>
          <w:b/>
          <w:color w:val="000000"/>
          <w:kern w:val="2"/>
          <w:sz w:val="36"/>
          <w:szCs w:val="36"/>
          <w:highlight w:val="none"/>
          <w:lang w:val="en-US" w:eastAsia="zh-CN" w:bidi="ar-SA"/>
        </w:rPr>
      </w:pPr>
      <w:r>
        <w:rPr>
          <w:rFonts w:hint="eastAsia" w:ascii="宋体" w:hAnsi="宋体" w:eastAsia="宋体" w:cs="宋体"/>
          <w:b/>
          <w:color w:val="000000"/>
          <w:kern w:val="2"/>
          <w:sz w:val="36"/>
          <w:szCs w:val="36"/>
          <w:highlight w:val="none"/>
          <w:lang w:val="en-US" w:eastAsia="zh-CN" w:bidi="ar-SA"/>
        </w:rPr>
        <w:t>第五章 商务要求</w:t>
      </w:r>
      <w:bookmarkEnd w:id="166"/>
    </w:p>
    <w:p w14:paraId="3882E074">
      <w:pPr>
        <w:outlineLvl w:val="9"/>
        <w:rPr>
          <w:rFonts w:hint="eastAsia"/>
          <w:highlight w:val="none"/>
        </w:rPr>
      </w:pPr>
    </w:p>
    <w:p w14:paraId="30ACC830">
      <w:pPr>
        <w:spacing w:line="560" w:lineRule="exact"/>
        <w:ind w:firstLine="420" w:firstLineChars="200"/>
        <w:outlineLvl w:val="9"/>
        <w:rPr>
          <w:rFonts w:hint="eastAsia" w:ascii="宋体" w:hAnsi="宋体" w:cs="楷体"/>
          <w:szCs w:val="24"/>
          <w:highlight w:val="none"/>
        </w:rPr>
      </w:pPr>
      <w:bookmarkStart w:id="179" w:name="_Toc167715237"/>
      <w:bookmarkStart w:id="180" w:name="_Toc167714040"/>
      <w:bookmarkStart w:id="181" w:name="_Toc167712842"/>
      <w:r>
        <w:rPr>
          <w:rFonts w:hint="eastAsia" w:ascii="宋体" w:hAnsi="宋体" w:cs="楷体"/>
          <w:szCs w:val="24"/>
          <w:highlight w:val="none"/>
        </w:rPr>
        <w:t>一、在付款前，投标人必须开具全额普通发票给</w:t>
      </w:r>
      <w:r>
        <w:rPr>
          <w:rFonts w:hint="eastAsia" w:ascii="宋体" w:hAnsi="宋体" w:cs="楷体"/>
          <w:szCs w:val="24"/>
          <w:highlight w:val="none"/>
          <w:lang w:eastAsia="zh-CN"/>
        </w:rPr>
        <w:t>采购人</w:t>
      </w:r>
      <w:r>
        <w:rPr>
          <w:rFonts w:hint="eastAsia" w:ascii="宋体" w:hAnsi="宋体" w:cs="楷体"/>
          <w:szCs w:val="24"/>
          <w:highlight w:val="none"/>
        </w:rPr>
        <w:t>。</w:t>
      </w:r>
    </w:p>
    <w:p w14:paraId="4ABE7866">
      <w:pPr>
        <w:adjustRightInd w:val="0"/>
        <w:spacing w:line="560" w:lineRule="exact"/>
        <w:ind w:firstLine="420" w:firstLineChars="200"/>
        <w:outlineLvl w:val="9"/>
        <w:rPr>
          <w:rFonts w:hint="eastAsia" w:ascii="新宋体" w:hAnsi="新宋体" w:eastAsia="新宋体" w:cs="新宋体"/>
          <w:szCs w:val="32"/>
        </w:rPr>
      </w:pPr>
      <w:r>
        <w:rPr>
          <w:rFonts w:hint="eastAsia" w:ascii="宋体" w:hAnsi="宋体" w:eastAsia="宋体" w:cs="楷体"/>
          <w:bCs/>
          <w:szCs w:val="24"/>
          <w:highlight w:val="none"/>
          <w:lang w:val="en-US" w:eastAsia="zh-CN"/>
        </w:rPr>
        <w:t>二、</w:t>
      </w:r>
      <w:bookmarkEnd w:id="179"/>
      <w:bookmarkEnd w:id="180"/>
      <w:bookmarkEnd w:id="181"/>
      <w:r>
        <w:rPr>
          <w:rFonts w:hint="eastAsia" w:ascii="宋体" w:hAnsi="宋体" w:eastAsia="宋体" w:cs="楷体"/>
          <w:bCs/>
          <w:color w:val="0000FF"/>
          <w:szCs w:val="24"/>
          <w:highlight w:val="none"/>
          <w:lang w:val="en-US" w:eastAsia="zh-CN"/>
        </w:rPr>
        <w:t>合同履行期限</w:t>
      </w:r>
      <w:r>
        <w:rPr>
          <w:rFonts w:hint="eastAsia" w:ascii="宋体" w:hAnsi="宋体" w:eastAsia="宋体" w:cs="楷体"/>
          <w:bCs/>
          <w:szCs w:val="24"/>
          <w:highlight w:val="none"/>
          <w:lang w:val="en-US" w:eastAsia="zh-CN"/>
        </w:rPr>
        <w:t>：</w:t>
      </w:r>
      <w:r>
        <w:rPr>
          <w:rFonts w:hint="eastAsia" w:hAnsi="宋体" w:eastAsia="宋体" w:cs="楷体"/>
          <w:bCs/>
          <w:szCs w:val="24"/>
          <w:highlight w:val="none"/>
          <w:lang w:val="en-US" w:eastAsia="zh-CN"/>
        </w:rPr>
        <w:t>合同签订后15个</w:t>
      </w:r>
      <w:r>
        <w:rPr>
          <w:rFonts w:hint="eastAsia" w:ascii="新宋体" w:hAnsi="新宋体" w:eastAsia="新宋体" w:cs="新宋体"/>
          <w:szCs w:val="32"/>
        </w:rPr>
        <w:t>工作日内完成甲方要求的所有内容。 </w:t>
      </w:r>
    </w:p>
    <w:p w14:paraId="58C52339">
      <w:pPr>
        <w:adjustRightInd w:val="0"/>
        <w:spacing w:line="560" w:lineRule="exact"/>
        <w:ind w:firstLine="420" w:firstLineChars="200"/>
        <w:outlineLvl w:val="9"/>
        <w:rPr>
          <w:rFonts w:ascii="宋体" w:hAnsi="宋体" w:cs="楷体"/>
          <w:bCs/>
          <w:szCs w:val="24"/>
          <w:highlight w:val="none"/>
        </w:rPr>
      </w:pPr>
      <w:r>
        <w:rPr>
          <w:rFonts w:hint="eastAsia" w:ascii="宋体" w:hAnsi="宋体" w:cs="楷体"/>
          <w:bCs/>
          <w:szCs w:val="24"/>
          <w:highlight w:val="none"/>
        </w:rPr>
        <w:t>三、违约责任：</w:t>
      </w:r>
    </w:p>
    <w:p w14:paraId="0BBBE1FC">
      <w:pPr>
        <w:adjustRightInd w:val="0"/>
        <w:spacing w:line="560" w:lineRule="exact"/>
        <w:ind w:firstLine="420" w:firstLineChars="200"/>
        <w:outlineLvl w:val="9"/>
        <w:rPr>
          <w:rFonts w:ascii="宋体" w:hAnsi="宋体" w:cs="楷体"/>
          <w:szCs w:val="24"/>
          <w:highlight w:val="none"/>
        </w:rPr>
      </w:pPr>
      <w:r>
        <w:rPr>
          <w:rFonts w:hint="eastAsia" w:ascii="宋体" w:hAnsi="宋体" w:cs="楷体"/>
          <w:szCs w:val="24"/>
          <w:highlight w:val="none"/>
        </w:rPr>
        <w:t>1、按《中华人民共和国</w:t>
      </w:r>
      <w:r>
        <w:rPr>
          <w:rFonts w:hint="eastAsia" w:ascii="宋体" w:hAnsi="宋体" w:cs="楷体"/>
          <w:szCs w:val="24"/>
          <w:highlight w:val="none"/>
          <w:lang w:eastAsia="zh-CN"/>
        </w:rPr>
        <w:t>民法典</w:t>
      </w:r>
      <w:r>
        <w:rPr>
          <w:rFonts w:hint="eastAsia" w:ascii="宋体" w:hAnsi="宋体" w:cs="楷体"/>
          <w:szCs w:val="24"/>
          <w:highlight w:val="none"/>
        </w:rPr>
        <w:t>》中的相关条款执行。</w:t>
      </w:r>
    </w:p>
    <w:p w14:paraId="2F345FC1">
      <w:pPr>
        <w:adjustRightInd w:val="0"/>
        <w:spacing w:line="560" w:lineRule="exact"/>
        <w:ind w:firstLine="420" w:firstLineChars="200"/>
        <w:outlineLvl w:val="9"/>
        <w:rPr>
          <w:rFonts w:ascii="宋体" w:hAnsi="宋体" w:cs="楷体"/>
          <w:szCs w:val="24"/>
          <w:highlight w:val="none"/>
        </w:rPr>
      </w:pPr>
      <w:r>
        <w:rPr>
          <w:rFonts w:hint="eastAsia" w:ascii="宋体" w:hAnsi="宋体" w:cs="楷体"/>
          <w:szCs w:val="24"/>
          <w:highlight w:val="none"/>
        </w:rPr>
        <w:t>2、未按合同要求提供成果或成果不能满足技术要求，</w:t>
      </w:r>
      <w:r>
        <w:rPr>
          <w:rFonts w:hint="eastAsia" w:ascii="宋体" w:hAnsi="宋体" w:cs="楷体"/>
          <w:szCs w:val="24"/>
          <w:highlight w:val="none"/>
          <w:lang w:eastAsia="zh-CN"/>
        </w:rPr>
        <w:t>采购人</w:t>
      </w:r>
      <w:r>
        <w:rPr>
          <w:rFonts w:hint="eastAsia" w:ascii="宋体" w:hAnsi="宋体" w:cs="楷体"/>
          <w:szCs w:val="24"/>
          <w:highlight w:val="none"/>
        </w:rPr>
        <w:t>有权依照合同扣除相应款项直至终止合同，并对供方违约行为进行追究，同时按《政府采购法》的有关规定进行处罚。</w:t>
      </w:r>
    </w:p>
    <w:p w14:paraId="5FD4E09E">
      <w:pPr>
        <w:pStyle w:val="33"/>
        <w:outlineLvl w:val="9"/>
        <w:rPr>
          <w:rFonts w:hint="eastAsia"/>
          <w:highlight w:val="none"/>
          <w:lang w:val="en-US" w:eastAsia="zh-CN"/>
        </w:rPr>
      </w:pPr>
    </w:p>
    <w:p w14:paraId="40FF8940">
      <w:pPr>
        <w:pStyle w:val="33"/>
        <w:outlineLvl w:val="9"/>
        <w:rPr>
          <w:rFonts w:hint="eastAsia"/>
          <w:highlight w:val="none"/>
          <w:lang w:val="en-US" w:eastAsia="zh-CN"/>
        </w:rPr>
      </w:pPr>
    </w:p>
    <w:p w14:paraId="44BD8E40">
      <w:pPr>
        <w:pStyle w:val="33"/>
        <w:outlineLvl w:val="9"/>
        <w:rPr>
          <w:rFonts w:hint="eastAsia"/>
          <w:highlight w:val="none"/>
          <w:lang w:val="en-US" w:eastAsia="zh-CN"/>
        </w:rPr>
      </w:pPr>
    </w:p>
    <w:p w14:paraId="1C17954A">
      <w:pPr>
        <w:pStyle w:val="33"/>
        <w:outlineLvl w:val="9"/>
        <w:rPr>
          <w:rFonts w:hint="eastAsia"/>
          <w:highlight w:val="none"/>
          <w:lang w:val="en-US" w:eastAsia="zh-CN"/>
        </w:rPr>
      </w:pPr>
    </w:p>
    <w:p w14:paraId="677CDFAA">
      <w:pPr>
        <w:pStyle w:val="33"/>
        <w:outlineLvl w:val="9"/>
        <w:rPr>
          <w:rFonts w:hint="eastAsia"/>
          <w:highlight w:val="none"/>
          <w:lang w:val="en-US" w:eastAsia="zh-CN"/>
        </w:rPr>
      </w:pPr>
    </w:p>
    <w:p w14:paraId="4A554B08">
      <w:pPr>
        <w:pStyle w:val="33"/>
        <w:outlineLvl w:val="9"/>
        <w:rPr>
          <w:rFonts w:hint="eastAsia"/>
          <w:highlight w:val="none"/>
          <w:lang w:val="en-US" w:eastAsia="zh-CN"/>
        </w:rPr>
      </w:pPr>
    </w:p>
    <w:p w14:paraId="702051EE">
      <w:pPr>
        <w:pStyle w:val="33"/>
        <w:outlineLvl w:val="9"/>
        <w:rPr>
          <w:rFonts w:hint="eastAsia"/>
          <w:highlight w:val="none"/>
          <w:lang w:val="en-US" w:eastAsia="zh-CN"/>
        </w:rPr>
      </w:pPr>
    </w:p>
    <w:p w14:paraId="6C3CED69">
      <w:pPr>
        <w:pStyle w:val="33"/>
        <w:outlineLvl w:val="9"/>
        <w:rPr>
          <w:rFonts w:hint="eastAsia"/>
          <w:highlight w:val="none"/>
          <w:lang w:val="en-US" w:eastAsia="zh-CN"/>
        </w:rPr>
      </w:pPr>
    </w:p>
    <w:bookmarkEnd w:id="158"/>
    <w:p w14:paraId="3BDD4828">
      <w:pPr>
        <w:jc w:val="center"/>
        <w:outlineLvl w:val="0"/>
        <w:rPr>
          <w:rFonts w:hint="eastAsia" w:ascii="宋体" w:hAnsi="宋体" w:eastAsia="宋体" w:cs="宋体"/>
          <w:b/>
          <w:bCs w:val="0"/>
          <w:sz w:val="36"/>
          <w:szCs w:val="36"/>
          <w:highlight w:val="none"/>
        </w:rPr>
      </w:pPr>
      <w:bookmarkStart w:id="182" w:name="_Toc853"/>
    </w:p>
    <w:p w14:paraId="70EA50A6">
      <w:pPr>
        <w:jc w:val="center"/>
        <w:outlineLvl w:val="0"/>
        <w:rPr>
          <w:rFonts w:hint="eastAsia" w:ascii="宋体" w:hAnsi="宋体" w:eastAsia="宋体" w:cs="宋体"/>
          <w:b/>
          <w:bCs w:val="0"/>
          <w:sz w:val="36"/>
          <w:szCs w:val="36"/>
          <w:highlight w:val="none"/>
        </w:rPr>
      </w:pPr>
    </w:p>
    <w:p w14:paraId="608DC81C">
      <w:pPr>
        <w:jc w:val="center"/>
        <w:outlineLvl w:val="0"/>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br w:type="page"/>
      </w:r>
      <w:r>
        <w:rPr>
          <w:rFonts w:hint="eastAsia" w:ascii="宋体" w:hAnsi="宋体" w:eastAsia="宋体" w:cs="宋体"/>
          <w:b/>
          <w:bCs w:val="0"/>
          <w:sz w:val="36"/>
          <w:szCs w:val="36"/>
          <w:highlight w:val="none"/>
        </w:rPr>
        <w:t>第</w:t>
      </w:r>
      <w:r>
        <w:rPr>
          <w:rFonts w:hint="eastAsia" w:ascii="宋体" w:eastAsia="宋体" w:cs="宋体"/>
          <w:b/>
          <w:bCs w:val="0"/>
          <w:sz w:val="36"/>
          <w:szCs w:val="36"/>
          <w:highlight w:val="none"/>
          <w:lang w:val="en-US" w:eastAsia="zh-CN"/>
        </w:rPr>
        <w:t>六</w:t>
      </w:r>
      <w:r>
        <w:rPr>
          <w:rFonts w:hint="eastAsia" w:ascii="宋体" w:hAnsi="宋体" w:eastAsia="宋体" w:cs="宋体"/>
          <w:b/>
          <w:bCs w:val="0"/>
          <w:sz w:val="36"/>
          <w:szCs w:val="36"/>
          <w:highlight w:val="none"/>
        </w:rPr>
        <w:t>章 评标方法</w:t>
      </w:r>
      <w:bookmarkEnd w:id="182"/>
    </w:p>
    <w:p w14:paraId="2435BBFB">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sz w:val="24"/>
          <w:szCs w:val="24"/>
          <w:highlight w:val="none"/>
        </w:rPr>
      </w:pPr>
      <w:bookmarkStart w:id="183" w:name="_Toc363463332"/>
      <w:bookmarkStart w:id="184" w:name="_Toc7858"/>
      <w:r>
        <w:rPr>
          <w:rFonts w:hint="eastAsia" w:ascii="宋体" w:hAnsi="宋体" w:eastAsia="宋体" w:cs="宋体"/>
          <w:b/>
          <w:sz w:val="24"/>
          <w:szCs w:val="24"/>
          <w:highlight w:val="none"/>
        </w:rPr>
        <w:t>一</w:t>
      </w:r>
      <w:r>
        <w:rPr>
          <w:rFonts w:hint="eastAsia" w:hAnsi="宋体" w:eastAsia="宋体" w:cs="宋体"/>
          <w:b/>
          <w:sz w:val="24"/>
          <w:szCs w:val="24"/>
          <w:highlight w:val="none"/>
          <w:lang w:eastAsia="zh-CN"/>
        </w:rPr>
        <w:t>．</w:t>
      </w:r>
      <w:r>
        <w:rPr>
          <w:rFonts w:hint="eastAsia" w:ascii="宋体" w:hAnsi="宋体" w:eastAsia="宋体" w:cs="宋体"/>
          <w:b/>
          <w:sz w:val="24"/>
          <w:szCs w:val="24"/>
          <w:highlight w:val="none"/>
        </w:rPr>
        <w:t>评标方法</w:t>
      </w:r>
      <w:bookmarkEnd w:id="183"/>
      <w:bookmarkEnd w:id="184"/>
    </w:p>
    <w:p w14:paraId="0C5ED78B">
      <w:pPr>
        <w:spacing w:line="360" w:lineRule="auto"/>
        <w:ind w:firstLine="420" w:firstLineChars="200"/>
        <w:outlineLvl w:val="9"/>
        <w:rPr>
          <w:rFonts w:hint="eastAsia" w:ascii="宋体" w:hAnsi="宋体" w:eastAsia="宋体" w:cs="宋体"/>
          <w:spacing w:val="4"/>
          <w:sz w:val="24"/>
          <w:szCs w:val="24"/>
          <w:highlight w:val="none"/>
        </w:rPr>
      </w:pPr>
      <w:r>
        <w:rPr>
          <w:rFonts w:hint="eastAsia" w:ascii="宋体" w:hAnsi="宋体"/>
          <w:szCs w:val="21"/>
          <w:highlight w:val="none"/>
        </w:rPr>
        <w:t>按照《中华人民共和国政府采购法》、中华人民共和国2015年第658号国务院令--《中华人民共和国政府采购法实施条例》和中华人民共和国财政部2017年第87号部长令--《政府采购</w:t>
      </w:r>
      <w:r>
        <w:rPr>
          <w:rFonts w:hint="eastAsia" w:hAnsi="宋体"/>
          <w:szCs w:val="21"/>
          <w:highlight w:val="none"/>
          <w:lang w:eastAsia="zh-CN"/>
        </w:rPr>
        <w:t>货物</w:t>
      </w:r>
      <w:r>
        <w:rPr>
          <w:rFonts w:hint="eastAsia" w:ascii="宋体" w:hAnsi="宋体"/>
          <w:szCs w:val="21"/>
          <w:highlight w:val="none"/>
        </w:rPr>
        <w:t>和服务招标投标管理办法》的规定，</w:t>
      </w:r>
      <w:r>
        <w:rPr>
          <w:rFonts w:hint="eastAsia" w:ascii="宋体" w:hAnsi="宋体"/>
          <w:spacing w:val="4"/>
          <w:szCs w:val="21"/>
          <w:highlight w:val="none"/>
        </w:rPr>
        <w:t>本次评标采用</w:t>
      </w:r>
      <w:r>
        <w:rPr>
          <w:rFonts w:hint="eastAsia" w:ascii="宋体" w:hAnsi="宋体"/>
          <w:b/>
          <w:spacing w:val="4"/>
          <w:szCs w:val="21"/>
          <w:highlight w:val="none"/>
        </w:rPr>
        <w:t>综合评分法</w:t>
      </w:r>
      <w:r>
        <w:rPr>
          <w:rFonts w:hint="eastAsia" w:ascii="宋体" w:hAnsi="宋体"/>
          <w:spacing w:val="4"/>
          <w:szCs w:val="21"/>
          <w:highlight w:val="none"/>
        </w:rPr>
        <w:t>--</w:t>
      </w:r>
      <w:r>
        <w:rPr>
          <w:rFonts w:hint="eastAsia" w:ascii="宋体" w:hAnsi="宋体"/>
          <w:kern w:val="0"/>
          <w:szCs w:val="21"/>
          <w:highlight w:val="none"/>
        </w:rPr>
        <w:t>投标文件满足招标文件全部实质性要求，且按照评审因素的量化指标评审得分最高的</w:t>
      </w:r>
      <w:r>
        <w:rPr>
          <w:rFonts w:hint="eastAsia" w:hAnsi="宋体"/>
          <w:kern w:val="0"/>
          <w:szCs w:val="21"/>
          <w:highlight w:val="none"/>
          <w:lang w:eastAsia="zh-CN"/>
        </w:rPr>
        <w:t>供应商</w:t>
      </w:r>
      <w:r>
        <w:rPr>
          <w:rFonts w:hint="eastAsia" w:ascii="宋体" w:hAnsi="宋体"/>
          <w:kern w:val="0"/>
          <w:szCs w:val="21"/>
          <w:highlight w:val="none"/>
        </w:rPr>
        <w:t>为中标候选人。</w:t>
      </w:r>
      <w:r>
        <w:rPr>
          <w:rFonts w:hint="eastAsia" w:ascii="宋体" w:hAnsi="宋体" w:eastAsia="宋体" w:cs="宋体"/>
          <w:spacing w:val="4"/>
          <w:sz w:val="24"/>
          <w:szCs w:val="24"/>
          <w:highlight w:val="none"/>
        </w:rPr>
        <w:t>（最低报价不是中标的唯一标准）。</w:t>
      </w:r>
    </w:p>
    <w:p w14:paraId="290A09D3">
      <w:pPr>
        <w:spacing w:line="360" w:lineRule="auto"/>
        <w:outlineLvl w:val="9"/>
        <w:rPr>
          <w:rFonts w:hint="eastAsia" w:ascii="宋体" w:hAnsi="宋体"/>
          <w:b/>
          <w:color w:val="auto"/>
          <w:spacing w:val="4"/>
          <w:szCs w:val="21"/>
          <w:highlight w:val="none"/>
        </w:rPr>
      </w:pPr>
      <w:bookmarkStart w:id="185" w:name="_Toc22489"/>
      <w:r>
        <w:rPr>
          <w:rFonts w:hint="eastAsia" w:ascii="宋体" w:hAnsi="宋体"/>
          <w:b/>
          <w:color w:val="auto"/>
          <w:spacing w:val="4"/>
          <w:szCs w:val="21"/>
          <w:highlight w:val="none"/>
        </w:rPr>
        <w:t>二</w:t>
      </w:r>
      <w:r>
        <w:rPr>
          <w:rFonts w:hint="eastAsia" w:hAnsi="宋体"/>
          <w:b/>
          <w:color w:val="auto"/>
          <w:spacing w:val="4"/>
          <w:szCs w:val="21"/>
          <w:highlight w:val="none"/>
          <w:lang w:eastAsia="zh-CN"/>
        </w:rPr>
        <w:t>．</w:t>
      </w:r>
      <w:r>
        <w:rPr>
          <w:rFonts w:hint="eastAsia" w:ascii="宋体" w:hAnsi="宋体"/>
          <w:b/>
          <w:color w:val="auto"/>
          <w:spacing w:val="4"/>
          <w:szCs w:val="21"/>
          <w:highlight w:val="none"/>
        </w:rPr>
        <w:t>评标委员会负责具体评标事务，并独立履行下列职责</w:t>
      </w:r>
      <w:bookmarkEnd w:id="185"/>
    </w:p>
    <w:p w14:paraId="6E7008DA">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2.1</w:t>
      </w:r>
      <w:r>
        <w:rPr>
          <w:rFonts w:hint="eastAsia" w:ascii="宋体" w:hAnsi="宋体"/>
          <w:color w:val="auto"/>
          <w:spacing w:val="4"/>
          <w:szCs w:val="21"/>
          <w:highlight w:val="none"/>
        </w:rPr>
        <w:t>审查、评价投标文件是否符合招标文件的商务、技术、合同条款等实质性要求；</w:t>
      </w:r>
    </w:p>
    <w:p w14:paraId="7D4299AE">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2.2</w:t>
      </w:r>
      <w:r>
        <w:rPr>
          <w:rFonts w:hint="eastAsia" w:ascii="宋体" w:hAnsi="宋体"/>
          <w:color w:val="auto"/>
          <w:spacing w:val="4"/>
          <w:szCs w:val="21"/>
          <w:highlight w:val="none"/>
        </w:rPr>
        <w:t>要求</w:t>
      </w:r>
      <w:r>
        <w:rPr>
          <w:rFonts w:hint="eastAsia" w:hAnsi="宋体"/>
          <w:color w:val="auto"/>
          <w:spacing w:val="4"/>
          <w:szCs w:val="21"/>
          <w:highlight w:val="none"/>
          <w:lang w:eastAsia="zh-CN"/>
        </w:rPr>
        <w:t>供应商</w:t>
      </w:r>
      <w:r>
        <w:rPr>
          <w:rFonts w:hint="eastAsia" w:ascii="宋体" w:hAnsi="宋体"/>
          <w:color w:val="auto"/>
          <w:spacing w:val="4"/>
          <w:szCs w:val="21"/>
          <w:highlight w:val="none"/>
        </w:rPr>
        <w:t>对投标文件有关事项作出澄清或者说明；</w:t>
      </w:r>
    </w:p>
    <w:p w14:paraId="0848E42B">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2.3</w:t>
      </w:r>
      <w:r>
        <w:rPr>
          <w:rFonts w:hint="eastAsia" w:ascii="宋体" w:hAnsi="宋体"/>
          <w:color w:val="auto"/>
          <w:spacing w:val="4"/>
          <w:szCs w:val="21"/>
          <w:highlight w:val="none"/>
        </w:rPr>
        <w:t>对投标文件进行比较和评价；</w:t>
      </w:r>
    </w:p>
    <w:p w14:paraId="1369A4C9">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2.4</w:t>
      </w:r>
      <w:r>
        <w:rPr>
          <w:rFonts w:hint="eastAsia" w:ascii="宋体" w:hAnsi="宋体"/>
          <w:color w:val="auto"/>
          <w:spacing w:val="4"/>
          <w:szCs w:val="21"/>
          <w:highlight w:val="none"/>
        </w:rPr>
        <w:t>确定中标候选人名单，以及根据采购人委托直接确定中标人；</w:t>
      </w:r>
    </w:p>
    <w:p w14:paraId="58E06CAB">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2.5</w:t>
      </w:r>
      <w:r>
        <w:rPr>
          <w:rFonts w:hint="eastAsia" w:ascii="宋体" w:hAnsi="宋体"/>
          <w:color w:val="auto"/>
          <w:spacing w:val="4"/>
          <w:szCs w:val="21"/>
          <w:highlight w:val="none"/>
        </w:rPr>
        <w:t>向采购人、采购代理机构或者有关部门报告评标中发现的违法行为。</w:t>
      </w:r>
    </w:p>
    <w:p w14:paraId="30790BA4">
      <w:pPr>
        <w:spacing w:line="360" w:lineRule="auto"/>
        <w:outlineLvl w:val="9"/>
        <w:rPr>
          <w:rFonts w:hint="eastAsia" w:ascii="宋体" w:hAnsi="宋体"/>
          <w:b/>
          <w:color w:val="auto"/>
          <w:spacing w:val="4"/>
          <w:szCs w:val="21"/>
          <w:highlight w:val="none"/>
        </w:rPr>
      </w:pPr>
      <w:bookmarkStart w:id="186" w:name="_Toc9822"/>
      <w:r>
        <w:rPr>
          <w:rFonts w:hint="eastAsia" w:ascii="宋体" w:hAnsi="宋体"/>
          <w:b/>
          <w:color w:val="auto"/>
          <w:spacing w:val="4"/>
          <w:szCs w:val="21"/>
          <w:highlight w:val="none"/>
        </w:rPr>
        <w:t>三</w:t>
      </w:r>
      <w:r>
        <w:rPr>
          <w:rFonts w:hint="eastAsia" w:hAnsi="宋体"/>
          <w:b/>
          <w:color w:val="auto"/>
          <w:spacing w:val="4"/>
          <w:szCs w:val="21"/>
          <w:highlight w:val="none"/>
          <w:lang w:eastAsia="zh-CN"/>
        </w:rPr>
        <w:t>．供应商</w:t>
      </w:r>
      <w:r>
        <w:rPr>
          <w:rFonts w:hint="eastAsia" w:ascii="宋体" w:hAnsi="宋体"/>
          <w:b/>
          <w:color w:val="auto"/>
          <w:spacing w:val="4"/>
          <w:szCs w:val="21"/>
          <w:highlight w:val="none"/>
        </w:rPr>
        <w:t>存在下列情况之一的，投标无效</w:t>
      </w:r>
      <w:bookmarkEnd w:id="186"/>
    </w:p>
    <w:p w14:paraId="32BBC324">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3.1</w:t>
      </w:r>
      <w:r>
        <w:rPr>
          <w:rFonts w:hint="eastAsia" w:ascii="宋体" w:hAnsi="宋体"/>
          <w:color w:val="auto"/>
          <w:spacing w:val="4"/>
          <w:szCs w:val="21"/>
          <w:highlight w:val="none"/>
        </w:rPr>
        <w:t>投标文件未按招标文件要求签署、盖章的；</w:t>
      </w:r>
    </w:p>
    <w:p w14:paraId="24D8B4C2">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3.2</w:t>
      </w:r>
      <w:r>
        <w:rPr>
          <w:rFonts w:hint="eastAsia" w:ascii="宋体" w:hAnsi="宋体"/>
          <w:color w:val="auto"/>
          <w:spacing w:val="4"/>
          <w:szCs w:val="21"/>
          <w:highlight w:val="none"/>
        </w:rPr>
        <w:t>不具备招标文件中规定的资格要求的；</w:t>
      </w:r>
    </w:p>
    <w:p w14:paraId="2E6C92C0">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3.3</w:t>
      </w:r>
      <w:r>
        <w:rPr>
          <w:rFonts w:hint="eastAsia" w:ascii="宋体" w:hAnsi="宋体"/>
          <w:color w:val="auto"/>
          <w:spacing w:val="4"/>
          <w:szCs w:val="21"/>
          <w:highlight w:val="none"/>
        </w:rPr>
        <w:t>报价超过招标文件中规定的预算金额或者最高限价的；</w:t>
      </w:r>
    </w:p>
    <w:p w14:paraId="14BF668D">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3.4</w:t>
      </w:r>
      <w:r>
        <w:rPr>
          <w:rFonts w:hint="eastAsia" w:ascii="宋体" w:hAnsi="宋体"/>
          <w:color w:val="auto"/>
          <w:spacing w:val="4"/>
          <w:szCs w:val="21"/>
          <w:highlight w:val="none"/>
        </w:rPr>
        <w:t>投标文件含有采购人不能接受的附加条件的；</w:t>
      </w:r>
    </w:p>
    <w:p w14:paraId="773E15D7">
      <w:pPr>
        <w:pStyle w:val="8"/>
        <w:ind w:firstLine="496" w:firstLineChars="200"/>
        <w:outlineLvl w:val="9"/>
        <w:rPr>
          <w:rFonts w:hint="eastAsia" w:ascii="宋体" w:hAnsi="宋体"/>
          <w:color w:val="auto"/>
          <w:spacing w:val="4"/>
          <w:kern w:val="0"/>
          <w:sz w:val="24"/>
          <w:szCs w:val="21"/>
          <w:highlight w:val="none"/>
          <w:lang w:val="en-US" w:eastAsia="zh-CN" w:bidi="ar-SA"/>
        </w:rPr>
      </w:pPr>
      <w:r>
        <w:rPr>
          <w:rFonts w:hint="eastAsia" w:ascii="宋体" w:hAnsi="宋体"/>
          <w:color w:val="auto"/>
          <w:spacing w:val="4"/>
          <w:kern w:val="0"/>
          <w:sz w:val="24"/>
          <w:szCs w:val="21"/>
          <w:highlight w:val="none"/>
          <w:lang w:val="en-US" w:eastAsia="zh-CN" w:bidi="ar-SA"/>
        </w:rPr>
        <w:t>3.5无投标有效期或有效期达不到招标文件要求的；</w:t>
      </w:r>
    </w:p>
    <w:p w14:paraId="4C72D2E8">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3.6</w:t>
      </w:r>
      <w:r>
        <w:rPr>
          <w:rFonts w:hint="eastAsia" w:ascii="宋体" w:hAnsi="宋体"/>
          <w:color w:val="auto"/>
          <w:spacing w:val="4"/>
          <w:szCs w:val="21"/>
          <w:highlight w:val="none"/>
        </w:rPr>
        <w:t>单位负责人为同一人或者存在直接控股、管理关系的不同供应商，参加本项目同一合同项下的投标的；</w:t>
      </w:r>
    </w:p>
    <w:p w14:paraId="661807C4">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3.7</w:t>
      </w:r>
      <w:r>
        <w:rPr>
          <w:rFonts w:hint="eastAsia" w:ascii="宋体" w:hAnsi="宋体"/>
          <w:color w:val="auto"/>
          <w:spacing w:val="4"/>
          <w:szCs w:val="21"/>
          <w:highlight w:val="none"/>
        </w:rPr>
        <w:t>为本采购项目提供整体设计、规范编制或者项目管理、监理、检测等服务的供应商，参加本采购项目投标的；</w:t>
      </w:r>
    </w:p>
    <w:p w14:paraId="68D0FA85">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3.8</w:t>
      </w:r>
      <w:r>
        <w:rPr>
          <w:rFonts w:hint="eastAsia" w:ascii="宋体" w:hAnsi="宋体"/>
          <w:color w:val="auto"/>
          <w:spacing w:val="4"/>
          <w:szCs w:val="21"/>
          <w:highlight w:val="none"/>
        </w:rPr>
        <w:t>提供虚假投标文件和资料的。</w:t>
      </w:r>
    </w:p>
    <w:p w14:paraId="2FB30BD7">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3.9</w:t>
      </w:r>
      <w:r>
        <w:rPr>
          <w:rFonts w:hint="eastAsia" w:ascii="宋体" w:hAnsi="宋体"/>
          <w:color w:val="auto"/>
          <w:spacing w:val="4"/>
          <w:szCs w:val="21"/>
          <w:highlight w:val="none"/>
        </w:rPr>
        <w:t>法律、法规和招标文件规定的其他无效情形；</w:t>
      </w:r>
    </w:p>
    <w:p w14:paraId="0A1A3731">
      <w:pPr>
        <w:spacing w:line="360" w:lineRule="auto"/>
        <w:outlineLvl w:val="9"/>
        <w:rPr>
          <w:rFonts w:hint="eastAsia" w:ascii="宋体" w:hAnsi="宋体"/>
          <w:b/>
          <w:color w:val="auto"/>
          <w:spacing w:val="4"/>
          <w:szCs w:val="21"/>
          <w:highlight w:val="none"/>
        </w:rPr>
      </w:pPr>
      <w:bookmarkStart w:id="187" w:name="_Toc19539"/>
      <w:r>
        <w:rPr>
          <w:rFonts w:hint="eastAsia" w:ascii="宋体" w:hAnsi="宋体"/>
          <w:b/>
          <w:color w:val="auto"/>
          <w:spacing w:val="4"/>
          <w:szCs w:val="21"/>
          <w:highlight w:val="none"/>
        </w:rPr>
        <w:t>四</w:t>
      </w:r>
      <w:r>
        <w:rPr>
          <w:rFonts w:hint="eastAsia" w:hAnsi="宋体"/>
          <w:b/>
          <w:color w:val="auto"/>
          <w:spacing w:val="4"/>
          <w:szCs w:val="21"/>
          <w:highlight w:val="none"/>
          <w:lang w:eastAsia="zh-CN"/>
        </w:rPr>
        <w:t>．供应商</w:t>
      </w:r>
      <w:r>
        <w:rPr>
          <w:rFonts w:hint="eastAsia" w:ascii="宋体" w:hAnsi="宋体"/>
          <w:b/>
          <w:color w:val="auto"/>
          <w:spacing w:val="4"/>
          <w:szCs w:val="21"/>
          <w:highlight w:val="none"/>
        </w:rPr>
        <w:t>有下列情形之一的，视为</w:t>
      </w:r>
      <w:r>
        <w:rPr>
          <w:rFonts w:hint="eastAsia" w:hAnsi="宋体"/>
          <w:b/>
          <w:color w:val="auto"/>
          <w:spacing w:val="4"/>
          <w:szCs w:val="21"/>
          <w:highlight w:val="none"/>
          <w:lang w:eastAsia="zh-CN"/>
        </w:rPr>
        <w:t>供应商</w:t>
      </w:r>
      <w:r>
        <w:rPr>
          <w:rFonts w:hint="eastAsia" w:ascii="宋体" w:hAnsi="宋体"/>
          <w:b/>
          <w:color w:val="auto"/>
          <w:spacing w:val="4"/>
          <w:szCs w:val="21"/>
          <w:highlight w:val="none"/>
        </w:rPr>
        <w:t>串通投标，其投标无效</w:t>
      </w:r>
      <w:bookmarkEnd w:id="187"/>
    </w:p>
    <w:p w14:paraId="220175EC">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4.1</w:t>
      </w:r>
      <w:r>
        <w:rPr>
          <w:rFonts w:hint="eastAsia" w:ascii="宋体" w:hAnsi="宋体"/>
          <w:color w:val="auto"/>
          <w:spacing w:val="4"/>
          <w:szCs w:val="21"/>
          <w:highlight w:val="none"/>
        </w:rPr>
        <w:t>不同</w:t>
      </w:r>
      <w:r>
        <w:rPr>
          <w:rFonts w:hint="eastAsia" w:hAnsi="宋体"/>
          <w:color w:val="auto"/>
          <w:spacing w:val="4"/>
          <w:szCs w:val="21"/>
          <w:highlight w:val="none"/>
          <w:lang w:eastAsia="zh-CN"/>
        </w:rPr>
        <w:t>供应商</w:t>
      </w:r>
      <w:r>
        <w:rPr>
          <w:rFonts w:hint="eastAsia" w:ascii="宋体" w:hAnsi="宋体"/>
          <w:color w:val="auto"/>
          <w:spacing w:val="4"/>
          <w:szCs w:val="21"/>
          <w:highlight w:val="none"/>
        </w:rPr>
        <w:t>的投标文件由同一单位或者个人编制；</w:t>
      </w:r>
    </w:p>
    <w:p w14:paraId="195EE1BA">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4.2</w:t>
      </w:r>
      <w:r>
        <w:rPr>
          <w:rFonts w:hint="eastAsia" w:ascii="宋体" w:hAnsi="宋体"/>
          <w:color w:val="auto"/>
          <w:spacing w:val="4"/>
          <w:szCs w:val="21"/>
          <w:highlight w:val="none"/>
        </w:rPr>
        <w:t>不同</w:t>
      </w:r>
      <w:r>
        <w:rPr>
          <w:rFonts w:hint="eastAsia" w:hAnsi="宋体"/>
          <w:color w:val="auto"/>
          <w:spacing w:val="4"/>
          <w:szCs w:val="21"/>
          <w:highlight w:val="none"/>
          <w:lang w:eastAsia="zh-CN"/>
        </w:rPr>
        <w:t>供应商</w:t>
      </w:r>
      <w:r>
        <w:rPr>
          <w:rFonts w:hint="eastAsia" w:ascii="宋体" w:hAnsi="宋体"/>
          <w:color w:val="auto"/>
          <w:spacing w:val="4"/>
          <w:szCs w:val="21"/>
          <w:highlight w:val="none"/>
        </w:rPr>
        <w:t>委托同一单位或者个人办理投标事宜；</w:t>
      </w:r>
    </w:p>
    <w:p w14:paraId="4D77234D">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4.3</w:t>
      </w:r>
      <w:r>
        <w:rPr>
          <w:rFonts w:hint="eastAsia" w:ascii="宋体" w:hAnsi="宋体"/>
          <w:color w:val="auto"/>
          <w:spacing w:val="4"/>
          <w:szCs w:val="21"/>
          <w:highlight w:val="none"/>
        </w:rPr>
        <w:t>不同</w:t>
      </w:r>
      <w:r>
        <w:rPr>
          <w:rFonts w:hint="eastAsia" w:hAnsi="宋体"/>
          <w:color w:val="auto"/>
          <w:spacing w:val="4"/>
          <w:szCs w:val="21"/>
          <w:highlight w:val="none"/>
          <w:lang w:eastAsia="zh-CN"/>
        </w:rPr>
        <w:t>供应商</w:t>
      </w:r>
      <w:r>
        <w:rPr>
          <w:rFonts w:hint="eastAsia" w:ascii="宋体" w:hAnsi="宋体"/>
          <w:color w:val="auto"/>
          <w:spacing w:val="4"/>
          <w:szCs w:val="21"/>
          <w:highlight w:val="none"/>
        </w:rPr>
        <w:t>的投标文件载明的项目管理成员或者联系人员为同一人；</w:t>
      </w:r>
    </w:p>
    <w:p w14:paraId="52D8C9E7">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4.4</w:t>
      </w:r>
      <w:r>
        <w:rPr>
          <w:rFonts w:hint="eastAsia" w:ascii="宋体" w:hAnsi="宋体"/>
          <w:color w:val="auto"/>
          <w:spacing w:val="4"/>
          <w:szCs w:val="21"/>
          <w:highlight w:val="none"/>
        </w:rPr>
        <w:t>不同</w:t>
      </w:r>
      <w:r>
        <w:rPr>
          <w:rFonts w:hint="eastAsia" w:hAnsi="宋体"/>
          <w:color w:val="auto"/>
          <w:spacing w:val="4"/>
          <w:szCs w:val="21"/>
          <w:highlight w:val="none"/>
          <w:lang w:eastAsia="zh-CN"/>
        </w:rPr>
        <w:t>供应商</w:t>
      </w:r>
      <w:r>
        <w:rPr>
          <w:rFonts w:hint="eastAsia" w:ascii="宋体" w:hAnsi="宋体"/>
          <w:color w:val="auto"/>
          <w:spacing w:val="4"/>
          <w:szCs w:val="21"/>
          <w:highlight w:val="none"/>
        </w:rPr>
        <w:t>的投标文件异常一致或者投标报价呈规律性差异；</w:t>
      </w:r>
    </w:p>
    <w:p w14:paraId="77245E5F">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4.5</w:t>
      </w:r>
      <w:r>
        <w:rPr>
          <w:rFonts w:hint="eastAsia" w:ascii="宋体" w:hAnsi="宋体"/>
          <w:color w:val="auto"/>
          <w:spacing w:val="4"/>
          <w:szCs w:val="21"/>
          <w:highlight w:val="none"/>
        </w:rPr>
        <w:t>不同</w:t>
      </w:r>
      <w:r>
        <w:rPr>
          <w:rFonts w:hint="eastAsia" w:hAnsi="宋体"/>
          <w:color w:val="auto"/>
          <w:spacing w:val="4"/>
          <w:szCs w:val="21"/>
          <w:highlight w:val="none"/>
          <w:lang w:eastAsia="zh-CN"/>
        </w:rPr>
        <w:t>供应商</w:t>
      </w:r>
      <w:r>
        <w:rPr>
          <w:rFonts w:hint="eastAsia" w:ascii="宋体" w:hAnsi="宋体"/>
          <w:color w:val="auto"/>
          <w:spacing w:val="4"/>
          <w:szCs w:val="21"/>
          <w:highlight w:val="none"/>
        </w:rPr>
        <w:t>的投标文件相互混装；</w:t>
      </w:r>
    </w:p>
    <w:p w14:paraId="4C8D5D8F">
      <w:pPr>
        <w:spacing w:line="360" w:lineRule="auto"/>
        <w:ind w:firstLine="436" w:firstLineChars="200"/>
        <w:outlineLvl w:val="9"/>
        <w:rPr>
          <w:rFonts w:hint="eastAsia" w:ascii="宋体" w:hAnsi="宋体"/>
          <w:color w:val="auto"/>
          <w:spacing w:val="4"/>
          <w:szCs w:val="21"/>
          <w:highlight w:val="none"/>
        </w:rPr>
      </w:pPr>
      <w:r>
        <w:rPr>
          <w:rFonts w:hint="eastAsia" w:hAnsi="宋体"/>
          <w:color w:val="auto"/>
          <w:spacing w:val="4"/>
          <w:szCs w:val="21"/>
          <w:highlight w:val="none"/>
          <w:lang w:val="en-US" w:eastAsia="zh-CN"/>
        </w:rPr>
        <w:t>4.6</w:t>
      </w:r>
      <w:r>
        <w:rPr>
          <w:rFonts w:hint="eastAsia" w:ascii="宋体" w:hAnsi="宋体"/>
          <w:color w:val="auto"/>
          <w:spacing w:val="4"/>
          <w:szCs w:val="21"/>
          <w:highlight w:val="none"/>
        </w:rPr>
        <w:t>不同</w:t>
      </w:r>
      <w:r>
        <w:rPr>
          <w:rFonts w:hint="eastAsia" w:hAnsi="宋体"/>
          <w:color w:val="auto"/>
          <w:spacing w:val="4"/>
          <w:szCs w:val="21"/>
          <w:highlight w:val="none"/>
          <w:lang w:eastAsia="zh-CN"/>
        </w:rPr>
        <w:t>供应商</w:t>
      </w:r>
      <w:r>
        <w:rPr>
          <w:rFonts w:hint="eastAsia" w:ascii="宋体" w:hAnsi="宋体"/>
          <w:color w:val="auto"/>
          <w:spacing w:val="4"/>
          <w:szCs w:val="21"/>
          <w:highlight w:val="none"/>
        </w:rPr>
        <w:t>的投标保证金从同一单位或者个人的账户转出。</w:t>
      </w:r>
    </w:p>
    <w:p w14:paraId="48E14E76">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color w:val="auto"/>
          <w:sz w:val="24"/>
          <w:szCs w:val="24"/>
          <w:highlight w:val="none"/>
          <w:lang w:eastAsia="zh-CN"/>
        </w:rPr>
      </w:pPr>
      <w:bookmarkStart w:id="188" w:name="_Toc26519"/>
      <w:r>
        <w:rPr>
          <w:rFonts w:hint="eastAsia"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、评审标准</w:t>
      </w:r>
      <w:bookmarkEnd w:id="188"/>
    </w:p>
    <w:p w14:paraId="34BA41FF">
      <w:pPr>
        <w:spacing w:line="360" w:lineRule="auto"/>
        <w:ind w:firstLine="436" w:firstLineChars="200"/>
        <w:outlineLvl w:val="9"/>
        <w:rPr>
          <w:rFonts w:hint="eastAsia" w:ascii="宋体" w:hAnsi="宋体"/>
          <w:color w:val="auto"/>
          <w:spacing w:val="4"/>
          <w:szCs w:val="21"/>
          <w:highlight w:val="none"/>
          <w:lang w:eastAsia="zh-CN"/>
        </w:rPr>
      </w:pPr>
      <w:r>
        <w:rPr>
          <w:rFonts w:hint="eastAsia" w:ascii="宋体" w:hAnsi="宋体"/>
          <w:color w:val="auto"/>
          <w:spacing w:val="4"/>
          <w:szCs w:val="21"/>
          <w:highlight w:val="none"/>
          <w:lang w:val="en-US" w:eastAsia="zh-CN"/>
        </w:rPr>
        <w:t>5.1</w:t>
      </w:r>
      <w:r>
        <w:rPr>
          <w:rFonts w:hint="eastAsia" w:ascii="宋体" w:hAnsi="宋体"/>
          <w:color w:val="auto"/>
          <w:spacing w:val="4"/>
          <w:szCs w:val="21"/>
          <w:highlight w:val="none"/>
          <w:lang w:eastAsia="zh-CN"/>
        </w:rPr>
        <w:t>初步评审标准：</w:t>
      </w:r>
    </w:p>
    <w:p w14:paraId="3896C9EE">
      <w:pPr>
        <w:spacing w:line="360" w:lineRule="auto"/>
        <w:ind w:firstLine="436" w:firstLineChars="200"/>
        <w:outlineLvl w:val="9"/>
        <w:rPr>
          <w:rFonts w:hint="eastAsia" w:ascii="宋体" w:hAnsi="宋体"/>
          <w:color w:val="auto"/>
          <w:spacing w:val="4"/>
          <w:szCs w:val="21"/>
          <w:highlight w:val="none"/>
          <w:lang w:eastAsia="zh-CN"/>
        </w:rPr>
      </w:pPr>
      <w:r>
        <w:rPr>
          <w:rFonts w:hint="eastAsia" w:ascii="宋体" w:hAnsi="宋体"/>
          <w:color w:val="auto"/>
          <w:spacing w:val="4"/>
          <w:szCs w:val="21"/>
          <w:highlight w:val="none"/>
          <w:lang w:val="en-US" w:eastAsia="zh-CN"/>
        </w:rPr>
        <w:t>5.1.1资格评审标准：</w:t>
      </w:r>
      <w:r>
        <w:rPr>
          <w:rFonts w:hint="eastAsia" w:ascii="宋体" w:hAnsi="宋体"/>
          <w:color w:val="auto"/>
          <w:spacing w:val="4"/>
          <w:szCs w:val="21"/>
          <w:highlight w:val="none"/>
          <w:lang w:eastAsia="zh-CN"/>
        </w:rPr>
        <w:t>见附件</w:t>
      </w:r>
      <w:r>
        <w:rPr>
          <w:rFonts w:hint="eastAsia" w:ascii="宋体" w:hAnsi="宋体"/>
          <w:color w:val="auto"/>
          <w:spacing w:val="4"/>
          <w:szCs w:val="21"/>
          <w:highlight w:val="none"/>
          <w:lang w:val="en-US" w:eastAsia="zh-CN"/>
        </w:rPr>
        <w:t>1</w:t>
      </w:r>
      <w:r>
        <w:rPr>
          <w:rFonts w:hint="eastAsia" w:ascii="宋体" w:hAnsi="宋体"/>
          <w:color w:val="auto"/>
          <w:spacing w:val="4"/>
          <w:szCs w:val="21"/>
          <w:highlight w:val="none"/>
          <w:lang w:eastAsia="zh-CN"/>
        </w:rPr>
        <w:t>初步审查要素表</w:t>
      </w:r>
    </w:p>
    <w:p w14:paraId="23AE72BD">
      <w:pPr>
        <w:spacing w:line="360" w:lineRule="auto"/>
        <w:ind w:firstLine="436" w:firstLineChars="200"/>
        <w:outlineLvl w:val="9"/>
        <w:rPr>
          <w:rFonts w:hint="eastAsia" w:ascii="宋体" w:hAnsi="宋体"/>
          <w:color w:val="auto"/>
          <w:spacing w:val="4"/>
          <w:szCs w:val="21"/>
          <w:highlight w:val="none"/>
        </w:rPr>
      </w:pPr>
      <w:r>
        <w:rPr>
          <w:rFonts w:hint="eastAsia" w:ascii="宋体" w:hAnsi="宋体"/>
          <w:color w:val="auto"/>
          <w:spacing w:val="4"/>
          <w:szCs w:val="21"/>
          <w:highlight w:val="none"/>
          <w:lang w:val="en-US" w:eastAsia="zh-CN"/>
        </w:rPr>
        <w:t>5.1.2符合性评审标准：</w:t>
      </w:r>
      <w:r>
        <w:rPr>
          <w:rFonts w:hint="eastAsia" w:ascii="宋体" w:hAnsi="宋体"/>
          <w:color w:val="auto"/>
          <w:spacing w:val="4"/>
          <w:szCs w:val="21"/>
          <w:highlight w:val="none"/>
          <w:lang w:eastAsia="zh-CN"/>
        </w:rPr>
        <w:t>见附件</w:t>
      </w:r>
      <w:r>
        <w:rPr>
          <w:rFonts w:hint="eastAsia" w:ascii="宋体" w:hAnsi="宋体"/>
          <w:color w:val="auto"/>
          <w:spacing w:val="4"/>
          <w:szCs w:val="21"/>
          <w:highlight w:val="none"/>
          <w:lang w:val="en-US" w:eastAsia="zh-CN"/>
        </w:rPr>
        <w:t>2</w:t>
      </w:r>
      <w:r>
        <w:rPr>
          <w:rFonts w:hint="eastAsia" w:ascii="宋体" w:hAnsi="宋体"/>
          <w:color w:val="auto"/>
          <w:spacing w:val="4"/>
          <w:szCs w:val="21"/>
          <w:highlight w:val="none"/>
          <w:lang w:eastAsia="zh-CN"/>
        </w:rPr>
        <w:t>初步审查要素表</w:t>
      </w:r>
    </w:p>
    <w:p w14:paraId="2AFBD9AD">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5.2分值构成与评分标准:见附件3评标因素及权重分值表</w:t>
      </w:r>
    </w:p>
    <w:p w14:paraId="7850DFB4">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sz w:val="24"/>
          <w:szCs w:val="24"/>
          <w:highlight w:val="none"/>
        </w:rPr>
      </w:pPr>
      <w:bookmarkStart w:id="189" w:name="_Toc26964"/>
      <w:bookmarkStart w:id="190" w:name="_Toc363463333"/>
      <w:r>
        <w:rPr>
          <w:rFonts w:hint="eastAsia" w:hAnsi="宋体" w:eastAsia="宋体" w:cs="宋体"/>
          <w:b/>
          <w:sz w:val="24"/>
          <w:szCs w:val="24"/>
          <w:highlight w:val="none"/>
          <w:lang w:eastAsia="zh-CN"/>
        </w:rPr>
        <w:t>六．</w:t>
      </w:r>
      <w:r>
        <w:rPr>
          <w:rFonts w:hint="eastAsia" w:ascii="宋体" w:hAnsi="宋体" w:eastAsia="宋体" w:cs="宋体"/>
          <w:b/>
          <w:sz w:val="24"/>
          <w:szCs w:val="24"/>
          <w:highlight w:val="none"/>
        </w:rPr>
        <w:t>评</w:t>
      </w:r>
      <w:r>
        <w:rPr>
          <w:rFonts w:hint="eastAsia" w:hAnsi="宋体" w:eastAsia="宋体" w:cs="宋体"/>
          <w:b/>
          <w:sz w:val="24"/>
          <w:szCs w:val="24"/>
          <w:highlight w:val="none"/>
          <w:lang w:eastAsia="zh-CN"/>
        </w:rPr>
        <w:t>审</w:t>
      </w:r>
      <w:r>
        <w:rPr>
          <w:rFonts w:hint="eastAsia" w:ascii="宋体" w:hAnsi="宋体" w:eastAsia="宋体" w:cs="宋体"/>
          <w:b/>
          <w:sz w:val="24"/>
          <w:szCs w:val="24"/>
          <w:highlight w:val="none"/>
        </w:rPr>
        <w:t>程序</w:t>
      </w:r>
      <w:bookmarkEnd w:id="189"/>
      <w:bookmarkEnd w:id="190"/>
    </w:p>
    <w:p w14:paraId="49084441">
      <w:pPr>
        <w:keepNext w:val="0"/>
        <w:keepLines w:val="0"/>
        <w:pageBreakBefore w:val="0"/>
        <w:widowControl w:val="0"/>
        <w:kinsoku/>
        <w:wordWrap/>
        <w:overflowPunct/>
        <w:topLinePunct w:val="0"/>
        <w:autoSpaceDE/>
        <w:autoSpaceDN/>
        <w:bidi w:val="0"/>
        <w:spacing w:line="500" w:lineRule="exact"/>
        <w:ind w:firstLine="482" w:firstLineChars="200"/>
        <w:textAlignment w:val="auto"/>
        <w:outlineLvl w:val="9"/>
        <w:rPr>
          <w:rFonts w:hint="eastAsia" w:ascii="宋体" w:hAnsi="宋体" w:eastAsia="宋体" w:cs="宋体"/>
          <w:b/>
          <w:color w:val="000000"/>
          <w:sz w:val="24"/>
          <w:highlight w:val="none"/>
        </w:rPr>
      </w:pPr>
      <w:r>
        <w:rPr>
          <w:rFonts w:hint="eastAsia" w:hAnsi="宋体" w:eastAsia="宋体" w:cs="宋体"/>
          <w:b/>
          <w:bCs w:val="0"/>
          <w:color w:val="000000"/>
          <w:sz w:val="24"/>
          <w:highlight w:val="none"/>
          <w:lang w:val="en-US" w:eastAsia="zh-CN"/>
        </w:rPr>
        <w:t>6.1</w:t>
      </w:r>
      <w:r>
        <w:rPr>
          <w:rFonts w:hint="eastAsia" w:ascii="宋体" w:hAnsi="宋体" w:eastAsia="宋体" w:cs="宋体"/>
          <w:b/>
          <w:bCs w:val="0"/>
          <w:color w:val="000000"/>
          <w:sz w:val="24"/>
          <w:highlight w:val="none"/>
        </w:rPr>
        <w:t>本采购项目评标按照下列工作程序进行</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rPr>
        <w:t>在上一步评审中被</w:t>
      </w:r>
      <w:r>
        <w:rPr>
          <w:rFonts w:hint="eastAsia" w:ascii="宋体" w:hAnsi="宋体" w:eastAsia="宋体" w:cs="宋体"/>
          <w:b w:val="0"/>
          <w:bCs/>
          <w:color w:val="000000"/>
          <w:sz w:val="24"/>
          <w:highlight w:val="none"/>
          <w:lang w:eastAsia="zh-CN"/>
        </w:rPr>
        <w:t>认定无效投标</w:t>
      </w:r>
      <w:r>
        <w:rPr>
          <w:rFonts w:hint="eastAsia" w:ascii="宋体" w:hAnsi="宋体" w:eastAsia="宋体" w:cs="宋体"/>
          <w:b w:val="0"/>
          <w:bCs/>
          <w:color w:val="000000"/>
          <w:sz w:val="24"/>
          <w:highlight w:val="none"/>
        </w:rPr>
        <w:t>者，不进入下一步的评审</w:t>
      </w:r>
      <w:r>
        <w:rPr>
          <w:rFonts w:hint="eastAsia" w:ascii="宋体" w:hAnsi="宋体" w:eastAsia="宋体" w:cs="宋体"/>
          <w:b w:val="0"/>
          <w:bCs/>
          <w:color w:val="000000"/>
          <w:sz w:val="24"/>
          <w:highlight w:val="none"/>
          <w:lang w:eastAsia="zh-CN"/>
        </w:rPr>
        <w:t>）</w:t>
      </w:r>
      <w:r>
        <w:rPr>
          <w:rFonts w:hint="eastAsia" w:ascii="宋体" w:hAnsi="宋体" w:eastAsia="宋体" w:cs="宋体"/>
          <w:b/>
          <w:color w:val="000000"/>
          <w:sz w:val="24"/>
          <w:highlight w:val="none"/>
        </w:rPr>
        <w:t>。</w:t>
      </w:r>
    </w:p>
    <w:p w14:paraId="445ADB2B">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6.1.1投标文件初审；</w:t>
      </w:r>
    </w:p>
    <w:p w14:paraId="50487124">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6.1.2澄清有关问题；</w:t>
      </w:r>
    </w:p>
    <w:p w14:paraId="24A028AF">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6.1.3比较与评价；</w:t>
      </w:r>
    </w:p>
    <w:p w14:paraId="77B9403B">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6.1.4推荐中标候选人名单。</w:t>
      </w:r>
    </w:p>
    <w:p w14:paraId="0292E852">
      <w:pPr>
        <w:keepNext w:val="0"/>
        <w:keepLines w:val="0"/>
        <w:pageBreakBefore w:val="0"/>
        <w:widowControl w:val="0"/>
        <w:kinsoku/>
        <w:wordWrap/>
        <w:overflowPunct/>
        <w:topLinePunct w:val="0"/>
        <w:autoSpaceDE/>
        <w:autoSpaceDN/>
        <w:bidi w:val="0"/>
        <w:spacing w:before="120" w:after="120" w:line="500" w:lineRule="exact"/>
        <w:ind w:firstLine="482" w:firstLineChars="200"/>
        <w:textAlignment w:val="auto"/>
        <w:outlineLvl w:val="9"/>
        <w:rPr>
          <w:rFonts w:hint="eastAsia" w:ascii="宋体" w:hAnsi="宋体" w:eastAsia="宋体" w:cs="宋体"/>
          <w:b/>
          <w:color w:val="000000"/>
          <w:sz w:val="24"/>
          <w:highlight w:val="none"/>
        </w:rPr>
      </w:pPr>
      <w:r>
        <w:rPr>
          <w:rFonts w:hint="eastAsia" w:hAnsi="宋体" w:eastAsia="宋体" w:cs="宋体"/>
          <w:b/>
          <w:color w:val="000000"/>
          <w:sz w:val="24"/>
          <w:highlight w:val="none"/>
          <w:lang w:val="en-US" w:eastAsia="zh-CN"/>
        </w:rPr>
        <w:t>6.2</w:t>
      </w:r>
      <w:r>
        <w:rPr>
          <w:rFonts w:hint="eastAsia" w:ascii="宋体" w:hAnsi="宋体" w:eastAsia="宋体" w:cs="宋体"/>
          <w:b/>
          <w:color w:val="000000"/>
          <w:sz w:val="24"/>
          <w:highlight w:val="none"/>
        </w:rPr>
        <w:t>投标文件初审</w:t>
      </w:r>
    </w:p>
    <w:p w14:paraId="2EA398CC">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采购人根据本章第5.1.1项规定的评审标准对投标文件进行资格性审查。有一项不符合评审标准的，将被认定为无效投标。</w:t>
      </w:r>
    </w:p>
    <w:p w14:paraId="322F50CC">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评标委员会根据本章第5.1.2项规定的评审标准对投标文件进行符合性评审。有一项不符合评审标准的，评标委员会应当否决其投标。</w:t>
      </w:r>
    </w:p>
    <w:p w14:paraId="023317E0">
      <w:pPr>
        <w:spacing w:line="360" w:lineRule="auto"/>
        <w:ind w:firstLine="436" w:firstLineChars="200"/>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在资格性审查阶段，不符合招标文件要求的，不得进入符合性审查，在符合性审查时未通过的，不得进入后续评审环节。</w:t>
      </w:r>
    </w:p>
    <w:p w14:paraId="52D58D8F">
      <w:pPr>
        <w:keepNext w:val="0"/>
        <w:keepLines w:val="0"/>
        <w:pageBreakBefore w:val="0"/>
        <w:widowControl w:val="0"/>
        <w:kinsoku/>
        <w:wordWrap/>
        <w:overflowPunct/>
        <w:topLinePunct w:val="0"/>
        <w:autoSpaceDE/>
        <w:autoSpaceDN/>
        <w:bidi w:val="0"/>
        <w:spacing w:before="120" w:after="120" w:line="500" w:lineRule="exact"/>
        <w:ind w:firstLine="482" w:firstLineChars="200"/>
        <w:textAlignment w:val="auto"/>
        <w:outlineLvl w:val="9"/>
        <w:rPr>
          <w:rFonts w:hint="eastAsia" w:ascii="宋体" w:hAnsi="宋体" w:eastAsia="宋体" w:cs="宋体"/>
          <w:b/>
          <w:color w:val="000000"/>
          <w:sz w:val="24"/>
          <w:highlight w:val="none"/>
        </w:rPr>
      </w:pPr>
      <w:r>
        <w:rPr>
          <w:rFonts w:hint="eastAsia" w:hAnsi="宋体" w:eastAsia="宋体" w:cs="宋体"/>
          <w:b/>
          <w:color w:val="000000"/>
          <w:sz w:val="24"/>
          <w:highlight w:val="none"/>
          <w:lang w:val="en-US" w:eastAsia="zh-CN"/>
        </w:rPr>
        <w:t>6.3</w:t>
      </w:r>
      <w:r>
        <w:rPr>
          <w:rFonts w:hint="eastAsia" w:ascii="宋体" w:hAnsi="宋体" w:eastAsia="宋体" w:cs="宋体"/>
          <w:b/>
          <w:color w:val="000000"/>
          <w:sz w:val="24"/>
          <w:highlight w:val="none"/>
        </w:rPr>
        <w:t>投标文件的澄清</w:t>
      </w:r>
    </w:p>
    <w:p w14:paraId="1FA209A0">
      <w:pPr>
        <w:keepNext w:val="0"/>
        <w:keepLines w:val="0"/>
        <w:pageBreakBefore w:val="0"/>
        <w:widowControl w:val="0"/>
        <w:kinsoku/>
        <w:wordWrap/>
        <w:overflowPunct/>
        <w:topLinePunct w:val="0"/>
        <w:autoSpaceDE/>
        <w:autoSpaceDN/>
        <w:bidi w:val="0"/>
        <w:spacing w:line="500" w:lineRule="exact"/>
        <w:ind w:firstLine="436" w:firstLineChars="200"/>
        <w:textAlignment w:val="auto"/>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政采云平台或书面形式提交，并由其法定代表人或被授权人签字。供应商的澄清、说明或者补正不得超出投标文件的范围或者改变投标文件的实质性内容。评标委员会不接受供应商主动提出的澄清、说明。</w:t>
      </w:r>
    </w:p>
    <w:p w14:paraId="11A07E86">
      <w:pPr>
        <w:keepNext w:val="0"/>
        <w:keepLines w:val="0"/>
        <w:pageBreakBefore w:val="0"/>
        <w:widowControl w:val="0"/>
        <w:kinsoku/>
        <w:wordWrap/>
        <w:overflowPunct/>
        <w:topLinePunct w:val="0"/>
        <w:autoSpaceDE/>
        <w:autoSpaceDN/>
        <w:bidi w:val="0"/>
        <w:spacing w:line="500" w:lineRule="exact"/>
        <w:ind w:firstLine="436" w:firstLineChars="200"/>
        <w:textAlignment w:val="auto"/>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6.3.2有效的书面澄清材料，是投标文件的补充材料，成为投标文件的组成部分。</w:t>
      </w:r>
    </w:p>
    <w:p w14:paraId="73A1AEF1">
      <w:pPr>
        <w:keepNext w:val="0"/>
        <w:keepLines w:val="0"/>
        <w:pageBreakBefore w:val="0"/>
        <w:widowControl w:val="0"/>
        <w:kinsoku/>
        <w:wordWrap/>
        <w:overflowPunct/>
        <w:topLinePunct w:val="0"/>
        <w:autoSpaceDE/>
        <w:autoSpaceDN/>
        <w:bidi w:val="0"/>
        <w:spacing w:line="500" w:lineRule="exact"/>
        <w:ind w:firstLine="436" w:firstLineChars="200"/>
        <w:textAlignment w:val="auto"/>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2591D35">
      <w:pPr>
        <w:keepNext w:val="0"/>
        <w:keepLines w:val="0"/>
        <w:pageBreakBefore w:val="0"/>
        <w:widowControl w:val="0"/>
        <w:kinsoku/>
        <w:wordWrap/>
        <w:overflowPunct/>
        <w:topLinePunct w:val="0"/>
        <w:autoSpaceDE/>
        <w:autoSpaceDN/>
        <w:bidi w:val="0"/>
        <w:spacing w:before="120" w:after="120" w:line="500" w:lineRule="exact"/>
        <w:ind w:firstLine="482" w:firstLineChars="200"/>
        <w:jc w:val="left"/>
        <w:textAlignment w:val="auto"/>
        <w:outlineLvl w:val="9"/>
        <w:rPr>
          <w:rFonts w:hint="eastAsia" w:ascii="宋体" w:hAnsi="宋体" w:eastAsia="宋体" w:cs="宋体"/>
          <w:b/>
          <w:color w:val="000000"/>
          <w:sz w:val="24"/>
          <w:highlight w:val="none"/>
        </w:rPr>
      </w:pPr>
      <w:r>
        <w:rPr>
          <w:rFonts w:hint="eastAsia" w:hAnsi="宋体" w:eastAsia="宋体" w:cs="宋体"/>
          <w:b/>
          <w:color w:val="000000"/>
          <w:sz w:val="24"/>
          <w:highlight w:val="none"/>
          <w:lang w:val="en-US" w:eastAsia="zh-CN"/>
        </w:rPr>
        <w:t>6.4</w:t>
      </w:r>
      <w:r>
        <w:rPr>
          <w:rFonts w:hint="eastAsia" w:ascii="宋体" w:hAnsi="宋体" w:eastAsia="宋体" w:cs="宋体"/>
          <w:b/>
          <w:color w:val="000000"/>
          <w:sz w:val="24"/>
          <w:highlight w:val="none"/>
        </w:rPr>
        <w:t>投标文件比较与评价</w:t>
      </w:r>
    </w:p>
    <w:p w14:paraId="033F26AF">
      <w:pPr>
        <w:keepNext w:val="0"/>
        <w:keepLines w:val="0"/>
        <w:pageBreakBefore w:val="0"/>
        <w:widowControl w:val="0"/>
        <w:kinsoku/>
        <w:wordWrap/>
        <w:overflowPunct/>
        <w:topLinePunct w:val="0"/>
        <w:autoSpaceDE/>
        <w:autoSpaceDN/>
        <w:bidi w:val="0"/>
        <w:spacing w:line="500" w:lineRule="exact"/>
        <w:ind w:firstLine="436" w:firstLineChars="200"/>
        <w:textAlignment w:val="auto"/>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6.4.1评委会应按照招标文件中规定的评标方法和标准，对资格性检查和符合性检查合格的投标文件进行商务和技术评估，综合比较与评价。</w:t>
      </w:r>
    </w:p>
    <w:p w14:paraId="37D6AA50">
      <w:pPr>
        <w:keepNext w:val="0"/>
        <w:keepLines w:val="0"/>
        <w:pageBreakBefore w:val="0"/>
        <w:widowControl w:val="0"/>
        <w:kinsoku/>
        <w:wordWrap/>
        <w:overflowPunct/>
        <w:topLinePunct w:val="0"/>
        <w:autoSpaceDE/>
        <w:autoSpaceDN/>
        <w:bidi w:val="0"/>
        <w:spacing w:line="500" w:lineRule="exact"/>
        <w:ind w:firstLine="436" w:firstLineChars="200"/>
        <w:textAlignment w:val="auto"/>
        <w:outlineLvl w:val="9"/>
        <w:rPr>
          <w:rFonts w:hint="eastAsia"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6.4.2如果投标文件没有实质性响应招标文件的要求，评委会将予以拒绝。供应商不得通过修正或撤销不合要求的偏离或保留，从而使其投标成为实质性响应的投标。</w:t>
      </w:r>
    </w:p>
    <w:p w14:paraId="7C8B6B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Cs w:val="24"/>
          <w:highlight w:val="none"/>
          <w:lang w:val="en-US" w:eastAsia="zh-CN"/>
        </w:rPr>
      </w:pPr>
      <w:bookmarkStart w:id="191" w:name="_Toc14511"/>
      <w:r>
        <w:rPr>
          <w:rFonts w:hint="eastAsia" w:ascii="宋体" w:hAnsi="宋体" w:eastAsia="宋体" w:cs="宋体"/>
          <w:b/>
          <w:szCs w:val="24"/>
          <w:highlight w:val="none"/>
          <w:lang w:eastAsia="zh-CN"/>
        </w:rPr>
        <w:t>七．</w:t>
      </w:r>
      <w:r>
        <w:rPr>
          <w:rFonts w:hint="eastAsia" w:ascii="宋体" w:hAnsi="宋体" w:eastAsia="宋体" w:cs="宋体"/>
          <w:b/>
          <w:szCs w:val="24"/>
          <w:highlight w:val="none"/>
        </w:rPr>
        <w:t>政策性扣减</w:t>
      </w:r>
      <w:bookmarkEnd w:id="191"/>
    </w:p>
    <w:p w14:paraId="47EE8AC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7.1</w:t>
      </w:r>
      <w:r>
        <w:rPr>
          <w:rFonts w:hint="eastAsia" w:ascii="宋体" w:hAnsi="宋体" w:eastAsia="宋体" w:cs="宋体"/>
          <w:b/>
          <w:szCs w:val="24"/>
          <w:highlight w:val="none"/>
        </w:rPr>
        <w:t>政策性扣减范围</w:t>
      </w:r>
    </w:p>
    <w:p w14:paraId="1CB39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1.1</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符合小型、微型企业或监狱企业</w:t>
      </w:r>
      <w:r>
        <w:rPr>
          <w:rFonts w:hint="eastAsia" w:ascii="宋体" w:hAnsi="宋体" w:eastAsia="宋体" w:cs="宋体"/>
          <w:szCs w:val="24"/>
          <w:highlight w:val="none"/>
          <w:lang w:eastAsia="zh-CN"/>
        </w:rPr>
        <w:t>、残疾人福利性单位</w:t>
      </w:r>
      <w:r>
        <w:rPr>
          <w:rFonts w:hint="eastAsia" w:ascii="宋体" w:hAnsi="宋体" w:eastAsia="宋体" w:cs="宋体"/>
          <w:szCs w:val="24"/>
          <w:highlight w:val="none"/>
        </w:rPr>
        <w:t>条件的，其投标报价价格评审时将按相应比例进行扣减。</w:t>
      </w:r>
    </w:p>
    <w:p w14:paraId="617B272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7.1.2依据关于印发《政府采购促进中小企业发展管理办法》的通知（财库〔2020〕46号）的规定，在政府采购活动中，供应商提供的货物、工程或者服务符合下列情形的，享受中小企业扶持政策：</w:t>
      </w:r>
    </w:p>
    <w:p w14:paraId="21471AB8">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w:t>
      </w:r>
      <w:r>
        <w:rPr>
          <w:rFonts w:hint="eastAsia" w:hAnsi="宋体" w:eastAsia="宋体" w:cs="宋体"/>
          <w:szCs w:val="24"/>
          <w:highlight w:val="none"/>
          <w:lang w:val="en-US" w:eastAsia="zh-CN"/>
        </w:rPr>
        <w:t>民法典</w:t>
      </w:r>
      <w:r>
        <w:rPr>
          <w:rFonts w:hint="eastAsia" w:ascii="宋体" w:hAnsi="宋体" w:eastAsia="宋体" w:cs="宋体"/>
          <w:szCs w:val="24"/>
          <w:highlight w:val="none"/>
          <w:lang w:val="en-US" w:eastAsia="zh-CN"/>
        </w:rPr>
        <w:t>》订立劳动合同的从业人员。</w:t>
      </w:r>
    </w:p>
    <w:p w14:paraId="478AEC3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（2）在货物采购项目中，供应商提供的货物既有中小企业制造货物，也有大型企业制造货物的，不享受本办法规定的中小企业扶持政策。</w:t>
      </w:r>
    </w:p>
    <w:p w14:paraId="45282C88">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（3）以联合体形式参加政府采购活动，联合体各方均为中小企业的，联合体视同中小企业。其中，联合体各方均为小微企业的，联合体视同小微企业。</w:t>
      </w:r>
    </w:p>
    <w:p w14:paraId="280BF84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highlight w:val="none"/>
          <w:lang w:val="en-US" w:eastAsia="zh-CN"/>
        </w:rPr>
      </w:pPr>
      <w:r>
        <w:rPr>
          <w:rFonts w:hint="eastAsia" w:ascii="宋体" w:hAnsi="宋体" w:eastAsia="宋体" w:cs="宋体"/>
          <w:szCs w:val="24"/>
          <w:highlight w:val="none"/>
          <w:lang w:val="en-US" w:eastAsia="zh-CN"/>
        </w:rPr>
        <w:t>(4)中小企业参加政府采购活动，应当出具符合财库〔2020〕46号规定的《中小企业声明函》,否则不得享受相关中小企业扶持政策。</w:t>
      </w:r>
    </w:p>
    <w:p w14:paraId="4A59C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1.3采购人拟采购产品属于优先采购节能、环境标志产品范围的，应当优先采购节能、环境标志产品；拟采购产品符合政府采购强制采购政策的</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实行强制采购。</w:t>
      </w:r>
    </w:p>
    <w:p w14:paraId="57A0F25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采购人依据节能产品、环境标志产品品目清单和节能、环境标志产品认证证书实施政府优</w:t>
      </w:r>
      <w:r>
        <w:rPr>
          <w:rFonts w:hint="eastAsia" w:ascii="宋体" w:hAnsi="宋体" w:eastAsia="宋体" w:cs="宋体"/>
          <w:szCs w:val="24"/>
          <w:highlight w:val="none"/>
          <w:lang w:val="en-US" w:eastAsia="zh-CN"/>
        </w:rPr>
        <w:t>先采购和强制采购。</w:t>
      </w:r>
    </w:p>
    <w:p w14:paraId="363C1B6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7DE3CEF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7.1.4监狱企业参加政府采购活动时，应当提供由省级以上监狱管理局、戒毒管理局(含新疆生产建设兵团)出具的属于监狱企业的证明文件。监狱企业参加政府采购活动时，视同小型、微型企业。</w:t>
      </w:r>
    </w:p>
    <w:p w14:paraId="25C4091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7.1.5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14:paraId="31A39269">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7.2</w:t>
      </w:r>
      <w:r>
        <w:rPr>
          <w:rFonts w:hint="eastAsia" w:ascii="宋体" w:hAnsi="宋体" w:eastAsia="宋体" w:cs="宋体"/>
          <w:b/>
          <w:szCs w:val="24"/>
          <w:highlight w:val="none"/>
        </w:rPr>
        <w:t>政策性扣减方式</w:t>
      </w:r>
    </w:p>
    <w:p w14:paraId="63ABB4D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bookmarkStart w:id="192" w:name="_Toc8024"/>
      <w:r>
        <w:rPr>
          <w:rFonts w:hint="eastAsia" w:ascii="宋体" w:hAnsi="宋体" w:eastAsia="宋体" w:cs="宋体"/>
          <w:szCs w:val="24"/>
          <w:highlight w:val="none"/>
          <w:lang w:val="en-US" w:eastAsia="zh-CN"/>
        </w:rPr>
        <w:t>7.2.1对于未预留份额专门面向中小企业采购的采购项目，以及预留份额项目的非预留部分采购包中符合条件的小微企业报价给予10%-20%的扣除，本项目不专门面向中小微企业，符合条件的小微企业报价给予10%的扣除。</w:t>
      </w:r>
    </w:p>
    <w:p w14:paraId="003E88A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7.2.2监狱企业、残疾人福利性单位视同小微企业，享受预留份额、评审中价格扣除等促进中小企业发展的政府采购政策。监狱企业、残疾人福利性单位属于小微企业的，不重复享受政策。</w:t>
      </w:r>
    </w:p>
    <w:p w14:paraId="0B5FF03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7.2.3供应商享受支持中小型企业发展政策优惠的，可以同时享受节能、环境标志产品优先采购政策。</w:t>
      </w:r>
    </w:p>
    <w:p w14:paraId="250771A1">
      <w:pPr>
        <w:pStyle w:val="17"/>
        <w:keepNext w:val="0"/>
        <w:keepLines w:val="0"/>
        <w:pageBreakBefore w:val="0"/>
        <w:numPr>
          <w:ilvl w:val="0"/>
          <w:numId w:val="0"/>
        </w:numPr>
        <w:shd w:val="clear" w:color="auto" w:fill="auto"/>
        <w:kinsoku/>
        <w:wordWrap/>
        <w:overflowPunct/>
        <w:topLinePunct w:val="0"/>
        <w:autoSpaceDE/>
        <w:autoSpaceDN/>
        <w:bidi w:val="0"/>
        <w:spacing w:before="0" w:beforeAutospacing="0" w:after="0" w:afterAutospacing="0" w:line="500" w:lineRule="exact"/>
        <w:textAlignment w:val="auto"/>
        <w:outlineLvl w:val="9"/>
        <w:rPr>
          <w:rFonts w:hint="eastAsia" w:ascii="宋体" w:hAnsi="宋体" w:eastAsia="宋体" w:cs="宋体"/>
          <w:b/>
          <w:color w:val="000000"/>
          <w:sz w:val="24"/>
          <w:highlight w:val="none"/>
        </w:rPr>
      </w:pPr>
      <w:r>
        <w:rPr>
          <w:rFonts w:hint="eastAsia" w:eastAsia="宋体" w:cs="宋体"/>
          <w:b/>
          <w:color w:val="000000"/>
          <w:sz w:val="24"/>
          <w:highlight w:val="none"/>
          <w:lang w:eastAsia="zh-CN"/>
        </w:rPr>
        <w:t>八．</w:t>
      </w:r>
      <w:r>
        <w:rPr>
          <w:rFonts w:hint="eastAsia" w:ascii="宋体" w:hAnsi="宋体" w:eastAsia="宋体" w:cs="宋体"/>
          <w:b/>
          <w:color w:val="000000"/>
          <w:sz w:val="24"/>
          <w:highlight w:val="none"/>
        </w:rPr>
        <w:t>特殊情况的处理</w:t>
      </w:r>
      <w:bookmarkEnd w:id="192"/>
    </w:p>
    <w:p w14:paraId="7A0CA625">
      <w:pPr>
        <w:pStyle w:val="17"/>
        <w:keepNext w:val="0"/>
        <w:keepLines w:val="0"/>
        <w:pageBreakBefore w:val="0"/>
        <w:numPr>
          <w:ilvl w:val="0"/>
          <w:numId w:val="0"/>
        </w:numPr>
        <w:shd w:val="clear" w:color="auto" w:fill="auto"/>
        <w:kinsoku/>
        <w:wordWrap/>
        <w:overflowPunct/>
        <w:topLinePunct w:val="0"/>
        <w:autoSpaceDE/>
        <w:autoSpaceDN/>
        <w:bidi w:val="0"/>
        <w:spacing w:before="0" w:beforeAutospacing="0" w:after="0" w:afterAutospacing="0" w:line="500" w:lineRule="exact"/>
        <w:ind w:firstLine="420" w:firstLineChars="20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8.1单一产品采购项目中，提供相同品牌的产品的不同供应商参加同一合同项下投标的，按以下方法处理：</w:t>
      </w:r>
    </w:p>
    <w:p w14:paraId="4525B404">
      <w:pPr>
        <w:pStyle w:val="17"/>
        <w:keepNext w:val="0"/>
        <w:keepLines w:val="0"/>
        <w:pageBreakBefore w:val="0"/>
        <w:numPr>
          <w:ilvl w:val="0"/>
          <w:numId w:val="0"/>
        </w:numPr>
        <w:shd w:val="clear" w:color="auto" w:fill="auto"/>
        <w:kinsoku/>
        <w:wordWrap/>
        <w:overflowPunct/>
        <w:topLinePunct w:val="0"/>
        <w:autoSpaceDE/>
        <w:autoSpaceDN/>
        <w:bidi w:val="0"/>
        <w:spacing w:before="0" w:beforeAutospacing="0" w:after="0" w:afterAutospacing="0" w:line="500" w:lineRule="exact"/>
        <w:ind w:firstLine="420" w:firstLineChars="20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8.1.1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14:paraId="319ACFE0">
      <w:pPr>
        <w:pStyle w:val="17"/>
        <w:keepNext w:val="0"/>
        <w:keepLines w:val="0"/>
        <w:pageBreakBefore w:val="0"/>
        <w:numPr>
          <w:ilvl w:val="0"/>
          <w:numId w:val="0"/>
        </w:numPr>
        <w:shd w:val="clear" w:color="auto" w:fill="auto"/>
        <w:kinsoku/>
        <w:wordWrap/>
        <w:overflowPunct/>
        <w:topLinePunct w:val="0"/>
        <w:autoSpaceDE/>
        <w:autoSpaceDN/>
        <w:bidi w:val="0"/>
        <w:spacing w:before="0" w:beforeAutospacing="0" w:after="0" w:afterAutospacing="0" w:line="500" w:lineRule="exact"/>
        <w:ind w:firstLine="420" w:firstLineChars="20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8.1.2使用综合评分法的采购项目，提供相同品牌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14:paraId="6F6B2153">
      <w:pPr>
        <w:keepNext w:val="0"/>
        <w:keepLines w:val="0"/>
        <w:pageBreakBefore w:val="0"/>
        <w:widowControl/>
        <w:numPr>
          <w:ilvl w:val="0"/>
          <w:numId w:val="0"/>
        </w:numPr>
        <w:shd w:val="clear" w:color="auto" w:fill="auto"/>
        <w:kinsoku/>
        <w:wordWrap/>
        <w:overflowPunct/>
        <w:topLinePunct w:val="0"/>
        <w:autoSpaceDE/>
        <w:autoSpaceDN/>
        <w:bidi w:val="0"/>
        <w:spacing w:line="500" w:lineRule="exact"/>
        <w:ind w:right="-197" w:rightChars="-94" w:firstLine="420" w:firstLineChars="20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8.2非单一产品采购项目中，提供相同品牌的核心产品的不同供应商参加同一合同项下投标的，按以下方法处理：</w:t>
      </w:r>
    </w:p>
    <w:p w14:paraId="4BF913DB">
      <w:pPr>
        <w:pStyle w:val="17"/>
        <w:keepNext w:val="0"/>
        <w:keepLines w:val="0"/>
        <w:pageBreakBefore w:val="0"/>
        <w:numPr>
          <w:ilvl w:val="0"/>
          <w:numId w:val="0"/>
        </w:numPr>
        <w:shd w:val="clear" w:color="auto" w:fill="auto"/>
        <w:kinsoku/>
        <w:wordWrap/>
        <w:overflowPunct/>
        <w:topLinePunct w:val="0"/>
        <w:autoSpaceDE/>
        <w:autoSpaceDN/>
        <w:bidi w:val="0"/>
        <w:spacing w:before="0" w:beforeAutospacing="0" w:after="0" w:afterAutospacing="0" w:line="500" w:lineRule="exact"/>
        <w:ind w:firstLine="420" w:firstLineChars="20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8.2.1使用最低评标价法的采购项目，提供相同品牌核心产品的不同供应商参加同一合同项下投标的，以其中通过资格审查、符合性审查且投标报价最低的参加评标；投标报价相同的，由采购人及评标委员会按照技术方案、售后服务等内容择优选择确定一个参加评标的供应商，其他投标无效。</w:t>
      </w:r>
    </w:p>
    <w:p w14:paraId="6E14BD01">
      <w:pPr>
        <w:pStyle w:val="17"/>
        <w:keepNext w:val="0"/>
        <w:keepLines w:val="0"/>
        <w:pageBreakBefore w:val="0"/>
        <w:numPr>
          <w:ilvl w:val="0"/>
          <w:numId w:val="0"/>
        </w:numPr>
        <w:shd w:val="clear" w:color="auto" w:fill="auto"/>
        <w:kinsoku/>
        <w:wordWrap/>
        <w:overflowPunct/>
        <w:topLinePunct w:val="0"/>
        <w:autoSpaceDE/>
        <w:autoSpaceDN/>
        <w:bidi w:val="0"/>
        <w:spacing w:before="0" w:beforeAutospacing="0" w:after="0" w:afterAutospacing="0" w:line="500" w:lineRule="exact"/>
        <w:ind w:firstLine="420" w:firstLineChars="20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8.2.2使用综合评分法的采购项目，提供相同品牌核心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14:paraId="2BCF3622">
      <w:pPr>
        <w:pStyle w:val="17"/>
        <w:keepNext w:val="0"/>
        <w:keepLines w:val="0"/>
        <w:pageBreakBefore w:val="0"/>
        <w:numPr>
          <w:ilvl w:val="0"/>
          <w:numId w:val="0"/>
        </w:numPr>
        <w:shd w:val="clear" w:color="auto" w:fill="auto"/>
        <w:kinsoku/>
        <w:wordWrap/>
        <w:overflowPunct/>
        <w:topLinePunct w:val="0"/>
        <w:autoSpaceDE/>
        <w:autoSpaceDN/>
        <w:bidi w:val="0"/>
        <w:spacing w:before="0" w:beforeAutospacing="0" w:after="0" w:afterAutospacing="0" w:line="500" w:lineRule="exact"/>
        <w:ind w:firstLine="420" w:firstLineChars="20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8.2.3核心产品为两个及以上时，当所有核心产品品牌均相同时，在评审时按同一供应商计算；部分核心产品品牌相同时按不同供应商计算。</w:t>
      </w:r>
    </w:p>
    <w:p w14:paraId="117D7B04">
      <w:pPr>
        <w:keepNext w:val="0"/>
        <w:keepLines w:val="0"/>
        <w:pageBreakBefore w:val="0"/>
        <w:shd w:val="clear" w:color="auto" w:fill="auto"/>
        <w:wordWrap/>
        <w:overflowPunct/>
        <w:topLinePunct w:val="0"/>
        <w:bidi w:val="0"/>
        <w:adjustRightInd/>
        <w:snapToGrid/>
        <w:spacing w:line="480" w:lineRule="exact"/>
        <w:ind w:firstLine="420" w:firstLineChars="200"/>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8.3投标文件报价出现前后不一致的，按照下列规定修正：</w:t>
      </w:r>
    </w:p>
    <w:p w14:paraId="429A17BC">
      <w:pPr>
        <w:keepNext w:val="0"/>
        <w:keepLines w:val="0"/>
        <w:pageBreakBefore w:val="0"/>
        <w:numPr>
          <w:ilvl w:val="0"/>
          <w:numId w:val="0"/>
        </w:numPr>
        <w:wordWrap/>
        <w:overflowPunct/>
        <w:topLinePunct w:val="0"/>
        <w:bidi w:val="0"/>
        <w:adjustRightInd/>
        <w:snapToGrid/>
        <w:spacing w:line="480" w:lineRule="exact"/>
        <w:ind w:firstLine="420" w:firstLineChars="200"/>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8.3.1投标文件中开标一览表(报价表)内容与投标文件中相应内容不一致的，以开标一览表(报价表)为准。</w:t>
      </w:r>
    </w:p>
    <w:p w14:paraId="372F2006">
      <w:pPr>
        <w:keepNext w:val="0"/>
        <w:keepLines w:val="0"/>
        <w:pageBreakBefore w:val="0"/>
        <w:numPr>
          <w:ilvl w:val="0"/>
          <w:numId w:val="0"/>
        </w:numPr>
        <w:wordWrap/>
        <w:overflowPunct/>
        <w:topLinePunct w:val="0"/>
        <w:bidi w:val="0"/>
        <w:adjustRightInd/>
        <w:snapToGrid/>
        <w:spacing w:line="480" w:lineRule="exact"/>
        <w:ind w:firstLine="420" w:firstLineChars="200"/>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8.3.2投标文件的大写金额和小写金额不一致的，以大写金额为准；</w:t>
      </w:r>
    </w:p>
    <w:p w14:paraId="27AD107E">
      <w:pPr>
        <w:keepNext w:val="0"/>
        <w:keepLines w:val="0"/>
        <w:pageBreakBefore w:val="0"/>
        <w:numPr>
          <w:ilvl w:val="0"/>
          <w:numId w:val="0"/>
        </w:numPr>
        <w:wordWrap/>
        <w:overflowPunct/>
        <w:topLinePunct w:val="0"/>
        <w:bidi w:val="0"/>
        <w:adjustRightInd/>
        <w:snapToGrid/>
        <w:spacing w:line="480" w:lineRule="exact"/>
        <w:ind w:firstLine="420" w:firstLineChars="200"/>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8.3.3单价金额小数点或者百分比有明显错位的，以单独密封的开标一览表的总价为准，并修改单价；</w:t>
      </w:r>
    </w:p>
    <w:p w14:paraId="0A178440">
      <w:pPr>
        <w:keepNext w:val="0"/>
        <w:keepLines w:val="0"/>
        <w:pageBreakBefore w:val="0"/>
        <w:numPr>
          <w:ilvl w:val="0"/>
          <w:numId w:val="0"/>
        </w:numPr>
        <w:wordWrap/>
        <w:overflowPunct/>
        <w:topLinePunct w:val="0"/>
        <w:bidi w:val="0"/>
        <w:adjustRightInd/>
        <w:snapToGrid/>
        <w:spacing w:line="480" w:lineRule="exact"/>
        <w:ind w:firstLine="420" w:firstLineChars="200"/>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8.3.4总价金额与按单价汇总金额不一致的，以单价金额计算结果为准。</w:t>
      </w:r>
    </w:p>
    <w:p w14:paraId="1EEF60BD">
      <w:pPr>
        <w:keepNext w:val="0"/>
        <w:keepLines w:val="0"/>
        <w:pageBreakBefore w:val="0"/>
        <w:widowControl/>
        <w:wordWrap/>
        <w:overflowPunct/>
        <w:topLinePunct w:val="0"/>
        <w:autoSpaceDE w:val="0"/>
        <w:autoSpaceDN w:val="0"/>
        <w:bidi w:val="0"/>
        <w:adjustRightInd/>
        <w:snapToGrid/>
        <w:spacing w:line="480" w:lineRule="exact"/>
        <w:ind w:right="51" w:firstLine="482" w:firstLineChars="200"/>
        <w:textAlignment w:val="bottom"/>
        <w:outlineLvl w:val="9"/>
        <w:rPr>
          <w:rFonts w:hint="eastAsia" w:ascii="宋体" w:hAnsi="宋体" w:eastAsia="宋体" w:cs="宋体"/>
          <w:szCs w:val="24"/>
          <w:highlight w:val="none"/>
        </w:rPr>
      </w:pPr>
      <w:r>
        <w:rPr>
          <w:rFonts w:hint="eastAsia" w:ascii="宋体" w:hAnsi="宋体" w:eastAsia="宋体" w:cs="宋体"/>
          <w:b/>
          <w:color w:val="000000"/>
          <w:sz w:val="24"/>
          <w:highlight w:val="none"/>
        </w:rPr>
        <w:t>按上述修正的</w:t>
      </w:r>
      <w:r>
        <w:rPr>
          <w:rFonts w:hint="eastAsia" w:ascii="宋体" w:hAnsi="宋体" w:eastAsia="宋体" w:cs="宋体"/>
          <w:b/>
          <w:color w:val="000000"/>
          <w:sz w:val="24"/>
          <w:highlight w:val="none"/>
          <w:lang w:eastAsia="zh-CN"/>
        </w:rPr>
        <w:t>顺序和</w:t>
      </w:r>
      <w:r>
        <w:rPr>
          <w:rFonts w:hint="eastAsia" w:ascii="宋体" w:hAnsi="宋体" w:eastAsia="宋体" w:cs="宋体"/>
          <w:b/>
          <w:color w:val="000000"/>
          <w:sz w:val="24"/>
          <w:highlight w:val="none"/>
        </w:rPr>
        <w:t>方法调整的投标报价应对</w:t>
      </w:r>
      <w:r>
        <w:rPr>
          <w:rFonts w:hint="eastAsia" w:hAnsi="宋体" w:eastAsia="宋体" w:cs="宋体"/>
          <w:b/>
          <w:color w:val="000000"/>
          <w:sz w:val="24"/>
          <w:highlight w:val="none"/>
          <w:lang w:eastAsia="zh-CN"/>
        </w:rPr>
        <w:t>供应商</w:t>
      </w:r>
      <w:r>
        <w:rPr>
          <w:rFonts w:hint="eastAsia" w:ascii="宋体" w:hAnsi="宋体" w:eastAsia="宋体" w:cs="宋体"/>
          <w:b/>
          <w:color w:val="000000"/>
          <w:sz w:val="24"/>
          <w:highlight w:val="none"/>
        </w:rPr>
        <w:t>具有约束力。如果</w:t>
      </w:r>
      <w:r>
        <w:rPr>
          <w:rFonts w:hint="eastAsia" w:hAnsi="宋体" w:eastAsia="宋体" w:cs="宋体"/>
          <w:b/>
          <w:color w:val="000000"/>
          <w:sz w:val="24"/>
          <w:highlight w:val="none"/>
          <w:lang w:eastAsia="zh-CN"/>
        </w:rPr>
        <w:t>供应商</w:t>
      </w:r>
      <w:r>
        <w:rPr>
          <w:rFonts w:hint="eastAsia" w:ascii="宋体" w:hAnsi="宋体" w:eastAsia="宋体" w:cs="宋体"/>
          <w:b/>
          <w:color w:val="000000"/>
          <w:sz w:val="24"/>
          <w:highlight w:val="none"/>
        </w:rPr>
        <w:t>不接受修正后的价格，其投标</w:t>
      </w:r>
      <w:r>
        <w:rPr>
          <w:rFonts w:hint="eastAsia" w:ascii="宋体" w:hAnsi="宋体" w:eastAsia="宋体" w:cs="宋体"/>
          <w:b/>
          <w:color w:val="000000"/>
          <w:sz w:val="24"/>
          <w:highlight w:val="none"/>
          <w:lang w:eastAsia="zh-CN"/>
        </w:rPr>
        <w:t>将按</w:t>
      </w:r>
      <w:r>
        <w:rPr>
          <w:rFonts w:hint="eastAsia" w:ascii="宋体" w:hAnsi="宋体" w:eastAsia="宋体" w:cs="宋体"/>
          <w:b/>
          <w:color w:val="000000"/>
          <w:sz w:val="24"/>
          <w:highlight w:val="none"/>
        </w:rPr>
        <w:t>无效投标处理。</w:t>
      </w:r>
    </w:p>
    <w:p w14:paraId="2FB73792">
      <w:pPr>
        <w:keepNext w:val="0"/>
        <w:keepLines w:val="0"/>
        <w:pageBreakBefore w:val="0"/>
        <w:kinsoku/>
        <w:wordWrap/>
        <w:overflowPunct/>
        <w:topLinePunct w:val="0"/>
        <w:autoSpaceDE/>
        <w:autoSpaceDN/>
        <w:bidi w:val="0"/>
        <w:spacing w:line="500" w:lineRule="exact"/>
        <w:textAlignment w:val="auto"/>
        <w:outlineLvl w:val="9"/>
        <w:rPr>
          <w:rFonts w:hint="eastAsia" w:ascii="宋体" w:hAnsi="宋体" w:eastAsia="宋体" w:cs="宋体"/>
          <w:b/>
          <w:spacing w:val="4"/>
          <w:szCs w:val="24"/>
          <w:highlight w:val="none"/>
        </w:rPr>
      </w:pPr>
      <w:bookmarkStart w:id="193" w:name="_Toc13790"/>
      <w:r>
        <w:rPr>
          <w:rFonts w:hint="eastAsia" w:hAnsi="宋体" w:eastAsia="宋体" w:cs="宋体"/>
          <w:b/>
          <w:spacing w:val="4"/>
          <w:szCs w:val="24"/>
          <w:highlight w:val="none"/>
          <w:lang w:eastAsia="zh-CN"/>
        </w:rPr>
        <w:t>九．</w:t>
      </w:r>
      <w:r>
        <w:rPr>
          <w:rFonts w:hint="eastAsia" w:ascii="宋体" w:hAnsi="宋体" w:eastAsia="宋体" w:cs="宋体"/>
          <w:b/>
          <w:spacing w:val="4"/>
          <w:szCs w:val="24"/>
          <w:highlight w:val="none"/>
        </w:rPr>
        <w:t>定标</w:t>
      </w:r>
      <w:bookmarkEnd w:id="193"/>
    </w:p>
    <w:p w14:paraId="4F4903AD">
      <w:pPr>
        <w:keepNext w:val="0"/>
        <w:keepLines w:val="0"/>
        <w:pageBreakBefore w:val="0"/>
        <w:kinsoku/>
        <w:wordWrap/>
        <w:overflowPunct/>
        <w:topLinePunct w:val="0"/>
        <w:autoSpaceDE/>
        <w:autoSpaceDN/>
        <w:bidi w:val="0"/>
        <w:spacing w:line="500" w:lineRule="exact"/>
        <w:ind w:firstLine="436" w:firstLineChars="200"/>
        <w:textAlignment w:val="auto"/>
        <w:outlineLvl w:val="9"/>
        <w:rPr>
          <w:rFonts w:hint="eastAsia" w:ascii="宋体" w:hAnsi="宋体" w:eastAsia="宋体" w:cs="宋体"/>
          <w:spacing w:val="4"/>
          <w:szCs w:val="24"/>
          <w:highlight w:val="none"/>
        </w:rPr>
      </w:pPr>
      <w:r>
        <w:rPr>
          <w:rFonts w:hint="eastAsia" w:hAnsi="宋体" w:eastAsia="宋体" w:cs="宋体"/>
          <w:spacing w:val="4"/>
          <w:szCs w:val="24"/>
          <w:highlight w:val="none"/>
          <w:lang w:val="en-US" w:eastAsia="zh-CN"/>
        </w:rPr>
        <w:t>9.1</w:t>
      </w:r>
      <w:r>
        <w:rPr>
          <w:rFonts w:hint="eastAsia" w:ascii="宋体" w:hAnsi="宋体" w:eastAsia="宋体" w:cs="宋体"/>
          <w:spacing w:val="4"/>
          <w:szCs w:val="24"/>
          <w:highlight w:val="none"/>
        </w:rPr>
        <w:t>评标结果由全体</w:t>
      </w:r>
      <w:r>
        <w:rPr>
          <w:rFonts w:hint="eastAsia" w:ascii="宋体" w:hAnsi="宋体" w:eastAsia="宋体" w:cs="宋体"/>
          <w:szCs w:val="24"/>
          <w:highlight w:val="none"/>
        </w:rPr>
        <w:t>评标委员会成员</w:t>
      </w:r>
      <w:r>
        <w:rPr>
          <w:rFonts w:hint="eastAsia" w:ascii="宋体" w:hAnsi="宋体" w:eastAsia="宋体" w:cs="宋体"/>
          <w:spacing w:val="4"/>
          <w:szCs w:val="24"/>
          <w:highlight w:val="none"/>
        </w:rPr>
        <w:t>签字确认。</w:t>
      </w:r>
    </w:p>
    <w:p w14:paraId="73C6F756">
      <w:pPr>
        <w:keepNext w:val="0"/>
        <w:keepLines w:val="0"/>
        <w:pageBreakBefore w:val="0"/>
        <w:kinsoku/>
        <w:wordWrap/>
        <w:overflowPunct/>
        <w:topLinePunct w:val="0"/>
        <w:autoSpaceDE/>
        <w:autoSpaceDN/>
        <w:bidi w:val="0"/>
        <w:spacing w:line="500" w:lineRule="exact"/>
        <w:ind w:firstLine="436" w:firstLineChars="200"/>
        <w:textAlignment w:val="auto"/>
        <w:outlineLvl w:val="9"/>
        <w:rPr>
          <w:rFonts w:hint="eastAsia" w:ascii="宋体" w:hAnsi="宋体" w:eastAsia="宋体" w:cs="宋体"/>
          <w:spacing w:val="4"/>
          <w:szCs w:val="24"/>
          <w:highlight w:val="none"/>
        </w:rPr>
      </w:pPr>
      <w:r>
        <w:rPr>
          <w:rFonts w:hint="eastAsia" w:hAnsi="宋体" w:eastAsia="宋体" w:cs="宋体"/>
          <w:spacing w:val="4"/>
          <w:szCs w:val="24"/>
          <w:highlight w:val="none"/>
          <w:lang w:val="en-US" w:eastAsia="zh-CN"/>
        </w:rPr>
        <w:t>9.2</w:t>
      </w:r>
      <w:r>
        <w:rPr>
          <w:rFonts w:hint="eastAsia" w:ascii="宋体" w:hAnsi="宋体" w:eastAsia="宋体" w:cs="宋体"/>
          <w:spacing w:val="4"/>
          <w:szCs w:val="24"/>
          <w:highlight w:val="none"/>
        </w:rPr>
        <w:t>采购人根据评标报告中推荐的中标候选人排列顺序确定</w:t>
      </w:r>
      <w:r>
        <w:rPr>
          <w:rFonts w:hint="eastAsia" w:ascii="宋体" w:hAnsi="宋体" w:eastAsia="宋体" w:cs="宋体"/>
          <w:spacing w:val="4"/>
          <w:szCs w:val="24"/>
          <w:highlight w:val="none"/>
          <w:lang w:eastAsia="zh-CN"/>
        </w:rPr>
        <w:t>中标人</w:t>
      </w:r>
      <w:r>
        <w:rPr>
          <w:rFonts w:hint="eastAsia" w:ascii="宋体" w:hAnsi="宋体" w:eastAsia="宋体" w:cs="宋体"/>
          <w:spacing w:val="4"/>
          <w:szCs w:val="24"/>
          <w:highlight w:val="none"/>
        </w:rPr>
        <w:t>，以复函通知采购代理机构。</w:t>
      </w:r>
    </w:p>
    <w:p w14:paraId="6F32F07E">
      <w:pPr>
        <w:spacing w:line="600" w:lineRule="exact"/>
        <w:outlineLvl w:val="9"/>
        <w:rPr>
          <w:rFonts w:hint="eastAsia" w:ascii="宋体" w:hAnsi="宋体" w:eastAsia="宋体" w:cs="宋体"/>
          <w:szCs w:val="24"/>
          <w:highlight w:val="none"/>
        </w:rPr>
      </w:pPr>
    </w:p>
    <w:bookmarkEnd w:id="93"/>
    <w:bookmarkEnd w:id="159"/>
    <w:bookmarkEnd w:id="160"/>
    <w:bookmarkEnd w:id="161"/>
    <w:bookmarkEnd w:id="162"/>
    <w:bookmarkEnd w:id="163"/>
    <w:bookmarkEnd w:id="164"/>
    <w:bookmarkEnd w:id="165"/>
    <w:p w14:paraId="246E3DB3">
      <w:pPr>
        <w:spacing w:line="600" w:lineRule="exact"/>
        <w:outlineLvl w:val="9"/>
        <w:rPr>
          <w:rFonts w:hint="eastAsia" w:ascii="宋体" w:hAnsi="宋体" w:eastAsia="宋体" w:cs="宋体"/>
          <w:b/>
          <w:bCs/>
          <w:sz w:val="24"/>
          <w:szCs w:val="24"/>
          <w:highlight w:val="none"/>
          <w:lang w:eastAsia="zh-CN"/>
        </w:rPr>
      </w:pPr>
      <w:bookmarkStart w:id="194" w:name="_Toc8830"/>
      <w:bookmarkStart w:id="195" w:name="_Toc426457698"/>
      <w:bookmarkStart w:id="196" w:name="_Toc28411"/>
      <w:bookmarkStart w:id="197" w:name="_Toc363474025"/>
      <w:bookmarkStart w:id="198" w:name="_Toc22538"/>
    </w:p>
    <w:p w14:paraId="03247A2A">
      <w:pPr>
        <w:spacing w:line="600" w:lineRule="exact"/>
        <w:outlineLvl w:val="9"/>
        <w:rPr>
          <w:rFonts w:hint="eastAsia" w:ascii="宋体" w:hAnsi="宋体" w:eastAsia="宋体" w:cs="宋体"/>
          <w:b/>
          <w:bCs/>
          <w:sz w:val="24"/>
          <w:szCs w:val="24"/>
          <w:highlight w:val="none"/>
          <w:lang w:eastAsia="zh-CN"/>
        </w:rPr>
      </w:pPr>
    </w:p>
    <w:p w14:paraId="680D367D">
      <w:pPr>
        <w:spacing w:line="600" w:lineRule="exact"/>
        <w:outlineLvl w:val="9"/>
        <w:rPr>
          <w:rFonts w:hint="eastAsia" w:ascii="宋体" w:hAnsi="宋体" w:eastAsia="宋体" w:cs="宋体"/>
          <w:b/>
          <w:bCs/>
          <w:sz w:val="24"/>
          <w:szCs w:val="24"/>
          <w:highlight w:val="none"/>
          <w:lang w:eastAsia="zh-CN"/>
        </w:rPr>
      </w:pPr>
    </w:p>
    <w:p w14:paraId="1FB8C3B8">
      <w:pPr>
        <w:spacing w:line="600" w:lineRule="exact"/>
        <w:outlineLvl w:val="9"/>
        <w:rPr>
          <w:rFonts w:hint="eastAsia" w:ascii="宋体" w:hAnsi="宋体" w:eastAsia="宋体" w:cs="宋体"/>
          <w:b/>
          <w:bCs/>
          <w:sz w:val="24"/>
          <w:szCs w:val="24"/>
          <w:highlight w:val="none"/>
          <w:lang w:eastAsia="zh-CN"/>
        </w:rPr>
      </w:pPr>
    </w:p>
    <w:p w14:paraId="3444E23C">
      <w:pPr>
        <w:spacing w:line="600" w:lineRule="exact"/>
        <w:outlineLvl w:val="9"/>
        <w:rPr>
          <w:rFonts w:hint="eastAsia" w:ascii="宋体" w:hAnsi="宋体" w:eastAsia="宋体" w:cs="宋体"/>
          <w:szCs w:val="24"/>
          <w:highlight w:val="none"/>
          <w:lang w:val="en-US" w:eastAsia="zh-CN"/>
        </w:rPr>
      </w:pP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w:t>
      </w:r>
    </w:p>
    <w:p w14:paraId="07549B13">
      <w:pPr>
        <w:pStyle w:val="8"/>
        <w:jc w:val="center"/>
        <w:outlineLvl w:val="9"/>
        <w:rPr>
          <w:rFonts w:hint="eastAsia" w:hAnsi="宋体" w:eastAsia="宋体" w:cs="宋体"/>
          <w:b w:val="0"/>
          <w:bCs/>
          <w:color w:val="000000"/>
          <w:sz w:val="24"/>
          <w:szCs w:val="24"/>
          <w:highlight w:val="none"/>
          <w:lang w:eastAsia="zh-CN"/>
        </w:rPr>
      </w:pPr>
      <w:bookmarkStart w:id="199" w:name="_Toc30905"/>
    </w:p>
    <w:p w14:paraId="3CF7DD86">
      <w:pPr>
        <w:pStyle w:val="8"/>
        <w:jc w:val="center"/>
        <w:outlineLvl w:val="9"/>
        <w:rPr>
          <w:rFonts w:hint="eastAsia" w:ascii="宋体" w:hAnsi="宋体" w:eastAsia="宋体" w:cs="宋体"/>
          <w:b/>
          <w:bCs/>
          <w:sz w:val="24"/>
          <w:szCs w:val="24"/>
          <w:highlight w:val="none"/>
          <w:lang w:eastAsia="zh-CN"/>
        </w:rPr>
      </w:pPr>
      <w:r>
        <w:rPr>
          <w:rFonts w:hint="eastAsia" w:hAnsi="宋体" w:eastAsia="宋体" w:cs="宋体"/>
          <w:b w:val="0"/>
          <w:bCs/>
          <w:color w:val="000000"/>
          <w:sz w:val="24"/>
          <w:szCs w:val="24"/>
          <w:highlight w:val="none"/>
          <w:lang w:eastAsia="zh-CN"/>
        </w:rPr>
        <w:t>初步评审标准—</w:t>
      </w:r>
      <w:r>
        <w:rPr>
          <w:rFonts w:hint="eastAsia" w:ascii="宋体" w:hAnsi="宋体" w:eastAsia="宋体" w:cs="宋体"/>
          <w:b/>
          <w:bCs/>
          <w:sz w:val="24"/>
          <w:szCs w:val="24"/>
          <w:highlight w:val="none"/>
          <w:lang w:val="en-US" w:eastAsia="zh-CN"/>
        </w:rPr>
        <w:t>资格</w:t>
      </w:r>
      <w:r>
        <w:rPr>
          <w:rFonts w:hint="eastAsia" w:ascii="宋体" w:hAnsi="宋体" w:eastAsia="宋体" w:cs="宋体"/>
          <w:b/>
          <w:bCs/>
          <w:sz w:val="24"/>
          <w:szCs w:val="24"/>
          <w:highlight w:val="none"/>
          <w:lang w:eastAsia="zh-CN"/>
        </w:rPr>
        <w:t>审查要素表</w:t>
      </w:r>
      <w:bookmarkEnd w:id="199"/>
    </w:p>
    <w:p w14:paraId="43421FC4">
      <w:pPr>
        <w:outlineLvl w:val="9"/>
        <w:rPr>
          <w:rFonts w:hint="eastAsia"/>
          <w:highlight w:val="none"/>
          <w:lang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588"/>
        <w:gridCol w:w="1684"/>
        <w:gridCol w:w="786"/>
      </w:tblGrid>
      <w:tr w14:paraId="6BB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478ADECA">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序号</w:t>
            </w:r>
          </w:p>
        </w:tc>
        <w:tc>
          <w:tcPr>
            <w:tcW w:w="5588" w:type="dxa"/>
            <w:noWrap w:val="0"/>
            <w:vAlign w:val="center"/>
          </w:tcPr>
          <w:p w14:paraId="6151D232">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审查因素</w:t>
            </w:r>
          </w:p>
        </w:tc>
        <w:tc>
          <w:tcPr>
            <w:tcW w:w="1684" w:type="dxa"/>
            <w:noWrap w:val="0"/>
            <w:vAlign w:val="center"/>
          </w:tcPr>
          <w:p w14:paraId="678FB2C5">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审查标准</w:t>
            </w:r>
          </w:p>
        </w:tc>
        <w:tc>
          <w:tcPr>
            <w:tcW w:w="786" w:type="dxa"/>
            <w:noWrap w:val="0"/>
            <w:vAlign w:val="center"/>
          </w:tcPr>
          <w:p w14:paraId="379C5672">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备注</w:t>
            </w:r>
          </w:p>
        </w:tc>
      </w:tr>
      <w:tr w14:paraId="4E05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6CBAC4FD">
            <w:pPr>
              <w:tabs>
                <w:tab w:val="left" w:pos="0"/>
              </w:tabs>
              <w:adjustRightInd w:val="0"/>
              <w:snapToGrid w:val="0"/>
              <w:jc w:val="center"/>
              <w:rPr>
                <w:rFonts w:hint="eastAsia" w:ascii="宋体" w:hAnsi="宋体" w:eastAsia="宋体" w:cs="宋体"/>
                <w:b/>
                <w:color w:val="auto"/>
                <w:kern w:val="0"/>
                <w:sz w:val="21"/>
                <w:szCs w:val="21"/>
                <w:u w:val="none"/>
                <w:lang w:val="en-US" w:eastAsia="zh-CN"/>
              </w:rPr>
            </w:pPr>
            <w:r>
              <w:rPr>
                <w:rFonts w:hint="eastAsia" w:ascii="宋体" w:hAnsi="宋体" w:eastAsia="宋体" w:cs="宋体"/>
                <w:b/>
                <w:color w:val="auto"/>
                <w:kern w:val="0"/>
                <w:sz w:val="21"/>
                <w:szCs w:val="21"/>
                <w:u w:val="none"/>
                <w:lang w:val="en-US" w:eastAsia="zh-CN"/>
              </w:rPr>
              <w:t>1</w:t>
            </w:r>
          </w:p>
        </w:tc>
        <w:tc>
          <w:tcPr>
            <w:tcW w:w="5588" w:type="dxa"/>
            <w:noWrap w:val="0"/>
            <w:vAlign w:val="center"/>
          </w:tcPr>
          <w:p w14:paraId="57F2E64B">
            <w:pPr>
              <w:tabs>
                <w:tab w:val="left" w:pos="0"/>
              </w:tabs>
              <w:adjustRightInd w:val="0"/>
              <w:snapToGrid w:val="0"/>
              <w:jc w:val="left"/>
              <w:rPr>
                <w:rFonts w:hint="eastAsia" w:ascii="宋体" w:hAnsi="宋体" w:eastAsia="宋体" w:cs="宋体"/>
                <w:b/>
                <w:color w:val="auto"/>
                <w:kern w:val="0"/>
                <w:sz w:val="21"/>
                <w:szCs w:val="21"/>
                <w:u w:val="none"/>
              </w:rPr>
            </w:pPr>
            <w:r>
              <w:rPr>
                <w:rFonts w:hint="eastAsia" w:ascii="宋体" w:hAnsi="宋体" w:eastAsia="宋体" w:cs="宋体"/>
                <w:i w:val="0"/>
                <w:iCs w:val="0"/>
                <w:sz w:val="21"/>
                <w:szCs w:val="21"/>
                <w:highlight w:val="none"/>
                <w:u w:val="none"/>
                <w:lang w:eastAsia="zh-CN"/>
              </w:rPr>
              <w:t>投标人</w:t>
            </w:r>
            <w:r>
              <w:rPr>
                <w:rFonts w:hint="eastAsia" w:ascii="宋体" w:hAnsi="宋体" w:eastAsia="宋体" w:cs="宋体"/>
                <w:i w:val="0"/>
                <w:iCs w:val="0"/>
                <w:sz w:val="21"/>
                <w:szCs w:val="21"/>
                <w:highlight w:val="none"/>
                <w:u w:val="none"/>
              </w:rPr>
              <w:t>为企业法人应提供合法有效的标识有统一社会信用代码的营业执照；事业法人应提供事业单位法人证书；其他组织应提供合法登记证明文件</w:t>
            </w:r>
          </w:p>
        </w:tc>
        <w:tc>
          <w:tcPr>
            <w:tcW w:w="1684" w:type="dxa"/>
            <w:noWrap w:val="0"/>
            <w:vAlign w:val="center"/>
          </w:tcPr>
          <w:p w14:paraId="37310D67">
            <w:pPr>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color w:val="auto"/>
                <w:kern w:val="0"/>
                <w:sz w:val="21"/>
                <w:szCs w:val="21"/>
                <w:u w:val="none"/>
              </w:rPr>
              <w:t>合法有效</w:t>
            </w:r>
          </w:p>
        </w:tc>
        <w:tc>
          <w:tcPr>
            <w:tcW w:w="786" w:type="dxa"/>
            <w:noWrap w:val="0"/>
            <w:vAlign w:val="center"/>
          </w:tcPr>
          <w:p w14:paraId="43FD4DB6">
            <w:pPr>
              <w:tabs>
                <w:tab w:val="left" w:pos="0"/>
              </w:tabs>
              <w:adjustRightInd w:val="0"/>
              <w:snapToGrid w:val="0"/>
              <w:jc w:val="center"/>
              <w:rPr>
                <w:rFonts w:hint="eastAsia" w:ascii="宋体" w:hAnsi="宋体" w:eastAsia="宋体" w:cs="宋体"/>
                <w:b/>
                <w:color w:val="auto"/>
                <w:kern w:val="0"/>
                <w:sz w:val="21"/>
                <w:szCs w:val="21"/>
                <w:u w:val="none"/>
              </w:rPr>
            </w:pPr>
          </w:p>
        </w:tc>
      </w:tr>
      <w:tr w14:paraId="79F7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1C84AA19">
            <w:pPr>
              <w:tabs>
                <w:tab w:val="left" w:pos="0"/>
              </w:tabs>
              <w:adjustRightInd w:val="0"/>
              <w:snapToGrid w:val="0"/>
              <w:jc w:val="center"/>
              <w:rPr>
                <w:rFonts w:hint="eastAsia" w:ascii="宋体" w:hAnsi="宋体" w:eastAsia="宋体" w:cs="宋体"/>
                <w:b/>
                <w:color w:val="auto"/>
                <w:kern w:val="0"/>
                <w:sz w:val="21"/>
                <w:szCs w:val="21"/>
                <w:u w:val="none"/>
                <w:lang w:val="en-US" w:eastAsia="zh-CN"/>
              </w:rPr>
            </w:pPr>
            <w:r>
              <w:rPr>
                <w:rFonts w:hint="eastAsia" w:ascii="宋体" w:hAnsi="宋体" w:eastAsia="宋体" w:cs="宋体"/>
                <w:b/>
                <w:color w:val="auto"/>
                <w:kern w:val="0"/>
                <w:sz w:val="21"/>
                <w:szCs w:val="21"/>
                <w:u w:val="none"/>
                <w:lang w:val="en-US" w:eastAsia="zh-CN"/>
              </w:rPr>
              <w:t>2</w:t>
            </w:r>
          </w:p>
        </w:tc>
        <w:tc>
          <w:tcPr>
            <w:tcW w:w="5588" w:type="dxa"/>
            <w:noWrap w:val="0"/>
            <w:vAlign w:val="center"/>
          </w:tcPr>
          <w:p w14:paraId="637A7471">
            <w:pPr>
              <w:tabs>
                <w:tab w:val="left" w:pos="0"/>
              </w:tabs>
              <w:adjustRightInd w:val="0"/>
              <w:snapToGrid w:val="0"/>
              <w:jc w:val="left"/>
              <w:rPr>
                <w:rFonts w:hint="eastAsia" w:ascii="宋体" w:hAnsi="宋体" w:eastAsia="宋体" w:cs="宋体"/>
                <w:b/>
                <w:color w:val="auto"/>
                <w:kern w:val="0"/>
                <w:sz w:val="21"/>
                <w:szCs w:val="21"/>
                <w:u w:val="none"/>
              </w:rPr>
            </w:pPr>
            <w:r>
              <w:rPr>
                <w:rFonts w:hint="eastAsia" w:ascii="宋体" w:hAnsi="宋体" w:eastAsia="宋体" w:cs="宋体"/>
                <w:i w:val="0"/>
                <w:iCs w:val="0"/>
                <w:sz w:val="21"/>
                <w:szCs w:val="21"/>
                <w:highlight w:val="none"/>
                <w:u w:val="none"/>
              </w:rPr>
              <w:t>法定代表人身份证或法定代表人授权委托书和委托代理人的身份证。法定代表人授权委托书应当与</w:t>
            </w:r>
            <w:r>
              <w:rPr>
                <w:rFonts w:hint="eastAsia" w:ascii="宋体" w:hAnsi="宋体" w:eastAsia="宋体" w:cs="宋体"/>
                <w:i w:val="0"/>
                <w:iCs w:val="0"/>
                <w:sz w:val="21"/>
                <w:szCs w:val="21"/>
                <w:highlight w:val="none"/>
                <w:u w:val="none"/>
                <w:lang w:val="en-US" w:eastAsia="zh-CN"/>
              </w:rPr>
              <w:t>投标</w:t>
            </w:r>
            <w:r>
              <w:rPr>
                <w:rFonts w:hint="eastAsia" w:ascii="宋体" w:hAnsi="宋体" w:eastAsia="宋体" w:cs="宋体"/>
                <w:i w:val="0"/>
                <w:iCs w:val="0"/>
                <w:sz w:val="21"/>
                <w:szCs w:val="21"/>
                <w:highlight w:val="none"/>
                <w:u w:val="none"/>
              </w:rPr>
              <w:t>文件中所提供的相一致</w:t>
            </w:r>
          </w:p>
        </w:tc>
        <w:tc>
          <w:tcPr>
            <w:tcW w:w="1684" w:type="dxa"/>
            <w:noWrap w:val="0"/>
            <w:vAlign w:val="center"/>
          </w:tcPr>
          <w:p w14:paraId="1D81805A">
            <w:pPr>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color w:val="auto"/>
                <w:kern w:val="0"/>
                <w:sz w:val="21"/>
                <w:szCs w:val="21"/>
                <w:u w:val="none"/>
              </w:rPr>
              <w:t>合法有效</w:t>
            </w:r>
          </w:p>
        </w:tc>
        <w:tc>
          <w:tcPr>
            <w:tcW w:w="786" w:type="dxa"/>
            <w:noWrap w:val="0"/>
            <w:vAlign w:val="center"/>
          </w:tcPr>
          <w:p w14:paraId="28B0DF59">
            <w:pPr>
              <w:tabs>
                <w:tab w:val="left" w:pos="0"/>
              </w:tabs>
              <w:adjustRightInd w:val="0"/>
              <w:snapToGrid w:val="0"/>
              <w:jc w:val="center"/>
              <w:rPr>
                <w:rFonts w:hint="eastAsia" w:ascii="宋体" w:hAnsi="宋体" w:eastAsia="宋体" w:cs="宋体"/>
                <w:b/>
                <w:color w:val="auto"/>
                <w:kern w:val="0"/>
                <w:sz w:val="21"/>
                <w:szCs w:val="21"/>
                <w:u w:val="none"/>
              </w:rPr>
            </w:pPr>
          </w:p>
        </w:tc>
      </w:tr>
      <w:tr w14:paraId="5F89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556DBA32">
            <w:pPr>
              <w:jc w:val="center"/>
              <w:rPr>
                <w:rFonts w:hint="default" w:ascii="宋体" w:hAnsi="宋体" w:eastAsia="宋体" w:cs="宋体"/>
                <w:sz w:val="21"/>
                <w:szCs w:val="21"/>
                <w:u w:val="none"/>
                <w:lang w:val="en-US" w:eastAsia="zh-CN"/>
              </w:rPr>
            </w:pPr>
            <w:r>
              <w:rPr>
                <w:rFonts w:hint="eastAsia" w:hAnsi="宋体" w:eastAsia="宋体" w:cs="宋体"/>
                <w:sz w:val="21"/>
                <w:szCs w:val="21"/>
                <w:u w:val="none"/>
                <w:lang w:val="en-US" w:eastAsia="zh-CN"/>
              </w:rPr>
              <w:t>3</w:t>
            </w:r>
          </w:p>
        </w:tc>
        <w:tc>
          <w:tcPr>
            <w:tcW w:w="5588" w:type="dxa"/>
            <w:noWrap w:val="0"/>
            <w:vAlign w:val="center"/>
          </w:tcPr>
          <w:p w14:paraId="6DD287D8">
            <w:pPr>
              <w:tabs>
                <w:tab w:val="left" w:pos="0"/>
              </w:tabs>
              <w:adjustRightInd w:val="0"/>
              <w:snapToGrid w:val="0"/>
              <w:jc w:val="left"/>
              <w:rPr>
                <w:rFonts w:hint="eastAsia" w:ascii="宋体" w:hAnsi="宋体" w:eastAsia="宋体" w:cs="宋体"/>
                <w:b/>
                <w:color w:val="auto"/>
                <w:kern w:val="0"/>
                <w:sz w:val="21"/>
                <w:szCs w:val="21"/>
                <w:u w:val="none"/>
              </w:rPr>
            </w:pPr>
            <w:r>
              <w:rPr>
                <w:rFonts w:hint="eastAsia" w:ascii="宋体" w:hAnsi="宋体" w:eastAsia="宋体" w:cs="宋体"/>
                <w:i w:val="0"/>
                <w:iCs w:val="0"/>
                <w:sz w:val="21"/>
                <w:szCs w:val="21"/>
                <w:highlight w:val="none"/>
                <w:u w:val="none"/>
              </w:rPr>
              <w:t>投标</w:t>
            </w:r>
            <w:r>
              <w:rPr>
                <w:rFonts w:hint="eastAsia" w:ascii="宋体" w:hAnsi="宋体" w:eastAsia="宋体" w:cs="宋体"/>
                <w:i w:val="0"/>
                <w:iCs w:val="0"/>
                <w:sz w:val="21"/>
                <w:szCs w:val="21"/>
                <w:highlight w:val="none"/>
                <w:u w:val="none"/>
                <w:lang w:eastAsia="zh-CN"/>
              </w:rPr>
              <w:t>人</w:t>
            </w:r>
            <w:r>
              <w:rPr>
                <w:rFonts w:hint="eastAsia" w:ascii="宋体" w:hAnsi="宋体" w:eastAsia="宋体" w:cs="宋体"/>
                <w:i w:val="0"/>
                <w:iCs w:val="0"/>
                <w:sz w:val="21"/>
                <w:szCs w:val="21"/>
                <w:highlight w:val="none"/>
                <w:u w:val="none"/>
              </w:rPr>
              <w:t>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w:t>
            </w:r>
            <w:r>
              <w:rPr>
                <w:rFonts w:hint="eastAsia" w:hAnsi="宋体" w:eastAsia="宋体" w:cs="宋体"/>
                <w:i w:val="0"/>
                <w:iCs w:val="0"/>
                <w:sz w:val="21"/>
                <w:szCs w:val="21"/>
                <w:highlight w:val="none"/>
                <w:u w:val="none"/>
                <w:lang w:eastAsia="zh-CN"/>
              </w:rPr>
              <w:t>招标</w:t>
            </w:r>
            <w:r>
              <w:rPr>
                <w:rFonts w:hint="eastAsia" w:ascii="宋体" w:hAnsi="宋体" w:eastAsia="宋体" w:cs="宋体"/>
                <w:i w:val="0"/>
                <w:iCs w:val="0"/>
                <w:sz w:val="21"/>
                <w:szCs w:val="21"/>
                <w:highlight w:val="none"/>
                <w:u w:val="none"/>
              </w:rPr>
              <w:t>文件发布之日起至投标截止时间从上述网站中打印）</w:t>
            </w:r>
          </w:p>
        </w:tc>
        <w:tc>
          <w:tcPr>
            <w:tcW w:w="1684" w:type="dxa"/>
            <w:noWrap w:val="0"/>
            <w:vAlign w:val="center"/>
          </w:tcPr>
          <w:p w14:paraId="3F2EA33D">
            <w:pPr>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color w:val="auto"/>
                <w:kern w:val="0"/>
                <w:sz w:val="21"/>
                <w:szCs w:val="21"/>
                <w:u w:val="none"/>
              </w:rPr>
              <w:t>合法有效</w:t>
            </w:r>
          </w:p>
        </w:tc>
        <w:tc>
          <w:tcPr>
            <w:tcW w:w="786" w:type="dxa"/>
            <w:noWrap w:val="0"/>
            <w:vAlign w:val="center"/>
          </w:tcPr>
          <w:p w14:paraId="33A7846D">
            <w:pPr>
              <w:tabs>
                <w:tab w:val="left" w:pos="0"/>
              </w:tabs>
              <w:adjustRightInd w:val="0"/>
              <w:snapToGrid w:val="0"/>
              <w:jc w:val="center"/>
              <w:rPr>
                <w:rFonts w:hint="eastAsia" w:ascii="宋体" w:hAnsi="宋体" w:eastAsia="宋体" w:cs="宋体"/>
                <w:b/>
                <w:color w:val="auto"/>
                <w:kern w:val="0"/>
                <w:sz w:val="21"/>
                <w:szCs w:val="21"/>
                <w:u w:val="none"/>
              </w:rPr>
            </w:pPr>
          </w:p>
        </w:tc>
      </w:tr>
      <w:tr w14:paraId="74AA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31" w:type="dxa"/>
            <w:noWrap w:val="0"/>
            <w:vAlign w:val="center"/>
          </w:tcPr>
          <w:p w14:paraId="3AE2C9A0">
            <w:pPr>
              <w:tabs>
                <w:tab w:val="left" w:pos="0"/>
              </w:tabs>
              <w:adjustRightInd w:val="0"/>
              <w:snapToGrid w:val="0"/>
              <w:jc w:val="center"/>
              <w:rPr>
                <w:rFonts w:hint="default" w:ascii="宋体" w:hAnsi="宋体" w:eastAsia="宋体" w:cs="宋体"/>
                <w:color w:val="auto"/>
                <w:kern w:val="0"/>
                <w:sz w:val="21"/>
                <w:szCs w:val="21"/>
                <w:u w:val="none"/>
                <w:lang w:val="en-US" w:eastAsia="zh-CN"/>
              </w:rPr>
            </w:pPr>
            <w:r>
              <w:rPr>
                <w:rFonts w:hint="eastAsia" w:hAnsi="宋体" w:eastAsia="宋体" w:cs="宋体"/>
                <w:color w:val="auto"/>
                <w:kern w:val="0"/>
                <w:sz w:val="21"/>
                <w:szCs w:val="21"/>
                <w:u w:val="none"/>
                <w:lang w:val="en-US" w:eastAsia="zh-CN"/>
              </w:rPr>
              <w:t>4</w:t>
            </w:r>
          </w:p>
        </w:tc>
        <w:tc>
          <w:tcPr>
            <w:tcW w:w="5588" w:type="dxa"/>
            <w:noWrap w:val="0"/>
            <w:vAlign w:val="center"/>
          </w:tcPr>
          <w:p w14:paraId="47A69134">
            <w:pPr>
              <w:tabs>
                <w:tab w:val="left" w:pos="0"/>
              </w:tabs>
              <w:adjustRightInd w:val="0"/>
              <w:snapToGrid w:val="0"/>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提供</w:t>
            </w:r>
            <w:r>
              <w:rPr>
                <w:rFonts w:hint="eastAsia" w:ascii="宋体" w:hAnsi="宋体" w:eastAsia="宋体" w:cs="宋体"/>
                <w:color w:val="auto"/>
                <w:kern w:val="0"/>
                <w:sz w:val="21"/>
                <w:szCs w:val="21"/>
                <w:u w:val="none"/>
                <w:lang w:val="zh-CN" w:eastAsia="zh-CN"/>
              </w:rPr>
              <w:t>投标截止日前半年内任意一个月的纳税及社保缴纳的证明材料（如依法免税的，应提供相应文件证明其依法免税；如依法不需要缴纳社会保险费的，应提供相应文件证明其不需要缴纳社会保险费）；</w:t>
            </w:r>
          </w:p>
        </w:tc>
        <w:tc>
          <w:tcPr>
            <w:tcW w:w="1684" w:type="dxa"/>
            <w:noWrap w:val="0"/>
            <w:vAlign w:val="center"/>
          </w:tcPr>
          <w:p w14:paraId="2DD5D222">
            <w:pPr>
              <w:adjustRightInd w:val="0"/>
              <w:snapToGrid w:val="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合法有效</w:t>
            </w:r>
          </w:p>
        </w:tc>
        <w:tc>
          <w:tcPr>
            <w:tcW w:w="786" w:type="dxa"/>
            <w:noWrap w:val="0"/>
            <w:vAlign w:val="center"/>
          </w:tcPr>
          <w:p w14:paraId="2802D314">
            <w:pPr>
              <w:tabs>
                <w:tab w:val="left" w:pos="0"/>
              </w:tabs>
              <w:adjustRightInd w:val="0"/>
              <w:snapToGrid w:val="0"/>
              <w:rPr>
                <w:rFonts w:hint="eastAsia" w:ascii="宋体" w:hAnsi="宋体" w:eastAsia="宋体" w:cs="宋体"/>
                <w:color w:val="auto"/>
                <w:kern w:val="0"/>
                <w:sz w:val="21"/>
                <w:szCs w:val="21"/>
                <w:u w:val="none"/>
              </w:rPr>
            </w:pPr>
          </w:p>
        </w:tc>
      </w:tr>
      <w:tr w14:paraId="1D60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noWrap w:val="0"/>
            <w:vAlign w:val="center"/>
          </w:tcPr>
          <w:p w14:paraId="42895681">
            <w:pPr>
              <w:tabs>
                <w:tab w:val="left" w:pos="0"/>
              </w:tabs>
              <w:adjustRightInd w:val="0"/>
              <w:snapToGrid w:val="0"/>
              <w:jc w:val="center"/>
              <w:rPr>
                <w:rFonts w:hint="default" w:ascii="宋体" w:hAnsi="宋体" w:eastAsia="宋体" w:cs="宋体"/>
                <w:color w:val="auto"/>
                <w:kern w:val="0"/>
                <w:sz w:val="21"/>
                <w:szCs w:val="21"/>
                <w:u w:val="none"/>
                <w:lang w:val="en-US" w:eastAsia="zh-CN"/>
              </w:rPr>
            </w:pPr>
            <w:r>
              <w:rPr>
                <w:rFonts w:hint="eastAsia" w:hAnsi="宋体" w:eastAsia="宋体" w:cs="宋体"/>
                <w:color w:val="auto"/>
                <w:kern w:val="0"/>
                <w:sz w:val="21"/>
                <w:szCs w:val="21"/>
                <w:u w:val="none"/>
                <w:lang w:val="en-US" w:eastAsia="zh-CN"/>
              </w:rPr>
              <w:t>5</w:t>
            </w:r>
          </w:p>
        </w:tc>
        <w:tc>
          <w:tcPr>
            <w:tcW w:w="5588" w:type="dxa"/>
            <w:noWrap w:val="0"/>
            <w:vAlign w:val="center"/>
          </w:tcPr>
          <w:p w14:paraId="38B2BED5">
            <w:pPr>
              <w:tabs>
                <w:tab w:val="left" w:pos="0"/>
              </w:tabs>
              <w:adjustRightInd w:val="0"/>
              <w:snapToGrid w:val="0"/>
              <w:rPr>
                <w:rFonts w:hint="eastAsia" w:ascii="宋体" w:hAnsi="宋体" w:eastAsia="宋体" w:cs="宋体"/>
                <w:color w:val="auto"/>
                <w:kern w:val="0"/>
                <w:sz w:val="21"/>
                <w:szCs w:val="21"/>
                <w:u w:val="none"/>
              </w:rPr>
            </w:pPr>
            <w:r>
              <w:rPr>
                <w:rFonts w:hint="eastAsia" w:ascii="宋体" w:hAnsi="宋体" w:eastAsia="宋体" w:cs="宋体"/>
                <w:i w:val="0"/>
                <w:iCs w:val="0"/>
                <w:sz w:val="21"/>
                <w:szCs w:val="21"/>
                <w:highlight w:val="none"/>
                <w:u w:val="none"/>
              </w:rPr>
              <w:t>投标</w:t>
            </w:r>
            <w:r>
              <w:rPr>
                <w:rFonts w:hint="eastAsia" w:ascii="宋体" w:hAnsi="宋体" w:eastAsia="宋体" w:cs="宋体"/>
                <w:i w:val="0"/>
                <w:iCs w:val="0"/>
                <w:sz w:val="21"/>
                <w:szCs w:val="21"/>
                <w:highlight w:val="none"/>
                <w:u w:val="none"/>
                <w:lang w:eastAsia="zh-CN"/>
              </w:rPr>
              <w:t>人</w:t>
            </w:r>
            <w:r>
              <w:rPr>
                <w:rFonts w:hint="eastAsia" w:ascii="宋体" w:hAnsi="宋体" w:eastAsia="宋体" w:cs="宋体"/>
                <w:i w:val="0"/>
                <w:iCs w:val="0"/>
                <w:sz w:val="21"/>
                <w:szCs w:val="21"/>
                <w:highlight w:val="none"/>
                <w:u w:val="none"/>
              </w:rPr>
              <w:t>应具备良好的商业信誉，提供参加政府采购活动前3年内在经营活动中没有重大违法记录的书面声明</w:t>
            </w:r>
          </w:p>
        </w:tc>
        <w:tc>
          <w:tcPr>
            <w:tcW w:w="1684" w:type="dxa"/>
            <w:noWrap w:val="0"/>
            <w:vAlign w:val="center"/>
          </w:tcPr>
          <w:p w14:paraId="2022059B">
            <w:pPr>
              <w:tabs>
                <w:tab w:val="left" w:pos="0"/>
              </w:tabs>
              <w:adjustRightInd w:val="0"/>
              <w:snapToGrid w:val="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合法有效</w:t>
            </w:r>
          </w:p>
        </w:tc>
        <w:tc>
          <w:tcPr>
            <w:tcW w:w="786" w:type="dxa"/>
            <w:noWrap w:val="0"/>
            <w:vAlign w:val="center"/>
          </w:tcPr>
          <w:p w14:paraId="75F4B1B8">
            <w:pPr>
              <w:tabs>
                <w:tab w:val="left" w:pos="0"/>
              </w:tabs>
              <w:adjustRightInd w:val="0"/>
              <w:snapToGrid w:val="0"/>
              <w:rPr>
                <w:rFonts w:hint="eastAsia" w:ascii="宋体" w:hAnsi="宋体" w:eastAsia="宋体" w:cs="宋体"/>
                <w:color w:val="auto"/>
                <w:kern w:val="0"/>
                <w:sz w:val="21"/>
                <w:szCs w:val="21"/>
                <w:u w:val="none"/>
              </w:rPr>
            </w:pPr>
          </w:p>
        </w:tc>
      </w:tr>
      <w:tr w14:paraId="6D55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noWrap w:val="0"/>
            <w:vAlign w:val="center"/>
          </w:tcPr>
          <w:p w14:paraId="740F7E94">
            <w:pPr>
              <w:tabs>
                <w:tab w:val="left" w:pos="0"/>
              </w:tabs>
              <w:adjustRightInd w:val="0"/>
              <w:snapToGrid w:val="0"/>
              <w:jc w:val="center"/>
              <w:rPr>
                <w:rFonts w:hint="default" w:hAnsi="宋体" w:eastAsia="宋体" w:cs="宋体"/>
                <w:color w:val="auto"/>
                <w:kern w:val="0"/>
                <w:sz w:val="21"/>
                <w:szCs w:val="21"/>
                <w:u w:val="none"/>
                <w:lang w:val="en-US" w:eastAsia="zh-CN"/>
              </w:rPr>
            </w:pPr>
            <w:r>
              <w:rPr>
                <w:rFonts w:hint="eastAsia" w:hAnsi="宋体" w:eastAsia="宋体" w:cs="宋体"/>
                <w:color w:val="auto"/>
                <w:kern w:val="0"/>
                <w:sz w:val="21"/>
                <w:szCs w:val="21"/>
                <w:u w:val="none"/>
                <w:lang w:val="en-US" w:eastAsia="zh-CN"/>
              </w:rPr>
              <w:t>6</w:t>
            </w:r>
          </w:p>
        </w:tc>
        <w:tc>
          <w:tcPr>
            <w:tcW w:w="5588" w:type="dxa"/>
            <w:noWrap w:val="0"/>
            <w:vAlign w:val="center"/>
          </w:tcPr>
          <w:p w14:paraId="53AA3BE3">
            <w:pPr>
              <w:tabs>
                <w:tab w:val="left" w:pos="0"/>
              </w:tabs>
              <w:adjustRightInd w:val="0"/>
              <w:snapToGrid w:val="0"/>
              <w:rPr>
                <w:rFonts w:hint="eastAsia" w:ascii="宋体" w:hAnsi="宋体" w:eastAsia="宋体" w:cs="宋体"/>
                <w:i w:val="0"/>
                <w:iCs w:val="0"/>
                <w:sz w:val="21"/>
                <w:szCs w:val="21"/>
                <w:highlight w:val="none"/>
                <w:u w:val="none"/>
              </w:rPr>
            </w:pPr>
            <w:r>
              <w:rPr>
                <w:rFonts w:ascii="宋体" w:hAnsi="宋体" w:eastAsia="宋体" w:cs="宋体"/>
                <w:sz w:val="24"/>
                <w:szCs w:val="24"/>
              </w:rPr>
              <w:t>参加政府采购活动前 3 年内在经营活动中没有重大违法违规记录的书面声明；</w:t>
            </w:r>
          </w:p>
        </w:tc>
        <w:tc>
          <w:tcPr>
            <w:tcW w:w="1684" w:type="dxa"/>
            <w:noWrap w:val="0"/>
            <w:vAlign w:val="center"/>
          </w:tcPr>
          <w:p w14:paraId="235E330D">
            <w:pPr>
              <w:tabs>
                <w:tab w:val="left" w:pos="0"/>
              </w:tabs>
              <w:adjustRightInd w:val="0"/>
              <w:snapToGrid w:val="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合法有效</w:t>
            </w:r>
          </w:p>
        </w:tc>
        <w:tc>
          <w:tcPr>
            <w:tcW w:w="786" w:type="dxa"/>
            <w:noWrap w:val="0"/>
            <w:vAlign w:val="center"/>
          </w:tcPr>
          <w:p w14:paraId="5FBF128B">
            <w:pPr>
              <w:tabs>
                <w:tab w:val="left" w:pos="0"/>
              </w:tabs>
              <w:adjustRightInd w:val="0"/>
              <w:snapToGrid w:val="0"/>
              <w:rPr>
                <w:rFonts w:hint="eastAsia" w:ascii="宋体" w:hAnsi="宋体" w:eastAsia="宋体" w:cs="宋体"/>
                <w:color w:val="auto"/>
                <w:kern w:val="0"/>
                <w:sz w:val="21"/>
                <w:szCs w:val="21"/>
                <w:u w:val="none"/>
              </w:rPr>
            </w:pPr>
          </w:p>
        </w:tc>
      </w:tr>
      <w:tr w14:paraId="2D19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noWrap w:val="0"/>
            <w:vAlign w:val="center"/>
          </w:tcPr>
          <w:p w14:paraId="3037B539">
            <w:pPr>
              <w:tabs>
                <w:tab w:val="left" w:pos="0"/>
              </w:tabs>
              <w:adjustRightInd w:val="0"/>
              <w:snapToGrid w:val="0"/>
              <w:jc w:val="center"/>
              <w:rPr>
                <w:rFonts w:hint="default" w:hAnsi="宋体" w:eastAsia="宋体" w:cs="宋体"/>
                <w:color w:val="auto"/>
                <w:kern w:val="0"/>
                <w:sz w:val="21"/>
                <w:szCs w:val="21"/>
                <w:u w:val="none"/>
                <w:lang w:val="en-US" w:eastAsia="zh-CN"/>
              </w:rPr>
            </w:pPr>
            <w:r>
              <w:rPr>
                <w:rFonts w:hint="eastAsia" w:hAnsi="宋体" w:eastAsia="宋体" w:cs="宋体"/>
                <w:color w:val="auto"/>
                <w:kern w:val="0"/>
                <w:sz w:val="21"/>
                <w:szCs w:val="21"/>
                <w:u w:val="none"/>
                <w:lang w:val="en-US" w:eastAsia="zh-CN"/>
              </w:rPr>
              <w:t>7</w:t>
            </w:r>
          </w:p>
        </w:tc>
        <w:tc>
          <w:tcPr>
            <w:tcW w:w="5588" w:type="dxa"/>
            <w:noWrap w:val="0"/>
            <w:vAlign w:val="center"/>
          </w:tcPr>
          <w:p w14:paraId="3B32396E">
            <w:pPr>
              <w:tabs>
                <w:tab w:val="left" w:pos="0"/>
              </w:tabs>
              <w:adjustRightInd w:val="0"/>
              <w:snapToGrid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投标保证金缴纳凭证</w:t>
            </w:r>
          </w:p>
        </w:tc>
        <w:tc>
          <w:tcPr>
            <w:tcW w:w="1684" w:type="dxa"/>
            <w:noWrap w:val="0"/>
            <w:vAlign w:val="center"/>
          </w:tcPr>
          <w:p w14:paraId="01BB6CA2">
            <w:pPr>
              <w:tabs>
                <w:tab w:val="left" w:pos="0"/>
              </w:tabs>
              <w:adjustRightInd w:val="0"/>
              <w:snapToGrid w:val="0"/>
              <w:jc w:val="center"/>
              <w:rPr>
                <w:rFonts w:hint="default"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合法有效</w:t>
            </w:r>
          </w:p>
        </w:tc>
        <w:tc>
          <w:tcPr>
            <w:tcW w:w="786" w:type="dxa"/>
            <w:noWrap w:val="0"/>
            <w:vAlign w:val="center"/>
          </w:tcPr>
          <w:p w14:paraId="793320E5">
            <w:pPr>
              <w:tabs>
                <w:tab w:val="left" w:pos="0"/>
              </w:tabs>
              <w:adjustRightInd w:val="0"/>
              <w:snapToGrid w:val="0"/>
              <w:rPr>
                <w:rFonts w:hint="eastAsia" w:ascii="宋体" w:hAnsi="宋体" w:eastAsia="宋体" w:cs="宋体"/>
                <w:color w:val="auto"/>
                <w:kern w:val="0"/>
                <w:sz w:val="21"/>
                <w:szCs w:val="21"/>
                <w:u w:val="none"/>
              </w:rPr>
            </w:pPr>
          </w:p>
        </w:tc>
      </w:tr>
    </w:tbl>
    <w:p w14:paraId="1050BCF8">
      <w:pPr>
        <w:pStyle w:val="8"/>
        <w:jc w:val="both"/>
        <w:outlineLvl w:val="9"/>
        <w:rPr>
          <w:rFonts w:hint="eastAsia" w:hAnsi="宋体" w:eastAsia="宋体" w:cs="宋体"/>
          <w:b w:val="0"/>
          <w:bCs/>
          <w:sz w:val="24"/>
          <w:szCs w:val="24"/>
          <w:highlight w:val="none"/>
          <w:lang w:eastAsia="zh-CN"/>
        </w:rPr>
      </w:pPr>
    </w:p>
    <w:p w14:paraId="783E49BE">
      <w:pPr>
        <w:pStyle w:val="8"/>
        <w:jc w:val="both"/>
        <w:outlineLvl w:val="9"/>
        <w:rPr>
          <w:rFonts w:hint="eastAsia" w:hAnsi="宋体" w:eastAsia="宋体" w:cs="宋体"/>
          <w:b w:val="0"/>
          <w:bCs/>
          <w:sz w:val="24"/>
          <w:szCs w:val="24"/>
          <w:highlight w:val="none"/>
          <w:lang w:eastAsia="zh-CN"/>
        </w:rPr>
      </w:pPr>
    </w:p>
    <w:p w14:paraId="510A66C0">
      <w:pPr>
        <w:rPr>
          <w:rFonts w:hint="eastAsia" w:hAnsi="宋体" w:eastAsia="宋体" w:cs="宋体"/>
          <w:b w:val="0"/>
          <w:bCs/>
          <w:sz w:val="24"/>
          <w:szCs w:val="24"/>
          <w:highlight w:val="none"/>
          <w:lang w:eastAsia="zh-CN"/>
        </w:rPr>
      </w:pPr>
    </w:p>
    <w:p w14:paraId="56168BDD">
      <w:pPr>
        <w:pStyle w:val="29"/>
        <w:rPr>
          <w:rFonts w:hint="eastAsia" w:hAnsi="宋体" w:eastAsia="宋体" w:cs="宋体"/>
          <w:b w:val="0"/>
          <w:bCs/>
          <w:sz w:val="24"/>
          <w:szCs w:val="24"/>
          <w:highlight w:val="none"/>
          <w:lang w:eastAsia="zh-CN"/>
        </w:rPr>
      </w:pPr>
    </w:p>
    <w:p w14:paraId="1D380D00">
      <w:pPr>
        <w:pStyle w:val="29"/>
        <w:rPr>
          <w:rFonts w:hint="eastAsia" w:hAnsi="宋体" w:eastAsia="宋体" w:cs="宋体"/>
          <w:b w:val="0"/>
          <w:bCs/>
          <w:sz w:val="24"/>
          <w:szCs w:val="24"/>
          <w:highlight w:val="none"/>
          <w:lang w:eastAsia="zh-CN"/>
        </w:rPr>
      </w:pPr>
    </w:p>
    <w:p w14:paraId="20CC61C0">
      <w:pPr>
        <w:pStyle w:val="29"/>
        <w:rPr>
          <w:rFonts w:hint="eastAsia" w:hAnsi="宋体" w:eastAsia="宋体" w:cs="宋体"/>
          <w:b w:val="0"/>
          <w:bCs/>
          <w:sz w:val="24"/>
          <w:szCs w:val="24"/>
          <w:highlight w:val="none"/>
          <w:lang w:eastAsia="zh-CN"/>
        </w:rPr>
      </w:pPr>
    </w:p>
    <w:p w14:paraId="341BD270">
      <w:pPr>
        <w:pStyle w:val="29"/>
        <w:rPr>
          <w:rFonts w:hint="eastAsia" w:hAnsi="宋体" w:eastAsia="宋体" w:cs="宋体"/>
          <w:b w:val="0"/>
          <w:bCs/>
          <w:sz w:val="24"/>
          <w:szCs w:val="24"/>
          <w:highlight w:val="none"/>
          <w:lang w:eastAsia="zh-CN"/>
        </w:rPr>
      </w:pPr>
    </w:p>
    <w:p w14:paraId="10309506">
      <w:pPr>
        <w:pStyle w:val="6"/>
        <w:rPr>
          <w:rFonts w:hint="eastAsia" w:hAnsi="宋体" w:eastAsia="宋体" w:cs="宋体"/>
          <w:b w:val="0"/>
          <w:bCs/>
          <w:sz w:val="24"/>
          <w:szCs w:val="24"/>
          <w:highlight w:val="none"/>
          <w:lang w:eastAsia="zh-CN"/>
        </w:rPr>
      </w:pPr>
    </w:p>
    <w:p w14:paraId="2261AD59">
      <w:pPr>
        <w:rPr>
          <w:rFonts w:hint="eastAsia" w:hAnsi="宋体" w:eastAsia="宋体" w:cs="宋体"/>
          <w:b w:val="0"/>
          <w:bCs/>
          <w:sz w:val="24"/>
          <w:szCs w:val="24"/>
          <w:highlight w:val="none"/>
          <w:lang w:eastAsia="zh-CN"/>
        </w:rPr>
      </w:pPr>
    </w:p>
    <w:p w14:paraId="30F7A197">
      <w:pPr>
        <w:pStyle w:val="10"/>
        <w:rPr>
          <w:rFonts w:hint="eastAsia"/>
          <w:lang w:eastAsia="zh-CN"/>
        </w:rPr>
      </w:pPr>
    </w:p>
    <w:p w14:paraId="258715C6">
      <w:pPr>
        <w:rPr>
          <w:rFonts w:hint="eastAsia" w:hAnsi="宋体" w:eastAsia="宋体" w:cs="宋体"/>
          <w:b w:val="0"/>
          <w:bCs/>
          <w:sz w:val="24"/>
          <w:szCs w:val="24"/>
          <w:highlight w:val="none"/>
          <w:lang w:eastAsia="zh-CN"/>
        </w:rPr>
      </w:pPr>
    </w:p>
    <w:p w14:paraId="43F46FF7">
      <w:pPr>
        <w:pStyle w:val="8"/>
        <w:jc w:val="both"/>
        <w:outlineLvl w:val="9"/>
        <w:rPr>
          <w:rFonts w:hint="eastAsia" w:ascii="宋体" w:hAnsi="宋体" w:eastAsia="宋体" w:cs="宋体"/>
          <w:b/>
          <w:bCs/>
          <w:sz w:val="24"/>
          <w:szCs w:val="24"/>
          <w:highlight w:val="none"/>
          <w:lang w:eastAsia="zh-CN"/>
        </w:rPr>
      </w:pPr>
      <w:r>
        <w:rPr>
          <w:rFonts w:hint="eastAsia" w:hAnsi="宋体" w:eastAsia="宋体" w:cs="宋体"/>
          <w:b w:val="0"/>
          <w:bCs/>
          <w:sz w:val="24"/>
          <w:szCs w:val="24"/>
          <w:highlight w:val="none"/>
          <w:lang w:eastAsia="zh-CN"/>
        </w:rPr>
        <w:t>附件</w:t>
      </w:r>
      <w:r>
        <w:rPr>
          <w:rFonts w:hint="eastAsia" w:hAnsi="宋体" w:eastAsia="宋体" w:cs="宋体"/>
          <w:b w:val="0"/>
          <w:bCs/>
          <w:sz w:val="24"/>
          <w:szCs w:val="24"/>
          <w:highlight w:val="none"/>
          <w:lang w:val="en-US" w:eastAsia="zh-CN"/>
        </w:rPr>
        <w:t>2：</w:t>
      </w:r>
    </w:p>
    <w:p w14:paraId="300C7243">
      <w:pPr>
        <w:outlineLvl w:val="9"/>
        <w:rPr>
          <w:rFonts w:hint="eastAsia"/>
          <w:highlight w:val="none"/>
          <w:lang w:val="en-US" w:eastAsia="zh-CN"/>
        </w:rPr>
      </w:pPr>
    </w:p>
    <w:p w14:paraId="281B9E02">
      <w:pPr>
        <w:pStyle w:val="8"/>
        <w:jc w:val="center"/>
        <w:outlineLvl w:val="9"/>
        <w:rPr>
          <w:rFonts w:hint="eastAsia" w:ascii="宋体" w:hAnsi="宋体" w:eastAsia="宋体" w:cs="宋体"/>
          <w:b/>
          <w:bCs/>
          <w:sz w:val="24"/>
          <w:szCs w:val="24"/>
          <w:highlight w:val="none"/>
          <w:lang w:eastAsia="zh-CN"/>
        </w:rPr>
      </w:pPr>
      <w:r>
        <w:rPr>
          <w:rFonts w:hint="eastAsia" w:hAnsi="宋体" w:eastAsia="宋体" w:cs="宋体"/>
          <w:b w:val="0"/>
          <w:bCs/>
          <w:color w:val="000000"/>
          <w:sz w:val="24"/>
          <w:szCs w:val="24"/>
          <w:highlight w:val="none"/>
          <w:lang w:eastAsia="zh-CN"/>
        </w:rPr>
        <w:t>初步评审标准—</w:t>
      </w:r>
      <w:r>
        <w:rPr>
          <w:rFonts w:hint="eastAsia" w:ascii="宋体" w:hAnsi="宋体" w:eastAsia="宋体" w:cs="宋体"/>
          <w:b/>
          <w:bCs/>
          <w:sz w:val="24"/>
          <w:szCs w:val="24"/>
          <w:highlight w:val="none"/>
          <w:lang w:val="en-US" w:eastAsia="zh-CN"/>
        </w:rPr>
        <w:t>符合性</w:t>
      </w:r>
      <w:r>
        <w:rPr>
          <w:rFonts w:hint="eastAsia" w:ascii="宋体" w:hAnsi="宋体" w:eastAsia="宋体" w:cs="宋体"/>
          <w:b/>
          <w:bCs/>
          <w:sz w:val="24"/>
          <w:szCs w:val="24"/>
          <w:highlight w:val="none"/>
          <w:lang w:eastAsia="zh-CN"/>
        </w:rPr>
        <w:t>审查要素表</w:t>
      </w:r>
    </w:p>
    <w:p w14:paraId="499467BB">
      <w:pPr>
        <w:rPr>
          <w:rFonts w:hint="eastAsia" w:ascii="宋体" w:hAnsi="宋体" w:eastAsia="宋体" w:cs="宋体"/>
          <w:b/>
          <w:bCs/>
          <w:sz w:val="24"/>
          <w:szCs w:val="24"/>
          <w:highlight w:val="none"/>
          <w:lang w:eastAsia="zh-CN"/>
        </w:rPr>
      </w:pPr>
    </w:p>
    <w:p w14:paraId="6CEFDE15">
      <w:pPr>
        <w:pStyle w:val="6"/>
        <w:rPr>
          <w:rFonts w:hint="eastAsia" w:ascii="宋体" w:hAnsi="宋体" w:eastAsia="宋体" w:cs="宋体"/>
          <w:b/>
          <w:bCs/>
          <w:sz w:val="24"/>
          <w:szCs w:val="24"/>
          <w:highlight w:val="none"/>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083"/>
        <w:gridCol w:w="5281"/>
      </w:tblGrid>
      <w:tr w14:paraId="75B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1" w:type="dxa"/>
            <w:noWrap w:val="0"/>
            <w:vAlign w:val="center"/>
          </w:tcPr>
          <w:p w14:paraId="183CA5B7">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序号</w:t>
            </w:r>
          </w:p>
        </w:tc>
        <w:tc>
          <w:tcPr>
            <w:tcW w:w="3083" w:type="dxa"/>
            <w:noWrap w:val="0"/>
            <w:vAlign w:val="center"/>
          </w:tcPr>
          <w:p w14:paraId="544ACCD1">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审查项目</w:t>
            </w:r>
          </w:p>
        </w:tc>
        <w:tc>
          <w:tcPr>
            <w:tcW w:w="5281" w:type="dxa"/>
            <w:noWrap w:val="0"/>
            <w:vAlign w:val="center"/>
          </w:tcPr>
          <w:p w14:paraId="0F1B8BB5">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投标审查要求</w:t>
            </w:r>
          </w:p>
        </w:tc>
      </w:tr>
      <w:tr w14:paraId="6240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noWrap w:val="0"/>
            <w:vAlign w:val="center"/>
          </w:tcPr>
          <w:p w14:paraId="75C21850">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p>
        </w:tc>
        <w:tc>
          <w:tcPr>
            <w:tcW w:w="3083" w:type="dxa"/>
            <w:noWrap w:val="0"/>
            <w:vAlign w:val="center"/>
          </w:tcPr>
          <w:p w14:paraId="4D08F15A">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签署、盖章</w:t>
            </w:r>
          </w:p>
        </w:tc>
        <w:tc>
          <w:tcPr>
            <w:tcW w:w="5281" w:type="dxa"/>
            <w:noWrap w:val="0"/>
            <w:vAlign w:val="center"/>
          </w:tcPr>
          <w:p w14:paraId="46587988">
            <w:pPr>
              <w:pStyle w:val="8"/>
              <w:tabs>
                <w:tab w:val="left" w:pos="567"/>
              </w:tabs>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投标文件按招标文件要求签署、盖章的</w:t>
            </w:r>
          </w:p>
        </w:tc>
      </w:tr>
      <w:tr w14:paraId="3359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1" w:type="dxa"/>
            <w:noWrap w:val="0"/>
            <w:vAlign w:val="center"/>
          </w:tcPr>
          <w:p w14:paraId="11856FBD">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3083" w:type="dxa"/>
            <w:noWrap w:val="0"/>
            <w:vAlign w:val="center"/>
          </w:tcPr>
          <w:p w14:paraId="5C10A4B0">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投标报价</w:t>
            </w:r>
          </w:p>
        </w:tc>
        <w:tc>
          <w:tcPr>
            <w:tcW w:w="5281" w:type="dxa"/>
            <w:noWrap w:val="0"/>
            <w:vAlign w:val="center"/>
          </w:tcPr>
          <w:p w14:paraId="1E17DD35">
            <w:pPr>
              <w:pStyle w:val="8"/>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投标人投标报价未超出采购预算或最高限价的</w:t>
            </w:r>
          </w:p>
        </w:tc>
      </w:tr>
      <w:tr w14:paraId="5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1" w:type="dxa"/>
            <w:noWrap w:val="0"/>
            <w:vAlign w:val="center"/>
          </w:tcPr>
          <w:p w14:paraId="34C14ADA">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c>
          <w:tcPr>
            <w:tcW w:w="3083" w:type="dxa"/>
            <w:noWrap w:val="0"/>
            <w:vAlign w:val="center"/>
          </w:tcPr>
          <w:p w14:paraId="31AFDF15">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报价合理性</w:t>
            </w:r>
          </w:p>
        </w:tc>
        <w:tc>
          <w:tcPr>
            <w:tcW w:w="5281" w:type="dxa"/>
            <w:noWrap w:val="0"/>
            <w:vAlign w:val="center"/>
          </w:tcPr>
          <w:p w14:paraId="13F06610">
            <w:pPr>
              <w:pStyle w:val="8"/>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投标人的报价无明显低于其他通过符合性审查投标人的报价，不影响产品质量或者能诚信履约的，且投标人可以证明其报价合理性的</w:t>
            </w:r>
          </w:p>
        </w:tc>
      </w:tr>
      <w:tr w14:paraId="085D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1" w:type="dxa"/>
            <w:noWrap w:val="0"/>
            <w:vAlign w:val="center"/>
          </w:tcPr>
          <w:p w14:paraId="679D89A1">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w:t>
            </w:r>
          </w:p>
        </w:tc>
        <w:tc>
          <w:tcPr>
            <w:tcW w:w="3083" w:type="dxa"/>
            <w:noWrap w:val="0"/>
            <w:vAlign w:val="center"/>
          </w:tcPr>
          <w:p w14:paraId="20A3154D">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投标保证金</w:t>
            </w:r>
          </w:p>
        </w:tc>
        <w:tc>
          <w:tcPr>
            <w:tcW w:w="5281" w:type="dxa"/>
            <w:noWrap w:val="0"/>
            <w:vAlign w:val="center"/>
          </w:tcPr>
          <w:p w14:paraId="65599F82">
            <w:pPr>
              <w:pStyle w:val="8"/>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投标保证金提交或金额、形式完全符合招标文件要求的</w:t>
            </w:r>
          </w:p>
        </w:tc>
      </w:tr>
      <w:tr w14:paraId="42DF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1" w:type="dxa"/>
            <w:noWrap w:val="0"/>
            <w:vAlign w:val="center"/>
          </w:tcPr>
          <w:p w14:paraId="5FE31AC1">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w:t>
            </w:r>
          </w:p>
        </w:tc>
        <w:tc>
          <w:tcPr>
            <w:tcW w:w="3083" w:type="dxa"/>
            <w:noWrap w:val="0"/>
            <w:vAlign w:val="center"/>
          </w:tcPr>
          <w:p w14:paraId="3B1D81A9">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投标内容</w:t>
            </w:r>
          </w:p>
        </w:tc>
        <w:tc>
          <w:tcPr>
            <w:tcW w:w="5281" w:type="dxa"/>
            <w:noWrap w:val="0"/>
            <w:vAlign w:val="center"/>
          </w:tcPr>
          <w:p w14:paraId="6D7ED69D">
            <w:pPr>
              <w:pStyle w:val="8"/>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投标内容未出现漏项或数量与要求不符或投标内容的技术指标未达到招标文件要求，未造成采购档次降低或影响采购要求</w:t>
            </w:r>
          </w:p>
        </w:tc>
      </w:tr>
      <w:tr w14:paraId="353F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1" w:type="dxa"/>
            <w:noWrap w:val="0"/>
            <w:vAlign w:val="center"/>
          </w:tcPr>
          <w:p w14:paraId="51B88F3A">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w:t>
            </w:r>
          </w:p>
        </w:tc>
        <w:tc>
          <w:tcPr>
            <w:tcW w:w="3083" w:type="dxa"/>
            <w:noWrap w:val="0"/>
            <w:vAlign w:val="center"/>
          </w:tcPr>
          <w:p w14:paraId="1FA659AE">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合同履行期限</w:t>
            </w:r>
          </w:p>
        </w:tc>
        <w:tc>
          <w:tcPr>
            <w:tcW w:w="5281" w:type="dxa"/>
            <w:noWrap w:val="0"/>
            <w:vAlign w:val="center"/>
          </w:tcPr>
          <w:p w14:paraId="20765509">
            <w:pPr>
              <w:tabs>
                <w:tab w:val="left" w:pos="0"/>
              </w:tabs>
              <w:adjustRightInd w:val="0"/>
              <w:snapToGrid w:val="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应满足招标文件中要求的合同履行期限</w:t>
            </w:r>
          </w:p>
        </w:tc>
      </w:tr>
      <w:tr w14:paraId="35A1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1" w:type="dxa"/>
            <w:noWrap w:val="0"/>
            <w:vAlign w:val="center"/>
          </w:tcPr>
          <w:p w14:paraId="67C898AD">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w:t>
            </w:r>
          </w:p>
        </w:tc>
        <w:tc>
          <w:tcPr>
            <w:tcW w:w="3083" w:type="dxa"/>
            <w:noWrap w:val="0"/>
            <w:vAlign w:val="center"/>
          </w:tcPr>
          <w:p w14:paraId="6AC67570">
            <w:pPr>
              <w:pStyle w:val="8"/>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其它情形</w:t>
            </w:r>
          </w:p>
        </w:tc>
        <w:tc>
          <w:tcPr>
            <w:tcW w:w="5281" w:type="dxa"/>
            <w:noWrap w:val="0"/>
            <w:vAlign w:val="center"/>
          </w:tcPr>
          <w:p w14:paraId="1885C125">
            <w:pPr>
              <w:pStyle w:val="8"/>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不存在其它不符合法律法规或招标文件规定的投标无效条款</w:t>
            </w:r>
          </w:p>
        </w:tc>
      </w:tr>
    </w:tbl>
    <w:p w14:paraId="02AD04BA">
      <w:pPr>
        <w:rPr>
          <w:rFonts w:hint="eastAsia"/>
          <w:lang w:eastAsia="zh-CN"/>
        </w:rPr>
      </w:pPr>
    </w:p>
    <w:p w14:paraId="487C9C7F">
      <w:pPr>
        <w:outlineLvl w:val="9"/>
        <w:rPr>
          <w:rFonts w:hint="eastAsia"/>
          <w:highlight w:val="none"/>
          <w:lang w:eastAsia="zh-CN"/>
        </w:rPr>
      </w:pPr>
    </w:p>
    <w:p w14:paraId="7F429614">
      <w:pPr>
        <w:pStyle w:val="8"/>
        <w:jc w:val="center"/>
        <w:outlineLvl w:val="9"/>
        <w:rPr>
          <w:rFonts w:hint="eastAsia" w:ascii="宋体" w:hAnsi="宋体" w:eastAsia="宋体" w:cs="宋体"/>
          <w:b/>
          <w:bCs/>
          <w:sz w:val="24"/>
          <w:szCs w:val="24"/>
          <w:highlight w:val="none"/>
          <w:lang w:eastAsia="zh-CN"/>
        </w:rPr>
      </w:pPr>
    </w:p>
    <w:p w14:paraId="6C4C5442">
      <w:pPr>
        <w:pStyle w:val="8"/>
        <w:jc w:val="center"/>
        <w:outlineLvl w:val="9"/>
        <w:rPr>
          <w:rFonts w:hint="eastAsia" w:ascii="宋体" w:hAnsi="宋体" w:eastAsia="宋体" w:cs="宋体"/>
          <w:b/>
          <w:bCs/>
          <w:sz w:val="24"/>
          <w:szCs w:val="24"/>
          <w:highlight w:val="none"/>
          <w:lang w:eastAsia="zh-CN"/>
        </w:rPr>
      </w:pPr>
    </w:p>
    <w:p w14:paraId="7D4AB6C1">
      <w:pPr>
        <w:pStyle w:val="8"/>
        <w:jc w:val="center"/>
        <w:outlineLvl w:val="9"/>
        <w:rPr>
          <w:rFonts w:hint="eastAsia" w:ascii="宋体" w:hAnsi="宋体" w:eastAsia="宋体" w:cs="宋体"/>
          <w:b/>
          <w:bCs/>
          <w:sz w:val="24"/>
          <w:szCs w:val="24"/>
          <w:highlight w:val="none"/>
          <w:lang w:eastAsia="zh-CN"/>
        </w:rPr>
      </w:pPr>
    </w:p>
    <w:p w14:paraId="4973F53C">
      <w:pPr>
        <w:pStyle w:val="8"/>
        <w:jc w:val="center"/>
        <w:outlineLvl w:val="9"/>
        <w:rPr>
          <w:rFonts w:hint="eastAsia" w:ascii="宋体" w:hAnsi="宋体" w:eastAsia="宋体" w:cs="宋体"/>
          <w:b/>
          <w:bCs/>
          <w:sz w:val="24"/>
          <w:szCs w:val="24"/>
          <w:highlight w:val="none"/>
          <w:lang w:eastAsia="zh-CN"/>
        </w:rPr>
      </w:pPr>
    </w:p>
    <w:p w14:paraId="1877ABBC">
      <w:pPr>
        <w:pStyle w:val="8"/>
        <w:jc w:val="center"/>
        <w:outlineLvl w:val="9"/>
        <w:rPr>
          <w:rFonts w:hint="eastAsia" w:ascii="宋体" w:hAnsi="宋体" w:eastAsia="宋体" w:cs="宋体"/>
          <w:b/>
          <w:bCs/>
          <w:sz w:val="24"/>
          <w:szCs w:val="24"/>
          <w:highlight w:val="none"/>
          <w:lang w:eastAsia="zh-CN"/>
        </w:rPr>
      </w:pPr>
    </w:p>
    <w:p w14:paraId="45FBC7C1">
      <w:pPr>
        <w:pStyle w:val="8"/>
        <w:jc w:val="center"/>
        <w:outlineLvl w:val="9"/>
        <w:rPr>
          <w:rFonts w:hint="eastAsia" w:ascii="宋体" w:hAnsi="宋体" w:eastAsia="宋体" w:cs="宋体"/>
          <w:b/>
          <w:bCs/>
          <w:sz w:val="24"/>
          <w:szCs w:val="24"/>
          <w:highlight w:val="none"/>
          <w:lang w:eastAsia="zh-CN"/>
        </w:rPr>
      </w:pPr>
    </w:p>
    <w:p w14:paraId="4013BDCA">
      <w:pPr>
        <w:outlineLvl w:val="9"/>
        <w:rPr>
          <w:rFonts w:hint="eastAsia" w:ascii="宋体" w:hAnsi="宋体" w:eastAsia="宋体" w:cs="宋体"/>
          <w:b/>
          <w:bCs/>
          <w:sz w:val="24"/>
          <w:szCs w:val="24"/>
          <w:highlight w:val="none"/>
          <w:lang w:eastAsia="zh-CN"/>
        </w:rPr>
      </w:pPr>
    </w:p>
    <w:p w14:paraId="03E1DE28">
      <w:pPr>
        <w:spacing w:line="560" w:lineRule="exact"/>
        <w:jc w:val="both"/>
        <w:outlineLvl w:val="9"/>
        <w:rPr>
          <w:rFonts w:hint="eastAsia" w:hAnsi="宋体" w:eastAsia="宋体" w:cs="宋体"/>
          <w:b w:val="0"/>
          <w:bCs/>
          <w:sz w:val="28"/>
          <w:szCs w:val="28"/>
          <w:highlight w:val="none"/>
          <w:lang w:val="en-US" w:eastAsia="zh-CN"/>
        </w:rPr>
      </w:pPr>
      <w:r>
        <w:rPr>
          <w:rFonts w:hint="eastAsia" w:ascii="宋体" w:hAnsi="宋体" w:eastAsia="宋体" w:cs="宋体"/>
          <w:b/>
          <w:sz w:val="28"/>
          <w:szCs w:val="28"/>
          <w:highlight w:val="none"/>
        </w:rPr>
        <w:br w:type="page"/>
      </w:r>
      <w:r>
        <w:rPr>
          <w:rFonts w:hint="eastAsia" w:hAnsi="宋体" w:eastAsia="宋体" w:cs="宋体"/>
          <w:b w:val="0"/>
          <w:bCs/>
          <w:sz w:val="24"/>
          <w:szCs w:val="24"/>
          <w:highlight w:val="none"/>
          <w:lang w:eastAsia="zh-CN"/>
        </w:rPr>
        <w:t>附件</w:t>
      </w:r>
      <w:r>
        <w:rPr>
          <w:rFonts w:hint="eastAsia" w:hAnsi="宋体" w:eastAsia="宋体" w:cs="宋体"/>
          <w:b w:val="0"/>
          <w:bCs/>
          <w:sz w:val="24"/>
          <w:szCs w:val="24"/>
          <w:highlight w:val="none"/>
          <w:lang w:val="en-US" w:eastAsia="zh-CN"/>
        </w:rPr>
        <w:t>3：</w:t>
      </w:r>
    </w:p>
    <w:p w14:paraId="0EFF4D3E">
      <w:pPr>
        <w:spacing w:line="560" w:lineRule="exact"/>
        <w:jc w:val="center"/>
        <w:outlineLvl w:val="9"/>
        <w:rPr>
          <w:rFonts w:hint="eastAsia" w:ascii="宋体" w:hAnsi="宋体" w:eastAsia="宋体" w:cs="宋体"/>
          <w:b/>
          <w:bCs/>
          <w:kern w:val="2"/>
          <w:sz w:val="24"/>
          <w:szCs w:val="24"/>
          <w:highlight w:val="none"/>
          <w:lang w:val="en-US" w:eastAsia="zh-CN" w:bidi="ar-SA"/>
        </w:rPr>
      </w:pPr>
      <w:bookmarkStart w:id="200" w:name="_Toc11023"/>
      <w:r>
        <w:rPr>
          <w:rFonts w:hint="eastAsia" w:ascii="宋体" w:hAnsi="宋体" w:eastAsia="宋体" w:cs="宋体"/>
          <w:b/>
          <w:bCs/>
          <w:kern w:val="2"/>
          <w:sz w:val="24"/>
          <w:szCs w:val="24"/>
          <w:highlight w:val="none"/>
          <w:lang w:val="en-US" w:eastAsia="zh-CN" w:bidi="ar-SA"/>
        </w:rPr>
        <w:t>评标因素及权重分值表</w:t>
      </w:r>
      <w:bookmarkEnd w:id="200"/>
    </w:p>
    <w:p w14:paraId="2D338F54">
      <w:pPr>
        <w:pStyle w:val="8"/>
        <w:outlineLvl w:val="9"/>
        <w:rPr>
          <w:rFonts w:hint="eastAsia"/>
          <w:highlight w:val="none"/>
        </w:rPr>
      </w:pP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35"/>
        <w:gridCol w:w="838"/>
        <w:gridCol w:w="5887"/>
        <w:gridCol w:w="676"/>
      </w:tblGrid>
      <w:tr w14:paraId="6878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1" w:type="dxa"/>
            <w:vMerge w:val="restart"/>
            <w:noWrap w:val="0"/>
            <w:vAlign w:val="center"/>
          </w:tcPr>
          <w:p w14:paraId="75F9EE29">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8136" w:type="dxa"/>
            <w:gridSpan w:val="4"/>
            <w:noWrap w:val="0"/>
            <w:vAlign w:val="center"/>
          </w:tcPr>
          <w:p w14:paraId="639EEDF8">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r>
      <w:tr w14:paraId="21FD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1" w:type="dxa"/>
            <w:vMerge w:val="continue"/>
            <w:noWrap w:val="0"/>
            <w:vAlign w:val="center"/>
          </w:tcPr>
          <w:p w14:paraId="56B2446B">
            <w:pPr>
              <w:spacing w:line="240" w:lineRule="exact"/>
              <w:jc w:val="center"/>
              <w:rPr>
                <w:rFonts w:hint="eastAsia" w:ascii="宋体" w:hAnsi="宋体" w:eastAsia="宋体" w:cs="宋体"/>
                <w:b/>
                <w:color w:val="auto"/>
                <w:szCs w:val="21"/>
                <w:highlight w:val="none"/>
              </w:rPr>
            </w:pPr>
          </w:p>
        </w:tc>
        <w:tc>
          <w:tcPr>
            <w:tcW w:w="735" w:type="dxa"/>
            <w:noWrap w:val="0"/>
            <w:vAlign w:val="center"/>
          </w:tcPr>
          <w:p w14:paraId="45EF2B96">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分项名称</w:t>
            </w:r>
          </w:p>
        </w:tc>
        <w:tc>
          <w:tcPr>
            <w:tcW w:w="838" w:type="dxa"/>
            <w:noWrap w:val="0"/>
            <w:vAlign w:val="center"/>
          </w:tcPr>
          <w:p w14:paraId="3C859EBD">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满分分值</w:t>
            </w:r>
          </w:p>
        </w:tc>
        <w:tc>
          <w:tcPr>
            <w:tcW w:w="5887" w:type="dxa"/>
            <w:noWrap w:val="0"/>
            <w:vAlign w:val="center"/>
          </w:tcPr>
          <w:p w14:paraId="0BCABFDD">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676" w:type="dxa"/>
            <w:noWrap w:val="0"/>
            <w:vAlign w:val="center"/>
          </w:tcPr>
          <w:p w14:paraId="52EA2AF6">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332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center"/>
          </w:tcPr>
          <w:p w14:paraId="512672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价格</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0分</w:t>
            </w:r>
            <w:r>
              <w:rPr>
                <w:rFonts w:hint="eastAsia" w:ascii="宋体" w:hAnsi="宋体" w:eastAsia="宋体" w:cs="宋体"/>
                <w:color w:val="auto"/>
                <w:szCs w:val="21"/>
                <w:highlight w:val="none"/>
                <w:lang w:eastAsia="zh-CN"/>
              </w:rPr>
              <w:t>）</w:t>
            </w:r>
          </w:p>
        </w:tc>
        <w:tc>
          <w:tcPr>
            <w:tcW w:w="735" w:type="dxa"/>
            <w:noWrap w:val="0"/>
            <w:vAlign w:val="center"/>
          </w:tcPr>
          <w:p w14:paraId="08AF224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838" w:type="dxa"/>
            <w:noWrap w:val="0"/>
            <w:vAlign w:val="center"/>
          </w:tcPr>
          <w:p w14:paraId="5CBEA82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分</w:t>
            </w:r>
          </w:p>
        </w:tc>
        <w:tc>
          <w:tcPr>
            <w:tcW w:w="5887" w:type="dxa"/>
            <w:noWrap w:val="0"/>
            <w:vAlign w:val="center"/>
          </w:tcPr>
          <w:p w14:paraId="22CE20B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计算公式为：</w:t>
            </w:r>
          </w:p>
          <w:p w14:paraId="2610774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投标报价得分 =（Cmin / C）×</w:t>
            </w:r>
            <w:r>
              <w:rPr>
                <w:rFonts w:hint="eastAsia"/>
                <w:lang w:val="en-US" w:eastAsia="zh-CN"/>
              </w:rPr>
              <w:t>10，得分保留至小数点后两位。</w:t>
            </w:r>
          </w:p>
          <w:p w14:paraId="31C8B3F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其中，Cmin为所有有效供应商的合理最低报价；</w:t>
            </w:r>
          </w:p>
          <w:p w14:paraId="70B312C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C为供应商的投标报价。</w:t>
            </w:r>
          </w:p>
          <w:p w14:paraId="67380B8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关于合理最低报价的说明：</w:t>
            </w:r>
          </w:p>
          <w:p w14:paraId="546504F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imes New Roman" w:hAnsi="Times New Roman" w:eastAsia="宋体" w:cs="Times New Roman"/>
              </w:rPr>
            </w:pPr>
            <w:r>
              <w:rPr>
                <w:rFonts w:hint="eastAsia"/>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w:t>
            </w:r>
            <w:r>
              <w:rPr>
                <w:rFonts w:hint="eastAsia" w:ascii="Times New Roman" w:hAnsi="Times New Roman" w:eastAsia="宋体" w:cs="Times New Roman"/>
              </w:rPr>
              <w:t>交相关证明材料；否则，报价按无效处理。</w:t>
            </w:r>
          </w:p>
          <w:p w14:paraId="79D6ECB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eastAsia" w:ascii="宋体" w:hAnsi="宋体"/>
                <w:color w:val="auto"/>
                <w:szCs w:val="21"/>
                <w:highlight w:val="none"/>
              </w:rPr>
              <w:t>对于未预留份额专门面向中小企业的采购项目，以及预留份额项目中的非预留部分采购包</w:t>
            </w:r>
            <w:r>
              <w:rPr>
                <w:rFonts w:hint="eastAsia" w:ascii="宋体" w:hAnsi="宋体"/>
                <w:color w:val="auto"/>
                <w:szCs w:val="21"/>
                <w:highlight w:val="none"/>
                <w:lang w:eastAsia="zh-CN"/>
              </w:rPr>
              <w:t>，</w:t>
            </w:r>
            <w:r>
              <w:rPr>
                <w:rFonts w:hint="eastAsia" w:ascii="宋体" w:hAnsi="宋体"/>
                <w:color w:val="auto"/>
                <w:szCs w:val="21"/>
                <w:highlight w:val="none"/>
              </w:rPr>
              <w:t>符合招标文件规定的小微企业、监狱企业、残疾人福利性单位优惠条件的投标人，价格给予</w:t>
            </w:r>
            <w:r>
              <w:rPr>
                <w:rFonts w:hint="eastAsia" w:ascii="宋体" w:hAnsi="宋体"/>
                <w:color w:val="auto"/>
                <w:szCs w:val="21"/>
                <w:highlight w:val="none"/>
                <w:lang w:val="en-US" w:eastAsia="zh-CN"/>
              </w:rPr>
              <w:t>10</w:t>
            </w:r>
            <w:r>
              <w:rPr>
                <w:rFonts w:hint="eastAsia" w:ascii="宋体" w:hAnsi="宋体"/>
                <w:color w:val="auto"/>
                <w:szCs w:val="21"/>
                <w:highlight w:val="none"/>
              </w:rPr>
              <w:t>%的扣除，用扣除后的价格参与评审。</w:t>
            </w:r>
          </w:p>
        </w:tc>
        <w:tc>
          <w:tcPr>
            <w:tcW w:w="676" w:type="dxa"/>
            <w:noWrap w:val="0"/>
            <w:vAlign w:val="center"/>
          </w:tcPr>
          <w:p w14:paraId="5589A0D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5A9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restart"/>
            <w:noWrap w:val="0"/>
            <w:vAlign w:val="center"/>
          </w:tcPr>
          <w:p w14:paraId="05ADF4B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735" w:type="dxa"/>
            <w:noWrap w:val="0"/>
            <w:vAlign w:val="center"/>
          </w:tcPr>
          <w:p w14:paraId="3FC1A01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rPr>
            </w:pPr>
            <w:r>
              <w:rPr>
                <w:rFonts w:hint="eastAsia" w:ascii="宋体" w:hAnsi="宋体"/>
                <w:color w:val="auto"/>
                <w:szCs w:val="21"/>
                <w:highlight w:val="none"/>
              </w:rPr>
              <w:t>项目实施</w:t>
            </w:r>
            <w:r>
              <w:rPr>
                <w:rFonts w:hint="eastAsia" w:ascii="宋体" w:hAnsi="宋体"/>
                <w:color w:val="auto"/>
                <w:szCs w:val="21"/>
                <w:highlight w:val="none"/>
                <w:lang w:eastAsia="zh-CN"/>
              </w:rPr>
              <w:t>保障</w:t>
            </w:r>
            <w:r>
              <w:rPr>
                <w:rFonts w:hint="eastAsia" w:ascii="宋体" w:hAnsi="宋体"/>
                <w:color w:val="auto"/>
                <w:szCs w:val="21"/>
                <w:highlight w:val="none"/>
              </w:rPr>
              <w:t>方案</w:t>
            </w:r>
          </w:p>
        </w:tc>
        <w:tc>
          <w:tcPr>
            <w:tcW w:w="838" w:type="dxa"/>
            <w:noWrap w:val="0"/>
            <w:vAlign w:val="center"/>
          </w:tcPr>
          <w:p w14:paraId="2C29BD2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w:t>
            </w:r>
            <w:r>
              <w:rPr>
                <w:rFonts w:hint="eastAsia" w:ascii="宋体" w:hAnsi="宋体"/>
                <w:color w:val="auto"/>
                <w:szCs w:val="21"/>
                <w:highlight w:val="none"/>
                <w:lang w:eastAsia="zh-CN"/>
              </w:rPr>
              <w:t>分</w:t>
            </w:r>
          </w:p>
        </w:tc>
        <w:tc>
          <w:tcPr>
            <w:tcW w:w="5887" w:type="dxa"/>
            <w:noWrap w:val="0"/>
            <w:vAlign w:val="center"/>
          </w:tcPr>
          <w:p w14:paraId="1A30BB1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项</w:t>
            </w:r>
            <w:r>
              <w:rPr>
                <w:rFonts w:hint="eastAsia" w:ascii="宋体" w:hAnsi="宋体"/>
                <w:color w:val="auto"/>
                <w:szCs w:val="21"/>
                <w:highlight w:val="none"/>
                <w:lang w:eastAsia="zh-CN"/>
              </w:rPr>
              <w:t>目服务实施方案（</w:t>
            </w:r>
            <w:r>
              <w:rPr>
                <w:rFonts w:hint="eastAsia" w:ascii="宋体" w:hAnsi="宋体"/>
                <w:color w:val="auto"/>
                <w:szCs w:val="21"/>
                <w:highlight w:val="none"/>
                <w:lang w:val="en-US" w:eastAsia="zh-CN"/>
              </w:rPr>
              <w:t>15</w:t>
            </w:r>
            <w:r>
              <w:rPr>
                <w:rFonts w:hint="eastAsia" w:ascii="宋体" w:hAnsi="宋体"/>
                <w:color w:val="auto"/>
                <w:szCs w:val="21"/>
                <w:highlight w:val="none"/>
                <w:lang w:eastAsia="zh-CN"/>
              </w:rPr>
              <w:t>分）：根据投标人对本项目实际情况，阐述内容须包括但不限于以下内容：</w:t>
            </w:r>
          </w:p>
          <w:p w14:paraId="4C0504B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①质量保证措施；</w:t>
            </w:r>
          </w:p>
          <w:p w14:paraId="62F6FE7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②项目实施人员配置方案；</w:t>
            </w:r>
          </w:p>
          <w:p w14:paraId="3F3F6AB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③应急处理方案；</w:t>
            </w:r>
          </w:p>
          <w:p w14:paraId="652AB5B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评标委员会根据各投标人方案内容</w:t>
            </w:r>
            <w:r>
              <w:rPr>
                <w:rFonts w:hint="eastAsia" w:ascii="宋体" w:hAnsi="宋体"/>
                <w:color w:val="auto"/>
                <w:szCs w:val="21"/>
                <w:highlight w:val="none"/>
                <w:lang w:val="en-US" w:eastAsia="zh-CN"/>
              </w:rPr>
              <w:t>完整度及可行性进行评审，评审内容包含5项，</w:t>
            </w:r>
            <w:r>
              <w:rPr>
                <w:rFonts w:hint="eastAsia" w:ascii="宋体" w:hAnsi="宋体"/>
                <w:color w:val="auto"/>
                <w:szCs w:val="21"/>
                <w:highlight w:val="none"/>
                <w:lang w:eastAsia="zh-CN"/>
              </w:rPr>
              <w:t>项目服务实施方案内容</w:t>
            </w:r>
            <w:r>
              <w:rPr>
                <w:rFonts w:hint="eastAsia" w:ascii="宋体" w:hAnsi="宋体"/>
                <w:color w:val="auto"/>
                <w:szCs w:val="21"/>
                <w:highlight w:val="none"/>
                <w:lang w:val="en-US" w:eastAsia="zh-CN"/>
              </w:rPr>
              <w:t>完整可行最多得15分，每有一小项内容描述不清晰或有缺失内容的扣5分，扣完为止。</w:t>
            </w:r>
          </w:p>
        </w:tc>
        <w:tc>
          <w:tcPr>
            <w:tcW w:w="676" w:type="dxa"/>
            <w:noWrap w:val="0"/>
            <w:vAlign w:val="center"/>
          </w:tcPr>
          <w:p w14:paraId="13F0302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zCs w:val="21"/>
                <w:highlight w:val="none"/>
              </w:rPr>
            </w:pPr>
          </w:p>
        </w:tc>
      </w:tr>
      <w:tr w14:paraId="7654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jc w:val="center"/>
        </w:trPr>
        <w:tc>
          <w:tcPr>
            <w:tcW w:w="771" w:type="dxa"/>
            <w:vMerge w:val="continue"/>
            <w:noWrap w:val="0"/>
            <w:vAlign w:val="center"/>
          </w:tcPr>
          <w:p w14:paraId="60AF750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735" w:type="dxa"/>
            <w:noWrap w:val="0"/>
            <w:vAlign w:val="center"/>
          </w:tcPr>
          <w:p w14:paraId="12D357F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培训方案</w:t>
            </w:r>
          </w:p>
        </w:tc>
        <w:tc>
          <w:tcPr>
            <w:tcW w:w="838" w:type="dxa"/>
            <w:noWrap w:val="0"/>
            <w:vAlign w:val="center"/>
          </w:tcPr>
          <w:p w14:paraId="1004582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p>
        </w:tc>
        <w:tc>
          <w:tcPr>
            <w:tcW w:w="5887" w:type="dxa"/>
            <w:noWrap w:val="0"/>
            <w:vAlign w:val="center"/>
          </w:tcPr>
          <w:p w14:paraId="185B826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培训方案（6分）根据各供应商培训方案进行综合评分。</w:t>
            </w:r>
          </w:p>
          <w:p w14:paraId="17643B8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1.目标明确，内容针对性强，培训计划安排合理，针对培训人员有分类、分岗的培训课程，安排项目组负责培训过程中的实施管理、课程配置、考核评价等工作，能够保证后期的正确使用、跟踪指导得3分。</w:t>
            </w:r>
          </w:p>
          <w:p w14:paraId="65B1C07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2.培训计划安排合理，针对培训人员有分类、分岗的培训课程，安排项目组负责培训过程中的实施管理、课程配置、教学支持、技术支持、考核评价等工作，能够保证后期的正确使用得2分；</w:t>
            </w:r>
          </w:p>
          <w:p w14:paraId="6BD2350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3.培训计划安排不合理，无培训课程，培训过程中的实施管理、课程配置、教学支持、技术支持、考核评价等叙述不详细得2分；</w:t>
            </w:r>
          </w:p>
          <w:p w14:paraId="685C71F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未提供不得分。</w:t>
            </w:r>
          </w:p>
          <w:p w14:paraId="17B00B5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eastAsia="zh-CN"/>
              </w:rPr>
            </w:pPr>
          </w:p>
        </w:tc>
        <w:tc>
          <w:tcPr>
            <w:tcW w:w="676" w:type="dxa"/>
            <w:noWrap w:val="0"/>
            <w:vAlign w:val="center"/>
          </w:tcPr>
          <w:p w14:paraId="37A69CA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031D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14:paraId="05308DD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735" w:type="dxa"/>
            <w:noWrap w:val="0"/>
            <w:vAlign w:val="center"/>
          </w:tcPr>
          <w:p w14:paraId="6C9D2B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售后服务方案</w:t>
            </w:r>
          </w:p>
        </w:tc>
        <w:tc>
          <w:tcPr>
            <w:tcW w:w="838" w:type="dxa"/>
            <w:noWrap w:val="0"/>
            <w:vAlign w:val="center"/>
          </w:tcPr>
          <w:p w14:paraId="4B14ACA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tc>
        <w:tc>
          <w:tcPr>
            <w:tcW w:w="5887" w:type="dxa"/>
            <w:noWrap w:val="0"/>
            <w:vAlign w:val="center"/>
          </w:tcPr>
          <w:p w14:paraId="6143C88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投标人需针对本项目提供详细的售后服务方案，内容包括但不限于： </w:t>
            </w:r>
          </w:p>
          <w:p w14:paraId="1EA9C7E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①售后服务内容；</w:t>
            </w:r>
          </w:p>
          <w:p w14:paraId="3FA3237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②平台网络保障措施； </w:t>
            </w:r>
          </w:p>
          <w:p w14:paraId="1719A84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③售后跟踪服务制度等内容； </w:t>
            </w:r>
          </w:p>
          <w:p w14:paraId="372939A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Times New Roman"/>
                <w:kern w:val="0"/>
                <w:sz w:val="21"/>
                <w:szCs w:val="21"/>
                <w:lang w:val="en-US" w:eastAsia="zh-CN" w:bidi="ar-SA"/>
              </w:rPr>
              <w:t>以上方案内容完整清晰明确且科学合理、可行性高具有针 对性并满足采购需求的得9 分，每缺少一项内容扣3分； 每有一项内容不完整或未能满足采购需求的或每有一处不具有针对性或逻辑性错误且不完整的扣 1 分；扣完为止</w:t>
            </w:r>
          </w:p>
        </w:tc>
        <w:tc>
          <w:tcPr>
            <w:tcW w:w="676" w:type="dxa"/>
            <w:noWrap w:val="0"/>
            <w:vAlign w:val="center"/>
          </w:tcPr>
          <w:p w14:paraId="799E2D9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0114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14:paraId="471452A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735" w:type="dxa"/>
            <w:noWrap w:val="0"/>
            <w:vAlign w:val="center"/>
          </w:tcPr>
          <w:p w14:paraId="6CCA0D6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auto"/>
                <w:szCs w:val="21"/>
                <w:highlight w:val="none"/>
                <w:lang w:val="en-US" w:eastAsia="zh-CN"/>
              </w:rPr>
            </w:pPr>
            <w:r>
              <w:rPr>
                <w:rFonts w:hint="eastAsia" w:ascii="宋体" w:hAnsi="宋体"/>
                <w:bCs/>
                <w:szCs w:val="21"/>
                <w:lang w:eastAsia="zh-CN"/>
              </w:rPr>
              <w:t>技术</w:t>
            </w:r>
            <w:r>
              <w:rPr>
                <w:rFonts w:hint="eastAsia" w:ascii="宋体" w:hAnsi="宋体"/>
                <w:bCs/>
                <w:szCs w:val="21"/>
                <w:lang w:val="en-US" w:eastAsia="zh-CN"/>
              </w:rPr>
              <w:t>响应程度</w:t>
            </w:r>
          </w:p>
        </w:tc>
        <w:tc>
          <w:tcPr>
            <w:tcW w:w="838" w:type="dxa"/>
            <w:noWrap w:val="0"/>
            <w:vAlign w:val="center"/>
          </w:tcPr>
          <w:p w14:paraId="79CC8B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lang w:eastAsia="zh-CN"/>
              </w:rPr>
              <w:t>分</w:t>
            </w:r>
          </w:p>
        </w:tc>
        <w:tc>
          <w:tcPr>
            <w:tcW w:w="5887" w:type="dxa"/>
            <w:noWrap w:val="0"/>
            <w:vAlign w:val="center"/>
          </w:tcPr>
          <w:p w14:paraId="732229F2">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1.供应商须提供所开发软件系统与现有系统进行数据对接的对接方案：方案科学、合理，符合伊东工业园区智能应急指挥和应化工产业集中区管控要求得6 分； </w:t>
            </w:r>
          </w:p>
          <w:p w14:paraId="38C49FB2">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（1）存在描述不清或不详实、不完整，或对接方案没有针 </w:t>
            </w:r>
          </w:p>
          <w:p w14:paraId="635F73DB">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对性和科学性得3分， </w:t>
            </w:r>
          </w:p>
          <w:p w14:paraId="0469B800">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（2）未提供对接方案的，得 0 分。 </w:t>
            </w:r>
          </w:p>
          <w:p w14:paraId="612FA97D">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2.对软件整体架构与功能的可行性、合理性、规范性，包括总体设计、接口设计、系统数据结构设计、数据库设计及模块设计等进行分析说明进行综合打分，满分10分： </w:t>
            </w:r>
          </w:p>
          <w:p w14:paraId="0B67845E">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（1）方案内容详实，可行性、操作性强，符合项目需求得10分；</w:t>
            </w:r>
          </w:p>
          <w:p w14:paraId="7B2F76D4">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（2）存在描述不清或不详实、不完整得6分； </w:t>
            </w:r>
          </w:p>
          <w:p w14:paraId="16298951">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（3）未提供或者提供与本项目不相符的方案得 0 分。 </w:t>
            </w:r>
          </w:p>
          <w:p w14:paraId="49DF0D4D">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3.投标单位根据项目要求，分别制定详细的测试方案、验收 </w:t>
            </w:r>
          </w:p>
          <w:p w14:paraId="1E6E9977">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方案和进度计划，根据其计划的完整性、周密性、科学性、 </w:t>
            </w:r>
          </w:p>
          <w:p w14:paraId="176F6037">
            <w:pPr>
              <w:numPr>
                <w:ilvl w:val="0"/>
                <w:numId w:val="0"/>
              </w:numP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可行性进行综合打分，满分6分，</w:t>
            </w:r>
          </w:p>
          <w:p w14:paraId="09F0FD13">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（1）方案内容详实，可行性、操作性强，符合项目需求得 </w:t>
            </w:r>
          </w:p>
          <w:p w14:paraId="26B1C23D">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6分； </w:t>
            </w:r>
          </w:p>
          <w:p w14:paraId="7BC75A14">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（2）存在描述不清或不详实、不完整得3 分； </w:t>
            </w:r>
          </w:p>
          <w:p w14:paraId="08AC2935">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（3）未提供或者提供与本项目不相符的方案得 0 分。 </w:t>
            </w:r>
          </w:p>
          <w:p w14:paraId="0DD4C8FD">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4.保证项目正常实施的各项措施，包括项目进度措施、质量 </w:t>
            </w:r>
          </w:p>
          <w:p w14:paraId="1C02BC8C">
            <w:pPr>
              <w:numPr>
                <w:ilvl w:val="0"/>
                <w:numId w:val="0"/>
              </w:numP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保证措施等进行综合打分，满分4分，</w:t>
            </w:r>
          </w:p>
          <w:p w14:paraId="70211D0A">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（1）方案内容详实，可行性、 </w:t>
            </w:r>
          </w:p>
          <w:p w14:paraId="3E2362B9">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操作性强，符合项目需求得4分； </w:t>
            </w:r>
          </w:p>
          <w:p w14:paraId="7595CD30">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（2）存在描述不清或不详实、不完整得 2 分； </w:t>
            </w:r>
          </w:p>
          <w:p w14:paraId="4308EA67">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（3）未提供或者提供与本项目不相符的方案得 0 分。 </w:t>
            </w:r>
          </w:p>
        </w:tc>
        <w:tc>
          <w:tcPr>
            <w:tcW w:w="676" w:type="dxa"/>
            <w:noWrap w:val="0"/>
            <w:vAlign w:val="center"/>
          </w:tcPr>
          <w:p w14:paraId="48F96EBA">
            <w:pPr>
              <w:numPr>
                <w:ilvl w:val="0"/>
                <w:numId w:val="0"/>
              </w:numPr>
              <w:rPr>
                <w:rFonts w:hint="eastAsia" w:ascii="宋体" w:hAnsi="宋体" w:eastAsia="宋体" w:cs="Times New Roman"/>
                <w:kern w:val="0"/>
                <w:sz w:val="21"/>
                <w:szCs w:val="21"/>
                <w:lang w:val="en-US" w:eastAsia="zh-CN" w:bidi="ar-SA"/>
              </w:rPr>
            </w:pPr>
          </w:p>
        </w:tc>
      </w:tr>
      <w:tr w14:paraId="1C5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center"/>
          </w:tcPr>
          <w:p w14:paraId="4B956E8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735" w:type="dxa"/>
            <w:noWrap w:val="0"/>
            <w:vAlign w:val="center"/>
          </w:tcPr>
          <w:p w14:paraId="65D39AD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bCs/>
                <w:szCs w:val="21"/>
                <w:lang w:eastAsia="zh-CN"/>
              </w:rPr>
            </w:pPr>
            <w:r>
              <w:rPr>
                <w:rFonts w:hint="eastAsia" w:ascii="宋体" w:hAnsi="宋体"/>
                <w:bCs/>
                <w:szCs w:val="21"/>
                <w:lang w:val="en-US" w:eastAsia="zh-CN"/>
              </w:rPr>
              <w:t>系统展示</w:t>
            </w:r>
          </w:p>
          <w:p w14:paraId="1B578D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bCs/>
                <w:szCs w:val="21"/>
                <w:lang w:eastAsia="zh-CN"/>
              </w:rPr>
            </w:pPr>
          </w:p>
        </w:tc>
        <w:tc>
          <w:tcPr>
            <w:tcW w:w="838" w:type="dxa"/>
            <w:noWrap w:val="0"/>
            <w:vAlign w:val="center"/>
          </w:tcPr>
          <w:p w14:paraId="7C61C9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20分</w:t>
            </w:r>
          </w:p>
        </w:tc>
        <w:tc>
          <w:tcPr>
            <w:tcW w:w="5887" w:type="dxa"/>
            <w:noWrap w:val="0"/>
            <w:vAlign w:val="center"/>
          </w:tcPr>
          <w:p w14:paraId="10B2672D">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软件系统重点功能展示，根据设计完整性科学性及呈现效果 </w:t>
            </w:r>
          </w:p>
          <w:p w14:paraId="4572D0FA">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进行综合打分。根据软件采购需求，进行全面展示，技术文件要求的标星项需逐条响应，提供平台截图。标星项未提供或提供不满足一条扣2分，扣完为止。总分20分； </w:t>
            </w:r>
          </w:p>
        </w:tc>
        <w:tc>
          <w:tcPr>
            <w:tcW w:w="676" w:type="dxa"/>
            <w:noWrap w:val="0"/>
            <w:vAlign w:val="center"/>
          </w:tcPr>
          <w:p w14:paraId="562B11D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64E6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restart"/>
            <w:noWrap w:val="0"/>
            <w:vAlign w:val="center"/>
          </w:tcPr>
          <w:p w14:paraId="2B4FEA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商务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14分</w:t>
            </w:r>
            <w:r>
              <w:rPr>
                <w:rFonts w:hint="eastAsia" w:ascii="宋体" w:hAnsi="宋体" w:eastAsia="宋体" w:cs="宋体"/>
                <w:color w:val="auto"/>
                <w:szCs w:val="21"/>
                <w:highlight w:val="none"/>
                <w:lang w:eastAsia="zh-CN"/>
              </w:rPr>
              <w:t>）</w:t>
            </w:r>
          </w:p>
        </w:tc>
        <w:tc>
          <w:tcPr>
            <w:tcW w:w="735" w:type="dxa"/>
            <w:noWrap w:val="0"/>
            <w:vAlign w:val="center"/>
          </w:tcPr>
          <w:p w14:paraId="5CE2B01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838" w:type="dxa"/>
            <w:noWrap w:val="0"/>
            <w:vAlign w:val="center"/>
          </w:tcPr>
          <w:p w14:paraId="0246892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5887" w:type="dxa"/>
            <w:noWrap w:val="0"/>
            <w:vAlign w:val="center"/>
          </w:tcPr>
          <w:p w14:paraId="68B16D4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eastAsia="zh-CN"/>
              </w:rPr>
              <w:t>近三年</w:t>
            </w:r>
            <w:r>
              <w:rPr>
                <w:rFonts w:hint="eastAsia" w:ascii="宋体" w:hAnsi="宋体" w:eastAsia="宋体" w:cs="宋体"/>
                <w:color w:val="auto"/>
                <w:szCs w:val="21"/>
                <w:highlight w:val="none"/>
              </w:rPr>
              <w:t>类似业绩（提供项目中标通知书或合同），不提供不得分；每提供一项得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2563273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（注：1、业绩以中标通知书或合同协议为准，未提供证明材料的不得分；2、业绩必须能看出投标供应商名称、合同签订时间等</w:t>
            </w:r>
            <w:r>
              <w:rPr>
                <w:rFonts w:hint="eastAsia" w:ascii="宋体" w:hAnsi="宋体" w:eastAsia="宋体" w:cs="宋体"/>
                <w:color w:val="auto"/>
                <w:szCs w:val="21"/>
                <w:highlight w:val="none"/>
                <w:lang w:eastAsia="zh-CN"/>
              </w:rPr>
              <w:t>）</w:t>
            </w:r>
          </w:p>
        </w:tc>
        <w:tc>
          <w:tcPr>
            <w:tcW w:w="676" w:type="dxa"/>
            <w:noWrap w:val="0"/>
            <w:vAlign w:val="center"/>
          </w:tcPr>
          <w:p w14:paraId="79B95EB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05F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14:paraId="398395B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735" w:type="dxa"/>
            <w:noWrap w:val="0"/>
            <w:vAlign w:val="center"/>
          </w:tcPr>
          <w:p w14:paraId="410DCE2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ascii="宋体" w:hAnsi="宋体" w:eastAsia="宋体" w:cs="宋体"/>
                <w:sz w:val="24"/>
                <w:szCs w:val="24"/>
              </w:rPr>
              <w:t xml:space="preserve">人员配备 </w:t>
            </w:r>
          </w:p>
        </w:tc>
        <w:tc>
          <w:tcPr>
            <w:tcW w:w="838" w:type="dxa"/>
            <w:noWrap w:val="0"/>
            <w:vAlign w:val="center"/>
          </w:tcPr>
          <w:p w14:paraId="73258E6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tc>
        <w:tc>
          <w:tcPr>
            <w:tcW w:w="5887" w:type="dxa"/>
            <w:noWrap w:val="0"/>
            <w:vAlign w:val="center"/>
          </w:tcPr>
          <w:p w14:paraId="35796D4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供应商拟投入的项目经理和项目团队相关技术人员应具有 </w:t>
            </w:r>
          </w:p>
          <w:p w14:paraId="3C8FA55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以下相关技能： </w:t>
            </w:r>
          </w:p>
          <w:p w14:paraId="4D27806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为了保证项目实施的质量，本次项目中项目经理及技术负责人需具备以下资质：项目经理：系统集成项目管理工程师及信息系统项目管理师1人（2分）、技术负责人：信息系统集成实施工程经理及ITSS服务项目经理1人（2分）</w:t>
            </w:r>
          </w:p>
          <w:p w14:paraId="4858398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2、项目组人员需具备较强的技术实力，项目组人员（每人1分）需具备以下资质：信息系统集成实施工程经理(1人)、高级工程师(2人)、ITSS服务项目经理(1人)、系统集成项目管理工程师(1人)</w:t>
            </w:r>
          </w:p>
          <w:p w14:paraId="11F7712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（以上人员须提供持证人员相关证书复印件及近3个月任意1个月社保机构出具的社保证明或社保机构官网打印证明复印件并加盖供应商公章，未提供不得分）。</w:t>
            </w:r>
          </w:p>
        </w:tc>
        <w:tc>
          <w:tcPr>
            <w:tcW w:w="676" w:type="dxa"/>
            <w:noWrap w:val="0"/>
            <w:vAlign w:val="center"/>
          </w:tcPr>
          <w:p w14:paraId="282D316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44D8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14:paraId="398DB82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735" w:type="dxa"/>
            <w:noWrap w:val="0"/>
            <w:vAlign w:val="center"/>
          </w:tcPr>
          <w:p w14:paraId="7C507BC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投标文件编制质量</w:t>
            </w:r>
          </w:p>
        </w:tc>
        <w:tc>
          <w:tcPr>
            <w:tcW w:w="838" w:type="dxa"/>
            <w:noWrap w:val="0"/>
            <w:vAlign w:val="center"/>
          </w:tcPr>
          <w:p w14:paraId="4133DA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tc>
        <w:tc>
          <w:tcPr>
            <w:tcW w:w="5887" w:type="dxa"/>
            <w:noWrap w:val="0"/>
            <w:vAlign w:val="center"/>
          </w:tcPr>
          <w:p w14:paraId="7A4BDF8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编制内容完整、齐全、叙述严谨；标书无涂改、错页、漏页现象的得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07335AD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标函编制内容不完整、叙述简单；标书有涂改、错页或漏页现象的得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分。</w:t>
            </w:r>
          </w:p>
        </w:tc>
        <w:tc>
          <w:tcPr>
            <w:tcW w:w="676" w:type="dxa"/>
            <w:noWrap w:val="0"/>
            <w:vAlign w:val="center"/>
          </w:tcPr>
          <w:p w14:paraId="365B075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4B60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6" w:type="dxa"/>
            <w:gridSpan w:val="2"/>
            <w:noWrap w:val="0"/>
            <w:vAlign w:val="center"/>
          </w:tcPr>
          <w:p w14:paraId="355E560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38" w:type="dxa"/>
            <w:noWrap w:val="0"/>
            <w:vAlign w:val="center"/>
          </w:tcPr>
          <w:p w14:paraId="37FC42F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100分</w:t>
            </w:r>
          </w:p>
        </w:tc>
        <w:tc>
          <w:tcPr>
            <w:tcW w:w="6563" w:type="dxa"/>
            <w:gridSpan w:val="2"/>
            <w:noWrap w:val="0"/>
            <w:vAlign w:val="top"/>
          </w:tcPr>
          <w:p w14:paraId="20F02A7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bl>
    <w:p w14:paraId="3A2BFC53">
      <w:pPr>
        <w:spacing w:line="240" w:lineRule="exact"/>
        <w:jc w:val="left"/>
        <w:rPr>
          <w:rFonts w:hint="eastAsia" w:ascii="宋体" w:hAnsi="宋体" w:eastAsia="宋体" w:cs="宋体"/>
          <w:color w:val="auto"/>
          <w:szCs w:val="21"/>
          <w:highlight w:val="none"/>
          <w:lang w:val="en-US" w:eastAsia="zh-CN"/>
        </w:rPr>
      </w:pPr>
    </w:p>
    <w:p w14:paraId="18AB4BB5">
      <w:pPr>
        <w:spacing w:line="360" w:lineRule="auto"/>
        <w:ind w:firstLine="440" w:firstLineChars="200"/>
        <w:jc w:val="left"/>
        <w:rPr>
          <w:rFonts w:hint="eastAsia"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备注：1、评委应在认真理解本</w:t>
      </w:r>
      <w:r>
        <w:rPr>
          <w:rFonts w:hint="eastAsia" w:ascii="宋体" w:hAnsi="宋体" w:cs="宋体"/>
          <w:color w:val="auto"/>
          <w:sz w:val="22"/>
          <w:szCs w:val="20"/>
          <w:highlight w:val="none"/>
          <w:lang w:val="en-US" w:eastAsia="zh-CN"/>
        </w:rPr>
        <w:t>采购文件</w:t>
      </w:r>
      <w:r>
        <w:rPr>
          <w:rFonts w:hint="eastAsia" w:ascii="宋体" w:hAnsi="宋体" w:eastAsia="宋体" w:cs="宋体"/>
          <w:color w:val="auto"/>
          <w:sz w:val="22"/>
          <w:szCs w:val="20"/>
          <w:highlight w:val="none"/>
          <w:lang w:val="en-US" w:eastAsia="zh-CN"/>
        </w:rPr>
        <w:t>和项目有关情况后，做出需自己负责的按上述内容对供应商进行评审。2、供应商最终得分等于商务技术部分、报价得分之和。3、评标委员会按照供应商最终得分由高到底顺序确定出各供应商排名顺序。</w:t>
      </w:r>
    </w:p>
    <w:p w14:paraId="60CB9BFE">
      <w:pPr>
        <w:pStyle w:val="18"/>
        <w:numPr>
          <w:ilvl w:val="0"/>
          <w:numId w:val="0"/>
        </w:numPr>
        <w:spacing w:line="360" w:lineRule="auto"/>
        <w:jc w:val="center"/>
        <w:rPr>
          <w:rFonts w:hint="eastAsia" w:ascii="宋体" w:hAnsi="宋体" w:cs="宋体"/>
          <w:highlight w:val="none"/>
          <w:lang w:val="en-US" w:eastAsia="zh-CN"/>
        </w:rPr>
      </w:pPr>
    </w:p>
    <w:p w14:paraId="72E7B639">
      <w:pPr>
        <w:pStyle w:val="10"/>
        <w:ind w:left="0" w:leftChars="0" w:firstLine="0" w:firstLineChars="0"/>
        <w:outlineLvl w:val="9"/>
        <w:rPr>
          <w:highlight w:val="none"/>
        </w:rPr>
      </w:pPr>
    </w:p>
    <w:p w14:paraId="59071645">
      <w:pPr>
        <w:keepNext/>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sz w:val="36"/>
          <w:szCs w:val="36"/>
          <w:highlight w:val="none"/>
        </w:rPr>
      </w:pPr>
    </w:p>
    <w:p w14:paraId="1C4B9CC4">
      <w:pPr>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Cs/>
          <w:sz w:val="36"/>
          <w:szCs w:val="36"/>
          <w:highlight w:val="none"/>
        </w:rPr>
      </w:pPr>
    </w:p>
    <w:p w14:paraId="3F403CD3">
      <w:pPr>
        <w:pStyle w:val="8"/>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Cs/>
          <w:sz w:val="36"/>
          <w:szCs w:val="36"/>
          <w:highlight w:val="none"/>
        </w:rPr>
      </w:pPr>
    </w:p>
    <w:p w14:paraId="598096BB">
      <w:pPr>
        <w:keepNext/>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sz w:val="36"/>
          <w:szCs w:val="36"/>
          <w:highlight w:val="none"/>
        </w:rPr>
      </w:pPr>
      <w:bookmarkStart w:id="201" w:name="_Toc10353"/>
      <w:r>
        <w:rPr>
          <w:rFonts w:hint="eastAsia" w:ascii="宋体" w:hAnsi="宋体" w:eastAsia="宋体" w:cs="宋体"/>
          <w:b/>
          <w:bCs w:val="0"/>
          <w:sz w:val="36"/>
          <w:szCs w:val="36"/>
          <w:highlight w:val="none"/>
        </w:rPr>
        <w:br w:type="page"/>
      </w:r>
      <w:r>
        <w:rPr>
          <w:rFonts w:hint="eastAsia" w:ascii="宋体" w:hAnsi="宋体" w:eastAsia="宋体" w:cs="宋体"/>
          <w:b/>
          <w:bCs w:val="0"/>
          <w:sz w:val="36"/>
          <w:szCs w:val="36"/>
          <w:highlight w:val="none"/>
        </w:rPr>
        <w:t>第</w:t>
      </w:r>
      <w:r>
        <w:rPr>
          <w:rFonts w:hint="eastAsia" w:hAnsi="宋体" w:eastAsia="宋体" w:cs="宋体"/>
          <w:b/>
          <w:bCs w:val="0"/>
          <w:sz w:val="36"/>
          <w:szCs w:val="36"/>
          <w:highlight w:val="none"/>
          <w:lang w:val="en-US" w:eastAsia="zh-CN"/>
        </w:rPr>
        <w:t>七</w:t>
      </w:r>
      <w:r>
        <w:rPr>
          <w:rFonts w:hint="eastAsia" w:ascii="宋体" w:hAnsi="宋体" w:eastAsia="宋体" w:cs="宋体"/>
          <w:b/>
          <w:bCs w:val="0"/>
          <w:sz w:val="36"/>
          <w:szCs w:val="36"/>
          <w:highlight w:val="none"/>
        </w:rPr>
        <w:t>章 投标文件构成及格式</w:t>
      </w:r>
      <w:bookmarkEnd w:id="194"/>
      <w:bookmarkEnd w:id="195"/>
      <w:bookmarkEnd w:id="196"/>
      <w:bookmarkEnd w:id="197"/>
      <w:bookmarkEnd w:id="198"/>
      <w:bookmarkEnd w:id="201"/>
    </w:p>
    <w:p w14:paraId="2E934B0E">
      <w:pPr>
        <w:outlineLvl w:val="9"/>
        <w:rPr>
          <w:rFonts w:hint="eastAsia" w:ascii="宋体" w:hAnsi="宋体" w:eastAsia="宋体" w:cs="宋体"/>
          <w:highlight w:val="none"/>
        </w:rPr>
      </w:pPr>
    </w:p>
    <w:p w14:paraId="13708AF8">
      <w:pPr>
        <w:outlineLvl w:val="9"/>
        <w:rPr>
          <w:rFonts w:hint="default" w:ascii="宋体" w:hAnsi="宋体" w:eastAsia="宋体" w:cs="宋体"/>
          <w:b/>
          <w:color w:val="auto"/>
          <w:sz w:val="32"/>
          <w:szCs w:val="32"/>
          <w:highlight w:val="none"/>
          <w:lang w:val="en-US" w:eastAsia="zh-CN"/>
        </w:rPr>
      </w:pPr>
    </w:p>
    <w:p w14:paraId="77583695">
      <w:pPr>
        <w:spacing w:line="360" w:lineRule="auto"/>
        <w:jc w:val="center"/>
        <w:outlineLvl w:val="9"/>
        <w:rPr>
          <w:rFonts w:hint="eastAsia" w:ascii="宋体" w:hAnsi="宋体" w:cs="楷体"/>
          <w:b/>
          <w:spacing w:val="-22"/>
          <w:sz w:val="52"/>
          <w:szCs w:val="52"/>
          <w:highlight w:val="none"/>
          <w:shd w:val="clear" w:color="auto" w:fill="FFFFFF"/>
        </w:rPr>
      </w:pPr>
    </w:p>
    <w:p w14:paraId="0322BB23">
      <w:pPr>
        <w:pStyle w:val="8"/>
        <w:outlineLvl w:val="9"/>
        <w:rPr>
          <w:rFonts w:hint="eastAsia" w:ascii="宋体" w:hAnsi="宋体" w:cs="楷体"/>
          <w:b/>
          <w:spacing w:val="-22"/>
          <w:sz w:val="52"/>
          <w:szCs w:val="52"/>
          <w:highlight w:val="none"/>
          <w:shd w:val="clear" w:color="auto" w:fill="FFFFFF"/>
        </w:rPr>
      </w:pPr>
    </w:p>
    <w:p w14:paraId="73DA7CBB">
      <w:pPr>
        <w:outlineLvl w:val="9"/>
        <w:rPr>
          <w:rFonts w:hint="eastAsia" w:ascii="宋体" w:hAnsi="宋体" w:cs="楷体"/>
          <w:b/>
          <w:spacing w:val="-22"/>
          <w:sz w:val="52"/>
          <w:szCs w:val="52"/>
          <w:highlight w:val="none"/>
          <w:shd w:val="clear" w:color="auto" w:fill="FFFFFF"/>
        </w:rPr>
      </w:pPr>
    </w:p>
    <w:p w14:paraId="4A5A6C3F">
      <w:pPr>
        <w:pStyle w:val="8"/>
        <w:outlineLvl w:val="9"/>
        <w:rPr>
          <w:rFonts w:hint="eastAsia" w:ascii="宋体" w:hAnsi="宋体" w:cs="楷体"/>
          <w:b/>
          <w:spacing w:val="-22"/>
          <w:sz w:val="52"/>
          <w:szCs w:val="52"/>
          <w:highlight w:val="none"/>
          <w:shd w:val="clear" w:color="auto" w:fill="FFFFFF"/>
        </w:rPr>
      </w:pPr>
    </w:p>
    <w:p w14:paraId="6C6CC960">
      <w:pPr>
        <w:outlineLvl w:val="9"/>
        <w:rPr>
          <w:rFonts w:hint="eastAsia" w:ascii="宋体" w:hAnsi="宋体" w:cs="楷体"/>
          <w:b/>
          <w:spacing w:val="-22"/>
          <w:sz w:val="52"/>
          <w:szCs w:val="52"/>
          <w:highlight w:val="none"/>
          <w:shd w:val="clear" w:color="auto" w:fill="FFFFFF"/>
        </w:rPr>
      </w:pPr>
    </w:p>
    <w:p w14:paraId="635EEDEA">
      <w:pPr>
        <w:pStyle w:val="8"/>
        <w:outlineLvl w:val="9"/>
        <w:rPr>
          <w:rFonts w:hint="eastAsia" w:ascii="宋体" w:hAnsi="宋体" w:cs="楷体"/>
          <w:b/>
          <w:spacing w:val="-22"/>
          <w:sz w:val="52"/>
          <w:szCs w:val="52"/>
          <w:highlight w:val="none"/>
          <w:shd w:val="clear" w:color="auto" w:fill="FFFFFF"/>
        </w:rPr>
      </w:pPr>
    </w:p>
    <w:p w14:paraId="19CBC593">
      <w:pPr>
        <w:outlineLvl w:val="9"/>
        <w:rPr>
          <w:rFonts w:hint="eastAsia" w:ascii="宋体" w:hAnsi="宋体" w:cs="楷体"/>
          <w:b/>
          <w:spacing w:val="-22"/>
          <w:sz w:val="52"/>
          <w:szCs w:val="52"/>
          <w:highlight w:val="none"/>
          <w:shd w:val="clear" w:color="auto" w:fill="FFFFFF"/>
        </w:rPr>
      </w:pPr>
    </w:p>
    <w:p w14:paraId="26B28FF9">
      <w:pPr>
        <w:pStyle w:val="8"/>
        <w:outlineLvl w:val="9"/>
        <w:rPr>
          <w:rFonts w:hint="eastAsia" w:ascii="宋体" w:hAnsi="宋体" w:cs="楷体"/>
          <w:b/>
          <w:spacing w:val="-22"/>
          <w:sz w:val="52"/>
          <w:szCs w:val="52"/>
          <w:highlight w:val="none"/>
          <w:shd w:val="clear" w:color="auto" w:fill="FFFFFF"/>
        </w:rPr>
      </w:pPr>
    </w:p>
    <w:p w14:paraId="15DD62AB">
      <w:pPr>
        <w:outlineLvl w:val="9"/>
        <w:rPr>
          <w:rFonts w:hint="eastAsia"/>
          <w:highlight w:val="none"/>
        </w:rPr>
      </w:pPr>
    </w:p>
    <w:p w14:paraId="47E4C910">
      <w:pPr>
        <w:pStyle w:val="33"/>
        <w:rPr>
          <w:rFonts w:hint="eastAsia"/>
          <w:highlight w:val="none"/>
        </w:rPr>
      </w:pPr>
    </w:p>
    <w:p w14:paraId="6A480553">
      <w:pPr>
        <w:pStyle w:val="33"/>
        <w:rPr>
          <w:rFonts w:hint="eastAsia"/>
          <w:highlight w:val="none"/>
        </w:rPr>
      </w:pPr>
    </w:p>
    <w:p w14:paraId="3E246301">
      <w:pPr>
        <w:pStyle w:val="33"/>
        <w:rPr>
          <w:rFonts w:hint="eastAsia"/>
          <w:highlight w:val="none"/>
        </w:rPr>
      </w:pPr>
    </w:p>
    <w:p w14:paraId="033216DF">
      <w:pPr>
        <w:pStyle w:val="33"/>
        <w:rPr>
          <w:rFonts w:hint="eastAsia"/>
          <w:highlight w:val="none"/>
        </w:rPr>
      </w:pPr>
    </w:p>
    <w:p w14:paraId="634AD353">
      <w:pPr>
        <w:pStyle w:val="33"/>
        <w:rPr>
          <w:rFonts w:hint="eastAsia"/>
          <w:highlight w:val="none"/>
        </w:rPr>
      </w:pPr>
    </w:p>
    <w:p w14:paraId="1557286C">
      <w:pPr>
        <w:pStyle w:val="33"/>
        <w:rPr>
          <w:rFonts w:hint="eastAsia"/>
          <w:highlight w:val="none"/>
        </w:rPr>
      </w:pPr>
    </w:p>
    <w:p w14:paraId="1C6ABF2A">
      <w:pPr>
        <w:pStyle w:val="33"/>
        <w:rPr>
          <w:rFonts w:hint="eastAsia"/>
          <w:highlight w:val="none"/>
        </w:rPr>
      </w:pPr>
    </w:p>
    <w:p w14:paraId="679B57A0">
      <w:pPr>
        <w:pStyle w:val="33"/>
        <w:rPr>
          <w:rFonts w:hint="eastAsia"/>
          <w:highlight w:val="none"/>
        </w:rPr>
      </w:pPr>
    </w:p>
    <w:p w14:paraId="748B01B4">
      <w:pPr>
        <w:pStyle w:val="33"/>
        <w:rPr>
          <w:rFonts w:hint="eastAsia"/>
          <w:highlight w:val="none"/>
        </w:rPr>
      </w:pPr>
    </w:p>
    <w:p w14:paraId="2483B68F">
      <w:pPr>
        <w:pStyle w:val="33"/>
        <w:rPr>
          <w:rFonts w:hint="eastAsia"/>
          <w:highlight w:val="none"/>
        </w:rPr>
      </w:pPr>
    </w:p>
    <w:p w14:paraId="1F1C90B6">
      <w:pPr>
        <w:pStyle w:val="33"/>
        <w:rPr>
          <w:rFonts w:hint="eastAsia"/>
          <w:highlight w:val="none"/>
        </w:rPr>
      </w:pPr>
    </w:p>
    <w:p w14:paraId="395EF5A7">
      <w:pPr>
        <w:pStyle w:val="33"/>
        <w:rPr>
          <w:rFonts w:hint="eastAsia"/>
          <w:highlight w:val="none"/>
        </w:rPr>
      </w:pPr>
    </w:p>
    <w:p w14:paraId="6E87F3CE">
      <w:pPr>
        <w:jc w:val="both"/>
        <w:outlineLvl w:val="0"/>
        <w:rPr>
          <w:rFonts w:hint="eastAsia" w:ascii="宋体" w:hAnsi="宋体" w:eastAsia="宋体" w:cs="宋体"/>
          <w:b/>
          <w:sz w:val="32"/>
          <w:szCs w:val="32"/>
          <w:highlight w:val="none"/>
        </w:rPr>
      </w:pPr>
      <w:bookmarkStart w:id="202" w:name="_Toc3936"/>
      <w:r>
        <w:rPr>
          <w:rFonts w:hint="eastAsia" w:ascii="宋体" w:hAnsi="宋体" w:eastAsia="宋体" w:cs="宋体"/>
          <w:b/>
          <w:kern w:val="2"/>
          <w:sz w:val="36"/>
          <w:szCs w:val="36"/>
          <w:highlight w:val="none"/>
          <w:lang w:val="en-US" w:eastAsia="zh-CN" w:bidi="ar-SA"/>
        </w:rPr>
        <w:t xml:space="preserve">项目编号：XJQZ-2025-010    </w:t>
      </w:r>
      <w:r>
        <w:rPr>
          <w:rFonts w:hint="eastAsia" w:hAnsi="宋体" w:eastAsia="宋体" w:cs="宋体"/>
          <w:b/>
          <w:color w:val="FF0000"/>
          <w:sz w:val="32"/>
          <w:szCs w:val="32"/>
          <w:highlight w:val="none"/>
          <w:lang w:val="en-US" w:eastAsia="zh-CN"/>
        </w:rPr>
        <w:t xml:space="preserve">  </w:t>
      </w:r>
      <w:r>
        <w:rPr>
          <w:rFonts w:hint="eastAsia" w:hAnsi="宋体" w:eastAsia="宋体" w:cs="宋体"/>
          <w:b/>
          <w:color w:val="auto"/>
          <w:sz w:val="32"/>
          <w:szCs w:val="32"/>
          <w:highlight w:val="none"/>
          <w:lang w:val="en-US" w:eastAsia="zh-CN"/>
        </w:rPr>
        <w:t xml:space="preserve">          </w:t>
      </w:r>
      <w:bookmarkEnd w:id="202"/>
    </w:p>
    <w:p w14:paraId="76AA36F0">
      <w:pPr>
        <w:spacing w:line="360" w:lineRule="auto"/>
        <w:jc w:val="center"/>
        <w:outlineLvl w:val="9"/>
        <w:rPr>
          <w:rFonts w:hint="eastAsia" w:ascii="宋体" w:hAnsi="宋体" w:cs="楷体"/>
          <w:b/>
          <w:spacing w:val="-22"/>
          <w:sz w:val="52"/>
          <w:szCs w:val="52"/>
          <w:highlight w:val="none"/>
          <w:shd w:val="clear" w:color="auto" w:fill="FFFFFF"/>
        </w:rPr>
      </w:pPr>
    </w:p>
    <w:p w14:paraId="092A06A1">
      <w:pPr>
        <w:pStyle w:val="6"/>
        <w:rPr>
          <w:rFonts w:hint="eastAsia"/>
          <w:highlight w:val="none"/>
        </w:rPr>
      </w:pPr>
    </w:p>
    <w:p w14:paraId="56180A8D">
      <w:pPr>
        <w:pStyle w:val="33"/>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outlineLvl w:val="9"/>
        <w:rPr>
          <w:rFonts w:ascii="宋体" w:hAnsi="宋体"/>
          <w:highlight w:val="none"/>
        </w:rPr>
      </w:pPr>
      <w:r>
        <w:rPr>
          <w:rFonts w:hint="eastAsia" w:hAnsi="宋体" w:eastAsia="宋体" w:cs="宋体"/>
          <w:b/>
          <w:sz w:val="36"/>
          <w:szCs w:val="36"/>
          <w:highlight w:val="none"/>
          <w:lang w:val="en-US" w:eastAsia="zh-CN" w:bidi="ar-SA"/>
        </w:rPr>
        <w:t>伊宁县伊东工业园区化工产业集中区智慧平台项目</w:t>
      </w:r>
    </w:p>
    <w:p w14:paraId="06D6118C">
      <w:pPr>
        <w:keepNext w:val="0"/>
        <w:keepLines w:val="0"/>
        <w:pageBreakBefore w:val="0"/>
        <w:widowControl w:val="0"/>
        <w:kinsoku/>
        <w:wordWrap/>
        <w:overflowPunct/>
        <w:topLinePunct w:val="0"/>
        <w:autoSpaceDE/>
        <w:autoSpaceDN/>
        <w:bidi w:val="0"/>
        <w:adjustRightInd/>
        <w:snapToGrid/>
        <w:spacing w:line="360" w:lineRule="auto"/>
        <w:ind w:right="0" w:rightChars="0" w:firstLine="2960" w:firstLineChars="388"/>
        <w:textAlignment w:val="auto"/>
        <w:outlineLvl w:val="0"/>
        <w:rPr>
          <w:rFonts w:hint="eastAsia" w:ascii="宋体" w:hAnsi="宋体" w:cs="楷体"/>
          <w:b/>
          <w:bCs/>
          <w:spacing w:val="20"/>
          <w:kern w:val="0"/>
          <w:sz w:val="72"/>
          <w:szCs w:val="72"/>
          <w:highlight w:val="none"/>
        </w:rPr>
      </w:pPr>
      <w:bookmarkStart w:id="203" w:name="_Toc15864"/>
    </w:p>
    <w:p w14:paraId="6F8BED5D">
      <w:pPr>
        <w:pStyle w:val="10"/>
        <w:rPr>
          <w:rFonts w:hint="eastAsia"/>
        </w:rPr>
      </w:pPr>
    </w:p>
    <w:p w14:paraId="41E36F75">
      <w:pPr>
        <w:keepNext w:val="0"/>
        <w:keepLines w:val="0"/>
        <w:pageBreakBefore w:val="0"/>
        <w:widowControl w:val="0"/>
        <w:kinsoku/>
        <w:wordWrap/>
        <w:overflowPunct/>
        <w:topLinePunct w:val="0"/>
        <w:autoSpaceDE/>
        <w:autoSpaceDN/>
        <w:bidi w:val="0"/>
        <w:adjustRightInd/>
        <w:snapToGrid/>
        <w:spacing w:line="360" w:lineRule="auto"/>
        <w:ind w:right="0" w:rightChars="0" w:firstLine="2960" w:firstLineChars="388"/>
        <w:textAlignment w:val="auto"/>
        <w:outlineLvl w:val="0"/>
        <w:rPr>
          <w:rFonts w:ascii="宋体" w:hAnsi="宋体" w:cs="楷体"/>
          <w:b/>
          <w:bCs/>
          <w:spacing w:val="20"/>
          <w:kern w:val="0"/>
          <w:sz w:val="72"/>
          <w:szCs w:val="72"/>
          <w:highlight w:val="none"/>
        </w:rPr>
      </w:pPr>
      <w:r>
        <w:rPr>
          <w:rFonts w:hint="eastAsia" w:ascii="宋体" w:hAnsi="宋体" w:cs="楷体"/>
          <w:b/>
          <w:bCs/>
          <w:spacing w:val="20"/>
          <w:kern w:val="0"/>
          <w:sz w:val="72"/>
          <w:szCs w:val="72"/>
          <w:highlight w:val="none"/>
        </w:rPr>
        <w:t>投标文件</w:t>
      </w:r>
      <w:bookmarkEnd w:id="203"/>
    </w:p>
    <w:p w14:paraId="2CF180D5">
      <w:pPr>
        <w:pStyle w:val="33"/>
        <w:ind w:firstLine="640"/>
        <w:outlineLvl w:val="9"/>
        <w:rPr>
          <w:rFonts w:ascii="宋体" w:hAnsi="宋体" w:cs="楷体"/>
          <w:sz w:val="32"/>
          <w:highlight w:val="none"/>
        </w:rPr>
      </w:pPr>
    </w:p>
    <w:p w14:paraId="7C2D2D50">
      <w:pPr>
        <w:pStyle w:val="33"/>
        <w:ind w:firstLine="640"/>
        <w:outlineLvl w:val="9"/>
        <w:rPr>
          <w:rFonts w:ascii="宋体" w:hAnsi="宋体" w:cs="楷体"/>
          <w:sz w:val="32"/>
          <w:highlight w:val="none"/>
        </w:rPr>
      </w:pPr>
    </w:p>
    <w:p w14:paraId="6156B6C6">
      <w:pPr>
        <w:pStyle w:val="33"/>
        <w:ind w:firstLine="640"/>
        <w:outlineLvl w:val="9"/>
        <w:rPr>
          <w:rFonts w:ascii="宋体" w:hAnsi="宋体" w:cs="楷体"/>
          <w:sz w:val="32"/>
          <w:highlight w:val="none"/>
        </w:rPr>
      </w:pPr>
    </w:p>
    <w:p w14:paraId="63C48AF5">
      <w:pPr>
        <w:pStyle w:val="33"/>
        <w:ind w:firstLine="640"/>
        <w:outlineLvl w:val="9"/>
        <w:rPr>
          <w:rFonts w:ascii="宋体" w:hAnsi="宋体" w:cs="楷体"/>
          <w:sz w:val="32"/>
          <w:highlight w:val="none"/>
        </w:rPr>
      </w:pPr>
    </w:p>
    <w:p w14:paraId="396C495E">
      <w:pPr>
        <w:pStyle w:val="33"/>
        <w:ind w:left="0" w:leftChars="0" w:firstLine="0" w:firstLineChars="0"/>
        <w:outlineLvl w:val="9"/>
        <w:rPr>
          <w:rFonts w:ascii="宋体" w:hAnsi="宋体" w:cs="楷体"/>
          <w:sz w:val="32"/>
          <w:highlight w:val="none"/>
        </w:rPr>
      </w:pPr>
    </w:p>
    <w:p w14:paraId="6225133A">
      <w:pPr>
        <w:tabs>
          <w:tab w:val="left" w:pos="1260"/>
        </w:tabs>
        <w:spacing w:line="360" w:lineRule="auto"/>
        <w:jc w:val="center"/>
        <w:outlineLvl w:val="0"/>
        <w:rPr>
          <w:rFonts w:ascii="Times New Roman" w:hAnsi="Times New Roman"/>
          <w:sz w:val="30"/>
          <w:szCs w:val="30"/>
          <w:highlight w:val="none"/>
        </w:rPr>
      </w:pPr>
      <w:bookmarkStart w:id="204" w:name="_Toc5491"/>
      <w:bookmarkStart w:id="205" w:name="_Toc173549978"/>
      <w:bookmarkStart w:id="206" w:name="_Toc167591144"/>
      <w:bookmarkStart w:id="207" w:name="_Toc175033592"/>
      <w:bookmarkStart w:id="208" w:name="_Toc167849360"/>
      <w:bookmarkStart w:id="209" w:name="_Toc170980453"/>
      <w:bookmarkStart w:id="210" w:name="_Toc169838532"/>
      <w:bookmarkStart w:id="211" w:name="_Toc167590775"/>
      <w:bookmarkStart w:id="212" w:name="_Toc175032437"/>
      <w:bookmarkStart w:id="213" w:name="_Toc167591043"/>
      <w:bookmarkStart w:id="214" w:name="_Toc169846873"/>
      <w:bookmarkStart w:id="215" w:name="_Toc170980552"/>
      <w:bookmarkStart w:id="216" w:name="_Toc193126881"/>
      <w:bookmarkStart w:id="217" w:name="_Toc194663918"/>
      <w:bookmarkStart w:id="218" w:name="_Toc193187097"/>
      <w:bookmarkStart w:id="219" w:name="_Toc188808833"/>
      <w:bookmarkStart w:id="220" w:name="_Toc169846776"/>
      <w:bookmarkStart w:id="221" w:name="_Toc167591492"/>
      <w:bookmarkStart w:id="222" w:name="_Toc167591330"/>
      <w:bookmarkStart w:id="223" w:name="_Toc154482479"/>
      <w:r>
        <w:rPr>
          <w:rFonts w:ascii="Times New Roman" w:hAnsi="Times New Roman"/>
          <w:sz w:val="30"/>
          <w:szCs w:val="30"/>
          <w:highlight w:val="none"/>
        </w:rPr>
        <w:t>投   标   人：________________________（盖章）</w:t>
      </w:r>
      <w:bookmarkEnd w:id="204"/>
    </w:p>
    <w:p w14:paraId="247BA6E9">
      <w:pPr>
        <w:spacing w:line="360" w:lineRule="auto"/>
        <w:jc w:val="center"/>
        <w:outlineLvl w:val="0"/>
        <w:rPr>
          <w:rFonts w:ascii="Times New Roman" w:hAnsi="Times New Roman"/>
          <w:sz w:val="30"/>
          <w:szCs w:val="30"/>
          <w:highlight w:val="none"/>
        </w:rPr>
      </w:pPr>
      <w:bookmarkStart w:id="224" w:name="_Toc31979"/>
      <w:r>
        <w:rPr>
          <w:rFonts w:ascii="Times New Roman" w:hAnsi="Times New Roman"/>
          <w:sz w:val="30"/>
          <w:szCs w:val="30"/>
          <w:highlight w:val="none"/>
        </w:rPr>
        <w:t>法定代表人或其授权代理人：___________________（</w:t>
      </w:r>
      <w:r>
        <w:rPr>
          <w:rFonts w:hint="eastAsia" w:ascii="宋体" w:hAnsi="宋体" w:cs="楷体"/>
          <w:sz w:val="30"/>
          <w:szCs w:val="30"/>
          <w:highlight w:val="none"/>
          <w:lang w:val="zh-CN"/>
        </w:rPr>
        <w:t>签字或盖章</w:t>
      </w:r>
      <w:r>
        <w:rPr>
          <w:rFonts w:ascii="Times New Roman" w:hAnsi="Times New Roman"/>
          <w:sz w:val="30"/>
          <w:szCs w:val="30"/>
          <w:highlight w:val="none"/>
        </w:rPr>
        <w:t>）</w:t>
      </w:r>
      <w:bookmarkEnd w:id="224"/>
    </w:p>
    <w:p w14:paraId="4AF13EF8">
      <w:pPr>
        <w:pStyle w:val="8"/>
        <w:outlineLvl w:val="9"/>
        <w:rPr>
          <w:highlight w:val="none"/>
        </w:rPr>
      </w:pPr>
    </w:p>
    <w:p w14:paraId="184FF20A">
      <w:pPr>
        <w:jc w:val="center"/>
        <w:outlineLvl w:val="9"/>
        <w:rPr>
          <w:rFonts w:ascii="Times New Roman" w:hAnsi="Times New Roman"/>
          <w:highlight w:val="none"/>
        </w:rPr>
      </w:pPr>
      <w:r>
        <w:rPr>
          <w:rFonts w:ascii="Times New Roman" w:hAnsi="Times New Roman"/>
          <w:highlight w:val="none"/>
        </w:rPr>
        <w:t>日        期：_________年________月_______日</w:t>
      </w:r>
    </w:p>
    <w:p w14:paraId="1AD0079E">
      <w:pPr>
        <w:spacing w:line="560" w:lineRule="exact"/>
        <w:ind w:left="210" w:leftChars="100" w:firstLine="4003" w:firstLineChars="1246"/>
        <w:outlineLvl w:val="9"/>
        <w:rPr>
          <w:rFonts w:ascii="宋体" w:hAnsi="宋体" w:cs="楷体"/>
          <w:b/>
          <w:sz w:val="32"/>
          <w:szCs w:val="32"/>
          <w:highlight w:val="none"/>
        </w:rPr>
      </w:pPr>
    </w:p>
    <w:p w14:paraId="1D9C5672">
      <w:pPr>
        <w:spacing w:line="560" w:lineRule="exact"/>
        <w:ind w:left="210" w:leftChars="100" w:firstLine="4003" w:firstLineChars="1246"/>
        <w:outlineLvl w:val="9"/>
        <w:rPr>
          <w:rFonts w:ascii="宋体" w:hAnsi="宋体" w:cs="楷体"/>
          <w:b/>
          <w:sz w:val="32"/>
          <w:szCs w:val="32"/>
          <w:highlight w:val="none"/>
        </w:rPr>
      </w:pPr>
    </w:p>
    <w:p w14:paraId="0EA946BB">
      <w:pPr>
        <w:spacing w:line="560" w:lineRule="exact"/>
        <w:jc w:val="center"/>
        <w:outlineLvl w:val="9"/>
        <w:rPr>
          <w:rFonts w:hint="eastAsia" w:ascii="宋体" w:hAnsi="宋体" w:cs="楷体"/>
          <w:b/>
          <w:sz w:val="36"/>
          <w:szCs w:val="36"/>
          <w:highlight w:val="none"/>
        </w:rPr>
      </w:pPr>
    </w:p>
    <w:p w14:paraId="6E932054">
      <w:pPr>
        <w:spacing w:line="560" w:lineRule="exact"/>
        <w:jc w:val="center"/>
        <w:outlineLvl w:val="9"/>
        <w:rPr>
          <w:rFonts w:hint="eastAsia" w:ascii="宋体" w:hAnsi="宋体" w:cs="楷体"/>
          <w:b/>
          <w:sz w:val="36"/>
          <w:szCs w:val="36"/>
          <w:highlight w:val="none"/>
        </w:rPr>
      </w:pPr>
    </w:p>
    <w:p w14:paraId="5ACE61C1">
      <w:pPr>
        <w:spacing w:line="560" w:lineRule="exact"/>
        <w:jc w:val="center"/>
        <w:outlineLvl w:val="9"/>
        <w:rPr>
          <w:rFonts w:hint="eastAsia" w:ascii="宋体" w:hAnsi="宋体" w:cs="楷体"/>
          <w:b/>
          <w:sz w:val="36"/>
          <w:szCs w:val="36"/>
          <w:highlight w:val="none"/>
        </w:rPr>
      </w:pPr>
    </w:p>
    <w:p w14:paraId="50C13532">
      <w:pPr>
        <w:spacing w:line="560" w:lineRule="exact"/>
        <w:jc w:val="center"/>
        <w:outlineLvl w:val="9"/>
        <w:rPr>
          <w:rFonts w:hint="eastAsia" w:ascii="宋体" w:hAnsi="宋体" w:cs="楷体"/>
          <w:b/>
          <w:sz w:val="36"/>
          <w:szCs w:val="36"/>
          <w:highlight w:val="none"/>
        </w:rPr>
      </w:pPr>
    </w:p>
    <w:p w14:paraId="081CFF6F">
      <w:pPr>
        <w:pStyle w:val="29"/>
        <w:rPr>
          <w:rFonts w:hint="eastAsia"/>
        </w:rPr>
      </w:pPr>
    </w:p>
    <w:p w14:paraId="4F7C5856">
      <w:pPr>
        <w:spacing w:line="560" w:lineRule="exact"/>
        <w:jc w:val="center"/>
        <w:outlineLvl w:val="9"/>
        <w:rPr>
          <w:rFonts w:hint="eastAsia" w:ascii="宋体" w:hAnsi="宋体" w:cs="楷体"/>
          <w:b/>
          <w:sz w:val="36"/>
          <w:szCs w:val="36"/>
          <w:highlight w:val="none"/>
        </w:rPr>
      </w:pPr>
      <w:r>
        <w:rPr>
          <w:rFonts w:hint="eastAsia" w:ascii="宋体" w:hAnsi="宋体" w:cs="楷体"/>
          <w:b/>
          <w:sz w:val="36"/>
          <w:szCs w:val="36"/>
          <w:highlight w:val="none"/>
        </w:rPr>
        <w:t>目  录</w:t>
      </w:r>
    </w:p>
    <w:p w14:paraId="74AEF5AA">
      <w:pPr>
        <w:pStyle w:val="8"/>
        <w:outlineLvl w:val="9"/>
        <w:rPr>
          <w:rFonts w:hint="eastAsia" w:ascii="宋体" w:hAnsi="宋体" w:cs="楷体"/>
          <w:b/>
          <w:sz w:val="36"/>
          <w:szCs w:val="36"/>
          <w:highlight w:val="none"/>
        </w:rPr>
      </w:pPr>
    </w:p>
    <w:p w14:paraId="38C2BC95">
      <w:pPr>
        <w:outlineLvl w:val="9"/>
        <w:rPr>
          <w:highlight w:val="none"/>
        </w:rPr>
      </w:pP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455B9AB3">
      <w:pPr>
        <w:adjustRightInd w:val="0"/>
        <w:snapToGrid w:val="0"/>
        <w:spacing w:line="360" w:lineRule="auto"/>
        <w:ind w:firstLine="1050" w:firstLineChars="500"/>
        <w:outlineLvl w:val="9"/>
        <w:rPr>
          <w:rFonts w:ascii="宋体" w:hAnsi="宋体" w:cs="楷体"/>
          <w:szCs w:val="24"/>
          <w:highlight w:val="none"/>
        </w:rPr>
      </w:pPr>
      <w:bookmarkStart w:id="225" w:name="_Toc1386"/>
      <w:bookmarkStart w:id="226" w:name="_Toc458617471"/>
      <w:bookmarkStart w:id="227" w:name="_Toc25120"/>
      <w:bookmarkStart w:id="228" w:name="_Toc193187098"/>
      <w:bookmarkStart w:id="229" w:name="_Toc188808834"/>
      <w:bookmarkStart w:id="230" w:name="_Toc193126882"/>
      <w:bookmarkStart w:id="231" w:name="_Toc194663919"/>
      <w:r>
        <w:rPr>
          <w:rFonts w:hint="eastAsia" w:ascii="宋体" w:hAnsi="宋体" w:cs="楷体"/>
          <w:szCs w:val="24"/>
          <w:highlight w:val="none"/>
        </w:rPr>
        <w:t>1.投标函（格式）</w:t>
      </w:r>
    </w:p>
    <w:p w14:paraId="1DC25875">
      <w:pPr>
        <w:adjustRightInd w:val="0"/>
        <w:snapToGrid w:val="0"/>
        <w:spacing w:line="360" w:lineRule="auto"/>
        <w:ind w:firstLine="1050" w:firstLineChars="500"/>
        <w:outlineLvl w:val="9"/>
        <w:rPr>
          <w:rFonts w:ascii="宋体" w:hAnsi="宋体" w:cs="楷体"/>
          <w:szCs w:val="24"/>
          <w:highlight w:val="none"/>
        </w:rPr>
      </w:pPr>
      <w:r>
        <w:rPr>
          <w:rFonts w:hint="eastAsia" w:ascii="宋体" w:hAnsi="宋体" w:cs="楷体"/>
          <w:szCs w:val="24"/>
          <w:highlight w:val="none"/>
        </w:rPr>
        <w:t>2.开标一览表（格式）</w:t>
      </w:r>
    </w:p>
    <w:p w14:paraId="3E08428B">
      <w:pPr>
        <w:adjustRightInd w:val="0"/>
        <w:snapToGrid w:val="0"/>
        <w:spacing w:line="360" w:lineRule="auto"/>
        <w:ind w:left="210" w:leftChars="100" w:firstLine="840" w:firstLineChars="400"/>
        <w:outlineLvl w:val="9"/>
        <w:rPr>
          <w:rFonts w:ascii="宋体" w:hAnsi="宋体" w:cs="楷体"/>
          <w:szCs w:val="24"/>
          <w:highlight w:val="none"/>
        </w:rPr>
      </w:pPr>
      <w:r>
        <w:rPr>
          <w:rFonts w:hint="eastAsia" w:hAnsi="宋体" w:cs="楷体"/>
          <w:szCs w:val="24"/>
          <w:highlight w:val="none"/>
          <w:lang w:val="en-US" w:eastAsia="zh-CN"/>
        </w:rPr>
        <w:t>3</w:t>
      </w:r>
      <w:r>
        <w:rPr>
          <w:rFonts w:hint="eastAsia" w:ascii="宋体" w:hAnsi="宋体" w:cs="楷体"/>
          <w:szCs w:val="24"/>
          <w:highlight w:val="none"/>
        </w:rPr>
        <w:t>.服务响应偏离表（格式）</w:t>
      </w:r>
    </w:p>
    <w:p w14:paraId="32CCEC59">
      <w:pPr>
        <w:adjustRightInd w:val="0"/>
        <w:snapToGrid w:val="0"/>
        <w:spacing w:line="360" w:lineRule="auto"/>
        <w:ind w:left="210" w:leftChars="100" w:firstLine="840" w:firstLineChars="400"/>
        <w:outlineLvl w:val="9"/>
        <w:rPr>
          <w:rFonts w:ascii="宋体" w:hAnsi="宋体" w:cs="楷体"/>
          <w:szCs w:val="24"/>
          <w:highlight w:val="none"/>
        </w:rPr>
      </w:pPr>
      <w:r>
        <w:rPr>
          <w:rFonts w:hint="eastAsia" w:hAnsi="宋体" w:cs="楷体"/>
          <w:szCs w:val="24"/>
          <w:highlight w:val="none"/>
          <w:lang w:val="en-US" w:eastAsia="zh-CN"/>
        </w:rPr>
        <w:t>4</w:t>
      </w:r>
      <w:r>
        <w:rPr>
          <w:rFonts w:hint="eastAsia" w:ascii="宋体" w:hAnsi="宋体" w:cs="楷体"/>
          <w:szCs w:val="24"/>
          <w:highlight w:val="none"/>
        </w:rPr>
        <w:t>.商务条款响应偏离表（格式）</w:t>
      </w:r>
    </w:p>
    <w:p w14:paraId="7312AAC0">
      <w:pPr>
        <w:adjustRightInd w:val="0"/>
        <w:snapToGrid w:val="0"/>
        <w:spacing w:line="360" w:lineRule="auto"/>
        <w:ind w:left="210" w:leftChars="100" w:firstLine="840" w:firstLineChars="400"/>
        <w:outlineLvl w:val="9"/>
        <w:rPr>
          <w:rFonts w:ascii="宋体" w:hAnsi="宋体" w:cs="楷体"/>
          <w:szCs w:val="24"/>
          <w:highlight w:val="none"/>
        </w:rPr>
      </w:pPr>
      <w:r>
        <w:rPr>
          <w:rFonts w:hint="eastAsia" w:hAnsi="宋体" w:cs="楷体"/>
          <w:szCs w:val="24"/>
          <w:highlight w:val="none"/>
          <w:lang w:val="en-US" w:eastAsia="zh-CN"/>
        </w:rPr>
        <w:t>5</w:t>
      </w:r>
      <w:r>
        <w:rPr>
          <w:rFonts w:hint="eastAsia" w:ascii="宋体" w:hAnsi="宋体" w:cs="楷体"/>
          <w:szCs w:val="24"/>
          <w:highlight w:val="none"/>
        </w:rPr>
        <w:t>.法定代表人授权书（格式）</w:t>
      </w:r>
    </w:p>
    <w:p w14:paraId="14A5307F">
      <w:pPr>
        <w:adjustRightInd w:val="0"/>
        <w:snapToGrid w:val="0"/>
        <w:spacing w:line="360" w:lineRule="auto"/>
        <w:ind w:left="210" w:leftChars="100" w:firstLine="840" w:firstLineChars="400"/>
        <w:outlineLvl w:val="9"/>
        <w:rPr>
          <w:rFonts w:ascii="宋体" w:hAnsi="宋体" w:cs="楷体"/>
          <w:szCs w:val="24"/>
          <w:highlight w:val="none"/>
        </w:rPr>
      </w:pPr>
      <w:r>
        <w:rPr>
          <w:rFonts w:hint="eastAsia" w:hAnsi="宋体" w:cs="楷体"/>
          <w:szCs w:val="24"/>
          <w:highlight w:val="none"/>
          <w:lang w:val="en-US" w:eastAsia="zh-CN"/>
        </w:rPr>
        <w:t>6</w:t>
      </w:r>
      <w:r>
        <w:rPr>
          <w:rFonts w:hint="eastAsia" w:ascii="宋体" w:hAnsi="宋体" w:cs="楷体"/>
          <w:szCs w:val="24"/>
          <w:highlight w:val="none"/>
        </w:rPr>
        <w:t>.资格证明文件</w:t>
      </w:r>
    </w:p>
    <w:p w14:paraId="3B48EC3C">
      <w:pPr>
        <w:adjustRightInd w:val="0"/>
        <w:snapToGrid w:val="0"/>
        <w:spacing w:line="360" w:lineRule="auto"/>
        <w:ind w:left="210" w:leftChars="100" w:firstLine="840" w:firstLineChars="400"/>
        <w:outlineLvl w:val="9"/>
        <w:rPr>
          <w:rFonts w:hint="eastAsia" w:ascii="宋体" w:hAnsi="宋体" w:cs="楷体"/>
          <w:szCs w:val="24"/>
          <w:highlight w:val="none"/>
        </w:rPr>
      </w:pPr>
      <w:r>
        <w:rPr>
          <w:rFonts w:hint="eastAsia" w:ascii="宋体" w:hAnsi="宋体" w:cs="楷体"/>
          <w:szCs w:val="24"/>
          <w:highlight w:val="none"/>
          <w:lang w:val="en-US" w:eastAsia="zh-CN"/>
        </w:rPr>
        <w:t>7</w:t>
      </w:r>
      <w:r>
        <w:rPr>
          <w:rFonts w:hint="eastAsia" w:ascii="宋体" w:hAnsi="宋体" w:cs="楷体"/>
          <w:szCs w:val="24"/>
          <w:highlight w:val="none"/>
        </w:rPr>
        <w:t>.</w:t>
      </w:r>
      <w:r>
        <w:rPr>
          <w:rFonts w:hint="eastAsia" w:ascii="宋体" w:hAnsi="宋体" w:cs="楷体"/>
          <w:szCs w:val="24"/>
          <w:highlight w:val="none"/>
          <w:lang w:val="en-US" w:eastAsia="zh-CN"/>
        </w:rPr>
        <w:t>3</w:t>
      </w:r>
      <w:r>
        <w:rPr>
          <w:rFonts w:hint="eastAsia" w:ascii="宋体" w:hAnsi="宋体" w:cs="楷体"/>
          <w:szCs w:val="24"/>
          <w:highlight w:val="none"/>
        </w:rPr>
        <w:t>年项目业绩</w:t>
      </w:r>
    </w:p>
    <w:p w14:paraId="6DE6EBC2">
      <w:pPr>
        <w:autoSpaceDE w:val="0"/>
        <w:autoSpaceDN w:val="0"/>
        <w:adjustRightInd w:val="0"/>
        <w:snapToGrid w:val="0"/>
        <w:spacing w:line="360" w:lineRule="auto"/>
        <w:ind w:firstLine="1050" w:firstLineChars="500"/>
        <w:outlineLvl w:val="9"/>
        <w:rPr>
          <w:rFonts w:hint="eastAsia" w:ascii="宋体" w:hAnsi="宋体" w:cs="楷体"/>
          <w:szCs w:val="24"/>
          <w:highlight w:val="none"/>
        </w:rPr>
      </w:pPr>
      <w:r>
        <w:rPr>
          <w:rFonts w:hint="eastAsia" w:hAnsi="宋体" w:cs="楷体"/>
          <w:szCs w:val="24"/>
          <w:highlight w:val="none"/>
          <w:lang w:val="en-US" w:eastAsia="zh-CN"/>
        </w:rPr>
        <w:t>8.</w:t>
      </w:r>
      <w:r>
        <w:rPr>
          <w:rFonts w:hint="eastAsia"/>
          <w:highlight w:val="none"/>
          <w:lang w:eastAsia="zh-CN"/>
        </w:rPr>
        <w:t>投标保证金缴纳凭证</w:t>
      </w:r>
    </w:p>
    <w:p w14:paraId="31C04096">
      <w:pPr>
        <w:adjustRightInd w:val="0"/>
        <w:snapToGrid w:val="0"/>
        <w:spacing w:line="360" w:lineRule="auto"/>
        <w:ind w:firstLine="1050" w:firstLineChars="500"/>
        <w:outlineLvl w:val="9"/>
        <w:rPr>
          <w:rFonts w:hint="default" w:ascii="宋体" w:hAnsi="宋体" w:eastAsia="宋体" w:cs="楷体"/>
          <w:szCs w:val="24"/>
          <w:highlight w:val="none"/>
          <w:lang w:val="en-US" w:eastAsia="zh-CN"/>
        </w:rPr>
      </w:pPr>
      <w:r>
        <w:rPr>
          <w:rFonts w:hint="eastAsia" w:hAnsi="宋体" w:cs="楷体"/>
          <w:szCs w:val="24"/>
          <w:highlight w:val="none"/>
          <w:lang w:val="en-US" w:eastAsia="zh-CN"/>
        </w:rPr>
        <w:t>9</w:t>
      </w:r>
      <w:r>
        <w:rPr>
          <w:rFonts w:hint="eastAsia" w:ascii="宋体" w:hAnsi="宋体" w:cs="楷体"/>
          <w:szCs w:val="24"/>
          <w:highlight w:val="none"/>
        </w:rPr>
        <w:t>.</w:t>
      </w:r>
      <w:r>
        <w:rPr>
          <w:rFonts w:hint="eastAsia" w:ascii="宋体" w:hAnsi="宋体" w:cs="楷体"/>
          <w:szCs w:val="24"/>
          <w:highlight w:val="none"/>
          <w:lang w:val="en-US" w:eastAsia="zh-CN"/>
        </w:rPr>
        <w:t>服务技术方案</w:t>
      </w:r>
    </w:p>
    <w:p w14:paraId="657C4824">
      <w:pPr>
        <w:adjustRightInd w:val="0"/>
        <w:snapToGrid w:val="0"/>
        <w:spacing w:line="360" w:lineRule="auto"/>
        <w:ind w:firstLine="1050" w:firstLineChars="500"/>
        <w:outlineLvl w:val="9"/>
        <w:rPr>
          <w:rFonts w:ascii="宋体" w:hAnsi="宋体" w:cs="楷体"/>
          <w:szCs w:val="24"/>
          <w:highlight w:val="none"/>
        </w:rPr>
      </w:pPr>
      <w:r>
        <w:rPr>
          <w:rFonts w:hint="eastAsia" w:hAnsi="宋体" w:cs="楷体"/>
          <w:szCs w:val="24"/>
          <w:highlight w:val="none"/>
          <w:lang w:val="en-US" w:eastAsia="zh-CN"/>
        </w:rPr>
        <w:t>10</w:t>
      </w:r>
      <w:r>
        <w:rPr>
          <w:rFonts w:hint="eastAsia" w:ascii="宋体" w:hAnsi="宋体" w:cs="楷体"/>
          <w:szCs w:val="24"/>
          <w:highlight w:val="none"/>
        </w:rPr>
        <w:t>.拟投入本项目的项目组人员</w:t>
      </w:r>
    </w:p>
    <w:p w14:paraId="0F081B7A">
      <w:pPr>
        <w:adjustRightInd w:val="0"/>
        <w:snapToGrid w:val="0"/>
        <w:spacing w:line="360" w:lineRule="auto"/>
        <w:ind w:firstLine="1050" w:firstLineChars="500"/>
        <w:outlineLvl w:val="9"/>
        <w:rPr>
          <w:rFonts w:ascii="宋体" w:hAnsi="宋体" w:cs="楷体"/>
          <w:szCs w:val="24"/>
          <w:highlight w:val="none"/>
        </w:rPr>
      </w:pPr>
      <w:r>
        <w:rPr>
          <w:rFonts w:hint="eastAsia" w:ascii="宋体" w:hAnsi="宋体" w:cs="楷体"/>
          <w:szCs w:val="24"/>
          <w:highlight w:val="none"/>
        </w:rPr>
        <w:t>1</w:t>
      </w:r>
      <w:r>
        <w:rPr>
          <w:rFonts w:hint="eastAsia" w:hAnsi="宋体" w:cs="楷体"/>
          <w:szCs w:val="24"/>
          <w:highlight w:val="none"/>
          <w:lang w:val="en-US" w:eastAsia="zh-CN"/>
        </w:rPr>
        <w:t>1</w:t>
      </w:r>
      <w:r>
        <w:rPr>
          <w:rFonts w:ascii="宋体" w:hAnsi="宋体" w:cs="楷体"/>
          <w:szCs w:val="24"/>
          <w:highlight w:val="none"/>
        </w:rPr>
        <w:t>-1项目</w:t>
      </w:r>
      <w:r>
        <w:rPr>
          <w:rFonts w:hint="eastAsia" w:ascii="宋体" w:hAnsi="宋体" w:cs="楷体"/>
          <w:szCs w:val="24"/>
          <w:highlight w:val="none"/>
        </w:rPr>
        <w:t>组</w:t>
      </w:r>
      <w:r>
        <w:rPr>
          <w:rFonts w:ascii="宋体" w:hAnsi="宋体" w:cs="楷体"/>
          <w:szCs w:val="24"/>
          <w:highlight w:val="none"/>
        </w:rPr>
        <w:t>主要管理与技术人员汇总表</w:t>
      </w:r>
    </w:p>
    <w:p w14:paraId="797C461A">
      <w:pPr>
        <w:adjustRightInd w:val="0"/>
        <w:snapToGrid w:val="0"/>
        <w:spacing w:line="360" w:lineRule="auto"/>
        <w:ind w:firstLine="1050" w:firstLineChars="500"/>
        <w:outlineLvl w:val="9"/>
        <w:rPr>
          <w:rFonts w:ascii="宋体" w:hAnsi="宋体" w:cs="楷体"/>
          <w:szCs w:val="24"/>
          <w:highlight w:val="none"/>
        </w:rPr>
      </w:pPr>
      <w:r>
        <w:rPr>
          <w:rFonts w:hint="eastAsia" w:ascii="宋体" w:hAnsi="宋体" w:cs="楷体"/>
          <w:szCs w:val="24"/>
          <w:highlight w:val="none"/>
        </w:rPr>
        <w:t>1</w:t>
      </w:r>
      <w:r>
        <w:rPr>
          <w:rFonts w:hint="eastAsia" w:hAnsi="宋体" w:cs="楷体"/>
          <w:szCs w:val="24"/>
          <w:highlight w:val="none"/>
          <w:lang w:val="en-US" w:eastAsia="zh-CN"/>
        </w:rPr>
        <w:t>1</w:t>
      </w:r>
      <w:r>
        <w:rPr>
          <w:rFonts w:ascii="宋体" w:hAnsi="宋体" w:cs="楷体"/>
          <w:szCs w:val="24"/>
          <w:highlight w:val="none"/>
        </w:rPr>
        <w:t>-2项目</w:t>
      </w:r>
      <w:r>
        <w:rPr>
          <w:rFonts w:hint="eastAsia" w:ascii="宋体" w:hAnsi="宋体" w:cs="楷体"/>
          <w:szCs w:val="24"/>
          <w:highlight w:val="none"/>
        </w:rPr>
        <w:t>组</w:t>
      </w:r>
      <w:r>
        <w:rPr>
          <w:rFonts w:ascii="宋体" w:hAnsi="宋体" w:cs="楷体"/>
          <w:szCs w:val="24"/>
          <w:highlight w:val="none"/>
        </w:rPr>
        <w:t>主要管理与技术人员简历表</w:t>
      </w:r>
    </w:p>
    <w:p w14:paraId="319DDC01">
      <w:pPr>
        <w:autoSpaceDE w:val="0"/>
        <w:autoSpaceDN w:val="0"/>
        <w:adjustRightInd w:val="0"/>
        <w:snapToGrid w:val="0"/>
        <w:spacing w:line="360" w:lineRule="auto"/>
        <w:ind w:left="210" w:leftChars="100" w:firstLine="840" w:firstLineChars="400"/>
        <w:outlineLvl w:val="9"/>
        <w:rPr>
          <w:rFonts w:ascii="宋体" w:hAnsi="宋体" w:cs="楷体"/>
          <w:szCs w:val="24"/>
          <w:highlight w:val="none"/>
        </w:rPr>
      </w:pPr>
      <w:r>
        <w:rPr>
          <w:rFonts w:hint="eastAsia" w:ascii="宋体" w:hAnsi="宋体" w:cs="楷体"/>
          <w:szCs w:val="24"/>
          <w:highlight w:val="none"/>
        </w:rPr>
        <w:t>1</w:t>
      </w:r>
      <w:r>
        <w:rPr>
          <w:rFonts w:hint="eastAsia" w:hAnsi="宋体" w:cs="楷体"/>
          <w:szCs w:val="24"/>
          <w:highlight w:val="none"/>
          <w:lang w:val="en-US" w:eastAsia="zh-CN"/>
        </w:rPr>
        <w:t>2</w:t>
      </w:r>
      <w:r>
        <w:rPr>
          <w:rFonts w:hint="eastAsia" w:ascii="宋体" w:hAnsi="宋体" w:cs="楷体"/>
          <w:szCs w:val="24"/>
          <w:highlight w:val="none"/>
        </w:rPr>
        <w:t>.投标人认为有必要说明的事宜（若有）</w:t>
      </w:r>
    </w:p>
    <w:p w14:paraId="5AA8EB46">
      <w:pPr>
        <w:autoSpaceDE w:val="0"/>
        <w:autoSpaceDN w:val="0"/>
        <w:adjustRightInd w:val="0"/>
        <w:snapToGrid w:val="0"/>
        <w:spacing w:line="360" w:lineRule="auto"/>
        <w:ind w:left="210" w:leftChars="100" w:firstLine="840" w:firstLineChars="400"/>
        <w:outlineLvl w:val="9"/>
        <w:rPr>
          <w:rFonts w:ascii="宋体" w:hAnsi="宋体" w:cs="楷体"/>
          <w:szCs w:val="24"/>
          <w:highlight w:val="none"/>
        </w:rPr>
      </w:pPr>
      <w:r>
        <w:rPr>
          <w:rFonts w:hint="eastAsia" w:ascii="宋体" w:hAnsi="宋体" w:cs="楷体"/>
          <w:szCs w:val="24"/>
          <w:highlight w:val="none"/>
        </w:rPr>
        <w:t>1</w:t>
      </w:r>
      <w:r>
        <w:rPr>
          <w:rFonts w:hint="eastAsia" w:hAnsi="宋体" w:cs="楷体"/>
          <w:szCs w:val="24"/>
          <w:highlight w:val="none"/>
          <w:lang w:val="en-US" w:eastAsia="zh-CN"/>
        </w:rPr>
        <w:t>3</w:t>
      </w:r>
      <w:r>
        <w:rPr>
          <w:rFonts w:hint="eastAsia" w:ascii="宋体" w:hAnsi="宋体" w:cs="楷体"/>
          <w:szCs w:val="24"/>
          <w:highlight w:val="none"/>
        </w:rPr>
        <w:t>.</w:t>
      </w:r>
      <w:r>
        <w:rPr>
          <w:rFonts w:hint="eastAsia" w:ascii="宋体" w:hAnsi="宋体" w:cs="楷体"/>
          <w:szCs w:val="24"/>
          <w:highlight w:val="none"/>
          <w:lang w:val="en-US" w:eastAsia="zh-CN"/>
        </w:rPr>
        <w:t>供应商</w:t>
      </w:r>
      <w:r>
        <w:rPr>
          <w:rFonts w:hint="eastAsia" w:ascii="宋体" w:hAnsi="宋体" w:cs="楷体"/>
          <w:szCs w:val="24"/>
          <w:highlight w:val="none"/>
        </w:rPr>
        <w:t>承诺书（格式）</w:t>
      </w:r>
    </w:p>
    <w:p w14:paraId="61DBDAFF">
      <w:pPr>
        <w:autoSpaceDE w:val="0"/>
        <w:autoSpaceDN w:val="0"/>
        <w:adjustRightInd w:val="0"/>
        <w:snapToGrid w:val="0"/>
        <w:spacing w:line="360" w:lineRule="auto"/>
        <w:ind w:left="210" w:leftChars="100" w:firstLine="840" w:firstLineChars="400"/>
        <w:outlineLvl w:val="9"/>
        <w:rPr>
          <w:rFonts w:ascii="宋体" w:hAnsi="宋体" w:cs="楷体"/>
          <w:szCs w:val="24"/>
          <w:highlight w:val="none"/>
        </w:rPr>
      </w:pPr>
      <w:r>
        <w:rPr>
          <w:rFonts w:hint="eastAsia" w:ascii="宋体" w:hAnsi="宋体" w:cs="楷体"/>
          <w:szCs w:val="24"/>
          <w:highlight w:val="none"/>
        </w:rPr>
        <w:t>1</w:t>
      </w:r>
      <w:r>
        <w:rPr>
          <w:rFonts w:hint="eastAsia" w:hAnsi="宋体" w:cs="楷体"/>
          <w:szCs w:val="24"/>
          <w:highlight w:val="none"/>
          <w:lang w:val="en-US" w:eastAsia="zh-CN"/>
        </w:rPr>
        <w:t>4</w:t>
      </w:r>
      <w:r>
        <w:rPr>
          <w:rFonts w:hint="eastAsia" w:ascii="宋体" w:hAnsi="宋体" w:cs="楷体"/>
          <w:szCs w:val="24"/>
          <w:highlight w:val="none"/>
        </w:rPr>
        <w:t>.《中小企业声明函》（格式，若有）</w:t>
      </w:r>
    </w:p>
    <w:p w14:paraId="200986A2">
      <w:pPr>
        <w:autoSpaceDE w:val="0"/>
        <w:autoSpaceDN w:val="0"/>
        <w:adjustRightInd w:val="0"/>
        <w:snapToGrid w:val="0"/>
        <w:spacing w:line="360" w:lineRule="auto"/>
        <w:ind w:left="210" w:leftChars="100" w:firstLine="840" w:firstLineChars="400"/>
        <w:outlineLvl w:val="9"/>
        <w:rPr>
          <w:rFonts w:ascii="宋体" w:hAnsi="宋体" w:cs="楷体"/>
          <w:szCs w:val="24"/>
          <w:highlight w:val="none"/>
        </w:rPr>
      </w:pPr>
      <w:r>
        <w:rPr>
          <w:rFonts w:hint="eastAsia" w:ascii="宋体" w:hAnsi="宋体" w:cs="楷体"/>
          <w:kern w:val="0"/>
          <w:szCs w:val="24"/>
          <w:highlight w:val="none"/>
        </w:rPr>
        <w:t>1</w:t>
      </w:r>
      <w:r>
        <w:rPr>
          <w:rFonts w:hint="eastAsia" w:hAnsi="宋体" w:cs="楷体"/>
          <w:kern w:val="0"/>
          <w:szCs w:val="24"/>
          <w:highlight w:val="none"/>
          <w:lang w:val="en-US" w:eastAsia="zh-CN"/>
        </w:rPr>
        <w:t>5</w:t>
      </w:r>
      <w:r>
        <w:rPr>
          <w:rFonts w:hint="eastAsia" w:ascii="宋体" w:hAnsi="宋体" w:cs="楷体"/>
          <w:kern w:val="0"/>
          <w:szCs w:val="24"/>
          <w:highlight w:val="none"/>
        </w:rPr>
        <w:t>.《残疾人福利性单位声明函》</w:t>
      </w:r>
      <w:r>
        <w:rPr>
          <w:rFonts w:hint="eastAsia" w:ascii="宋体" w:hAnsi="宋体" w:cs="楷体"/>
          <w:szCs w:val="24"/>
          <w:highlight w:val="none"/>
        </w:rPr>
        <w:t>（格式，若有）</w:t>
      </w:r>
    </w:p>
    <w:p w14:paraId="0F7E295B">
      <w:pPr>
        <w:autoSpaceDE w:val="0"/>
        <w:autoSpaceDN w:val="0"/>
        <w:adjustRightInd w:val="0"/>
        <w:snapToGrid w:val="0"/>
        <w:spacing w:line="360" w:lineRule="auto"/>
        <w:ind w:left="210" w:leftChars="100" w:firstLine="840" w:firstLineChars="400"/>
        <w:outlineLvl w:val="9"/>
        <w:rPr>
          <w:rFonts w:ascii="宋体" w:hAnsi="宋体" w:cs="楷体"/>
          <w:kern w:val="0"/>
          <w:szCs w:val="24"/>
          <w:highlight w:val="none"/>
        </w:rPr>
      </w:pPr>
      <w:r>
        <w:rPr>
          <w:rFonts w:hint="eastAsia" w:ascii="宋体" w:hAnsi="宋体" w:cs="楷体"/>
          <w:kern w:val="0"/>
          <w:szCs w:val="24"/>
          <w:highlight w:val="none"/>
        </w:rPr>
        <w:t>1</w:t>
      </w:r>
      <w:r>
        <w:rPr>
          <w:rFonts w:hint="eastAsia" w:hAnsi="宋体" w:cs="楷体"/>
          <w:kern w:val="0"/>
          <w:szCs w:val="24"/>
          <w:highlight w:val="none"/>
          <w:lang w:val="en-US" w:eastAsia="zh-CN"/>
        </w:rPr>
        <w:t>6</w:t>
      </w:r>
      <w:r>
        <w:rPr>
          <w:rFonts w:hint="eastAsia" w:ascii="宋体" w:hAnsi="宋体" w:cs="楷体"/>
          <w:kern w:val="0"/>
          <w:szCs w:val="24"/>
          <w:highlight w:val="none"/>
        </w:rPr>
        <w:t>.监狱企业证明文件（若有）</w:t>
      </w:r>
    </w:p>
    <w:p w14:paraId="7E9A998E">
      <w:pPr>
        <w:widowControl/>
        <w:jc w:val="left"/>
        <w:outlineLvl w:val="9"/>
        <w:rPr>
          <w:rFonts w:hAnsi="Times New Roman"/>
          <w:highlight w:val="none"/>
        </w:rPr>
      </w:pPr>
      <w:r>
        <w:rPr>
          <w:highlight w:val="none"/>
        </w:rPr>
        <w:br w:type="page"/>
      </w:r>
    </w:p>
    <w:p w14:paraId="4B052FA4">
      <w:pPr>
        <w:jc w:val="center"/>
        <w:outlineLvl w:val="9"/>
        <w:rPr>
          <w:highlight w:val="none"/>
        </w:rPr>
      </w:pPr>
      <w:r>
        <w:rPr>
          <w:rFonts w:hint="eastAsia"/>
          <w:highlight w:val="none"/>
        </w:rPr>
        <w:t>1.投标函</w:t>
      </w:r>
      <w:bookmarkEnd w:id="225"/>
      <w:bookmarkEnd w:id="226"/>
      <w:bookmarkEnd w:id="227"/>
      <w:r>
        <w:rPr>
          <w:rFonts w:hint="eastAsia"/>
          <w:sz w:val="22"/>
          <w:szCs w:val="20"/>
          <w:highlight w:val="none"/>
        </w:rPr>
        <w:t>（格式）</w:t>
      </w:r>
    </w:p>
    <w:p w14:paraId="22DEB621">
      <w:pPr>
        <w:spacing w:line="560" w:lineRule="exact"/>
        <w:ind w:left="210" w:leftChars="100"/>
        <w:outlineLvl w:val="9"/>
        <w:rPr>
          <w:rFonts w:ascii="宋体" w:hAnsi="宋体" w:cs="楷体"/>
          <w:szCs w:val="21"/>
          <w:highlight w:val="none"/>
        </w:rPr>
      </w:pPr>
    </w:p>
    <w:p w14:paraId="13968733">
      <w:pPr>
        <w:spacing w:line="360" w:lineRule="auto"/>
        <w:outlineLvl w:val="9"/>
        <w:rPr>
          <w:rFonts w:hint="eastAsia" w:ascii="Times New Roman" w:hAnsi="Times New Roman" w:eastAsia="宋体"/>
          <w:b/>
          <w:bCs/>
          <w:highlight w:val="none"/>
          <w:lang w:eastAsia="zh-CN"/>
        </w:rPr>
      </w:pPr>
      <w:r>
        <w:rPr>
          <w:rFonts w:ascii="Times New Roman" w:hAnsi="Times New Roman"/>
          <w:b/>
          <w:bCs/>
          <w:highlight w:val="none"/>
        </w:rPr>
        <w:t>致：</w:t>
      </w:r>
      <w:r>
        <w:rPr>
          <w:rFonts w:hint="eastAsia" w:ascii="Times New Roman" w:hAnsi="Times New Roman"/>
          <w:b/>
          <w:bCs/>
          <w:highlight w:val="none"/>
          <w:lang w:val="en-US" w:eastAsia="zh-CN"/>
        </w:rPr>
        <w:t xml:space="preserve"> </w:t>
      </w:r>
    </w:p>
    <w:p w14:paraId="7CC98D82">
      <w:pPr>
        <w:spacing w:line="360" w:lineRule="auto"/>
        <w:ind w:right="420" w:rightChars="200" w:firstLine="420" w:firstLineChars="200"/>
        <w:outlineLvl w:val="9"/>
        <w:rPr>
          <w:rFonts w:ascii="Times New Roman" w:hAnsi="Times New Roman"/>
          <w:highlight w:val="none"/>
        </w:rPr>
      </w:pPr>
      <w:r>
        <w:rPr>
          <w:rFonts w:ascii="Times New Roman" w:hAnsi="Times New Roman"/>
          <w:highlight w:val="none"/>
        </w:rPr>
        <w:t>1、经分析研究了贵方提供的______________________（项目名称）招标文件，</w:t>
      </w:r>
      <w:r>
        <w:rPr>
          <w:rFonts w:ascii="Times New Roman" w:hAnsi="Times New Roman"/>
          <w:bCs/>
          <w:highlight w:val="none"/>
        </w:rPr>
        <w:t>我单位愿以人民币（大写）____________________元（RMB：___________）</w:t>
      </w:r>
      <w:r>
        <w:rPr>
          <w:rFonts w:ascii="Times New Roman" w:hAnsi="Times New Roman"/>
          <w:highlight w:val="none"/>
        </w:rPr>
        <w:t>作为服务费用，承担并完成相应的任务。</w:t>
      </w:r>
    </w:p>
    <w:p w14:paraId="26B80CF1">
      <w:pPr>
        <w:spacing w:line="360" w:lineRule="auto"/>
        <w:ind w:right="420" w:rightChars="200" w:firstLine="420" w:firstLineChars="200"/>
        <w:outlineLvl w:val="9"/>
        <w:rPr>
          <w:rFonts w:ascii="Times New Roman" w:hAnsi="Times New Roman"/>
          <w:highlight w:val="none"/>
        </w:rPr>
      </w:pPr>
      <w:r>
        <w:rPr>
          <w:rFonts w:ascii="Times New Roman" w:hAnsi="Times New Roman"/>
          <w:highlight w:val="none"/>
        </w:rPr>
        <w:t>2、我单位同意在规定的标书递交截止期限起</w:t>
      </w:r>
      <w:r>
        <w:rPr>
          <w:rFonts w:hint="eastAsia" w:ascii="Times New Roman" w:hAnsi="Times New Roman"/>
          <w:highlight w:val="none"/>
          <w:lang w:val="en-US" w:eastAsia="zh-CN"/>
        </w:rPr>
        <w:t>6</w:t>
      </w:r>
      <w:r>
        <w:rPr>
          <w:rFonts w:ascii="Times New Roman" w:hAnsi="Times New Roman"/>
          <w:highlight w:val="none"/>
        </w:rPr>
        <w:t>0天内遵守本投标承诺。在该期限满期之前，本投标函对我单位始终具有约束力，并可随时被接受。</w:t>
      </w:r>
    </w:p>
    <w:p w14:paraId="67B94B3F">
      <w:pPr>
        <w:spacing w:line="360" w:lineRule="auto"/>
        <w:ind w:right="420" w:rightChars="200" w:firstLine="420" w:firstLineChars="200"/>
        <w:outlineLvl w:val="9"/>
        <w:rPr>
          <w:rFonts w:ascii="Times New Roman" w:hAnsi="Times New Roman"/>
          <w:highlight w:val="none"/>
        </w:rPr>
      </w:pPr>
      <w:r>
        <w:rPr>
          <w:rFonts w:ascii="Times New Roman" w:hAnsi="Times New Roman"/>
          <w:highlight w:val="none"/>
        </w:rPr>
        <w:t>3、</w:t>
      </w:r>
      <w:r>
        <w:rPr>
          <w:rFonts w:hint="eastAsia" w:ascii="Times New Roman" w:hAnsi="Times New Roman"/>
          <w:highlight w:val="none"/>
          <w:lang w:eastAsia="zh-CN"/>
        </w:rPr>
        <w:t>采购人</w:t>
      </w:r>
      <w:r>
        <w:rPr>
          <w:rFonts w:ascii="Times New Roman" w:hAnsi="Times New Roman"/>
          <w:highlight w:val="none"/>
        </w:rPr>
        <w:t>对我单位的</w:t>
      </w:r>
      <w:r>
        <w:rPr>
          <w:rFonts w:hint="eastAsia" w:ascii="Times New Roman" w:hAnsi="Times New Roman"/>
          <w:highlight w:val="none"/>
        </w:rPr>
        <w:t>成果文件</w:t>
      </w:r>
      <w:r>
        <w:rPr>
          <w:rFonts w:ascii="Times New Roman" w:hAnsi="Times New Roman"/>
          <w:highlight w:val="none"/>
        </w:rPr>
        <w:t>拥有所有权，</w:t>
      </w:r>
      <w:r>
        <w:rPr>
          <w:rFonts w:hint="eastAsia" w:ascii="Times New Roman" w:hAnsi="Times New Roman"/>
          <w:highlight w:val="none"/>
          <w:lang w:eastAsia="zh-CN"/>
        </w:rPr>
        <w:t>采购人</w:t>
      </w:r>
      <w:r>
        <w:rPr>
          <w:rFonts w:ascii="Times New Roman" w:hAnsi="Times New Roman"/>
          <w:highlight w:val="none"/>
        </w:rPr>
        <w:t>使用其</w:t>
      </w:r>
      <w:r>
        <w:rPr>
          <w:rFonts w:hint="eastAsia" w:ascii="Times New Roman" w:hAnsi="Times New Roman"/>
          <w:highlight w:val="none"/>
        </w:rPr>
        <w:t>成果文件</w:t>
      </w:r>
      <w:r>
        <w:rPr>
          <w:rFonts w:ascii="Times New Roman" w:hAnsi="Times New Roman"/>
          <w:highlight w:val="none"/>
        </w:rPr>
        <w:t>不视为侵权行为。</w:t>
      </w:r>
    </w:p>
    <w:p w14:paraId="3A14AFC2">
      <w:pPr>
        <w:spacing w:line="360" w:lineRule="auto"/>
        <w:ind w:right="420" w:rightChars="200" w:firstLine="420" w:firstLineChars="200"/>
        <w:outlineLvl w:val="9"/>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、如果我单位中标，我单位保证在</w:t>
      </w:r>
      <w:r>
        <w:rPr>
          <w:rFonts w:hint="eastAsia" w:ascii="Times New Roman" w:hAnsi="Times New Roman"/>
          <w:highlight w:val="none"/>
          <w:lang w:eastAsia="zh-CN"/>
        </w:rPr>
        <w:t>采购人</w:t>
      </w:r>
      <w:r>
        <w:rPr>
          <w:rFonts w:ascii="Times New Roman" w:hAnsi="Times New Roman"/>
          <w:highlight w:val="none"/>
        </w:rPr>
        <w:t>规定的期限内开始本工程的</w:t>
      </w:r>
      <w:r>
        <w:rPr>
          <w:rFonts w:hint="eastAsia" w:ascii="Times New Roman" w:hAnsi="Times New Roman"/>
          <w:highlight w:val="none"/>
        </w:rPr>
        <w:t>服务</w:t>
      </w:r>
      <w:r>
        <w:rPr>
          <w:rFonts w:ascii="Times New Roman" w:hAnsi="Times New Roman"/>
          <w:highlight w:val="none"/>
        </w:rPr>
        <w:t>工作。</w:t>
      </w:r>
    </w:p>
    <w:p w14:paraId="4327B997">
      <w:pPr>
        <w:spacing w:line="360" w:lineRule="auto"/>
        <w:ind w:right="420" w:rightChars="200" w:firstLine="420" w:firstLineChars="200"/>
        <w:outlineLvl w:val="9"/>
        <w:rPr>
          <w:rFonts w:ascii="Times New Roman" w:hAnsi="Times New Roman"/>
          <w:highlight w:val="none"/>
        </w:rPr>
      </w:pPr>
      <w:r>
        <w:rPr>
          <w:rFonts w:ascii="Times New Roman" w:hAnsi="Times New Roman"/>
          <w:highlight w:val="none"/>
        </w:rPr>
        <w:t>5、在正式签订本项目合同之前，本投标函连同贵方的中标通知书应成为约束贵、我双方的合同文件。</w:t>
      </w:r>
    </w:p>
    <w:p w14:paraId="4850D6B3">
      <w:pPr>
        <w:spacing w:line="360" w:lineRule="auto"/>
        <w:ind w:right="420" w:rightChars="200" w:firstLine="420" w:firstLineChars="200"/>
        <w:outlineLvl w:val="9"/>
        <w:rPr>
          <w:rFonts w:ascii="Times New Roman" w:hAnsi="Times New Roman"/>
          <w:highlight w:val="none"/>
        </w:rPr>
      </w:pPr>
      <w:r>
        <w:rPr>
          <w:rFonts w:ascii="Times New Roman" w:hAnsi="Times New Roman"/>
          <w:highlight w:val="none"/>
        </w:rPr>
        <w:t>6、我单位理解，贵方不一定接受最低标价的投标或可能接受其他任何投标；同时也理解，贵方不负担我单位的任何投标费用。</w:t>
      </w:r>
    </w:p>
    <w:p w14:paraId="3B4325A0">
      <w:pPr>
        <w:tabs>
          <w:tab w:val="left" w:pos="1260"/>
        </w:tabs>
        <w:spacing w:line="360" w:lineRule="auto"/>
        <w:ind w:firstLine="3150" w:firstLineChars="1500"/>
        <w:outlineLvl w:val="9"/>
        <w:rPr>
          <w:rFonts w:ascii="Times New Roman" w:hAnsi="Times New Roman"/>
          <w:highlight w:val="none"/>
        </w:rPr>
      </w:pPr>
    </w:p>
    <w:p w14:paraId="1DE262AD">
      <w:pPr>
        <w:tabs>
          <w:tab w:val="left" w:pos="1260"/>
        </w:tabs>
        <w:spacing w:line="360" w:lineRule="auto"/>
        <w:ind w:firstLine="2480" w:firstLineChars="1181"/>
        <w:outlineLvl w:val="9"/>
        <w:rPr>
          <w:rFonts w:ascii="Times New Roman" w:hAnsi="Times New Roman"/>
          <w:highlight w:val="none"/>
        </w:rPr>
      </w:pPr>
      <w:r>
        <w:rPr>
          <w:rFonts w:ascii="Times New Roman" w:hAnsi="Times New Roman"/>
          <w:highlight w:val="none"/>
        </w:rPr>
        <w:t>投   标   人：________________________（盖章）</w:t>
      </w:r>
    </w:p>
    <w:p w14:paraId="3DE74727">
      <w:pPr>
        <w:spacing w:line="360" w:lineRule="auto"/>
        <w:ind w:firstLine="2480" w:firstLineChars="1181"/>
        <w:outlineLvl w:val="9"/>
        <w:rPr>
          <w:rFonts w:ascii="Times New Roman" w:hAnsi="Times New Roman"/>
          <w:highlight w:val="none"/>
        </w:rPr>
      </w:pPr>
      <w:r>
        <w:rPr>
          <w:rFonts w:ascii="Times New Roman" w:hAnsi="Times New Roman"/>
          <w:highlight w:val="none"/>
        </w:rPr>
        <w:t>法定代表人或</w:t>
      </w:r>
    </w:p>
    <w:p w14:paraId="13C6185C">
      <w:pPr>
        <w:spacing w:line="360" w:lineRule="auto"/>
        <w:ind w:firstLine="2480" w:firstLineChars="1181"/>
        <w:outlineLvl w:val="9"/>
        <w:rPr>
          <w:rFonts w:ascii="Times New Roman" w:hAnsi="Times New Roman"/>
          <w:highlight w:val="none"/>
        </w:rPr>
      </w:pPr>
      <w:r>
        <w:rPr>
          <w:rFonts w:ascii="Times New Roman" w:hAnsi="Times New Roman"/>
          <w:highlight w:val="none"/>
        </w:rPr>
        <w:t>其授权代理人：___________________（</w:t>
      </w:r>
      <w:r>
        <w:rPr>
          <w:rFonts w:hint="eastAsia" w:ascii="宋体" w:hAnsi="宋体" w:cs="楷体"/>
          <w:szCs w:val="24"/>
          <w:highlight w:val="none"/>
          <w:lang w:val="zh-CN"/>
        </w:rPr>
        <w:t>签字或盖章</w:t>
      </w:r>
      <w:r>
        <w:rPr>
          <w:rFonts w:ascii="Times New Roman" w:hAnsi="Times New Roman"/>
          <w:highlight w:val="none"/>
        </w:rPr>
        <w:t>）</w:t>
      </w:r>
    </w:p>
    <w:p w14:paraId="17BCAE17">
      <w:pPr>
        <w:spacing w:line="360" w:lineRule="auto"/>
        <w:ind w:firstLine="2480" w:firstLineChars="1181"/>
        <w:outlineLvl w:val="9"/>
        <w:rPr>
          <w:rFonts w:ascii="Times New Roman" w:hAnsi="Times New Roman"/>
          <w:highlight w:val="none"/>
        </w:rPr>
      </w:pPr>
      <w:r>
        <w:rPr>
          <w:rFonts w:ascii="Times New Roman" w:hAnsi="Times New Roman"/>
          <w:highlight w:val="none"/>
        </w:rPr>
        <w:t>日        期：_________年________月_______日</w:t>
      </w:r>
    </w:p>
    <w:p w14:paraId="7B694EB9">
      <w:pPr>
        <w:spacing w:line="360" w:lineRule="auto"/>
        <w:ind w:firstLine="2480" w:firstLineChars="1181"/>
        <w:outlineLvl w:val="9"/>
        <w:rPr>
          <w:rFonts w:ascii="Times New Roman" w:hAnsi="Times New Roman"/>
          <w:highlight w:val="none"/>
        </w:rPr>
      </w:pPr>
      <w:r>
        <w:rPr>
          <w:rFonts w:ascii="Times New Roman" w:hAnsi="Times New Roman"/>
          <w:highlight w:val="none"/>
        </w:rPr>
        <w:t>地        址：_______________________________</w:t>
      </w:r>
    </w:p>
    <w:p w14:paraId="77383CE7">
      <w:pPr>
        <w:spacing w:line="360" w:lineRule="auto"/>
        <w:ind w:firstLine="2480" w:firstLineChars="1181"/>
        <w:outlineLvl w:val="9"/>
        <w:rPr>
          <w:rFonts w:ascii="Times New Roman" w:hAnsi="Times New Roman"/>
          <w:highlight w:val="none"/>
        </w:rPr>
      </w:pPr>
      <w:r>
        <w:rPr>
          <w:rFonts w:ascii="Times New Roman" w:hAnsi="Times New Roman"/>
          <w:highlight w:val="none"/>
        </w:rPr>
        <w:t>邮        编：_______________________________</w:t>
      </w:r>
    </w:p>
    <w:p w14:paraId="2821650D">
      <w:pPr>
        <w:spacing w:line="360" w:lineRule="auto"/>
        <w:ind w:firstLine="2480" w:firstLineChars="1181"/>
        <w:outlineLvl w:val="9"/>
        <w:rPr>
          <w:rFonts w:ascii="Times New Roman" w:hAnsi="Times New Roman"/>
          <w:highlight w:val="none"/>
        </w:rPr>
      </w:pPr>
      <w:r>
        <w:rPr>
          <w:rFonts w:ascii="Times New Roman" w:hAnsi="Times New Roman"/>
          <w:highlight w:val="none"/>
        </w:rPr>
        <w:t>电        话：_______________________________</w:t>
      </w:r>
    </w:p>
    <w:p w14:paraId="52FEB13E">
      <w:pPr>
        <w:jc w:val="center"/>
        <w:outlineLvl w:val="9"/>
        <w:rPr>
          <w:highlight w:val="none"/>
        </w:rPr>
      </w:pPr>
      <w:r>
        <w:rPr>
          <w:rFonts w:ascii="宋体" w:hAnsi="宋体" w:cs="楷体"/>
          <w:szCs w:val="24"/>
          <w:highlight w:val="none"/>
          <w:lang w:val="zh-CN"/>
        </w:rPr>
        <w:br w:type="page"/>
      </w:r>
      <w:bookmarkEnd w:id="228"/>
      <w:bookmarkEnd w:id="229"/>
      <w:bookmarkEnd w:id="230"/>
      <w:bookmarkEnd w:id="231"/>
      <w:bookmarkStart w:id="232" w:name="_Toc458617472"/>
      <w:bookmarkStart w:id="233" w:name="_Toc6986"/>
      <w:bookmarkStart w:id="234" w:name="_Toc5497"/>
      <w:bookmarkStart w:id="235" w:name="_Toc193126889"/>
      <w:bookmarkStart w:id="236" w:name="_Toc188808840"/>
      <w:bookmarkStart w:id="237" w:name="_Toc194663926"/>
      <w:bookmarkStart w:id="238" w:name="_Toc193187105"/>
      <w:r>
        <w:rPr>
          <w:rFonts w:hint="eastAsia"/>
          <w:highlight w:val="none"/>
        </w:rPr>
        <w:t>2.开标一览表</w:t>
      </w:r>
      <w:bookmarkEnd w:id="232"/>
      <w:bookmarkEnd w:id="233"/>
      <w:bookmarkEnd w:id="234"/>
      <w:r>
        <w:rPr>
          <w:rFonts w:hint="eastAsia"/>
          <w:highlight w:val="none"/>
        </w:rPr>
        <w:t>（格式）</w:t>
      </w:r>
    </w:p>
    <w:p w14:paraId="3F007968">
      <w:pPr>
        <w:spacing w:line="560" w:lineRule="exact"/>
        <w:ind w:left="210" w:leftChars="100"/>
        <w:jc w:val="center"/>
        <w:outlineLvl w:val="9"/>
        <w:rPr>
          <w:rFonts w:ascii="宋体" w:hAnsi="宋体" w:cs="楷体"/>
          <w:b/>
          <w:bCs/>
          <w:sz w:val="36"/>
          <w:szCs w:val="21"/>
          <w:highlight w:val="none"/>
        </w:rPr>
      </w:pPr>
    </w:p>
    <w:tbl>
      <w:tblPr>
        <w:tblStyle w:val="20"/>
        <w:tblpPr w:leftFromText="180" w:rightFromText="180" w:vertAnchor="text" w:horzAnchor="margin" w:tblpXSpec="center" w:tblpY="214"/>
        <w:tblW w:w="0" w:type="auto"/>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0"/>
        <w:gridCol w:w="1687"/>
        <w:gridCol w:w="2326"/>
        <w:gridCol w:w="2854"/>
      </w:tblGrid>
      <w:tr w14:paraId="11119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2330" w:type="dxa"/>
            <w:noWrap w:val="0"/>
            <w:vAlign w:val="center"/>
          </w:tcPr>
          <w:p w14:paraId="182CB801">
            <w:pPr>
              <w:spacing w:line="560" w:lineRule="exact"/>
              <w:ind w:right="143" w:rightChars="68" w:firstLine="103" w:firstLineChars="49"/>
              <w:jc w:val="center"/>
              <w:outlineLvl w:val="9"/>
              <w:rPr>
                <w:rFonts w:ascii="宋体" w:hAnsi="宋体" w:cs="楷体"/>
                <w:b/>
                <w:szCs w:val="24"/>
                <w:highlight w:val="none"/>
              </w:rPr>
            </w:pPr>
            <w:r>
              <w:rPr>
                <w:rFonts w:hint="eastAsia" w:ascii="宋体" w:hAnsi="宋体" w:cs="楷体"/>
                <w:b/>
                <w:szCs w:val="24"/>
                <w:highlight w:val="none"/>
              </w:rPr>
              <w:t>项目名称</w:t>
            </w:r>
          </w:p>
        </w:tc>
        <w:tc>
          <w:tcPr>
            <w:tcW w:w="1687" w:type="dxa"/>
            <w:noWrap w:val="0"/>
            <w:vAlign w:val="center"/>
          </w:tcPr>
          <w:p w14:paraId="2233FCB3">
            <w:pPr>
              <w:spacing w:line="560" w:lineRule="exact"/>
              <w:ind w:right="143" w:rightChars="68" w:firstLine="103" w:firstLineChars="49"/>
              <w:jc w:val="center"/>
              <w:outlineLvl w:val="9"/>
              <w:rPr>
                <w:rFonts w:ascii="宋体" w:hAnsi="宋体" w:cs="楷体"/>
                <w:b/>
                <w:szCs w:val="24"/>
                <w:highlight w:val="none"/>
              </w:rPr>
            </w:pPr>
            <w:r>
              <w:rPr>
                <w:rFonts w:hint="eastAsia" w:ascii="宋体" w:hAnsi="宋体" w:cs="楷体"/>
                <w:b/>
                <w:szCs w:val="24"/>
                <w:highlight w:val="none"/>
              </w:rPr>
              <w:t>项目编号</w:t>
            </w:r>
          </w:p>
        </w:tc>
        <w:tc>
          <w:tcPr>
            <w:tcW w:w="2326" w:type="dxa"/>
            <w:noWrap w:val="0"/>
            <w:tcMar>
              <w:top w:w="57" w:type="dxa"/>
              <w:left w:w="28" w:type="dxa"/>
              <w:bottom w:w="57" w:type="dxa"/>
              <w:right w:w="28" w:type="dxa"/>
            </w:tcMar>
            <w:vAlign w:val="center"/>
          </w:tcPr>
          <w:p w14:paraId="57C03FC6">
            <w:pPr>
              <w:spacing w:line="560" w:lineRule="exact"/>
              <w:jc w:val="center"/>
              <w:outlineLvl w:val="9"/>
              <w:rPr>
                <w:rFonts w:ascii="宋体" w:hAnsi="宋体" w:cs="楷体"/>
                <w:b/>
                <w:szCs w:val="24"/>
                <w:highlight w:val="none"/>
              </w:rPr>
            </w:pPr>
            <w:r>
              <w:rPr>
                <w:rFonts w:hint="eastAsia" w:ascii="宋体" w:hAnsi="宋体" w:cs="楷体"/>
                <w:b/>
                <w:szCs w:val="24"/>
                <w:highlight w:val="none"/>
              </w:rPr>
              <w:t>投标报价</w:t>
            </w:r>
          </w:p>
        </w:tc>
        <w:tc>
          <w:tcPr>
            <w:tcW w:w="2854" w:type="dxa"/>
            <w:noWrap w:val="0"/>
            <w:tcMar>
              <w:top w:w="57" w:type="dxa"/>
              <w:left w:w="28" w:type="dxa"/>
              <w:bottom w:w="57" w:type="dxa"/>
              <w:right w:w="28" w:type="dxa"/>
            </w:tcMar>
            <w:vAlign w:val="center"/>
          </w:tcPr>
          <w:p w14:paraId="77DE8CC7">
            <w:pPr>
              <w:spacing w:line="560" w:lineRule="exact"/>
              <w:jc w:val="center"/>
              <w:outlineLvl w:val="9"/>
              <w:rPr>
                <w:rFonts w:hint="eastAsia" w:ascii="宋体" w:hAnsi="宋体" w:cs="楷体"/>
                <w:b/>
                <w:szCs w:val="24"/>
                <w:highlight w:val="none"/>
              </w:rPr>
            </w:pPr>
            <w:r>
              <w:rPr>
                <w:rFonts w:hint="eastAsia" w:ascii="宋体" w:hAnsi="宋体" w:cs="楷体"/>
                <w:b/>
                <w:szCs w:val="24"/>
                <w:highlight w:val="none"/>
              </w:rPr>
              <w:t>合同履行期限</w:t>
            </w:r>
          </w:p>
        </w:tc>
      </w:tr>
      <w:tr w14:paraId="59E0D2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43" w:hRule="atLeast"/>
        </w:trPr>
        <w:tc>
          <w:tcPr>
            <w:tcW w:w="2330" w:type="dxa"/>
            <w:noWrap w:val="0"/>
            <w:vAlign w:val="center"/>
          </w:tcPr>
          <w:p w14:paraId="2DDF3B9F">
            <w:pPr>
              <w:spacing w:line="560" w:lineRule="exact"/>
              <w:ind w:left="210" w:leftChars="100"/>
              <w:jc w:val="center"/>
              <w:outlineLvl w:val="9"/>
              <w:rPr>
                <w:rFonts w:ascii="宋体" w:hAnsi="宋体" w:cs="楷体"/>
                <w:szCs w:val="24"/>
                <w:highlight w:val="none"/>
              </w:rPr>
            </w:pPr>
          </w:p>
        </w:tc>
        <w:tc>
          <w:tcPr>
            <w:tcW w:w="1687" w:type="dxa"/>
            <w:noWrap w:val="0"/>
            <w:vAlign w:val="center"/>
          </w:tcPr>
          <w:p w14:paraId="2AE8DE74">
            <w:pPr>
              <w:spacing w:line="560" w:lineRule="exact"/>
              <w:ind w:left="210" w:leftChars="100"/>
              <w:jc w:val="center"/>
              <w:outlineLvl w:val="9"/>
              <w:rPr>
                <w:rFonts w:ascii="宋体" w:hAnsi="宋体" w:cs="楷体"/>
                <w:szCs w:val="24"/>
                <w:highlight w:val="none"/>
              </w:rPr>
            </w:pPr>
          </w:p>
        </w:tc>
        <w:tc>
          <w:tcPr>
            <w:tcW w:w="2326" w:type="dxa"/>
            <w:noWrap w:val="0"/>
            <w:tcMar>
              <w:top w:w="57" w:type="dxa"/>
              <w:left w:w="28" w:type="dxa"/>
              <w:bottom w:w="57" w:type="dxa"/>
              <w:right w:w="28" w:type="dxa"/>
            </w:tcMar>
            <w:vAlign w:val="center"/>
          </w:tcPr>
          <w:p w14:paraId="3F05C695">
            <w:pPr>
              <w:spacing w:line="560" w:lineRule="exact"/>
              <w:ind w:left="210" w:leftChars="100"/>
              <w:jc w:val="center"/>
              <w:outlineLvl w:val="9"/>
              <w:rPr>
                <w:rFonts w:ascii="宋体" w:hAnsi="宋体" w:cs="楷体"/>
                <w:szCs w:val="24"/>
                <w:highlight w:val="none"/>
              </w:rPr>
            </w:pPr>
          </w:p>
        </w:tc>
        <w:tc>
          <w:tcPr>
            <w:tcW w:w="2854" w:type="dxa"/>
            <w:noWrap w:val="0"/>
            <w:tcMar>
              <w:top w:w="57" w:type="dxa"/>
              <w:left w:w="28" w:type="dxa"/>
              <w:bottom w:w="57" w:type="dxa"/>
              <w:right w:w="28" w:type="dxa"/>
            </w:tcMar>
            <w:vAlign w:val="center"/>
          </w:tcPr>
          <w:p w14:paraId="25E60E06">
            <w:pPr>
              <w:spacing w:line="560" w:lineRule="exact"/>
              <w:ind w:left="210" w:leftChars="100"/>
              <w:jc w:val="center"/>
              <w:outlineLvl w:val="9"/>
              <w:rPr>
                <w:rFonts w:ascii="宋体" w:hAnsi="宋体" w:cs="楷体"/>
                <w:szCs w:val="24"/>
                <w:highlight w:val="none"/>
              </w:rPr>
            </w:pPr>
          </w:p>
        </w:tc>
      </w:tr>
    </w:tbl>
    <w:p w14:paraId="40E3310D">
      <w:pPr>
        <w:spacing w:line="560" w:lineRule="exact"/>
        <w:outlineLvl w:val="9"/>
        <w:rPr>
          <w:rFonts w:ascii="宋体" w:hAnsi="宋体" w:cs="楷体"/>
          <w:b/>
          <w:bCs/>
          <w:sz w:val="36"/>
          <w:szCs w:val="21"/>
          <w:highlight w:val="none"/>
        </w:rPr>
      </w:pPr>
    </w:p>
    <w:p w14:paraId="048FAA1B">
      <w:pPr>
        <w:pStyle w:val="8"/>
        <w:tabs>
          <w:tab w:val="left" w:pos="420"/>
        </w:tabs>
        <w:outlineLvl w:val="9"/>
        <w:rPr>
          <w:highlight w:val="none"/>
        </w:rPr>
      </w:pPr>
    </w:p>
    <w:p w14:paraId="5F9A8AC7">
      <w:pPr>
        <w:spacing w:line="560" w:lineRule="exact"/>
        <w:ind w:left="210" w:leftChars="100" w:firstLine="420" w:firstLineChars="200"/>
        <w:outlineLvl w:val="9"/>
        <w:rPr>
          <w:rFonts w:ascii="宋体" w:hAnsi="宋体" w:cs="楷体"/>
          <w:szCs w:val="24"/>
          <w:highlight w:val="none"/>
        </w:rPr>
      </w:pPr>
    </w:p>
    <w:p w14:paraId="7BCDF95D">
      <w:pPr>
        <w:spacing w:line="560" w:lineRule="exact"/>
        <w:outlineLvl w:val="9"/>
        <w:rPr>
          <w:rFonts w:ascii="宋体" w:hAnsi="宋体" w:cs="楷体"/>
          <w:szCs w:val="24"/>
          <w:highlight w:val="none"/>
        </w:rPr>
      </w:pPr>
    </w:p>
    <w:p w14:paraId="33CB7080">
      <w:pPr>
        <w:tabs>
          <w:tab w:val="left" w:pos="1260"/>
        </w:tabs>
        <w:spacing w:line="360" w:lineRule="auto"/>
        <w:ind w:firstLine="2480" w:firstLineChars="1181"/>
        <w:outlineLvl w:val="9"/>
        <w:rPr>
          <w:rFonts w:ascii="Times New Roman" w:hAnsi="Times New Roman"/>
          <w:highlight w:val="none"/>
        </w:rPr>
      </w:pPr>
      <w:r>
        <w:rPr>
          <w:rFonts w:ascii="Times New Roman" w:hAnsi="Times New Roman"/>
          <w:highlight w:val="none"/>
        </w:rPr>
        <w:t>投   标   人：________________________（盖章）</w:t>
      </w:r>
    </w:p>
    <w:p w14:paraId="59AC4E75">
      <w:pPr>
        <w:spacing w:line="360" w:lineRule="auto"/>
        <w:ind w:firstLine="2480" w:firstLineChars="1181"/>
        <w:outlineLvl w:val="9"/>
        <w:rPr>
          <w:rFonts w:ascii="Times New Roman" w:hAnsi="Times New Roman"/>
          <w:highlight w:val="none"/>
        </w:rPr>
      </w:pPr>
      <w:r>
        <w:rPr>
          <w:rFonts w:ascii="Times New Roman" w:hAnsi="Times New Roman"/>
          <w:highlight w:val="none"/>
        </w:rPr>
        <w:t>法定代表人或</w:t>
      </w:r>
    </w:p>
    <w:p w14:paraId="19D3EECB">
      <w:pPr>
        <w:spacing w:line="360" w:lineRule="auto"/>
        <w:ind w:firstLine="2480" w:firstLineChars="1181"/>
        <w:outlineLvl w:val="9"/>
        <w:rPr>
          <w:rFonts w:ascii="Times New Roman" w:hAnsi="Times New Roman"/>
          <w:highlight w:val="none"/>
        </w:rPr>
      </w:pPr>
      <w:r>
        <w:rPr>
          <w:rFonts w:ascii="Times New Roman" w:hAnsi="Times New Roman"/>
          <w:highlight w:val="none"/>
        </w:rPr>
        <w:t>其授权代理人：___________________（</w:t>
      </w:r>
      <w:r>
        <w:rPr>
          <w:rFonts w:hint="eastAsia" w:ascii="宋体" w:hAnsi="宋体" w:cs="楷体"/>
          <w:szCs w:val="24"/>
          <w:highlight w:val="none"/>
          <w:lang w:val="zh-CN"/>
        </w:rPr>
        <w:t>签字或盖章</w:t>
      </w:r>
      <w:r>
        <w:rPr>
          <w:rFonts w:ascii="Times New Roman" w:hAnsi="Times New Roman"/>
          <w:highlight w:val="none"/>
        </w:rPr>
        <w:t>）</w:t>
      </w:r>
    </w:p>
    <w:p w14:paraId="4F50C8BB">
      <w:pPr>
        <w:spacing w:line="360" w:lineRule="auto"/>
        <w:ind w:firstLine="2480" w:firstLineChars="1181"/>
        <w:outlineLvl w:val="9"/>
        <w:rPr>
          <w:rFonts w:ascii="Times New Roman" w:hAnsi="Times New Roman"/>
          <w:highlight w:val="none"/>
        </w:rPr>
      </w:pPr>
      <w:r>
        <w:rPr>
          <w:rFonts w:ascii="Times New Roman" w:hAnsi="Times New Roman"/>
          <w:highlight w:val="none"/>
        </w:rPr>
        <w:t>日        期：_________年________月_______日</w:t>
      </w:r>
    </w:p>
    <w:p w14:paraId="53689A49">
      <w:pPr>
        <w:jc w:val="center"/>
        <w:outlineLvl w:val="9"/>
        <w:rPr>
          <w:highlight w:val="none"/>
        </w:rPr>
      </w:pPr>
      <w:bookmarkStart w:id="239" w:name="_Toc169846780"/>
      <w:bookmarkStart w:id="240" w:name="_Toc167591334"/>
      <w:bookmarkStart w:id="241" w:name="_Toc9029"/>
      <w:bookmarkStart w:id="242" w:name="_Toc193187101"/>
      <w:bookmarkStart w:id="243" w:name="_Toc170980457"/>
      <w:bookmarkStart w:id="244" w:name="_Toc169846877"/>
      <w:bookmarkStart w:id="245" w:name="_Toc167591047"/>
      <w:bookmarkStart w:id="246" w:name="_Toc154482483"/>
      <w:bookmarkStart w:id="247" w:name="_Toc193126885"/>
      <w:bookmarkStart w:id="248" w:name="_Toc194663922"/>
      <w:bookmarkStart w:id="249" w:name="_Toc167590779"/>
      <w:bookmarkStart w:id="250" w:name="_Toc175033596"/>
      <w:bookmarkStart w:id="251" w:name="_Toc175032441"/>
      <w:bookmarkStart w:id="252" w:name="_Toc167591148"/>
      <w:bookmarkStart w:id="253" w:name="_Toc170980556"/>
      <w:bookmarkStart w:id="254" w:name="_Toc188808836"/>
      <w:bookmarkStart w:id="255" w:name="_Toc458617473"/>
      <w:bookmarkStart w:id="256" w:name="_Toc173549982"/>
      <w:bookmarkStart w:id="257" w:name="_Toc169838536"/>
      <w:bookmarkStart w:id="258" w:name="_Toc167591496"/>
      <w:bookmarkStart w:id="259" w:name="_Toc10249"/>
      <w:bookmarkStart w:id="260" w:name="_Toc167849364"/>
      <w:r>
        <w:rPr>
          <w:highlight w:val="none"/>
        </w:rPr>
        <w:br w:type="page"/>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highlight w:val="none"/>
        </w:rPr>
        <w:t>4.</w:t>
      </w:r>
      <w:r>
        <w:rPr>
          <w:rFonts w:hint="eastAsia"/>
          <w:highlight w:val="none"/>
          <w:lang w:val="en-US" w:eastAsia="zh-CN"/>
        </w:rPr>
        <w:t>技术</w:t>
      </w:r>
      <w:r>
        <w:rPr>
          <w:rFonts w:hint="eastAsia"/>
          <w:highlight w:val="none"/>
        </w:rPr>
        <w:t>响应偏离表（格式）</w:t>
      </w:r>
    </w:p>
    <w:p w14:paraId="6582AEB1">
      <w:pPr>
        <w:spacing w:line="560" w:lineRule="exact"/>
        <w:jc w:val="left"/>
        <w:outlineLvl w:val="9"/>
        <w:rPr>
          <w:rFonts w:ascii="宋体" w:hAnsi="宋体" w:cs="楷体"/>
          <w:szCs w:val="24"/>
          <w:highlight w:val="none"/>
          <w:u w:val="single"/>
        </w:rPr>
      </w:pPr>
      <w:r>
        <w:rPr>
          <w:rFonts w:hint="eastAsia" w:ascii="宋体" w:hAnsi="宋体" w:cs="楷体"/>
          <w:szCs w:val="24"/>
          <w:highlight w:val="none"/>
        </w:rPr>
        <w:t>投标人名称：</w:t>
      </w:r>
      <w:r>
        <w:rPr>
          <w:rFonts w:hint="eastAsia" w:ascii="宋体" w:hAnsi="宋体" w:cs="楷体"/>
          <w:szCs w:val="24"/>
          <w:highlight w:val="none"/>
          <w:u w:val="single"/>
        </w:rPr>
        <w:t xml:space="preserve">                    </w:t>
      </w:r>
      <w:r>
        <w:rPr>
          <w:rFonts w:hint="eastAsia" w:ascii="宋体" w:hAnsi="宋体" w:cs="楷体"/>
          <w:szCs w:val="24"/>
          <w:highlight w:val="none"/>
        </w:rPr>
        <w:t xml:space="preserve">            项目编号：</w:t>
      </w:r>
      <w:r>
        <w:rPr>
          <w:rFonts w:hint="eastAsia" w:ascii="宋体" w:hAnsi="宋体" w:cs="楷体"/>
          <w:szCs w:val="24"/>
          <w:highlight w:val="none"/>
          <w:u w:val="single"/>
        </w:rPr>
        <w:t xml:space="preserve">                  </w:t>
      </w:r>
    </w:p>
    <w:tbl>
      <w:tblPr>
        <w:tblStyle w:val="20"/>
        <w:tblpPr w:leftFromText="180" w:rightFromText="180" w:vertAnchor="text" w:horzAnchor="margin" w:tblpY="162"/>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647"/>
        <w:gridCol w:w="2519"/>
        <w:gridCol w:w="1457"/>
        <w:gridCol w:w="1457"/>
      </w:tblGrid>
      <w:tr w14:paraId="17E78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00D72ACB">
            <w:pPr>
              <w:spacing w:line="560" w:lineRule="exact"/>
              <w:ind w:left="40" w:leftChars="19"/>
              <w:jc w:val="center"/>
              <w:outlineLvl w:val="9"/>
              <w:rPr>
                <w:rFonts w:ascii="宋体" w:hAnsi="宋体" w:cs="楷体"/>
                <w:b/>
                <w:szCs w:val="24"/>
                <w:highlight w:val="none"/>
              </w:rPr>
            </w:pPr>
            <w:r>
              <w:rPr>
                <w:rFonts w:hint="eastAsia" w:ascii="宋体" w:hAnsi="宋体" w:cs="楷体"/>
                <w:b/>
                <w:szCs w:val="24"/>
                <w:highlight w:val="none"/>
              </w:rPr>
              <w:t>序号</w:t>
            </w:r>
          </w:p>
        </w:tc>
        <w:tc>
          <w:tcPr>
            <w:tcW w:w="2647" w:type="dxa"/>
            <w:noWrap w:val="0"/>
            <w:tcMar>
              <w:top w:w="57" w:type="dxa"/>
              <w:left w:w="28" w:type="dxa"/>
              <w:bottom w:w="57" w:type="dxa"/>
              <w:right w:w="28" w:type="dxa"/>
            </w:tcMar>
            <w:vAlign w:val="center"/>
          </w:tcPr>
          <w:p w14:paraId="403E1C38">
            <w:pPr>
              <w:spacing w:line="560" w:lineRule="exact"/>
              <w:ind w:left="210" w:leftChars="100"/>
              <w:jc w:val="center"/>
              <w:outlineLvl w:val="9"/>
              <w:rPr>
                <w:rFonts w:ascii="宋体" w:hAnsi="宋体" w:cs="楷体"/>
                <w:b/>
                <w:szCs w:val="24"/>
                <w:highlight w:val="none"/>
              </w:rPr>
            </w:pPr>
            <w:r>
              <w:rPr>
                <w:rFonts w:hint="eastAsia" w:ascii="宋体" w:hAnsi="宋体" w:cs="楷体"/>
                <w:b/>
                <w:szCs w:val="24"/>
                <w:highlight w:val="none"/>
              </w:rPr>
              <w:t>招标文件服务需求</w:t>
            </w:r>
          </w:p>
        </w:tc>
        <w:tc>
          <w:tcPr>
            <w:tcW w:w="2519" w:type="dxa"/>
            <w:noWrap w:val="0"/>
            <w:tcMar>
              <w:top w:w="57" w:type="dxa"/>
              <w:left w:w="28" w:type="dxa"/>
              <w:bottom w:w="57" w:type="dxa"/>
              <w:right w:w="28" w:type="dxa"/>
            </w:tcMar>
            <w:vAlign w:val="center"/>
          </w:tcPr>
          <w:p w14:paraId="4C22EF6E">
            <w:pPr>
              <w:spacing w:line="560" w:lineRule="exact"/>
              <w:jc w:val="center"/>
              <w:outlineLvl w:val="9"/>
              <w:rPr>
                <w:rFonts w:ascii="宋体" w:hAnsi="宋体" w:cs="楷体"/>
                <w:b/>
                <w:szCs w:val="24"/>
                <w:highlight w:val="none"/>
              </w:rPr>
            </w:pPr>
            <w:r>
              <w:rPr>
                <w:rFonts w:hint="eastAsia" w:ascii="宋体" w:hAnsi="宋体" w:cs="楷体"/>
                <w:b/>
                <w:szCs w:val="24"/>
                <w:highlight w:val="none"/>
              </w:rPr>
              <w:t>投标文件服务响应</w:t>
            </w:r>
          </w:p>
        </w:tc>
        <w:tc>
          <w:tcPr>
            <w:tcW w:w="1457" w:type="dxa"/>
            <w:noWrap w:val="0"/>
            <w:tcMar>
              <w:top w:w="57" w:type="dxa"/>
              <w:left w:w="28" w:type="dxa"/>
              <w:bottom w:w="57" w:type="dxa"/>
              <w:right w:w="28" w:type="dxa"/>
            </w:tcMar>
            <w:vAlign w:val="center"/>
          </w:tcPr>
          <w:p w14:paraId="7875FD22">
            <w:pPr>
              <w:spacing w:line="560" w:lineRule="exact"/>
              <w:jc w:val="center"/>
              <w:outlineLvl w:val="9"/>
              <w:rPr>
                <w:rFonts w:ascii="宋体" w:hAnsi="宋体" w:cs="楷体"/>
                <w:b/>
                <w:szCs w:val="24"/>
                <w:highlight w:val="none"/>
              </w:rPr>
            </w:pPr>
            <w:r>
              <w:rPr>
                <w:rFonts w:hint="eastAsia" w:ascii="宋体" w:hAnsi="宋体" w:cs="楷体"/>
                <w:b/>
                <w:szCs w:val="24"/>
                <w:highlight w:val="none"/>
              </w:rPr>
              <w:t>偏离情况</w:t>
            </w:r>
          </w:p>
        </w:tc>
        <w:tc>
          <w:tcPr>
            <w:tcW w:w="1457" w:type="dxa"/>
            <w:noWrap w:val="0"/>
            <w:tcMar>
              <w:top w:w="57" w:type="dxa"/>
              <w:left w:w="28" w:type="dxa"/>
              <w:bottom w:w="57" w:type="dxa"/>
              <w:right w:w="28" w:type="dxa"/>
            </w:tcMar>
            <w:vAlign w:val="center"/>
          </w:tcPr>
          <w:p w14:paraId="12DDBF85">
            <w:pPr>
              <w:spacing w:line="560" w:lineRule="exact"/>
              <w:jc w:val="center"/>
              <w:outlineLvl w:val="9"/>
              <w:rPr>
                <w:rFonts w:ascii="宋体" w:hAnsi="宋体" w:cs="楷体"/>
                <w:b/>
                <w:szCs w:val="24"/>
                <w:highlight w:val="none"/>
              </w:rPr>
            </w:pPr>
            <w:r>
              <w:rPr>
                <w:rFonts w:hint="eastAsia" w:ascii="宋体" w:hAnsi="宋体" w:cs="楷体"/>
                <w:b/>
                <w:szCs w:val="24"/>
                <w:highlight w:val="none"/>
              </w:rPr>
              <w:t>偏离说明</w:t>
            </w:r>
          </w:p>
        </w:tc>
      </w:tr>
      <w:tr w14:paraId="5E3A00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1" w:type="dxa"/>
            <w:tcBorders>
              <w:bottom w:val="single" w:color="auto" w:sz="4" w:space="0"/>
            </w:tcBorders>
            <w:noWrap w:val="0"/>
            <w:tcMar>
              <w:top w:w="57" w:type="dxa"/>
              <w:left w:w="28" w:type="dxa"/>
              <w:bottom w:w="57" w:type="dxa"/>
              <w:right w:w="28" w:type="dxa"/>
            </w:tcMar>
            <w:vAlign w:val="center"/>
          </w:tcPr>
          <w:p w14:paraId="707670D6">
            <w:pPr>
              <w:spacing w:line="560" w:lineRule="exact"/>
              <w:ind w:left="210" w:leftChars="100"/>
              <w:outlineLvl w:val="9"/>
              <w:rPr>
                <w:rFonts w:ascii="宋体" w:hAnsi="宋体" w:cs="楷体"/>
                <w:szCs w:val="24"/>
                <w:highlight w:val="none"/>
              </w:rPr>
            </w:pPr>
          </w:p>
        </w:tc>
        <w:tc>
          <w:tcPr>
            <w:tcW w:w="2647" w:type="dxa"/>
            <w:tcBorders>
              <w:bottom w:val="single" w:color="auto" w:sz="4" w:space="0"/>
            </w:tcBorders>
            <w:noWrap w:val="0"/>
            <w:tcMar>
              <w:top w:w="57" w:type="dxa"/>
              <w:left w:w="28" w:type="dxa"/>
              <w:bottom w:w="57" w:type="dxa"/>
              <w:right w:w="28" w:type="dxa"/>
            </w:tcMar>
            <w:vAlign w:val="center"/>
          </w:tcPr>
          <w:p w14:paraId="341B79C2">
            <w:pPr>
              <w:spacing w:line="560" w:lineRule="exact"/>
              <w:ind w:left="210" w:leftChars="100"/>
              <w:outlineLvl w:val="9"/>
              <w:rPr>
                <w:rFonts w:ascii="宋体" w:hAnsi="宋体" w:cs="楷体"/>
                <w:szCs w:val="24"/>
                <w:highlight w:val="none"/>
              </w:rPr>
            </w:pPr>
          </w:p>
        </w:tc>
        <w:tc>
          <w:tcPr>
            <w:tcW w:w="2519" w:type="dxa"/>
            <w:tcBorders>
              <w:bottom w:val="single" w:color="auto" w:sz="4" w:space="0"/>
            </w:tcBorders>
            <w:noWrap w:val="0"/>
            <w:tcMar>
              <w:top w:w="57" w:type="dxa"/>
              <w:left w:w="28" w:type="dxa"/>
              <w:bottom w:w="57" w:type="dxa"/>
              <w:right w:w="28" w:type="dxa"/>
            </w:tcMar>
            <w:vAlign w:val="center"/>
          </w:tcPr>
          <w:p w14:paraId="29F4532D">
            <w:pPr>
              <w:spacing w:line="560" w:lineRule="exact"/>
              <w:ind w:left="210" w:leftChars="100"/>
              <w:outlineLvl w:val="9"/>
              <w:rPr>
                <w:rFonts w:ascii="宋体" w:hAnsi="宋体" w:cs="楷体"/>
                <w:szCs w:val="24"/>
                <w:highlight w:val="none"/>
              </w:rPr>
            </w:pPr>
          </w:p>
        </w:tc>
        <w:tc>
          <w:tcPr>
            <w:tcW w:w="1457" w:type="dxa"/>
            <w:tcBorders>
              <w:bottom w:val="single" w:color="auto" w:sz="4" w:space="0"/>
            </w:tcBorders>
            <w:noWrap w:val="0"/>
            <w:tcMar>
              <w:top w:w="57" w:type="dxa"/>
              <w:left w:w="28" w:type="dxa"/>
              <w:bottom w:w="57" w:type="dxa"/>
              <w:right w:w="28" w:type="dxa"/>
            </w:tcMar>
            <w:vAlign w:val="center"/>
          </w:tcPr>
          <w:p w14:paraId="3FEDF521">
            <w:pPr>
              <w:spacing w:line="560" w:lineRule="exact"/>
              <w:outlineLvl w:val="9"/>
              <w:rPr>
                <w:rFonts w:ascii="宋体" w:hAnsi="宋体" w:cs="楷体"/>
                <w:szCs w:val="24"/>
                <w:highlight w:val="none"/>
              </w:rPr>
            </w:pPr>
          </w:p>
        </w:tc>
        <w:tc>
          <w:tcPr>
            <w:tcW w:w="1457" w:type="dxa"/>
            <w:tcBorders>
              <w:bottom w:val="single" w:color="auto" w:sz="4" w:space="0"/>
            </w:tcBorders>
            <w:noWrap w:val="0"/>
            <w:tcMar>
              <w:top w:w="57" w:type="dxa"/>
              <w:left w:w="28" w:type="dxa"/>
              <w:bottom w:w="57" w:type="dxa"/>
              <w:right w:w="28" w:type="dxa"/>
            </w:tcMar>
            <w:vAlign w:val="center"/>
          </w:tcPr>
          <w:p w14:paraId="72BCAC55">
            <w:pPr>
              <w:spacing w:line="560" w:lineRule="exact"/>
              <w:outlineLvl w:val="9"/>
              <w:rPr>
                <w:rFonts w:ascii="宋体" w:hAnsi="宋体" w:cs="楷体"/>
                <w:szCs w:val="24"/>
                <w:highlight w:val="none"/>
              </w:rPr>
            </w:pPr>
          </w:p>
        </w:tc>
      </w:tr>
      <w:tr w14:paraId="75B35B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3328552B">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575A4D6A">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02D9D24F">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617CAA11">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41CAE063">
            <w:pPr>
              <w:spacing w:line="560" w:lineRule="exact"/>
              <w:outlineLvl w:val="9"/>
              <w:rPr>
                <w:rFonts w:ascii="宋体" w:hAnsi="宋体" w:cs="楷体"/>
                <w:szCs w:val="24"/>
                <w:highlight w:val="none"/>
              </w:rPr>
            </w:pPr>
          </w:p>
        </w:tc>
      </w:tr>
      <w:tr w14:paraId="1798B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25375541">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060197AE">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40E6AD18">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12A3E71F">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5A50BB4F">
            <w:pPr>
              <w:spacing w:line="560" w:lineRule="exact"/>
              <w:outlineLvl w:val="9"/>
              <w:rPr>
                <w:rFonts w:ascii="宋体" w:hAnsi="宋体" w:cs="楷体"/>
                <w:szCs w:val="24"/>
                <w:highlight w:val="none"/>
              </w:rPr>
            </w:pPr>
          </w:p>
        </w:tc>
      </w:tr>
      <w:tr w14:paraId="1EC65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53479B18">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27C4181A">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5AB3C1CE">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13A4175F">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3EB9EA18">
            <w:pPr>
              <w:spacing w:line="560" w:lineRule="exact"/>
              <w:outlineLvl w:val="9"/>
              <w:rPr>
                <w:rFonts w:ascii="宋体" w:hAnsi="宋体" w:cs="楷体"/>
                <w:szCs w:val="24"/>
                <w:highlight w:val="none"/>
              </w:rPr>
            </w:pPr>
          </w:p>
        </w:tc>
      </w:tr>
      <w:tr w14:paraId="1ECD8C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1E75B9F3">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653D4D8D">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50044604">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18521884">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3B1644CD">
            <w:pPr>
              <w:spacing w:line="560" w:lineRule="exact"/>
              <w:outlineLvl w:val="9"/>
              <w:rPr>
                <w:rFonts w:ascii="宋体" w:hAnsi="宋体" w:cs="楷体"/>
                <w:szCs w:val="24"/>
                <w:highlight w:val="none"/>
              </w:rPr>
            </w:pPr>
          </w:p>
        </w:tc>
      </w:tr>
      <w:tr w14:paraId="01ADE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6CB21E1A">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76BC2B70">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4FA649BA">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51E650E1">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01DE9D74">
            <w:pPr>
              <w:spacing w:line="560" w:lineRule="exact"/>
              <w:outlineLvl w:val="9"/>
              <w:rPr>
                <w:rFonts w:ascii="宋体" w:hAnsi="宋体" w:cs="楷体"/>
                <w:szCs w:val="24"/>
                <w:highlight w:val="none"/>
              </w:rPr>
            </w:pPr>
          </w:p>
        </w:tc>
      </w:tr>
      <w:tr w14:paraId="16305A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78F8E40F">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08A656B2">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40F78363">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58CF635A">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68A47944">
            <w:pPr>
              <w:spacing w:line="560" w:lineRule="exact"/>
              <w:outlineLvl w:val="9"/>
              <w:rPr>
                <w:rFonts w:ascii="宋体" w:hAnsi="宋体" w:cs="楷体"/>
                <w:szCs w:val="24"/>
                <w:highlight w:val="none"/>
              </w:rPr>
            </w:pPr>
          </w:p>
        </w:tc>
      </w:tr>
      <w:tr w14:paraId="04363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tcBorders>
              <w:bottom w:val="single" w:color="auto" w:sz="4" w:space="0"/>
            </w:tcBorders>
            <w:noWrap w:val="0"/>
            <w:tcMar>
              <w:top w:w="57" w:type="dxa"/>
              <w:left w:w="28" w:type="dxa"/>
              <w:bottom w:w="57" w:type="dxa"/>
              <w:right w:w="28" w:type="dxa"/>
            </w:tcMar>
            <w:vAlign w:val="center"/>
          </w:tcPr>
          <w:p w14:paraId="14A85C6F">
            <w:pPr>
              <w:spacing w:line="560" w:lineRule="exact"/>
              <w:ind w:left="210" w:leftChars="100"/>
              <w:outlineLvl w:val="9"/>
              <w:rPr>
                <w:rFonts w:ascii="宋体" w:hAnsi="宋体" w:cs="楷体"/>
                <w:szCs w:val="24"/>
                <w:highlight w:val="none"/>
              </w:rPr>
            </w:pPr>
          </w:p>
        </w:tc>
        <w:tc>
          <w:tcPr>
            <w:tcW w:w="2647" w:type="dxa"/>
            <w:tcBorders>
              <w:bottom w:val="single" w:color="auto" w:sz="4" w:space="0"/>
            </w:tcBorders>
            <w:noWrap w:val="0"/>
            <w:tcMar>
              <w:top w:w="57" w:type="dxa"/>
              <w:left w:w="28" w:type="dxa"/>
              <w:bottom w:w="57" w:type="dxa"/>
              <w:right w:w="28" w:type="dxa"/>
            </w:tcMar>
            <w:vAlign w:val="center"/>
          </w:tcPr>
          <w:p w14:paraId="7720B6ED">
            <w:pPr>
              <w:spacing w:line="560" w:lineRule="exact"/>
              <w:ind w:left="210" w:leftChars="100"/>
              <w:outlineLvl w:val="9"/>
              <w:rPr>
                <w:rFonts w:ascii="宋体" w:hAnsi="宋体" w:cs="楷体"/>
                <w:szCs w:val="24"/>
                <w:highlight w:val="none"/>
              </w:rPr>
            </w:pPr>
          </w:p>
        </w:tc>
        <w:tc>
          <w:tcPr>
            <w:tcW w:w="2519" w:type="dxa"/>
            <w:tcBorders>
              <w:bottom w:val="single" w:color="auto" w:sz="4" w:space="0"/>
            </w:tcBorders>
            <w:noWrap w:val="0"/>
            <w:tcMar>
              <w:top w:w="57" w:type="dxa"/>
              <w:left w:w="28" w:type="dxa"/>
              <w:bottom w:w="57" w:type="dxa"/>
              <w:right w:w="28" w:type="dxa"/>
            </w:tcMar>
            <w:vAlign w:val="center"/>
          </w:tcPr>
          <w:p w14:paraId="7AC4DC32">
            <w:pPr>
              <w:spacing w:line="560" w:lineRule="exact"/>
              <w:ind w:left="210" w:leftChars="100"/>
              <w:outlineLvl w:val="9"/>
              <w:rPr>
                <w:rFonts w:ascii="宋体" w:hAnsi="宋体" w:cs="楷体"/>
                <w:szCs w:val="24"/>
                <w:highlight w:val="none"/>
              </w:rPr>
            </w:pPr>
          </w:p>
        </w:tc>
        <w:tc>
          <w:tcPr>
            <w:tcW w:w="1457" w:type="dxa"/>
            <w:tcBorders>
              <w:bottom w:val="single" w:color="auto" w:sz="4" w:space="0"/>
            </w:tcBorders>
            <w:noWrap w:val="0"/>
            <w:tcMar>
              <w:top w:w="57" w:type="dxa"/>
              <w:left w:w="28" w:type="dxa"/>
              <w:bottom w:w="57" w:type="dxa"/>
              <w:right w:w="28" w:type="dxa"/>
            </w:tcMar>
            <w:vAlign w:val="center"/>
          </w:tcPr>
          <w:p w14:paraId="763DBD11">
            <w:pPr>
              <w:spacing w:line="560" w:lineRule="exact"/>
              <w:outlineLvl w:val="9"/>
              <w:rPr>
                <w:rFonts w:ascii="宋体" w:hAnsi="宋体" w:cs="楷体"/>
                <w:szCs w:val="24"/>
                <w:highlight w:val="none"/>
              </w:rPr>
            </w:pPr>
          </w:p>
        </w:tc>
        <w:tc>
          <w:tcPr>
            <w:tcW w:w="1457" w:type="dxa"/>
            <w:tcBorders>
              <w:bottom w:val="single" w:color="auto" w:sz="4" w:space="0"/>
            </w:tcBorders>
            <w:noWrap w:val="0"/>
            <w:tcMar>
              <w:top w:w="57" w:type="dxa"/>
              <w:left w:w="28" w:type="dxa"/>
              <w:bottom w:w="57" w:type="dxa"/>
              <w:right w:w="28" w:type="dxa"/>
            </w:tcMar>
            <w:vAlign w:val="center"/>
          </w:tcPr>
          <w:p w14:paraId="1CA71166">
            <w:pPr>
              <w:spacing w:line="560" w:lineRule="exact"/>
              <w:outlineLvl w:val="9"/>
              <w:rPr>
                <w:rFonts w:ascii="宋体" w:hAnsi="宋体" w:cs="楷体"/>
                <w:szCs w:val="24"/>
                <w:highlight w:val="none"/>
              </w:rPr>
            </w:pPr>
          </w:p>
        </w:tc>
      </w:tr>
      <w:tr w14:paraId="276C5C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4F0C3731">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15717564">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3CBDF0A2">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096A7939">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58AC44E8">
            <w:pPr>
              <w:spacing w:line="560" w:lineRule="exact"/>
              <w:outlineLvl w:val="9"/>
              <w:rPr>
                <w:rFonts w:ascii="宋体" w:hAnsi="宋体" w:cs="楷体"/>
                <w:szCs w:val="24"/>
                <w:highlight w:val="none"/>
              </w:rPr>
            </w:pPr>
          </w:p>
        </w:tc>
      </w:tr>
      <w:tr w14:paraId="08BCF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7A2F9D40">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4BC2A90C">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3E709FA0">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2AADD05A">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60E5DA2E">
            <w:pPr>
              <w:spacing w:line="560" w:lineRule="exact"/>
              <w:outlineLvl w:val="9"/>
              <w:rPr>
                <w:rFonts w:ascii="宋体" w:hAnsi="宋体" w:cs="楷体"/>
                <w:szCs w:val="24"/>
                <w:highlight w:val="none"/>
              </w:rPr>
            </w:pPr>
          </w:p>
        </w:tc>
      </w:tr>
      <w:tr w14:paraId="6EDA8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41" w:type="dxa"/>
            <w:tcBorders>
              <w:bottom w:val="single" w:color="auto" w:sz="4" w:space="0"/>
            </w:tcBorders>
            <w:noWrap w:val="0"/>
            <w:tcMar>
              <w:top w:w="57" w:type="dxa"/>
              <w:left w:w="28" w:type="dxa"/>
              <w:bottom w:w="57" w:type="dxa"/>
              <w:right w:w="28" w:type="dxa"/>
            </w:tcMar>
            <w:vAlign w:val="center"/>
          </w:tcPr>
          <w:p w14:paraId="7F2A795E">
            <w:pPr>
              <w:spacing w:line="560" w:lineRule="exact"/>
              <w:ind w:left="210" w:leftChars="100"/>
              <w:outlineLvl w:val="9"/>
              <w:rPr>
                <w:rFonts w:ascii="宋体" w:hAnsi="宋体" w:cs="楷体"/>
                <w:szCs w:val="24"/>
                <w:highlight w:val="none"/>
              </w:rPr>
            </w:pPr>
          </w:p>
        </w:tc>
        <w:tc>
          <w:tcPr>
            <w:tcW w:w="2647" w:type="dxa"/>
            <w:tcBorders>
              <w:bottom w:val="single" w:color="auto" w:sz="4" w:space="0"/>
            </w:tcBorders>
            <w:noWrap w:val="0"/>
            <w:tcMar>
              <w:top w:w="57" w:type="dxa"/>
              <w:left w:w="28" w:type="dxa"/>
              <w:bottom w:w="57" w:type="dxa"/>
              <w:right w:w="28" w:type="dxa"/>
            </w:tcMar>
            <w:vAlign w:val="center"/>
          </w:tcPr>
          <w:p w14:paraId="14C99EF6">
            <w:pPr>
              <w:spacing w:line="560" w:lineRule="exact"/>
              <w:ind w:left="210" w:leftChars="100"/>
              <w:outlineLvl w:val="9"/>
              <w:rPr>
                <w:rFonts w:ascii="宋体" w:hAnsi="宋体" w:cs="楷体"/>
                <w:szCs w:val="24"/>
                <w:highlight w:val="none"/>
              </w:rPr>
            </w:pPr>
          </w:p>
        </w:tc>
        <w:tc>
          <w:tcPr>
            <w:tcW w:w="2519" w:type="dxa"/>
            <w:tcBorders>
              <w:bottom w:val="single" w:color="auto" w:sz="4" w:space="0"/>
            </w:tcBorders>
            <w:noWrap w:val="0"/>
            <w:tcMar>
              <w:top w:w="57" w:type="dxa"/>
              <w:left w:w="28" w:type="dxa"/>
              <w:bottom w:w="57" w:type="dxa"/>
              <w:right w:w="28" w:type="dxa"/>
            </w:tcMar>
            <w:vAlign w:val="center"/>
          </w:tcPr>
          <w:p w14:paraId="2CBDFD64">
            <w:pPr>
              <w:spacing w:line="560" w:lineRule="exact"/>
              <w:ind w:left="210" w:leftChars="100"/>
              <w:outlineLvl w:val="9"/>
              <w:rPr>
                <w:rFonts w:ascii="宋体" w:hAnsi="宋体" w:cs="楷体"/>
                <w:szCs w:val="24"/>
                <w:highlight w:val="none"/>
              </w:rPr>
            </w:pPr>
          </w:p>
        </w:tc>
        <w:tc>
          <w:tcPr>
            <w:tcW w:w="1457" w:type="dxa"/>
            <w:tcBorders>
              <w:bottom w:val="single" w:color="auto" w:sz="4" w:space="0"/>
            </w:tcBorders>
            <w:noWrap w:val="0"/>
            <w:tcMar>
              <w:top w:w="57" w:type="dxa"/>
              <w:left w:w="28" w:type="dxa"/>
              <w:bottom w:w="57" w:type="dxa"/>
              <w:right w:w="28" w:type="dxa"/>
            </w:tcMar>
            <w:vAlign w:val="center"/>
          </w:tcPr>
          <w:p w14:paraId="493ABD14">
            <w:pPr>
              <w:spacing w:line="560" w:lineRule="exact"/>
              <w:outlineLvl w:val="9"/>
              <w:rPr>
                <w:rFonts w:ascii="宋体" w:hAnsi="宋体" w:cs="楷体"/>
                <w:szCs w:val="24"/>
                <w:highlight w:val="none"/>
              </w:rPr>
            </w:pPr>
          </w:p>
        </w:tc>
        <w:tc>
          <w:tcPr>
            <w:tcW w:w="1457" w:type="dxa"/>
            <w:tcBorders>
              <w:bottom w:val="single" w:color="auto" w:sz="4" w:space="0"/>
            </w:tcBorders>
            <w:noWrap w:val="0"/>
            <w:tcMar>
              <w:top w:w="57" w:type="dxa"/>
              <w:left w:w="28" w:type="dxa"/>
              <w:bottom w:w="57" w:type="dxa"/>
              <w:right w:w="28" w:type="dxa"/>
            </w:tcMar>
            <w:vAlign w:val="center"/>
          </w:tcPr>
          <w:p w14:paraId="322EDFBC">
            <w:pPr>
              <w:spacing w:line="560" w:lineRule="exact"/>
              <w:outlineLvl w:val="9"/>
              <w:rPr>
                <w:rFonts w:ascii="宋体" w:hAnsi="宋体" w:cs="楷体"/>
                <w:szCs w:val="24"/>
                <w:highlight w:val="none"/>
              </w:rPr>
            </w:pPr>
          </w:p>
        </w:tc>
      </w:tr>
      <w:tr w14:paraId="7EAB50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4C072E75">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347FF9B8">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331F013B">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4F02D4F6">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7A4033E2">
            <w:pPr>
              <w:spacing w:line="560" w:lineRule="exact"/>
              <w:outlineLvl w:val="9"/>
              <w:rPr>
                <w:rFonts w:ascii="宋体" w:hAnsi="宋体" w:cs="楷体"/>
                <w:szCs w:val="24"/>
                <w:highlight w:val="none"/>
              </w:rPr>
            </w:pPr>
          </w:p>
        </w:tc>
      </w:tr>
      <w:tr w14:paraId="3147BE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tcMar>
              <w:top w:w="57" w:type="dxa"/>
              <w:left w:w="28" w:type="dxa"/>
              <w:bottom w:w="57" w:type="dxa"/>
              <w:right w:w="28" w:type="dxa"/>
            </w:tcMar>
            <w:vAlign w:val="center"/>
          </w:tcPr>
          <w:p w14:paraId="2EB9FDB2">
            <w:pPr>
              <w:spacing w:line="560" w:lineRule="exact"/>
              <w:ind w:left="210" w:leftChars="100"/>
              <w:outlineLvl w:val="9"/>
              <w:rPr>
                <w:rFonts w:ascii="宋体" w:hAnsi="宋体" w:cs="楷体"/>
                <w:szCs w:val="24"/>
                <w:highlight w:val="none"/>
              </w:rPr>
            </w:pPr>
          </w:p>
        </w:tc>
        <w:tc>
          <w:tcPr>
            <w:tcW w:w="2647" w:type="dxa"/>
            <w:noWrap w:val="0"/>
            <w:tcMar>
              <w:top w:w="57" w:type="dxa"/>
              <w:left w:w="28" w:type="dxa"/>
              <w:bottom w:w="57" w:type="dxa"/>
              <w:right w:w="28" w:type="dxa"/>
            </w:tcMar>
            <w:vAlign w:val="center"/>
          </w:tcPr>
          <w:p w14:paraId="19F0BC2F">
            <w:pPr>
              <w:spacing w:line="560" w:lineRule="exact"/>
              <w:ind w:left="210" w:leftChars="100"/>
              <w:outlineLvl w:val="9"/>
              <w:rPr>
                <w:rFonts w:ascii="宋体" w:hAnsi="宋体" w:cs="楷体"/>
                <w:szCs w:val="24"/>
                <w:highlight w:val="none"/>
              </w:rPr>
            </w:pPr>
          </w:p>
        </w:tc>
        <w:tc>
          <w:tcPr>
            <w:tcW w:w="2519" w:type="dxa"/>
            <w:noWrap w:val="0"/>
            <w:tcMar>
              <w:top w:w="57" w:type="dxa"/>
              <w:left w:w="28" w:type="dxa"/>
              <w:bottom w:w="57" w:type="dxa"/>
              <w:right w:w="28" w:type="dxa"/>
            </w:tcMar>
            <w:vAlign w:val="center"/>
          </w:tcPr>
          <w:p w14:paraId="2E0A3A06">
            <w:pPr>
              <w:spacing w:line="560" w:lineRule="exact"/>
              <w:ind w:left="210" w:leftChars="100"/>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59426DB5">
            <w:pPr>
              <w:spacing w:line="560" w:lineRule="exact"/>
              <w:outlineLvl w:val="9"/>
              <w:rPr>
                <w:rFonts w:ascii="宋体" w:hAnsi="宋体" w:cs="楷体"/>
                <w:szCs w:val="24"/>
                <w:highlight w:val="none"/>
              </w:rPr>
            </w:pPr>
          </w:p>
        </w:tc>
        <w:tc>
          <w:tcPr>
            <w:tcW w:w="1457" w:type="dxa"/>
            <w:noWrap w:val="0"/>
            <w:tcMar>
              <w:top w:w="57" w:type="dxa"/>
              <w:left w:w="28" w:type="dxa"/>
              <w:bottom w:w="57" w:type="dxa"/>
              <w:right w:w="28" w:type="dxa"/>
            </w:tcMar>
            <w:vAlign w:val="center"/>
          </w:tcPr>
          <w:p w14:paraId="19263998">
            <w:pPr>
              <w:spacing w:line="560" w:lineRule="exact"/>
              <w:outlineLvl w:val="9"/>
              <w:rPr>
                <w:rFonts w:ascii="宋体" w:hAnsi="宋体" w:cs="楷体"/>
                <w:szCs w:val="24"/>
                <w:highlight w:val="none"/>
              </w:rPr>
            </w:pPr>
          </w:p>
        </w:tc>
      </w:tr>
    </w:tbl>
    <w:p w14:paraId="78B13969">
      <w:pPr>
        <w:spacing w:line="440" w:lineRule="exact"/>
        <w:rPr>
          <w:rFonts w:hint="eastAsia" w:ascii="宋体" w:hAnsi="宋体" w:cs="宋体"/>
          <w:color w:val="000000" w:themeColor="text1"/>
          <w:sz w:val="24"/>
          <w:highlight w:val="none"/>
          <w14:textFill>
            <w14:solidFill>
              <w14:schemeClr w14:val="tx1"/>
            </w14:solidFill>
          </w14:textFill>
        </w:rPr>
      </w:pPr>
      <w:bookmarkStart w:id="261" w:name="_Toc194663924"/>
      <w:bookmarkStart w:id="262" w:name="_Toc188808838"/>
      <w:bookmarkStart w:id="263" w:name="_Toc193187103"/>
      <w:bookmarkStart w:id="264" w:name="_Toc458617476"/>
      <w:bookmarkStart w:id="265" w:name="_Toc193126887"/>
      <w:bookmarkStart w:id="266" w:name="_Toc2240"/>
      <w:bookmarkStart w:id="267" w:name="_Toc11969"/>
      <w:r>
        <w:rPr>
          <w:rFonts w:hint="eastAsia" w:ascii="宋体" w:hAnsi="宋体" w:cs="宋体"/>
          <w:color w:val="000000" w:themeColor="text1"/>
          <w:sz w:val="24"/>
          <w:highlight w:val="none"/>
          <w14:textFill>
            <w14:solidFill>
              <w14:schemeClr w14:val="tx1"/>
            </w14:solidFill>
          </w14:textFill>
        </w:rPr>
        <w:t>注：如有偏离，须详细说明偏离内容；如未填写空白或未说明，视为对采购文件所列全部条款均响应无偏离。</w:t>
      </w:r>
    </w:p>
    <w:p w14:paraId="45B48862">
      <w:pPr>
        <w:tabs>
          <w:tab w:val="left" w:pos="1260"/>
        </w:tabs>
        <w:spacing w:line="360" w:lineRule="auto"/>
        <w:ind w:firstLine="3150" w:firstLineChars="1500"/>
        <w:outlineLvl w:val="9"/>
        <w:rPr>
          <w:rFonts w:ascii="Times New Roman" w:hAnsi="Times New Roman"/>
          <w:highlight w:val="none"/>
        </w:rPr>
      </w:pPr>
    </w:p>
    <w:p w14:paraId="57A216DA">
      <w:pPr>
        <w:tabs>
          <w:tab w:val="left" w:pos="1260"/>
        </w:tabs>
        <w:spacing w:line="360" w:lineRule="auto"/>
        <w:ind w:firstLine="2604" w:firstLineChars="1240"/>
        <w:outlineLvl w:val="9"/>
        <w:rPr>
          <w:rFonts w:ascii="Times New Roman" w:hAnsi="Times New Roman"/>
          <w:highlight w:val="none"/>
        </w:rPr>
      </w:pPr>
      <w:r>
        <w:rPr>
          <w:rFonts w:ascii="Times New Roman" w:hAnsi="Times New Roman"/>
          <w:highlight w:val="none"/>
        </w:rPr>
        <w:t>投   标   人：________________________（盖章）</w:t>
      </w:r>
    </w:p>
    <w:p w14:paraId="4B9CEB24">
      <w:pPr>
        <w:spacing w:line="360" w:lineRule="auto"/>
        <w:ind w:firstLine="2604" w:firstLineChars="1240"/>
        <w:outlineLvl w:val="9"/>
        <w:rPr>
          <w:rFonts w:ascii="Times New Roman" w:hAnsi="Times New Roman"/>
          <w:highlight w:val="none"/>
        </w:rPr>
      </w:pPr>
      <w:r>
        <w:rPr>
          <w:rFonts w:ascii="Times New Roman" w:hAnsi="Times New Roman"/>
          <w:highlight w:val="none"/>
        </w:rPr>
        <w:t>法定代表人或</w:t>
      </w:r>
    </w:p>
    <w:p w14:paraId="0676CF40">
      <w:pPr>
        <w:spacing w:line="360" w:lineRule="auto"/>
        <w:ind w:firstLine="2604" w:firstLineChars="1240"/>
        <w:outlineLvl w:val="9"/>
        <w:rPr>
          <w:rFonts w:ascii="Times New Roman" w:hAnsi="Times New Roman"/>
          <w:highlight w:val="none"/>
        </w:rPr>
      </w:pPr>
      <w:r>
        <w:rPr>
          <w:rFonts w:ascii="Times New Roman" w:hAnsi="Times New Roman"/>
          <w:highlight w:val="none"/>
        </w:rPr>
        <w:t>其授权代理人：___________________（</w:t>
      </w:r>
      <w:r>
        <w:rPr>
          <w:rFonts w:hint="eastAsia" w:ascii="宋体" w:hAnsi="宋体" w:cs="楷体"/>
          <w:szCs w:val="24"/>
          <w:highlight w:val="none"/>
          <w:lang w:val="zh-CN"/>
        </w:rPr>
        <w:t>签字或盖章</w:t>
      </w:r>
      <w:r>
        <w:rPr>
          <w:rFonts w:ascii="Times New Roman" w:hAnsi="Times New Roman"/>
          <w:highlight w:val="none"/>
        </w:rPr>
        <w:t>）</w:t>
      </w:r>
    </w:p>
    <w:p w14:paraId="7F6CAE0A">
      <w:pPr>
        <w:spacing w:line="360" w:lineRule="auto"/>
        <w:ind w:firstLine="2604" w:firstLineChars="1240"/>
        <w:outlineLvl w:val="9"/>
        <w:rPr>
          <w:rFonts w:ascii="Times New Roman" w:hAnsi="Times New Roman"/>
          <w:highlight w:val="none"/>
        </w:rPr>
      </w:pPr>
      <w:r>
        <w:rPr>
          <w:rFonts w:ascii="Times New Roman" w:hAnsi="Times New Roman"/>
          <w:highlight w:val="none"/>
        </w:rPr>
        <w:t>日        期：_________年________月_______日</w:t>
      </w:r>
    </w:p>
    <w:p w14:paraId="57D0A76A">
      <w:pPr>
        <w:jc w:val="center"/>
        <w:outlineLvl w:val="9"/>
        <w:rPr>
          <w:highlight w:val="none"/>
        </w:rPr>
      </w:pPr>
      <w:r>
        <w:rPr>
          <w:rFonts w:hint="eastAsia" w:ascii="宋体" w:hAnsi="宋体" w:cs="楷体"/>
          <w:b/>
          <w:highlight w:val="none"/>
        </w:rPr>
        <w:br w:type="page"/>
      </w:r>
      <w:r>
        <w:rPr>
          <w:rFonts w:hint="eastAsia"/>
          <w:highlight w:val="none"/>
        </w:rPr>
        <w:t>5.商务条款响应偏离表</w:t>
      </w:r>
      <w:bookmarkEnd w:id="261"/>
      <w:bookmarkEnd w:id="262"/>
      <w:bookmarkEnd w:id="263"/>
      <w:bookmarkEnd w:id="264"/>
      <w:bookmarkEnd w:id="265"/>
      <w:bookmarkEnd w:id="266"/>
      <w:bookmarkEnd w:id="267"/>
      <w:r>
        <w:rPr>
          <w:rFonts w:hint="eastAsia"/>
          <w:highlight w:val="none"/>
        </w:rPr>
        <w:t>（格式）</w:t>
      </w:r>
    </w:p>
    <w:p w14:paraId="6151EA6A">
      <w:pPr>
        <w:spacing w:line="560" w:lineRule="exact"/>
        <w:outlineLvl w:val="9"/>
        <w:rPr>
          <w:rFonts w:ascii="宋体" w:hAnsi="宋体" w:cs="楷体"/>
          <w:szCs w:val="24"/>
          <w:highlight w:val="none"/>
        </w:rPr>
      </w:pPr>
      <w:r>
        <w:rPr>
          <w:rFonts w:hint="eastAsia" w:ascii="宋体" w:hAnsi="宋体" w:cs="楷体"/>
          <w:szCs w:val="24"/>
          <w:highlight w:val="none"/>
        </w:rPr>
        <w:t>投标人名称：</w:t>
      </w:r>
      <w:r>
        <w:rPr>
          <w:rFonts w:hint="eastAsia" w:ascii="宋体" w:hAnsi="宋体" w:cs="楷体"/>
          <w:szCs w:val="24"/>
          <w:highlight w:val="none"/>
          <w:u w:val="single"/>
        </w:rPr>
        <w:t xml:space="preserve">              </w:t>
      </w:r>
      <w:r>
        <w:rPr>
          <w:rFonts w:hint="eastAsia" w:ascii="宋体" w:hAnsi="宋体" w:cs="楷体"/>
          <w:szCs w:val="24"/>
          <w:highlight w:val="none"/>
        </w:rPr>
        <w:t xml:space="preserve">               项目编号：</w:t>
      </w:r>
      <w:r>
        <w:rPr>
          <w:rFonts w:hint="eastAsia" w:ascii="宋体" w:hAnsi="宋体" w:cs="楷体"/>
          <w:szCs w:val="24"/>
          <w:highlight w:val="none"/>
          <w:u w:val="single"/>
        </w:rPr>
        <w:t xml:space="preserve">             </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14:paraId="5B66C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011BE193">
            <w:pPr>
              <w:spacing w:line="560" w:lineRule="exact"/>
              <w:ind w:left="-97" w:leftChars="-46"/>
              <w:jc w:val="center"/>
              <w:outlineLvl w:val="9"/>
              <w:rPr>
                <w:rFonts w:ascii="宋体" w:hAnsi="宋体" w:cs="楷体"/>
                <w:b/>
                <w:szCs w:val="24"/>
                <w:highlight w:val="none"/>
              </w:rPr>
            </w:pPr>
            <w:r>
              <w:rPr>
                <w:rFonts w:hint="eastAsia" w:ascii="宋体" w:hAnsi="宋体" w:cs="楷体"/>
                <w:b/>
                <w:szCs w:val="24"/>
                <w:highlight w:val="none"/>
              </w:rPr>
              <w:t xml:space="preserve"> 序号</w:t>
            </w:r>
          </w:p>
        </w:tc>
        <w:tc>
          <w:tcPr>
            <w:tcW w:w="2858" w:type="dxa"/>
            <w:noWrap w:val="0"/>
            <w:tcMar>
              <w:top w:w="57" w:type="dxa"/>
              <w:left w:w="28" w:type="dxa"/>
              <w:bottom w:w="57" w:type="dxa"/>
              <w:right w:w="28" w:type="dxa"/>
            </w:tcMar>
            <w:vAlign w:val="center"/>
          </w:tcPr>
          <w:p w14:paraId="03DA8389">
            <w:pPr>
              <w:spacing w:line="560" w:lineRule="exact"/>
              <w:ind w:left="210" w:leftChars="100"/>
              <w:jc w:val="center"/>
              <w:outlineLvl w:val="9"/>
              <w:rPr>
                <w:rFonts w:ascii="宋体" w:hAnsi="宋体" w:cs="楷体"/>
                <w:b/>
                <w:szCs w:val="24"/>
                <w:highlight w:val="none"/>
              </w:rPr>
            </w:pPr>
            <w:r>
              <w:rPr>
                <w:rFonts w:hint="eastAsia" w:ascii="宋体" w:hAnsi="宋体" w:cs="楷体"/>
                <w:b/>
                <w:szCs w:val="24"/>
                <w:highlight w:val="none"/>
              </w:rPr>
              <w:t>招标文件商务要求</w:t>
            </w:r>
          </w:p>
        </w:tc>
        <w:tc>
          <w:tcPr>
            <w:tcW w:w="2506" w:type="dxa"/>
            <w:noWrap w:val="0"/>
            <w:tcMar>
              <w:top w:w="57" w:type="dxa"/>
              <w:left w:w="28" w:type="dxa"/>
              <w:bottom w:w="57" w:type="dxa"/>
              <w:right w:w="28" w:type="dxa"/>
            </w:tcMar>
            <w:vAlign w:val="center"/>
          </w:tcPr>
          <w:p w14:paraId="56D7DE51">
            <w:pPr>
              <w:spacing w:line="560" w:lineRule="exact"/>
              <w:ind w:left="210" w:leftChars="100"/>
              <w:jc w:val="center"/>
              <w:outlineLvl w:val="9"/>
              <w:rPr>
                <w:rFonts w:ascii="宋体" w:hAnsi="宋体" w:cs="楷体"/>
                <w:b/>
                <w:szCs w:val="24"/>
                <w:highlight w:val="none"/>
              </w:rPr>
            </w:pPr>
            <w:r>
              <w:rPr>
                <w:rFonts w:hint="eastAsia" w:ascii="宋体" w:hAnsi="宋体" w:cs="楷体"/>
                <w:b/>
                <w:szCs w:val="24"/>
                <w:highlight w:val="none"/>
              </w:rPr>
              <w:t>投标文件商务响应</w:t>
            </w:r>
          </w:p>
        </w:tc>
        <w:tc>
          <w:tcPr>
            <w:tcW w:w="1454" w:type="dxa"/>
            <w:noWrap w:val="0"/>
            <w:tcMar>
              <w:top w:w="57" w:type="dxa"/>
              <w:left w:w="28" w:type="dxa"/>
              <w:bottom w:w="57" w:type="dxa"/>
              <w:right w:w="28" w:type="dxa"/>
            </w:tcMar>
            <w:vAlign w:val="center"/>
          </w:tcPr>
          <w:p w14:paraId="276F3083">
            <w:pPr>
              <w:spacing w:line="560" w:lineRule="exact"/>
              <w:ind w:left="210" w:leftChars="100"/>
              <w:jc w:val="center"/>
              <w:outlineLvl w:val="9"/>
              <w:rPr>
                <w:rFonts w:ascii="宋体" w:hAnsi="宋体" w:cs="楷体"/>
                <w:b/>
                <w:szCs w:val="24"/>
                <w:highlight w:val="none"/>
              </w:rPr>
            </w:pPr>
            <w:r>
              <w:rPr>
                <w:rFonts w:hint="eastAsia" w:ascii="宋体" w:hAnsi="宋体" w:cs="楷体"/>
                <w:b/>
                <w:szCs w:val="24"/>
                <w:highlight w:val="none"/>
              </w:rPr>
              <w:t>偏离情况</w:t>
            </w:r>
          </w:p>
        </w:tc>
        <w:tc>
          <w:tcPr>
            <w:tcW w:w="1454" w:type="dxa"/>
            <w:noWrap w:val="0"/>
            <w:tcMar>
              <w:top w:w="57" w:type="dxa"/>
              <w:left w:w="28" w:type="dxa"/>
              <w:bottom w:w="57" w:type="dxa"/>
              <w:right w:w="28" w:type="dxa"/>
            </w:tcMar>
            <w:vAlign w:val="center"/>
          </w:tcPr>
          <w:p w14:paraId="470CCD96">
            <w:pPr>
              <w:spacing w:line="560" w:lineRule="exact"/>
              <w:ind w:left="210" w:leftChars="100"/>
              <w:jc w:val="center"/>
              <w:outlineLvl w:val="9"/>
              <w:rPr>
                <w:rFonts w:ascii="宋体" w:hAnsi="宋体" w:cs="楷体"/>
                <w:b/>
                <w:szCs w:val="24"/>
                <w:highlight w:val="none"/>
              </w:rPr>
            </w:pPr>
            <w:r>
              <w:rPr>
                <w:rFonts w:hint="eastAsia" w:ascii="宋体" w:hAnsi="宋体" w:cs="楷体"/>
                <w:b/>
                <w:szCs w:val="24"/>
                <w:highlight w:val="none"/>
              </w:rPr>
              <w:t>偏离说明</w:t>
            </w:r>
          </w:p>
        </w:tc>
      </w:tr>
      <w:tr w14:paraId="74EBA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noWrap w:val="0"/>
            <w:tcMar>
              <w:top w:w="57" w:type="dxa"/>
              <w:left w:w="28" w:type="dxa"/>
              <w:bottom w:w="57" w:type="dxa"/>
              <w:right w:w="28" w:type="dxa"/>
            </w:tcMar>
            <w:vAlign w:val="center"/>
          </w:tcPr>
          <w:p w14:paraId="47C9E690">
            <w:pPr>
              <w:spacing w:line="560" w:lineRule="exact"/>
              <w:ind w:left="210" w:leftChars="100"/>
              <w:outlineLvl w:val="9"/>
              <w:rPr>
                <w:rFonts w:ascii="宋体" w:hAnsi="宋体" w:cs="楷体"/>
                <w:szCs w:val="24"/>
                <w:highlight w:val="none"/>
              </w:rPr>
            </w:pPr>
          </w:p>
        </w:tc>
        <w:tc>
          <w:tcPr>
            <w:tcW w:w="2858" w:type="dxa"/>
            <w:tcBorders>
              <w:bottom w:val="single" w:color="auto" w:sz="4" w:space="0"/>
            </w:tcBorders>
            <w:noWrap w:val="0"/>
            <w:tcMar>
              <w:top w:w="57" w:type="dxa"/>
              <w:left w:w="28" w:type="dxa"/>
              <w:bottom w:w="57" w:type="dxa"/>
              <w:right w:w="28" w:type="dxa"/>
            </w:tcMar>
            <w:vAlign w:val="center"/>
          </w:tcPr>
          <w:p w14:paraId="228F8D86">
            <w:pPr>
              <w:spacing w:line="560" w:lineRule="exact"/>
              <w:ind w:left="210" w:leftChars="100"/>
              <w:outlineLvl w:val="9"/>
              <w:rPr>
                <w:rFonts w:ascii="宋体" w:hAnsi="宋体" w:cs="楷体"/>
                <w:szCs w:val="24"/>
                <w:highlight w:val="none"/>
              </w:rPr>
            </w:pPr>
          </w:p>
        </w:tc>
        <w:tc>
          <w:tcPr>
            <w:tcW w:w="2506" w:type="dxa"/>
            <w:tcBorders>
              <w:bottom w:val="single" w:color="auto" w:sz="4" w:space="0"/>
            </w:tcBorders>
            <w:noWrap w:val="0"/>
            <w:tcMar>
              <w:top w:w="57" w:type="dxa"/>
              <w:left w:w="28" w:type="dxa"/>
              <w:bottom w:w="57" w:type="dxa"/>
              <w:right w:w="28" w:type="dxa"/>
            </w:tcMar>
            <w:vAlign w:val="center"/>
          </w:tcPr>
          <w:p w14:paraId="0D7D3A0C">
            <w:pPr>
              <w:spacing w:line="560" w:lineRule="exact"/>
              <w:ind w:left="210" w:leftChars="100"/>
              <w:outlineLvl w:val="9"/>
              <w:rPr>
                <w:rFonts w:ascii="宋体" w:hAnsi="宋体" w:cs="楷体"/>
                <w:szCs w:val="24"/>
                <w:highlight w:val="none"/>
              </w:rPr>
            </w:pPr>
          </w:p>
        </w:tc>
        <w:tc>
          <w:tcPr>
            <w:tcW w:w="1454" w:type="dxa"/>
            <w:tcBorders>
              <w:bottom w:val="single" w:color="auto" w:sz="4" w:space="0"/>
            </w:tcBorders>
            <w:noWrap w:val="0"/>
            <w:tcMar>
              <w:top w:w="57" w:type="dxa"/>
              <w:left w:w="28" w:type="dxa"/>
              <w:bottom w:w="57" w:type="dxa"/>
              <w:right w:w="28" w:type="dxa"/>
            </w:tcMar>
            <w:vAlign w:val="center"/>
          </w:tcPr>
          <w:p w14:paraId="01CE583C">
            <w:pPr>
              <w:spacing w:line="560" w:lineRule="exact"/>
              <w:ind w:left="210" w:leftChars="100"/>
              <w:outlineLvl w:val="9"/>
              <w:rPr>
                <w:rFonts w:ascii="宋体" w:hAnsi="宋体" w:cs="楷体"/>
                <w:szCs w:val="24"/>
                <w:highlight w:val="none"/>
              </w:rPr>
            </w:pPr>
          </w:p>
        </w:tc>
        <w:tc>
          <w:tcPr>
            <w:tcW w:w="1454" w:type="dxa"/>
            <w:tcBorders>
              <w:bottom w:val="single" w:color="auto" w:sz="4" w:space="0"/>
            </w:tcBorders>
            <w:noWrap w:val="0"/>
            <w:tcMar>
              <w:top w:w="57" w:type="dxa"/>
              <w:left w:w="28" w:type="dxa"/>
              <w:bottom w:w="57" w:type="dxa"/>
              <w:right w:w="28" w:type="dxa"/>
            </w:tcMar>
            <w:vAlign w:val="center"/>
          </w:tcPr>
          <w:p w14:paraId="71DE3A94">
            <w:pPr>
              <w:spacing w:line="560" w:lineRule="exact"/>
              <w:ind w:left="210" w:leftChars="100"/>
              <w:outlineLvl w:val="9"/>
              <w:rPr>
                <w:rFonts w:ascii="宋体" w:hAnsi="宋体" w:cs="楷体"/>
                <w:szCs w:val="24"/>
                <w:highlight w:val="none"/>
              </w:rPr>
            </w:pPr>
          </w:p>
        </w:tc>
      </w:tr>
      <w:tr w14:paraId="42AC27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noWrap w:val="0"/>
            <w:tcMar>
              <w:top w:w="57" w:type="dxa"/>
              <w:left w:w="28" w:type="dxa"/>
              <w:bottom w:w="57" w:type="dxa"/>
              <w:right w:w="28" w:type="dxa"/>
            </w:tcMar>
            <w:vAlign w:val="center"/>
          </w:tcPr>
          <w:p w14:paraId="76501722">
            <w:pPr>
              <w:spacing w:line="560" w:lineRule="exact"/>
              <w:ind w:left="210" w:leftChars="100"/>
              <w:outlineLvl w:val="9"/>
              <w:rPr>
                <w:rFonts w:ascii="宋体" w:hAnsi="宋体" w:cs="楷体"/>
                <w:szCs w:val="24"/>
                <w:highlight w:val="none"/>
              </w:rPr>
            </w:pPr>
          </w:p>
        </w:tc>
        <w:tc>
          <w:tcPr>
            <w:tcW w:w="2858" w:type="dxa"/>
            <w:tcBorders>
              <w:bottom w:val="single" w:color="auto" w:sz="4" w:space="0"/>
            </w:tcBorders>
            <w:noWrap w:val="0"/>
            <w:tcMar>
              <w:top w:w="57" w:type="dxa"/>
              <w:left w:w="28" w:type="dxa"/>
              <w:bottom w:w="57" w:type="dxa"/>
              <w:right w:w="28" w:type="dxa"/>
            </w:tcMar>
            <w:vAlign w:val="center"/>
          </w:tcPr>
          <w:p w14:paraId="1CFB2B10">
            <w:pPr>
              <w:spacing w:line="560" w:lineRule="exact"/>
              <w:ind w:left="210" w:leftChars="100"/>
              <w:outlineLvl w:val="9"/>
              <w:rPr>
                <w:rFonts w:ascii="宋体" w:hAnsi="宋体" w:cs="楷体"/>
                <w:szCs w:val="24"/>
                <w:highlight w:val="none"/>
              </w:rPr>
            </w:pPr>
          </w:p>
        </w:tc>
        <w:tc>
          <w:tcPr>
            <w:tcW w:w="2506" w:type="dxa"/>
            <w:tcBorders>
              <w:bottom w:val="single" w:color="auto" w:sz="4" w:space="0"/>
            </w:tcBorders>
            <w:noWrap w:val="0"/>
            <w:tcMar>
              <w:top w:w="57" w:type="dxa"/>
              <w:left w:w="28" w:type="dxa"/>
              <w:bottom w:w="57" w:type="dxa"/>
              <w:right w:w="28" w:type="dxa"/>
            </w:tcMar>
            <w:vAlign w:val="center"/>
          </w:tcPr>
          <w:p w14:paraId="7B1B1A69">
            <w:pPr>
              <w:spacing w:line="560" w:lineRule="exact"/>
              <w:ind w:left="210" w:leftChars="100"/>
              <w:outlineLvl w:val="9"/>
              <w:rPr>
                <w:rFonts w:ascii="宋体" w:hAnsi="宋体" w:cs="楷体"/>
                <w:szCs w:val="24"/>
                <w:highlight w:val="none"/>
              </w:rPr>
            </w:pPr>
          </w:p>
        </w:tc>
        <w:tc>
          <w:tcPr>
            <w:tcW w:w="1454" w:type="dxa"/>
            <w:tcBorders>
              <w:bottom w:val="single" w:color="auto" w:sz="4" w:space="0"/>
            </w:tcBorders>
            <w:noWrap w:val="0"/>
            <w:tcMar>
              <w:top w:w="57" w:type="dxa"/>
              <w:left w:w="28" w:type="dxa"/>
              <w:bottom w:w="57" w:type="dxa"/>
              <w:right w:w="28" w:type="dxa"/>
            </w:tcMar>
            <w:vAlign w:val="center"/>
          </w:tcPr>
          <w:p w14:paraId="0E4311E7">
            <w:pPr>
              <w:spacing w:line="560" w:lineRule="exact"/>
              <w:ind w:left="210" w:leftChars="100"/>
              <w:outlineLvl w:val="9"/>
              <w:rPr>
                <w:rFonts w:ascii="宋体" w:hAnsi="宋体" w:cs="楷体"/>
                <w:szCs w:val="24"/>
                <w:highlight w:val="none"/>
              </w:rPr>
            </w:pPr>
          </w:p>
        </w:tc>
        <w:tc>
          <w:tcPr>
            <w:tcW w:w="1454" w:type="dxa"/>
            <w:tcBorders>
              <w:bottom w:val="single" w:color="auto" w:sz="4" w:space="0"/>
            </w:tcBorders>
            <w:noWrap w:val="0"/>
            <w:tcMar>
              <w:top w:w="57" w:type="dxa"/>
              <w:left w:w="28" w:type="dxa"/>
              <w:bottom w:w="57" w:type="dxa"/>
              <w:right w:w="28" w:type="dxa"/>
            </w:tcMar>
            <w:vAlign w:val="center"/>
          </w:tcPr>
          <w:p w14:paraId="0D286A86">
            <w:pPr>
              <w:spacing w:line="560" w:lineRule="exact"/>
              <w:ind w:left="210" w:leftChars="100"/>
              <w:outlineLvl w:val="9"/>
              <w:rPr>
                <w:rFonts w:ascii="宋体" w:hAnsi="宋体" w:cs="楷体"/>
                <w:szCs w:val="24"/>
                <w:highlight w:val="none"/>
              </w:rPr>
            </w:pPr>
          </w:p>
        </w:tc>
      </w:tr>
      <w:tr w14:paraId="039F8F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5E2C299C">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546B89D4">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6B0A7B15">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780FF1E5">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5598006D">
            <w:pPr>
              <w:spacing w:line="560" w:lineRule="exact"/>
              <w:ind w:left="210" w:leftChars="100"/>
              <w:outlineLvl w:val="9"/>
              <w:rPr>
                <w:rFonts w:ascii="宋体" w:hAnsi="宋体" w:cs="楷体"/>
                <w:szCs w:val="24"/>
                <w:highlight w:val="none"/>
              </w:rPr>
            </w:pPr>
          </w:p>
        </w:tc>
      </w:tr>
      <w:tr w14:paraId="459A28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71853A99">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7DFF73E9">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59B128D6">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13ACA6DE">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096C4E94">
            <w:pPr>
              <w:spacing w:line="560" w:lineRule="exact"/>
              <w:ind w:left="210" w:leftChars="100"/>
              <w:outlineLvl w:val="9"/>
              <w:rPr>
                <w:rFonts w:ascii="宋体" w:hAnsi="宋体" w:cs="楷体"/>
                <w:szCs w:val="24"/>
                <w:highlight w:val="none"/>
              </w:rPr>
            </w:pPr>
          </w:p>
        </w:tc>
      </w:tr>
      <w:tr w14:paraId="15A6A1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5710807A">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41658950">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51E60A3F">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132CA95A">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5E195FA0">
            <w:pPr>
              <w:spacing w:line="560" w:lineRule="exact"/>
              <w:ind w:left="210" w:leftChars="100"/>
              <w:outlineLvl w:val="9"/>
              <w:rPr>
                <w:rFonts w:ascii="宋体" w:hAnsi="宋体" w:cs="楷体"/>
                <w:szCs w:val="24"/>
                <w:highlight w:val="none"/>
              </w:rPr>
            </w:pPr>
          </w:p>
        </w:tc>
      </w:tr>
      <w:tr w14:paraId="0BAC0E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776B6692">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017FB34C">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7CB6D6F7">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79C97A1A">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484097B6">
            <w:pPr>
              <w:spacing w:line="560" w:lineRule="exact"/>
              <w:ind w:left="210" w:leftChars="100"/>
              <w:outlineLvl w:val="9"/>
              <w:rPr>
                <w:rFonts w:ascii="宋体" w:hAnsi="宋体" w:cs="楷体"/>
                <w:szCs w:val="24"/>
                <w:highlight w:val="none"/>
              </w:rPr>
            </w:pPr>
          </w:p>
        </w:tc>
      </w:tr>
      <w:tr w14:paraId="7B12D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4365F1F4">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5844E0B2">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6F3BC1EB">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785C7662">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428A40B0">
            <w:pPr>
              <w:spacing w:line="560" w:lineRule="exact"/>
              <w:ind w:left="210" w:leftChars="100"/>
              <w:outlineLvl w:val="9"/>
              <w:rPr>
                <w:rFonts w:ascii="宋体" w:hAnsi="宋体" w:cs="楷体"/>
                <w:szCs w:val="24"/>
                <w:highlight w:val="none"/>
              </w:rPr>
            </w:pPr>
          </w:p>
        </w:tc>
      </w:tr>
      <w:tr w14:paraId="08E52A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5379BAE8">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25037D6E">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64ED8771">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52F39133">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2BF06FBA">
            <w:pPr>
              <w:spacing w:line="560" w:lineRule="exact"/>
              <w:ind w:left="210" w:leftChars="100"/>
              <w:outlineLvl w:val="9"/>
              <w:rPr>
                <w:rFonts w:ascii="宋体" w:hAnsi="宋体" w:cs="楷体"/>
                <w:szCs w:val="24"/>
                <w:highlight w:val="none"/>
              </w:rPr>
            </w:pPr>
          </w:p>
        </w:tc>
      </w:tr>
      <w:tr w14:paraId="35CEB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43DCF337">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778E4F83">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69FDB473">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67448C48">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1DF242A5">
            <w:pPr>
              <w:spacing w:line="560" w:lineRule="exact"/>
              <w:ind w:left="210" w:leftChars="100"/>
              <w:outlineLvl w:val="9"/>
              <w:rPr>
                <w:rFonts w:ascii="宋体" w:hAnsi="宋体" w:cs="楷体"/>
                <w:szCs w:val="24"/>
                <w:highlight w:val="none"/>
              </w:rPr>
            </w:pPr>
          </w:p>
        </w:tc>
      </w:tr>
      <w:tr w14:paraId="38C8A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5" w:type="dxa"/>
            <w:tcBorders>
              <w:bottom w:val="single" w:color="auto" w:sz="4" w:space="0"/>
            </w:tcBorders>
            <w:noWrap w:val="0"/>
            <w:tcMar>
              <w:top w:w="57" w:type="dxa"/>
              <w:left w:w="28" w:type="dxa"/>
              <w:bottom w:w="57" w:type="dxa"/>
              <w:right w:w="28" w:type="dxa"/>
            </w:tcMar>
            <w:vAlign w:val="center"/>
          </w:tcPr>
          <w:p w14:paraId="34EBB330">
            <w:pPr>
              <w:spacing w:line="560" w:lineRule="exact"/>
              <w:ind w:left="210" w:leftChars="100"/>
              <w:outlineLvl w:val="9"/>
              <w:rPr>
                <w:rFonts w:ascii="宋体" w:hAnsi="宋体" w:cs="楷体"/>
                <w:szCs w:val="24"/>
                <w:highlight w:val="none"/>
              </w:rPr>
            </w:pPr>
          </w:p>
        </w:tc>
        <w:tc>
          <w:tcPr>
            <w:tcW w:w="2858" w:type="dxa"/>
            <w:tcBorders>
              <w:bottom w:val="single" w:color="auto" w:sz="4" w:space="0"/>
            </w:tcBorders>
            <w:noWrap w:val="0"/>
            <w:tcMar>
              <w:top w:w="57" w:type="dxa"/>
              <w:left w:w="28" w:type="dxa"/>
              <w:bottom w:w="57" w:type="dxa"/>
              <w:right w:w="28" w:type="dxa"/>
            </w:tcMar>
            <w:vAlign w:val="center"/>
          </w:tcPr>
          <w:p w14:paraId="2AAA8BC1">
            <w:pPr>
              <w:spacing w:line="560" w:lineRule="exact"/>
              <w:ind w:left="210" w:leftChars="100"/>
              <w:outlineLvl w:val="9"/>
              <w:rPr>
                <w:rFonts w:ascii="宋体" w:hAnsi="宋体" w:cs="楷体"/>
                <w:szCs w:val="24"/>
                <w:highlight w:val="none"/>
              </w:rPr>
            </w:pPr>
          </w:p>
        </w:tc>
        <w:tc>
          <w:tcPr>
            <w:tcW w:w="2506" w:type="dxa"/>
            <w:tcBorders>
              <w:bottom w:val="single" w:color="auto" w:sz="4" w:space="0"/>
            </w:tcBorders>
            <w:noWrap w:val="0"/>
            <w:tcMar>
              <w:top w:w="57" w:type="dxa"/>
              <w:left w:w="28" w:type="dxa"/>
              <w:bottom w:w="57" w:type="dxa"/>
              <w:right w:w="28" w:type="dxa"/>
            </w:tcMar>
            <w:vAlign w:val="center"/>
          </w:tcPr>
          <w:p w14:paraId="6171E0C3">
            <w:pPr>
              <w:spacing w:line="560" w:lineRule="exact"/>
              <w:ind w:left="210" w:leftChars="100"/>
              <w:outlineLvl w:val="9"/>
              <w:rPr>
                <w:rFonts w:ascii="宋体" w:hAnsi="宋体" w:cs="楷体"/>
                <w:szCs w:val="24"/>
                <w:highlight w:val="none"/>
              </w:rPr>
            </w:pPr>
          </w:p>
        </w:tc>
        <w:tc>
          <w:tcPr>
            <w:tcW w:w="1454" w:type="dxa"/>
            <w:tcBorders>
              <w:bottom w:val="single" w:color="auto" w:sz="4" w:space="0"/>
            </w:tcBorders>
            <w:noWrap w:val="0"/>
            <w:tcMar>
              <w:top w:w="57" w:type="dxa"/>
              <w:left w:w="28" w:type="dxa"/>
              <w:bottom w:w="57" w:type="dxa"/>
              <w:right w:w="28" w:type="dxa"/>
            </w:tcMar>
            <w:vAlign w:val="center"/>
          </w:tcPr>
          <w:p w14:paraId="1E30A6CE">
            <w:pPr>
              <w:spacing w:line="560" w:lineRule="exact"/>
              <w:ind w:left="210" w:leftChars="100"/>
              <w:outlineLvl w:val="9"/>
              <w:rPr>
                <w:rFonts w:ascii="宋体" w:hAnsi="宋体" w:cs="楷体"/>
                <w:szCs w:val="24"/>
                <w:highlight w:val="none"/>
              </w:rPr>
            </w:pPr>
          </w:p>
        </w:tc>
        <w:tc>
          <w:tcPr>
            <w:tcW w:w="1454" w:type="dxa"/>
            <w:tcBorders>
              <w:bottom w:val="single" w:color="auto" w:sz="4" w:space="0"/>
            </w:tcBorders>
            <w:noWrap w:val="0"/>
            <w:tcMar>
              <w:top w:w="57" w:type="dxa"/>
              <w:left w:w="28" w:type="dxa"/>
              <w:bottom w:w="57" w:type="dxa"/>
              <w:right w:w="28" w:type="dxa"/>
            </w:tcMar>
            <w:vAlign w:val="center"/>
          </w:tcPr>
          <w:p w14:paraId="60C7C4A5">
            <w:pPr>
              <w:spacing w:line="560" w:lineRule="exact"/>
              <w:ind w:left="210" w:leftChars="100"/>
              <w:outlineLvl w:val="9"/>
              <w:rPr>
                <w:rFonts w:ascii="宋体" w:hAnsi="宋体" w:cs="楷体"/>
                <w:szCs w:val="24"/>
                <w:highlight w:val="none"/>
              </w:rPr>
            </w:pPr>
          </w:p>
        </w:tc>
      </w:tr>
      <w:tr w14:paraId="4DBD38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16ABF640">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2A408AF5">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7B3A21F7">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78CBEEFF">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3396E139">
            <w:pPr>
              <w:spacing w:line="560" w:lineRule="exact"/>
              <w:ind w:left="210" w:leftChars="100"/>
              <w:outlineLvl w:val="9"/>
              <w:rPr>
                <w:rFonts w:ascii="宋体" w:hAnsi="宋体" w:cs="楷体"/>
                <w:szCs w:val="24"/>
                <w:highlight w:val="none"/>
              </w:rPr>
            </w:pPr>
          </w:p>
        </w:tc>
      </w:tr>
      <w:tr w14:paraId="61228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17BDE06C">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6A87514C">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3555EB4C">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062960ED">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10E19A0A">
            <w:pPr>
              <w:spacing w:line="560" w:lineRule="exact"/>
              <w:ind w:left="210" w:leftChars="100"/>
              <w:outlineLvl w:val="9"/>
              <w:rPr>
                <w:rFonts w:ascii="宋体" w:hAnsi="宋体" w:cs="楷体"/>
                <w:szCs w:val="24"/>
                <w:highlight w:val="none"/>
              </w:rPr>
            </w:pPr>
          </w:p>
        </w:tc>
      </w:tr>
      <w:tr w14:paraId="58DA1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tcMar>
              <w:top w:w="57" w:type="dxa"/>
              <w:left w:w="28" w:type="dxa"/>
              <w:bottom w:w="57" w:type="dxa"/>
              <w:right w:w="28" w:type="dxa"/>
            </w:tcMar>
            <w:vAlign w:val="center"/>
          </w:tcPr>
          <w:p w14:paraId="62C70EE2">
            <w:pPr>
              <w:spacing w:line="560" w:lineRule="exact"/>
              <w:ind w:left="210" w:leftChars="100"/>
              <w:outlineLvl w:val="9"/>
              <w:rPr>
                <w:rFonts w:ascii="宋体" w:hAnsi="宋体" w:cs="楷体"/>
                <w:szCs w:val="24"/>
                <w:highlight w:val="none"/>
              </w:rPr>
            </w:pPr>
          </w:p>
        </w:tc>
        <w:tc>
          <w:tcPr>
            <w:tcW w:w="2858" w:type="dxa"/>
            <w:noWrap w:val="0"/>
            <w:tcMar>
              <w:top w:w="57" w:type="dxa"/>
              <w:left w:w="28" w:type="dxa"/>
              <w:bottom w:w="57" w:type="dxa"/>
              <w:right w:w="28" w:type="dxa"/>
            </w:tcMar>
            <w:vAlign w:val="center"/>
          </w:tcPr>
          <w:p w14:paraId="126E7B71">
            <w:pPr>
              <w:spacing w:line="560" w:lineRule="exact"/>
              <w:ind w:left="210" w:leftChars="100"/>
              <w:outlineLvl w:val="9"/>
              <w:rPr>
                <w:rFonts w:ascii="宋体" w:hAnsi="宋体" w:cs="楷体"/>
                <w:szCs w:val="24"/>
                <w:highlight w:val="none"/>
              </w:rPr>
            </w:pPr>
          </w:p>
        </w:tc>
        <w:tc>
          <w:tcPr>
            <w:tcW w:w="2506" w:type="dxa"/>
            <w:noWrap w:val="0"/>
            <w:tcMar>
              <w:top w:w="57" w:type="dxa"/>
              <w:left w:w="28" w:type="dxa"/>
              <w:bottom w:w="57" w:type="dxa"/>
              <w:right w:w="28" w:type="dxa"/>
            </w:tcMar>
            <w:vAlign w:val="center"/>
          </w:tcPr>
          <w:p w14:paraId="28011DB0">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52EF619D">
            <w:pPr>
              <w:spacing w:line="560" w:lineRule="exact"/>
              <w:ind w:left="210" w:leftChars="100"/>
              <w:outlineLvl w:val="9"/>
              <w:rPr>
                <w:rFonts w:ascii="宋体" w:hAnsi="宋体" w:cs="楷体"/>
                <w:szCs w:val="24"/>
                <w:highlight w:val="none"/>
              </w:rPr>
            </w:pPr>
          </w:p>
        </w:tc>
        <w:tc>
          <w:tcPr>
            <w:tcW w:w="1454" w:type="dxa"/>
            <w:noWrap w:val="0"/>
            <w:tcMar>
              <w:top w:w="57" w:type="dxa"/>
              <w:left w:w="28" w:type="dxa"/>
              <w:bottom w:w="57" w:type="dxa"/>
              <w:right w:w="28" w:type="dxa"/>
            </w:tcMar>
            <w:vAlign w:val="center"/>
          </w:tcPr>
          <w:p w14:paraId="51627D46">
            <w:pPr>
              <w:spacing w:line="560" w:lineRule="exact"/>
              <w:ind w:left="210" w:leftChars="100"/>
              <w:outlineLvl w:val="9"/>
              <w:rPr>
                <w:rFonts w:ascii="宋体" w:hAnsi="宋体" w:cs="楷体"/>
                <w:szCs w:val="24"/>
                <w:highlight w:val="none"/>
              </w:rPr>
            </w:pPr>
          </w:p>
        </w:tc>
      </w:tr>
    </w:tbl>
    <w:p w14:paraId="6862E8FD">
      <w:pPr>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注：如有偏离，须详细说明偏离内容；如未填写空白或未说明，视为对采购文件所列全部条款均响应无偏离。</w:t>
      </w:r>
    </w:p>
    <w:p w14:paraId="07BA7E9B">
      <w:pPr>
        <w:tabs>
          <w:tab w:val="left" w:pos="1260"/>
        </w:tabs>
        <w:spacing w:line="360" w:lineRule="auto"/>
        <w:ind w:firstLine="2356" w:firstLineChars="1122"/>
        <w:outlineLvl w:val="9"/>
        <w:rPr>
          <w:rFonts w:ascii="Times New Roman" w:hAnsi="Times New Roman"/>
          <w:highlight w:val="none"/>
        </w:rPr>
      </w:pPr>
    </w:p>
    <w:p w14:paraId="5A3EB5C1">
      <w:pPr>
        <w:tabs>
          <w:tab w:val="left" w:pos="1260"/>
        </w:tabs>
        <w:spacing w:line="360" w:lineRule="auto"/>
        <w:ind w:firstLine="2356" w:firstLineChars="1122"/>
        <w:outlineLvl w:val="9"/>
        <w:rPr>
          <w:rFonts w:ascii="Times New Roman" w:hAnsi="Times New Roman"/>
          <w:highlight w:val="none"/>
        </w:rPr>
      </w:pPr>
      <w:r>
        <w:rPr>
          <w:rFonts w:ascii="Times New Roman" w:hAnsi="Times New Roman"/>
          <w:highlight w:val="none"/>
        </w:rPr>
        <w:t>投   标   人：________________________（盖章）</w:t>
      </w:r>
    </w:p>
    <w:p w14:paraId="764C868C">
      <w:pPr>
        <w:spacing w:line="360" w:lineRule="auto"/>
        <w:ind w:firstLine="2356" w:firstLineChars="1122"/>
        <w:outlineLvl w:val="9"/>
        <w:rPr>
          <w:rFonts w:ascii="Times New Roman" w:hAnsi="Times New Roman"/>
          <w:highlight w:val="none"/>
        </w:rPr>
      </w:pPr>
      <w:r>
        <w:rPr>
          <w:rFonts w:ascii="Times New Roman" w:hAnsi="Times New Roman"/>
          <w:highlight w:val="none"/>
        </w:rPr>
        <w:t>法定代表人或</w:t>
      </w:r>
    </w:p>
    <w:p w14:paraId="584768A8">
      <w:pPr>
        <w:spacing w:line="360" w:lineRule="auto"/>
        <w:ind w:firstLine="2356" w:firstLineChars="1122"/>
        <w:outlineLvl w:val="9"/>
        <w:rPr>
          <w:rFonts w:ascii="Times New Roman" w:hAnsi="Times New Roman"/>
          <w:highlight w:val="none"/>
        </w:rPr>
      </w:pPr>
      <w:r>
        <w:rPr>
          <w:rFonts w:ascii="Times New Roman" w:hAnsi="Times New Roman"/>
          <w:highlight w:val="none"/>
        </w:rPr>
        <w:t>其授权代理人：___________________（</w:t>
      </w:r>
      <w:r>
        <w:rPr>
          <w:rFonts w:hint="eastAsia" w:ascii="宋体" w:hAnsi="宋体" w:cs="楷体"/>
          <w:szCs w:val="24"/>
          <w:highlight w:val="none"/>
          <w:lang w:val="zh-CN"/>
        </w:rPr>
        <w:t>签字或盖章</w:t>
      </w:r>
      <w:r>
        <w:rPr>
          <w:rFonts w:ascii="Times New Roman" w:hAnsi="Times New Roman"/>
          <w:highlight w:val="none"/>
        </w:rPr>
        <w:t>）</w:t>
      </w:r>
    </w:p>
    <w:p w14:paraId="5B07B736">
      <w:pPr>
        <w:spacing w:line="360" w:lineRule="auto"/>
        <w:ind w:firstLine="2356" w:firstLineChars="1122"/>
        <w:outlineLvl w:val="9"/>
        <w:rPr>
          <w:rFonts w:ascii="Times New Roman" w:hAnsi="Times New Roman"/>
          <w:highlight w:val="none"/>
        </w:rPr>
      </w:pPr>
      <w:r>
        <w:rPr>
          <w:rFonts w:ascii="Times New Roman" w:hAnsi="Times New Roman"/>
          <w:highlight w:val="none"/>
        </w:rPr>
        <w:t>日        期：_________年________月_______日</w:t>
      </w:r>
    </w:p>
    <w:p w14:paraId="1FAFBA5A">
      <w:pPr>
        <w:widowControl/>
        <w:jc w:val="center"/>
        <w:outlineLvl w:val="9"/>
        <w:rPr>
          <w:highlight w:val="none"/>
        </w:rPr>
      </w:pPr>
      <w:r>
        <w:rPr>
          <w:highlight w:val="none"/>
        </w:rPr>
        <w:br w:type="page"/>
      </w:r>
      <w:bookmarkStart w:id="268" w:name="_Toc47418938"/>
      <w:bookmarkStart w:id="269" w:name="_Toc237"/>
      <w:bookmarkStart w:id="270" w:name="_Toc47261690"/>
      <w:bookmarkStart w:id="271" w:name="_Toc48791235"/>
      <w:bookmarkStart w:id="272" w:name="_Toc49019236"/>
      <w:bookmarkStart w:id="273" w:name="_Toc13908"/>
      <w:bookmarkStart w:id="274" w:name="_Toc48995851"/>
      <w:bookmarkStart w:id="275" w:name="_Toc188808839"/>
      <w:bookmarkStart w:id="276" w:name="_Toc193126888"/>
      <w:bookmarkStart w:id="277" w:name="_Toc47262069"/>
      <w:bookmarkStart w:id="278" w:name="_Toc47418255"/>
      <w:bookmarkStart w:id="279" w:name="_Toc193187104"/>
      <w:bookmarkStart w:id="280" w:name="_Toc47418731"/>
      <w:bookmarkStart w:id="281" w:name="_Toc49019497"/>
      <w:bookmarkStart w:id="282" w:name="_Toc47261885"/>
      <w:bookmarkStart w:id="283" w:name="_Toc458617477"/>
      <w:bookmarkStart w:id="284" w:name="_Toc194663925"/>
      <w:r>
        <w:rPr>
          <w:rFonts w:hint="eastAsia"/>
          <w:highlight w:val="none"/>
        </w:rPr>
        <w:t>6.</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Fonts w:hint="eastAsia"/>
          <w:highlight w:val="none"/>
        </w:rPr>
        <w:t>法定代表人身份证明/法定代表人授权书（格式）</w:t>
      </w:r>
    </w:p>
    <w:p w14:paraId="243D70DF">
      <w:pPr>
        <w:spacing w:line="560" w:lineRule="exact"/>
        <w:ind w:left="210" w:leftChars="100"/>
        <w:jc w:val="center"/>
        <w:outlineLvl w:val="9"/>
        <w:rPr>
          <w:rFonts w:hint="eastAsia" w:ascii="宋体" w:hAnsi="宋体" w:cs="楷体"/>
          <w:b/>
          <w:bCs/>
          <w:szCs w:val="24"/>
          <w:highlight w:val="none"/>
        </w:rPr>
      </w:pPr>
      <w:bookmarkStart w:id="285" w:name="_Toc48995852"/>
      <w:bookmarkStart w:id="286" w:name="_Toc47261691"/>
      <w:bookmarkStart w:id="287" w:name="_Toc49019237"/>
      <w:bookmarkStart w:id="288" w:name="_Toc47261886"/>
      <w:bookmarkStart w:id="289" w:name="_Toc48791236"/>
      <w:bookmarkStart w:id="290" w:name="_Toc49019498"/>
      <w:bookmarkStart w:id="291" w:name="_Toc47418256"/>
      <w:bookmarkStart w:id="292" w:name="_Toc47262070"/>
      <w:bookmarkStart w:id="293" w:name="_Toc47418732"/>
      <w:bookmarkStart w:id="294" w:name="_Toc47418939"/>
      <w:r>
        <w:rPr>
          <w:rFonts w:hint="eastAsia" w:ascii="宋体" w:hAnsi="宋体" w:cs="楷体"/>
          <w:b/>
          <w:bCs/>
          <w:szCs w:val="24"/>
          <w:highlight w:val="none"/>
        </w:rPr>
        <w:t>6-1、法定代表人资格证明书</w:t>
      </w:r>
    </w:p>
    <w:p w14:paraId="7707AAA1">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outlineLvl w:val="9"/>
        <w:rPr>
          <w:rFonts w:hint="eastAsia" w:ascii="宋体" w:hAnsi="宋体" w:eastAsia="宋体" w:cs="宋体"/>
          <w:kern w:val="0"/>
          <w:sz w:val="24"/>
          <w:highlight w:val="none"/>
        </w:rPr>
      </w:pPr>
      <w:r>
        <w:rPr>
          <w:rFonts w:hint="eastAsia" w:hAnsi="宋体" w:eastAsia="宋体" w:cs="宋体"/>
          <w:sz w:val="24"/>
          <w:highlight w:val="none"/>
          <w:lang w:eastAsia="zh-CN"/>
        </w:rPr>
        <w:t>供应商</w:t>
      </w:r>
      <w:r>
        <w:rPr>
          <w:rFonts w:hint="eastAsia" w:ascii="宋体" w:hAnsi="宋体" w:eastAsia="宋体" w:cs="宋体"/>
          <w:kern w:val="0"/>
          <w:sz w:val="24"/>
          <w:highlight w:val="none"/>
        </w:rPr>
        <w:t>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14:paraId="2A1B4CF0">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统一社会信用代码：</w:t>
      </w:r>
      <w:r>
        <w:rPr>
          <w:rFonts w:hint="eastAsia" w:ascii="宋体" w:hAnsi="宋体" w:eastAsia="宋体" w:cs="宋体"/>
          <w:kern w:val="0"/>
          <w:sz w:val="24"/>
          <w:highlight w:val="none"/>
          <w:u w:val="single"/>
        </w:rPr>
        <w:t xml:space="preserve">                </w:t>
      </w:r>
    </w:p>
    <w:p w14:paraId="1D016CC7">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注册地址：</w:t>
      </w:r>
      <w:r>
        <w:rPr>
          <w:rFonts w:hint="eastAsia" w:ascii="宋体" w:hAnsi="宋体" w:eastAsia="宋体" w:cs="宋体"/>
          <w:kern w:val="0"/>
          <w:sz w:val="24"/>
          <w:highlight w:val="none"/>
          <w:u w:val="single"/>
        </w:rPr>
        <w:t xml:space="preserve">                        </w:t>
      </w:r>
    </w:p>
    <w:p w14:paraId="7A51EB08">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成立时间：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年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14:paraId="183CA859">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outlineLvl w:val="9"/>
        <w:rPr>
          <w:rFonts w:hint="eastAsia" w:ascii="宋体" w:hAnsi="宋体" w:eastAsia="宋体" w:cs="宋体"/>
          <w:kern w:val="0"/>
          <w:sz w:val="24"/>
          <w:highlight w:val="none"/>
          <w:u w:val="single"/>
        </w:rPr>
      </w:pPr>
      <w:r>
        <w:rPr>
          <w:rFonts w:hint="eastAsia" w:ascii="宋体" w:hAnsi="宋体" w:eastAsia="宋体" w:cs="宋体"/>
          <w:kern w:val="0"/>
          <w:sz w:val="24"/>
          <w:highlight w:val="none"/>
        </w:rPr>
        <w:t>经营期限：</w:t>
      </w:r>
      <w:r>
        <w:rPr>
          <w:rFonts w:hint="eastAsia" w:ascii="宋体" w:hAnsi="宋体" w:eastAsia="宋体" w:cs="宋体"/>
          <w:kern w:val="0"/>
          <w:sz w:val="24"/>
          <w:highlight w:val="none"/>
          <w:u w:val="single"/>
        </w:rPr>
        <w:t xml:space="preserve">                  </w:t>
      </w:r>
    </w:p>
    <w:p w14:paraId="46438937">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姓名：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性别：</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年龄：</w:t>
      </w:r>
      <w:r>
        <w:rPr>
          <w:rFonts w:hint="eastAsia" w:ascii="宋体" w:hAnsi="宋体" w:eastAsia="宋体" w:cs="宋体"/>
          <w:kern w:val="0"/>
          <w:sz w:val="24"/>
          <w:highlight w:val="none"/>
          <w:u w:val="single"/>
        </w:rPr>
        <w:t xml:space="preserve"> </w:t>
      </w:r>
      <w:r>
        <w:rPr>
          <w:rFonts w:hint="eastAsia"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系</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hAnsi="宋体" w:eastAsia="宋体" w:cs="宋体"/>
          <w:kern w:val="0"/>
          <w:sz w:val="24"/>
          <w:highlight w:val="none"/>
          <w:lang w:eastAsia="zh-CN"/>
        </w:rPr>
        <w:t>供应商</w:t>
      </w:r>
      <w:r>
        <w:rPr>
          <w:rFonts w:hint="eastAsia" w:ascii="宋体" w:hAnsi="宋体" w:eastAsia="宋体" w:cs="宋体"/>
          <w:kern w:val="0"/>
          <w:sz w:val="24"/>
          <w:highlight w:val="none"/>
        </w:rPr>
        <w:t>名称）的法定代表人。</w:t>
      </w:r>
    </w:p>
    <w:p w14:paraId="03C49BA5">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特此证明。</w:t>
      </w:r>
    </w:p>
    <w:p w14:paraId="5D24C7E1">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20" w:firstLineChars="200"/>
        <w:jc w:val="left"/>
        <w:textAlignment w:val="auto"/>
        <w:outlineLvl w:val="9"/>
        <w:rPr>
          <w:rFonts w:hint="eastAsia" w:ascii="宋体" w:hAnsi="宋体" w:eastAsia="宋体" w:cs="宋体"/>
          <w:kern w:val="0"/>
          <w:szCs w:val="21"/>
          <w:highlight w:val="none"/>
        </w:rPr>
      </w:pPr>
      <w:r>
        <w:rPr>
          <w:rFonts w:hint="eastAsia" w:ascii="宋体" w:hAnsi="宋体" w:eastAsia="宋体" w:cs="宋体"/>
          <w:szCs w:val="21"/>
          <w:highlight w:val="none"/>
        </w:rPr>
        <w:t>附：法定代表人身份证复印件</w:t>
      </w:r>
      <w:r>
        <w:rPr>
          <w:rFonts w:hint="eastAsia" w:ascii="宋体" w:hAnsi="宋体" w:eastAsia="宋体" w:cs="宋体"/>
          <w:color w:val="000000"/>
          <w:szCs w:val="21"/>
          <w:highlight w:val="none"/>
          <w:lang w:val="zh-CN"/>
        </w:rPr>
        <w:t>（正反面）</w:t>
      </w:r>
    </w:p>
    <w:p w14:paraId="539E1D09">
      <w:pPr>
        <w:adjustRightInd w:val="0"/>
        <w:snapToGrid w:val="0"/>
        <w:spacing w:line="360" w:lineRule="auto"/>
        <w:ind w:right="420"/>
        <w:outlineLvl w:val="9"/>
        <w:rPr>
          <w:rFonts w:hint="eastAsia" w:ascii="宋体" w:hAnsi="宋体" w:eastAsia="宋体" w:cs="宋体"/>
          <w:sz w:val="24"/>
          <w:highlight w:val="none"/>
        </w:rPr>
      </w:pPr>
    </w:p>
    <w:p w14:paraId="2C786002">
      <w:pPr>
        <w:pStyle w:val="8"/>
        <w:tabs>
          <w:tab w:val="left" w:pos="420"/>
        </w:tabs>
        <w:outlineLvl w:val="9"/>
        <w:rPr>
          <w:rFonts w:hint="eastAsia" w:ascii="宋体" w:hAnsi="宋体" w:eastAsia="宋体" w:cs="宋体"/>
          <w:sz w:val="24"/>
          <w:highlight w:val="none"/>
        </w:rPr>
      </w:pPr>
    </w:p>
    <w:p w14:paraId="158C6103">
      <w:pPr>
        <w:outlineLvl w:val="9"/>
        <w:rPr>
          <w:rFonts w:hint="eastAsia" w:ascii="宋体" w:hAnsi="宋体" w:eastAsia="宋体" w:cs="宋体"/>
          <w:sz w:val="24"/>
          <w:highlight w:val="none"/>
        </w:rPr>
      </w:pPr>
    </w:p>
    <w:p w14:paraId="48D2F2E5">
      <w:pPr>
        <w:pStyle w:val="8"/>
        <w:tabs>
          <w:tab w:val="left" w:pos="420"/>
        </w:tabs>
        <w:outlineLvl w:val="9"/>
        <w:rPr>
          <w:rFonts w:hint="eastAsia" w:ascii="宋体" w:hAnsi="宋体" w:eastAsia="宋体" w:cs="宋体"/>
          <w:sz w:val="24"/>
          <w:highlight w:val="none"/>
        </w:rPr>
      </w:pPr>
    </w:p>
    <w:p w14:paraId="43DA4140">
      <w:pPr>
        <w:outlineLvl w:val="9"/>
        <w:rPr>
          <w:rFonts w:hint="eastAsia" w:ascii="宋体" w:hAnsi="宋体" w:eastAsia="宋体" w:cs="宋体"/>
          <w:sz w:val="24"/>
          <w:highlight w:val="none"/>
        </w:rPr>
      </w:pPr>
    </w:p>
    <w:p w14:paraId="6B8340DC">
      <w:pPr>
        <w:outlineLvl w:val="9"/>
        <w:rPr>
          <w:rFonts w:hint="eastAsia"/>
          <w:highlight w:val="none"/>
        </w:rPr>
      </w:pPr>
    </w:p>
    <w:p w14:paraId="4C1CBAB3">
      <w:pPr>
        <w:pStyle w:val="8"/>
        <w:tabs>
          <w:tab w:val="left" w:pos="420"/>
        </w:tabs>
        <w:outlineLvl w:val="9"/>
        <w:rPr>
          <w:rFonts w:hint="eastAsia" w:ascii="宋体" w:hAnsi="宋体" w:eastAsia="宋体" w:cs="宋体"/>
          <w:sz w:val="24"/>
          <w:highlight w:val="none"/>
        </w:rPr>
      </w:pPr>
    </w:p>
    <w:p w14:paraId="4CAD074E">
      <w:pPr>
        <w:outlineLvl w:val="9"/>
        <w:rPr>
          <w:rFonts w:hint="eastAsia"/>
          <w:highlight w:val="none"/>
        </w:rPr>
      </w:pPr>
    </w:p>
    <w:p w14:paraId="0D884635">
      <w:pPr>
        <w:adjustRightInd w:val="0"/>
        <w:snapToGrid w:val="0"/>
        <w:spacing w:line="360" w:lineRule="auto"/>
        <w:ind w:right="420"/>
        <w:outlineLvl w:val="9"/>
        <w:rPr>
          <w:rFonts w:hint="eastAsia" w:ascii="宋体" w:hAnsi="宋体" w:eastAsia="宋体" w:cs="宋体"/>
          <w:sz w:val="24"/>
          <w:highlight w:val="none"/>
        </w:rPr>
      </w:pPr>
    </w:p>
    <w:p w14:paraId="31A002ED">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outlineLvl w:val="9"/>
        <w:rPr>
          <w:rFonts w:hint="eastAsia" w:ascii="宋体" w:hAnsi="宋体" w:eastAsia="宋体" w:cs="宋体"/>
          <w:sz w:val="24"/>
          <w:highlight w:val="none"/>
        </w:rPr>
      </w:pPr>
      <w:r>
        <w:rPr>
          <w:rFonts w:hint="eastAsia" w:hAnsi="宋体" w:eastAsia="宋体" w:cs="宋体"/>
          <w:sz w:val="24"/>
          <w:highlight w:val="none"/>
          <w:lang w:eastAsia="zh-CN"/>
        </w:rPr>
        <w:t>供应商</w:t>
      </w:r>
      <w:r>
        <w:rPr>
          <w:rFonts w:hint="eastAsia" w:ascii="宋体" w:hAnsi="宋体" w:eastAsia="宋体" w:cs="宋体"/>
          <w:sz w:val="24"/>
          <w:highlight w:val="none"/>
        </w:rPr>
        <w:t>名称</w:t>
      </w:r>
      <w:r>
        <w:rPr>
          <w:rFonts w:hint="eastAsia" w:hAnsi="宋体" w:eastAsia="宋体" w:cs="宋体"/>
          <w:sz w:val="24"/>
          <w:highlight w:val="none"/>
          <w:lang w:eastAsia="zh-CN"/>
        </w:rPr>
        <w:t>：</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盖单位公章</w:t>
      </w:r>
      <w:r>
        <w:rPr>
          <w:rFonts w:hint="eastAsia" w:ascii="宋体" w:hAnsi="宋体" w:eastAsia="宋体" w:cs="宋体"/>
          <w:sz w:val="24"/>
          <w:highlight w:val="none"/>
        </w:rPr>
        <w:t>）</w:t>
      </w:r>
    </w:p>
    <w:p w14:paraId="6F4EC423">
      <w:pPr>
        <w:keepNext w:val="0"/>
        <w:keepLines w:val="0"/>
        <w:pageBreakBefore w:val="0"/>
        <w:widowControl w:val="0"/>
        <w:kinsoku/>
        <w:wordWrap/>
        <w:overflowPunct/>
        <w:topLinePunct w:val="0"/>
        <w:autoSpaceDE/>
        <w:autoSpaceDN/>
        <w:bidi w:val="0"/>
        <w:adjustRightInd w:val="0"/>
        <w:snapToGrid w:val="0"/>
        <w:spacing w:line="480" w:lineRule="auto"/>
        <w:ind w:right="0"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日</w:t>
      </w:r>
      <w:r>
        <w:rPr>
          <w:rFonts w:hint="eastAsia" w:hAnsi="宋体" w:eastAsia="宋体" w:cs="宋体"/>
          <w:sz w:val="24"/>
          <w:highlight w:val="none"/>
          <w:lang w:val="en-US" w:eastAsia="zh-CN"/>
        </w:rPr>
        <w:t xml:space="preserve">   </w:t>
      </w:r>
      <w:r>
        <w:rPr>
          <w:rFonts w:hint="eastAsia" w:ascii="宋体" w:hAnsi="宋体" w:eastAsia="宋体" w:cs="宋体"/>
          <w:sz w:val="24"/>
          <w:highlight w:val="none"/>
        </w:rPr>
        <w:t>期：</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8E11D67">
      <w:pPr>
        <w:pStyle w:val="8"/>
        <w:numPr>
          <w:ilvl w:val="0"/>
          <w:numId w:val="0"/>
        </w:numPr>
        <w:tabs>
          <w:tab w:val="left" w:pos="420"/>
        </w:tabs>
        <w:ind w:leftChars="200"/>
        <w:outlineLvl w:val="9"/>
        <w:rPr>
          <w:rFonts w:hint="eastAsia"/>
          <w:color w:val="auto"/>
          <w:highlight w:val="none"/>
        </w:rPr>
      </w:pPr>
    </w:p>
    <w:p w14:paraId="021D3A79">
      <w:pPr>
        <w:pStyle w:val="8"/>
        <w:numPr>
          <w:ilvl w:val="0"/>
          <w:numId w:val="0"/>
        </w:numPr>
        <w:tabs>
          <w:tab w:val="left" w:pos="420"/>
        </w:tabs>
        <w:jc w:val="left"/>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说明：</w:t>
      </w:r>
      <w:r>
        <w:rPr>
          <w:rFonts w:hint="eastAsia" w:ascii="宋体" w:hAnsi="宋体" w:eastAsia="宋体" w:cs="宋体"/>
          <w:b/>
          <w:bCs/>
          <w:color w:val="auto"/>
          <w:sz w:val="24"/>
          <w:szCs w:val="24"/>
          <w:highlight w:val="none"/>
          <w:lang w:val="zh-CN" w:eastAsia="zh-CN"/>
        </w:rPr>
        <w:t>仅限法定代表人参加时提供。</w:t>
      </w:r>
    </w:p>
    <w:p w14:paraId="08A81553">
      <w:pPr>
        <w:spacing w:line="560" w:lineRule="exact"/>
        <w:jc w:val="center"/>
        <w:outlineLvl w:val="9"/>
        <w:rPr>
          <w:rFonts w:hint="eastAsia" w:ascii="宋体" w:hAnsi="宋体" w:cs="楷体"/>
          <w:b/>
          <w:bCs/>
          <w:szCs w:val="24"/>
          <w:highlight w:val="none"/>
        </w:rPr>
      </w:pPr>
      <w:r>
        <w:rPr>
          <w:rFonts w:hint="eastAsia" w:ascii="宋体" w:hAnsi="宋体" w:cs="楷体"/>
          <w:b/>
          <w:bCs/>
          <w:szCs w:val="24"/>
          <w:highlight w:val="none"/>
        </w:rPr>
        <w:br w:type="page"/>
      </w:r>
      <w:r>
        <w:rPr>
          <w:rFonts w:hint="eastAsia" w:ascii="宋体" w:hAnsi="宋体" w:cs="楷体"/>
          <w:b/>
          <w:bCs/>
          <w:szCs w:val="24"/>
          <w:highlight w:val="none"/>
        </w:rPr>
        <w:t>6-2、法定代表人授权委托书</w:t>
      </w:r>
    </w:p>
    <w:p w14:paraId="70104E8F">
      <w:pPr>
        <w:pStyle w:val="8"/>
        <w:tabs>
          <w:tab w:val="left" w:pos="420"/>
        </w:tabs>
        <w:outlineLvl w:val="9"/>
        <w:rPr>
          <w:rFonts w:hint="eastAsia" w:ascii="宋体" w:hAnsi="宋体" w:cs="楷体"/>
          <w:b/>
          <w:bCs/>
          <w:szCs w:val="24"/>
          <w:highlight w:val="none"/>
        </w:rPr>
      </w:pPr>
    </w:p>
    <w:bookmarkEnd w:id="285"/>
    <w:bookmarkEnd w:id="286"/>
    <w:bookmarkEnd w:id="287"/>
    <w:bookmarkEnd w:id="288"/>
    <w:bookmarkEnd w:id="289"/>
    <w:bookmarkEnd w:id="290"/>
    <w:bookmarkEnd w:id="291"/>
    <w:bookmarkEnd w:id="292"/>
    <w:bookmarkEnd w:id="293"/>
    <w:bookmarkEnd w:id="294"/>
    <w:p w14:paraId="221B9AAC">
      <w:pPr>
        <w:spacing w:line="560" w:lineRule="exact"/>
        <w:jc w:val="left"/>
        <w:outlineLvl w:val="9"/>
        <w:rPr>
          <w:rFonts w:hint="eastAsia" w:ascii="宋体" w:hAnsi="宋体" w:eastAsia="宋体" w:cs="宋体"/>
          <w:spacing w:val="4"/>
          <w:szCs w:val="24"/>
          <w:highlight w:val="none"/>
          <w:lang w:eastAsia="zh-CN"/>
        </w:rPr>
      </w:pPr>
      <w:bookmarkStart w:id="295" w:name="_Toc28085"/>
      <w:bookmarkStart w:id="296" w:name="_Toc458617478"/>
      <w:bookmarkStart w:id="297" w:name="_Toc5659"/>
      <w:r>
        <w:rPr>
          <w:rFonts w:hint="eastAsia" w:ascii="宋体" w:hAnsi="宋体" w:eastAsia="宋体" w:cs="宋体"/>
          <w:b/>
          <w:spacing w:val="4"/>
          <w:szCs w:val="24"/>
          <w:highlight w:val="none"/>
        </w:rPr>
        <w:t>致：</w:t>
      </w:r>
      <w:r>
        <w:rPr>
          <w:rFonts w:hint="eastAsia" w:ascii="宋体" w:hAnsi="宋体" w:cs="宋体"/>
          <w:b/>
          <w:spacing w:val="4"/>
          <w:szCs w:val="24"/>
          <w:highlight w:val="none"/>
          <w:u w:val="single"/>
          <w:lang w:val="en-US" w:eastAsia="zh-CN"/>
        </w:rPr>
        <w:t xml:space="preserve"> </w:t>
      </w:r>
    </w:p>
    <w:p w14:paraId="30E42A16">
      <w:pPr>
        <w:spacing w:line="560" w:lineRule="exact"/>
        <w:ind w:firstLine="436" w:firstLineChars="200"/>
        <w:jc w:val="left"/>
        <w:outlineLvl w:val="9"/>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w:t>
      </w:r>
      <w:r>
        <w:rPr>
          <w:rFonts w:hint="eastAsia" w:hAnsi="宋体" w:eastAsia="宋体" w:cs="宋体"/>
          <w:spacing w:val="4"/>
          <w:szCs w:val="24"/>
          <w:highlight w:val="none"/>
          <w:u w:val="single"/>
          <w:lang w:eastAsia="zh-CN"/>
        </w:rPr>
        <w:t>供应商</w:t>
      </w:r>
      <w:r>
        <w:rPr>
          <w:rFonts w:hint="eastAsia" w:ascii="宋体" w:hAnsi="宋体" w:eastAsia="宋体" w:cs="宋体"/>
          <w:spacing w:val="4"/>
          <w:szCs w:val="24"/>
          <w:highlight w:val="none"/>
          <w:u w:val="single"/>
        </w:rPr>
        <w:t>名称)</w:t>
      </w:r>
      <w:r>
        <w:rPr>
          <w:rFonts w:hint="eastAsia" w:ascii="宋体" w:hAnsi="宋体" w:eastAsia="宋体" w:cs="宋体"/>
          <w:spacing w:val="4"/>
          <w:szCs w:val="24"/>
          <w:highlight w:val="none"/>
          <w:u w:val="single"/>
          <w:lang w:val="en-US" w:eastAsia="zh-CN"/>
        </w:rPr>
        <w:t xml:space="preserve">   </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none"/>
        </w:rPr>
        <w:t>（</w:t>
      </w:r>
      <w:r>
        <w:rPr>
          <w:rFonts w:hint="eastAsia" w:ascii="宋体" w:hAnsi="宋体" w:eastAsia="宋体" w:cs="宋体"/>
          <w:spacing w:val="4"/>
          <w:szCs w:val="24"/>
          <w:highlight w:val="none"/>
          <w:u w:val="single"/>
        </w:rPr>
        <w:t xml:space="preserve"> </w:t>
      </w:r>
      <w:r>
        <w:rPr>
          <w:rFonts w:hint="eastAsia" w:hAnsi="宋体" w:eastAsia="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u w:val="none"/>
        </w:rPr>
        <w:t>年</w:t>
      </w:r>
      <w:r>
        <w:rPr>
          <w:rFonts w:hint="eastAsia" w:ascii="宋体" w:hAnsi="宋体" w:eastAsia="宋体" w:cs="宋体"/>
          <w:spacing w:val="4"/>
          <w:szCs w:val="24"/>
          <w:highlight w:val="none"/>
          <w:u w:val="single"/>
        </w:rPr>
        <w:t xml:space="preserve"> </w:t>
      </w:r>
      <w:r>
        <w:rPr>
          <w:rFonts w:hint="eastAsia" w:hAnsi="宋体" w:eastAsia="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u w:val="none"/>
        </w:rPr>
        <w:t>月</w:t>
      </w:r>
      <w:r>
        <w:rPr>
          <w:rFonts w:hint="eastAsia" w:ascii="宋体" w:hAnsi="宋体" w:eastAsia="宋体" w:cs="宋体"/>
          <w:spacing w:val="4"/>
          <w:szCs w:val="24"/>
          <w:highlight w:val="none"/>
          <w:u w:val="single"/>
        </w:rPr>
        <w:t xml:space="preserve"> </w:t>
      </w:r>
      <w:r>
        <w:rPr>
          <w:rFonts w:hint="eastAsia" w:hAnsi="宋体" w:eastAsia="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u w:val="none"/>
        </w:rPr>
        <w:t>日 ）</w:t>
      </w:r>
      <w:r>
        <w:rPr>
          <w:rFonts w:hint="eastAsia" w:ascii="宋体" w:hAnsi="宋体" w:eastAsia="宋体" w:cs="宋体"/>
          <w:spacing w:val="4"/>
          <w:szCs w:val="24"/>
          <w:highlight w:val="none"/>
          <w:u w:val="none"/>
          <w:lang w:val="en-US" w:eastAsia="zh-CN"/>
        </w:rPr>
        <w:t xml:space="preserve">  </w:t>
      </w:r>
      <w:r>
        <w:rPr>
          <w:rFonts w:hint="eastAsia" w:ascii="宋体" w:hAnsi="宋体" w:eastAsia="宋体" w:cs="宋体"/>
          <w:spacing w:val="4"/>
          <w:szCs w:val="24"/>
          <w:highlight w:val="none"/>
        </w:rPr>
        <w:t>成立。</w:t>
      </w:r>
      <w:r>
        <w:rPr>
          <w:rFonts w:hint="eastAsia" w:ascii="宋体" w:hAnsi="宋体" w:eastAsia="宋体" w:cs="宋体"/>
          <w:szCs w:val="24"/>
          <w:highlight w:val="none"/>
          <w:u w:val="none"/>
        </w:rPr>
        <w:t>法定代表人</w:t>
      </w:r>
      <w:r>
        <w:rPr>
          <w:rFonts w:hint="eastAsia" w:hAnsi="宋体" w:eastAsia="宋体" w:cs="宋体"/>
          <w:szCs w:val="24"/>
          <w:highlight w:val="none"/>
          <w:u w:val="single"/>
          <w:lang w:val="en-US" w:eastAsia="zh-CN"/>
        </w:rPr>
        <w:t xml:space="preserve">  </w:t>
      </w:r>
      <w:r>
        <w:rPr>
          <w:rFonts w:hint="eastAsia" w:ascii="宋体" w:hAnsi="宋体" w:eastAsia="宋体" w:cs="宋体"/>
          <w:spacing w:val="4"/>
          <w:szCs w:val="24"/>
          <w:highlight w:val="none"/>
          <w:u w:val="single"/>
        </w:rPr>
        <w:t>姓名</w:t>
      </w:r>
      <w:r>
        <w:rPr>
          <w:rFonts w:hint="eastAsia" w:hAnsi="宋体" w:eastAsia="宋体" w:cs="宋体"/>
          <w:spacing w:val="4"/>
          <w:szCs w:val="24"/>
          <w:highlight w:val="none"/>
          <w:u w:val="single"/>
          <w:lang w:val="en-US" w:eastAsia="zh-CN"/>
        </w:rPr>
        <w:t xml:space="preserve">   </w:t>
      </w:r>
      <w:r>
        <w:rPr>
          <w:rFonts w:hint="eastAsia" w:ascii="宋体" w:hAnsi="宋体" w:eastAsia="宋体" w:cs="宋体"/>
          <w:spacing w:val="4"/>
          <w:szCs w:val="24"/>
          <w:highlight w:val="none"/>
        </w:rPr>
        <w:t>特授权</w:t>
      </w:r>
      <w:r>
        <w:rPr>
          <w:rFonts w:hint="eastAsia" w:hAnsi="宋体" w:eastAsia="宋体" w:cs="宋体"/>
          <w:spacing w:val="4"/>
          <w:szCs w:val="24"/>
          <w:highlight w:val="none"/>
          <w:u w:val="single"/>
          <w:lang w:val="en-US" w:eastAsia="zh-CN"/>
        </w:rPr>
        <w:t xml:space="preserve">  </w:t>
      </w:r>
      <w:r>
        <w:rPr>
          <w:rFonts w:hint="eastAsia" w:hAnsi="宋体" w:eastAsia="宋体" w:cs="宋体"/>
          <w:szCs w:val="24"/>
          <w:highlight w:val="none"/>
          <w:u w:val="single"/>
          <w:lang w:eastAsia="zh-CN"/>
        </w:rPr>
        <w:t>被授权人</w:t>
      </w:r>
      <w:r>
        <w:rPr>
          <w:rFonts w:hint="eastAsia" w:ascii="宋体" w:hAnsi="宋体" w:eastAsia="宋体" w:cs="宋体"/>
          <w:spacing w:val="4"/>
          <w:szCs w:val="24"/>
          <w:highlight w:val="none"/>
          <w:u w:val="single"/>
        </w:rPr>
        <w:t>姓名</w:t>
      </w:r>
      <w:r>
        <w:rPr>
          <w:rFonts w:hint="eastAsia" w:hAnsi="宋体" w:eastAsia="宋体" w:cs="宋体"/>
          <w:spacing w:val="4"/>
          <w:szCs w:val="24"/>
          <w:highlight w:val="none"/>
          <w:u w:val="single"/>
          <w:lang w:val="en-US" w:eastAsia="zh-CN"/>
        </w:rPr>
        <w:t xml:space="preserve">  </w:t>
      </w:r>
      <w:r>
        <w:rPr>
          <w:rFonts w:hint="eastAsia" w:ascii="宋体" w:hAnsi="宋体" w:eastAsia="宋体" w:cs="宋体"/>
          <w:spacing w:val="4"/>
          <w:szCs w:val="24"/>
          <w:highlight w:val="none"/>
        </w:rPr>
        <w:t>代表我公司全权办理针对本次</w:t>
      </w:r>
      <w:r>
        <w:rPr>
          <w:rFonts w:hint="eastAsia" w:hAnsi="宋体" w:eastAsia="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lang w:eastAsia="zh-CN"/>
        </w:rPr>
        <w:t>项目名称、</w:t>
      </w:r>
      <w:r>
        <w:rPr>
          <w:rFonts w:hint="eastAsia" w:ascii="宋体" w:hAnsi="宋体" w:eastAsia="宋体" w:cs="宋体"/>
          <w:spacing w:val="4"/>
          <w:szCs w:val="24"/>
          <w:highlight w:val="none"/>
          <w:u w:val="single"/>
        </w:rPr>
        <w:t xml:space="preserve">项目编号   </w:t>
      </w:r>
      <w:r>
        <w:rPr>
          <w:rFonts w:hint="eastAsia" w:ascii="宋体" w:hAnsi="宋体" w:eastAsia="宋体" w:cs="宋体"/>
          <w:spacing w:val="4"/>
          <w:szCs w:val="24"/>
          <w:highlight w:val="none"/>
        </w:rPr>
        <w:t>投标、谈判、签约等具体工作，并签署全部有关的文件、协议及合同。</w:t>
      </w:r>
    </w:p>
    <w:p w14:paraId="5AA9E97A">
      <w:pPr>
        <w:spacing w:line="560" w:lineRule="exact"/>
        <w:ind w:firstLine="436" w:firstLineChars="200"/>
        <w:jc w:val="left"/>
        <w:outlineLvl w:val="9"/>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hAnsi="宋体" w:eastAsia="宋体" w:cs="宋体"/>
          <w:szCs w:val="24"/>
          <w:highlight w:val="none"/>
          <w:lang w:eastAsia="zh-CN"/>
        </w:rPr>
        <w:t>被授权人</w:t>
      </w:r>
      <w:r>
        <w:rPr>
          <w:rFonts w:hint="eastAsia" w:ascii="宋体" w:hAnsi="宋体" w:eastAsia="宋体" w:cs="宋体"/>
          <w:spacing w:val="4"/>
          <w:szCs w:val="24"/>
          <w:highlight w:val="none"/>
        </w:rPr>
        <w:t>的签名负全部责任。</w:t>
      </w:r>
    </w:p>
    <w:p w14:paraId="7A6B5099">
      <w:pPr>
        <w:spacing w:line="560" w:lineRule="exact"/>
        <w:ind w:right="204" w:rightChars="97" w:firstLine="420" w:firstLineChars="200"/>
        <w:jc w:val="left"/>
        <w:outlineLvl w:val="9"/>
        <w:rPr>
          <w:rFonts w:hint="eastAsia" w:hAnsi="宋体" w:eastAsia="宋体" w:cs="宋体"/>
          <w:b w:val="0"/>
          <w:bCs w:val="0"/>
          <w:highlight w:val="none"/>
          <w:u w:val="none"/>
          <w:lang w:val="en-US" w:eastAsia="zh-CN"/>
        </w:rPr>
      </w:pPr>
      <w:r>
        <w:rPr>
          <w:rFonts w:hint="eastAsia" w:hAnsi="宋体" w:eastAsia="宋体" w:cs="宋体"/>
          <w:b w:val="0"/>
          <w:bCs w:val="0"/>
          <w:szCs w:val="24"/>
          <w:highlight w:val="none"/>
          <w:lang w:eastAsia="zh-CN"/>
        </w:rPr>
        <w:t>本授权有效期与投标有效期一致</w:t>
      </w:r>
      <w:r>
        <w:rPr>
          <w:rFonts w:hint="eastAsia" w:hAnsi="宋体" w:eastAsia="宋体" w:cs="宋体"/>
          <w:b w:val="0"/>
          <w:bCs w:val="0"/>
          <w:highlight w:val="none"/>
          <w:u w:val="none"/>
          <w:lang w:val="en-US" w:eastAsia="zh-CN"/>
        </w:rPr>
        <w:t>。</w:t>
      </w:r>
    </w:p>
    <w:tbl>
      <w:tblPr>
        <w:tblStyle w:val="20"/>
        <w:tblW w:w="0" w:type="auto"/>
        <w:tblInd w:w="633" w:type="dxa"/>
        <w:tblLayout w:type="fixed"/>
        <w:tblCellMar>
          <w:top w:w="0" w:type="dxa"/>
          <w:left w:w="108" w:type="dxa"/>
          <w:bottom w:w="0" w:type="dxa"/>
          <w:right w:w="108" w:type="dxa"/>
        </w:tblCellMar>
      </w:tblPr>
      <w:tblGrid>
        <w:gridCol w:w="4200"/>
        <w:gridCol w:w="3990"/>
      </w:tblGrid>
      <w:tr w14:paraId="283C40D9">
        <w:tblPrEx>
          <w:tblCellMar>
            <w:top w:w="0" w:type="dxa"/>
            <w:left w:w="108" w:type="dxa"/>
            <w:bottom w:w="0" w:type="dxa"/>
            <w:right w:w="108" w:type="dxa"/>
          </w:tblCellMar>
        </w:tblPrEx>
        <w:trPr>
          <w:trHeight w:val="600" w:hRule="atLeast"/>
        </w:trPr>
        <w:tc>
          <w:tcPr>
            <w:tcW w:w="4200" w:type="dxa"/>
            <w:noWrap w:val="0"/>
            <w:vAlign w:val="top"/>
          </w:tcPr>
          <w:p w14:paraId="1135DC13">
            <w:pPr>
              <w:spacing w:line="520" w:lineRule="exact"/>
              <w:jc w:val="left"/>
              <w:outlineLvl w:val="9"/>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w:t>
            </w:r>
            <w:r>
              <w:rPr>
                <w:rFonts w:hint="eastAsia" w:hAnsi="宋体" w:eastAsia="宋体" w:cs="宋体"/>
                <w:spacing w:val="4"/>
                <w:szCs w:val="24"/>
                <w:highlight w:val="none"/>
                <w:lang w:eastAsia="zh-CN"/>
              </w:rPr>
              <w:t>签字或盖章</w:t>
            </w:r>
            <w:r>
              <w:rPr>
                <w:rFonts w:hint="eastAsia" w:ascii="宋体" w:hAnsi="宋体" w:eastAsia="宋体" w:cs="宋体"/>
                <w:spacing w:val="4"/>
                <w:szCs w:val="24"/>
                <w:highlight w:val="none"/>
              </w:rPr>
              <w:t>：</w:t>
            </w:r>
          </w:p>
        </w:tc>
        <w:tc>
          <w:tcPr>
            <w:tcW w:w="3990" w:type="dxa"/>
            <w:noWrap w:val="0"/>
            <w:vAlign w:val="top"/>
          </w:tcPr>
          <w:p w14:paraId="57502E5C">
            <w:pPr>
              <w:spacing w:line="520" w:lineRule="exact"/>
              <w:jc w:val="left"/>
              <w:outlineLvl w:val="9"/>
              <w:rPr>
                <w:rFonts w:hint="eastAsia" w:ascii="宋体" w:hAnsi="宋体" w:eastAsia="宋体" w:cs="宋体"/>
                <w:spacing w:val="4"/>
                <w:szCs w:val="24"/>
                <w:highlight w:val="none"/>
              </w:rPr>
            </w:pPr>
            <w:r>
              <w:rPr>
                <w:rFonts w:hint="eastAsia" w:ascii="宋体" w:hAnsi="宋体" w:eastAsia="宋体" w:cs="宋体"/>
                <w:szCs w:val="24"/>
                <w:highlight w:val="none"/>
              </w:rPr>
              <w:t>法定代表</w:t>
            </w:r>
            <w:r>
              <w:rPr>
                <w:rFonts w:hint="eastAsia" w:ascii="宋体" w:hAnsi="宋体" w:eastAsia="宋体" w:cs="宋体"/>
                <w:szCs w:val="24"/>
                <w:highlight w:val="none"/>
                <w:lang w:eastAsia="zh-CN"/>
              </w:rPr>
              <w:t>人</w:t>
            </w:r>
            <w:r>
              <w:rPr>
                <w:rFonts w:hint="eastAsia" w:hAnsi="宋体" w:eastAsia="宋体" w:cs="宋体"/>
                <w:spacing w:val="4"/>
                <w:szCs w:val="24"/>
                <w:highlight w:val="none"/>
                <w:lang w:eastAsia="zh-CN"/>
              </w:rPr>
              <w:t>签字或盖章</w:t>
            </w:r>
            <w:r>
              <w:rPr>
                <w:rFonts w:hint="eastAsia" w:ascii="宋体" w:hAnsi="宋体" w:eastAsia="宋体" w:cs="宋体"/>
                <w:spacing w:val="4"/>
                <w:szCs w:val="24"/>
                <w:highlight w:val="none"/>
              </w:rPr>
              <w:t>：</w:t>
            </w:r>
          </w:p>
        </w:tc>
      </w:tr>
      <w:tr w14:paraId="0712F092">
        <w:tblPrEx>
          <w:tblCellMar>
            <w:top w:w="0" w:type="dxa"/>
            <w:left w:w="108" w:type="dxa"/>
            <w:bottom w:w="0" w:type="dxa"/>
            <w:right w:w="108" w:type="dxa"/>
          </w:tblCellMar>
        </w:tblPrEx>
        <w:trPr>
          <w:trHeight w:val="600" w:hRule="atLeast"/>
        </w:trPr>
        <w:tc>
          <w:tcPr>
            <w:tcW w:w="4200" w:type="dxa"/>
            <w:noWrap w:val="0"/>
            <w:vAlign w:val="top"/>
          </w:tcPr>
          <w:p w14:paraId="6B9A74A7">
            <w:pPr>
              <w:spacing w:line="520" w:lineRule="exact"/>
              <w:jc w:val="left"/>
              <w:outlineLvl w:val="9"/>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2B358DAC">
            <w:pPr>
              <w:spacing w:line="520" w:lineRule="exact"/>
              <w:jc w:val="left"/>
              <w:outlineLvl w:val="9"/>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bl>
    <w:p w14:paraId="78F60EF7">
      <w:pPr>
        <w:spacing w:before="240" w:line="360" w:lineRule="auto"/>
        <w:ind w:firstLine="480" w:firstLineChars="200"/>
        <w:outlineLvl w:val="9"/>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lang w:val="zh-CN"/>
        </w:rPr>
        <w:t>附法定代表人</w:t>
      </w:r>
      <w:r>
        <w:rPr>
          <w:rFonts w:hint="eastAsia" w:hAnsi="宋体" w:eastAsia="宋体" w:cs="宋体"/>
          <w:color w:val="000000"/>
          <w:sz w:val="24"/>
          <w:highlight w:val="none"/>
          <w:lang w:val="zh-CN"/>
        </w:rPr>
        <w:t>身份证复印件及被授权人</w:t>
      </w:r>
      <w:r>
        <w:rPr>
          <w:rFonts w:hint="eastAsia" w:ascii="宋体" w:hAnsi="宋体" w:eastAsia="宋体" w:cs="宋体"/>
          <w:color w:val="000000"/>
          <w:sz w:val="24"/>
          <w:highlight w:val="none"/>
          <w:lang w:val="zh-CN"/>
        </w:rPr>
        <w:t>身份证复印件</w:t>
      </w:r>
      <w:r>
        <w:rPr>
          <w:rFonts w:hint="eastAsia" w:ascii="宋体" w:hAnsi="宋体" w:eastAsia="宋体" w:cs="宋体"/>
          <w:color w:val="000000"/>
          <w:szCs w:val="21"/>
          <w:highlight w:val="none"/>
          <w:lang w:val="zh-CN"/>
        </w:rPr>
        <w:t>（正反面）</w:t>
      </w:r>
    </w:p>
    <w:p w14:paraId="4BF392DF">
      <w:pPr>
        <w:spacing w:line="480" w:lineRule="auto"/>
        <w:ind w:left="424" w:leftChars="202" w:right="540" w:rightChars="257"/>
        <w:jc w:val="left"/>
        <w:outlineLvl w:val="9"/>
        <w:rPr>
          <w:rFonts w:hint="eastAsia" w:hAnsi="宋体" w:eastAsia="宋体" w:cs="宋体"/>
          <w:highlight w:val="none"/>
          <w:lang w:eastAsia="zh-CN"/>
        </w:rPr>
      </w:pPr>
    </w:p>
    <w:p w14:paraId="65C519D2">
      <w:pPr>
        <w:spacing w:line="480" w:lineRule="auto"/>
        <w:ind w:left="424" w:leftChars="202" w:right="540" w:rightChars="257"/>
        <w:jc w:val="left"/>
        <w:outlineLvl w:val="9"/>
        <w:rPr>
          <w:rFonts w:hint="eastAsia" w:hAnsi="宋体" w:eastAsia="宋体" w:cs="宋体"/>
          <w:highlight w:val="none"/>
          <w:lang w:eastAsia="zh-CN"/>
        </w:rPr>
      </w:pPr>
    </w:p>
    <w:p w14:paraId="22D1FAE0">
      <w:pPr>
        <w:spacing w:line="480" w:lineRule="auto"/>
        <w:ind w:left="424" w:leftChars="202" w:right="540" w:rightChars="257"/>
        <w:jc w:val="left"/>
        <w:outlineLvl w:val="9"/>
        <w:rPr>
          <w:rFonts w:hint="eastAsia" w:hAnsi="宋体" w:eastAsia="宋体" w:cs="宋体"/>
          <w:highlight w:val="none"/>
          <w:lang w:eastAsia="zh-CN"/>
        </w:rPr>
      </w:pPr>
    </w:p>
    <w:p w14:paraId="134B4F8B">
      <w:pPr>
        <w:adjustRightInd w:val="0"/>
        <w:snapToGrid w:val="0"/>
        <w:spacing w:line="360" w:lineRule="auto"/>
        <w:ind w:right="420"/>
        <w:outlineLvl w:val="9"/>
        <w:rPr>
          <w:rFonts w:hint="eastAsia" w:ascii="宋体" w:hAnsi="宋体" w:eastAsia="宋体" w:cs="宋体"/>
          <w:sz w:val="24"/>
          <w:highlight w:val="none"/>
        </w:rPr>
      </w:pPr>
    </w:p>
    <w:p w14:paraId="2612999B">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outlineLvl w:val="9"/>
        <w:rPr>
          <w:rFonts w:hint="eastAsia" w:ascii="宋体" w:hAnsi="宋体" w:eastAsia="宋体" w:cs="宋体"/>
          <w:sz w:val="24"/>
          <w:highlight w:val="none"/>
        </w:rPr>
      </w:pPr>
      <w:r>
        <w:rPr>
          <w:rFonts w:hint="eastAsia" w:hAnsi="宋体" w:eastAsia="宋体" w:cs="宋体"/>
          <w:sz w:val="24"/>
          <w:highlight w:val="none"/>
          <w:lang w:eastAsia="zh-CN"/>
        </w:rPr>
        <w:t>供应商</w:t>
      </w:r>
      <w:r>
        <w:rPr>
          <w:rFonts w:hint="eastAsia" w:ascii="宋体" w:hAnsi="宋体" w:eastAsia="宋体" w:cs="宋体"/>
          <w:sz w:val="24"/>
          <w:highlight w:val="none"/>
        </w:rPr>
        <w:t>名称</w:t>
      </w:r>
      <w:r>
        <w:rPr>
          <w:rFonts w:hint="eastAsia" w:hAnsi="宋体" w:eastAsia="宋体" w:cs="宋体"/>
          <w:sz w:val="24"/>
          <w:highlight w:val="none"/>
          <w:lang w:eastAsia="zh-CN"/>
        </w:rPr>
        <w:t>：</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盖单位公章</w:t>
      </w:r>
      <w:r>
        <w:rPr>
          <w:rFonts w:hint="eastAsia" w:ascii="宋体" w:hAnsi="宋体" w:eastAsia="宋体" w:cs="宋体"/>
          <w:sz w:val="24"/>
          <w:highlight w:val="none"/>
        </w:rPr>
        <w:t>）</w:t>
      </w:r>
    </w:p>
    <w:p w14:paraId="452C19D3">
      <w:pPr>
        <w:keepNext w:val="0"/>
        <w:keepLines w:val="0"/>
        <w:pageBreakBefore w:val="0"/>
        <w:widowControl w:val="0"/>
        <w:kinsoku/>
        <w:wordWrap/>
        <w:overflowPunct/>
        <w:topLinePunct w:val="0"/>
        <w:autoSpaceDE/>
        <w:autoSpaceDN/>
        <w:bidi w:val="0"/>
        <w:adjustRightInd w:val="0"/>
        <w:snapToGrid w:val="0"/>
        <w:spacing w:line="720" w:lineRule="auto"/>
        <w:ind w:right="0"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日</w:t>
      </w:r>
      <w:r>
        <w:rPr>
          <w:rFonts w:hint="eastAsia" w:hAnsi="宋体" w:eastAsia="宋体" w:cs="宋体"/>
          <w:sz w:val="24"/>
          <w:highlight w:val="none"/>
          <w:lang w:val="en-US" w:eastAsia="zh-CN"/>
        </w:rPr>
        <w:t xml:space="preserve">   </w:t>
      </w:r>
      <w:r>
        <w:rPr>
          <w:rFonts w:hint="eastAsia" w:ascii="宋体" w:hAnsi="宋体" w:eastAsia="宋体" w:cs="宋体"/>
          <w:sz w:val="24"/>
          <w:highlight w:val="none"/>
        </w:rPr>
        <w:t>期：</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749636A">
      <w:pPr>
        <w:ind w:firstLine="422" w:firstLineChars="200"/>
        <w:outlineLvl w:val="9"/>
        <w:rPr>
          <w:rFonts w:hint="eastAsia" w:ascii="宋体" w:hAnsi="宋体" w:eastAsia="宋体" w:cs="宋体"/>
          <w:b/>
          <w:bCs/>
          <w:highlight w:val="none"/>
          <w:lang w:val="zh-CN"/>
        </w:rPr>
      </w:pPr>
    </w:p>
    <w:p w14:paraId="596B0096">
      <w:pPr>
        <w:ind w:firstLine="422" w:firstLineChars="200"/>
        <w:outlineLvl w:val="9"/>
        <w:rPr>
          <w:rFonts w:hint="eastAsia" w:ascii="宋体" w:hAnsi="宋体" w:eastAsia="宋体" w:cs="宋体"/>
          <w:b/>
          <w:bCs/>
          <w:color w:val="FF0000"/>
          <w:highlight w:val="none"/>
          <w:lang w:val="zh-CN"/>
        </w:rPr>
      </w:pPr>
    </w:p>
    <w:p w14:paraId="4A13AB92">
      <w:pPr>
        <w:pStyle w:val="8"/>
        <w:numPr>
          <w:ilvl w:val="0"/>
          <w:numId w:val="0"/>
        </w:numPr>
        <w:tabs>
          <w:tab w:val="left" w:pos="420"/>
        </w:tabs>
        <w:ind w:left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说明：</w:t>
      </w:r>
      <w:r>
        <w:rPr>
          <w:rFonts w:hint="eastAsia" w:ascii="宋体" w:hAnsi="宋体" w:eastAsia="宋体" w:cs="宋体"/>
          <w:b/>
          <w:bCs/>
          <w:color w:val="auto"/>
          <w:sz w:val="24"/>
          <w:szCs w:val="24"/>
          <w:highlight w:val="none"/>
          <w:lang w:val="en-US" w:eastAsia="zh-CN"/>
        </w:rPr>
        <w:t>法定代表人直接投标时无需提供。</w:t>
      </w:r>
    </w:p>
    <w:p w14:paraId="55CA3647">
      <w:pPr>
        <w:outlineLvl w:val="9"/>
        <w:rPr>
          <w:rFonts w:hint="eastAsia" w:ascii="宋体" w:hAnsi="宋体" w:eastAsia="宋体" w:cs="宋体"/>
          <w:b/>
          <w:bCs/>
          <w:color w:val="auto"/>
          <w:sz w:val="24"/>
          <w:szCs w:val="24"/>
          <w:highlight w:val="none"/>
          <w:lang w:val="en-US" w:eastAsia="zh-CN"/>
        </w:rPr>
      </w:pPr>
    </w:p>
    <w:p w14:paraId="278C5726">
      <w:pPr>
        <w:pStyle w:val="8"/>
        <w:tabs>
          <w:tab w:val="left" w:pos="420"/>
        </w:tabs>
        <w:outlineLvl w:val="9"/>
        <w:rPr>
          <w:rFonts w:hint="eastAsia" w:ascii="宋体" w:hAnsi="宋体" w:eastAsia="宋体" w:cs="宋体"/>
          <w:b/>
          <w:bCs/>
          <w:color w:val="auto"/>
          <w:sz w:val="24"/>
          <w:szCs w:val="24"/>
          <w:highlight w:val="none"/>
          <w:lang w:val="en-US" w:eastAsia="zh-CN"/>
        </w:rPr>
      </w:pPr>
    </w:p>
    <w:p w14:paraId="10EACB91">
      <w:pPr>
        <w:outlineLvl w:val="9"/>
        <w:rPr>
          <w:rFonts w:hint="eastAsia" w:ascii="宋体" w:hAnsi="宋体" w:eastAsia="宋体" w:cs="宋体"/>
          <w:b/>
          <w:bCs/>
          <w:color w:val="auto"/>
          <w:sz w:val="24"/>
          <w:szCs w:val="24"/>
          <w:highlight w:val="none"/>
          <w:lang w:val="en-US" w:eastAsia="zh-CN"/>
        </w:rPr>
      </w:pPr>
    </w:p>
    <w:p w14:paraId="76532015">
      <w:pPr>
        <w:pStyle w:val="8"/>
        <w:tabs>
          <w:tab w:val="left" w:pos="420"/>
        </w:tabs>
        <w:outlineLvl w:val="9"/>
        <w:rPr>
          <w:rFonts w:hint="eastAsia"/>
          <w:highlight w:val="none"/>
          <w:lang w:val="en-US" w:eastAsia="zh-CN"/>
        </w:rPr>
      </w:pPr>
    </w:p>
    <w:p w14:paraId="3570BB5A">
      <w:pPr>
        <w:rPr>
          <w:rFonts w:hint="eastAsia"/>
          <w:highlight w:val="none"/>
          <w:lang w:val="en-US" w:eastAsia="zh-CN"/>
        </w:rPr>
      </w:pPr>
    </w:p>
    <w:p w14:paraId="0693EA7E">
      <w:pPr>
        <w:pStyle w:val="29"/>
        <w:rPr>
          <w:rFonts w:hint="eastAsia"/>
          <w:lang w:val="en-US" w:eastAsia="zh-CN"/>
        </w:rPr>
      </w:pPr>
    </w:p>
    <w:p w14:paraId="38F81CEB">
      <w:pPr>
        <w:outlineLvl w:val="9"/>
        <w:rPr>
          <w:rFonts w:hint="eastAsia"/>
          <w:highlight w:val="none"/>
          <w:lang w:val="zh-CN"/>
        </w:rPr>
      </w:pPr>
    </w:p>
    <w:p w14:paraId="5F45F71F">
      <w:pPr>
        <w:jc w:val="center"/>
        <w:outlineLvl w:val="9"/>
        <w:rPr>
          <w:rFonts w:hint="eastAsia" w:ascii="宋体" w:hAnsi="宋体" w:cs="楷体"/>
          <w:highlight w:val="none"/>
        </w:rPr>
      </w:pPr>
      <w:r>
        <w:rPr>
          <w:rFonts w:hint="eastAsia"/>
          <w:highlight w:val="none"/>
        </w:rPr>
        <w:t>7.资格证明文件</w:t>
      </w:r>
      <w:bookmarkEnd w:id="235"/>
      <w:bookmarkEnd w:id="236"/>
      <w:bookmarkEnd w:id="237"/>
      <w:bookmarkEnd w:id="238"/>
      <w:bookmarkEnd w:id="295"/>
      <w:bookmarkEnd w:id="296"/>
      <w:bookmarkEnd w:id="297"/>
      <w:r>
        <w:rPr>
          <w:rFonts w:hint="eastAsia"/>
          <w:highlight w:val="none"/>
        </w:rPr>
        <w:t>（按下列要求逐条提供相应的证明资料）</w:t>
      </w:r>
    </w:p>
    <w:p w14:paraId="4685B9B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szCs w:val="24"/>
          <w:highlight w:val="none"/>
          <w:lang w:val="en-US" w:eastAsia="zh-CN"/>
        </w:rPr>
      </w:pPr>
      <w:r>
        <w:rPr>
          <w:rFonts w:hint="eastAsia" w:hAnsi="宋体" w:eastAsia="宋体" w:cs="宋体"/>
          <w:b/>
          <w:bCs/>
          <w:szCs w:val="24"/>
          <w:highlight w:val="none"/>
          <w:lang w:val="en-US" w:eastAsia="zh-CN"/>
        </w:rPr>
        <w:t>（一）</w:t>
      </w:r>
      <w:r>
        <w:rPr>
          <w:rFonts w:hint="eastAsia" w:ascii="宋体" w:hAnsi="宋体" w:eastAsia="宋体" w:cs="宋体"/>
          <w:b/>
          <w:bCs/>
          <w:szCs w:val="24"/>
          <w:highlight w:val="none"/>
          <w:lang w:val="en-US" w:eastAsia="zh-CN"/>
        </w:rPr>
        <w:t>基本资格条件：符合《中华人民共和国政府采购法》第二十二条的规定</w:t>
      </w:r>
      <w:r>
        <w:rPr>
          <w:rFonts w:hint="eastAsia" w:hAnsi="宋体" w:eastAsia="宋体" w:cs="宋体"/>
          <w:b/>
          <w:bCs/>
          <w:szCs w:val="24"/>
          <w:highlight w:val="none"/>
          <w:lang w:val="en-US" w:eastAsia="zh-CN"/>
        </w:rPr>
        <w:t>，并提供以下资料</w:t>
      </w:r>
      <w:r>
        <w:rPr>
          <w:rFonts w:hint="eastAsia" w:ascii="宋体" w:hAnsi="宋体" w:eastAsia="宋体" w:cs="宋体"/>
          <w:b/>
          <w:bCs/>
          <w:szCs w:val="24"/>
          <w:highlight w:val="none"/>
          <w:lang w:val="en-US" w:eastAsia="zh-CN"/>
        </w:rPr>
        <w:t>；</w:t>
      </w:r>
    </w:p>
    <w:p w14:paraId="60E92E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eastAsia="宋体" w:cs="宋体"/>
          <w:b w:val="0"/>
          <w:bCs w:val="0"/>
          <w:szCs w:val="24"/>
          <w:highlight w:val="none"/>
          <w:lang w:val="en-US" w:eastAsia="zh-CN"/>
        </w:rPr>
      </w:pPr>
      <w:r>
        <w:rPr>
          <w:rFonts w:hint="eastAsia" w:hAnsi="宋体" w:eastAsia="宋体" w:cs="宋体"/>
          <w:b w:val="0"/>
          <w:bCs w:val="0"/>
          <w:szCs w:val="24"/>
          <w:highlight w:val="none"/>
          <w:lang w:val="en-US" w:eastAsia="zh-CN"/>
        </w:rPr>
        <w:t>（1）投标人为企业法人应提供合法有效的标识有统一社会信用代码的营业执照；事业法人应提供事业单位法人证书；其他组织应提供合法登记证明文件；</w:t>
      </w:r>
    </w:p>
    <w:p w14:paraId="4390B1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eastAsia="宋体" w:cs="宋体"/>
          <w:b w:val="0"/>
          <w:bCs w:val="0"/>
          <w:szCs w:val="24"/>
          <w:highlight w:val="none"/>
          <w:lang w:val="en-US" w:eastAsia="zh-CN"/>
        </w:rPr>
      </w:pPr>
      <w:r>
        <w:rPr>
          <w:rFonts w:hint="eastAsia" w:hAnsi="宋体" w:eastAsia="宋体" w:cs="宋体"/>
          <w:b w:val="0"/>
          <w:bCs w:val="0"/>
          <w:szCs w:val="24"/>
          <w:highlight w:val="none"/>
          <w:lang w:val="en-US" w:eastAsia="zh-CN"/>
        </w:rPr>
        <w:t>（2）法定代表人身份证或法定代表人授权委托书和委托代理人的身份证。法定代表人授权委托书应当与投标文件中所提供的相一致；</w:t>
      </w:r>
    </w:p>
    <w:p w14:paraId="1E7E7A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eastAsia="宋体" w:cs="宋体"/>
          <w:b w:val="0"/>
          <w:bCs w:val="0"/>
          <w:szCs w:val="24"/>
          <w:highlight w:val="none"/>
          <w:lang w:val="en-US" w:eastAsia="zh-CN"/>
        </w:rPr>
      </w:pPr>
      <w:r>
        <w:rPr>
          <w:rFonts w:hint="eastAsia" w:hAnsi="宋体" w:eastAsia="宋体" w:cs="宋体"/>
          <w:b w:val="0"/>
          <w:bCs w:val="0"/>
          <w:szCs w:val="24"/>
          <w:highlight w:val="none"/>
          <w:lang w:val="en-US" w:eastAsia="zh-CN"/>
        </w:rPr>
        <w:t>（3）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14:paraId="38A3A8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eastAsia="宋体" w:cs="宋体"/>
          <w:b w:val="0"/>
          <w:bCs w:val="0"/>
          <w:szCs w:val="24"/>
          <w:highlight w:val="none"/>
          <w:lang w:val="en-US" w:eastAsia="zh-CN"/>
        </w:rPr>
      </w:pPr>
      <w:r>
        <w:rPr>
          <w:rFonts w:hint="eastAsia" w:hAnsi="宋体" w:eastAsia="宋体" w:cs="宋体"/>
          <w:b w:val="0"/>
          <w:bCs w:val="0"/>
          <w:szCs w:val="24"/>
          <w:highlight w:val="none"/>
          <w:lang w:val="en-US" w:eastAsia="zh-CN"/>
        </w:rPr>
        <w:t>（4）投标人须提供投标截止日前半年内任意一个月的纳税及社保缴纳的证明材料（如依法免税的，应提供相应文件证明其依法免税；如依法不需要缴纳社会保险费的，应提供相应文件证明其不需要缴纳社会保险费）；</w:t>
      </w:r>
    </w:p>
    <w:p w14:paraId="2D70FB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eastAsia="宋体" w:cs="宋体"/>
          <w:b w:val="0"/>
          <w:bCs w:val="0"/>
          <w:szCs w:val="24"/>
          <w:highlight w:val="none"/>
          <w:lang w:val="en-US" w:eastAsia="zh-CN"/>
        </w:rPr>
      </w:pPr>
      <w:r>
        <w:rPr>
          <w:rFonts w:hint="eastAsia" w:hAnsi="宋体" w:eastAsia="宋体" w:cs="宋体"/>
          <w:b w:val="0"/>
          <w:bCs w:val="0"/>
          <w:szCs w:val="24"/>
          <w:highlight w:val="none"/>
          <w:lang w:val="en-US" w:eastAsia="zh-CN"/>
        </w:rPr>
        <w:t>（5）投标人应具备良好的商业信誉，提供参加政府采购活动前3年内在经营活动中没有重大违法记录的书面声明；</w:t>
      </w:r>
    </w:p>
    <w:p w14:paraId="1F5438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Cs w:val="24"/>
          <w:highlight w:val="none"/>
          <w:lang w:val="en-US" w:eastAsia="zh-CN"/>
        </w:rPr>
      </w:pPr>
      <w:r>
        <w:rPr>
          <w:rFonts w:hint="eastAsia" w:hAnsi="宋体" w:eastAsia="宋体" w:cs="宋体"/>
          <w:b/>
          <w:bCs/>
          <w:szCs w:val="24"/>
          <w:highlight w:val="none"/>
          <w:lang w:val="en-US" w:eastAsia="zh-CN"/>
        </w:rPr>
        <w:t>（二）</w:t>
      </w:r>
      <w:r>
        <w:rPr>
          <w:rFonts w:hint="eastAsia" w:ascii="宋体" w:hAnsi="宋体" w:eastAsia="宋体" w:cs="宋体"/>
          <w:b/>
          <w:bCs/>
          <w:szCs w:val="24"/>
          <w:highlight w:val="none"/>
          <w:lang w:val="en-US" w:eastAsia="zh-CN"/>
        </w:rPr>
        <w:t>落实政府采购政策需满足的资格要求：</w:t>
      </w:r>
      <w:r>
        <w:rPr>
          <w:rFonts w:hint="eastAsia"/>
          <w:highlight w:val="none"/>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14:paraId="64DB20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center"/>
        <w:textAlignment w:val="auto"/>
        <w:outlineLvl w:val="9"/>
        <w:rPr>
          <w:rFonts w:hint="eastAsia"/>
          <w:highlight w:val="none"/>
        </w:rPr>
      </w:pPr>
      <w:r>
        <w:rPr>
          <w:rFonts w:hint="eastAsia" w:ascii="宋体" w:hAnsi="宋体" w:eastAsia="宋体" w:cs="宋体"/>
          <w:b w:val="0"/>
          <w:bCs w:val="0"/>
          <w:sz w:val="24"/>
          <w:szCs w:val="24"/>
          <w:highlight w:val="none"/>
          <w:lang w:val="en-US" w:eastAsia="zh-CN"/>
        </w:rPr>
        <w:br w:type="page"/>
      </w:r>
      <w:r>
        <w:rPr>
          <w:rFonts w:hint="eastAsia"/>
          <w:highlight w:val="none"/>
        </w:rPr>
        <w:t>8.</w:t>
      </w:r>
      <w:r>
        <w:rPr>
          <w:rFonts w:hint="eastAsia"/>
          <w:highlight w:val="none"/>
          <w:lang w:val="en-US" w:eastAsia="zh-CN"/>
        </w:rPr>
        <w:t>3</w:t>
      </w:r>
      <w:r>
        <w:rPr>
          <w:rFonts w:hint="eastAsia"/>
          <w:highlight w:val="none"/>
        </w:rPr>
        <w:t>年项目业绩</w:t>
      </w:r>
      <w:bookmarkStart w:id="298" w:name="_Toc188808842"/>
      <w:bookmarkStart w:id="299" w:name="_Toc193126891"/>
    </w:p>
    <w:p w14:paraId="0AB53DCC">
      <w:pPr>
        <w:spacing w:line="360" w:lineRule="auto"/>
        <w:ind w:firstLine="480"/>
        <w:jc w:val="center"/>
        <w:outlineLvl w:val="9"/>
        <w:rPr>
          <w:rFonts w:ascii="Times New Roman" w:hAnsi="Times New Roman"/>
          <w:b/>
          <w:szCs w:val="28"/>
          <w:highlight w:val="none"/>
        </w:rPr>
      </w:pPr>
      <w:bookmarkStart w:id="300" w:name="_Toc458617479"/>
      <w:bookmarkStart w:id="301" w:name="_Toc14386"/>
      <w:bookmarkStart w:id="302" w:name="_Toc937"/>
      <w:r>
        <w:rPr>
          <w:rFonts w:ascii="Times New Roman" w:hAnsi="Times New Roman"/>
          <w:b/>
          <w:szCs w:val="28"/>
          <w:highlight w:val="none"/>
        </w:rPr>
        <w:t>项目业绩一览表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2838"/>
        <w:gridCol w:w="1513"/>
        <w:gridCol w:w="1580"/>
        <w:gridCol w:w="1140"/>
        <w:gridCol w:w="832"/>
        <w:gridCol w:w="834"/>
      </w:tblGrid>
      <w:tr w14:paraId="3F829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2E18D7C6">
            <w:pPr>
              <w:adjustRightInd w:val="0"/>
              <w:snapToGrid w:val="0"/>
              <w:jc w:val="center"/>
              <w:outlineLvl w:val="9"/>
              <w:rPr>
                <w:rFonts w:hint="eastAsia" w:ascii="宋体" w:hAnsi="宋体" w:eastAsia="宋体" w:cs="宋体"/>
                <w:bCs/>
                <w:w w:val="90"/>
                <w:sz w:val="24"/>
                <w:szCs w:val="24"/>
                <w:highlight w:val="none"/>
                <w:lang w:eastAsia="zh-CN"/>
              </w:rPr>
            </w:pPr>
            <w:r>
              <w:rPr>
                <w:rFonts w:hint="eastAsia" w:ascii="宋体" w:hAnsi="宋体" w:eastAsia="宋体" w:cs="宋体"/>
                <w:bCs/>
                <w:sz w:val="24"/>
                <w:szCs w:val="24"/>
                <w:highlight w:val="none"/>
                <w:lang w:val="en-US" w:eastAsia="zh-CN"/>
              </w:rPr>
              <w:t>序号</w:t>
            </w:r>
          </w:p>
        </w:tc>
        <w:tc>
          <w:tcPr>
            <w:tcW w:w="2838" w:type="dxa"/>
            <w:noWrap w:val="0"/>
            <w:vAlign w:val="center"/>
          </w:tcPr>
          <w:p w14:paraId="5CFA4F7F">
            <w:pPr>
              <w:adjustRightInd w:val="0"/>
              <w:snapToGrid w:val="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项目名称</w:t>
            </w:r>
          </w:p>
        </w:tc>
        <w:tc>
          <w:tcPr>
            <w:tcW w:w="1513" w:type="dxa"/>
            <w:noWrap w:val="0"/>
            <w:vAlign w:val="center"/>
          </w:tcPr>
          <w:p w14:paraId="0D9809B4">
            <w:pPr>
              <w:adjustRightInd w:val="0"/>
              <w:snapToGrid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（类似项目/相关项目）</w:t>
            </w:r>
          </w:p>
        </w:tc>
        <w:tc>
          <w:tcPr>
            <w:tcW w:w="1580" w:type="dxa"/>
            <w:noWrap w:val="0"/>
            <w:vAlign w:val="center"/>
          </w:tcPr>
          <w:p w14:paraId="36CD36B4">
            <w:pPr>
              <w:adjustRightInd w:val="0"/>
              <w:snapToGrid w:val="0"/>
              <w:jc w:val="center"/>
              <w:outlineLvl w:val="9"/>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完成</w:t>
            </w:r>
            <w:r>
              <w:rPr>
                <w:rFonts w:hint="eastAsia" w:ascii="宋体" w:hAnsi="宋体" w:eastAsia="宋体" w:cs="宋体"/>
                <w:bCs/>
                <w:sz w:val="24"/>
                <w:szCs w:val="24"/>
                <w:highlight w:val="none"/>
                <w:lang w:val="en-US" w:eastAsia="zh-CN"/>
              </w:rPr>
              <w:t>日期</w:t>
            </w:r>
          </w:p>
        </w:tc>
        <w:tc>
          <w:tcPr>
            <w:tcW w:w="1140" w:type="dxa"/>
            <w:noWrap w:val="0"/>
            <w:vAlign w:val="center"/>
          </w:tcPr>
          <w:p w14:paraId="6F62E784">
            <w:pPr>
              <w:adjustRightInd w:val="0"/>
              <w:snapToGrid w:val="0"/>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合同额</w:t>
            </w:r>
          </w:p>
        </w:tc>
        <w:tc>
          <w:tcPr>
            <w:tcW w:w="832" w:type="dxa"/>
            <w:noWrap w:val="0"/>
            <w:vAlign w:val="center"/>
          </w:tcPr>
          <w:p w14:paraId="69A946D2">
            <w:pPr>
              <w:adjustRightInd w:val="0"/>
              <w:snapToGrid w:val="0"/>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业主名称、联系人及电话</w:t>
            </w:r>
          </w:p>
        </w:tc>
        <w:tc>
          <w:tcPr>
            <w:tcW w:w="834" w:type="dxa"/>
            <w:noWrap w:val="0"/>
            <w:vAlign w:val="center"/>
          </w:tcPr>
          <w:p w14:paraId="1466579C">
            <w:pPr>
              <w:adjustRightInd w:val="0"/>
              <w:snapToGrid w:val="0"/>
              <w:jc w:val="center"/>
              <w:outlineLvl w:val="9"/>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备注</w:t>
            </w:r>
          </w:p>
        </w:tc>
      </w:tr>
      <w:tr w14:paraId="049BD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696AEEC5">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19B8C94B">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2D3A1679">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6F0FF524">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33FD29B0">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5D79A6C1">
            <w:pPr>
              <w:adjustRightInd w:val="0"/>
              <w:snapToGrid w:val="0"/>
              <w:jc w:val="center"/>
              <w:outlineLvl w:val="9"/>
              <w:rPr>
                <w:rFonts w:hint="eastAsia" w:ascii="宋体" w:hAnsi="宋体" w:eastAsia="宋体" w:cs="宋体"/>
                <w:bCs/>
                <w:sz w:val="24"/>
                <w:szCs w:val="24"/>
                <w:highlight w:val="none"/>
              </w:rPr>
            </w:pPr>
          </w:p>
        </w:tc>
        <w:tc>
          <w:tcPr>
            <w:tcW w:w="834" w:type="dxa"/>
            <w:noWrap w:val="0"/>
            <w:vAlign w:val="center"/>
          </w:tcPr>
          <w:p w14:paraId="432FE179">
            <w:pPr>
              <w:adjustRightInd w:val="0"/>
              <w:snapToGrid w:val="0"/>
              <w:jc w:val="center"/>
              <w:outlineLvl w:val="9"/>
              <w:rPr>
                <w:rFonts w:hint="eastAsia" w:ascii="宋体" w:hAnsi="宋体" w:eastAsia="宋体" w:cs="宋体"/>
                <w:sz w:val="24"/>
                <w:szCs w:val="24"/>
                <w:highlight w:val="none"/>
              </w:rPr>
            </w:pPr>
          </w:p>
        </w:tc>
      </w:tr>
      <w:tr w14:paraId="458D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6446A54B">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53E3604E">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35797A80">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410FC84E">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735F02CC">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2176E1AE">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42C87FC0">
            <w:pPr>
              <w:adjustRightInd w:val="0"/>
              <w:snapToGrid w:val="0"/>
              <w:jc w:val="center"/>
              <w:outlineLvl w:val="9"/>
              <w:rPr>
                <w:rFonts w:hint="eastAsia" w:ascii="宋体" w:hAnsi="宋体" w:eastAsia="宋体" w:cs="宋体"/>
                <w:sz w:val="24"/>
                <w:szCs w:val="24"/>
                <w:highlight w:val="none"/>
              </w:rPr>
            </w:pPr>
          </w:p>
        </w:tc>
      </w:tr>
      <w:tr w14:paraId="292CB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4BF50564">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3C90C5A3">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51399CD4">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0AD8C6D1">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40D33CD7">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63EC0664">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33364679">
            <w:pPr>
              <w:adjustRightInd w:val="0"/>
              <w:snapToGrid w:val="0"/>
              <w:jc w:val="center"/>
              <w:outlineLvl w:val="9"/>
              <w:rPr>
                <w:rFonts w:hint="eastAsia" w:ascii="宋体" w:hAnsi="宋体" w:eastAsia="宋体" w:cs="宋体"/>
                <w:sz w:val="24"/>
                <w:szCs w:val="24"/>
                <w:highlight w:val="none"/>
              </w:rPr>
            </w:pPr>
          </w:p>
        </w:tc>
      </w:tr>
      <w:tr w14:paraId="254D8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026EEF39">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108216B8">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397295D8">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577004DF">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2AF8B39D">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262A5FEA">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496ADE44">
            <w:pPr>
              <w:adjustRightInd w:val="0"/>
              <w:snapToGrid w:val="0"/>
              <w:jc w:val="center"/>
              <w:outlineLvl w:val="9"/>
              <w:rPr>
                <w:rFonts w:hint="eastAsia" w:ascii="宋体" w:hAnsi="宋体" w:eastAsia="宋体" w:cs="宋体"/>
                <w:sz w:val="24"/>
                <w:szCs w:val="24"/>
                <w:highlight w:val="none"/>
              </w:rPr>
            </w:pPr>
          </w:p>
        </w:tc>
      </w:tr>
      <w:tr w14:paraId="153FC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547AB79E">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76071D67">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24AB19DA">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208A81E5">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068484E4">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25E408ED">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798B239A">
            <w:pPr>
              <w:adjustRightInd w:val="0"/>
              <w:snapToGrid w:val="0"/>
              <w:jc w:val="center"/>
              <w:outlineLvl w:val="9"/>
              <w:rPr>
                <w:rFonts w:hint="eastAsia" w:ascii="宋体" w:hAnsi="宋体" w:eastAsia="宋体" w:cs="宋体"/>
                <w:sz w:val="24"/>
                <w:szCs w:val="24"/>
                <w:highlight w:val="none"/>
              </w:rPr>
            </w:pPr>
          </w:p>
        </w:tc>
      </w:tr>
      <w:tr w14:paraId="1782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3997FE61">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06AD4967">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45BA39B0">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3AC2EBDD">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51A09817">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6A99937C">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2F1D2394">
            <w:pPr>
              <w:adjustRightInd w:val="0"/>
              <w:snapToGrid w:val="0"/>
              <w:jc w:val="center"/>
              <w:outlineLvl w:val="9"/>
              <w:rPr>
                <w:rFonts w:hint="eastAsia" w:ascii="宋体" w:hAnsi="宋体" w:eastAsia="宋体" w:cs="宋体"/>
                <w:sz w:val="24"/>
                <w:szCs w:val="24"/>
                <w:highlight w:val="none"/>
              </w:rPr>
            </w:pPr>
          </w:p>
        </w:tc>
      </w:tr>
      <w:tr w14:paraId="1EB9A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2B7931F7">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0E57B7FD">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473C0BEA">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4A44B54C">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34384DAA">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5A4D9CD4">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3217DA4B">
            <w:pPr>
              <w:adjustRightInd w:val="0"/>
              <w:snapToGrid w:val="0"/>
              <w:jc w:val="center"/>
              <w:outlineLvl w:val="9"/>
              <w:rPr>
                <w:rFonts w:hint="eastAsia" w:ascii="宋体" w:hAnsi="宋体" w:eastAsia="宋体" w:cs="宋体"/>
                <w:sz w:val="24"/>
                <w:szCs w:val="24"/>
                <w:highlight w:val="none"/>
              </w:rPr>
            </w:pPr>
          </w:p>
        </w:tc>
      </w:tr>
      <w:tr w14:paraId="0E554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43C4DE0E">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639E8E1A">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3D0D199C">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2DB8AA8B">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3DC39C44">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22664F1D">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35286924">
            <w:pPr>
              <w:adjustRightInd w:val="0"/>
              <w:snapToGrid w:val="0"/>
              <w:jc w:val="center"/>
              <w:outlineLvl w:val="9"/>
              <w:rPr>
                <w:rFonts w:hint="eastAsia" w:ascii="宋体" w:hAnsi="宋体" w:eastAsia="宋体" w:cs="宋体"/>
                <w:sz w:val="24"/>
                <w:szCs w:val="24"/>
                <w:highlight w:val="none"/>
              </w:rPr>
            </w:pPr>
          </w:p>
        </w:tc>
      </w:tr>
      <w:tr w14:paraId="6ECBF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136" w:type="dxa"/>
            <w:noWrap w:val="0"/>
            <w:vAlign w:val="center"/>
          </w:tcPr>
          <w:p w14:paraId="52DD2FAC">
            <w:pPr>
              <w:adjustRightInd w:val="0"/>
              <w:snapToGrid w:val="0"/>
              <w:jc w:val="center"/>
              <w:outlineLvl w:val="9"/>
              <w:rPr>
                <w:rFonts w:hint="eastAsia" w:ascii="宋体" w:hAnsi="宋体" w:eastAsia="宋体" w:cs="宋体"/>
                <w:sz w:val="24"/>
                <w:szCs w:val="24"/>
                <w:highlight w:val="none"/>
              </w:rPr>
            </w:pPr>
          </w:p>
        </w:tc>
        <w:tc>
          <w:tcPr>
            <w:tcW w:w="2838" w:type="dxa"/>
            <w:noWrap w:val="0"/>
            <w:vAlign w:val="center"/>
          </w:tcPr>
          <w:p w14:paraId="73A33D21">
            <w:pPr>
              <w:adjustRightInd w:val="0"/>
              <w:snapToGrid w:val="0"/>
              <w:jc w:val="center"/>
              <w:outlineLvl w:val="9"/>
              <w:rPr>
                <w:rFonts w:hint="eastAsia" w:ascii="宋体" w:hAnsi="宋体" w:eastAsia="宋体" w:cs="宋体"/>
                <w:sz w:val="24"/>
                <w:szCs w:val="24"/>
                <w:highlight w:val="none"/>
              </w:rPr>
            </w:pPr>
          </w:p>
        </w:tc>
        <w:tc>
          <w:tcPr>
            <w:tcW w:w="1513" w:type="dxa"/>
            <w:noWrap w:val="0"/>
            <w:vAlign w:val="center"/>
          </w:tcPr>
          <w:p w14:paraId="550FFABD">
            <w:pPr>
              <w:adjustRightInd w:val="0"/>
              <w:snapToGrid w:val="0"/>
              <w:jc w:val="center"/>
              <w:outlineLvl w:val="9"/>
              <w:rPr>
                <w:rFonts w:hint="eastAsia" w:ascii="宋体" w:hAnsi="宋体" w:eastAsia="宋体" w:cs="宋体"/>
                <w:sz w:val="24"/>
                <w:szCs w:val="24"/>
                <w:highlight w:val="none"/>
              </w:rPr>
            </w:pPr>
          </w:p>
        </w:tc>
        <w:tc>
          <w:tcPr>
            <w:tcW w:w="1580" w:type="dxa"/>
            <w:noWrap w:val="0"/>
            <w:vAlign w:val="center"/>
          </w:tcPr>
          <w:p w14:paraId="5B59D15C">
            <w:pPr>
              <w:adjustRightInd w:val="0"/>
              <w:snapToGrid w:val="0"/>
              <w:jc w:val="center"/>
              <w:outlineLvl w:val="9"/>
              <w:rPr>
                <w:rFonts w:hint="eastAsia" w:ascii="宋体" w:hAnsi="宋体" w:eastAsia="宋体" w:cs="宋体"/>
                <w:sz w:val="24"/>
                <w:szCs w:val="24"/>
                <w:highlight w:val="none"/>
              </w:rPr>
            </w:pPr>
          </w:p>
        </w:tc>
        <w:tc>
          <w:tcPr>
            <w:tcW w:w="1140" w:type="dxa"/>
            <w:noWrap w:val="0"/>
            <w:vAlign w:val="center"/>
          </w:tcPr>
          <w:p w14:paraId="69D227ED">
            <w:pPr>
              <w:adjustRightInd w:val="0"/>
              <w:snapToGrid w:val="0"/>
              <w:jc w:val="center"/>
              <w:outlineLvl w:val="9"/>
              <w:rPr>
                <w:rFonts w:hint="eastAsia" w:ascii="宋体" w:hAnsi="宋体" w:eastAsia="宋体" w:cs="宋体"/>
                <w:sz w:val="24"/>
                <w:szCs w:val="24"/>
                <w:highlight w:val="none"/>
              </w:rPr>
            </w:pPr>
          </w:p>
        </w:tc>
        <w:tc>
          <w:tcPr>
            <w:tcW w:w="832" w:type="dxa"/>
            <w:noWrap w:val="0"/>
            <w:vAlign w:val="center"/>
          </w:tcPr>
          <w:p w14:paraId="6948FFA7">
            <w:pPr>
              <w:adjustRightInd w:val="0"/>
              <w:snapToGrid w:val="0"/>
              <w:jc w:val="center"/>
              <w:outlineLvl w:val="9"/>
              <w:rPr>
                <w:rFonts w:hint="eastAsia" w:ascii="宋体" w:hAnsi="宋体" w:eastAsia="宋体" w:cs="宋体"/>
                <w:sz w:val="24"/>
                <w:szCs w:val="24"/>
                <w:highlight w:val="none"/>
              </w:rPr>
            </w:pPr>
          </w:p>
        </w:tc>
        <w:tc>
          <w:tcPr>
            <w:tcW w:w="834" w:type="dxa"/>
            <w:noWrap w:val="0"/>
            <w:vAlign w:val="center"/>
          </w:tcPr>
          <w:p w14:paraId="64B2FDE3">
            <w:pPr>
              <w:adjustRightInd w:val="0"/>
              <w:snapToGrid w:val="0"/>
              <w:jc w:val="center"/>
              <w:outlineLvl w:val="9"/>
              <w:rPr>
                <w:rFonts w:hint="eastAsia" w:ascii="宋体" w:hAnsi="宋体" w:eastAsia="宋体" w:cs="宋体"/>
                <w:sz w:val="24"/>
                <w:szCs w:val="24"/>
                <w:highlight w:val="none"/>
              </w:rPr>
            </w:pPr>
          </w:p>
        </w:tc>
      </w:tr>
    </w:tbl>
    <w:p w14:paraId="5AB121AF">
      <w:pPr>
        <w:spacing w:line="500" w:lineRule="atLeast"/>
        <w:outlineLvl w:val="9"/>
        <w:rPr>
          <w:rFonts w:hint="eastAsia" w:ascii="宋体" w:hAnsi="宋体" w:cs="仿宋"/>
          <w:bCs/>
          <w:sz w:val="24"/>
          <w:szCs w:val="24"/>
          <w:highlight w:val="none"/>
        </w:rPr>
      </w:pPr>
      <w:r>
        <w:rPr>
          <w:rFonts w:hint="eastAsia" w:ascii="宋体" w:hAnsi="宋体" w:cs="仿宋"/>
          <w:bCs/>
          <w:sz w:val="24"/>
          <w:szCs w:val="24"/>
          <w:highlight w:val="none"/>
        </w:rPr>
        <w:t>注：</w:t>
      </w:r>
    </w:p>
    <w:p w14:paraId="52957A47">
      <w:pPr>
        <w:spacing w:line="500" w:lineRule="exact"/>
        <w:outlineLvl w:val="9"/>
        <w:rPr>
          <w:rFonts w:hint="eastAsia" w:ascii="宋体" w:hAnsi="宋体" w:cs="仿宋"/>
          <w:bCs/>
          <w:sz w:val="24"/>
          <w:szCs w:val="24"/>
          <w:highlight w:val="none"/>
        </w:rPr>
      </w:pPr>
      <w:r>
        <w:rPr>
          <w:rFonts w:hint="eastAsia" w:ascii="宋体" w:hAnsi="宋体" w:cs="仿宋"/>
          <w:bCs/>
          <w:sz w:val="24"/>
          <w:szCs w:val="24"/>
          <w:highlight w:val="none"/>
        </w:rPr>
        <w:t xml:space="preserve">    1.若表格不够用，各供应商可按此表自行复制；</w:t>
      </w:r>
    </w:p>
    <w:p w14:paraId="6E5BE327">
      <w:pPr>
        <w:widowControl/>
        <w:jc w:val="left"/>
        <w:outlineLvl w:val="9"/>
        <w:rPr>
          <w:rFonts w:ascii="宋体" w:hAnsi="宋体" w:cs="楷体"/>
          <w:b/>
          <w:kern w:val="0"/>
          <w:sz w:val="28"/>
          <w:szCs w:val="28"/>
          <w:highlight w:val="none"/>
        </w:rPr>
      </w:pPr>
    </w:p>
    <w:p w14:paraId="2A7A7FE9">
      <w:pPr>
        <w:pStyle w:val="6"/>
        <w:rPr>
          <w:rFonts w:ascii="宋体" w:hAnsi="宋体" w:cs="楷体"/>
          <w:b/>
          <w:kern w:val="0"/>
          <w:sz w:val="28"/>
          <w:szCs w:val="28"/>
          <w:highlight w:val="none"/>
        </w:rPr>
      </w:pPr>
    </w:p>
    <w:p w14:paraId="17F60E3E">
      <w:pPr>
        <w:rPr>
          <w:rFonts w:ascii="宋体" w:hAnsi="宋体" w:cs="楷体"/>
          <w:b/>
          <w:kern w:val="0"/>
          <w:sz w:val="28"/>
          <w:szCs w:val="28"/>
          <w:highlight w:val="none"/>
        </w:rPr>
      </w:pPr>
    </w:p>
    <w:p w14:paraId="4F30FDEC">
      <w:pPr>
        <w:pStyle w:val="33"/>
      </w:pPr>
    </w:p>
    <w:p w14:paraId="71B77BF9">
      <w:pPr>
        <w:pStyle w:val="6"/>
        <w:rPr>
          <w:highlight w:val="none"/>
        </w:rPr>
      </w:pPr>
    </w:p>
    <w:p w14:paraId="70A538FF">
      <w:pPr>
        <w:rPr>
          <w:highlight w:val="none"/>
        </w:rPr>
      </w:pPr>
    </w:p>
    <w:p w14:paraId="65596CFE">
      <w:pPr>
        <w:pStyle w:val="33"/>
      </w:pPr>
    </w:p>
    <w:p w14:paraId="17ED191F">
      <w:pPr>
        <w:jc w:val="center"/>
        <w:outlineLvl w:val="9"/>
        <w:rPr>
          <w:rFonts w:hint="default"/>
          <w:highlight w:val="none"/>
          <w:lang w:val="en-US" w:eastAsia="zh-CN"/>
        </w:rPr>
      </w:pPr>
      <w:r>
        <w:rPr>
          <w:rFonts w:hint="eastAsia"/>
          <w:highlight w:val="none"/>
        </w:rPr>
        <w:t>9.</w:t>
      </w:r>
      <w:r>
        <w:rPr>
          <w:rFonts w:hint="eastAsia"/>
          <w:highlight w:val="none"/>
          <w:lang w:eastAsia="zh-CN"/>
        </w:rPr>
        <w:t>投标保证金</w:t>
      </w:r>
      <w:r>
        <w:rPr>
          <w:rFonts w:hint="eastAsia"/>
          <w:highlight w:val="none"/>
          <w:lang w:val="en-US" w:eastAsia="zh-CN"/>
        </w:rPr>
        <w:t>缴纳凭证</w:t>
      </w:r>
    </w:p>
    <w:p w14:paraId="77EDBFD6">
      <w:pPr>
        <w:pStyle w:val="10"/>
        <w:rPr>
          <w:rFonts w:hint="eastAsia"/>
          <w:lang w:eastAsia="zh-CN"/>
        </w:rPr>
      </w:pPr>
    </w:p>
    <w:p w14:paraId="7C047A2C">
      <w:pPr>
        <w:jc w:val="center"/>
        <w:outlineLvl w:val="9"/>
        <w:rPr>
          <w:rFonts w:hint="eastAsia" w:eastAsia="黑体"/>
          <w:highlight w:val="none"/>
          <w:lang w:val="en-US" w:eastAsia="zh-CN"/>
        </w:rPr>
      </w:pPr>
      <w:r>
        <w:rPr>
          <w:rFonts w:hint="eastAsia"/>
          <w:highlight w:val="none"/>
        </w:rPr>
        <w:br w:type="page"/>
      </w:r>
      <w:r>
        <w:rPr>
          <w:rFonts w:hint="eastAsia"/>
          <w:highlight w:val="none"/>
          <w:lang w:val="en-US" w:eastAsia="zh-CN"/>
        </w:rPr>
        <w:t>10</w:t>
      </w:r>
      <w:r>
        <w:rPr>
          <w:rFonts w:hint="eastAsia"/>
          <w:highlight w:val="none"/>
        </w:rPr>
        <w:t>.</w:t>
      </w:r>
      <w:bookmarkEnd w:id="300"/>
      <w:bookmarkEnd w:id="301"/>
      <w:bookmarkEnd w:id="302"/>
      <w:bookmarkStart w:id="303" w:name="_Toc194663938"/>
      <w:bookmarkStart w:id="304" w:name="_Toc23126"/>
      <w:bookmarkStart w:id="305" w:name="_Toc193126901"/>
      <w:bookmarkStart w:id="306" w:name="_Toc23774"/>
      <w:bookmarkStart w:id="307" w:name="_Toc193187107"/>
      <w:bookmarkStart w:id="308" w:name="_Toc458617480"/>
      <w:r>
        <w:rPr>
          <w:rFonts w:hint="eastAsia"/>
          <w:highlight w:val="none"/>
          <w:lang w:val="en-US" w:eastAsia="zh-CN"/>
        </w:rPr>
        <w:t>服务技术方案</w:t>
      </w:r>
    </w:p>
    <w:p w14:paraId="7A7059F5">
      <w:pPr>
        <w:pStyle w:val="10"/>
        <w:spacing w:line="360" w:lineRule="auto"/>
        <w:outlineLvl w:val="9"/>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按照招标文件的要求编制服务技术方案，逐条对招标文件提出的技术要求和商务要求进行应答，说明所提供的服务对招标的技术和商务要求是否做出了实质性响应并提供支持文件。</w:t>
      </w:r>
    </w:p>
    <w:p w14:paraId="6BF2B0A9">
      <w:pPr>
        <w:pStyle w:val="10"/>
        <w:spacing w:line="360" w:lineRule="auto"/>
        <w:outlineLvl w:val="9"/>
        <w:rPr>
          <w:rFonts w:hint="default" w:ascii="Times New Roman" w:hAnsi="Times New Roman" w:eastAsia="宋体" w:cs="Times New Roman"/>
          <w:kern w:val="2"/>
          <w:sz w:val="21"/>
          <w:szCs w:val="24"/>
          <w:highlight w:val="none"/>
          <w:lang w:val="en-US" w:eastAsia="zh-CN" w:bidi="ar-SA"/>
        </w:rPr>
      </w:pPr>
      <w:r>
        <w:rPr>
          <w:rFonts w:hint="eastAsia" w:hAnsi="Times New Roman" w:eastAsia="宋体" w:cs="Times New Roman"/>
          <w:kern w:val="2"/>
          <w:sz w:val="21"/>
          <w:szCs w:val="24"/>
          <w:highlight w:val="none"/>
          <w:lang w:val="en-US" w:eastAsia="zh-CN" w:bidi="ar-SA"/>
        </w:rPr>
        <w:t>根据评标办法自拟</w:t>
      </w:r>
    </w:p>
    <w:p w14:paraId="360B16D5">
      <w:pPr>
        <w:jc w:val="center"/>
        <w:outlineLvl w:val="9"/>
        <w:rPr>
          <w:highlight w:val="none"/>
        </w:rPr>
      </w:pPr>
      <w:r>
        <w:rPr>
          <w:rFonts w:ascii="宋体" w:hAnsi="宋体" w:cs="楷体"/>
          <w:b/>
          <w:bCs/>
          <w:sz w:val="28"/>
          <w:szCs w:val="28"/>
          <w:highlight w:val="none"/>
        </w:rPr>
        <w:br w:type="page"/>
      </w:r>
      <w:bookmarkEnd w:id="303"/>
      <w:bookmarkEnd w:id="304"/>
      <w:bookmarkEnd w:id="305"/>
      <w:bookmarkEnd w:id="306"/>
      <w:bookmarkEnd w:id="307"/>
      <w:bookmarkEnd w:id="308"/>
      <w:bookmarkStart w:id="309" w:name="_Toc194663941"/>
      <w:bookmarkStart w:id="310" w:name="_Toc458617482"/>
      <w:bookmarkStart w:id="311" w:name="_Toc188808854"/>
      <w:bookmarkStart w:id="312" w:name="_Toc193126904"/>
      <w:bookmarkStart w:id="313" w:name="_Toc2456"/>
      <w:bookmarkStart w:id="314" w:name="_Toc21757"/>
      <w:bookmarkStart w:id="315" w:name="_Toc193187110"/>
      <w:r>
        <w:rPr>
          <w:rFonts w:hint="eastAsia"/>
          <w:highlight w:val="none"/>
        </w:rPr>
        <w:t>1</w:t>
      </w:r>
      <w:r>
        <w:rPr>
          <w:rFonts w:hint="eastAsia"/>
          <w:highlight w:val="none"/>
          <w:lang w:val="en-US" w:eastAsia="zh-CN"/>
        </w:rPr>
        <w:t>1</w:t>
      </w:r>
      <w:r>
        <w:rPr>
          <w:rFonts w:hint="eastAsia"/>
          <w:highlight w:val="none"/>
        </w:rPr>
        <w:t>.</w:t>
      </w:r>
      <w:bookmarkEnd w:id="309"/>
      <w:bookmarkEnd w:id="310"/>
      <w:bookmarkEnd w:id="311"/>
      <w:bookmarkEnd w:id="312"/>
      <w:bookmarkEnd w:id="313"/>
      <w:bookmarkEnd w:id="314"/>
      <w:bookmarkEnd w:id="315"/>
      <w:bookmarkStart w:id="316" w:name="_Toc193187111"/>
      <w:bookmarkStart w:id="317" w:name="_Toc193126905"/>
      <w:bookmarkStart w:id="318" w:name="_Toc194663942"/>
      <w:bookmarkStart w:id="319" w:name="_Toc188808855"/>
      <w:r>
        <w:rPr>
          <w:rFonts w:hint="eastAsia"/>
          <w:highlight w:val="none"/>
        </w:rPr>
        <w:t>拟投入本项目的项目组人员</w:t>
      </w:r>
    </w:p>
    <w:p w14:paraId="379FB7ED">
      <w:pPr>
        <w:snapToGrid w:val="0"/>
        <w:spacing w:line="360" w:lineRule="auto"/>
        <w:outlineLvl w:val="9"/>
        <w:rPr>
          <w:rFonts w:ascii="Times New Roman" w:hAnsi="Times New Roman"/>
          <w:b/>
          <w:highlight w:val="none"/>
        </w:rPr>
      </w:pPr>
      <w:r>
        <w:rPr>
          <w:rFonts w:hint="eastAsia" w:ascii="Times New Roman" w:hAnsi="Times New Roman"/>
          <w:b/>
          <w:highlight w:val="none"/>
        </w:rPr>
        <w:t>1</w:t>
      </w:r>
      <w:r>
        <w:rPr>
          <w:rFonts w:hint="eastAsia" w:ascii="Times New Roman" w:hAnsi="Times New Roman"/>
          <w:b/>
          <w:highlight w:val="none"/>
          <w:lang w:val="en-US" w:eastAsia="zh-CN"/>
        </w:rPr>
        <w:t>1</w:t>
      </w:r>
      <w:r>
        <w:rPr>
          <w:rFonts w:ascii="Times New Roman" w:hAnsi="Times New Roman"/>
          <w:b/>
          <w:highlight w:val="none"/>
        </w:rPr>
        <w:t>-1 项目</w:t>
      </w:r>
      <w:r>
        <w:rPr>
          <w:rFonts w:hint="eastAsia" w:ascii="Times New Roman" w:hAnsi="Times New Roman"/>
          <w:b/>
          <w:highlight w:val="none"/>
        </w:rPr>
        <w:t>组</w:t>
      </w:r>
      <w:r>
        <w:rPr>
          <w:rFonts w:ascii="Times New Roman" w:hAnsi="Times New Roman"/>
          <w:b/>
          <w:highlight w:val="none"/>
        </w:rPr>
        <w:t>主要管理与技术人员汇总表</w:t>
      </w:r>
    </w:p>
    <w:p w14:paraId="1935A869">
      <w:pPr>
        <w:spacing w:line="360" w:lineRule="auto"/>
        <w:jc w:val="center"/>
        <w:outlineLvl w:val="9"/>
        <w:rPr>
          <w:rFonts w:ascii="Times New Roman" w:hAnsi="Times New Roman"/>
          <w:b/>
          <w:bCs/>
          <w:szCs w:val="28"/>
          <w:highlight w:val="none"/>
        </w:rPr>
      </w:pPr>
      <w:bookmarkStart w:id="320" w:name="技术标"/>
      <w:bookmarkEnd w:id="320"/>
    </w:p>
    <w:p w14:paraId="2D8FFB96">
      <w:pPr>
        <w:spacing w:line="360" w:lineRule="auto"/>
        <w:jc w:val="center"/>
        <w:outlineLvl w:val="9"/>
        <w:rPr>
          <w:rFonts w:ascii="Times New Roman" w:hAnsi="Times New Roman"/>
          <w:b/>
          <w:szCs w:val="28"/>
          <w:highlight w:val="none"/>
        </w:rPr>
      </w:pPr>
      <w:r>
        <w:rPr>
          <w:rFonts w:ascii="Times New Roman" w:hAnsi="Times New Roman"/>
          <w:b/>
          <w:szCs w:val="28"/>
          <w:highlight w:val="none"/>
        </w:rPr>
        <w:t>项目主要管理与技术人员汇总表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5"/>
        <w:gridCol w:w="779"/>
        <w:gridCol w:w="525"/>
        <w:gridCol w:w="567"/>
        <w:gridCol w:w="1594"/>
        <w:gridCol w:w="1284"/>
        <w:gridCol w:w="690"/>
        <w:gridCol w:w="911"/>
        <w:gridCol w:w="653"/>
        <w:gridCol w:w="737"/>
      </w:tblGrid>
      <w:tr w14:paraId="6E3DA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45" w:type="dxa"/>
            <w:noWrap w:val="0"/>
            <w:vAlign w:val="center"/>
          </w:tcPr>
          <w:p w14:paraId="0E524429">
            <w:pPr>
              <w:adjustRightInd w:val="0"/>
              <w:snapToGrid w:val="0"/>
              <w:jc w:val="center"/>
              <w:outlineLvl w:val="9"/>
              <w:rPr>
                <w:rFonts w:ascii="Times New Roman" w:hAnsi="Times New Roman"/>
                <w:highlight w:val="none"/>
              </w:rPr>
            </w:pPr>
            <w:r>
              <w:rPr>
                <w:rFonts w:ascii="Times New Roman" w:hAnsi="Times New Roman"/>
                <w:highlight w:val="none"/>
              </w:rPr>
              <w:t>序</w:t>
            </w:r>
          </w:p>
          <w:p w14:paraId="406649FC">
            <w:pPr>
              <w:adjustRightInd w:val="0"/>
              <w:snapToGrid w:val="0"/>
              <w:jc w:val="center"/>
              <w:outlineLvl w:val="9"/>
              <w:rPr>
                <w:rFonts w:ascii="Times New Roman" w:hAnsi="Times New Roman"/>
                <w:highlight w:val="none"/>
              </w:rPr>
            </w:pPr>
            <w:r>
              <w:rPr>
                <w:rFonts w:ascii="Times New Roman" w:hAnsi="Times New Roman"/>
                <w:highlight w:val="none"/>
              </w:rPr>
              <w:t>号</w:t>
            </w:r>
          </w:p>
        </w:tc>
        <w:tc>
          <w:tcPr>
            <w:tcW w:w="779" w:type="dxa"/>
            <w:noWrap w:val="0"/>
            <w:vAlign w:val="center"/>
          </w:tcPr>
          <w:p w14:paraId="3872BF87">
            <w:pPr>
              <w:adjustRightInd w:val="0"/>
              <w:snapToGrid w:val="0"/>
              <w:jc w:val="center"/>
              <w:outlineLvl w:val="9"/>
              <w:rPr>
                <w:rFonts w:ascii="Times New Roman" w:hAnsi="Times New Roman"/>
                <w:highlight w:val="none"/>
              </w:rPr>
            </w:pPr>
            <w:r>
              <w:rPr>
                <w:rFonts w:ascii="Times New Roman" w:hAnsi="Times New Roman"/>
                <w:highlight w:val="none"/>
              </w:rPr>
              <w:t>姓名</w:t>
            </w:r>
          </w:p>
        </w:tc>
        <w:tc>
          <w:tcPr>
            <w:tcW w:w="525" w:type="dxa"/>
            <w:noWrap w:val="0"/>
            <w:vAlign w:val="center"/>
          </w:tcPr>
          <w:p w14:paraId="4B3B1F31">
            <w:pPr>
              <w:adjustRightInd w:val="0"/>
              <w:snapToGrid w:val="0"/>
              <w:jc w:val="center"/>
              <w:outlineLvl w:val="9"/>
              <w:rPr>
                <w:rFonts w:ascii="Times New Roman" w:hAnsi="Times New Roman"/>
                <w:highlight w:val="none"/>
              </w:rPr>
            </w:pPr>
            <w:r>
              <w:rPr>
                <w:rFonts w:ascii="Times New Roman" w:hAnsi="Times New Roman"/>
                <w:highlight w:val="none"/>
              </w:rPr>
              <w:t>性别</w:t>
            </w:r>
          </w:p>
        </w:tc>
        <w:tc>
          <w:tcPr>
            <w:tcW w:w="567" w:type="dxa"/>
            <w:noWrap w:val="0"/>
            <w:vAlign w:val="center"/>
          </w:tcPr>
          <w:p w14:paraId="41D373AA">
            <w:pPr>
              <w:adjustRightInd w:val="0"/>
              <w:snapToGrid w:val="0"/>
              <w:jc w:val="center"/>
              <w:outlineLvl w:val="9"/>
              <w:rPr>
                <w:rFonts w:ascii="Times New Roman" w:hAnsi="Times New Roman"/>
                <w:highlight w:val="none"/>
              </w:rPr>
            </w:pPr>
            <w:r>
              <w:rPr>
                <w:rFonts w:ascii="Times New Roman" w:hAnsi="Times New Roman"/>
                <w:highlight w:val="none"/>
              </w:rPr>
              <w:t>年</w:t>
            </w:r>
          </w:p>
          <w:p w14:paraId="2E9AA5F9">
            <w:pPr>
              <w:adjustRightInd w:val="0"/>
              <w:snapToGrid w:val="0"/>
              <w:jc w:val="center"/>
              <w:outlineLvl w:val="9"/>
              <w:rPr>
                <w:rFonts w:ascii="Times New Roman" w:hAnsi="Times New Roman"/>
                <w:highlight w:val="none"/>
              </w:rPr>
            </w:pPr>
            <w:r>
              <w:rPr>
                <w:rFonts w:ascii="Times New Roman" w:hAnsi="Times New Roman"/>
                <w:highlight w:val="none"/>
              </w:rPr>
              <w:t>龄</w:t>
            </w:r>
          </w:p>
        </w:tc>
        <w:tc>
          <w:tcPr>
            <w:tcW w:w="1594" w:type="dxa"/>
            <w:noWrap w:val="0"/>
            <w:vAlign w:val="center"/>
          </w:tcPr>
          <w:p w14:paraId="11EB0670">
            <w:pPr>
              <w:adjustRightInd w:val="0"/>
              <w:snapToGrid w:val="0"/>
              <w:jc w:val="center"/>
              <w:outlineLvl w:val="9"/>
              <w:rPr>
                <w:rFonts w:ascii="Times New Roman" w:hAnsi="Times New Roman"/>
                <w:highlight w:val="none"/>
              </w:rPr>
            </w:pPr>
            <w:r>
              <w:rPr>
                <w:rFonts w:ascii="Times New Roman" w:hAnsi="Times New Roman"/>
                <w:highlight w:val="none"/>
              </w:rPr>
              <w:t>拟担任的职务</w:t>
            </w:r>
          </w:p>
        </w:tc>
        <w:tc>
          <w:tcPr>
            <w:tcW w:w="1284" w:type="dxa"/>
            <w:noWrap w:val="0"/>
            <w:vAlign w:val="center"/>
          </w:tcPr>
          <w:p w14:paraId="1AD42060">
            <w:pPr>
              <w:adjustRightInd w:val="0"/>
              <w:snapToGrid w:val="0"/>
              <w:jc w:val="center"/>
              <w:outlineLvl w:val="9"/>
              <w:rPr>
                <w:rFonts w:ascii="Times New Roman" w:hAnsi="Times New Roman"/>
                <w:highlight w:val="none"/>
              </w:rPr>
            </w:pPr>
            <w:r>
              <w:rPr>
                <w:rFonts w:ascii="Times New Roman" w:hAnsi="Times New Roman"/>
                <w:highlight w:val="none"/>
              </w:rPr>
              <w:t>职称</w:t>
            </w:r>
          </w:p>
        </w:tc>
        <w:tc>
          <w:tcPr>
            <w:tcW w:w="690" w:type="dxa"/>
            <w:noWrap w:val="0"/>
            <w:vAlign w:val="center"/>
          </w:tcPr>
          <w:p w14:paraId="3B660039">
            <w:pPr>
              <w:adjustRightInd w:val="0"/>
              <w:snapToGrid w:val="0"/>
              <w:jc w:val="center"/>
              <w:outlineLvl w:val="9"/>
              <w:rPr>
                <w:rFonts w:ascii="Times New Roman" w:hAnsi="Times New Roman"/>
                <w:highlight w:val="none"/>
              </w:rPr>
            </w:pPr>
            <w:r>
              <w:rPr>
                <w:rFonts w:ascii="Times New Roman" w:hAnsi="Times New Roman"/>
                <w:highlight w:val="none"/>
              </w:rPr>
              <w:t>学历</w:t>
            </w:r>
          </w:p>
        </w:tc>
        <w:tc>
          <w:tcPr>
            <w:tcW w:w="911" w:type="dxa"/>
            <w:noWrap w:val="0"/>
            <w:vAlign w:val="center"/>
          </w:tcPr>
          <w:p w14:paraId="0ED330F0">
            <w:pPr>
              <w:adjustRightInd w:val="0"/>
              <w:snapToGrid w:val="0"/>
              <w:jc w:val="center"/>
              <w:outlineLvl w:val="9"/>
              <w:rPr>
                <w:rFonts w:ascii="Times New Roman" w:hAnsi="Times New Roman"/>
                <w:highlight w:val="none"/>
              </w:rPr>
            </w:pPr>
            <w:r>
              <w:rPr>
                <w:rFonts w:ascii="Times New Roman" w:hAnsi="Times New Roman"/>
                <w:highlight w:val="none"/>
              </w:rPr>
              <w:t>专业</w:t>
            </w:r>
          </w:p>
        </w:tc>
        <w:tc>
          <w:tcPr>
            <w:tcW w:w="653" w:type="dxa"/>
            <w:noWrap w:val="0"/>
            <w:vAlign w:val="center"/>
          </w:tcPr>
          <w:p w14:paraId="1D238806">
            <w:pPr>
              <w:adjustRightInd w:val="0"/>
              <w:snapToGrid w:val="0"/>
              <w:jc w:val="center"/>
              <w:outlineLvl w:val="9"/>
              <w:rPr>
                <w:rFonts w:ascii="Times New Roman" w:hAnsi="Times New Roman"/>
                <w:highlight w:val="none"/>
              </w:rPr>
            </w:pPr>
            <w:r>
              <w:rPr>
                <w:rFonts w:ascii="Times New Roman" w:hAnsi="Times New Roman"/>
                <w:highlight w:val="none"/>
              </w:rPr>
              <w:t>工作</w:t>
            </w:r>
          </w:p>
          <w:p w14:paraId="14991E00">
            <w:pPr>
              <w:adjustRightInd w:val="0"/>
              <w:snapToGrid w:val="0"/>
              <w:jc w:val="center"/>
              <w:outlineLvl w:val="9"/>
              <w:rPr>
                <w:rFonts w:ascii="Times New Roman" w:hAnsi="Times New Roman"/>
                <w:highlight w:val="none"/>
              </w:rPr>
            </w:pPr>
            <w:r>
              <w:rPr>
                <w:rFonts w:ascii="Times New Roman" w:hAnsi="Times New Roman"/>
                <w:highlight w:val="none"/>
              </w:rPr>
              <w:t>年限</w:t>
            </w:r>
          </w:p>
        </w:tc>
        <w:tc>
          <w:tcPr>
            <w:tcW w:w="737" w:type="dxa"/>
            <w:noWrap w:val="0"/>
            <w:vAlign w:val="center"/>
          </w:tcPr>
          <w:p w14:paraId="3ADA0523">
            <w:pPr>
              <w:adjustRightInd w:val="0"/>
              <w:snapToGrid w:val="0"/>
              <w:jc w:val="center"/>
              <w:outlineLvl w:val="9"/>
              <w:rPr>
                <w:rFonts w:ascii="Times New Roman" w:hAnsi="Times New Roman"/>
                <w:highlight w:val="none"/>
              </w:rPr>
            </w:pPr>
            <w:r>
              <w:rPr>
                <w:rFonts w:ascii="Times New Roman" w:hAnsi="Times New Roman"/>
                <w:highlight w:val="none"/>
              </w:rPr>
              <w:t>备注</w:t>
            </w:r>
          </w:p>
        </w:tc>
      </w:tr>
      <w:tr w14:paraId="07B17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45" w:type="dxa"/>
            <w:noWrap w:val="0"/>
            <w:vAlign w:val="center"/>
          </w:tcPr>
          <w:p w14:paraId="175088BD">
            <w:pPr>
              <w:adjustRightInd w:val="0"/>
              <w:snapToGrid w:val="0"/>
              <w:jc w:val="center"/>
              <w:outlineLvl w:val="9"/>
              <w:rPr>
                <w:rFonts w:ascii="Times New Roman" w:hAnsi="Times New Roman"/>
                <w:highlight w:val="none"/>
              </w:rPr>
            </w:pPr>
            <w:r>
              <w:rPr>
                <w:rFonts w:ascii="Times New Roman" w:hAnsi="Times New Roman"/>
                <w:highlight w:val="none"/>
              </w:rPr>
              <w:t>1</w:t>
            </w:r>
          </w:p>
        </w:tc>
        <w:tc>
          <w:tcPr>
            <w:tcW w:w="779" w:type="dxa"/>
            <w:noWrap w:val="0"/>
            <w:vAlign w:val="center"/>
          </w:tcPr>
          <w:p w14:paraId="27AD8215">
            <w:pPr>
              <w:adjustRightInd w:val="0"/>
              <w:snapToGrid w:val="0"/>
              <w:jc w:val="center"/>
              <w:outlineLvl w:val="9"/>
              <w:rPr>
                <w:rFonts w:ascii="Times New Roman" w:hAnsi="Times New Roman"/>
                <w:highlight w:val="none"/>
              </w:rPr>
            </w:pPr>
          </w:p>
        </w:tc>
        <w:tc>
          <w:tcPr>
            <w:tcW w:w="525" w:type="dxa"/>
            <w:noWrap w:val="0"/>
            <w:vAlign w:val="center"/>
          </w:tcPr>
          <w:p w14:paraId="05E1B5C0">
            <w:pPr>
              <w:adjustRightInd w:val="0"/>
              <w:snapToGrid w:val="0"/>
              <w:jc w:val="center"/>
              <w:outlineLvl w:val="9"/>
              <w:rPr>
                <w:rFonts w:ascii="Times New Roman" w:hAnsi="Times New Roman"/>
                <w:highlight w:val="none"/>
              </w:rPr>
            </w:pPr>
          </w:p>
        </w:tc>
        <w:tc>
          <w:tcPr>
            <w:tcW w:w="567" w:type="dxa"/>
            <w:noWrap w:val="0"/>
            <w:vAlign w:val="center"/>
          </w:tcPr>
          <w:p w14:paraId="4F01886A">
            <w:pPr>
              <w:adjustRightInd w:val="0"/>
              <w:snapToGrid w:val="0"/>
              <w:jc w:val="center"/>
              <w:outlineLvl w:val="9"/>
              <w:rPr>
                <w:rFonts w:ascii="Times New Roman" w:hAnsi="Times New Roman"/>
                <w:highlight w:val="none"/>
              </w:rPr>
            </w:pPr>
          </w:p>
        </w:tc>
        <w:tc>
          <w:tcPr>
            <w:tcW w:w="1594" w:type="dxa"/>
            <w:noWrap w:val="0"/>
            <w:vAlign w:val="center"/>
          </w:tcPr>
          <w:p w14:paraId="640A91DB">
            <w:pPr>
              <w:adjustRightInd w:val="0"/>
              <w:snapToGrid w:val="0"/>
              <w:outlineLvl w:val="9"/>
              <w:rPr>
                <w:rFonts w:ascii="Times New Roman" w:hAnsi="Times New Roman"/>
                <w:highlight w:val="none"/>
              </w:rPr>
            </w:pPr>
          </w:p>
        </w:tc>
        <w:tc>
          <w:tcPr>
            <w:tcW w:w="1284" w:type="dxa"/>
            <w:noWrap w:val="0"/>
            <w:vAlign w:val="center"/>
          </w:tcPr>
          <w:p w14:paraId="150EBA25">
            <w:pPr>
              <w:adjustRightInd w:val="0"/>
              <w:snapToGrid w:val="0"/>
              <w:jc w:val="center"/>
              <w:outlineLvl w:val="9"/>
              <w:rPr>
                <w:rFonts w:ascii="Times New Roman" w:hAnsi="Times New Roman"/>
                <w:highlight w:val="none"/>
              </w:rPr>
            </w:pPr>
          </w:p>
        </w:tc>
        <w:tc>
          <w:tcPr>
            <w:tcW w:w="690" w:type="dxa"/>
            <w:noWrap w:val="0"/>
            <w:vAlign w:val="center"/>
          </w:tcPr>
          <w:p w14:paraId="1FD7F4D9">
            <w:pPr>
              <w:adjustRightInd w:val="0"/>
              <w:snapToGrid w:val="0"/>
              <w:jc w:val="center"/>
              <w:outlineLvl w:val="9"/>
              <w:rPr>
                <w:rFonts w:ascii="Times New Roman" w:hAnsi="Times New Roman"/>
                <w:highlight w:val="none"/>
              </w:rPr>
            </w:pPr>
          </w:p>
        </w:tc>
        <w:tc>
          <w:tcPr>
            <w:tcW w:w="911" w:type="dxa"/>
            <w:noWrap w:val="0"/>
            <w:vAlign w:val="center"/>
          </w:tcPr>
          <w:p w14:paraId="710F77D3">
            <w:pPr>
              <w:adjustRightInd w:val="0"/>
              <w:snapToGrid w:val="0"/>
              <w:jc w:val="center"/>
              <w:outlineLvl w:val="9"/>
              <w:rPr>
                <w:rFonts w:ascii="Times New Roman" w:hAnsi="Times New Roman"/>
                <w:highlight w:val="none"/>
              </w:rPr>
            </w:pPr>
          </w:p>
        </w:tc>
        <w:tc>
          <w:tcPr>
            <w:tcW w:w="653" w:type="dxa"/>
            <w:noWrap w:val="0"/>
            <w:vAlign w:val="center"/>
          </w:tcPr>
          <w:p w14:paraId="6CCE84F9">
            <w:pPr>
              <w:adjustRightInd w:val="0"/>
              <w:snapToGrid w:val="0"/>
              <w:jc w:val="center"/>
              <w:outlineLvl w:val="9"/>
              <w:rPr>
                <w:rFonts w:ascii="Times New Roman" w:hAnsi="Times New Roman"/>
                <w:highlight w:val="none"/>
              </w:rPr>
            </w:pPr>
          </w:p>
        </w:tc>
        <w:tc>
          <w:tcPr>
            <w:tcW w:w="737" w:type="dxa"/>
            <w:noWrap w:val="0"/>
            <w:vAlign w:val="center"/>
          </w:tcPr>
          <w:p w14:paraId="3C7B2061">
            <w:pPr>
              <w:adjustRightInd w:val="0"/>
              <w:snapToGrid w:val="0"/>
              <w:jc w:val="center"/>
              <w:outlineLvl w:val="9"/>
              <w:rPr>
                <w:rFonts w:ascii="Times New Roman" w:hAnsi="Times New Roman"/>
                <w:highlight w:val="none"/>
              </w:rPr>
            </w:pPr>
          </w:p>
        </w:tc>
      </w:tr>
      <w:tr w14:paraId="675CD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45" w:type="dxa"/>
            <w:noWrap w:val="0"/>
            <w:vAlign w:val="center"/>
          </w:tcPr>
          <w:p w14:paraId="7994B556">
            <w:pPr>
              <w:adjustRightInd w:val="0"/>
              <w:snapToGrid w:val="0"/>
              <w:jc w:val="center"/>
              <w:outlineLvl w:val="9"/>
              <w:rPr>
                <w:rFonts w:ascii="Times New Roman" w:hAnsi="Times New Roman"/>
                <w:highlight w:val="none"/>
              </w:rPr>
            </w:pPr>
            <w:r>
              <w:rPr>
                <w:rFonts w:ascii="Times New Roman" w:hAnsi="Times New Roman"/>
                <w:highlight w:val="none"/>
              </w:rPr>
              <w:t>2</w:t>
            </w:r>
          </w:p>
        </w:tc>
        <w:tc>
          <w:tcPr>
            <w:tcW w:w="779" w:type="dxa"/>
            <w:noWrap w:val="0"/>
            <w:vAlign w:val="center"/>
          </w:tcPr>
          <w:p w14:paraId="398A9AD7">
            <w:pPr>
              <w:adjustRightInd w:val="0"/>
              <w:snapToGrid w:val="0"/>
              <w:jc w:val="center"/>
              <w:outlineLvl w:val="9"/>
              <w:rPr>
                <w:rFonts w:ascii="Times New Roman" w:hAnsi="Times New Roman"/>
                <w:highlight w:val="none"/>
              </w:rPr>
            </w:pPr>
          </w:p>
        </w:tc>
        <w:tc>
          <w:tcPr>
            <w:tcW w:w="525" w:type="dxa"/>
            <w:noWrap w:val="0"/>
            <w:vAlign w:val="center"/>
          </w:tcPr>
          <w:p w14:paraId="013A8123">
            <w:pPr>
              <w:adjustRightInd w:val="0"/>
              <w:snapToGrid w:val="0"/>
              <w:jc w:val="center"/>
              <w:outlineLvl w:val="9"/>
              <w:rPr>
                <w:rFonts w:ascii="Times New Roman" w:hAnsi="Times New Roman"/>
                <w:highlight w:val="none"/>
              </w:rPr>
            </w:pPr>
          </w:p>
        </w:tc>
        <w:tc>
          <w:tcPr>
            <w:tcW w:w="567" w:type="dxa"/>
            <w:noWrap w:val="0"/>
            <w:vAlign w:val="center"/>
          </w:tcPr>
          <w:p w14:paraId="110B8614">
            <w:pPr>
              <w:adjustRightInd w:val="0"/>
              <w:snapToGrid w:val="0"/>
              <w:jc w:val="center"/>
              <w:outlineLvl w:val="9"/>
              <w:rPr>
                <w:rFonts w:ascii="Times New Roman" w:hAnsi="Times New Roman"/>
                <w:highlight w:val="none"/>
              </w:rPr>
            </w:pPr>
          </w:p>
        </w:tc>
        <w:tc>
          <w:tcPr>
            <w:tcW w:w="1594" w:type="dxa"/>
            <w:noWrap w:val="0"/>
            <w:vAlign w:val="center"/>
          </w:tcPr>
          <w:p w14:paraId="2D3455FA">
            <w:pPr>
              <w:adjustRightInd w:val="0"/>
              <w:snapToGrid w:val="0"/>
              <w:jc w:val="center"/>
              <w:outlineLvl w:val="9"/>
              <w:rPr>
                <w:rFonts w:ascii="Times New Roman" w:hAnsi="Times New Roman"/>
                <w:highlight w:val="none"/>
              </w:rPr>
            </w:pPr>
          </w:p>
        </w:tc>
        <w:tc>
          <w:tcPr>
            <w:tcW w:w="1284" w:type="dxa"/>
            <w:noWrap w:val="0"/>
            <w:vAlign w:val="center"/>
          </w:tcPr>
          <w:p w14:paraId="32C8238E">
            <w:pPr>
              <w:adjustRightInd w:val="0"/>
              <w:snapToGrid w:val="0"/>
              <w:jc w:val="center"/>
              <w:outlineLvl w:val="9"/>
              <w:rPr>
                <w:rFonts w:ascii="Times New Roman" w:hAnsi="Times New Roman"/>
                <w:highlight w:val="none"/>
              </w:rPr>
            </w:pPr>
          </w:p>
        </w:tc>
        <w:tc>
          <w:tcPr>
            <w:tcW w:w="690" w:type="dxa"/>
            <w:noWrap w:val="0"/>
            <w:vAlign w:val="center"/>
          </w:tcPr>
          <w:p w14:paraId="5A986770">
            <w:pPr>
              <w:adjustRightInd w:val="0"/>
              <w:snapToGrid w:val="0"/>
              <w:jc w:val="center"/>
              <w:outlineLvl w:val="9"/>
              <w:rPr>
                <w:rFonts w:ascii="Times New Roman" w:hAnsi="Times New Roman"/>
                <w:highlight w:val="none"/>
              </w:rPr>
            </w:pPr>
          </w:p>
        </w:tc>
        <w:tc>
          <w:tcPr>
            <w:tcW w:w="911" w:type="dxa"/>
            <w:noWrap w:val="0"/>
            <w:vAlign w:val="center"/>
          </w:tcPr>
          <w:p w14:paraId="7DED1060">
            <w:pPr>
              <w:adjustRightInd w:val="0"/>
              <w:snapToGrid w:val="0"/>
              <w:jc w:val="center"/>
              <w:outlineLvl w:val="9"/>
              <w:rPr>
                <w:rFonts w:ascii="Times New Roman" w:hAnsi="Times New Roman"/>
                <w:highlight w:val="none"/>
              </w:rPr>
            </w:pPr>
          </w:p>
        </w:tc>
        <w:tc>
          <w:tcPr>
            <w:tcW w:w="653" w:type="dxa"/>
            <w:noWrap w:val="0"/>
            <w:vAlign w:val="center"/>
          </w:tcPr>
          <w:p w14:paraId="10626871">
            <w:pPr>
              <w:adjustRightInd w:val="0"/>
              <w:snapToGrid w:val="0"/>
              <w:jc w:val="center"/>
              <w:outlineLvl w:val="9"/>
              <w:rPr>
                <w:rFonts w:ascii="Times New Roman" w:hAnsi="Times New Roman"/>
                <w:highlight w:val="none"/>
              </w:rPr>
            </w:pPr>
          </w:p>
        </w:tc>
        <w:tc>
          <w:tcPr>
            <w:tcW w:w="737" w:type="dxa"/>
            <w:noWrap w:val="0"/>
            <w:vAlign w:val="center"/>
          </w:tcPr>
          <w:p w14:paraId="49C2CAAA">
            <w:pPr>
              <w:adjustRightInd w:val="0"/>
              <w:snapToGrid w:val="0"/>
              <w:jc w:val="center"/>
              <w:outlineLvl w:val="9"/>
              <w:rPr>
                <w:rFonts w:ascii="Times New Roman" w:hAnsi="Times New Roman"/>
                <w:highlight w:val="none"/>
              </w:rPr>
            </w:pPr>
          </w:p>
        </w:tc>
      </w:tr>
      <w:tr w14:paraId="0BEE5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45" w:type="dxa"/>
            <w:noWrap w:val="0"/>
            <w:vAlign w:val="center"/>
          </w:tcPr>
          <w:p w14:paraId="794898FD">
            <w:pPr>
              <w:adjustRightInd w:val="0"/>
              <w:snapToGrid w:val="0"/>
              <w:jc w:val="center"/>
              <w:outlineLvl w:val="9"/>
              <w:rPr>
                <w:rFonts w:ascii="Times New Roman" w:hAnsi="Times New Roman"/>
                <w:highlight w:val="none"/>
              </w:rPr>
            </w:pPr>
            <w:r>
              <w:rPr>
                <w:rFonts w:ascii="Times New Roman" w:hAnsi="Times New Roman"/>
                <w:highlight w:val="none"/>
              </w:rPr>
              <w:t>3</w:t>
            </w:r>
          </w:p>
        </w:tc>
        <w:tc>
          <w:tcPr>
            <w:tcW w:w="779" w:type="dxa"/>
            <w:noWrap w:val="0"/>
            <w:vAlign w:val="center"/>
          </w:tcPr>
          <w:p w14:paraId="2B6851B7">
            <w:pPr>
              <w:adjustRightInd w:val="0"/>
              <w:snapToGrid w:val="0"/>
              <w:jc w:val="center"/>
              <w:outlineLvl w:val="9"/>
              <w:rPr>
                <w:rFonts w:ascii="Times New Roman" w:hAnsi="Times New Roman"/>
                <w:highlight w:val="none"/>
              </w:rPr>
            </w:pPr>
          </w:p>
        </w:tc>
        <w:tc>
          <w:tcPr>
            <w:tcW w:w="525" w:type="dxa"/>
            <w:noWrap w:val="0"/>
            <w:vAlign w:val="center"/>
          </w:tcPr>
          <w:p w14:paraId="202F77EA">
            <w:pPr>
              <w:adjustRightInd w:val="0"/>
              <w:snapToGrid w:val="0"/>
              <w:jc w:val="center"/>
              <w:outlineLvl w:val="9"/>
              <w:rPr>
                <w:rFonts w:ascii="Times New Roman" w:hAnsi="Times New Roman"/>
                <w:highlight w:val="none"/>
              </w:rPr>
            </w:pPr>
          </w:p>
        </w:tc>
        <w:tc>
          <w:tcPr>
            <w:tcW w:w="567" w:type="dxa"/>
            <w:noWrap w:val="0"/>
            <w:vAlign w:val="center"/>
          </w:tcPr>
          <w:p w14:paraId="40B15B3F">
            <w:pPr>
              <w:adjustRightInd w:val="0"/>
              <w:snapToGrid w:val="0"/>
              <w:jc w:val="center"/>
              <w:outlineLvl w:val="9"/>
              <w:rPr>
                <w:rFonts w:ascii="Times New Roman" w:hAnsi="Times New Roman"/>
                <w:highlight w:val="none"/>
              </w:rPr>
            </w:pPr>
          </w:p>
        </w:tc>
        <w:tc>
          <w:tcPr>
            <w:tcW w:w="1594" w:type="dxa"/>
            <w:noWrap w:val="0"/>
            <w:vAlign w:val="center"/>
          </w:tcPr>
          <w:p w14:paraId="1DB1CDA2">
            <w:pPr>
              <w:adjustRightInd w:val="0"/>
              <w:snapToGrid w:val="0"/>
              <w:jc w:val="center"/>
              <w:outlineLvl w:val="9"/>
              <w:rPr>
                <w:rFonts w:ascii="Times New Roman" w:hAnsi="Times New Roman"/>
                <w:highlight w:val="none"/>
              </w:rPr>
            </w:pPr>
          </w:p>
        </w:tc>
        <w:tc>
          <w:tcPr>
            <w:tcW w:w="1284" w:type="dxa"/>
            <w:noWrap w:val="0"/>
            <w:vAlign w:val="center"/>
          </w:tcPr>
          <w:p w14:paraId="183FBAF6">
            <w:pPr>
              <w:adjustRightInd w:val="0"/>
              <w:snapToGrid w:val="0"/>
              <w:jc w:val="center"/>
              <w:outlineLvl w:val="9"/>
              <w:rPr>
                <w:rFonts w:ascii="Times New Roman" w:hAnsi="Times New Roman"/>
                <w:highlight w:val="none"/>
              </w:rPr>
            </w:pPr>
          </w:p>
        </w:tc>
        <w:tc>
          <w:tcPr>
            <w:tcW w:w="690" w:type="dxa"/>
            <w:noWrap w:val="0"/>
            <w:vAlign w:val="center"/>
          </w:tcPr>
          <w:p w14:paraId="71DE6655">
            <w:pPr>
              <w:adjustRightInd w:val="0"/>
              <w:snapToGrid w:val="0"/>
              <w:jc w:val="center"/>
              <w:outlineLvl w:val="9"/>
              <w:rPr>
                <w:rFonts w:ascii="Times New Roman" w:hAnsi="Times New Roman"/>
                <w:highlight w:val="none"/>
              </w:rPr>
            </w:pPr>
          </w:p>
        </w:tc>
        <w:tc>
          <w:tcPr>
            <w:tcW w:w="911" w:type="dxa"/>
            <w:noWrap w:val="0"/>
            <w:vAlign w:val="center"/>
          </w:tcPr>
          <w:p w14:paraId="56EF3581">
            <w:pPr>
              <w:adjustRightInd w:val="0"/>
              <w:snapToGrid w:val="0"/>
              <w:jc w:val="center"/>
              <w:outlineLvl w:val="9"/>
              <w:rPr>
                <w:rFonts w:ascii="Times New Roman" w:hAnsi="Times New Roman"/>
                <w:highlight w:val="none"/>
              </w:rPr>
            </w:pPr>
          </w:p>
        </w:tc>
        <w:tc>
          <w:tcPr>
            <w:tcW w:w="653" w:type="dxa"/>
            <w:noWrap w:val="0"/>
            <w:vAlign w:val="center"/>
          </w:tcPr>
          <w:p w14:paraId="0056DD18">
            <w:pPr>
              <w:adjustRightInd w:val="0"/>
              <w:snapToGrid w:val="0"/>
              <w:jc w:val="center"/>
              <w:outlineLvl w:val="9"/>
              <w:rPr>
                <w:rFonts w:ascii="Times New Roman" w:hAnsi="Times New Roman"/>
                <w:highlight w:val="none"/>
              </w:rPr>
            </w:pPr>
          </w:p>
        </w:tc>
        <w:tc>
          <w:tcPr>
            <w:tcW w:w="737" w:type="dxa"/>
            <w:noWrap w:val="0"/>
            <w:vAlign w:val="center"/>
          </w:tcPr>
          <w:p w14:paraId="40482A49">
            <w:pPr>
              <w:adjustRightInd w:val="0"/>
              <w:snapToGrid w:val="0"/>
              <w:jc w:val="center"/>
              <w:outlineLvl w:val="9"/>
              <w:rPr>
                <w:rFonts w:ascii="Times New Roman" w:hAnsi="Times New Roman"/>
                <w:highlight w:val="none"/>
              </w:rPr>
            </w:pPr>
          </w:p>
        </w:tc>
      </w:tr>
      <w:tr w14:paraId="679BB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45" w:type="dxa"/>
            <w:noWrap w:val="0"/>
            <w:vAlign w:val="center"/>
          </w:tcPr>
          <w:p w14:paraId="7380D8B6">
            <w:pPr>
              <w:adjustRightInd w:val="0"/>
              <w:snapToGrid w:val="0"/>
              <w:jc w:val="center"/>
              <w:outlineLvl w:val="9"/>
              <w:rPr>
                <w:rFonts w:ascii="Times New Roman" w:hAnsi="Times New Roman"/>
                <w:highlight w:val="none"/>
              </w:rPr>
            </w:pPr>
            <w:r>
              <w:rPr>
                <w:rFonts w:ascii="Times New Roman" w:hAnsi="Times New Roman"/>
                <w:highlight w:val="none"/>
              </w:rPr>
              <w:t>4</w:t>
            </w:r>
          </w:p>
        </w:tc>
        <w:tc>
          <w:tcPr>
            <w:tcW w:w="779" w:type="dxa"/>
            <w:noWrap w:val="0"/>
            <w:vAlign w:val="center"/>
          </w:tcPr>
          <w:p w14:paraId="49186343">
            <w:pPr>
              <w:adjustRightInd w:val="0"/>
              <w:snapToGrid w:val="0"/>
              <w:jc w:val="center"/>
              <w:outlineLvl w:val="9"/>
              <w:rPr>
                <w:rFonts w:ascii="Times New Roman" w:hAnsi="Times New Roman"/>
                <w:highlight w:val="none"/>
              </w:rPr>
            </w:pPr>
          </w:p>
        </w:tc>
        <w:tc>
          <w:tcPr>
            <w:tcW w:w="525" w:type="dxa"/>
            <w:noWrap w:val="0"/>
            <w:vAlign w:val="center"/>
          </w:tcPr>
          <w:p w14:paraId="19D86C1C">
            <w:pPr>
              <w:adjustRightInd w:val="0"/>
              <w:snapToGrid w:val="0"/>
              <w:jc w:val="center"/>
              <w:outlineLvl w:val="9"/>
              <w:rPr>
                <w:rFonts w:ascii="Times New Roman" w:hAnsi="Times New Roman"/>
                <w:highlight w:val="none"/>
              </w:rPr>
            </w:pPr>
          </w:p>
        </w:tc>
        <w:tc>
          <w:tcPr>
            <w:tcW w:w="567" w:type="dxa"/>
            <w:noWrap w:val="0"/>
            <w:vAlign w:val="center"/>
          </w:tcPr>
          <w:p w14:paraId="4EC738DF">
            <w:pPr>
              <w:adjustRightInd w:val="0"/>
              <w:snapToGrid w:val="0"/>
              <w:jc w:val="center"/>
              <w:outlineLvl w:val="9"/>
              <w:rPr>
                <w:rFonts w:ascii="Times New Roman" w:hAnsi="Times New Roman"/>
                <w:highlight w:val="none"/>
              </w:rPr>
            </w:pPr>
          </w:p>
        </w:tc>
        <w:tc>
          <w:tcPr>
            <w:tcW w:w="1594" w:type="dxa"/>
            <w:noWrap w:val="0"/>
            <w:vAlign w:val="center"/>
          </w:tcPr>
          <w:p w14:paraId="37527DC1">
            <w:pPr>
              <w:adjustRightInd w:val="0"/>
              <w:snapToGrid w:val="0"/>
              <w:jc w:val="center"/>
              <w:outlineLvl w:val="9"/>
              <w:rPr>
                <w:rFonts w:ascii="Times New Roman" w:hAnsi="Times New Roman"/>
                <w:highlight w:val="none"/>
              </w:rPr>
            </w:pPr>
          </w:p>
        </w:tc>
        <w:tc>
          <w:tcPr>
            <w:tcW w:w="1284" w:type="dxa"/>
            <w:noWrap w:val="0"/>
            <w:vAlign w:val="center"/>
          </w:tcPr>
          <w:p w14:paraId="3E74A0F1">
            <w:pPr>
              <w:adjustRightInd w:val="0"/>
              <w:snapToGrid w:val="0"/>
              <w:jc w:val="center"/>
              <w:outlineLvl w:val="9"/>
              <w:rPr>
                <w:rFonts w:ascii="Times New Roman" w:hAnsi="Times New Roman"/>
                <w:highlight w:val="none"/>
              </w:rPr>
            </w:pPr>
          </w:p>
        </w:tc>
        <w:tc>
          <w:tcPr>
            <w:tcW w:w="690" w:type="dxa"/>
            <w:noWrap w:val="0"/>
            <w:vAlign w:val="center"/>
          </w:tcPr>
          <w:p w14:paraId="5B8E2971">
            <w:pPr>
              <w:adjustRightInd w:val="0"/>
              <w:snapToGrid w:val="0"/>
              <w:jc w:val="center"/>
              <w:outlineLvl w:val="9"/>
              <w:rPr>
                <w:rFonts w:ascii="Times New Roman" w:hAnsi="Times New Roman"/>
                <w:highlight w:val="none"/>
              </w:rPr>
            </w:pPr>
          </w:p>
        </w:tc>
        <w:tc>
          <w:tcPr>
            <w:tcW w:w="911" w:type="dxa"/>
            <w:noWrap w:val="0"/>
            <w:vAlign w:val="center"/>
          </w:tcPr>
          <w:p w14:paraId="20BB9922">
            <w:pPr>
              <w:adjustRightInd w:val="0"/>
              <w:snapToGrid w:val="0"/>
              <w:jc w:val="center"/>
              <w:outlineLvl w:val="9"/>
              <w:rPr>
                <w:rFonts w:ascii="Times New Roman" w:hAnsi="Times New Roman"/>
                <w:highlight w:val="none"/>
              </w:rPr>
            </w:pPr>
          </w:p>
        </w:tc>
        <w:tc>
          <w:tcPr>
            <w:tcW w:w="653" w:type="dxa"/>
            <w:noWrap w:val="0"/>
            <w:vAlign w:val="center"/>
          </w:tcPr>
          <w:p w14:paraId="52A2B7CE">
            <w:pPr>
              <w:adjustRightInd w:val="0"/>
              <w:snapToGrid w:val="0"/>
              <w:jc w:val="center"/>
              <w:outlineLvl w:val="9"/>
              <w:rPr>
                <w:rFonts w:ascii="Times New Roman" w:hAnsi="Times New Roman"/>
                <w:highlight w:val="none"/>
              </w:rPr>
            </w:pPr>
          </w:p>
        </w:tc>
        <w:tc>
          <w:tcPr>
            <w:tcW w:w="737" w:type="dxa"/>
            <w:noWrap w:val="0"/>
            <w:vAlign w:val="center"/>
          </w:tcPr>
          <w:p w14:paraId="2049DF6E">
            <w:pPr>
              <w:adjustRightInd w:val="0"/>
              <w:snapToGrid w:val="0"/>
              <w:jc w:val="center"/>
              <w:outlineLvl w:val="9"/>
              <w:rPr>
                <w:rFonts w:ascii="Times New Roman" w:hAnsi="Times New Roman"/>
                <w:highlight w:val="none"/>
              </w:rPr>
            </w:pPr>
          </w:p>
        </w:tc>
      </w:tr>
      <w:tr w14:paraId="58BF9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45" w:type="dxa"/>
            <w:noWrap w:val="0"/>
            <w:vAlign w:val="center"/>
          </w:tcPr>
          <w:p w14:paraId="0C24AF65">
            <w:pPr>
              <w:adjustRightInd w:val="0"/>
              <w:snapToGrid w:val="0"/>
              <w:jc w:val="center"/>
              <w:outlineLvl w:val="9"/>
              <w:rPr>
                <w:rFonts w:ascii="Times New Roman" w:hAnsi="Times New Roman"/>
                <w:highlight w:val="none"/>
              </w:rPr>
            </w:pPr>
            <w:r>
              <w:rPr>
                <w:rFonts w:ascii="Times New Roman" w:hAnsi="Times New Roman"/>
                <w:highlight w:val="none"/>
              </w:rPr>
              <w:t>5</w:t>
            </w:r>
          </w:p>
        </w:tc>
        <w:tc>
          <w:tcPr>
            <w:tcW w:w="779" w:type="dxa"/>
            <w:noWrap w:val="0"/>
            <w:vAlign w:val="center"/>
          </w:tcPr>
          <w:p w14:paraId="01C03676">
            <w:pPr>
              <w:adjustRightInd w:val="0"/>
              <w:snapToGrid w:val="0"/>
              <w:jc w:val="center"/>
              <w:outlineLvl w:val="9"/>
              <w:rPr>
                <w:rFonts w:ascii="Times New Roman" w:hAnsi="Times New Roman"/>
                <w:highlight w:val="none"/>
              </w:rPr>
            </w:pPr>
          </w:p>
        </w:tc>
        <w:tc>
          <w:tcPr>
            <w:tcW w:w="525" w:type="dxa"/>
            <w:noWrap w:val="0"/>
            <w:vAlign w:val="center"/>
          </w:tcPr>
          <w:p w14:paraId="60A9F37C">
            <w:pPr>
              <w:adjustRightInd w:val="0"/>
              <w:snapToGrid w:val="0"/>
              <w:jc w:val="center"/>
              <w:outlineLvl w:val="9"/>
              <w:rPr>
                <w:rFonts w:ascii="Times New Roman" w:hAnsi="Times New Roman"/>
                <w:highlight w:val="none"/>
              </w:rPr>
            </w:pPr>
          </w:p>
        </w:tc>
        <w:tc>
          <w:tcPr>
            <w:tcW w:w="567" w:type="dxa"/>
            <w:noWrap w:val="0"/>
            <w:vAlign w:val="center"/>
          </w:tcPr>
          <w:p w14:paraId="553E597F">
            <w:pPr>
              <w:adjustRightInd w:val="0"/>
              <w:snapToGrid w:val="0"/>
              <w:jc w:val="center"/>
              <w:outlineLvl w:val="9"/>
              <w:rPr>
                <w:rFonts w:ascii="Times New Roman" w:hAnsi="Times New Roman"/>
                <w:highlight w:val="none"/>
              </w:rPr>
            </w:pPr>
          </w:p>
        </w:tc>
        <w:tc>
          <w:tcPr>
            <w:tcW w:w="1594" w:type="dxa"/>
            <w:noWrap w:val="0"/>
            <w:vAlign w:val="center"/>
          </w:tcPr>
          <w:p w14:paraId="673F94C9">
            <w:pPr>
              <w:adjustRightInd w:val="0"/>
              <w:snapToGrid w:val="0"/>
              <w:jc w:val="center"/>
              <w:outlineLvl w:val="9"/>
              <w:rPr>
                <w:rFonts w:ascii="Times New Roman" w:hAnsi="Times New Roman"/>
                <w:highlight w:val="none"/>
              </w:rPr>
            </w:pPr>
          </w:p>
        </w:tc>
        <w:tc>
          <w:tcPr>
            <w:tcW w:w="1284" w:type="dxa"/>
            <w:noWrap w:val="0"/>
            <w:vAlign w:val="center"/>
          </w:tcPr>
          <w:p w14:paraId="5EEC1FA9">
            <w:pPr>
              <w:adjustRightInd w:val="0"/>
              <w:snapToGrid w:val="0"/>
              <w:jc w:val="center"/>
              <w:outlineLvl w:val="9"/>
              <w:rPr>
                <w:rFonts w:ascii="Times New Roman" w:hAnsi="Times New Roman"/>
                <w:highlight w:val="none"/>
              </w:rPr>
            </w:pPr>
          </w:p>
        </w:tc>
        <w:tc>
          <w:tcPr>
            <w:tcW w:w="690" w:type="dxa"/>
            <w:noWrap w:val="0"/>
            <w:vAlign w:val="center"/>
          </w:tcPr>
          <w:p w14:paraId="022B0228">
            <w:pPr>
              <w:adjustRightInd w:val="0"/>
              <w:snapToGrid w:val="0"/>
              <w:jc w:val="center"/>
              <w:outlineLvl w:val="9"/>
              <w:rPr>
                <w:rFonts w:ascii="Times New Roman" w:hAnsi="Times New Roman"/>
                <w:highlight w:val="none"/>
              </w:rPr>
            </w:pPr>
          </w:p>
        </w:tc>
        <w:tc>
          <w:tcPr>
            <w:tcW w:w="911" w:type="dxa"/>
            <w:noWrap w:val="0"/>
            <w:vAlign w:val="center"/>
          </w:tcPr>
          <w:p w14:paraId="588F49B2">
            <w:pPr>
              <w:adjustRightInd w:val="0"/>
              <w:snapToGrid w:val="0"/>
              <w:jc w:val="center"/>
              <w:outlineLvl w:val="9"/>
              <w:rPr>
                <w:rFonts w:ascii="Times New Roman" w:hAnsi="Times New Roman"/>
                <w:highlight w:val="none"/>
              </w:rPr>
            </w:pPr>
          </w:p>
        </w:tc>
        <w:tc>
          <w:tcPr>
            <w:tcW w:w="653" w:type="dxa"/>
            <w:noWrap w:val="0"/>
            <w:vAlign w:val="center"/>
          </w:tcPr>
          <w:p w14:paraId="44C1F092">
            <w:pPr>
              <w:adjustRightInd w:val="0"/>
              <w:snapToGrid w:val="0"/>
              <w:jc w:val="center"/>
              <w:outlineLvl w:val="9"/>
              <w:rPr>
                <w:rFonts w:ascii="Times New Roman" w:hAnsi="Times New Roman"/>
                <w:highlight w:val="none"/>
              </w:rPr>
            </w:pPr>
          </w:p>
        </w:tc>
        <w:tc>
          <w:tcPr>
            <w:tcW w:w="737" w:type="dxa"/>
            <w:noWrap w:val="0"/>
            <w:vAlign w:val="center"/>
          </w:tcPr>
          <w:p w14:paraId="78D5D2D7">
            <w:pPr>
              <w:adjustRightInd w:val="0"/>
              <w:snapToGrid w:val="0"/>
              <w:jc w:val="center"/>
              <w:outlineLvl w:val="9"/>
              <w:rPr>
                <w:rFonts w:ascii="Times New Roman" w:hAnsi="Times New Roman"/>
                <w:highlight w:val="none"/>
              </w:rPr>
            </w:pPr>
          </w:p>
        </w:tc>
      </w:tr>
      <w:tr w14:paraId="1C794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45" w:type="dxa"/>
            <w:noWrap w:val="0"/>
            <w:vAlign w:val="center"/>
          </w:tcPr>
          <w:p w14:paraId="692B6EFB">
            <w:pPr>
              <w:adjustRightInd w:val="0"/>
              <w:snapToGrid w:val="0"/>
              <w:jc w:val="center"/>
              <w:outlineLvl w:val="9"/>
              <w:rPr>
                <w:rFonts w:ascii="Times New Roman" w:hAnsi="Times New Roman"/>
                <w:highlight w:val="none"/>
              </w:rPr>
            </w:pPr>
          </w:p>
        </w:tc>
        <w:tc>
          <w:tcPr>
            <w:tcW w:w="779" w:type="dxa"/>
            <w:noWrap w:val="0"/>
            <w:vAlign w:val="center"/>
          </w:tcPr>
          <w:p w14:paraId="1A3D2691">
            <w:pPr>
              <w:adjustRightInd w:val="0"/>
              <w:snapToGrid w:val="0"/>
              <w:jc w:val="center"/>
              <w:outlineLvl w:val="9"/>
              <w:rPr>
                <w:rFonts w:ascii="Times New Roman" w:hAnsi="Times New Roman"/>
                <w:highlight w:val="none"/>
              </w:rPr>
            </w:pPr>
          </w:p>
        </w:tc>
        <w:tc>
          <w:tcPr>
            <w:tcW w:w="525" w:type="dxa"/>
            <w:noWrap w:val="0"/>
            <w:vAlign w:val="center"/>
          </w:tcPr>
          <w:p w14:paraId="6494CC24">
            <w:pPr>
              <w:adjustRightInd w:val="0"/>
              <w:snapToGrid w:val="0"/>
              <w:jc w:val="center"/>
              <w:outlineLvl w:val="9"/>
              <w:rPr>
                <w:rFonts w:ascii="Times New Roman" w:hAnsi="Times New Roman"/>
                <w:highlight w:val="none"/>
              </w:rPr>
            </w:pPr>
          </w:p>
        </w:tc>
        <w:tc>
          <w:tcPr>
            <w:tcW w:w="567" w:type="dxa"/>
            <w:noWrap w:val="0"/>
            <w:vAlign w:val="center"/>
          </w:tcPr>
          <w:p w14:paraId="332B74EE">
            <w:pPr>
              <w:adjustRightInd w:val="0"/>
              <w:snapToGrid w:val="0"/>
              <w:jc w:val="center"/>
              <w:outlineLvl w:val="9"/>
              <w:rPr>
                <w:rFonts w:ascii="Times New Roman" w:hAnsi="Times New Roman"/>
                <w:highlight w:val="none"/>
              </w:rPr>
            </w:pPr>
          </w:p>
        </w:tc>
        <w:tc>
          <w:tcPr>
            <w:tcW w:w="1594" w:type="dxa"/>
            <w:noWrap w:val="0"/>
            <w:vAlign w:val="center"/>
          </w:tcPr>
          <w:p w14:paraId="6C267853">
            <w:pPr>
              <w:adjustRightInd w:val="0"/>
              <w:snapToGrid w:val="0"/>
              <w:jc w:val="center"/>
              <w:outlineLvl w:val="9"/>
              <w:rPr>
                <w:rFonts w:ascii="Times New Roman" w:hAnsi="Times New Roman"/>
                <w:highlight w:val="none"/>
              </w:rPr>
            </w:pPr>
          </w:p>
        </w:tc>
        <w:tc>
          <w:tcPr>
            <w:tcW w:w="1284" w:type="dxa"/>
            <w:noWrap w:val="0"/>
            <w:vAlign w:val="center"/>
          </w:tcPr>
          <w:p w14:paraId="611F73A8">
            <w:pPr>
              <w:adjustRightInd w:val="0"/>
              <w:snapToGrid w:val="0"/>
              <w:jc w:val="center"/>
              <w:outlineLvl w:val="9"/>
              <w:rPr>
                <w:rFonts w:ascii="Times New Roman" w:hAnsi="Times New Roman"/>
                <w:highlight w:val="none"/>
              </w:rPr>
            </w:pPr>
          </w:p>
        </w:tc>
        <w:tc>
          <w:tcPr>
            <w:tcW w:w="690" w:type="dxa"/>
            <w:noWrap w:val="0"/>
            <w:vAlign w:val="center"/>
          </w:tcPr>
          <w:p w14:paraId="175EEF14">
            <w:pPr>
              <w:adjustRightInd w:val="0"/>
              <w:snapToGrid w:val="0"/>
              <w:jc w:val="center"/>
              <w:outlineLvl w:val="9"/>
              <w:rPr>
                <w:rFonts w:ascii="Times New Roman" w:hAnsi="Times New Roman"/>
                <w:highlight w:val="none"/>
              </w:rPr>
            </w:pPr>
          </w:p>
        </w:tc>
        <w:tc>
          <w:tcPr>
            <w:tcW w:w="911" w:type="dxa"/>
            <w:noWrap w:val="0"/>
            <w:vAlign w:val="center"/>
          </w:tcPr>
          <w:p w14:paraId="63451FF8">
            <w:pPr>
              <w:adjustRightInd w:val="0"/>
              <w:snapToGrid w:val="0"/>
              <w:jc w:val="center"/>
              <w:outlineLvl w:val="9"/>
              <w:rPr>
                <w:rFonts w:ascii="Times New Roman" w:hAnsi="Times New Roman"/>
                <w:highlight w:val="none"/>
              </w:rPr>
            </w:pPr>
          </w:p>
        </w:tc>
        <w:tc>
          <w:tcPr>
            <w:tcW w:w="653" w:type="dxa"/>
            <w:noWrap w:val="0"/>
            <w:vAlign w:val="center"/>
          </w:tcPr>
          <w:p w14:paraId="54061277">
            <w:pPr>
              <w:adjustRightInd w:val="0"/>
              <w:snapToGrid w:val="0"/>
              <w:jc w:val="center"/>
              <w:outlineLvl w:val="9"/>
              <w:rPr>
                <w:rFonts w:ascii="Times New Roman" w:hAnsi="Times New Roman"/>
                <w:highlight w:val="none"/>
              </w:rPr>
            </w:pPr>
          </w:p>
        </w:tc>
        <w:tc>
          <w:tcPr>
            <w:tcW w:w="737" w:type="dxa"/>
            <w:noWrap w:val="0"/>
            <w:vAlign w:val="center"/>
          </w:tcPr>
          <w:p w14:paraId="5F68D053">
            <w:pPr>
              <w:adjustRightInd w:val="0"/>
              <w:snapToGrid w:val="0"/>
              <w:jc w:val="center"/>
              <w:outlineLvl w:val="9"/>
              <w:rPr>
                <w:rFonts w:ascii="Times New Roman" w:hAnsi="Times New Roman"/>
                <w:highlight w:val="none"/>
              </w:rPr>
            </w:pPr>
          </w:p>
        </w:tc>
      </w:tr>
    </w:tbl>
    <w:p w14:paraId="7B9152B2">
      <w:pPr>
        <w:spacing w:line="360" w:lineRule="auto"/>
        <w:ind w:firstLine="480"/>
        <w:jc w:val="center"/>
        <w:outlineLvl w:val="9"/>
        <w:rPr>
          <w:rFonts w:ascii="Times New Roman" w:hAnsi="Times New Roman"/>
          <w:b/>
          <w:bCs/>
          <w:highlight w:val="none"/>
        </w:rPr>
      </w:pPr>
      <w:r>
        <w:rPr>
          <w:rFonts w:ascii="Times New Roman" w:hAnsi="Times New Roman"/>
          <w:highlight w:val="none"/>
        </w:rPr>
        <w:br w:type="page"/>
      </w:r>
      <w:r>
        <w:rPr>
          <w:rFonts w:hint="eastAsia" w:ascii="Times New Roman" w:hAnsi="Times New Roman"/>
          <w:b/>
          <w:bCs/>
          <w:highlight w:val="none"/>
        </w:rPr>
        <w:t>1</w:t>
      </w:r>
      <w:r>
        <w:rPr>
          <w:rFonts w:hint="eastAsia" w:ascii="Times New Roman" w:hAnsi="Times New Roman"/>
          <w:b/>
          <w:bCs/>
          <w:highlight w:val="none"/>
          <w:lang w:val="en-US" w:eastAsia="zh-CN"/>
        </w:rPr>
        <w:t>1</w:t>
      </w:r>
      <w:r>
        <w:rPr>
          <w:rFonts w:ascii="Times New Roman" w:hAnsi="Times New Roman"/>
          <w:b/>
          <w:bCs/>
          <w:highlight w:val="none"/>
        </w:rPr>
        <w:t>-2 项目</w:t>
      </w:r>
      <w:r>
        <w:rPr>
          <w:rFonts w:hint="eastAsia" w:ascii="Times New Roman" w:hAnsi="Times New Roman"/>
          <w:b/>
          <w:bCs/>
          <w:highlight w:val="none"/>
        </w:rPr>
        <w:t>组</w:t>
      </w:r>
      <w:r>
        <w:rPr>
          <w:rFonts w:ascii="Times New Roman" w:hAnsi="Times New Roman"/>
          <w:b/>
          <w:bCs/>
          <w:highlight w:val="none"/>
        </w:rPr>
        <w:t>主要管理与技术人员简历表</w:t>
      </w:r>
    </w:p>
    <w:p w14:paraId="241F634F">
      <w:pPr>
        <w:spacing w:line="360" w:lineRule="auto"/>
        <w:ind w:firstLine="480"/>
        <w:jc w:val="center"/>
        <w:outlineLvl w:val="9"/>
        <w:rPr>
          <w:rFonts w:ascii="Times New Roman" w:hAnsi="Times New Roman"/>
          <w:b/>
          <w:szCs w:val="28"/>
          <w:highlight w:val="yellow"/>
        </w:rPr>
      </w:pPr>
      <w:r>
        <w:rPr>
          <w:rFonts w:ascii="Times New Roman" w:hAnsi="Times New Roman"/>
          <w:b/>
          <w:szCs w:val="28"/>
          <w:highlight w:val="yellow"/>
        </w:rPr>
        <w:t>项目</w:t>
      </w:r>
      <w:r>
        <w:rPr>
          <w:rFonts w:hint="eastAsia" w:ascii="Times New Roman" w:hAnsi="Times New Roman"/>
          <w:b/>
          <w:szCs w:val="28"/>
          <w:highlight w:val="yellow"/>
        </w:rPr>
        <w:t>组</w:t>
      </w:r>
      <w:r>
        <w:rPr>
          <w:rFonts w:ascii="Times New Roman" w:hAnsi="Times New Roman"/>
          <w:b/>
          <w:szCs w:val="28"/>
          <w:highlight w:val="yellow"/>
        </w:rPr>
        <w:t>主要管理与技术人员简历表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2"/>
        <w:gridCol w:w="726"/>
        <w:gridCol w:w="1347"/>
        <w:gridCol w:w="1351"/>
        <w:gridCol w:w="1262"/>
        <w:gridCol w:w="1433"/>
        <w:gridCol w:w="1414"/>
      </w:tblGrid>
      <w:tr w14:paraId="71868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2268" w:type="dxa"/>
            <w:gridSpan w:val="2"/>
            <w:noWrap w:val="0"/>
            <w:vAlign w:val="center"/>
          </w:tcPr>
          <w:p w14:paraId="13A16F2D">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姓  名</w:t>
            </w:r>
          </w:p>
        </w:tc>
        <w:tc>
          <w:tcPr>
            <w:tcW w:w="1347" w:type="dxa"/>
            <w:noWrap w:val="0"/>
            <w:vAlign w:val="center"/>
          </w:tcPr>
          <w:p w14:paraId="7900F05B">
            <w:pPr>
              <w:jc w:val="center"/>
              <w:outlineLvl w:val="9"/>
              <w:rPr>
                <w:rFonts w:ascii="Times New Roman" w:hAnsi="Times New Roman" w:eastAsia="宋体" w:cs="Times New Roman"/>
                <w:sz w:val="21"/>
                <w:szCs w:val="21"/>
                <w:highlight w:val="none"/>
              </w:rPr>
            </w:pPr>
          </w:p>
        </w:tc>
        <w:tc>
          <w:tcPr>
            <w:tcW w:w="1351" w:type="dxa"/>
            <w:noWrap w:val="0"/>
            <w:vAlign w:val="center"/>
          </w:tcPr>
          <w:p w14:paraId="22120BFC">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性  别</w:t>
            </w:r>
          </w:p>
        </w:tc>
        <w:tc>
          <w:tcPr>
            <w:tcW w:w="1262" w:type="dxa"/>
            <w:noWrap w:val="0"/>
            <w:vAlign w:val="center"/>
          </w:tcPr>
          <w:p w14:paraId="249359FC">
            <w:pPr>
              <w:jc w:val="center"/>
              <w:outlineLvl w:val="9"/>
              <w:rPr>
                <w:rFonts w:ascii="Times New Roman" w:hAnsi="Times New Roman" w:eastAsia="宋体" w:cs="Times New Roman"/>
                <w:sz w:val="21"/>
                <w:szCs w:val="21"/>
                <w:highlight w:val="none"/>
              </w:rPr>
            </w:pPr>
          </w:p>
        </w:tc>
        <w:tc>
          <w:tcPr>
            <w:tcW w:w="1433" w:type="dxa"/>
            <w:noWrap w:val="0"/>
            <w:vAlign w:val="center"/>
          </w:tcPr>
          <w:p w14:paraId="5A88AA1C">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出生年月</w:t>
            </w:r>
          </w:p>
        </w:tc>
        <w:tc>
          <w:tcPr>
            <w:tcW w:w="1414" w:type="dxa"/>
            <w:noWrap w:val="0"/>
            <w:vAlign w:val="center"/>
          </w:tcPr>
          <w:p w14:paraId="05B6563D">
            <w:pPr>
              <w:jc w:val="center"/>
              <w:outlineLvl w:val="9"/>
              <w:rPr>
                <w:rFonts w:ascii="Times New Roman" w:hAnsi="Times New Roman" w:eastAsia="宋体" w:cs="Times New Roman"/>
                <w:sz w:val="21"/>
                <w:szCs w:val="21"/>
                <w:highlight w:val="none"/>
              </w:rPr>
            </w:pPr>
          </w:p>
        </w:tc>
      </w:tr>
      <w:tr w14:paraId="7FAE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268" w:type="dxa"/>
            <w:gridSpan w:val="2"/>
            <w:noWrap w:val="0"/>
            <w:vAlign w:val="center"/>
          </w:tcPr>
          <w:p w14:paraId="255DDDD8">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文化程度</w:t>
            </w:r>
          </w:p>
        </w:tc>
        <w:tc>
          <w:tcPr>
            <w:tcW w:w="1347" w:type="dxa"/>
            <w:noWrap w:val="0"/>
            <w:vAlign w:val="center"/>
          </w:tcPr>
          <w:p w14:paraId="61C7BFA6">
            <w:pPr>
              <w:jc w:val="center"/>
              <w:outlineLvl w:val="9"/>
              <w:rPr>
                <w:rFonts w:ascii="Times New Roman" w:hAnsi="Times New Roman" w:eastAsia="宋体" w:cs="Times New Roman"/>
                <w:sz w:val="21"/>
                <w:szCs w:val="21"/>
                <w:highlight w:val="none"/>
              </w:rPr>
            </w:pPr>
          </w:p>
        </w:tc>
        <w:tc>
          <w:tcPr>
            <w:tcW w:w="1351" w:type="dxa"/>
            <w:noWrap w:val="0"/>
            <w:vAlign w:val="center"/>
          </w:tcPr>
          <w:p w14:paraId="33E330BE">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资格证书</w:t>
            </w:r>
          </w:p>
        </w:tc>
        <w:tc>
          <w:tcPr>
            <w:tcW w:w="1262" w:type="dxa"/>
            <w:noWrap w:val="0"/>
            <w:vAlign w:val="center"/>
          </w:tcPr>
          <w:p w14:paraId="7E58976E">
            <w:pPr>
              <w:jc w:val="center"/>
              <w:outlineLvl w:val="9"/>
              <w:rPr>
                <w:rFonts w:ascii="Times New Roman" w:hAnsi="Times New Roman" w:eastAsia="宋体" w:cs="Times New Roman"/>
                <w:sz w:val="21"/>
                <w:szCs w:val="21"/>
                <w:highlight w:val="none"/>
              </w:rPr>
            </w:pPr>
          </w:p>
        </w:tc>
        <w:tc>
          <w:tcPr>
            <w:tcW w:w="1433" w:type="dxa"/>
            <w:vMerge w:val="restart"/>
            <w:noWrap w:val="0"/>
            <w:vAlign w:val="center"/>
          </w:tcPr>
          <w:p w14:paraId="13F24AE0">
            <w:pPr>
              <w:jc w:val="center"/>
              <w:outlineLvl w:val="9"/>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工作年限</w:t>
            </w:r>
          </w:p>
        </w:tc>
        <w:tc>
          <w:tcPr>
            <w:tcW w:w="1414" w:type="dxa"/>
            <w:vMerge w:val="restart"/>
            <w:noWrap w:val="0"/>
            <w:vAlign w:val="center"/>
          </w:tcPr>
          <w:p w14:paraId="2D502718">
            <w:pPr>
              <w:jc w:val="center"/>
              <w:outlineLvl w:val="9"/>
              <w:rPr>
                <w:rFonts w:ascii="Times New Roman" w:hAnsi="Times New Roman" w:eastAsia="宋体" w:cs="Times New Roman"/>
                <w:sz w:val="21"/>
                <w:szCs w:val="21"/>
                <w:highlight w:val="none"/>
              </w:rPr>
            </w:pPr>
          </w:p>
        </w:tc>
      </w:tr>
      <w:tr w14:paraId="52AC6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2268" w:type="dxa"/>
            <w:gridSpan w:val="2"/>
            <w:tcBorders>
              <w:right w:val="single" w:color="auto" w:sz="4" w:space="0"/>
            </w:tcBorders>
            <w:noWrap w:val="0"/>
            <w:vAlign w:val="center"/>
          </w:tcPr>
          <w:p w14:paraId="77411929">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毕业院校及专业</w:t>
            </w:r>
          </w:p>
        </w:tc>
        <w:tc>
          <w:tcPr>
            <w:tcW w:w="1347" w:type="dxa"/>
            <w:tcBorders>
              <w:left w:val="single" w:color="auto" w:sz="4" w:space="0"/>
              <w:right w:val="single" w:color="auto" w:sz="4" w:space="0"/>
            </w:tcBorders>
            <w:noWrap w:val="0"/>
            <w:vAlign w:val="center"/>
          </w:tcPr>
          <w:p w14:paraId="04CF0D67">
            <w:pPr>
              <w:jc w:val="center"/>
              <w:outlineLvl w:val="9"/>
              <w:rPr>
                <w:rFonts w:ascii="Times New Roman" w:hAnsi="Times New Roman" w:eastAsia="宋体" w:cs="Times New Roman"/>
                <w:sz w:val="21"/>
                <w:szCs w:val="21"/>
                <w:highlight w:val="none"/>
              </w:rPr>
            </w:pPr>
          </w:p>
        </w:tc>
        <w:tc>
          <w:tcPr>
            <w:tcW w:w="1351" w:type="dxa"/>
            <w:tcBorders>
              <w:left w:val="single" w:color="auto" w:sz="4" w:space="0"/>
              <w:right w:val="single" w:color="auto" w:sz="4" w:space="0"/>
            </w:tcBorders>
            <w:noWrap w:val="0"/>
            <w:vAlign w:val="center"/>
          </w:tcPr>
          <w:p w14:paraId="61E400B4">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毕业时间</w:t>
            </w:r>
          </w:p>
        </w:tc>
        <w:tc>
          <w:tcPr>
            <w:tcW w:w="1262" w:type="dxa"/>
            <w:tcBorders>
              <w:left w:val="single" w:color="auto" w:sz="4" w:space="0"/>
              <w:right w:val="single" w:color="auto" w:sz="4" w:space="0"/>
            </w:tcBorders>
            <w:noWrap w:val="0"/>
            <w:vAlign w:val="center"/>
          </w:tcPr>
          <w:p w14:paraId="46C5CB36">
            <w:pPr>
              <w:jc w:val="center"/>
              <w:outlineLvl w:val="9"/>
              <w:rPr>
                <w:rFonts w:ascii="Times New Roman" w:hAnsi="Times New Roman" w:eastAsia="宋体" w:cs="Times New Roman"/>
                <w:sz w:val="21"/>
                <w:szCs w:val="21"/>
                <w:highlight w:val="none"/>
              </w:rPr>
            </w:pPr>
          </w:p>
        </w:tc>
        <w:tc>
          <w:tcPr>
            <w:tcW w:w="1433" w:type="dxa"/>
            <w:vMerge w:val="continue"/>
            <w:noWrap w:val="0"/>
            <w:vAlign w:val="center"/>
          </w:tcPr>
          <w:p w14:paraId="3CECDA25">
            <w:pPr>
              <w:jc w:val="center"/>
              <w:outlineLvl w:val="9"/>
              <w:rPr>
                <w:rFonts w:ascii="Times New Roman" w:hAnsi="Times New Roman" w:eastAsia="宋体" w:cs="Times New Roman"/>
                <w:sz w:val="21"/>
                <w:szCs w:val="21"/>
                <w:highlight w:val="none"/>
              </w:rPr>
            </w:pPr>
          </w:p>
        </w:tc>
        <w:tc>
          <w:tcPr>
            <w:tcW w:w="1414" w:type="dxa"/>
            <w:vMerge w:val="continue"/>
            <w:noWrap w:val="0"/>
            <w:vAlign w:val="center"/>
          </w:tcPr>
          <w:p w14:paraId="641F2A07">
            <w:pPr>
              <w:jc w:val="center"/>
              <w:outlineLvl w:val="9"/>
              <w:rPr>
                <w:rFonts w:ascii="Times New Roman" w:hAnsi="Times New Roman" w:eastAsia="宋体" w:cs="Times New Roman"/>
                <w:sz w:val="21"/>
                <w:szCs w:val="21"/>
                <w:highlight w:val="none"/>
              </w:rPr>
            </w:pPr>
          </w:p>
        </w:tc>
      </w:tr>
      <w:tr w14:paraId="3DD13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2268" w:type="dxa"/>
            <w:gridSpan w:val="2"/>
            <w:tcBorders>
              <w:right w:val="single" w:color="auto" w:sz="4" w:space="0"/>
            </w:tcBorders>
            <w:noWrap w:val="0"/>
            <w:vAlign w:val="center"/>
          </w:tcPr>
          <w:p w14:paraId="4A25DAA7">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工作单位</w:t>
            </w:r>
          </w:p>
        </w:tc>
        <w:tc>
          <w:tcPr>
            <w:tcW w:w="6807" w:type="dxa"/>
            <w:gridSpan w:val="5"/>
            <w:tcBorders>
              <w:left w:val="single" w:color="auto" w:sz="4" w:space="0"/>
            </w:tcBorders>
            <w:noWrap w:val="0"/>
            <w:vAlign w:val="center"/>
          </w:tcPr>
          <w:p w14:paraId="3B429523">
            <w:pPr>
              <w:jc w:val="center"/>
              <w:outlineLvl w:val="9"/>
              <w:rPr>
                <w:rFonts w:ascii="Times New Roman" w:hAnsi="Times New Roman" w:eastAsia="宋体" w:cs="Times New Roman"/>
                <w:sz w:val="21"/>
                <w:szCs w:val="21"/>
                <w:highlight w:val="none"/>
              </w:rPr>
            </w:pPr>
          </w:p>
        </w:tc>
      </w:tr>
      <w:tr w14:paraId="5470E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2268" w:type="dxa"/>
            <w:gridSpan w:val="2"/>
            <w:tcBorders>
              <w:right w:val="single" w:color="auto" w:sz="4" w:space="0"/>
            </w:tcBorders>
            <w:noWrap w:val="0"/>
            <w:vAlign w:val="center"/>
          </w:tcPr>
          <w:p w14:paraId="502811B6">
            <w:pPr>
              <w:jc w:val="center"/>
              <w:outlineLvl w:val="9"/>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拟在本合同</w:t>
            </w:r>
          </w:p>
          <w:p w14:paraId="14D5D38B">
            <w:pPr>
              <w:jc w:val="center"/>
              <w:outlineLvl w:val="9"/>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任职</w:t>
            </w:r>
          </w:p>
        </w:tc>
        <w:tc>
          <w:tcPr>
            <w:tcW w:w="6807" w:type="dxa"/>
            <w:gridSpan w:val="5"/>
            <w:tcBorders>
              <w:left w:val="single" w:color="auto" w:sz="4" w:space="0"/>
            </w:tcBorders>
            <w:noWrap w:val="0"/>
            <w:vAlign w:val="center"/>
          </w:tcPr>
          <w:p w14:paraId="2623B7A3">
            <w:pPr>
              <w:jc w:val="center"/>
              <w:outlineLvl w:val="9"/>
              <w:rPr>
                <w:rFonts w:ascii="Times New Roman" w:hAnsi="Times New Roman" w:eastAsia="宋体" w:cs="Times New Roman"/>
                <w:sz w:val="21"/>
                <w:szCs w:val="21"/>
                <w:highlight w:val="none"/>
              </w:rPr>
            </w:pPr>
          </w:p>
        </w:tc>
      </w:tr>
      <w:tr w14:paraId="7F0E5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542" w:type="dxa"/>
            <w:vMerge w:val="restart"/>
            <w:noWrap w:val="0"/>
            <w:vAlign w:val="center"/>
          </w:tcPr>
          <w:p w14:paraId="4AC049D6">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专业技术证书及证书号</w:t>
            </w:r>
          </w:p>
        </w:tc>
        <w:tc>
          <w:tcPr>
            <w:tcW w:w="726" w:type="dxa"/>
            <w:noWrap w:val="0"/>
            <w:vAlign w:val="center"/>
          </w:tcPr>
          <w:p w14:paraId="0A19EC5A">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序号</w:t>
            </w:r>
          </w:p>
        </w:tc>
        <w:tc>
          <w:tcPr>
            <w:tcW w:w="3960" w:type="dxa"/>
            <w:gridSpan w:val="3"/>
            <w:noWrap w:val="0"/>
            <w:vAlign w:val="center"/>
          </w:tcPr>
          <w:p w14:paraId="7664D30A">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证书名称</w:t>
            </w:r>
          </w:p>
        </w:tc>
        <w:tc>
          <w:tcPr>
            <w:tcW w:w="2847" w:type="dxa"/>
            <w:gridSpan w:val="2"/>
            <w:noWrap w:val="0"/>
            <w:vAlign w:val="center"/>
          </w:tcPr>
          <w:p w14:paraId="64F6F0E3">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证书号</w:t>
            </w:r>
          </w:p>
        </w:tc>
      </w:tr>
      <w:tr w14:paraId="15F3F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542" w:type="dxa"/>
            <w:vMerge w:val="continue"/>
            <w:noWrap w:val="0"/>
            <w:vAlign w:val="center"/>
          </w:tcPr>
          <w:p w14:paraId="693581E6">
            <w:pPr>
              <w:jc w:val="center"/>
              <w:outlineLvl w:val="9"/>
              <w:rPr>
                <w:rFonts w:ascii="Times New Roman" w:hAnsi="Times New Roman" w:eastAsia="宋体" w:cs="Times New Roman"/>
                <w:sz w:val="21"/>
                <w:szCs w:val="21"/>
                <w:highlight w:val="none"/>
              </w:rPr>
            </w:pPr>
          </w:p>
        </w:tc>
        <w:tc>
          <w:tcPr>
            <w:tcW w:w="726" w:type="dxa"/>
            <w:noWrap w:val="0"/>
            <w:vAlign w:val="center"/>
          </w:tcPr>
          <w:p w14:paraId="105CA37B">
            <w:pPr>
              <w:jc w:val="center"/>
              <w:outlineLvl w:val="9"/>
              <w:rPr>
                <w:rFonts w:ascii="Times New Roman" w:hAnsi="Times New Roman" w:eastAsia="宋体" w:cs="Times New Roman"/>
                <w:sz w:val="21"/>
                <w:szCs w:val="21"/>
                <w:highlight w:val="none"/>
              </w:rPr>
            </w:pPr>
          </w:p>
        </w:tc>
        <w:tc>
          <w:tcPr>
            <w:tcW w:w="3960" w:type="dxa"/>
            <w:gridSpan w:val="3"/>
            <w:noWrap w:val="0"/>
            <w:vAlign w:val="center"/>
          </w:tcPr>
          <w:p w14:paraId="4F8C8080">
            <w:pPr>
              <w:jc w:val="center"/>
              <w:outlineLvl w:val="9"/>
              <w:rPr>
                <w:rFonts w:ascii="Times New Roman" w:hAnsi="Times New Roman" w:eastAsia="宋体" w:cs="Times New Roman"/>
                <w:sz w:val="21"/>
                <w:szCs w:val="21"/>
                <w:highlight w:val="none"/>
              </w:rPr>
            </w:pPr>
          </w:p>
        </w:tc>
        <w:tc>
          <w:tcPr>
            <w:tcW w:w="2847" w:type="dxa"/>
            <w:gridSpan w:val="2"/>
            <w:noWrap w:val="0"/>
            <w:vAlign w:val="center"/>
          </w:tcPr>
          <w:p w14:paraId="4390611E">
            <w:pPr>
              <w:jc w:val="center"/>
              <w:outlineLvl w:val="9"/>
              <w:rPr>
                <w:rFonts w:ascii="Times New Roman" w:hAnsi="Times New Roman" w:eastAsia="宋体" w:cs="Times New Roman"/>
                <w:sz w:val="21"/>
                <w:szCs w:val="21"/>
                <w:highlight w:val="none"/>
              </w:rPr>
            </w:pPr>
          </w:p>
        </w:tc>
      </w:tr>
      <w:tr w14:paraId="6FC51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542" w:type="dxa"/>
            <w:vMerge w:val="continue"/>
            <w:noWrap w:val="0"/>
            <w:vAlign w:val="center"/>
          </w:tcPr>
          <w:p w14:paraId="19C4F264">
            <w:pPr>
              <w:jc w:val="center"/>
              <w:outlineLvl w:val="9"/>
              <w:rPr>
                <w:rFonts w:ascii="Times New Roman" w:hAnsi="Times New Roman" w:eastAsia="宋体" w:cs="Times New Roman"/>
                <w:sz w:val="21"/>
                <w:szCs w:val="21"/>
                <w:highlight w:val="none"/>
              </w:rPr>
            </w:pPr>
          </w:p>
        </w:tc>
        <w:tc>
          <w:tcPr>
            <w:tcW w:w="726" w:type="dxa"/>
            <w:noWrap w:val="0"/>
            <w:vAlign w:val="center"/>
          </w:tcPr>
          <w:p w14:paraId="5F49E740">
            <w:pPr>
              <w:jc w:val="center"/>
              <w:outlineLvl w:val="9"/>
              <w:rPr>
                <w:rFonts w:ascii="Times New Roman" w:hAnsi="Times New Roman" w:eastAsia="宋体" w:cs="Times New Roman"/>
                <w:sz w:val="21"/>
                <w:szCs w:val="21"/>
                <w:highlight w:val="none"/>
              </w:rPr>
            </w:pPr>
          </w:p>
        </w:tc>
        <w:tc>
          <w:tcPr>
            <w:tcW w:w="3960" w:type="dxa"/>
            <w:gridSpan w:val="3"/>
            <w:tcBorders>
              <w:bottom w:val="single" w:color="auto" w:sz="4" w:space="0"/>
            </w:tcBorders>
            <w:noWrap w:val="0"/>
            <w:vAlign w:val="center"/>
          </w:tcPr>
          <w:p w14:paraId="0718D903">
            <w:pPr>
              <w:jc w:val="center"/>
              <w:outlineLvl w:val="9"/>
              <w:rPr>
                <w:rFonts w:ascii="Times New Roman" w:hAnsi="Times New Roman" w:eastAsia="宋体" w:cs="Times New Roman"/>
                <w:sz w:val="21"/>
                <w:szCs w:val="21"/>
                <w:highlight w:val="none"/>
              </w:rPr>
            </w:pPr>
          </w:p>
        </w:tc>
        <w:tc>
          <w:tcPr>
            <w:tcW w:w="2847" w:type="dxa"/>
            <w:gridSpan w:val="2"/>
            <w:noWrap w:val="0"/>
            <w:vAlign w:val="center"/>
          </w:tcPr>
          <w:p w14:paraId="4967AE5E">
            <w:pPr>
              <w:jc w:val="center"/>
              <w:outlineLvl w:val="9"/>
              <w:rPr>
                <w:rFonts w:ascii="Times New Roman" w:hAnsi="Times New Roman" w:eastAsia="宋体" w:cs="Times New Roman"/>
                <w:sz w:val="21"/>
                <w:szCs w:val="21"/>
                <w:highlight w:val="none"/>
              </w:rPr>
            </w:pPr>
          </w:p>
        </w:tc>
      </w:tr>
      <w:tr w14:paraId="6503B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542" w:type="dxa"/>
            <w:vMerge w:val="continue"/>
            <w:noWrap w:val="0"/>
            <w:vAlign w:val="center"/>
          </w:tcPr>
          <w:p w14:paraId="233FBF70">
            <w:pPr>
              <w:jc w:val="center"/>
              <w:outlineLvl w:val="9"/>
              <w:rPr>
                <w:rFonts w:ascii="Times New Roman" w:hAnsi="Times New Roman" w:eastAsia="宋体" w:cs="Times New Roman"/>
                <w:sz w:val="21"/>
                <w:szCs w:val="21"/>
                <w:highlight w:val="none"/>
              </w:rPr>
            </w:pPr>
          </w:p>
        </w:tc>
        <w:tc>
          <w:tcPr>
            <w:tcW w:w="726" w:type="dxa"/>
            <w:tcBorders>
              <w:right w:val="single" w:color="auto" w:sz="4" w:space="0"/>
            </w:tcBorders>
            <w:noWrap w:val="0"/>
            <w:vAlign w:val="center"/>
          </w:tcPr>
          <w:p w14:paraId="25E0560F">
            <w:pPr>
              <w:jc w:val="center"/>
              <w:outlineLvl w:val="9"/>
              <w:rPr>
                <w:rFonts w:ascii="Times New Roman" w:hAnsi="Times New Roman" w:eastAsia="宋体" w:cs="Times New Roman"/>
                <w:sz w:val="21"/>
                <w:szCs w:val="21"/>
                <w:highlight w:val="none"/>
              </w:rPr>
            </w:pPr>
          </w:p>
        </w:tc>
        <w:tc>
          <w:tcPr>
            <w:tcW w:w="3960" w:type="dxa"/>
            <w:gridSpan w:val="3"/>
            <w:tcBorders>
              <w:top w:val="single" w:color="auto" w:sz="4" w:space="0"/>
              <w:left w:val="single" w:color="auto" w:sz="4" w:space="0"/>
            </w:tcBorders>
            <w:noWrap w:val="0"/>
            <w:vAlign w:val="center"/>
          </w:tcPr>
          <w:p w14:paraId="2541FA08">
            <w:pPr>
              <w:jc w:val="center"/>
              <w:outlineLvl w:val="9"/>
              <w:rPr>
                <w:rFonts w:ascii="Times New Roman" w:hAnsi="Times New Roman" w:eastAsia="宋体" w:cs="Times New Roman"/>
                <w:sz w:val="21"/>
                <w:szCs w:val="21"/>
                <w:highlight w:val="none"/>
              </w:rPr>
            </w:pPr>
          </w:p>
        </w:tc>
        <w:tc>
          <w:tcPr>
            <w:tcW w:w="2847" w:type="dxa"/>
            <w:gridSpan w:val="2"/>
            <w:noWrap w:val="0"/>
            <w:vAlign w:val="center"/>
          </w:tcPr>
          <w:p w14:paraId="1E1F0607">
            <w:pPr>
              <w:jc w:val="center"/>
              <w:outlineLvl w:val="9"/>
              <w:rPr>
                <w:rFonts w:ascii="Times New Roman" w:hAnsi="Times New Roman" w:eastAsia="宋体" w:cs="Times New Roman"/>
                <w:sz w:val="21"/>
                <w:szCs w:val="21"/>
                <w:highlight w:val="none"/>
              </w:rPr>
            </w:pPr>
          </w:p>
        </w:tc>
      </w:tr>
      <w:tr w14:paraId="0E45A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1" w:hRule="atLeast"/>
          <w:jc w:val="center"/>
        </w:trPr>
        <w:tc>
          <w:tcPr>
            <w:tcW w:w="1542" w:type="dxa"/>
            <w:noWrap w:val="0"/>
            <w:vAlign w:val="center"/>
          </w:tcPr>
          <w:p w14:paraId="4F2F6A9A">
            <w:pPr>
              <w:jc w:val="center"/>
              <w:outlineLvl w:val="9"/>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相关专业经历与工作经验</w:t>
            </w:r>
          </w:p>
        </w:tc>
        <w:tc>
          <w:tcPr>
            <w:tcW w:w="7533" w:type="dxa"/>
            <w:gridSpan w:val="6"/>
            <w:noWrap w:val="0"/>
            <w:vAlign w:val="center"/>
          </w:tcPr>
          <w:p w14:paraId="3E29531E">
            <w:pPr>
              <w:jc w:val="center"/>
              <w:outlineLvl w:val="9"/>
              <w:rPr>
                <w:rFonts w:ascii="Times New Roman" w:hAnsi="Times New Roman" w:eastAsia="宋体" w:cs="Times New Roman"/>
                <w:sz w:val="21"/>
                <w:szCs w:val="21"/>
                <w:highlight w:val="none"/>
              </w:rPr>
            </w:pPr>
          </w:p>
        </w:tc>
      </w:tr>
    </w:tbl>
    <w:p w14:paraId="79B3FD31">
      <w:pPr>
        <w:jc w:val="left"/>
        <w:outlineLvl w:val="9"/>
        <w:rPr>
          <w:rFonts w:hint="eastAsia" w:ascii="Times New Roman" w:hAnsi="Times New Roman" w:eastAsiaTheme="minorEastAsia"/>
          <w:b/>
          <w:bCs/>
          <w:szCs w:val="24"/>
          <w:highlight w:val="none"/>
          <w:lang w:eastAsia="zh-CN"/>
        </w:rPr>
      </w:pPr>
      <w:r>
        <w:rPr>
          <w:rFonts w:ascii="Times New Roman" w:hAnsi="Times New Roman"/>
          <w:b/>
          <w:bCs/>
          <w:szCs w:val="24"/>
          <w:highlight w:val="none"/>
        </w:rPr>
        <w:t>注：1、项目</w:t>
      </w:r>
      <w:r>
        <w:rPr>
          <w:rFonts w:hint="eastAsia" w:ascii="Times New Roman" w:hAnsi="Times New Roman"/>
          <w:b/>
          <w:bCs/>
          <w:szCs w:val="24"/>
          <w:highlight w:val="none"/>
          <w:lang w:eastAsia="zh-CN"/>
        </w:rPr>
        <w:t>经理和技术负责人</w:t>
      </w:r>
      <w:r>
        <w:rPr>
          <w:rFonts w:ascii="Times New Roman" w:hAnsi="Times New Roman"/>
          <w:b/>
          <w:bCs/>
          <w:szCs w:val="24"/>
          <w:highlight w:val="none"/>
        </w:rPr>
        <w:t>随表附</w:t>
      </w:r>
      <w:r>
        <w:rPr>
          <w:rFonts w:ascii="Times New Roman" w:hAnsi="Times New Roman" w:eastAsia="宋体" w:cs="Times New Roman"/>
          <w:b/>
          <w:bCs/>
          <w:sz w:val="21"/>
          <w:szCs w:val="21"/>
          <w:highlight w:val="none"/>
        </w:rPr>
        <w:t>专业技术证书</w:t>
      </w:r>
      <w:r>
        <w:rPr>
          <w:rFonts w:hint="eastAsia" w:ascii="Times New Roman" w:hAnsi="Times New Roman"/>
          <w:b/>
          <w:bCs/>
          <w:szCs w:val="24"/>
          <w:highlight w:val="none"/>
        </w:rPr>
        <w:t>、近</w:t>
      </w:r>
      <w:r>
        <w:rPr>
          <w:rFonts w:hint="eastAsia" w:ascii="Times New Roman" w:hAnsi="Times New Roman"/>
          <w:b/>
          <w:bCs/>
          <w:szCs w:val="24"/>
          <w:highlight w:val="none"/>
          <w:lang w:val="en-US" w:eastAsia="zh-CN"/>
        </w:rPr>
        <w:t>三个月任意一个月</w:t>
      </w:r>
      <w:r>
        <w:rPr>
          <w:rFonts w:hint="eastAsia" w:ascii="Times New Roman" w:hAnsi="Times New Roman"/>
          <w:b/>
          <w:bCs/>
          <w:szCs w:val="24"/>
          <w:highlight w:val="none"/>
        </w:rPr>
        <w:t>社保缴纳证明</w:t>
      </w:r>
      <w:r>
        <w:rPr>
          <w:rFonts w:hint="eastAsia" w:ascii="Times New Roman" w:hAnsi="Times New Roman"/>
          <w:b/>
          <w:bCs/>
          <w:szCs w:val="24"/>
          <w:highlight w:val="none"/>
          <w:lang w:eastAsia="zh-CN"/>
        </w:rPr>
        <w:t>。</w:t>
      </w:r>
    </w:p>
    <w:p w14:paraId="1F7FE9F4">
      <w:pPr>
        <w:jc w:val="center"/>
        <w:outlineLvl w:val="9"/>
        <w:rPr>
          <w:highlight w:val="none"/>
        </w:rPr>
      </w:pPr>
      <w:r>
        <w:rPr>
          <w:highlight w:val="none"/>
        </w:rPr>
        <w:br w:type="page"/>
      </w:r>
      <w:bookmarkStart w:id="321" w:name="_Toc27682"/>
      <w:bookmarkStart w:id="322" w:name="_Toc458617484"/>
      <w:bookmarkStart w:id="323" w:name="_Toc6949"/>
      <w:r>
        <w:rPr>
          <w:rFonts w:hint="eastAsia"/>
          <w:highlight w:val="none"/>
        </w:rPr>
        <w:t>1</w:t>
      </w:r>
      <w:r>
        <w:rPr>
          <w:rFonts w:hint="eastAsia"/>
          <w:highlight w:val="none"/>
          <w:lang w:val="en-US" w:eastAsia="zh-CN"/>
        </w:rPr>
        <w:t>2</w:t>
      </w:r>
      <w:r>
        <w:rPr>
          <w:rFonts w:hint="eastAsia"/>
          <w:highlight w:val="none"/>
        </w:rPr>
        <w:t>.投标人认为有必要补充说明的事宜</w:t>
      </w:r>
      <w:bookmarkEnd w:id="321"/>
      <w:bookmarkEnd w:id="322"/>
      <w:bookmarkEnd w:id="323"/>
      <w:r>
        <w:rPr>
          <w:rFonts w:hint="eastAsia"/>
          <w:highlight w:val="none"/>
        </w:rPr>
        <w:t>（若有）</w:t>
      </w:r>
    </w:p>
    <w:p w14:paraId="468394B6">
      <w:pPr>
        <w:pStyle w:val="49"/>
        <w:spacing w:line="560" w:lineRule="exact"/>
        <w:ind w:firstLine="174" w:firstLineChars="62"/>
        <w:jc w:val="center"/>
        <w:outlineLvl w:val="9"/>
        <w:rPr>
          <w:highlight w:val="none"/>
        </w:rPr>
      </w:pPr>
      <w:r>
        <w:rPr>
          <w:rFonts w:hint="eastAsia" w:ascii="宋体" w:hAnsi="宋体" w:cs="楷体"/>
          <w:b/>
          <w:bCs/>
          <w:szCs w:val="28"/>
          <w:highlight w:val="none"/>
        </w:rPr>
        <w:br w:type="page"/>
      </w:r>
      <w:r>
        <w:rPr>
          <w:rFonts w:hint="eastAsia"/>
          <w:highlight w:val="none"/>
        </w:rPr>
        <w:t>1</w:t>
      </w:r>
      <w:r>
        <w:rPr>
          <w:rFonts w:hint="eastAsia"/>
          <w:highlight w:val="none"/>
          <w:lang w:val="en-US" w:eastAsia="zh-CN"/>
        </w:rPr>
        <w:t>3</w:t>
      </w:r>
      <w:r>
        <w:rPr>
          <w:rFonts w:hint="eastAsia"/>
          <w:highlight w:val="none"/>
        </w:rPr>
        <w:t>.</w:t>
      </w:r>
      <w:bookmarkEnd w:id="316"/>
      <w:bookmarkEnd w:id="317"/>
      <w:bookmarkEnd w:id="318"/>
      <w:bookmarkEnd w:id="319"/>
      <w:bookmarkStart w:id="324" w:name="_Toc31350"/>
      <w:bookmarkStart w:id="325" w:name="_Toc6831"/>
      <w:r>
        <w:rPr>
          <w:rFonts w:hint="eastAsia"/>
          <w:highlight w:val="none"/>
          <w:lang w:val="en-US" w:eastAsia="zh-CN"/>
        </w:rPr>
        <w:t>供应商</w:t>
      </w:r>
      <w:r>
        <w:rPr>
          <w:rFonts w:hint="eastAsia"/>
          <w:highlight w:val="none"/>
        </w:rPr>
        <w:t>承诺书（格式）</w:t>
      </w:r>
      <w:bookmarkEnd w:id="324"/>
      <w:bookmarkEnd w:id="325"/>
    </w:p>
    <w:p w14:paraId="4F7A52D0">
      <w:pPr>
        <w:widowControl/>
        <w:spacing w:line="560" w:lineRule="exact"/>
        <w:outlineLvl w:val="9"/>
        <w:rPr>
          <w:rFonts w:ascii="宋体" w:hAnsi="宋体" w:cs="楷体"/>
          <w:b/>
          <w:bCs/>
          <w:kern w:val="0"/>
          <w:sz w:val="32"/>
          <w:szCs w:val="32"/>
          <w:highlight w:val="none"/>
        </w:rPr>
      </w:pPr>
    </w:p>
    <w:p w14:paraId="45E4B3A6">
      <w:pPr>
        <w:widowControl/>
        <w:spacing w:line="480" w:lineRule="exact"/>
        <w:jc w:val="center"/>
        <w:outlineLvl w:val="9"/>
        <w:rPr>
          <w:rFonts w:ascii="宋体" w:hAnsi="宋体" w:cs="楷体"/>
          <w:b/>
          <w:bCs/>
          <w:kern w:val="0"/>
          <w:sz w:val="28"/>
          <w:szCs w:val="28"/>
          <w:highlight w:val="none"/>
        </w:rPr>
      </w:pPr>
      <w:r>
        <w:rPr>
          <w:rFonts w:hint="eastAsia" w:ascii="宋体" w:hAnsi="宋体" w:cs="楷体"/>
          <w:b/>
          <w:bCs/>
          <w:kern w:val="0"/>
          <w:sz w:val="28"/>
          <w:szCs w:val="28"/>
          <w:highlight w:val="none"/>
        </w:rPr>
        <w:t>投标人拒绝政府采购领域商业贿赂承诺书</w:t>
      </w:r>
    </w:p>
    <w:p w14:paraId="15884A88">
      <w:pPr>
        <w:widowControl/>
        <w:spacing w:line="480" w:lineRule="exact"/>
        <w:ind w:firstLine="420" w:firstLineChars="200"/>
        <w:jc w:val="left"/>
        <w:outlineLvl w:val="9"/>
        <w:rPr>
          <w:rFonts w:ascii="宋体" w:hAnsi="宋体" w:cs="楷体"/>
          <w:kern w:val="0"/>
          <w:highlight w:val="none"/>
        </w:rPr>
      </w:pPr>
    </w:p>
    <w:p w14:paraId="09589786">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为响应党中央、国务院关于治理政府采购领域商业贿赂行为的号召，</w:t>
      </w:r>
      <w:r>
        <w:rPr>
          <w:rFonts w:hint="eastAsia" w:ascii="宋体" w:hAnsi="宋体" w:cs="楷体"/>
          <w:kern w:val="0"/>
          <w:highlight w:val="none"/>
        </w:rPr>
        <w:t xml:space="preserve">我单位作为     </w:t>
      </w:r>
      <w:r>
        <w:rPr>
          <w:rFonts w:hint="eastAsia" w:ascii="宋体" w:hAnsi="宋体" w:cs="楷体"/>
          <w:kern w:val="0"/>
          <w:highlight w:val="none"/>
          <w:u w:val="single"/>
        </w:rPr>
        <w:t xml:space="preserve">（项目名称）         </w:t>
      </w:r>
      <w:r>
        <w:rPr>
          <w:rFonts w:hint="eastAsia" w:ascii="宋体" w:hAnsi="宋体" w:cs="楷体"/>
          <w:kern w:val="0"/>
          <w:highlight w:val="none"/>
        </w:rPr>
        <w:t xml:space="preserve"> 的投标人，</w:t>
      </w:r>
      <w:r>
        <w:rPr>
          <w:rFonts w:hint="eastAsia" w:ascii="宋体" w:hAnsi="宋体" w:cs="楷体"/>
          <w:kern w:val="0"/>
          <w:szCs w:val="24"/>
          <w:highlight w:val="none"/>
        </w:rPr>
        <w:t xml:space="preserve">在此庄严承诺： </w:t>
      </w:r>
    </w:p>
    <w:p w14:paraId="5C80B396">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1、在参与政府采购活动中遵纪守法、诚信经营、公平竞标。 </w:t>
      </w:r>
    </w:p>
    <w:p w14:paraId="2BCA04AB">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2、不向</w:t>
      </w:r>
      <w:r>
        <w:rPr>
          <w:rFonts w:hint="eastAsia" w:ascii="宋体" w:hAnsi="宋体" w:cs="楷体"/>
          <w:kern w:val="0"/>
          <w:szCs w:val="24"/>
          <w:highlight w:val="none"/>
          <w:lang w:eastAsia="zh-CN"/>
        </w:rPr>
        <w:t>采购人</w:t>
      </w:r>
      <w:r>
        <w:rPr>
          <w:rFonts w:hint="eastAsia" w:ascii="宋体" w:hAnsi="宋体" w:cs="楷体"/>
          <w:kern w:val="0"/>
          <w:szCs w:val="24"/>
          <w:highlight w:val="none"/>
        </w:rPr>
        <w:t xml:space="preserve">、招标代理机构和政府采购评审专家进行任何形式的商业贿赂以谋取交易机会。 </w:t>
      </w:r>
    </w:p>
    <w:p w14:paraId="4C81B514">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3、不向政府采购招标代理机构和</w:t>
      </w:r>
      <w:r>
        <w:rPr>
          <w:rFonts w:hint="eastAsia" w:ascii="宋体" w:hAnsi="宋体" w:cs="楷体"/>
          <w:kern w:val="0"/>
          <w:szCs w:val="24"/>
          <w:highlight w:val="none"/>
          <w:lang w:eastAsia="zh-CN"/>
        </w:rPr>
        <w:t>采购人</w:t>
      </w:r>
      <w:r>
        <w:rPr>
          <w:rFonts w:hint="eastAsia" w:ascii="宋体" w:hAnsi="宋体" w:cs="楷体"/>
          <w:kern w:val="0"/>
          <w:szCs w:val="24"/>
          <w:highlight w:val="none"/>
        </w:rPr>
        <w:t xml:space="preserve">提供虚假资质文件或采用虚假应标方式参与政府采购市场竞争并谋取中标、成交。 </w:t>
      </w:r>
    </w:p>
    <w:p w14:paraId="1085F436">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4、不采取“围标、陪标”等商业欺诈手段获得政府采购定单。 </w:t>
      </w:r>
    </w:p>
    <w:p w14:paraId="45AFD40A">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5、不采取不正当手段低毁、排挤其他投标人。 </w:t>
      </w:r>
    </w:p>
    <w:p w14:paraId="18C357A3">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6、不在提供商品和服务时“偷梁换柱、以次充好”损害</w:t>
      </w:r>
      <w:r>
        <w:rPr>
          <w:rFonts w:hint="eastAsia" w:ascii="宋体" w:hAnsi="宋体" w:cs="楷体"/>
          <w:kern w:val="0"/>
          <w:szCs w:val="24"/>
          <w:highlight w:val="none"/>
          <w:lang w:eastAsia="zh-CN"/>
        </w:rPr>
        <w:t>采购人</w:t>
      </w:r>
      <w:r>
        <w:rPr>
          <w:rFonts w:hint="eastAsia" w:ascii="宋体" w:hAnsi="宋体" w:cs="楷体"/>
          <w:kern w:val="0"/>
          <w:szCs w:val="24"/>
          <w:highlight w:val="none"/>
        </w:rPr>
        <w:t xml:space="preserve">的合法权益。 </w:t>
      </w:r>
    </w:p>
    <w:p w14:paraId="5FC5375B">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7、不与</w:t>
      </w:r>
      <w:r>
        <w:rPr>
          <w:rFonts w:hint="eastAsia" w:ascii="宋体" w:hAnsi="宋体" w:cs="楷体"/>
          <w:kern w:val="0"/>
          <w:szCs w:val="24"/>
          <w:highlight w:val="none"/>
          <w:lang w:eastAsia="zh-CN"/>
        </w:rPr>
        <w:t>采购人</w:t>
      </w:r>
      <w:r>
        <w:rPr>
          <w:rFonts w:hint="eastAsia" w:ascii="宋体" w:hAnsi="宋体" w:cs="楷体"/>
          <w:kern w:val="0"/>
          <w:szCs w:val="24"/>
          <w:highlight w:val="none"/>
        </w:rPr>
        <w:t xml:space="preserve">、招标代理机构政府采购评审专家或其它投标人恶意串通，进行质疑和投诉，维护政府采购市场秩序。 </w:t>
      </w:r>
    </w:p>
    <w:p w14:paraId="1C290AAF">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8、尊重和接受政府采购监督管理部门的监督和政府招标代理机构招标要求，承担因违约行为给</w:t>
      </w:r>
      <w:r>
        <w:rPr>
          <w:rFonts w:hint="eastAsia" w:ascii="宋体" w:hAnsi="宋体" w:cs="楷体"/>
          <w:kern w:val="0"/>
          <w:szCs w:val="24"/>
          <w:highlight w:val="none"/>
          <w:lang w:eastAsia="zh-CN"/>
        </w:rPr>
        <w:t>采购人</w:t>
      </w:r>
      <w:r>
        <w:rPr>
          <w:rFonts w:hint="eastAsia" w:ascii="宋体" w:hAnsi="宋体" w:cs="楷体"/>
          <w:kern w:val="0"/>
          <w:szCs w:val="24"/>
          <w:highlight w:val="none"/>
        </w:rPr>
        <w:t xml:space="preserve">造成的损失。 </w:t>
      </w:r>
    </w:p>
    <w:p w14:paraId="03C99F36">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9、不发生其他有悖于政府采购公开、公平、公正和诚信原则的行为。 </w:t>
      </w:r>
    </w:p>
    <w:p w14:paraId="2602A6A6">
      <w:pPr>
        <w:pStyle w:val="33"/>
        <w:rPr>
          <w:rFonts w:hint="eastAsia"/>
          <w:highlight w:val="none"/>
          <w:lang w:eastAsia="zh-CN"/>
        </w:rPr>
      </w:pPr>
    </w:p>
    <w:p w14:paraId="413FBCC5">
      <w:pPr>
        <w:widowControl/>
        <w:spacing w:line="480" w:lineRule="exact"/>
        <w:ind w:firstLine="420" w:firstLineChars="200"/>
        <w:outlineLvl w:val="9"/>
        <w:rPr>
          <w:rFonts w:hint="eastAsia" w:ascii="宋体" w:hAnsi="宋体" w:eastAsia="宋体" w:cs="楷体"/>
          <w:kern w:val="0"/>
          <w:szCs w:val="24"/>
          <w:highlight w:val="none"/>
          <w:lang w:eastAsia="zh-CN"/>
        </w:rPr>
      </w:pPr>
      <w:r>
        <w:rPr>
          <w:rFonts w:hint="eastAsia" w:ascii="宋体" w:hAnsi="宋体" w:cs="楷体"/>
          <w:kern w:val="0"/>
          <w:szCs w:val="24"/>
          <w:highlight w:val="none"/>
        </w:rPr>
        <w:t xml:space="preserve"> 承诺单位：</w:t>
      </w:r>
      <w:r>
        <w:rPr>
          <w:rFonts w:hint="eastAsia" w:ascii="宋体" w:hAnsi="宋体" w:cs="楷体"/>
          <w:kern w:val="0"/>
          <w:szCs w:val="24"/>
          <w:highlight w:val="none"/>
          <w:u w:val="single"/>
        </w:rPr>
        <w:t>　　                 　</w:t>
      </w:r>
      <w:r>
        <w:rPr>
          <w:rFonts w:hint="eastAsia" w:ascii="宋体" w:hAnsi="宋体" w:cs="楷体"/>
          <w:kern w:val="0"/>
          <w:szCs w:val="24"/>
          <w:highlight w:val="none"/>
        </w:rPr>
        <w:t xml:space="preserve">（盖章） </w:t>
      </w:r>
    </w:p>
    <w:p w14:paraId="041DCA36">
      <w:pPr>
        <w:widowControl/>
        <w:spacing w:line="480" w:lineRule="exact"/>
        <w:ind w:firstLine="420" w:firstLineChars="200"/>
        <w:outlineLvl w:val="9"/>
        <w:rPr>
          <w:rFonts w:ascii="宋体" w:hAnsi="宋体" w:cs="楷体"/>
          <w:kern w:val="0"/>
          <w:szCs w:val="24"/>
          <w:highlight w:val="none"/>
        </w:rPr>
      </w:pPr>
      <w:r>
        <w:rPr>
          <w:rFonts w:hint="eastAsia" w:ascii="宋体" w:hAnsi="宋体" w:cs="楷体"/>
          <w:kern w:val="0"/>
          <w:szCs w:val="24"/>
          <w:highlight w:val="none"/>
        </w:rPr>
        <w:t xml:space="preserve"> 全权代表：</w:t>
      </w:r>
      <w:r>
        <w:rPr>
          <w:rFonts w:hint="eastAsia" w:ascii="宋体" w:hAnsi="宋体" w:cs="楷体"/>
          <w:kern w:val="0"/>
          <w:szCs w:val="24"/>
          <w:highlight w:val="none"/>
          <w:u w:val="single"/>
        </w:rPr>
        <w:t>　　　　　     　　　　</w:t>
      </w:r>
      <w:r>
        <w:rPr>
          <w:rFonts w:hint="eastAsia" w:ascii="宋体" w:hAnsi="宋体" w:cs="楷体"/>
          <w:kern w:val="0"/>
          <w:szCs w:val="24"/>
          <w:highlight w:val="none"/>
        </w:rPr>
        <w:t xml:space="preserve">（签字） </w:t>
      </w:r>
    </w:p>
    <w:p w14:paraId="780B0363">
      <w:pPr>
        <w:widowControl/>
        <w:spacing w:line="480" w:lineRule="exact"/>
        <w:ind w:firstLine="105" w:firstLineChars="50"/>
        <w:outlineLvl w:val="9"/>
        <w:rPr>
          <w:rFonts w:ascii="宋体" w:hAnsi="宋体" w:cs="楷体"/>
          <w:kern w:val="0"/>
          <w:szCs w:val="24"/>
          <w:highlight w:val="none"/>
          <w:u w:val="single"/>
        </w:rPr>
      </w:pPr>
      <w:r>
        <w:rPr>
          <w:rFonts w:hint="eastAsia" w:ascii="宋体" w:hAnsi="宋体" w:cs="楷体"/>
          <w:kern w:val="0"/>
          <w:szCs w:val="24"/>
          <w:highlight w:val="none"/>
        </w:rPr>
        <w:t>地　　址：</w:t>
      </w:r>
      <w:r>
        <w:rPr>
          <w:rFonts w:hint="eastAsia" w:ascii="宋体" w:hAnsi="宋体" w:cs="楷体"/>
          <w:kern w:val="0"/>
          <w:szCs w:val="24"/>
          <w:highlight w:val="none"/>
          <w:u w:val="single"/>
        </w:rPr>
        <w:t xml:space="preserve">                              </w:t>
      </w:r>
    </w:p>
    <w:p w14:paraId="61DDD3B5">
      <w:pPr>
        <w:widowControl/>
        <w:spacing w:line="480" w:lineRule="exact"/>
        <w:ind w:left="105" w:leftChars="50"/>
        <w:outlineLvl w:val="9"/>
        <w:rPr>
          <w:rFonts w:hint="eastAsia" w:ascii="宋体" w:hAnsi="宋体" w:eastAsia="宋体" w:cs="楷体"/>
          <w:kern w:val="0"/>
          <w:szCs w:val="24"/>
          <w:highlight w:val="none"/>
          <w:u w:val="single"/>
          <w:lang w:eastAsia="zh-CN"/>
        </w:rPr>
      </w:pPr>
      <w:r>
        <w:rPr>
          <w:rFonts w:hint="eastAsia" w:ascii="宋体" w:hAnsi="宋体" w:cs="楷体"/>
          <w:kern w:val="0"/>
          <w:szCs w:val="24"/>
          <w:highlight w:val="none"/>
        </w:rPr>
        <w:t>邮    编：</w:t>
      </w:r>
      <w:r>
        <w:rPr>
          <w:rFonts w:hint="eastAsia" w:ascii="宋体" w:hAnsi="宋体" w:cs="楷体"/>
          <w:kern w:val="0"/>
          <w:szCs w:val="24"/>
          <w:highlight w:val="none"/>
          <w:u w:val="single"/>
        </w:rPr>
        <w:t xml:space="preserve">　　                     　　 </w:t>
      </w:r>
    </w:p>
    <w:p w14:paraId="7E860387">
      <w:pPr>
        <w:widowControl/>
        <w:spacing w:line="480" w:lineRule="exact"/>
        <w:ind w:left="105" w:leftChars="50"/>
        <w:outlineLvl w:val="9"/>
        <w:rPr>
          <w:rFonts w:ascii="宋体" w:hAnsi="宋体" w:cs="楷体"/>
          <w:kern w:val="0"/>
          <w:szCs w:val="24"/>
          <w:highlight w:val="none"/>
        </w:rPr>
      </w:pPr>
      <w:r>
        <w:rPr>
          <w:rFonts w:hint="eastAsia" w:ascii="宋体" w:hAnsi="宋体" w:cs="楷体"/>
          <w:kern w:val="0"/>
          <w:szCs w:val="24"/>
          <w:highlight w:val="none"/>
        </w:rPr>
        <w:t>电　　话：</w:t>
      </w:r>
      <w:r>
        <w:rPr>
          <w:rFonts w:hint="eastAsia" w:ascii="宋体" w:hAnsi="宋体" w:cs="楷体"/>
          <w:kern w:val="0"/>
          <w:szCs w:val="24"/>
          <w:highlight w:val="none"/>
          <w:u w:val="single"/>
        </w:rPr>
        <w:t>　　　                　　　　</w:t>
      </w:r>
      <w:r>
        <w:rPr>
          <w:rFonts w:hint="eastAsia" w:ascii="宋体" w:hAnsi="宋体" w:cs="楷体"/>
          <w:kern w:val="0"/>
          <w:szCs w:val="24"/>
          <w:highlight w:val="none"/>
        </w:rPr>
        <w:t xml:space="preserve">　　 </w:t>
      </w:r>
    </w:p>
    <w:p w14:paraId="45A52F32">
      <w:pPr>
        <w:widowControl/>
        <w:spacing w:line="480" w:lineRule="exact"/>
        <w:ind w:firstLine="420" w:firstLineChars="200"/>
        <w:outlineLvl w:val="9"/>
        <w:rPr>
          <w:rFonts w:ascii="宋体" w:hAnsi="宋体" w:cs="楷体"/>
          <w:kern w:val="0"/>
          <w:szCs w:val="24"/>
          <w:highlight w:val="none"/>
        </w:rPr>
      </w:pPr>
    </w:p>
    <w:p w14:paraId="25C23F23">
      <w:pPr>
        <w:spacing w:line="480" w:lineRule="exact"/>
        <w:ind w:firstLine="4305" w:firstLineChars="2050"/>
        <w:outlineLvl w:val="9"/>
        <w:rPr>
          <w:rFonts w:ascii="宋体" w:hAnsi="宋体" w:cs="楷体"/>
          <w:kern w:val="0"/>
          <w:szCs w:val="24"/>
          <w:highlight w:val="none"/>
        </w:rPr>
      </w:pPr>
      <w:r>
        <w:rPr>
          <w:rFonts w:hint="eastAsia" w:ascii="宋体" w:hAnsi="宋体" w:cs="楷体"/>
          <w:kern w:val="0"/>
          <w:szCs w:val="24"/>
          <w:highlight w:val="none"/>
        </w:rPr>
        <w:t>年　　月　　日</w:t>
      </w:r>
    </w:p>
    <w:p w14:paraId="282637C0">
      <w:pPr>
        <w:widowControl/>
        <w:spacing w:line="480" w:lineRule="exact"/>
        <w:jc w:val="center"/>
        <w:outlineLvl w:val="9"/>
        <w:rPr>
          <w:rFonts w:hint="eastAsia" w:ascii="宋体" w:hAnsi="宋体" w:cs="楷体"/>
          <w:b/>
          <w:bCs/>
          <w:kern w:val="0"/>
          <w:sz w:val="28"/>
          <w:szCs w:val="28"/>
          <w:highlight w:val="none"/>
          <w:lang w:val="zh-CN" w:eastAsia="zh-CN"/>
        </w:rPr>
      </w:pPr>
      <w:r>
        <w:rPr>
          <w:kern w:val="0"/>
          <w:highlight w:val="none"/>
        </w:rPr>
        <w:br w:type="page"/>
      </w:r>
      <w:bookmarkEnd w:id="298"/>
      <w:bookmarkEnd w:id="299"/>
      <w:bookmarkStart w:id="326" w:name="_Toc458617748"/>
      <w:r>
        <w:rPr>
          <w:rFonts w:hint="eastAsia" w:ascii="宋体" w:hAnsi="宋体" w:cs="楷体"/>
          <w:b/>
          <w:bCs/>
          <w:kern w:val="0"/>
          <w:sz w:val="28"/>
          <w:szCs w:val="28"/>
          <w:highlight w:val="none"/>
          <w:lang w:val="en-US" w:eastAsia="zh-CN"/>
        </w:rPr>
        <w:t xml:space="preserve"> </w:t>
      </w:r>
      <w:r>
        <w:rPr>
          <w:rFonts w:hint="eastAsia" w:ascii="宋体" w:hAnsi="宋体" w:cs="楷体"/>
          <w:b/>
          <w:bCs/>
          <w:kern w:val="0"/>
          <w:sz w:val="28"/>
          <w:szCs w:val="28"/>
          <w:highlight w:val="none"/>
          <w:lang w:val="zh-CN" w:eastAsia="zh-CN"/>
        </w:rPr>
        <w:t>供应商企业关系关联承诺书</w:t>
      </w:r>
    </w:p>
    <w:p w14:paraId="734785D9">
      <w:pPr>
        <w:pStyle w:val="8"/>
        <w:tabs>
          <w:tab w:val="left" w:pos="420"/>
        </w:tabs>
        <w:outlineLvl w:val="9"/>
        <w:rPr>
          <w:rFonts w:hint="eastAsia"/>
          <w:highlight w:val="none"/>
          <w:lang w:val="zh-CN" w:eastAsia="zh-CN"/>
        </w:rPr>
      </w:pPr>
    </w:p>
    <w:p w14:paraId="3FBF15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hAnsi="宋体" w:eastAsia="宋体" w:cs="宋体"/>
          <w:b w:val="0"/>
          <w:bCs w:val="0"/>
          <w:sz w:val="24"/>
          <w:szCs w:val="24"/>
          <w:highlight w:val="none"/>
          <w:lang w:val="en-US" w:eastAsia="zh-CN"/>
        </w:rPr>
        <w:t>1、供应商</w:t>
      </w:r>
      <w:r>
        <w:rPr>
          <w:rFonts w:hint="eastAsia" w:ascii="宋体" w:hAnsi="宋体" w:eastAsia="宋体" w:cs="宋体"/>
          <w:b w:val="0"/>
          <w:bCs w:val="0"/>
          <w:sz w:val="24"/>
          <w:szCs w:val="24"/>
          <w:highlight w:val="none"/>
          <w:lang w:val="en-US" w:eastAsia="zh-CN"/>
        </w:rPr>
        <w:t>在本项目投标中，不存在与其它</w:t>
      </w:r>
      <w:r>
        <w:rPr>
          <w:rFonts w:hint="eastAsia" w:hAnsi="宋体" w:eastAsia="宋体" w:cs="宋体"/>
          <w:b w:val="0"/>
          <w:bCs w:val="0"/>
          <w:sz w:val="24"/>
          <w:szCs w:val="24"/>
          <w:highlight w:val="none"/>
          <w:lang w:val="en-US" w:eastAsia="zh-CN"/>
        </w:rPr>
        <w:t>供应商</w:t>
      </w:r>
      <w:r>
        <w:rPr>
          <w:rFonts w:hint="eastAsia" w:ascii="宋体" w:hAnsi="宋体" w:eastAsia="宋体" w:cs="宋体"/>
          <w:b w:val="0"/>
          <w:bCs w:val="0"/>
          <w:sz w:val="24"/>
          <w:szCs w:val="24"/>
          <w:highlight w:val="none"/>
          <w:lang w:val="en-US" w:eastAsia="zh-CN"/>
        </w:rPr>
        <w:t>负责人为同一人，有控股、管理等关联关系承诺</w:t>
      </w:r>
      <w:r>
        <w:rPr>
          <w:rFonts w:hint="eastAsia" w:hAnsi="宋体" w:eastAsia="宋体" w:cs="宋体"/>
          <w:b w:val="0"/>
          <w:bCs w:val="0"/>
          <w:sz w:val="24"/>
          <w:szCs w:val="24"/>
          <w:highlight w:val="none"/>
          <w:lang w:val="en-US" w:eastAsia="zh-CN"/>
        </w:rPr>
        <w:t>：</w:t>
      </w:r>
    </w:p>
    <w:p w14:paraId="0FA71C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管理关系说明：</w:t>
      </w:r>
    </w:p>
    <w:p w14:paraId="2EA466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我单位管理的具有独立法人的下属单位有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588FCB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我单位的上级管理单位有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6A4496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股权关系说明：</w:t>
      </w:r>
    </w:p>
    <w:p w14:paraId="546A37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我单位控股的单位有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0CCDA4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我单位被</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单位控股。</w:t>
      </w:r>
    </w:p>
    <w:p w14:paraId="5AC4EE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default" w:ascii="宋体" w:hAnsi="宋体" w:eastAsia="宋体" w:cs="宋体"/>
          <w:b w:val="0"/>
          <w:bCs w:val="0"/>
          <w:sz w:val="24"/>
          <w:szCs w:val="24"/>
          <w:highlight w:val="none"/>
          <w:u w:val="single"/>
          <w:lang w:val="en-US" w:eastAsia="zh-CN"/>
        </w:rPr>
      </w:pPr>
      <w:r>
        <w:rPr>
          <w:rFonts w:hint="eastAsia"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单位负责人：</w:t>
      </w:r>
      <w:r>
        <w:rPr>
          <w:rFonts w:hint="eastAsia" w:hAnsi="宋体" w:eastAsia="宋体" w:cs="宋体"/>
          <w:b w:val="0"/>
          <w:bCs w:val="0"/>
          <w:sz w:val="24"/>
          <w:szCs w:val="24"/>
          <w:highlight w:val="none"/>
          <w:u w:val="single"/>
          <w:lang w:val="en-US" w:eastAsia="zh-CN"/>
        </w:rPr>
        <w:t xml:space="preserve">                </w:t>
      </w:r>
    </w:p>
    <w:p w14:paraId="230E1E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（是或否</w:t>
      </w:r>
      <w:r>
        <w:rPr>
          <w:rFonts w:hint="eastAsia" w:hAnsi="宋体" w:eastAsia="宋体" w:cs="宋体"/>
          <w:b w:val="0"/>
          <w:bCs w:val="0"/>
          <w:sz w:val="24"/>
          <w:szCs w:val="24"/>
          <w:highlight w:val="none"/>
          <w:lang w:val="en-US" w:eastAsia="zh-CN"/>
        </w:rPr>
        <w:t>，没有填否</w:t>
      </w:r>
      <w:r>
        <w:rPr>
          <w:rFonts w:hint="eastAsia" w:ascii="宋体" w:hAnsi="宋体" w:eastAsia="宋体" w:cs="宋体"/>
          <w:b w:val="0"/>
          <w:bCs w:val="0"/>
          <w:sz w:val="24"/>
          <w:szCs w:val="24"/>
          <w:highlight w:val="none"/>
          <w:lang w:val="en-US" w:eastAsia="zh-CN"/>
        </w:rPr>
        <w:t>） 为采购项目提供整体设计、规范编制或者项目管理、监理、检测等服务的供应商。</w:t>
      </w:r>
    </w:p>
    <w:p w14:paraId="28B089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hAnsi="宋体" w:eastAsia="宋体" w:cs="宋体"/>
          <w:b w:val="0"/>
          <w:bCs w:val="0"/>
          <w:sz w:val="24"/>
          <w:szCs w:val="24"/>
          <w:highlight w:val="none"/>
          <w:u w:val="single"/>
          <w:lang w:val="en-US" w:eastAsia="zh-CN"/>
        </w:rPr>
      </w:pPr>
      <w:r>
        <w:rPr>
          <w:rFonts w:hint="eastAsia"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、其他与本项目有关的利害关系说明：</w:t>
      </w:r>
      <w:r>
        <w:rPr>
          <w:rFonts w:hint="eastAsia" w:hAnsi="宋体" w:eastAsia="宋体" w:cs="宋体"/>
          <w:b w:val="0"/>
          <w:bCs w:val="0"/>
          <w:sz w:val="24"/>
          <w:szCs w:val="24"/>
          <w:highlight w:val="none"/>
          <w:u w:val="single"/>
          <w:lang w:val="en-US" w:eastAsia="zh-CN"/>
        </w:rPr>
        <w:t xml:space="preserve">                               </w:t>
      </w:r>
    </w:p>
    <w:p w14:paraId="2CC43BA5">
      <w:pPr>
        <w:pStyle w:val="8"/>
        <w:tabs>
          <w:tab w:val="left" w:pos="420"/>
        </w:tabs>
        <w:outlineLvl w:val="9"/>
        <w:rPr>
          <w:rFonts w:hint="default"/>
          <w:highlight w:val="none"/>
          <w:lang w:val="en-US" w:eastAsia="zh-CN"/>
        </w:rPr>
      </w:pPr>
    </w:p>
    <w:p w14:paraId="02C4AF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我单位承诺以上说明真实有效，无虚假内容或隐瞒。</w:t>
      </w:r>
    </w:p>
    <w:p w14:paraId="1A8AE6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p>
    <w:p w14:paraId="162CB16E">
      <w:pPr>
        <w:pStyle w:val="8"/>
        <w:tabs>
          <w:tab w:val="left" w:pos="420"/>
        </w:tabs>
        <w:outlineLvl w:val="9"/>
        <w:rPr>
          <w:rFonts w:hint="eastAsia"/>
          <w:highlight w:val="none"/>
          <w:lang w:val="en-US" w:eastAsia="zh-CN"/>
        </w:rPr>
      </w:pPr>
    </w:p>
    <w:p w14:paraId="04585E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供应商名称</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（盖单位公章）</w:t>
      </w:r>
    </w:p>
    <w:p w14:paraId="1DB26B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p>
    <w:p w14:paraId="6136AE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法定代表人或被授权人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（签字或盖章）</w:t>
      </w:r>
    </w:p>
    <w:p w14:paraId="002A49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w:t>
      </w:r>
    </w:p>
    <w:p w14:paraId="36B5A8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日      期：      年   月    日</w:t>
      </w:r>
    </w:p>
    <w:p w14:paraId="373EAA6A">
      <w:pPr>
        <w:pStyle w:val="50"/>
        <w:outlineLvl w:val="9"/>
        <w:rPr>
          <w:rFonts w:hint="eastAsia" w:ascii="宋体" w:hAnsi="宋体" w:eastAsia="宋体" w:cs="宋体"/>
          <w:b w:val="0"/>
          <w:bCs w:val="0"/>
          <w:sz w:val="24"/>
          <w:szCs w:val="24"/>
          <w:highlight w:val="none"/>
          <w:lang w:val="en-US" w:eastAsia="zh-CN"/>
        </w:rPr>
      </w:pPr>
    </w:p>
    <w:p w14:paraId="0C1156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szCs w:val="32"/>
          <w:highlight w:val="none"/>
          <w:lang w:val="en-US" w:eastAsia="zh-CN"/>
        </w:rPr>
      </w:pPr>
    </w:p>
    <w:p w14:paraId="0061A40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bCs/>
          <w:sz w:val="32"/>
          <w:szCs w:val="32"/>
          <w:highlight w:val="none"/>
          <w:lang w:val="en-US" w:eastAsia="zh-CN"/>
        </w:rPr>
      </w:pPr>
    </w:p>
    <w:p w14:paraId="3E57B2A0">
      <w:pPr>
        <w:pStyle w:val="8"/>
        <w:tabs>
          <w:tab w:val="left" w:pos="420"/>
        </w:tabs>
        <w:outlineLvl w:val="9"/>
        <w:rPr>
          <w:rFonts w:hint="eastAsia" w:ascii="宋体" w:hAnsi="宋体" w:cs="宋体"/>
          <w:b/>
          <w:bCs/>
          <w:sz w:val="32"/>
          <w:szCs w:val="32"/>
          <w:highlight w:val="none"/>
          <w:lang w:val="en-US" w:eastAsia="zh-CN"/>
        </w:rPr>
      </w:pPr>
    </w:p>
    <w:p w14:paraId="2193AEF1">
      <w:pPr>
        <w:widowControl/>
        <w:spacing w:line="480" w:lineRule="exact"/>
        <w:jc w:val="center"/>
        <w:outlineLvl w:val="9"/>
        <w:rPr>
          <w:rFonts w:hint="eastAsia" w:ascii="宋体" w:hAnsi="宋体" w:cs="楷体"/>
          <w:b/>
          <w:bCs/>
          <w:kern w:val="0"/>
          <w:sz w:val="28"/>
          <w:szCs w:val="28"/>
          <w:highlight w:val="none"/>
          <w:lang w:val="en-US" w:eastAsia="zh-CN"/>
        </w:rPr>
      </w:pPr>
      <w:r>
        <w:rPr>
          <w:rFonts w:hint="eastAsia" w:ascii="宋体" w:hAnsi="宋体" w:cs="楷体"/>
          <w:b/>
          <w:bCs/>
          <w:kern w:val="0"/>
          <w:sz w:val="28"/>
          <w:szCs w:val="28"/>
          <w:highlight w:val="none"/>
          <w:lang w:val="en-US" w:eastAsia="zh-CN"/>
        </w:rPr>
        <w:t xml:space="preserve"> 投标人提供参与投标的承诺函</w:t>
      </w:r>
    </w:p>
    <w:p w14:paraId="114A1F55">
      <w:pPr>
        <w:pStyle w:val="8"/>
        <w:tabs>
          <w:tab w:val="left" w:pos="420"/>
        </w:tabs>
        <w:outlineLvl w:val="9"/>
        <w:rPr>
          <w:rFonts w:hint="eastAsia"/>
          <w:highlight w:val="none"/>
          <w:lang w:val="zh-CN"/>
        </w:rPr>
      </w:pPr>
    </w:p>
    <w:p w14:paraId="14D1047A">
      <w:pPr>
        <w:spacing w:line="360" w:lineRule="auto"/>
        <w:jc w:val="left"/>
        <w:outlineLvl w:val="9"/>
        <w:rPr>
          <w:rFonts w:hint="eastAsia" w:ascii="宋体" w:hAnsi="宋体" w:eastAsia="宋体" w:cs="宋体"/>
          <w:spacing w:val="4"/>
          <w:sz w:val="24"/>
          <w:szCs w:val="24"/>
          <w:highlight w:val="none"/>
          <w:u w:val="single"/>
          <w:lang w:eastAsia="zh-CN"/>
        </w:rPr>
      </w:pPr>
      <w:r>
        <w:rPr>
          <w:rFonts w:hint="eastAsia" w:ascii="宋体" w:hAnsi="宋体" w:eastAsia="宋体" w:cs="宋体"/>
          <w:spacing w:val="4"/>
          <w:sz w:val="24"/>
          <w:szCs w:val="24"/>
          <w:highlight w:val="none"/>
        </w:rPr>
        <w:t>致：</w:t>
      </w:r>
    </w:p>
    <w:p w14:paraId="1EBC72DE">
      <w:pPr>
        <w:pStyle w:val="8"/>
        <w:tabs>
          <w:tab w:val="left" w:pos="420"/>
        </w:tabs>
        <w:outlineLvl w:val="9"/>
        <w:rPr>
          <w:rFonts w:hint="eastAsia" w:ascii="宋体" w:hAnsi="宋体" w:eastAsia="宋体" w:cs="宋体"/>
          <w:sz w:val="24"/>
          <w:szCs w:val="24"/>
          <w:highlight w:val="none"/>
          <w:lang w:val="zh-CN"/>
        </w:rPr>
      </w:pPr>
    </w:p>
    <w:p w14:paraId="4B3132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我公司郑重承诺，在</w:t>
      </w:r>
      <w:r>
        <w:rPr>
          <w:rFonts w:hint="eastAsia" w:ascii="宋体" w:hAnsi="宋体" w:eastAsia="宋体" w:cs="宋体"/>
          <w:b w:val="0"/>
          <w:bCs w:val="0"/>
          <w:sz w:val="24"/>
          <w:szCs w:val="24"/>
          <w:highlight w:val="none"/>
          <w:lang w:val="en-US" w:eastAsia="zh-CN"/>
        </w:rPr>
        <w:t>投标</w:t>
      </w:r>
      <w:r>
        <w:rPr>
          <w:rFonts w:hint="eastAsia" w:ascii="宋体" w:hAnsi="宋体" w:eastAsia="宋体" w:cs="宋体"/>
          <w:b w:val="0"/>
          <w:bCs w:val="0"/>
          <w:sz w:val="24"/>
          <w:szCs w:val="24"/>
          <w:highlight w:val="none"/>
          <w:lang w:val="zh-CN"/>
        </w:rPr>
        <w:t>有效期内不随意撤回、撤销投标，在成交后按照</w:t>
      </w:r>
      <w:r>
        <w:rPr>
          <w:rFonts w:hint="eastAsia" w:ascii="宋体" w:hAnsi="宋体" w:eastAsia="宋体" w:cs="宋体"/>
          <w:b w:val="0"/>
          <w:bCs w:val="0"/>
          <w:sz w:val="24"/>
          <w:szCs w:val="24"/>
          <w:highlight w:val="none"/>
          <w:lang w:val="en-US" w:eastAsia="zh-CN"/>
        </w:rPr>
        <w:t>投标</w:t>
      </w:r>
      <w:r>
        <w:rPr>
          <w:rFonts w:hint="eastAsia" w:ascii="宋体" w:hAnsi="宋体" w:eastAsia="宋体" w:cs="宋体"/>
          <w:b w:val="0"/>
          <w:bCs w:val="0"/>
          <w:sz w:val="24"/>
          <w:szCs w:val="24"/>
          <w:highlight w:val="none"/>
          <w:lang w:val="zh-CN"/>
        </w:rPr>
        <w:t>文件和</w:t>
      </w:r>
      <w:r>
        <w:rPr>
          <w:rFonts w:hint="eastAsia" w:ascii="宋体" w:hAnsi="宋体" w:cs="宋体"/>
          <w:b w:val="0"/>
          <w:bCs w:val="0"/>
          <w:sz w:val="24"/>
          <w:szCs w:val="24"/>
          <w:highlight w:val="none"/>
          <w:lang w:val="zh-CN"/>
        </w:rPr>
        <w:t>响应</w:t>
      </w:r>
      <w:r>
        <w:rPr>
          <w:rFonts w:hint="eastAsia" w:ascii="宋体" w:hAnsi="宋体" w:eastAsia="宋体" w:cs="宋体"/>
          <w:b w:val="0"/>
          <w:bCs w:val="0"/>
          <w:sz w:val="24"/>
          <w:szCs w:val="24"/>
          <w:highlight w:val="none"/>
          <w:lang w:val="zh-CN"/>
        </w:rPr>
        <w:t>文件与采购人签订合同。如果违反以上承诺，给采购人造成损失的，我公司自愿按照政府采购法等法律法规规定承担相应的责任。</w:t>
      </w:r>
    </w:p>
    <w:p w14:paraId="0501D1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sz w:val="24"/>
          <w:szCs w:val="24"/>
          <w:highlight w:val="none"/>
          <w:lang w:val="zh-CN"/>
        </w:rPr>
      </w:pPr>
    </w:p>
    <w:p w14:paraId="784573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sz w:val="24"/>
          <w:szCs w:val="24"/>
          <w:highlight w:val="none"/>
          <w:lang w:val="zh-CN"/>
        </w:rPr>
      </w:pPr>
    </w:p>
    <w:p w14:paraId="7FE19903">
      <w:pPr>
        <w:spacing w:line="360" w:lineRule="auto"/>
        <w:ind w:firstLine="4216" w:firstLineChars="17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rPr>
        <w:t>供应商名称</w:t>
      </w:r>
      <w:r>
        <w:rPr>
          <w:rFonts w:hint="eastAsia" w:ascii="宋体" w:hAnsi="宋体" w:eastAsia="宋体" w:cs="宋体"/>
          <w:spacing w:val="4"/>
          <w:sz w:val="24"/>
          <w:szCs w:val="24"/>
          <w:highlight w:val="none"/>
          <w:lang w:eastAsia="zh-CN"/>
        </w:rPr>
        <w:t>：</w:t>
      </w:r>
      <w:r>
        <w:rPr>
          <w:rFonts w:hint="eastAsia" w:ascii="宋体" w:hAnsi="宋体" w:eastAsia="宋体" w:cs="宋体"/>
          <w:i w:val="0"/>
          <w:iCs w:val="0"/>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（公章）</w:t>
      </w:r>
    </w:p>
    <w:p w14:paraId="6598D2B6">
      <w:pPr>
        <w:spacing w:line="360" w:lineRule="auto"/>
        <w:outlineLvl w:val="9"/>
        <w:rPr>
          <w:rFonts w:hint="eastAsia" w:ascii="宋体" w:hAnsi="宋体" w:eastAsia="宋体" w:cs="宋体"/>
          <w:spacing w:val="4"/>
          <w:sz w:val="24"/>
          <w:szCs w:val="24"/>
          <w:highlight w:val="none"/>
        </w:rPr>
      </w:pPr>
    </w:p>
    <w:p w14:paraId="084B1B68">
      <w:pPr>
        <w:spacing w:line="360" w:lineRule="auto"/>
        <w:ind w:firstLine="4216" w:firstLineChars="1700"/>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rPr>
        <w:t>日期：    年  月  日</w:t>
      </w:r>
    </w:p>
    <w:p w14:paraId="40FAF42D">
      <w:pPr>
        <w:pStyle w:val="8"/>
        <w:tabs>
          <w:tab w:val="left" w:pos="420"/>
        </w:tabs>
        <w:outlineLvl w:val="9"/>
        <w:rPr>
          <w:rFonts w:hint="eastAsia"/>
          <w:highlight w:val="none"/>
        </w:rPr>
        <w:sectPr>
          <w:headerReference r:id="rId10" w:type="default"/>
          <w:footerReference r:id="rId11" w:type="default"/>
          <w:pgSz w:w="11906" w:h="16838"/>
          <w:pgMar w:top="1417" w:right="1418" w:bottom="1417" w:left="1417" w:header="1134" w:footer="850" w:gutter="0"/>
          <w:pgNumType w:fmt="decimal" w:start="1"/>
          <w:cols w:space="720" w:num="1"/>
          <w:docGrid w:type="lines" w:linePitch="312" w:charSpace="0"/>
        </w:sectPr>
      </w:pPr>
    </w:p>
    <w:p w14:paraId="746B9DF5">
      <w:pPr>
        <w:jc w:val="center"/>
        <w:outlineLvl w:val="9"/>
        <w:rPr>
          <w:highlight w:val="none"/>
        </w:rPr>
      </w:pPr>
      <w:r>
        <w:rPr>
          <w:rFonts w:hint="eastAsia"/>
          <w:highlight w:val="none"/>
        </w:rPr>
        <w:t>1</w:t>
      </w:r>
      <w:r>
        <w:rPr>
          <w:rFonts w:hint="eastAsia"/>
          <w:highlight w:val="none"/>
          <w:lang w:val="en-US" w:eastAsia="zh-CN"/>
        </w:rPr>
        <w:t>4</w:t>
      </w:r>
      <w:r>
        <w:rPr>
          <w:rFonts w:hint="eastAsia"/>
          <w:highlight w:val="none"/>
        </w:rPr>
        <w:t>.《中小企业声明函》</w:t>
      </w:r>
      <w:bookmarkEnd w:id="326"/>
      <w:bookmarkStart w:id="327" w:name="OLE_LINK19"/>
      <w:r>
        <w:rPr>
          <w:rFonts w:hint="eastAsia"/>
          <w:highlight w:val="none"/>
        </w:rPr>
        <w:t>（格式，若有）</w:t>
      </w:r>
    </w:p>
    <w:bookmarkEnd w:id="327"/>
    <w:p w14:paraId="6AEB758C">
      <w:pPr>
        <w:spacing w:line="560" w:lineRule="exact"/>
        <w:jc w:val="center"/>
        <w:outlineLvl w:val="9"/>
        <w:rPr>
          <w:rFonts w:hint="eastAsia" w:ascii="宋体" w:hAnsi="宋体" w:cs="楷体"/>
          <w:b/>
          <w:bCs/>
          <w:kern w:val="0"/>
          <w:sz w:val="28"/>
          <w:szCs w:val="28"/>
          <w:highlight w:val="none"/>
        </w:rPr>
      </w:pPr>
      <w:r>
        <w:rPr>
          <w:rFonts w:hint="eastAsia" w:ascii="宋体" w:hAnsi="宋体" w:cs="楷体"/>
          <w:b/>
          <w:bCs/>
          <w:kern w:val="0"/>
          <w:sz w:val="28"/>
          <w:szCs w:val="28"/>
          <w:highlight w:val="none"/>
        </w:rPr>
        <w:t>中小企业声明函</w:t>
      </w:r>
    </w:p>
    <w:p w14:paraId="4B80126A">
      <w:pPr>
        <w:pStyle w:val="10"/>
      </w:pPr>
    </w:p>
    <w:p w14:paraId="33CC3D72">
      <w:pPr>
        <w:pStyle w:val="8"/>
        <w:keepNext w:val="0"/>
        <w:keepLines w:val="0"/>
        <w:pageBreakBefore w:val="0"/>
        <w:kinsoku/>
        <w:wordWrap/>
        <w:overflowPunct/>
        <w:topLinePunct w:val="0"/>
        <w:autoSpaceDE/>
        <w:autoSpaceDN/>
        <w:bidi w:val="0"/>
        <w:adjustRightInd/>
        <w:snapToGrid/>
        <w:spacing w:beforeAutospacing="0" w:afterAutospacing="0" w:line="302" w:lineRule="auto"/>
        <w:ind w:left="0" w:right="0" w:firstLine="640"/>
        <w:jc w:val="both"/>
        <w:rPr>
          <w:spacing w:val="0"/>
        </w:rPr>
      </w:pPr>
      <w:r>
        <w:rPr>
          <w:spacing w:val="0"/>
        </w:rPr>
        <w:t>本公司（联合体）郑重声明，根据《政府采购促进中小企业发展管理办法》（财库</w:t>
      </w:r>
      <w:r>
        <w:rPr>
          <w:rFonts w:hint="eastAsia" w:ascii="宋体" w:eastAsia="宋体"/>
          <w:spacing w:val="0"/>
        </w:rPr>
        <w:t>﹝</w:t>
      </w:r>
      <w:r>
        <w:rPr>
          <w:spacing w:val="0"/>
        </w:rPr>
        <w:t>2020</w:t>
      </w:r>
      <w:r>
        <w:rPr>
          <w:rFonts w:hint="eastAsia" w:ascii="宋体" w:eastAsia="宋体"/>
          <w:spacing w:val="0"/>
        </w:rPr>
        <w:t>﹞</w:t>
      </w:r>
      <w:r>
        <w:rPr>
          <w:spacing w:val="0"/>
        </w:rPr>
        <w:t>46 号）的规定，本公司参加</w:t>
      </w:r>
      <w:r>
        <w:rPr>
          <w:i/>
          <w:spacing w:val="0"/>
          <w:sz w:val="33"/>
          <w:u w:val="single"/>
        </w:rPr>
        <w:t>（单位名称）</w:t>
      </w:r>
      <w:r>
        <w:rPr>
          <w:spacing w:val="0"/>
        </w:rPr>
        <w:t>的</w:t>
      </w:r>
      <w:r>
        <w:rPr>
          <w:i/>
          <w:spacing w:val="0"/>
          <w:sz w:val="33"/>
          <w:u w:val="single"/>
        </w:rPr>
        <w:t>（项目名称）</w:t>
      </w:r>
      <w:r>
        <w:rPr>
          <w:spacing w:val="0"/>
        </w:rPr>
        <w:t>采购活动，服务</w:t>
      </w:r>
      <w:r>
        <w:rPr>
          <w:spacing w:val="0"/>
          <w:w w:val="95"/>
        </w:rPr>
        <w:t>全部由符合政策要求的中小企业承接。相关企业（含联合</w:t>
      </w:r>
      <w:r>
        <w:rPr>
          <w:spacing w:val="0"/>
        </w:rPr>
        <w:t>体中的中小企业、签订分包意向协议的中小企业）的具体情况如下：</w:t>
      </w:r>
    </w:p>
    <w:p w14:paraId="7D3A3EBA">
      <w:pPr>
        <w:pStyle w:val="45"/>
        <w:keepNext w:val="0"/>
        <w:keepLines w:val="0"/>
        <w:pageBreakBefore w:val="0"/>
        <w:numPr>
          <w:ilvl w:val="0"/>
          <w:numId w:val="4"/>
        </w:numPr>
        <w:tabs>
          <w:tab w:val="left" w:pos="1243"/>
        </w:tabs>
        <w:kinsoku/>
        <w:wordWrap/>
        <w:overflowPunct/>
        <w:topLinePunct w:val="0"/>
        <w:autoSpaceDE/>
        <w:autoSpaceDN/>
        <w:bidi w:val="0"/>
        <w:adjustRightInd/>
        <w:snapToGrid/>
        <w:spacing w:beforeAutospacing="0" w:afterAutospacing="0" w:line="402" w:lineRule="exact"/>
        <w:ind w:left="0" w:right="0" w:hanging="383"/>
        <w:jc w:val="both"/>
        <w:rPr>
          <w:rFonts w:hint="eastAsia" w:ascii="宋体" w:hAnsi="宋体" w:eastAsia="宋体" w:cs="宋体"/>
          <w:spacing w:val="0"/>
          <w:sz w:val="24"/>
          <w:szCs w:val="24"/>
        </w:rPr>
      </w:pPr>
      <w:r>
        <w:rPr>
          <w:rFonts w:hint="eastAsia" w:ascii="宋体" w:hAnsi="宋体" w:eastAsia="宋体" w:cs="宋体"/>
          <w:i/>
          <w:spacing w:val="0"/>
          <w:w w:val="96"/>
          <w:sz w:val="24"/>
          <w:szCs w:val="24"/>
          <w:u w:val="single"/>
        </w:rPr>
        <w:t>（标的名称）</w:t>
      </w:r>
      <w:r>
        <w:rPr>
          <w:rFonts w:hint="eastAsia" w:ascii="宋体" w:hAnsi="宋体" w:eastAsia="宋体" w:cs="宋体"/>
          <w:spacing w:val="0"/>
          <w:w w:val="99"/>
          <w:sz w:val="24"/>
          <w:szCs w:val="24"/>
          <w:u w:val="none"/>
        </w:rPr>
        <w:t>，属于</w:t>
      </w:r>
      <w:r>
        <w:rPr>
          <w:rFonts w:hint="eastAsia" w:ascii="宋体" w:hAnsi="宋体" w:eastAsia="宋体" w:cs="宋体"/>
          <w:i/>
          <w:spacing w:val="0"/>
          <w:w w:val="96"/>
          <w:sz w:val="24"/>
          <w:szCs w:val="24"/>
          <w:u w:val="none"/>
        </w:rPr>
        <w:t>（</w:t>
      </w:r>
      <w:r>
        <w:rPr>
          <w:rFonts w:hint="eastAsia" w:ascii="宋体" w:hAnsi="宋体" w:eastAsia="宋体" w:cs="宋体"/>
          <w:i/>
          <w:spacing w:val="0"/>
          <w:w w:val="96"/>
          <w:sz w:val="24"/>
          <w:szCs w:val="24"/>
          <w:u w:val="single"/>
        </w:rPr>
        <w:t>采购文件中明确的所属行业）</w:t>
      </w:r>
      <w:r>
        <w:rPr>
          <w:rFonts w:hint="eastAsia" w:ascii="宋体" w:hAnsi="宋体" w:eastAsia="宋体" w:cs="宋体"/>
          <w:spacing w:val="0"/>
          <w:w w:val="99"/>
          <w:sz w:val="24"/>
          <w:szCs w:val="24"/>
          <w:u w:val="none"/>
        </w:rPr>
        <w:t>；</w:t>
      </w:r>
      <w:r>
        <w:rPr>
          <w:rFonts w:hint="eastAsia" w:ascii="宋体" w:hAnsi="宋体" w:eastAsia="宋体" w:cs="宋体"/>
          <w:spacing w:val="0"/>
          <w:w w:val="99"/>
          <w:sz w:val="24"/>
          <w:szCs w:val="24"/>
        </w:rPr>
        <w:t>承建（承接）企业为</w:t>
      </w:r>
      <w:r>
        <w:rPr>
          <w:rFonts w:hint="eastAsia" w:ascii="宋体" w:hAnsi="宋体" w:eastAsia="宋体" w:cs="宋体"/>
          <w:i/>
          <w:spacing w:val="0"/>
          <w:w w:val="96"/>
          <w:sz w:val="24"/>
          <w:szCs w:val="24"/>
          <w:u w:val="single"/>
        </w:rPr>
        <w:t>（企业名称）</w:t>
      </w:r>
      <w:r>
        <w:rPr>
          <w:rFonts w:hint="eastAsia" w:ascii="宋体" w:hAnsi="宋体" w:eastAsia="宋体" w:cs="宋体"/>
          <w:spacing w:val="0"/>
          <w:w w:val="99"/>
          <w:sz w:val="24"/>
          <w:szCs w:val="24"/>
        </w:rPr>
        <w:t>，从业人员</w:t>
      </w:r>
      <w:r>
        <w:rPr>
          <w:rFonts w:hint="eastAsia" w:ascii="宋体" w:hAnsi="宋体" w:eastAsia="宋体" w:cs="宋体"/>
          <w:spacing w:val="0"/>
          <w:w w:val="99"/>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w w:val="99"/>
          <w:sz w:val="24"/>
          <w:szCs w:val="24"/>
        </w:rPr>
        <w:t>人，营业</w:t>
      </w:r>
      <w:r>
        <w:rPr>
          <w:rFonts w:hint="eastAsia" w:ascii="宋体" w:hAnsi="宋体" w:eastAsia="宋体" w:cs="宋体"/>
          <w:spacing w:val="0"/>
          <w:sz w:val="24"/>
          <w:szCs w:val="24"/>
        </w:rPr>
        <w:t>收入为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sz w:val="24"/>
          <w:szCs w:val="24"/>
        </w:rPr>
        <w:t>万元</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\l "_bookmark1" </w:instrText>
      </w:r>
      <w:r>
        <w:rPr>
          <w:rFonts w:hint="eastAsia" w:ascii="宋体" w:hAnsi="宋体" w:eastAsia="宋体" w:cs="宋体"/>
          <w:spacing w:val="0"/>
          <w:sz w:val="24"/>
          <w:szCs w:val="24"/>
        </w:rPr>
        <w:fldChar w:fldCharType="separate"/>
      </w:r>
      <w:r>
        <w:rPr>
          <w:rFonts w:hint="eastAsia" w:ascii="宋体" w:hAnsi="宋体" w:eastAsia="宋体" w:cs="宋体"/>
          <w:spacing w:val="0"/>
          <w:position w:val="16"/>
          <w:sz w:val="24"/>
          <w:szCs w:val="24"/>
        </w:rPr>
        <w:t>1</w:t>
      </w:r>
      <w:r>
        <w:rPr>
          <w:rFonts w:hint="eastAsia" w:ascii="宋体" w:hAnsi="宋体" w:eastAsia="宋体" w:cs="宋体"/>
          <w:spacing w:val="0"/>
          <w:position w:val="16"/>
          <w:sz w:val="24"/>
          <w:szCs w:val="24"/>
        </w:rPr>
        <w:fldChar w:fldCharType="end"/>
      </w:r>
      <w:r>
        <w:rPr>
          <w:rFonts w:hint="eastAsia" w:ascii="宋体" w:hAnsi="宋体" w:eastAsia="宋体" w:cs="宋体"/>
          <w:spacing w:val="0"/>
          <w:sz w:val="24"/>
          <w:szCs w:val="24"/>
        </w:rPr>
        <w:t>，属于</w:t>
      </w:r>
      <w:r>
        <w:rPr>
          <w:rFonts w:hint="eastAsia" w:ascii="宋体" w:hAnsi="宋体" w:eastAsia="宋体" w:cs="宋体"/>
          <w:i/>
          <w:spacing w:val="0"/>
          <w:sz w:val="24"/>
          <w:szCs w:val="24"/>
          <w:u w:val="single"/>
        </w:rPr>
        <w:t>（中型企业、</w:t>
      </w:r>
      <w:r>
        <w:rPr>
          <w:rFonts w:hint="eastAsia" w:ascii="宋体" w:hAnsi="宋体" w:eastAsia="宋体" w:cs="宋体"/>
          <w:i/>
          <w:spacing w:val="0"/>
          <w:w w:val="96"/>
          <w:sz w:val="24"/>
          <w:szCs w:val="24"/>
          <w:u w:val="single"/>
        </w:rPr>
        <w:t>小型企业、微型企业）</w:t>
      </w:r>
      <w:r>
        <w:rPr>
          <w:rFonts w:hint="eastAsia" w:ascii="宋体" w:hAnsi="宋体" w:eastAsia="宋体" w:cs="宋体"/>
          <w:spacing w:val="0"/>
          <w:w w:val="99"/>
          <w:sz w:val="24"/>
          <w:szCs w:val="24"/>
        </w:rPr>
        <w:t>；</w:t>
      </w:r>
    </w:p>
    <w:p w14:paraId="69740BE2">
      <w:pPr>
        <w:pStyle w:val="45"/>
        <w:keepNext w:val="0"/>
        <w:keepLines w:val="0"/>
        <w:pageBreakBefore w:val="0"/>
        <w:numPr>
          <w:ilvl w:val="0"/>
          <w:numId w:val="4"/>
        </w:numPr>
        <w:tabs>
          <w:tab w:val="left" w:pos="1243"/>
          <w:tab w:val="left" w:pos="1806"/>
          <w:tab w:val="left" w:pos="5005"/>
          <w:tab w:val="left" w:pos="7213"/>
        </w:tabs>
        <w:kinsoku/>
        <w:wordWrap/>
        <w:overflowPunct/>
        <w:topLinePunct w:val="0"/>
        <w:autoSpaceDE/>
        <w:autoSpaceDN/>
        <w:bidi w:val="0"/>
        <w:adjustRightInd/>
        <w:snapToGrid/>
        <w:spacing w:beforeAutospacing="0" w:afterAutospacing="0" w:line="295" w:lineRule="auto"/>
        <w:ind w:left="0" w:right="0" w:firstLine="655"/>
        <w:jc w:val="left"/>
        <w:rPr>
          <w:rFonts w:hint="eastAsia" w:ascii="宋体" w:hAnsi="宋体" w:eastAsia="宋体" w:cs="宋体"/>
          <w:spacing w:val="0"/>
          <w:sz w:val="24"/>
          <w:szCs w:val="24"/>
          <w:u w:val="none"/>
        </w:rPr>
      </w:pPr>
      <w:r>
        <w:rPr>
          <w:rFonts w:hint="eastAsia" w:ascii="宋体" w:hAnsi="宋体" w:eastAsia="宋体" w:cs="宋体"/>
          <w:i/>
          <w:spacing w:val="0"/>
          <w:w w:val="96"/>
          <w:sz w:val="24"/>
          <w:szCs w:val="24"/>
          <w:u w:val="single"/>
        </w:rPr>
        <w:t>（标的名称）</w:t>
      </w:r>
      <w:r>
        <w:rPr>
          <w:rFonts w:hint="eastAsia" w:ascii="宋体" w:hAnsi="宋体" w:eastAsia="宋体" w:cs="宋体"/>
          <w:spacing w:val="0"/>
          <w:w w:val="99"/>
          <w:sz w:val="24"/>
          <w:szCs w:val="24"/>
          <w:u w:val="none"/>
        </w:rPr>
        <w:t>，属于</w:t>
      </w:r>
      <w:r>
        <w:rPr>
          <w:rFonts w:hint="eastAsia" w:ascii="宋体" w:hAnsi="宋体" w:eastAsia="宋体" w:cs="宋体"/>
          <w:i/>
          <w:spacing w:val="0"/>
          <w:w w:val="96"/>
          <w:sz w:val="24"/>
          <w:szCs w:val="24"/>
          <w:u w:val="none"/>
        </w:rPr>
        <w:t>（</w:t>
      </w:r>
      <w:r>
        <w:rPr>
          <w:rFonts w:hint="eastAsia" w:ascii="宋体" w:hAnsi="宋体" w:eastAsia="宋体" w:cs="宋体"/>
          <w:i/>
          <w:spacing w:val="0"/>
          <w:w w:val="96"/>
          <w:sz w:val="24"/>
          <w:szCs w:val="24"/>
          <w:u w:val="single"/>
        </w:rPr>
        <w:t>采购文件中明确的所属行业）</w:t>
      </w:r>
      <w:r>
        <w:rPr>
          <w:rFonts w:hint="eastAsia" w:ascii="宋体" w:hAnsi="宋体" w:eastAsia="宋体" w:cs="宋体"/>
          <w:spacing w:val="0"/>
          <w:w w:val="99"/>
          <w:sz w:val="24"/>
          <w:szCs w:val="24"/>
          <w:u w:val="none"/>
        </w:rPr>
        <w:t>；承建（承接）企业为</w:t>
      </w:r>
      <w:r>
        <w:rPr>
          <w:rFonts w:hint="eastAsia" w:ascii="宋体" w:hAnsi="宋体" w:eastAsia="宋体" w:cs="宋体"/>
          <w:i/>
          <w:spacing w:val="0"/>
          <w:w w:val="96"/>
          <w:sz w:val="24"/>
          <w:szCs w:val="24"/>
          <w:u w:val="single"/>
        </w:rPr>
        <w:t>（企业名称）</w:t>
      </w:r>
      <w:r>
        <w:rPr>
          <w:rFonts w:hint="eastAsia" w:ascii="宋体" w:hAnsi="宋体" w:eastAsia="宋体" w:cs="宋体"/>
          <w:spacing w:val="0"/>
          <w:w w:val="99"/>
          <w:sz w:val="24"/>
          <w:szCs w:val="24"/>
          <w:u w:val="none"/>
        </w:rPr>
        <w:t>，从业人员</w:t>
      </w:r>
      <w:r>
        <w:rPr>
          <w:rFonts w:hint="eastAsia" w:ascii="宋体" w:hAnsi="宋体" w:eastAsia="宋体" w:cs="宋体"/>
          <w:spacing w:val="0"/>
          <w:w w:val="99"/>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w w:val="99"/>
          <w:sz w:val="24"/>
          <w:szCs w:val="24"/>
          <w:u w:val="none"/>
        </w:rPr>
        <w:t>人，营业</w:t>
      </w:r>
      <w:r>
        <w:rPr>
          <w:rFonts w:hint="eastAsia" w:ascii="宋体" w:hAnsi="宋体" w:eastAsia="宋体" w:cs="宋体"/>
          <w:spacing w:val="0"/>
          <w:sz w:val="24"/>
          <w:szCs w:val="24"/>
          <w:u w:val="none"/>
        </w:rPr>
        <w:t>收入为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sz w:val="24"/>
          <w:szCs w:val="24"/>
          <w:u w:val="none"/>
        </w:rPr>
        <w:t>万元，资产总额为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w w:val="95"/>
          <w:sz w:val="24"/>
          <w:szCs w:val="24"/>
          <w:u w:val="none"/>
        </w:rPr>
        <w:t>万元，属于</w:t>
      </w:r>
      <w:r>
        <w:rPr>
          <w:rFonts w:hint="eastAsia" w:ascii="宋体" w:hAnsi="宋体" w:eastAsia="宋体" w:cs="宋体"/>
          <w:i/>
          <w:spacing w:val="0"/>
          <w:w w:val="95"/>
          <w:sz w:val="24"/>
          <w:szCs w:val="24"/>
          <w:u w:val="single"/>
        </w:rPr>
        <w:t>（中型企业、小型企</w:t>
      </w:r>
      <w:r>
        <w:rPr>
          <w:rFonts w:hint="eastAsia" w:ascii="宋体" w:hAnsi="宋体" w:eastAsia="宋体" w:cs="宋体"/>
          <w:i/>
          <w:spacing w:val="0"/>
          <w:w w:val="96"/>
          <w:sz w:val="24"/>
          <w:szCs w:val="24"/>
          <w:u w:val="single"/>
        </w:rPr>
        <w:t>业、微型企业）</w:t>
      </w:r>
      <w:r>
        <w:rPr>
          <w:rFonts w:hint="eastAsia" w:ascii="宋体" w:hAnsi="宋体" w:eastAsia="宋体" w:cs="宋体"/>
          <w:spacing w:val="0"/>
          <w:w w:val="99"/>
          <w:sz w:val="24"/>
          <w:szCs w:val="24"/>
          <w:u w:val="none"/>
        </w:rPr>
        <w:t>；</w:t>
      </w:r>
    </w:p>
    <w:p w14:paraId="18BDB08C">
      <w:pPr>
        <w:pStyle w:val="8"/>
        <w:keepNext w:val="0"/>
        <w:keepLines w:val="0"/>
        <w:pageBreakBefore w:val="0"/>
        <w:kinsoku/>
        <w:wordWrap/>
        <w:overflowPunct/>
        <w:topLinePunct w:val="0"/>
        <w:autoSpaceDE/>
        <w:autoSpaceDN/>
        <w:bidi w:val="0"/>
        <w:adjustRightInd/>
        <w:snapToGrid/>
        <w:spacing w:beforeAutospacing="0" w:afterAutospacing="0"/>
        <w:ind w:left="0" w:right="0"/>
        <w:rPr>
          <w:spacing w:val="0"/>
        </w:rPr>
      </w:pPr>
      <w:r>
        <w:rPr>
          <w:spacing w:val="0"/>
        </w:rPr>
        <w:t>……</w:t>
      </w:r>
    </w:p>
    <w:p w14:paraId="2C1E9C64">
      <w:pPr>
        <w:pStyle w:val="8"/>
        <w:keepNext w:val="0"/>
        <w:keepLines w:val="0"/>
        <w:pageBreakBefore w:val="0"/>
        <w:kinsoku/>
        <w:wordWrap/>
        <w:overflowPunct/>
        <w:topLinePunct w:val="0"/>
        <w:autoSpaceDE/>
        <w:autoSpaceDN/>
        <w:bidi w:val="0"/>
        <w:adjustRightInd/>
        <w:snapToGrid/>
        <w:spacing w:beforeAutospacing="0" w:afterAutospacing="0" w:line="304" w:lineRule="auto"/>
        <w:ind w:left="0" w:right="0" w:firstLine="645"/>
        <w:jc w:val="both"/>
        <w:rPr>
          <w:spacing w:val="0"/>
        </w:rPr>
      </w:pPr>
      <w:r>
        <w:rPr>
          <w:spacing w:val="0"/>
        </w:rPr>
        <w:t>以上企业，不属于大企业的分支机构，不存在控股股东为大企业的情形，也不存在与大企业的负责人为同一人的情形。</w:t>
      </w:r>
    </w:p>
    <w:p w14:paraId="4FD643A9">
      <w:pPr>
        <w:pStyle w:val="8"/>
        <w:keepNext w:val="0"/>
        <w:keepLines w:val="0"/>
        <w:pageBreakBefore w:val="0"/>
        <w:kinsoku/>
        <w:wordWrap/>
        <w:overflowPunct/>
        <w:topLinePunct w:val="0"/>
        <w:autoSpaceDE/>
        <w:autoSpaceDN/>
        <w:bidi w:val="0"/>
        <w:adjustRightInd/>
        <w:snapToGrid/>
        <w:spacing w:beforeAutospacing="0" w:afterAutospacing="0" w:line="304" w:lineRule="auto"/>
        <w:ind w:left="0" w:right="0" w:firstLine="640"/>
        <w:rPr>
          <w:spacing w:val="0"/>
        </w:rPr>
      </w:pPr>
      <w:r>
        <w:rPr>
          <w:spacing w:val="0"/>
        </w:rPr>
        <w:t>本企业对上述声明内容的真实性负责。如有虚假，将依法承担相应责任。</w:t>
      </w:r>
    </w:p>
    <w:p w14:paraId="77AB5144">
      <w:pPr>
        <w:pStyle w:val="8"/>
        <w:keepNext w:val="0"/>
        <w:keepLines w:val="0"/>
        <w:pageBreakBefore w:val="0"/>
        <w:kinsoku/>
        <w:wordWrap/>
        <w:overflowPunct/>
        <w:topLinePunct w:val="0"/>
        <w:autoSpaceDE/>
        <w:autoSpaceDN/>
        <w:bidi w:val="0"/>
        <w:adjustRightInd/>
        <w:snapToGrid/>
        <w:spacing w:beforeAutospacing="0" w:afterAutospacing="0" w:line="316" w:lineRule="auto"/>
        <w:ind w:left="0" w:right="0"/>
        <w:rPr>
          <w:spacing w:val="0"/>
        </w:rPr>
      </w:pPr>
      <w:r>
        <w:rPr>
          <w:spacing w:val="0"/>
          <w:w w:val="99"/>
        </w:rPr>
        <w:t>企业名称（盖章）：</w:t>
      </w:r>
      <w:r>
        <w:rPr>
          <w:spacing w:val="0"/>
        </w:rPr>
        <w:t>日期：</w:t>
      </w:r>
    </w:p>
    <w:p w14:paraId="2DDF4928">
      <w:pPr>
        <w:spacing w:line="360" w:lineRule="auto"/>
        <w:rPr>
          <w:rFonts w:hint="eastAsia" w:ascii="宋体" w:hAnsi="宋体" w:eastAsia="宋体" w:cs="宋体"/>
          <w:color w:val="auto"/>
          <w:sz w:val="24"/>
          <w:szCs w:val="24"/>
          <w:highlight w:val="none"/>
        </w:rPr>
      </w:pPr>
    </w:p>
    <w:p w14:paraId="2A12D2B6">
      <w:pPr>
        <w:spacing w:line="360" w:lineRule="auto"/>
        <w:rPr>
          <w:rFonts w:hint="eastAsia" w:ascii="宋体" w:hAnsi="宋体" w:eastAsia="宋体" w:cs="宋体"/>
          <w:color w:val="auto"/>
          <w:sz w:val="24"/>
          <w:szCs w:val="24"/>
          <w:highlight w:val="none"/>
        </w:rPr>
      </w:pPr>
    </w:p>
    <w:p w14:paraId="78702202">
      <w:pPr>
        <w:spacing w:line="360" w:lineRule="auto"/>
        <w:rPr>
          <w:rFonts w:hint="eastAsia" w:ascii="宋体" w:hAnsi="宋体" w:eastAsia="宋体" w:cs="宋体"/>
          <w:color w:val="auto"/>
          <w:sz w:val="24"/>
          <w:szCs w:val="24"/>
          <w:highlight w:val="none"/>
        </w:rPr>
      </w:pPr>
    </w:p>
    <w:p w14:paraId="2CD6A65D">
      <w:pPr>
        <w:spacing w:line="5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 无上一年度数据的新成立企业可不填报。</w:t>
      </w:r>
    </w:p>
    <w:p w14:paraId="27F8B544">
      <w:pPr>
        <w:pStyle w:val="49"/>
        <w:spacing w:line="560" w:lineRule="exact"/>
        <w:ind w:firstLine="148" w:firstLineChars="62"/>
        <w:outlineLvl w:val="9"/>
        <w:rPr>
          <w:rFonts w:hint="eastAsia" w:ascii="宋体" w:hAnsi="宋体" w:eastAsia="宋体" w:cs="宋体"/>
          <w:i w:val="0"/>
          <w:iCs w:val="0"/>
          <w:sz w:val="24"/>
          <w:szCs w:val="24"/>
          <w:highlight w:val="none"/>
        </w:rPr>
      </w:pPr>
    </w:p>
    <w:p w14:paraId="0DAB07FF">
      <w:pPr>
        <w:pStyle w:val="49"/>
        <w:spacing w:line="560" w:lineRule="exact"/>
        <w:ind w:firstLine="173" w:firstLineChars="62"/>
        <w:outlineLvl w:val="9"/>
        <w:rPr>
          <w:rFonts w:hint="eastAsia"/>
          <w:highlight w:val="none"/>
        </w:rPr>
      </w:pPr>
    </w:p>
    <w:p w14:paraId="5C272044">
      <w:pPr>
        <w:pStyle w:val="49"/>
        <w:spacing w:line="560" w:lineRule="exact"/>
        <w:ind w:firstLine="173" w:firstLineChars="62"/>
        <w:outlineLvl w:val="9"/>
        <w:rPr>
          <w:rFonts w:hint="eastAsia"/>
          <w:highlight w:val="none"/>
        </w:rPr>
      </w:pPr>
    </w:p>
    <w:p w14:paraId="70DFCB87">
      <w:pPr>
        <w:pStyle w:val="49"/>
        <w:spacing w:line="560" w:lineRule="exact"/>
        <w:ind w:firstLine="173" w:firstLineChars="62"/>
        <w:outlineLvl w:val="9"/>
        <w:rPr>
          <w:rFonts w:hint="eastAsia"/>
          <w:highlight w:val="none"/>
        </w:rPr>
      </w:pPr>
    </w:p>
    <w:p w14:paraId="0ABFF680">
      <w:pPr>
        <w:pStyle w:val="49"/>
        <w:spacing w:line="560" w:lineRule="exact"/>
        <w:ind w:firstLine="173" w:firstLineChars="62"/>
        <w:outlineLvl w:val="9"/>
        <w:rPr>
          <w:rFonts w:hint="eastAsia"/>
          <w:highlight w:val="none"/>
        </w:rPr>
      </w:pPr>
    </w:p>
    <w:p w14:paraId="0170458D">
      <w:pPr>
        <w:pStyle w:val="49"/>
        <w:spacing w:line="560" w:lineRule="exact"/>
        <w:ind w:firstLine="173" w:firstLineChars="62"/>
        <w:outlineLvl w:val="9"/>
        <w:rPr>
          <w:rFonts w:hint="eastAsia"/>
          <w:highlight w:val="none"/>
        </w:rPr>
      </w:pPr>
    </w:p>
    <w:p w14:paraId="1E5B948E">
      <w:pPr>
        <w:pStyle w:val="49"/>
        <w:spacing w:line="560" w:lineRule="exact"/>
        <w:ind w:firstLine="173" w:firstLineChars="62"/>
        <w:outlineLvl w:val="9"/>
        <w:rPr>
          <w:highlight w:val="none"/>
        </w:rPr>
      </w:pPr>
      <w:r>
        <w:rPr>
          <w:rFonts w:hint="eastAsia"/>
          <w:highlight w:val="none"/>
        </w:rPr>
        <w:t>1</w:t>
      </w:r>
      <w:r>
        <w:rPr>
          <w:rFonts w:hint="eastAsia"/>
          <w:highlight w:val="none"/>
          <w:lang w:val="en-US" w:eastAsia="zh-CN"/>
        </w:rPr>
        <w:t>5</w:t>
      </w:r>
      <w:r>
        <w:rPr>
          <w:rFonts w:hint="eastAsia"/>
          <w:highlight w:val="none"/>
        </w:rPr>
        <w:t>.《残疾人福利性单位声明函》（格式，若有）</w:t>
      </w:r>
    </w:p>
    <w:p w14:paraId="2260CCBD">
      <w:pPr>
        <w:spacing w:line="560" w:lineRule="exact"/>
        <w:jc w:val="center"/>
        <w:outlineLvl w:val="9"/>
        <w:rPr>
          <w:rFonts w:ascii="宋体" w:hAnsi="宋体" w:cs="楷体"/>
          <w:b/>
          <w:spacing w:val="6"/>
          <w:szCs w:val="24"/>
          <w:highlight w:val="none"/>
        </w:rPr>
      </w:pPr>
      <w:bookmarkStart w:id="328" w:name="OLE_LINK14"/>
    </w:p>
    <w:p w14:paraId="66ED9275">
      <w:pPr>
        <w:spacing w:line="560" w:lineRule="exact"/>
        <w:jc w:val="center"/>
        <w:outlineLvl w:val="9"/>
        <w:rPr>
          <w:rFonts w:ascii="宋体" w:hAnsi="宋体" w:cs="楷体"/>
          <w:b/>
          <w:spacing w:val="6"/>
          <w:szCs w:val="24"/>
          <w:highlight w:val="none"/>
        </w:rPr>
      </w:pPr>
      <w:r>
        <w:rPr>
          <w:rFonts w:hint="eastAsia" w:ascii="宋体" w:hAnsi="宋体" w:cs="楷体"/>
          <w:b/>
          <w:spacing w:val="6"/>
          <w:szCs w:val="24"/>
          <w:highlight w:val="none"/>
        </w:rPr>
        <w:t>残疾人福利性单位声明函</w:t>
      </w:r>
    </w:p>
    <w:bookmarkEnd w:id="328"/>
    <w:p w14:paraId="4B8B95C4">
      <w:pPr>
        <w:spacing w:line="560" w:lineRule="exact"/>
        <w:outlineLvl w:val="9"/>
        <w:rPr>
          <w:rFonts w:ascii="宋体" w:hAnsi="宋体" w:cs="楷体"/>
          <w:b/>
          <w:spacing w:val="6"/>
          <w:szCs w:val="24"/>
          <w:highlight w:val="none"/>
        </w:rPr>
      </w:pPr>
    </w:p>
    <w:p w14:paraId="6F2DBEED">
      <w:pPr>
        <w:spacing w:line="560" w:lineRule="exact"/>
        <w:ind w:firstLine="444" w:firstLineChars="200"/>
        <w:outlineLvl w:val="9"/>
        <w:rPr>
          <w:rFonts w:ascii="宋体" w:hAnsi="宋体" w:cs="楷体"/>
          <w:spacing w:val="6"/>
          <w:szCs w:val="24"/>
          <w:highlight w:val="none"/>
        </w:rPr>
      </w:pPr>
      <w:r>
        <w:rPr>
          <w:rFonts w:hint="eastAsia" w:ascii="宋体" w:hAnsi="宋体" w:cs="楷体"/>
          <w:spacing w:val="6"/>
          <w:szCs w:val="24"/>
          <w:highlight w:val="none"/>
        </w:rPr>
        <w:t>本单位郑重声明，根据《财政部 民政部 中国残疾人联合会关于促进残疾人就业政府采购政策的通知》（财库</w:t>
      </w:r>
      <w:r>
        <w:rPr>
          <w:rFonts w:hint="eastAsia" w:ascii="宋体" w:hAnsi="宋体" w:cs="楷体"/>
          <w:szCs w:val="24"/>
          <w:highlight w:val="none"/>
        </w:rPr>
        <w:t>〔2017〕141</w:t>
      </w:r>
      <w:r>
        <w:rPr>
          <w:rFonts w:hint="eastAsia" w:ascii="宋体" w:hAnsi="宋体" w:cs="楷体"/>
          <w:spacing w:val="6"/>
          <w:szCs w:val="24"/>
          <w:highlight w:val="none"/>
        </w:rPr>
        <w:t>号）的规定，本单位为符合条件的残疾人福利性单位，且本单位参加</w:t>
      </w:r>
      <w:r>
        <w:rPr>
          <w:rFonts w:hint="eastAsia" w:ascii="宋体" w:hAnsi="宋体" w:cs="楷体"/>
          <w:spacing w:val="6"/>
          <w:szCs w:val="24"/>
          <w:highlight w:val="none"/>
          <w:u w:val="single"/>
        </w:rPr>
        <w:t xml:space="preserve">         </w:t>
      </w:r>
      <w:r>
        <w:rPr>
          <w:rFonts w:hint="eastAsia" w:ascii="宋体" w:hAnsi="宋体" w:cs="楷体"/>
          <w:spacing w:val="6"/>
          <w:szCs w:val="24"/>
          <w:highlight w:val="none"/>
        </w:rPr>
        <w:t>单位的</w:t>
      </w:r>
      <w:r>
        <w:rPr>
          <w:rFonts w:hint="eastAsia" w:ascii="宋体" w:hAnsi="宋体" w:cs="楷体"/>
          <w:spacing w:val="6"/>
          <w:szCs w:val="24"/>
          <w:highlight w:val="none"/>
          <w:u w:val="single"/>
        </w:rPr>
        <w:t xml:space="preserve">       </w:t>
      </w:r>
      <w:r>
        <w:rPr>
          <w:rFonts w:hint="eastAsia" w:ascii="宋体" w:hAnsi="宋体" w:cs="楷体"/>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11B20E2E">
      <w:pPr>
        <w:spacing w:line="560" w:lineRule="exact"/>
        <w:ind w:firstLine="444" w:firstLineChars="200"/>
        <w:outlineLvl w:val="9"/>
        <w:rPr>
          <w:rFonts w:ascii="宋体" w:hAnsi="宋体" w:cs="楷体"/>
          <w:spacing w:val="6"/>
          <w:szCs w:val="24"/>
          <w:highlight w:val="none"/>
        </w:rPr>
      </w:pPr>
      <w:r>
        <w:rPr>
          <w:rFonts w:hint="eastAsia" w:ascii="宋体" w:hAnsi="宋体" w:cs="楷体"/>
          <w:spacing w:val="6"/>
          <w:szCs w:val="24"/>
          <w:highlight w:val="none"/>
        </w:rPr>
        <w:t>本单位对上述声明的真实性负责。如有虚假，将依法承担相应责任。</w:t>
      </w:r>
    </w:p>
    <w:p w14:paraId="02163BE2">
      <w:pPr>
        <w:spacing w:line="560" w:lineRule="exact"/>
        <w:ind w:firstLine="444" w:firstLineChars="200"/>
        <w:outlineLvl w:val="9"/>
        <w:rPr>
          <w:rFonts w:ascii="宋体" w:hAnsi="宋体" w:cs="楷体"/>
          <w:spacing w:val="6"/>
          <w:szCs w:val="24"/>
          <w:highlight w:val="none"/>
        </w:rPr>
      </w:pPr>
    </w:p>
    <w:p w14:paraId="6A206D23">
      <w:pPr>
        <w:spacing w:line="560" w:lineRule="exact"/>
        <w:ind w:firstLine="444" w:firstLineChars="200"/>
        <w:outlineLvl w:val="9"/>
        <w:rPr>
          <w:rFonts w:ascii="宋体" w:hAnsi="宋体" w:cs="楷体"/>
          <w:spacing w:val="6"/>
          <w:szCs w:val="24"/>
          <w:highlight w:val="none"/>
        </w:rPr>
      </w:pPr>
    </w:p>
    <w:p w14:paraId="5E3DAE19">
      <w:pPr>
        <w:tabs>
          <w:tab w:val="left" w:pos="4860"/>
        </w:tabs>
        <w:spacing w:line="560" w:lineRule="exact"/>
        <w:ind w:right="1560" w:firstLine="444" w:firstLineChars="200"/>
        <w:jc w:val="center"/>
        <w:outlineLvl w:val="9"/>
        <w:rPr>
          <w:rFonts w:ascii="宋体" w:hAnsi="宋体" w:cs="楷体"/>
          <w:spacing w:val="6"/>
          <w:szCs w:val="24"/>
          <w:highlight w:val="none"/>
          <w:u w:val="single"/>
        </w:rPr>
      </w:pPr>
      <w:r>
        <w:rPr>
          <w:rFonts w:hint="eastAsia" w:ascii="宋体" w:hAnsi="宋体" w:cs="楷体"/>
          <w:spacing w:val="6"/>
          <w:szCs w:val="24"/>
          <w:highlight w:val="none"/>
        </w:rPr>
        <w:t xml:space="preserve">              单位名称（盖章）：</w:t>
      </w:r>
      <w:r>
        <w:rPr>
          <w:rFonts w:hint="eastAsia" w:ascii="宋体" w:hAnsi="宋体" w:cs="楷体"/>
          <w:spacing w:val="6"/>
          <w:szCs w:val="24"/>
          <w:highlight w:val="none"/>
          <w:u w:val="single"/>
        </w:rPr>
        <w:t xml:space="preserve">              </w:t>
      </w:r>
    </w:p>
    <w:p w14:paraId="6B844CC8">
      <w:pPr>
        <w:tabs>
          <w:tab w:val="left" w:pos="4860"/>
        </w:tabs>
        <w:spacing w:line="560" w:lineRule="exact"/>
        <w:ind w:right="1560" w:firstLine="444" w:firstLineChars="200"/>
        <w:jc w:val="center"/>
        <w:outlineLvl w:val="9"/>
        <w:rPr>
          <w:rFonts w:ascii="宋体" w:hAnsi="宋体" w:cs="楷体"/>
          <w:spacing w:val="6"/>
          <w:szCs w:val="24"/>
          <w:highlight w:val="none"/>
        </w:rPr>
      </w:pPr>
      <w:r>
        <w:rPr>
          <w:rFonts w:hint="eastAsia" w:ascii="宋体" w:hAnsi="宋体" w:cs="楷体"/>
          <w:spacing w:val="6"/>
          <w:szCs w:val="24"/>
          <w:highlight w:val="none"/>
        </w:rPr>
        <w:t xml:space="preserve">                        日  期：</w:t>
      </w:r>
      <w:r>
        <w:rPr>
          <w:rFonts w:hint="eastAsia" w:ascii="宋体" w:hAnsi="宋体" w:cs="楷体"/>
          <w:spacing w:val="6"/>
          <w:szCs w:val="24"/>
          <w:highlight w:val="none"/>
          <w:u w:val="single"/>
        </w:rPr>
        <w:t xml:space="preserve">            </w:t>
      </w:r>
    </w:p>
    <w:p w14:paraId="46D5AE17">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0"/>
        <w:jc w:val="center"/>
        <w:textAlignment w:val="auto"/>
        <w:outlineLvl w:val="9"/>
        <w:rPr>
          <w:highlight w:val="none"/>
        </w:rPr>
      </w:pPr>
      <w:r>
        <w:rPr>
          <w:rFonts w:hint="eastAsia" w:ascii="宋体" w:hAnsi="宋体" w:cs="楷体"/>
          <w:spacing w:val="6"/>
          <w:szCs w:val="24"/>
          <w:highlight w:val="none"/>
        </w:rPr>
        <w:br w:type="page"/>
      </w:r>
      <w:r>
        <w:rPr>
          <w:rFonts w:hint="eastAsia"/>
          <w:highlight w:val="none"/>
        </w:rPr>
        <w:t>1</w:t>
      </w:r>
      <w:r>
        <w:rPr>
          <w:rFonts w:hint="eastAsia"/>
          <w:highlight w:val="none"/>
          <w:lang w:val="en-US" w:eastAsia="zh-CN"/>
        </w:rPr>
        <w:t>6</w:t>
      </w:r>
      <w:r>
        <w:rPr>
          <w:rFonts w:hint="eastAsia"/>
          <w:highlight w:val="none"/>
        </w:rPr>
        <w:t>. 监狱企业证明文件（若有）</w:t>
      </w:r>
    </w:p>
    <w:p w14:paraId="0742FF8F">
      <w:pPr>
        <w:snapToGrid w:val="0"/>
        <w:spacing w:line="560" w:lineRule="exact"/>
        <w:ind w:firstLine="444" w:firstLineChars="200"/>
        <w:outlineLvl w:val="9"/>
        <w:rPr>
          <w:rFonts w:hint="eastAsia" w:ascii="宋体" w:hAnsi="宋体" w:cs="楷体"/>
          <w:szCs w:val="24"/>
          <w:highlight w:val="none"/>
        </w:rPr>
      </w:pPr>
      <w:r>
        <w:rPr>
          <w:rFonts w:hint="eastAsia" w:ascii="宋体" w:hAnsi="宋体" w:cs="楷体"/>
          <w:spacing w:val="6"/>
          <w:szCs w:val="24"/>
          <w:highlight w:val="none"/>
        </w:rPr>
        <w:t>说明：根据</w:t>
      </w:r>
      <w:r>
        <w:rPr>
          <w:rFonts w:hint="eastAsia" w:ascii="宋体" w:hAnsi="宋体" w:cs="楷体"/>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69E8C246">
      <w:pPr>
        <w:snapToGrid w:val="0"/>
        <w:spacing w:line="560" w:lineRule="exact"/>
        <w:ind w:firstLine="420" w:firstLineChars="200"/>
        <w:outlineLvl w:val="9"/>
        <w:rPr>
          <w:rFonts w:hint="eastAsia" w:ascii="宋体" w:hAnsi="宋体" w:cs="楷体"/>
          <w:szCs w:val="24"/>
          <w:highlight w:val="none"/>
        </w:rPr>
      </w:pPr>
    </w:p>
    <w:p w14:paraId="479BB191">
      <w:pPr>
        <w:snapToGrid w:val="0"/>
        <w:spacing w:line="560" w:lineRule="exact"/>
        <w:ind w:firstLine="420" w:firstLineChars="200"/>
        <w:outlineLvl w:val="9"/>
        <w:rPr>
          <w:rFonts w:hint="eastAsia" w:ascii="宋体" w:hAnsi="宋体" w:cs="楷体"/>
          <w:szCs w:val="24"/>
          <w:highlight w:val="none"/>
        </w:rPr>
      </w:pPr>
    </w:p>
    <w:p w14:paraId="14173881">
      <w:pPr>
        <w:widowControl/>
        <w:jc w:val="left"/>
        <w:outlineLvl w:val="9"/>
        <w:rPr>
          <w:rFonts w:ascii="宋体" w:hAnsi="宋体" w:cs="楷体"/>
          <w:szCs w:val="24"/>
          <w:highlight w:val="none"/>
        </w:rPr>
      </w:pPr>
    </w:p>
    <w:p w14:paraId="215A13F4">
      <w:pPr>
        <w:outlineLvl w:val="9"/>
        <w:rPr>
          <w:highlight w:val="none"/>
        </w:rPr>
      </w:pPr>
    </w:p>
    <w:p w14:paraId="4049C53E">
      <w:pPr>
        <w:outlineLvl w:val="9"/>
        <w:rPr>
          <w:highlight w:val="none"/>
        </w:rPr>
      </w:pPr>
    </w:p>
    <w:p w14:paraId="0E49BF2D">
      <w:pPr>
        <w:tabs>
          <w:tab w:val="left" w:pos="1620"/>
          <w:tab w:val="left" w:pos="1800"/>
        </w:tabs>
        <w:spacing w:line="440" w:lineRule="exact"/>
        <w:ind w:right="540" w:rightChars="257"/>
        <w:outlineLvl w:val="9"/>
        <w:rPr>
          <w:rFonts w:hint="eastAsia" w:ascii="宋体" w:hAnsi="宋体" w:eastAsia="宋体" w:cs="宋体"/>
          <w:highlight w:val="none"/>
        </w:rPr>
      </w:pPr>
    </w:p>
    <w:p w14:paraId="54B61ACD">
      <w:pPr>
        <w:outlineLvl w:val="9"/>
        <w:rPr>
          <w:rFonts w:hint="eastAsia" w:ascii="宋体" w:hAnsi="宋体" w:eastAsia="宋体" w:cs="宋体"/>
          <w:highlight w:val="none"/>
        </w:rPr>
      </w:pPr>
    </w:p>
    <w:p w14:paraId="40B93E21">
      <w:pPr>
        <w:spacing w:line="360" w:lineRule="auto"/>
        <w:ind w:firstLine="480" w:firstLineChars="200"/>
        <w:rPr>
          <w:rFonts w:hint="eastAsia" w:asciiTheme="minorEastAsia" w:hAnsiTheme="minorEastAsia" w:eastAsiaTheme="minorEastAsia" w:cstheme="minorBidi"/>
          <w:kern w:val="2"/>
          <w:sz w:val="24"/>
          <w:szCs w:val="22"/>
          <w:lang w:val="en-US" w:eastAsia="zh-CN" w:bidi="ar-SA"/>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ED03">
    <w:pPr>
      <w:pStyle w:val="14"/>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1840">
    <w:pPr>
      <w:pStyle w:val="14"/>
      <w:framePr w:wrap="around" w:vAnchor="text" w:hAnchor="margin" w:xAlign="center" w:y="1"/>
      <w:rPr>
        <w:rStyle w:val="24"/>
      </w:rPr>
    </w:pPr>
    <w:r>
      <w:fldChar w:fldCharType="begin"/>
    </w:r>
    <w:r>
      <w:rPr>
        <w:rStyle w:val="24"/>
      </w:rPr>
      <w:instrText xml:space="preserve">PAGE  </w:instrText>
    </w:r>
    <w:r>
      <w:fldChar w:fldCharType="end"/>
    </w:r>
  </w:p>
  <w:p w14:paraId="598F435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03AE">
    <w:pPr>
      <w:tabs>
        <w:tab w:val="left" w:pos="5646"/>
      </w:tabs>
      <w:rPr>
        <w:rFonts w:hint="eastAsia"/>
        <w:sz w:val="18"/>
        <w:szCs w:val="18"/>
        <w:lang w:eastAsia="zh-CN"/>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4CEED">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438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d+e+yyQEAAJsDAAAOAAAAZHJzL2Uyb0RvYy54bWytU82O0zAQ&#10;vq/EO1i+U2crhK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ALhidQAAAAIAQAADwAAAAAAAAABACAAAAAiAAAAZHJzL2Rvd25y&#10;ZXYueG1sUEsBAhQAFAAAAAgAh07iQJ3577LJAQAAmwMAAA4AAAAAAAAAAQAgAAAAIwEAAGRycy9l&#10;Mm9Eb2MueG1sUEsFBgAAAAAGAAYAWQEAAF4FAAAAAA==&#10;">
              <v:fill on="f" focussize="0,0"/>
              <v:stroke on="f"/>
              <v:imagedata o:title=""/>
              <o:lock v:ext="edit" aspectratio="f"/>
              <v:textbox inset="0mm,0mm,0mm,0mm" style="mso-fit-shape-to-text:t;">
                <w:txbxContent>
                  <w:p w14:paraId="1454CEED">
                    <w:pPr>
                      <w:snapToGrid w:val="0"/>
                      <w:rPr>
                        <w:rFonts w:hint="eastAsia"/>
                        <w:sz w:val="18"/>
                      </w:rPr>
                    </w:pPr>
                  </w:p>
                </w:txbxContent>
              </v:textbox>
            </v:shape>
          </w:pict>
        </mc:Fallback>
      </mc:AlternateContent>
    </w:r>
    <w:r>
      <w:rPr>
        <w:rFonts w:hint="eastAsia"/>
        <w:sz w:val="18"/>
        <w:szCs w:val="18"/>
        <w:lang w:eastAsia="zh-CN"/>
      </w:rPr>
      <w:t>新疆</w:t>
    </w:r>
    <w:r>
      <w:rPr>
        <w:rFonts w:hint="eastAsia"/>
        <w:sz w:val="18"/>
        <w:szCs w:val="18"/>
        <w:lang w:val="en-US" w:eastAsia="zh-CN"/>
      </w:rPr>
      <w:t>启中</w:t>
    </w:r>
    <w:r>
      <w:rPr>
        <w:rFonts w:hint="eastAsia"/>
        <w:sz w:val="18"/>
        <w:szCs w:val="18"/>
        <w:lang w:eastAsia="zh-CN"/>
      </w:rPr>
      <w:t>项目管理有限公司</w:t>
    </w:r>
    <w:r>
      <w:rPr>
        <w:rFonts w:hint="eastAsia"/>
        <w:sz w:val="18"/>
        <w:szCs w:val="18"/>
        <w:lang w:val="en-US" w:eastAsia="zh-CN"/>
      </w:rPr>
      <w:t xml:space="preserve">                               </w:t>
    </w:r>
    <w:r>
      <w:rPr>
        <w:rFonts w:hint="eastAsia"/>
        <w:sz w:val="18"/>
        <w:szCs w:val="18"/>
        <w:lang w:eastAsia="zh-CN"/>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2B129">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UX5QmyQEAAJkDAAAOAAAAZHJzL2Uyb0RvYy54bWytU82O0zAQ&#10;viPxDpbv1Nlqha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ALhidQAAAAIAQAADwAAAAAAAAABACAAAAAiAAAAZHJzL2Rvd25y&#10;ZXYueG1sUEsBAhQAFAAAAAgAh07iQNRflCbJAQAAmQMAAA4AAAAAAAAAAQAgAAAAIwEAAGRycy9l&#10;Mm9Eb2MueG1sUEsFBgAAAAAGAAYAWQEAAF4FAAAAAA==&#10;">
              <v:fill on="f" focussize="0,0"/>
              <v:stroke on="f"/>
              <v:imagedata o:title=""/>
              <o:lock v:ext="edit" aspectratio="f"/>
              <v:textbox inset="0mm,0mm,0mm,0mm" style="mso-fit-shape-to-text:t;">
                <w:txbxContent>
                  <w:p w14:paraId="3CA2B129">
                    <w:pPr>
                      <w:snapToGrid w:val="0"/>
                      <w:rPr>
                        <w:rFonts w:hint="eastAsia"/>
                        <w:sz w:val="18"/>
                      </w:rPr>
                    </w:pPr>
                  </w:p>
                </w:txbxContent>
              </v:textbox>
            </v:shape>
          </w:pict>
        </mc:Fallback>
      </mc:AlternateContent>
    </w:r>
    <w:r>
      <w:rPr>
        <w:rFonts w:hint="eastAsia"/>
        <w:sz w:val="18"/>
        <w:szCs w:val="18"/>
        <w:lang w:eastAsia="zh-CN"/>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DB935A">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0kvpJyAEAAJk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bxxD1oStLlOtBuDsmbKL0liuMsFNhnFhhN21XXok/7yXr6Y/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NJL6ScgBAACZAwAADgAAAAAAAAABACAAAAAjAQAAZHJzL2Uy&#10;b0RvYy54bWxQSwUGAAAAAAYABgBZAQAAXQUAAAAA&#10;">
              <v:fill on="f" focussize="0,0"/>
              <v:stroke on="f"/>
              <v:imagedata o:title=""/>
              <o:lock v:ext="edit" aspectratio="f"/>
              <v:textbox inset="0mm,0mm,0mm,0mm" style="mso-fit-shape-to-text:t;">
                <w:txbxContent>
                  <w:p w14:paraId="6ADB935A">
                    <w:pPr>
                      <w:snapToGrid w:val="0"/>
                      <w:rPr>
                        <w:rFonts w:hint="eastAsia"/>
                        <w:sz w:val="18"/>
                      </w:rPr>
                    </w:pPr>
                  </w:p>
                </w:txbxContent>
              </v:textbox>
            </v:shape>
          </w:pict>
        </mc:Fallback>
      </mc:AlternateContent>
    </w:r>
    <w:r>
      <w:rPr>
        <w:rFonts w:hint="eastAsia"/>
        <w:sz w:val="18"/>
        <w:szCs w:val="18"/>
        <w:lang w:eastAsia="zh-CN"/>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33166">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14:paraId="7C333166">
                    <w:pPr>
                      <w:snapToGrid w:val="0"/>
                      <w:rPr>
                        <w:rFonts w:hint="eastAsia"/>
                        <w:sz w:val="18"/>
                      </w:rPr>
                    </w:pPr>
                  </w:p>
                </w:txbxContent>
              </v:textbox>
            </v:shape>
          </w:pict>
        </mc:Fallback>
      </mc:AlternateContent>
    </w:r>
    <w:r>
      <w:rPr>
        <w:rFonts w:hint="eastAsia"/>
        <w:sz w:val="18"/>
        <w:szCs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B3E4E">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9AB3E4E">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2AA5">
    <w:pPr>
      <w:tabs>
        <w:tab w:val="left" w:pos="5646"/>
      </w:tabs>
    </w:pPr>
    <w:r>
      <w:rPr>
        <w:rFonts w:hint="eastAsia"/>
        <w:sz w:val="18"/>
        <w:szCs w:val="18"/>
        <w:lang w:val="en-US" w:eastAsia="zh-CN"/>
      </w:rPr>
      <w:t xml:space="preserve">                                       </w:t>
    </w: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C1A2DD">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6C1A2DD">
                    <w:pPr>
                      <w:snapToGrid w:val="0"/>
                      <w:rPr>
                        <w:rFonts w:hint="eastAsia"/>
                        <w:sz w:val="18"/>
                      </w:rPr>
                    </w:pPr>
                  </w:p>
                </w:txbxContent>
              </v:textbox>
            </v:shape>
          </w:pict>
        </mc:Fallback>
      </mc:AlternateContent>
    </w:r>
    <w:r>
      <w:rPr>
        <w:sz w:val="18"/>
        <w:szCs w:val="18"/>
      </w:rPr>
      <mc:AlternateContent>
        <mc:Choice Requires="wps">
          <w:drawing>
            <wp:anchor distT="0" distB="0" distL="114300" distR="114300" simplePos="0" relativeHeight="251665408" behindDoc="0" locked="0" layoutInCell="1" allowOverlap="1">
              <wp:simplePos x="0" y="0"/>
              <wp:positionH relativeFrom="margin">
                <wp:posOffset>3065145</wp:posOffset>
              </wp:positionH>
              <wp:positionV relativeFrom="paragraph">
                <wp:posOffset>152400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4255D">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41.35pt;margin-top:12pt;height:144pt;width:144pt;mso-position-horizontal-relative:margin;mso-wrap-style:none;z-index:251665408;mso-width-relative:page;mso-height-relative:page;" filled="f" stroked="f" coordsize="21600,21600" o:gfxdata="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0q9w1gAAAAoBAAAPAAAAAAAAAAEAIAAAACIAAABkcnMvZG93&#10;bnJldi54bWxQSwECFAAUAAAACACHTuJABtkm6skBAACbAwAADgAAAAAAAAABACAAAAAlAQAAZHJz&#10;L2Uyb0RvYy54bWxQSwUGAAAAAAYABgBZAQAAYAUAAAAA&#10;">
              <v:fill on="f" focussize="0,0"/>
              <v:stroke on="f"/>
              <v:imagedata o:title=""/>
              <o:lock v:ext="edit" aspectratio="f"/>
              <v:textbox inset="0mm,0mm,0mm,0mm" style="mso-fit-shape-to-text:t;">
                <w:txbxContent>
                  <w:p w14:paraId="33B4255D">
                    <w:pPr>
                      <w:snapToGrid w:val="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89DB">
    <w:pPr>
      <w:tabs>
        <w:tab w:val="left" w:pos="5646"/>
      </w:tabs>
      <w:rPr>
        <w:rFonts w:hint="eastAsia"/>
      </w:rPr>
    </w:pPr>
    <w:r>
      <w:rPr>
        <w:rFonts w:hint="eastAsia"/>
        <w:sz w:val="18"/>
        <w:lang w:eastAsia="zh-CN"/>
      </w:rPr>
      <w:t>新疆</w:t>
    </w:r>
    <w:r>
      <w:rPr>
        <w:rFonts w:hint="eastAsia"/>
        <w:sz w:val="18"/>
        <w:lang w:val="en-US" w:eastAsia="zh-CN"/>
      </w:rPr>
      <w:t>启中</w:t>
    </w:r>
    <w:r>
      <w:rPr>
        <w:rFonts w:hint="eastAsia"/>
        <w:sz w:val="18"/>
        <w:lang w:eastAsia="zh-CN"/>
      </w:rPr>
      <w:t>项目管理有限公司</w:t>
    </w:r>
    <w:r>
      <w:rPr>
        <w:rFonts w:hint="eastAsia"/>
        <w:sz w:val="18"/>
      </w:rPr>
      <w:t xml:space="preserve"> </w: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7C7E5">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337C7E5">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sz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D960">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F409CF">
                          <w:pPr>
                            <w:pStyle w:val="14"/>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EF409CF">
                    <w:pPr>
                      <w:pStyle w:val="14"/>
                    </w:pPr>
                    <w:r>
                      <w:fldChar w:fldCharType="begin"/>
                    </w:r>
                    <w:r>
                      <w:instrText xml:space="preserve"> PAGE  \* MERGEFORMAT </w:instrText>
                    </w:r>
                    <w:r>
                      <w:fldChar w:fldCharType="separate"/>
                    </w:r>
                    <w:r>
                      <w:t>33</w:t>
                    </w:r>
                    <w:r>
                      <w:fldChar w:fldCharType="end"/>
                    </w:r>
                  </w:p>
                </w:txbxContent>
              </v:textbox>
            </v:shape>
          </w:pict>
        </mc:Fallback>
      </mc:AlternateContent>
    </w:r>
  </w:p>
  <w:p w14:paraId="275CBEEE">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F9FC">
    <w:pPr>
      <w:pStyle w:val="15"/>
      <w:pBdr>
        <w:bottom w:val="none" w:color="auto" w:sz="0" w:space="0"/>
      </w:pBdr>
      <w:jc w:val="right"/>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EB1F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86EB1F5">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sz w:val="22"/>
        <w:szCs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D7C0">
    <w:pPr>
      <w:pStyle w:val="30"/>
      <w:jc w:val="both"/>
      <w:rPr>
        <w:rFonts w:hint="eastAsia" w:ascii="宋体" w:hAnsi="宋体" w:eastAsia="宋体" w:cs="宋体"/>
        <w:b w:val="0"/>
        <w:bCs w:val="0"/>
        <w:sz w:val="18"/>
        <w:szCs w:val="18"/>
        <w:lang w:eastAsia="zh-CN"/>
      </w:rPr>
    </w:pPr>
    <w:r>
      <w:rPr>
        <w:b w:val="0"/>
        <w:bCs w:val="0"/>
        <w:sz w:val="20"/>
        <w:szCs w:val="1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2977">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49E2977">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b w:val="0"/>
        <w:bCs w:val="0"/>
        <w:sz w:val="20"/>
        <w:szCs w:val="20"/>
        <w:highlight w:val="none"/>
        <w:lang w:val="en-US" w:eastAsia="zh-CN"/>
      </w:rPr>
      <w:t xml:space="preserve">伊宁县伊东工业园区化工产业集中区智慧平台项目 </w:t>
    </w:r>
    <w:r>
      <w:rPr>
        <w:rFonts w:hint="eastAsia" w:ascii="宋体" w:hAnsi="宋体" w:cs="宋体"/>
        <w:b w:val="0"/>
        <w:bCs w:val="0"/>
        <w:sz w:val="22"/>
        <w:szCs w:val="22"/>
        <w:highlight w:val="none"/>
        <w:lang w:val="en-US" w:eastAsia="zh-CN"/>
      </w:rPr>
      <w:t xml:space="preserve">                               </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rPr>
      <w:t xml:space="preserve">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5685F">
    <w:pPr>
      <w:pStyle w:val="15"/>
      <w:pBdr>
        <w:bottom w:val="single" w:color="auto" w:sz="4" w:space="1"/>
      </w:pBdr>
      <w:jc w:val="both"/>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448E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DF448E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20"/>
        <w:szCs w:val="20"/>
        <w:highlight w:val="none"/>
        <w:lang w:val="en-US" w:eastAsia="zh-CN"/>
      </w:rPr>
      <w:t>伊宁县伊东工业园区化工产业集中区智慧平台项目</w:t>
    </w:r>
    <w:r>
      <w:rPr>
        <w:rFonts w:hint="eastAsia" w:ascii="宋体" w:hAnsi="宋体" w:eastAsia="宋体" w:cs="宋体"/>
        <w:sz w:val="20"/>
        <w:szCs w:val="20"/>
        <w:highlight w:val="none"/>
      </w:rPr>
      <w:t xml:space="preserve">          </w:t>
    </w:r>
    <w:r>
      <w:rPr>
        <w:rFonts w:hint="eastAsia" w:ascii="宋体" w:hAnsi="宋体" w:eastAsia="宋体" w:cs="宋体"/>
        <w:sz w:val="20"/>
        <w:szCs w:val="20"/>
        <w:highlight w:val="none"/>
        <w:lang w:val="en-US" w:eastAsia="zh-CN"/>
      </w:rPr>
      <w:t xml:space="preserve">        </w:t>
    </w:r>
    <w:r>
      <w:rPr>
        <w:rFonts w:hint="eastAsia" w:ascii="宋体" w:hAnsi="宋体" w:eastAsia="宋体" w:cs="宋体"/>
        <w:sz w:val="20"/>
        <w:szCs w:val="20"/>
        <w:highlight w:val="none"/>
      </w:rPr>
      <w:t xml:space="preserve">      </w:t>
    </w:r>
    <w:r>
      <w:rPr>
        <w:rFonts w:hint="eastAsia" w:ascii="宋体" w:hAnsi="宋体" w:eastAsia="宋体" w:cs="宋体"/>
        <w:sz w:val="20"/>
        <w:szCs w:val="20"/>
        <w:highlight w:val="none"/>
        <w:lang w:val="en-US" w:eastAsia="zh-CN"/>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F09B">
    <w:pPr>
      <w:pStyle w:val="15"/>
      <w:jc w:val="left"/>
      <w:rPr>
        <w:rFonts w:hint="eastAsia"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AA6CC">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6AA6CC">
                    <w:pPr>
                      <w:pStyle w:val="15"/>
                    </w:pPr>
                  </w:p>
                </w:txbxContent>
              </v:textbox>
            </v:shape>
          </w:pict>
        </mc:Fallback>
      </mc:AlternateContent>
    </w:r>
    <w:r>
      <w:rPr>
        <w:rFonts w:hint="eastAsia" w:ascii="宋体" w:hAnsi="宋体" w:cs="宋体"/>
        <w:lang w:val="en-US" w:eastAsia="zh-CN"/>
      </w:rPr>
      <w:t>伊宁县伊东工业园区化工产业集中区智慧平台项目</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109D">
    <w:pPr>
      <w:pStyle w:val="15"/>
      <w:tabs>
        <w:tab w:val="center" w:pos="4139"/>
        <w:tab w:val="right" w:pos="8399"/>
      </w:tabs>
      <w:jc w:val="lef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43750">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EB43750">
                    <w:pPr>
                      <w:pStyle w:val="15"/>
                    </w:pPr>
                    <w:r>
                      <w:fldChar w:fldCharType="begin"/>
                    </w:r>
                    <w:r>
                      <w:instrText xml:space="preserve"> PAGE  \* MERGEFORMAT </w:instrText>
                    </w:r>
                    <w:r>
                      <w:fldChar w:fldCharType="separate"/>
                    </w:r>
                    <w:r>
                      <w:t>62</w:t>
                    </w:r>
                    <w:r>
                      <w:fldChar w:fldCharType="end"/>
                    </w:r>
                  </w:p>
                </w:txbxContent>
              </v:textbox>
            </v:shape>
          </w:pict>
        </mc:Fallback>
      </mc:AlternateContent>
    </w:r>
    <w:r>
      <w:rPr>
        <w:rFonts w:hint="eastAsia"/>
        <w:lang w:eastAsia="zh-CN"/>
      </w:rPr>
      <w:tab/>
    </w:r>
    <w:r>
      <w:rPr>
        <w:rFonts w:hint="eastAsia"/>
        <w:lang w:val="en-US" w:eastAsia="zh-CN"/>
      </w:rPr>
      <w:t xml:space="preserve">                                </w:t>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792FF"/>
    <w:multiLevelType w:val="singleLevel"/>
    <w:tmpl w:val="B7D792FF"/>
    <w:lvl w:ilvl="0" w:tentative="0">
      <w:start w:val="1"/>
      <w:numFmt w:val="bullet"/>
      <w:lvlText w:val=""/>
      <w:lvlJc w:val="left"/>
      <w:pPr>
        <w:ind w:left="420" w:hanging="420"/>
      </w:pPr>
      <w:rPr>
        <w:rFonts w:hint="default" w:ascii="Wingdings" w:hAnsi="Wingdings"/>
      </w:rPr>
    </w:lvl>
  </w:abstractNum>
  <w:abstractNum w:abstractNumId="1">
    <w:nsid w:val="2C2C4B8D"/>
    <w:multiLevelType w:val="singleLevel"/>
    <w:tmpl w:val="2C2C4B8D"/>
    <w:lvl w:ilvl="0" w:tentative="0">
      <w:start w:val="1"/>
      <w:numFmt w:val="japaneseCounting"/>
      <w:lvlText w:val="第%1条"/>
      <w:lvlJc w:val="left"/>
      <w:pPr>
        <w:tabs>
          <w:tab w:val="left" w:pos="1521"/>
        </w:tabs>
        <w:ind w:left="1516" w:hanging="1095"/>
      </w:pPr>
      <w:rPr>
        <w:rFonts w:hint="eastAsia"/>
        <w:b/>
        <w:bCs/>
        <w:sz w:val="30"/>
        <w:szCs w:val="30"/>
      </w:rPr>
    </w:lvl>
  </w:abstractNum>
  <w:abstractNum w:abstractNumId="2">
    <w:nsid w:val="34BE214D"/>
    <w:multiLevelType w:val="singleLevel"/>
    <w:tmpl w:val="34BE214D"/>
    <w:lvl w:ilvl="0" w:tentative="0">
      <w:start w:val="4"/>
      <w:numFmt w:val="decimal"/>
      <w:lvlText w:val="%1."/>
      <w:lvlJc w:val="left"/>
      <w:pPr>
        <w:tabs>
          <w:tab w:val="left" w:pos="312"/>
        </w:tabs>
      </w:pPr>
    </w:lvl>
  </w:abstractNum>
  <w:abstractNum w:abstractNumId="3">
    <w:nsid w:val="59ADCABA"/>
    <w:multiLevelType w:val="multilevel"/>
    <w:tmpl w:val="59ADCABA"/>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NTMxNjAxOTdlOGZlYTA0MDgwODgzZDc3YWI3OGEifQ=="/>
    <w:docVar w:name="KSO_WPS_MARK_KEY" w:val="774f8c00-cf3f-45c7-b5bc-c43472256261"/>
  </w:docVars>
  <w:rsids>
    <w:rsidRoot w:val="6BD937DE"/>
    <w:rsid w:val="01D06319"/>
    <w:rsid w:val="02D32491"/>
    <w:rsid w:val="03010F2F"/>
    <w:rsid w:val="04443C69"/>
    <w:rsid w:val="09B747DD"/>
    <w:rsid w:val="13CA6BAB"/>
    <w:rsid w:val="1426197B"/>
    <w:rsid w:val="14C5019C"/>
    <w:rsid w:val="17AC1F27"/>
    <w:rsid w:val="1D38248F"/>
    <w:rsid w:val="1EDA10D4"/>
    <w:rsid w:val="2572277A"/>
    <w:rsid w:val="259E3251"/>
    <w:rsid w:val="27616B23"/>
    <w:rsid w:val="27E56B21"/>
    <w:rsid w:val="2E877E84"/>
    <w:rsid w:val="31865A40"/>
    <w:rsid w:val="327318E0"/>
    <w:rsid w:val="375D041C"/>
    <w:rsid w:val="377C50C5"/>
    <w:rsid w:val="38A071FD"/>
    <w:rsid w:val="3BB343C1"/>
    <w:rsid w:val="41194C1C"/>
    <w:rsid w:val="490D55E0"/>
    <w:rsid w:val="49324659"/>
    <w:rsid w:val="4D8427BB"/>
    <w:rsid w:val="4D8979C3"/>
    <w:rsid w:val="57BF3AB4"/>
    <w:rsid w:val="606B48C8"/>
    <w:rsid w:val="6398120E"/>
    <w:rsid w:val="66846F11"/>
    <w:rsid w:val="69596DAB"/>
    <w:rsid w:val="6BD937DE"/>
    <w:rsid w:val="6E9173FF"/>
    <w:rsid w:val="6EFF2F20"/>
    <w:rsid w:val="71501C1D"/>
    <w:rsid w:val="752A3A1E"/>
    <w:rsid w:val="75753202"/>
    <w:rsid w:val="76803130"/>
    <w:rsid w:val="7B59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4"/>
    <w:qFormat/>
    <w:uiPriority w:val="0"/>
    <w:pPr>
      <w:keepNext/>
      <w:outlineLvl w:val="0"/>
    </w:pPr>
    <w:rPr>
      <w:rFonts w:ascii="仿宋_GB2312" w:hAnsi="宋体" w:eastAsia="仿宋_GB2312"/>
      <w:b/>
      <w:kern w:val="2"/>
      <w:sz w:val="32"/>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00"/>
      <w:outlineLvl w:val="3"/>
    </w:pPr>
    <w:rPr>
      <w:i/>
      <w:iCs/>
      <w:color w:val="4F81BD"/>
      <w:sz w:val="20"/>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next w:val="1"/>
    <w:qFormat/>
    <w:uiPriority w:val="0"/>
    <w:pPr>
      <w:widowControl/>
      <w:ind w:firstLine="420"/>
      <w:jc w:val="left"/>
    </w:pPr>
    <w:rPr>
      <w:kern w:val="0"/>
      <w:sz w:val="20"/>
    </w:rPr>
  </w:style>
  <w:style w:type="paragraph" w:styleId="8">
    <w:name w:val="Body Text"/>
    <w:basedOn w:val="1"/>
    <w:next w:val="1"/>
    <w:qFormat/>
    <w:uiPriority w:val="0"/>
    <w:pPr>
      <w:spacing w:after="120"/>
    </w:pPr>
    <w:rPr>
      <w:szCs w:val="24"/>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99"/>
    <w:pPr>
      <w:ind w:firstLine="420" w:firstLineChars="200"/>
    </w:pPr>
    <w:rPr>
      <w:rFonts w:ascii="仿宋_GB2312" w:hAnsi="Calibri" w:eastAsia="Times New Roman"/>
      <w:color w:val="000000"/>
      <w:kern w:val="0"/>
      <w:sz w:val="24"/>
    </w:rPr>
  </w:style>
  <w:style w:type="paragraph" w:styleId="11">
    <w:name w:val="Plain Text"/>
    <w:basedOn w:val="1"/>
    <w:qFormat/>
    <w:uiPriority w:val="0"/>
    <w:rPr>
      <w:rFonts w:ascii="宋体" w:hAnsi="Courier New" w:eastAsiaTheme="minorEastAsia" w:cstheme="minorBidi"/>
      <w:szCs w:val="22"/>
    </w:rPr>
  </w:style>
  <w:style w:type="paragraph" w:styleId="12">
    <w:name w:val="Date"/>
    <w:basedOn w:val="1"/>
    <w:next w:val="1"/>
    <w:qFormat/>
    <w:uiPriority w:val="0"/>
    <w:pPr>
      <w:adjustRightInd w:val="0"/>
      <w:spacing w:line="360" w:lineRule="atLeast"/>
      <w:ind w:firstLine="454"/>
      <w:textAlignment w:val="baseline"/>
    </w:pPr>
    <w:rPr>
      <w:kern w:val="0"/>
    </w:rPr>
  </w:style>
  <w:style w:type="paragraph" w:styleId="13">
    <w:name w:val="Body Text Indent 2"/>
    <w:basedOn w:val="1"/>
    <w:qFormat/>
    <w:uiPriority w:val="0"/>
    <w:pPr>
      <w:ind w:firstLine="480"/>
    </w:pPr>
    <w:rPr>
      <w:rFonts w:ascii="宋体" w:hAnsi="宋体"/>
      <w:sz w:val="30"/>
      <w:szCs w:val="24"/>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8">
    <w:name w:val="Title"/>
    <w:basedOn w:val="1"/>
    <w:next w:val="1"/>
    <w:qFormat/>
    <w:uiPriority w:val="0"/>
    <w:pPr>
      <w:spacing w:before="240" w:after="60"/>
      <w:jc w:val="center"/>
      <w:outlineLvl w:val="0"/>
    </w:pPr>
    <w:rPr>
      <w:rFonts w:ascii="Cambria" w:hAnsi="Cambria"/>
      <w:b/>
      <w:sz w:val="32"/>
      <w:szCs w:val="24"/>
    </w:rPr>
  </w:style>
  <w:style w:type="paragraph" w:styleId="19">
    <w:name w:val="Body Text First Indent"/>
    <w:basedOn w:val="8"/>
    <w:next w:val="1"/>
    <w:unhideWhenUsed/>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color w:val="771CAA"/>
      <w:u w:val="none"/>
    </w:rPr>
  </w:style>
  <w:style w:type="character" w:styleId="26">
    <w:name w:val="Emphasis"/>
    <w:basedOn w:val="22"/>
    <w:qFormat/>
    <w:uiPriority w:val="0"/>
    <w:rPr>
      <w:color w:val="F73131"/>
    </w:rPr>
  </w:style>
  <w:style w:type="character" w:styleId="27">
    <w:name w:val="Hyperlink"/>
    <w:basedOn w:val="22"/>
    <w:qFormat/>
    <w:uiPriority w:val="0"/>
    <w:rPr>
      <w:color w:val="2440B3"/>
      <w:u w:val="none"/>
    </w:rPr>
  </w:style>
  <w:style w:type="character" w:styleId="28">
    <w:name w:val="HTML Cite"/>
    <w:basedOn w:val="22"/>
    <w:qFormat/>
    <w:uiPriority w:val="0"/>
    <w:rPr>
      <w:color w:val="008000"/>
    </w:rPr>
  </w:style>
  <w:style w:type="paragraph" w:customStyle="1" w:styleId="29">
    <w:name w:val="首行缩进"/>
    <w:basedOn w:val="1"/>
    <w:qFormat/>
    <w:uiPriority w:val="0"/>
    <w:pPr>
      <w:ind w:firstLine="480" w:firstLineChars="200"/>
    </w:pPr>
    <w:rPr>
      <w:lang w:val="zh-CN"/>
    </w:rPr>
  </w:style>
  <w:style w:type="paragraph" w:customStyle="1" w:styleId="30">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2">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4">
    <w:name w:val="索引 11"/>
    <w:basedOn w:val="1"/>
    <w:next w:val="1"/>
    <w:qFormat/>
    <w:uiPriority w:val="0"/>
    <w:pPr>
      <w:spacing w:line="360" w:lineRule="auto"/>
    </w:pPr>
    <w:rPr>
      <w:rFonts w:ascii="仿宋_GB2312" w:eastAsia="仿宋_GB2312"/>
      <w:sz w:val="24"/>
    </w:rPr>
  </w:style>
  <w:style w:type="paragraph" w:customStyle="1" w:styleId="35">
    <w:name w:val="纯文本1"/>
    <w:basedOn w:val="1"/>
    <w:qFormat/>
    <w:uiPriority w:val="0"/>
    <w:rPr>
      <w:rFonts w:ascii="宋体" w:hAnsi="Courier New" w:eastAsiaTheme="minorEastAsia" w:cstheme="minorBidi"/>
      <w:szCs w:val="22"/>
    </w:rPr>
  </w:style>
  <w:style w:type="paragraph" w:customStyle="1" w:styleId="36">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37">
    <w:name w:val="c-icon28"/>
    <w:basedOn w:val="22"/>
    <w:qFormat/>
    <w:uiPriority w:val="0"/>
  </w:style>
  <w:style w:type="character" w:customStyle="1" w:styleId="38">
    <w:name w:val="hover23"/>
    <w:basedOn w:val="22"/>
    <w:qFormat/>
    <w:uiPriority w:val="0"/>
  </w:style>
  <w:style w:type="character" w:customStyle="1" w:styleId="39">
    <w:name w:val="hover24"/>
    <w:basedOn w:val="22"/>
    <w:qFormat/>
    <w:uiPriority w:val="0"/>
    <w:rPr>
      <w:color w:val="315EFB"/>
    </w:rPr>
  </w:style>
  <w:style w:type="character" w:customStyle="1" w:styleId="40">
    <w:name w:val="hover25"/>
    <w:basedOn w:val="22"/>
    <w:qFormat/>
    <w:uiPriority w:val="0"/>
    <w:rPr>
      <w:color w:val="315EFB"/>
    </w:rPr>
  </w:style>
  <w:style w:type="character" w:customStyle="1" w:styleId="41">
    <w:name w:val="hover26"/>
    <w:basedOn w:val="22"/>
    <w:qFormat/>
    <w:uiPriority w:val="0"/>
  </w:style>
  <w:style w:type="character" w:customStyle="1" w:styleId="42">
    <w:name w:val="hover27"/>
    <w:basedOn w:val="22"/>
    <w:qFormat/>
    <w:uiPriority w:val="0"/>
    <w:rPr>
      <w:color w:val="315EFB"/>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character" w:customStyle="1" w:styleId="44">
    <w:name w:val="标题 1 Char"/>
    <w:link w:val="2"/>
    <w:qFormat/>
    <w:uiPriority w:val="0"/>
    <w:rPr>
      <w:rFonts w:ascii="仿宋_GB2312" w:hAnsi="宋体" w:eastAsia="仿宋_GB2312"/>
      <w:b/>
      <w:kern w:val="2"/>
      <w:sz w:val="32"/>
    </w:rPr>
  </w:style>
  <w:style w:type="paragraph" w:customStyle="1" w:styleId="45">
    <w:name w:val="List Paragraph"/>
    <w:basedOn w:val="1"/>
    <w:qFormat/>
    <w:uiPriority w:val="34"/>
    <w:pPr>
      <w:ind w:firstLine="420" w:firstLineChars="200"/>
    </w:pPr>
  </w:style>
  <w:style w:type="paragraph" w:customStyle="1" w:styleId="46">
    <w:name w:val="样式 首行缩进:  2 字符"/>
    <w:basedOn w:val="1"/>
    <w:qFormat/>
    <w:uiPriority w:val="0"/>
    <w:pPr>
      <w:spacing w:line="400" w:lineRule="exact"/>
      <w:ind w:firstLine="200" w:firstLineChars="200"/>
    </w:pPr>
    <w:rPr>
      <w:rFonts w:cs="宋体"/>
      <w:sz w:val="24"/>
    </w:rPr>
  </w:style>
  <w:style w:type="paragraph" w:customStyle="1" w:styleId="47">
    <w:name w:val="UserStyle_20"/>
    <w:basedOn w:val="1"/>
    <w:qFormat/>
    <w:uiPriority w:val="0"/>
    <w:pPr>
      <w:spacing w:line="400" w:lineRule="exact"/>
      <w:ind w:firstLine="200" w:firstLineChars="200"/>
      <w:jc w:val="both"/>
      <w:textAlignment w:val="baseline"/>
    </w:pPr>
    <w:rPr>
      <w:kern w:val="2"/>
      <w:sz w:val="24"/>
      <w:szCs w:val="24"/>
      <w:lang w:val="en-US" w:eastAsia="zh-CN" w:bidi="ar-SA"/>
    </w:rPr>
  </w:style>
  <w:style w:type="character" w:customStyle="1" w:styleId="48">
    <w:name w:val="NormalCharacter"/>
    <w:semiHidden/>
    <w:qFormat/>
    <w:uiPriority w:val="0"/>
    <w:rPr>
      <w:kern w:val="2"/>
      <w:sz w:val="21"/>
      <w:szCs w:val="24"/>
      <w:lang w:val="en-US" w:eastAsia="zh-CN" w:bidi="ar-SA"/>
    </w:rPr>
  </w:style>
  <w:style w:type="paragraph" w:customStyle="1" w:styleId="4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50">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2711</Words>
  <Characters>3112</Characters>
  <Lines>0</Lines>
  <Paragraphs>0</Paragraphs>
  <TotalTime>0</TotalTime>
  <ScaleCrop>false</ScaleCrop>
  <LinksUpToDate>false</LinksUpToDate>
  <CharactersWithSpaces>3221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2023-05-04T12:42:00Z</dcterms:created>
  <dc:creator>李萌@</dc:creator>
  <cp:lastModifiedBy>Administrator</cp:lastModifiedBy>
  <cp:lastPrinted>2023-07-24T02:52:00Z</cp:lastPrinted>
  <dcterms:modified xsi:type="dcterms:W3CDTF">2025-03-03T09:24:24Z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3890312458E64CBE98B1268128BA3499_11</vt:lpwstr>
  </property>
  <property fmtid="{D5CDD505-2E9C-101B-9397-08002B2CF9AE}" pid="4" name="KSOTemplateDocerSaveRecord">
    <vt:lpwstr>eyJoZGlkIjoiZmNmNTMxNjAxOTdlOGZlYTA0MDgwODgzZDc3YWI3OGEifQ==</vt:lpwstr>
  </property>
</Properties>
</file>