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337440">
      <w:pPr>
        <w:jc w:val="right"/>
        <w:outlineLvl w:val="9"/>
        <w:rPr>
          <w:rFonts w:hint="default" w:ascii="宋体" w:hAnsi="宋体" w:eastAsia="宋体" w:cs="宋体"/>
          <w:b/>
          <w:sz w:val="24"/>
          <w:szCs w:val="24"/>
          <w:lang w:val="en-US" w:eastAsia="zh-CN"/>
        </w:rPr>
      </w:pPr>
      <w:bookmarkStart w:id="0" w:name="_Toc371"/>
      <w:r>
        <w:rPr>
          <w:rFonts w:hint="eastAsia" w:ascii="宋体" w:hAnsi="宋体" w:eastAsia="宋体" w:cs="宋体"/>
          <w:b/>
          <w:sz w:val="24"/>
          <w:szCs w:val="24"/>
        </w:rPr>
        <w:t>项目编号：</w:t>
      </w:r>
      <w:bookmarkEnd w:id="0"/>
      <w:r>
        <w:rPr>
          <w:rFonts w:hint="eastAsia" w:ascii="宋体" w:hAnsi="宋体" w:cs="宋体"/>
          <w:b/>
          <w:sz w:val="24"/>
          <w:szCs w:val="24"/>
          <w:lang w:val="en-US" w:eastAsia="zh-CN"/>
        </w:rPr>
        <w:t>XJJB-2025-003</w:t>
      </w:r>
    </w:p>
    <w:p w14:paraId="5CB70F8A">
      <w:pPr>
        <w:pStyle w:val="53"/>
        <w:outlineLvl w:val="9"/>
        <w:rPr>
          <w:rFonts w:ascii="Times New Roman" w:hAnsi="Times New Roman" w:eastAsia="楷体" w:cs="Times New Roman"/>
          <w:color w:val="auto"/>
        </w:rPr>
      </w:pPr>
    </w:p>
    <w:p w14:paraId="223912B2">
      <w:pPr>
        <w:pStyle w:val="53"/>
        <w:rPr>
          <w:rFonts w:ascii="Times New Roman" w:hAnsi="Times New Roman" w:eastAsia="楷体" w:cs="Times New Roman"/>
          <w:color w:val="auto"/>
        </w:rPr>
      </w:pPr>
    </w:p>
    <w:p w14:paraId="327B9947">
      <w:pPr>
        <w:pStyle w:val="53"/>
        <w:rPr>
          <w:rFonts w:ascii="Times New Roman" w:hAnsi="Times New Roman" w:eastAsia="楷体" w:cs="Times New Roman"/>
          <w:color w:val="auto"/>
        </w:rPr>
      </w:pPr>
    </w:p>
    <w:p w14:paraId="5413540C">
      <w:pPr>
        <w:spacing w:line="600" w:lineRule="auto"/>
        <w:jc w:val="center"/>
        <w:outlineLvl w:val="9"/>
        <w:rPr>
          <w:rFonts w:hint="default" w:ascii="宋体" w:hAnsi="宋体" w:eastAsia="宋体" w:cs="宋体"/>
          <w:color w:val="auto"/>
          <w:sz w:val="48"/>
          <w:szCs w:val="48"/>
          <w:lang w:val="en-US"/>
        </w:rPr>
      </w:pPr>
      <w:r>
        <w:rPr>
          <w:rFonts w:hint="eastAsia" w:ascii="宋体" w:hAnsi="宋体" w:eastAsia="宋体" w:cs="宋体"/>
          <w:b/>
          <w:bCs/>
          <w:color w:val="auto"/>
          <w:sz w:val="48"/>
          <w:szCs w:val="48"/>
          <w:lang w:eastAsia="zh-CN"/>
        </w:rPr>
        <w:t>巩留县财政局202</w:t>
      </w:r>
      <w:r>
        <w:rPr>
          <w:rFonts w:hint="eastAsia" w:ascii="宋体" w:hAnsi="宋体" w:cs="宋体"/>
          <w:b/>
          <w:bCs/>
          <w:color w:val="auto"/>
          <w:sz w:val="48"/>
          <w:szCs w:val="48"/>
          <w:lang w:val="en-US" w:eastAsia="zh-CN"/>
        </w:rPr>
        <w:t>5-2026年度</w:t>
      </w:r>
      <w:r>
        <w:rPr>
          <w:rFonts w:hint="eastAsia" w:ascii="宋体" w:hAnsi="宋体" w:eastAsia="宋体" w:cs="宋体"/>
          <w:b/>
          <w:bCs/>
          <w:color w:val="auto"/>
          <w:sz w:val="48"/>
          <w:szCs w:val="48"/>
          <w:lang w:eastAsia="zh-CN"/>
        </w:rPr>
        <w:t>政府投资项目工程造价咨询服务采购项目框架协议</w:t>
      </w:r>
    </w:p>
    <w:p w14:paraId="3E4C259F">
      <w:pPr>
        <w:pStyle w:val="25"/>
        <w:jc w:val="center"/>
        <w:rPr>
          <w:rFonts w:hint="eastAsia" w:ascii="宋体" w:hAnsi="宋体" w:eastAsia="宋体" w:cs="宋体"/>
          <w:color w:val="auto"/>
          <w:sz w:val="48"/>
          <w:szCs w:val="48"/>
        </w:rPr>
      </w:pPr>
    </w:p>
    <w:p w14:paraId="69ED9BFC">
      <w:pPr>
        <w:rPr>
          <w:rFonts w:eastAsia="楷体"/>
          <w:color w:val="auto"/>
        </w:rPr>
      </w:pPr>
    </w:p>
    <w:p w14:paraId="66CBE1FF">
      <w:pPr>
        <w:pStyle w:val="54"/>
        <w:rPr>
          <w:rFonts w:eastAsia="楷体"/>
          <w:color w:val="auto"/>
        </w:rPr>
      </w:pPr>
    </w:p>
    <w:p w14:paraId="0C4EAA4F">
      <w:pPr>
        <w:jc w:val="center"/>
        <w:rPr>
          <w:rFonts w:eastAsia="楷体"/>
          <w:b/>
          <w:color w:val="auto"/>
          <w:sz w:val="84"/>
        </w:rPr>
      </w:pPr>
    </w:p>
    <w:p w14:paraId="0B1DBCCD">
      <w:pPr>
        <w:jc w:val="center"/>
        <w:rPr>
          <w:rFonts w:hint="eastAsia" w:ascii="宋体" w:hAnsi="宋体" w:eastAsia="宋体" w:cs="宋体"/>
          <w:b/>
          <w:color w:val="auto"/>
          <w:sz w:val="84"/>
        </w:rPr>
      </w:pPr>
      <w:r>
        <w:rPr>
          <w:rFonts w:hint="eastAsia" w:ascii="宋体" w:hAnsi="宋体" w:eastAsia="宋体" w:cs="宋体"/>
          <w:b/>
          <w:color w:val="auto"/>
          <w:sz w:val="84"/>
        </w:rPr>
        <w:t>征 集 文 件</w:t>
      </w:r>
    </w:p>
    <w:p w14:paraId="7308E13D">
      <w:pPr>
        <w:pStyle w:val="54"/>
        <w:rPr>
          <w:rFonts w:eastAsia="楷体"/>
          <w:color w:val="auto"/>
        </w:rPr>
      </w:pPr>
    </w:p>
    <w:p w14:paraId="7DB07B61">
      <w:pPr>
        <w:pStyle w:val="6"/>
        <w:ind w:firstLine="0"/>
        <w:rPr>
          <w:rFonts w:eastAsia="楷体"/>
          <w:color w:val="auto"/>
        </w:rPr>
      </w:pPr>
    </w:p>
    <w:p w14:paraId="03FF8875">
      <w:pPr>
        <w:spacing w:line="460" w:lineRule="exact"/>
        <w:rPr>
          <w:rFonts w:eastAsia="楷体"/>
          <w:color w:val="auto"/>
          <w:sz w:val="28"/>
        </w:rPr>
      </w:pPr>
    </w:p>
    <w:p w14:paraId="5D158CF7">
      <w:pPr>
        <w:spacing w:line="460" w:lineRule="exact"/>
        <w:rPr>
          <w:rFonts w:eastAsia="楷体"/>
          <w:color w:val="auto"/>
          <w:sz w:val="28"/>
        </w:rPr>
      </w:pPr>
    </w:p>
    <w:p w14:paraId="3A129D26">
      <w:pPr>
        <w:spacing w:line="460" w:lineRule="exact"/>
        <w:rPr>
          <w:rFonts w:eastAsia="楷体"/>
          <w:color w:val="auto"/>
          <w:sz w:val="28"/>
        </w:rPr>
      </w:pPr>
    </w:p>
    <w:p w14:paraId="57AF4BB1">
      <w:pPr>
        <w:spacing w:line="460" w:lineRule="exact"/>
        <w:rPr>
          <w:rFonts w:eastAsia="楷体"/>
          <w:color w:val="auto"/>
          <w:sz w:val="28"/>
        </w:rPr>
      </w:pPr>
    </w:p>
    <w:p w14:paraId="71783AFB">
      <w:pPr>
        <w:pStyle w:val="20"/>
        <w:rPr>
          <w:rFonts w:eastAsia="楷体"/>
          <w:color w:val="auto"/>
          <w:sz w:val="28"/>
        </w:rPr>
      </w:pPr>
    </w:p>
    <w:p w14:paraId="7FCCCD2D">
      <w:pPr>
        <w:pStyle w:val="14"/>
      </w:pPr>
    </w:p>
    <w:p w14:paraId="465D2BD8">
      <w:pPr>
        <w:pStyle w:val="7"/>
        <w:rPr>
          <w:rFonts w:ascii="Times New Roman" w:eastAsia="楷体"/>
          <w:color w:val="auto"/>
        </w:rPr>
      </w:pPr>
    </w:p>
    <w:p w14:paraId="5070773E">
      <w:pPr>
        <w:pStyle w:val="24"/>
        <w:ind w:firstLine="0"/>
        <w:rPr>
          <w:rFonts w:ascii="Times New Roman" w:eastAsia="楷体"/>
          <w:color w:val="auto"/>
        </w:rPr>
      </w:pPr>
    </w:p>
    <w:p w14:paraId="69D4822D">
      <w:pPr>
        <w:pStyle w:val="24"/>
        <w:keepNext w:val="0"/>
        <w:keepLines w:val="0"/>
        <w:pageBreakBefore w:val="0"/>
        <w:widowControl w:val="0"/>
        <w:kinsoku/>
        <w:wordWrap/>
        <w:overflowPunct/>
        <w:topLinePunct w:val="0"/>
        <w:autoSpaceDE/>
        <w:autoSpaceDN/>
        <w:bidi w:val="0"/>
        <w:adjustRightInd/>
        <w:snapToGrid/>
        <w:ind w:left="0" w:leftChars="0" w:firstLine="691" w:firstLineChars="200"/>
        <w:rPr>
          <w:rFonts w:hint="eastAsia" w:ascii="宋体" w:hAnsi="宋体" w:eastAsia="宋体" w:cs="宋体"/>
          <w:b/>
          <w:bCs/>
          <w:color w:val="auto"/>
        </w:rPr>
      </w:pPr>
      <w:r>
        <w:rPr>
          <w:rFonts w:hint="eastAsia" w:ascii="宋体" w:hAnsi="宋体" w:eastAsia="宋体" w:cs="宋体"/>
          <w:b/>
          <w:bCs/>
          <w:color w:val="auto"/>
          <w:spacing w:val="12"/>
          <w:sz w:val="32"/>
        </w:rPr>
        <w:t xml:space="preserve">征 </w:t>
      </w:r>
      <w:r>
        <w:rPr>
          <w:rFonts w:hint="eastAsia" w:hAnsi="宋体" w:cs="宋体"/>
          <w:b/>
          <w:bCs/>
          <w:color w:val="auto"/>
          <w:spacing w:val="12"/>
          <w:sz w:val="32"/>
          <w:lang w:val="en-US" w:eastAsia="zh-CN"/>
        </w:rPr>
        <w:t xml:space="preserve">  </w:t>
      </w:r>
      <w:r>
        <w:rPr>
          <w:rFonts w:hint="eastAsia" w:ascii="宋体" w:hAnsi="宋体" w:eastAsia="宋体" w:cs="宋体"/>
          <w:b/>
          <w:bCs/>
          <w:color w:val="auto"/>
          <w:spacing w:val="12"/>
          <w:sz w:val="32"/>
        </w:rPr>
        <w:t>集</w:t>
      </w:r>
      <w:r>
        <w:rPr>
          <w:rFonts w:hint="eastAsia" w:hAnsi="宋体" w:cs="宋体"/>
          <w:b/>
          <w:bCs/>
          <w:color w:val="auto"/>
          <w:spacing w:val="12"/>
          <w:sz w:val="32"/>
          <w:lang w:val="en-US" w:eastAsia="zh-CN"/>
        </w:rPr>
        <w:t xml:space="preserve">  </w:t>
      </w:r>
      <w:r>
        <w:rPr>
          <w:rFonts w:hint="eastAsia" w:ascii="宋体" w:hAnsi="宋体" w:eastAsia="宋体" w:cs="宋体"/>
          <w:b/>
          <w:bCs/>
          <w:color w:val="auto"/>
          <w:spacing w:val="12"/>
          <w:sz w:val="32"/>
        </w:rPr>
        <w:t>人：</w:t>
      </w:r>
      <w:r>
        <w:rPr>
          <w:rFonts w:hint="eastAsia" w:ascii="宋体" w:hAnsi="宋体" w:eastAsia="宋体" w:cs="宋体"/>
          <w:b/>
          <w:bCs/>
          <w:color w:val="auto"/>
          <w:spacing w:val="12"/>
          <w:sz w:val="32"/>
          <w:lang w:eastAsia="zh-CN"/>
        </w:rPr>
        <w:t>巩留县财政局</w:t>
      </w:r>
    </w:p>
    <w:p w14:paraId="0ED0B4A2">
      <w:pPr>
        <w:pStyle w:val="24"/>
        <w:keepNext w:val="0"/>
        <w:keepLines w:val="0"/>
        <w:pageBreakBefore w:val="0"/>
        <w:widowControl w:val="0"/>
        <w:kinsoku/>
        <w:wordWrap/>
        <w:overflowPunct/>
        <w:topLinePunct w:val="0"/>
        <w:autoSpaceDE/>
        <w:autoSpaceDN/>
        <w:bidi w:val="0"/>
        <w:adjustRightInd/>
        <w:snapToGrid/>
        <w:ind w:left="0" w:leftChars="0" w:firstLine="691" w:firstLineChars="200"/>
        <w:rPr>
          <w:rFonts w:eastAsia="楷体"/>
          <w:color w:val="auto"/>
        </w:rPr>
      </w:pPr>
      <w:r>
        <w:rPr>
          <w:rFonts w:hint="eastAsia" w:ascii="宋体" w:hAnsi="宋体" w:eastAsia="宋体" w:cs="宋体"/>
          <w:b/>
          <w:bCs/>
          <w:color w:val="auto"/>
          <w:spacing w:val="12"/>
          <w:sz w:val="32"/>
        </w:rPr>
        <w:t>招标代理机构：</w:t>
      </w:r>
      <w:r>
        <w:rPr>
          <w:rFonts w:hint="eastAsia" w:hAnsi="宋体" w:cs="宋体"/>
          <w:b/>
          <w:bCs/>
          <w:color w:val="auto"/>
          <w:spacing w:val="12"/>
          <w:sz w:val="32"/>
          <w:lang w:eastAsia="zh-CN"/>
        </w:rPr>
        <w:t>新疆金斌工程项目管理有限公司</w:t>
      </w:r>
    </w:p>
    <w:p w14:paraId="5AB82849">
      <w:pPr>
        <w:keepNext w:val="0"/>
        <w:keepLines w:val="0"/>
        <w:pageBreakBefore w:val="0"/>
        <w:widowControl w:val="0"/>
        <w:kinsoku/>
        <w:wordWrap/>
        <w:overflowPunct/>
        <w:topLinePunct w:val="0"/>
        <w:autoSpaceDE/>
        <w:autoSpaceDN/>
        <w:bidi w:val="0"/>
        <w:adjustRightInd/>
        <w:snapToGrid/>
        <w:spacing w:line="360" w:lineRule="auto"/>
        <w:ind w:left="0" w:leftChars="0"/>
        <w:jc w:val="center"/>
        <w:rPr>
          <w:rFonts w:hint="eastAsia" w:ascii="宋体" w:hAnsi="宋体" w:eastAsia="宋体" w:cs="宋体"/>
          <w:b/>
          <w:bCs/>
          <w:color w:val="auto"/>
          <w:spacing w:val="12"/>
          <w:sz w:val="32"/>
          <w:lang w:val="en-US" w:eastAsia="zh-CN" w:bidi="ar-SA"/>
        </w:rPr>
      </w:pPr>
      <w:r>
        <w:rPr>
          <w:rFonts w:hint="eastAsia" w:ascii="宋体" w:hAnsi="宋体" w:eastAsia="宋体" w:cs="宋体"/>
          <w:b/>
          <w:bCs/>
          <w:color w:val="auto"/>
          <w:spacing w:val="12"/>
          <w:sz w:val="32"/>
          <w:lang w:val="en-US" w:eastAsia="zh-CN" w:bidi="ar-SA"/>
        </w:rPr>
        <w:t>二〇二</w:t>
      </w:r>
      <w:r>
        <w:rPr>
          <w:rFonts w:hint="eastAsia" w:ascii="宋体" w:hAnsi="宋体" w:cs="宋体"/>
          <w:b/>
          <w:bCs/>
          <w:color w:val="auto"/>
          <w:spacing w:val="12"/>
          <w:sz w:val="32"/>
          <w:lang w:val="en-US" w:eastAsia="zh-CN" w:bidi="ar-SA"/>
        </w:rPr>
        <w:t>五</w:t>
      </w:r>
      <w:r>
        <w:rPr>
          <w:rFonts w:hint="eastAsia" w:ascii="宋体" w:hAnsi="宋体" w:eastAsia="宋体" w:cs="宋体"/>
          <w:b/>
          <w:bCs/>
          <w:color w:val="auto"/>
          <w:spacing w:val="12"/>
          <w:sz w:val="32"/>
          <w:lang w:val="en-US" w:eastAsia="zh-CN" w:bidi="ar-SA"/>
        </w:rPr>
        <w:t>年</w:t>
      </w:r>
      <w:r>
        <w:rPr>
          <w:rFonts w:hint="eastAsia" w:ascii="宋体" w:hAnsi="宋体" w:cs="宋体"/>
          <w:b/>
          <w:bCs/>
          <w:color w:val="auto"/>
          <w:spacing w:val="12"/>
          <w:sz w:val="32"/>
          <w:lang w:val="en-US" w:eastAsia="zh-CN" w:bidi="ar-SA"/>
        </w:rPr>
        <w:t>一</w:t>
      </w:r>
      <w:r>
        <w:rPr>
          <w:rFonts w:hint="eastAsia" w:ascii="宋体" w:hAnsi="宋体" w:eastAsia="宋体" w:cs="宋体"/>
          <w:b/>
          <w:bCs/>
          <w:color w:val="auto"/>
          <w:spacing w:val="12"/>
          <w:sz w:val="32"/>
          <w:lang w:val="en-US" w:eastAsia="zh-CN" w:bidi="ar-SA"/>
        </w:rPr>
        <w:t>月</w:t>
      </w:r>
    </w:p>
    <w:p w14:paraId="06DD0D01">
      <w:pPr>
        <w:spacing w:line="360" w:lineRule="auto"/>
        <w:jc w:val="center"/>
        <w:rPr>
          <w:rFonts w:eastAsia="楷体"/>
          <w:color w:val="auto"/>
          <w:spacing w:val="12"/>
          <w:sz w:val="32"/>
        </w:rPr>
      </w:pPr>
    </w:p>
    <w:p w14:paraId="4CA5CBDE">
      <w:pPr>
        <w:spacing w:line="360" w:lineRule="auto"/>
        <w:jc w:val="center"/>
        <w:rPr>
          <w:rFonts w:eastAsia="楷体"/>
          <w:color w:val="auto"/>
        </w:rPr>
        <w:sectPr>
          <w:headerReference r:id="rId4" w:type="first"/>
          <w:headerReference r:id="rId3" w:type="default"/>
          <w:footerReference r:id="rId5" w:type="default"/>
          <w:pgSz w:w="11905" w:h="16838"/>
          <w:pgMar w:top="1383" w:right="1293" w:bottom="1383" w:left="1463" w:header="1077" w:footer="794" w:gutter="0"/>
          <w:pgNumType w:start="1"/>
          <w:cols w:space="0" w:num="1"/>
          <w:titlePg/>
          <w:rtlGutter w:val="0"/>
          <w:docGrid w:type="lines" w:linePitch="313" w:charSpace="0"/>
        </w:sectPr>
      </w:pPr>
    </w:p>
    <w:p w14:paraId="0ED835B0">
      <w:pPr>
        <w:spacing w:line="480" w:lineRule="exact"/>
        <w:jc w:val="center"/>
        <w:rPr>
          <w:rFonts w:eastAsia="楷体"/>
          <w:b/>
          <w:color w:val="auto"/>
          <w:spacing w:val="8"/>
          <w:sz w:val="36"/>
        </w:rPr>
      </w:pPr>
      <w:bookmarkStart w:id="24" w:name="_GoBack"/>
      <w:bookmarkEnd w:id="24"/>
    </w:p>
    <w:p w14:paraId="53EFE0D1">
      <w:pPr>
        <w:spacing w:line="480" w:lineRule="exact"/>
        <w:jc w:val="center"/>
        <w:rPr>
          <w:rFonts w:eastAsia="楷体"/>
          <w:b/>
          <w:color w:val="auto"/>
          <w:spacing w:val="8"/>
          <w:sz w:val="48"/>
          <w:szCs w:val="24"/>
        </w:rPr>
      </w:pPr>
      <w:r>
        <w:rPr>
          <w:rFonts w:eastAsia="楷体"/>
          <w:b/>
          <w:color w:val="auto"/>
          <w:spacing w:val="8"/>
          <w:sz w:val="48"/>
          <w:szCs w:val="24"/>
        </w:rPr>
        <w:t>目  录</w:t>
      </w:r>
    </w:p>
    <w:p w14:paraId="1804DDB7">
      <w:pPr>
        <w:pStyle w:val="19"/>
        <w:tabs>
          <w:tab w:val="right" w:leader="dot" w:pos="8414"/>
        </w:tabs>
        <w:rPr>
          <w:rFonts w:ascii="Times New Roman" w:eastAsia="楷体"/>
          <w:color w:val="auto"/>
          <w:spacing w:val="8"/>
          <w:sz w:val="32"/>
          <w:szCs w:val="32"/>
        </w:rPr>
      </w:pPr>
      <w:r>
        <w:rPr>
          <w:rFonts w:ascii="Times New Roman" w:eastAsia="楷体"/>
          <w:color w:val="auto"/>
          <w:spacing w:val="8"/>
          <w:sz w:val="32"/>
          <w:szCs w:val="32"/>
        </w:rPr>
        <w:fldChar w:fldCharType="begin"/>
      </w:r>
      <w:r>
        <w:rPr>
          <w:rFonts w:ascii="Times New Roman" w:eastAsia="楷体"/>
          <w:color w:val="auto"/>
          <w:spacing w:val="8"/>
          <w:sz w:val="32"/>
          <w:szCs w:val="32"/>
        </w:rPr>
        <w:instrText xml:space="preserve">TOC \o "1-1" \h \u </w:instrText>
      </w:r>
      <w:r>
        <w:rPr>
          <w:rFonts w:ascii="Times New Roman" w:eastAsia="楷体"/>
          <w:color w:val="auto"/>
          <w:spacing w:val="8"/>
          <w:sz w:val="32"/>
          <w:szCs w:val="32"/>
        </w:rPr>
        <w:fldChar w:fldCharType="separate"/>
      </w:r>
      <w:r>
        <w:rPr>
          <w:color w:val="auto"/>
        </w:rPr>
        <w:fldChar w:fldCharType="begin"/>
      </w:r>
      <w:r>
        <w:rPr>
          <w:color w:val="auto"/>
        </w:rPr>
        <w:instrText xml:space="preserve"> HYPERLINK \l "_Toc21842" </w:instrText>
      </w:r>
      <w:r>
        <w:rPr>
          <w:color w:val="auto"/>
        </w:rPr>
        <w:fldChar w:fldCharType="separate"/>
      </w:r>
      <w:r>
        <w:rPr>
          <w:rFonts w:ascii="Times New Roman" w:eastAsia="楷体"/>
          <w:color w:val="auto"/>
          <w:spacing w:val="8"/>
          <w:sz w:val="32"/>
          <w:szCs w:val="32"/>
        </w:rPr>
        <w:t>第一部分  征集公告</w:t>
      </w:r>
      <w:r>
        <w:rPr>
          <w:rFonts w:ascii="Times New Roman" w:eastAsia="楷体"/>
          <w:color w:val="auto"/>
          <w:spacing w:val="8"/>
          <w:sz w:val="32"/>
          <w:szCs w:val="32"/>
        </w:rPr>
        <w:tab/>
      </w:r>
      <w:r>
        <w:rPr>
          <w:rFonts w:ascii="Times New Roman" w:eastAsia="楷体"/>
          <w:color w:val="auto"/>
          <w:spacing w:val="8"/>
          <w:sz w:val="32"/>
          <w:szCs w:val="32"/>
        </w:rPr>
        <w:fldChar w:fldCharType="begin"/>
      </w:r>
      <w:r>
        <w:rPr>
          <w:rFonts w:ascii="Times New Roman" w:eastAsia="楷体"/>
          <w:color w:val="auto"/>
          <w:spacing w:val="8"/>
          <w:sz w:val="32"/>
          <w:szCs w:val="32"/>
        </w:rPr>
        <w:instrText xml:space="preserve"> PAGEREF _Toc21842 </w:instrText>
      </w:r>
      <w:r>
        <w:rPr>
          <w:rFonts w:ascii="Times New Roman" w:eastAsia="楷体"/>
          <w:color w:val="auto"/>
          <w:spacing w:val="8"/>
          <w:sz w:val="32"/>
          <w:szCs w:val="32"/>
        </w:rPr>
        <w:fldChar w:fldCharType="separate"/>
      </w:r>
      <w:r>
        <w:rPr>
          <w:rFonts w:ascii="Times New Roman" w:eastAsia="楷体"/>
          <w:color w:val="auto"/>
          <w:spacing w:val="8"/>
          <w:sz w:val="32"/>
          <w:szCs w:val="32"/>
        </w:rPr>
        <w:t>1</w:t>
      </w:r>
      <w:r>
        <w:rPr>
          <w:rFonts w:ascii="Times New Roman" w:eastAsia="楷体"/>
          <w:color w:val="auto"/>
          <w:spacing w:val="8"/>
          <w:sz w:val="32"/>
          <w:szCs w:val="32"/>
        </w:rPr>
        <w:fldChar w:fldCharType="end"/>
      </w:r>
      <w:r>
        <w:rPr>
          <w:rFonts w:ascii="Times New Roman" w:eastAsia="楷体"/>
          <w:color w:val="auto"/>
          <w:spacing w:val="8"/>
          <w:sz w:val="32"/>
          <w:szCs w:val="32"/>
        </w:rPr>
        <w:fldChar w:fldCharType="end"/>
      </w:r>
    </w:p>
    <w:p w14:paraId="45D8E665">
      <w:pPr>
        <w:pStyle w:val="19"/>
        <w:tabs>
          <w:tab w:val="right" w:leader="dot" w:pos="8414"/>
        </w:tabs>
        <w:rPr>
          <w:rFonts w:ascii="Times New Roman" w:eastAsia="楷体"/>
          <w:color w:val="auto"/>
          <w:spacing w:val="8"/>
          <w:sz w:val="32"/>
          <w:szCs w:val="32"/>
        </w:rPr>
      </w:pPr>
      <w:r>
        <w:rPr>
          <w:color w:val="auto"/>
        </w:rPr>
        <w:fldChar w:fldCharType="begin"/>
      </w:r>
      <w:r>
        <w:rPr>
          <w:color w:val="auto"/>
        </w:rPr>
        <w:instrText xml:space="preserve"> HYPERLINK \l "_Toc25777" </w:instrText>
      </w:r>
      <w:r>
        <w:rPr>
          <w:color w:val="auto"/>
        </w:rPr>
        <w:fldChar w:fldCharType="separate"/>
      </w:r>
      <w:r>
        <w:rPr>
          <w:rFonts w:ascii="Times New Roman" w:eastAsia="楷体"/>
          <w:color w:val="auto"/>
          <w:spacing w:val="8"/>
          <w:sz w:val="32"/>
          <w:szCs w:val="32"/>
        </w:rPr>
        <w:t>第二部分  采购需求</w:t>
      </w:r>
      <w:r>
        <w:rPr>
          <w:rFonts w:ascii="Times New Roman" w:eastAsia="楷体"/>
          <w:color w:val="auto"/>
          <w:spacing w:val="8"/>
          <w:sz w:val="32"/>
          <w:szCs w:val="32"/>
        </w:rPr>
        <w:tab/>
      </w:r>
      <w:r>
        <w:rPr>
          <w:rFonts w:hint="eastAsia" w:ascii="Times New Roman" w:eastAsia="楷体"/>
          <w:color w:val="auto"/>
          <w:spacing w:val="8"/>
          <w:sz w:val="32"/>
          <w:szCs w:val="32"/>
          <w:lang w:val="en-US" w:eastAsia="zh-CN"/>
        </w:rPr>
        <w:t>3</w:t>
      </w:r>
      <w:r>
        <w:rPr>
          <w:rFonts w:ascii="Times New Roman" w:eastAsia="楷体"/>
          <w:color w:val="auto"/>
          <w:spacing w:val="8"/>
          <w:sz w:val="32"/>
          <w:szCs w:val="32"/>
        </w:rPr>
        <w:fldChar w:fldCharType="end"/>
      </w:r>
    </w:p>
    <w:p w14:paraId="715B25FD">
      <w:pPr>
        <w:pStyle w:val="19"/>
        <w:tabs>
          <w:tab w:val="right" w:leader="dot" w:pos="8414"/>
        </w:tabs>
        <w:rPr>
          <w:rFonts w:ascii="Times New Roman" w:eastAsia="楷体"/>
          <w:color w:val="auto"/>
          <w:spacing w:val="8"/>
          <w:sz w:val="32"/>
          <w:szCs w:val="32"/>
        </w:rPr>
      </w:pPr>
      <w:r>
        <w:rPr>
          <w:color w:val="auto"/>
        </w:rPr>
        <w:fldChar w:fldCharType="begin"/>
      </w:r>
      <w:r>
        <w:rPr>
          <w:color w:val="auto"/>
        </w:rPr>
        <w:instrText xml:space="preserve"> HYPERLINK \l "_Toc17213" </w:instrText>
      </w:r>
      <w:r>
        <w:rPr>
          <w:color w:val="auto"/>
        </w:rPr>
        <w:fldChar w:fldCharType="separate"/>
      </w:r>
      <w:r>
        <w:rPr>
          <w:rFonts w:ascii="Times New Roman" w:eastAsia="楷体"/>
          <w:color w:val="auto"/>
          <w:spacing w:val="8"/>
          <w:sz w:val="32"/>
          <w:szCs w:val="32"/>
        </w:rPr>
        <w:t>第三部分  供应商须知</w:t>
      </w:r>
      <w:r>
        <w:rPr>
          <w:rFonts w:ascii="Times New Roman" w:eastAsia="楷体"/>
          <w:color w:val="auto"/>
          <w:spacing w:val="8"/>
          <w:sz w:val="32"/>
          <w:szCs w:val="32"/>
        </w:rPr>
        <w:tab/>
      </w:r>
      <w:r>
        <w:rPr>
          <w:rFonts w:hint="eastAsia" w:ascii="Times New Roman" w:eastAsia="楷体"/>
          <w:color w:val="auto"/>
          <w:spacing w:val="8"/>
          <w:sz w:val="32"/>
          <w:szCs w:val="32"/>
          <w:lang w:val="en-US" w:eastAsia="zh-CN"/>
        </w:rPr>
        <w:t>9</w:t>
      </w:r>
      <w:r>
        <w:rPr>
          <w:rFonts w:ascii="Times New Roman" w:eastAsia="楷体"/>
          <w:color w:val="auto"/>
          <w:spacing w:val="8"/>
          <w:sz w:val="32"/>
          <w:szCs w:val="32"/>
        </w:rPr>
        <w:fldChar w:fldCharType="end"/>
      </w:r>
    </w:p>
    <w:p w14:paraId="6959EF9C">
      <w:pPr>
        <w:pStyle w:val="19"/>
        <w:tabs>
          <w:tab w:val="right" w:leader="dot" w:pos="8414"/>
        </w:tabs>
        <w:rPr>
          <w:rFonts w:hint="eastAsia" w:ascii="Times New Roman" w:eastAsia="楷体"/>
          <w:color w:val="auto"/>
          <w:spacing w:val="8"/>
          <w:sz w:val="32"/>
          <w:szCs w:val="32"/>
          <w:lang w:val="en-US" w:eastAsia="zh-CN"/>
        </w:rPr>
      </w:pPr>
      <w:r>
        <w:rPr>
          <w:color w:val="auto"/>
        </w:rPr>
        <w:fldChar w:fldCharType="begin"/>
      </w:r>
      <w:r>
        <w:rPr>
          <w:color w:val="auto"/>
        </w:rPr>
        <w:instrText xml:space="preserve"> HYPERLINK \l "_Toc27345" </w:instrText>
      </w:r>
      <w:r>
        <w:rPr>
          <w:color w:val="auto"/>
        </w:rPr>
        <w:fldChar w:fldCharType="separate"/>
      </w:r>
      <w:r>
        <w:rPr>
          <w:rFonts w:ascii="Times New Roman" w:eastAsia="楷体"/>
          <w:color w:val="auto"/>
          <w:spacing w:val="8"/>
          <w:sz w:val="32"/>
          <w:szCs w:val="32"/>
        </w:rPr>
        <w:t>第四部分  评标办法</w:t>
      </w:r>
      <w:r>
        <w:rPr>
          <w:rFonts w:ascii="Times New Roman" w:eastAsia="楷体"/>
          <w:color w:val="auto"/>
          <w:spacing w:val="8"/>
          <w:sz w:val="32"/>
          <w:szCs w:val="32"/>
        </w:rPr>
        <w:tab/>
      </w:r>
      <w:r>
        <w:rPr>
          <w:rFonts w:hint="eastAsia" w:ascii="Times New Roman" w:eastAsia="楷体"/>
          <w:color w:val="auto"/>
          <w:spacing w:val="8"/>
          <w:sz w:val="32"/>
          <w:szCs w:val="32"/>
          <w:lang w:val="en-US" w:eastAsia="zh-CN"/>
        </w:rPr>
        <w:t>2</w:t>
      </w:r>
      <w:r>
        <w:rPr>
          <w:rFonts w:ascii="Times New Roman" w:eastAsia="楷体"/>
          <w:color w:val="auto"/>
          <w:spacing w:val="8"/>
          <w:sz w:val="32"/>
          <w:szCs w:val="32"/>
        </w:rPr>
        <w:fldChar w:fldCharType="end"/>
      </w:r>
      <w:r>
        <w:rPr>
          <w:rFonts w:hint="eastAsia" w:ascii="Times New Roman" w:eastAsia="楷体"/>
          <w:color w:val="auto"/>
          <w:spacing w:val="8"/>
          <w:sz w:val="32"/>
          <w:szCs w:val="32"/>
          <w:lang w:val="en-US" w:eastAsia="zh-CN"/>
        </w:rPr>
        <w:t>7</w:t>
      </w:r>
    </w:p>
    <w:p w14:paraId="1845E776">
      <w:pPr>
        <w:pStyle w:val="19"/>
        <w:tabs>
          <w:tab w:val="right" w:leader="dot" w:pos="8414"/>
        </w:tabs>
        <w:rPr>
          <w:rFonts w:hint="eastAsia" w:ascii="Times New Roman" w:eastAsia="楷体"/>
          <w:color w:val="auto"/>
          <w:spacing w:val="8"/>
          <w:sz w:val="32"/>
          <w:szCs w:val="32"/>
          <w:lang w:val="en-US" w:eastAsia="zh-CN"/>
        </w:rPr>
      </w:pPr>
      <w:r>
        <w:rPr>
          <w:color w:val="auto"/>
        </w:rPr>
        <w:fldChar w:fldCharType="begin"/>
      </w:r>
      <w:r>
        <w:rPr>
          <w:color w:val="auto"/>
        </w:rPr>
        <w:instrText xml:space="preserve"> HYPERLINK \l "_Toc12000" </w:instrText>
      </w:r>
      <w:r>
        <w:rPr>
          <w:color w:val="auto"/>
        </w:rPr>
        <w:fldChar w:fldCharType="separate"/>
      </w:r>
      <w:r>
        <w:rPr>
          <w:rFonts w:ascii="Times New Roman" w:eastAsia="楷体"/>
          <w:color w:val="auto"/>
          <w:spacing w:val="8"/>
          <w:sz w:val="32"/>
          <w:szCs w:val="32"/>
        </w:rPr>
        <w:t>第五部分  框架协议（格式）</w:t>
      </w:r>
      <w:r>
        <w:rPr>
          <w:rFonts w:ascii="Times New Roman" w:eastAsia="楷体"/>
          <w:color w:val="auto"/>
          <w:spacing w:val="8"/>
          <w:sz w:val="32"/>
          <w:szCs w:val="32"/>
        </w:rPr>
        <w:tab/>
      </w:r>
      <w:r>
        <w:rPr>
          <w:rFonts w:hint="eastAsia" w:ascii="Times New Roman" w:eastAsia="楷体"/>
          <w:color w:val="auto"/>
          <w:spacing w:val="8"/>
          <w:sz w:val="32"/>
          <w:szCs w:val="32"/>
          <w:lang w:val="en-US" w:eastAsia="zh-CN"/>
        </w:rPr>
        <w:t>3</w:t>
      </w:r>
      <w:r>
        <w:rPr>
          <w:rFonts w:ascii="Times New Roman" w:eastAsia="楷体"/>
          <w:color w:val="auto"/>
          <w:spacing w:val="8"/>
          <w:sz w:val="32"/>
          <w:szCs w:val="32"/>
        </w:rPr>
        <w:fldChar w:fldCharType="end"/>
      </w:r>
      <w:r>
        <w:rPr>
          <w:rFonts w:hint="eastAsia" w:ascii="Times New Roman" w:eastAsia="楷体"/>
          <w:color w:val="auto"/>
          <w:spacing w:val="8"/>
          <w:sz w:val="32"/>
          <w:szCs w:val="32"/>
          <w:lang w:val="en-US" w:eastAsia="zh-CN"/>
        </w:rPr>
        <w:t>6</w:t>
      </w:r>
    </w:p>
    <w:p w14:paraId="69E7EB5B">
      <w:pPr>
        <w:pStyle w:val="19"/>
        <w:tabs>
          <w:tab w:val="right" w:leader="dot" w:pos="8414"/>
        </w:tabs>
        <w:rPr>
          <w:rFonts w:ascii="Times New Roman" w:eastAsia="楷体"/>
          <w:color w:val="auto"/>
          <w:spacing w:val="8"/>
          <w:sz w:val="32"/>
          <w:szCs w:val="32"/>
        </w:rPr>
      </w:pPr>
      <w:r>
        <w:rPr>
          <w:color w:val="auto"/>
        </w:rPr>
        <w:fldChar w:fldCharType="begin"/>
      </w:r>
      <w:r>
        <w:rPr>
          <w:color w:val="auto"/>
        </w:rPr>
        <w:instrText xml:space="preserve"> HYPERLINK \l "_Toc25852" </w:instrText>
      </w:r>
      <w:r>
        <w:rPr>
          <w:color w:val="auto"/>
        </w:rPr>
        <w:fldChar w:fldCharType="separate"/>
      </w:r>
      <w:r>
        <w:rPr>
          <w:rFonts w:ascii="Times New Roman" w:eastAsia="楷体"/>
          <w:color w:val="auto"/>
          <w:spacing w:val="8"/>
          <w:sz w:val="32"/>
          <w:szCs w:val="32"/>
        </w:rPr>
        <w:t>第六部分  采购合同（格式）</w:t>
      </w:r>
      <w:r>
        <w:rPr>
          <w:rFonts w:ascii="Times New Roman" w:eastAsia="楷体"/>
          <w:color w:val="auto"/>
          <w:spacing w:val="8"/>
          <w:sz w:val="32"/>
          <w:szCs w:val="32"/>
        </w:rPr>
        <w:tab/>
      </w:r>
      <w:r>
        <w:rPr>
          <w:rFonts w:hint="eastAsia" w:ascii="Times New Roman" w:eastAsia="楷体"/>
          <w:color w:val="auto"/>
          <w:spacing w:val="8"/>
          <w:sz w:val="32"/>
          <w:szCs w:val="32"/>
          <w:lang w:val="en-US" w:eastAsia="zh-CN"/>
        </w:rPr>
        <w:t>48</w:t>
      </w:r>
      <w:r>
        <w:rPr>
          <w:rFonts w:ascii="Times New Roman" w:eastAsia="楷体"/>
          <w:color w:val="auto"/>
          <w:spacing w:val="8"/>
          <w:sz w:val="32"/>
          <w:szCs w:val="32"/>
        </w:rPr>
        <w:fldChar w:fldCharType="end"/>
      </w:r>
    </w:p>
    <w:p w14:paraId="72ACFF92">
      <w:pPr>
        <w:pStyle w:val="19"/>
        <w:tabs>
          <w:tab w:val="right" w:leader="dot" w:pos="8414"/>
        </w:tabs>
        <w:rPr>
          <w:rFonts w:hint="eastAsia" w:ascii="Times New Roman" w:eastAsia="楷体"/>
          <w:color w:val="auto"/>
          <w:spacing w:val="8"/>
          <w:sz w:val="32"/>
          <w:szCs w:val="32"/>
          <w:lang w:val="en-US" w:eastAsia="zh-CN"/>
        </w:rPr>
      </w:pPr>
      <w:r>
        <w:rPr>
          <w:color w:val="auto"/>
        </w:rPr>
        <w:fldChar w:fldCharType="begin"/>
      </w:r>
      <w:r>
        <w:rPr>
          <w:color w:val="auto"/>
        </w:rPr>
        <w:instrText xml:space="preserve"> HYPERLINK \l "_Toc25533" </w:instrText>
      </w:r>
      <w:r>
        <w:rPr>
          <w:color w:val="auto"/>
        </w:rPr>
        <w:fldChar w:fldCharType="separate"/>
      </w:r>
      <w:r>
        <w:rPr>
          <w:rFonts w:ascii="Times New Roman" w:eastAsia="楷体"/>
          <w:color w:val="auto"/>
          <w:spacing w:val="8"/>
          <w:sz w:val="32"/>
          <w:szCs w:val="32"/>
        </w:rPr>
        <w:t>第七部分  征集响应文件格式</w:t>
      </w:r>
      <w:r>
        <w:rPr>
          <w:rFonts w:ascii="Times New Roman" w:eastAsia="楷体"/>
          <w:color w:val="auto"/>
          <w:spacing w:val="8"/>
          <w:sz w:val="32"/>
          <w:szCs w:val="32"/>
        </w:rPr>
        <w:tab/>
      </w:r>
      <w:r>
        <w:rPr>
          <w:rFonts w:hint="eastAsia" w:ascii="Times New Roman" w:eastAsia="楷体"/>
          <w:color w:val="auto"/>
          <w:spacing w:val="8"/>
          <w:sz w:val="32"/>
          <w:szCs w:val="32"/>
          <w:lang w:val="en-US" w:eastAsia="zh-CN"/>
        </w:rPr>
        <w:t>5</w:t>
      </w:r>
      <w:r>
        <w:rPr>
          <w:rFonts w:ascii="Times New Roman" w:eastAsia="楷体"/>
          <w:color w:val="auto"/>
          <w:spacing w:val="8"/>
          <w:sz w:val="32"/>
          <w:szCs w:val="32"/>
        </w:rPr>
        <w:fldChar w:fldCharType="end"/>
      </w:r>
      <w:r>
        <w:rPr>
          <w:rFonts w:hint="eastAsia" w:ascii="Times New Roman" w:eastAsia="楷体"/>
          <w:color w:val="auto"/>
          <w:spacing w:val="8"/>
          <w:sz w:val="32"/>
          <w:szCs w:val="32"/>
          <w:lang w:val="en-US" w:eastAsia="zh-CN"/>
        </w:rPr>
        <w:t>0</w:t>
      </w:r>
    </w:p>
    <w:p w14:paraId="4E5B8EF3">
      <w:pPr>
        <w:pStyle w:val="19"/>
        <w:tabs>
          <w:tab w:val="right" w:leader="dot" w:pos="8414"/>
        </w:tabs>
        <w:rPr>
          <w:rFonts w:ascii="Times New Roman" w:eastAsia="楷体"/>
          <w:color w:val="auto"/>
          <w:spacing w:val="8"/>
          <w:sz w:val="32"/>
          <w:szCs w:val="32"/>
        </w:rPr>
      </w:pPr>
      <w:r>
        <w:rPr>
          <w:rFonts w:ascii="Times New Roman" w:eastAsia="楷体"/>
          <w:color w:val="auto"/>
          <w:spacing w:val="8"/>
          <w:sz w:val="32"/>
          <w:szCs w:val="32"/>
        </w:rPr>
        <w:fldChar w:fldCharType="end"/>
      </w:r>
    </w:p>
    <w:p w14:paraId="0EDBBFE1">
      <w:pPr>
        <w:pStyle w:val="19"/>
        <w:tabs>
          <w:tab w:val="right" w:leader="dot" w:pos="8414"/>
        </w:tabs>
        <w:rPr>
          <w:rFonts w:ascii="Times New Roman" w:eastAsia="楷体"/>
          <w:color w:val="auto"/>
          <w:spacing w:val="8"/>
          <w:sz w:val="32"/>
          <w:szCs w:val="32"/>
        </w:rPr>
      </w:pPr>
      <w:r>
        <w:rPr>
          <w:rFonts w:ascii="Times New Roman" w:eastAsia="楷体"/>
          <w:color w:val="auto"/>
          <w:spacing w:val="8"/>
          <w:sz w:val="32"/>
          <w:szCs w:val="32"/>
        </w:rPr>
        <w:t xml:space="preserve"> </w:t>
      </w:r>
    </w:p>
    <w:p w14:paraId="2C68773F">
      <w:pPr>
        <w:spacing w:line="480" w:lineRule="exact"/>
        <w:ind w:firstLine="495"/>
        <w:rPr>
          <w:rFonts w:eastAsia="楷体"/>
          <w:b/>
          <w:color w:val="auto"/>
          <w:spacing w:val="8"/>
          <w:sz w:val="24"/>
        </w:rPr>
      </w:pPr>
    </w:p>
    <w:p w14:paraId="22B3F8CA">
      <w:pPr>
        <w:spacing w:line="480" w:lineRule="exact"/>
        <w:rPr>
          <w:rFonts w:eastAsia="楷体"/>
          <w:b/>
          <w:color w:val="auto"/>
          <w:spacing w:val="12"/>
          <w:sz w:val="24"/>
        </w:rPr>
      </w:pPr>
    </w:p>
    <w:p w14:paraId="01C8C36E">
      <w:pPr>
        <w:spacing w:line="480" w:lineRule="exact"/>
        <w:rPr>
          <w:rFonts w:eastAsia="楷体"/>
          <w:b/>
          <w:color w:val="auto"/>
          <w:spacing w:val="12"/>
          <w:sz w:val="24"/>
        </w:rPr>
      </w:pPr>
    </w:p>
    <w:p w14:paraId="3E104058">
      <w:pPr>
        <w:spacing w:line="480" w:lineRule="exact"/>
        <w:rPr>
          <w:rFonts w:eastAsia="楷体"/>
          <w:b/>
          <w:color w:val="auto"/>
          <w:spacing w:val="12"/>
          <w:sz w:val="24"/>
        </w:rPr>
      </w:pPr>
    </w:p>
    <w:p w14:paraId="7A4A5C92">
      <w:pPr>
        <w:spacing w:line="480" w:lineRule="exact"/>
        <w:rPr>
          <w:rFonts w:eastAsia="楷体"/>
          <w:b/>
          <w:color w:val="auto"/>
          <w:spacing w:val="12"/>
          <w:sz w:val="24"/>
        </w:rPr>
      </w:pPr>
    </w:p>
    <w:p w14:paraId="484633C0">
      <w:pPr>
        <w:spacing w:line="480" w:lineRule="exact"/>
        <w:rPr>
          <w:rFonts w:eastAsia="楷体"/>
          <w:b/>
          <w:color w:val="auto"/>
          <w:spacing w:val="12"/>
          <w:sz w:val="24"/>
        </w:rPr>
        <w:sectPr>
          <w:footerReference r:id="rId8" w:type="first"/>
          <w:headerReference r:id="rId6" w:type="default"/>
          <w:footerReference r:id="rId7" w:type="default"/>
          <w:pgSz w:w="11905" w:h="16838"/>
          <w:pgMar w:top="1383" w:right="1293" w:bottom="1383" w:left="1463" w:header="794" w:footer="794" w:gutter="0"/>
          <w:pgNumType w:start="1"/>
          <w:cols w:space="0" w:num="1"/>
          <w:titlePg/>
          <w:rtlGutter w:val="0"/>
          <w:docGrid w:type="lines" w:linePitch="313" w:charSpace="0"/>
        </w:sectPr>
      </w:pPr>
    </w:p>
    <w:p w14:paraId="6B4D9BC0">
      <w:pPr>
        <w:pStyle w:val="26"/>
        <w:keepNext w:val="0"/>
        <w:keepLines w:val="0"/>
        <w:widowControl/>
        <w:numPr>
          <w:ilvl w:val="0"/>
          <w:numId w:val="3"/>
        </w:numPr>
        <w:suppressLineNumbers w:val="0"/>
        <w:spacing w:before="0" w:beforeAutospacing="0" w:after="0" w:afterAutospacing="0"/>
        <w:ind w:left="0" w:right="0"/>
        <w:jc w:val="center"/>
        <w:rPr>
          <w:rFonts w:ascii="Times New Roman" w:hAnsi="Times New Roman" w:eastAsia="楷体" w:cs="Times New Roman"/>
          <w:b/>
          <w:color w:val="auto"/>
          <w:spacing w:val="8"/>
          <w:sz w:val="30"/>
          <w:szCs w:val="30"/>
          <w:lang w:val="en-US" w:eastAsia="zh-CN" w:bidi="ar-SA"/>
        </w:rPr>
      </w:pPr>
      <w:bookmarkStart w:id="1" w:name="_Toc28359001"/>
      <w:bookmarkStart w:id="2" w:name="_Toc4837"/>
      <w:bookmarkStart w:id="3" w:name="_Toc35393789"/>
      <w:bookmarkStart w:id="4" w:name="_Toc21842"/>
      <w:bookmarkStart w:id="5" w:name="_Toc111844948"/>
      <w:r>
        <w:rPr>
          <w:rFonts w:ascii="Times New Roman" w:hAnsi="Times New Roman" w:eastAsia="楷体" w:cs="Times New Roman"/>
          <w:b/>
          <w:color w:val="auto"/>
          <w:spacing w:val="8"/>
          <w:sz w:val="30"/>
          <w:szCs w:val="30"/>
          <w:lang w:val="en-US" w:eastAsia="zh-CN" w:bidi="ar-SA"/>
        </w:rPr>
        <w:t>征集公告</w:t>
      </w:r>
      <w:bookmarkEnd w:id="1"/>
      <w:bookmarkEnd w:id="2"/>
      <w:bookmarkEnd w:id="3"/>
      <w:bookmarkEnd w:id="4"/>
      <w:bookmarkEnd w:id="5"/>
    </w:p>
    <w:p w14:paraId="3152937E">
      <w:pPr>
        <w:keepNext w:val="0"/>
        <w:keepLines w:val="0"/>
        <w:pageBreakBefore w:val="0"/>
        <w:widowControl w:val="0"/>
        <w:kinsoku/>
        <w:wordWrap/>
        <w:overflowPunct/>
        <w:topLinePunct w:val="0"/>
        <w:autoSpaceDE/>
        <w:autoSpaceDN/>
        <w:bidi w:val="0"/>
        <w:adjustRightInd/>
        <w:snapToGrid/>
        <w:spacing w:line="440" w:lineRule="exact"/>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一、征集人信息</w:t>
      </w:r>
    </w:p>
    <w:p w14:paraId="5712E102">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征集人名称：</w:t>
      </w:r>
      <w:r>
        <w:rPr>
          <w:rFonts w:hint="eastAsia" w:ascii="宋体" w:hAnsi="宋体" w:cs="宋体"/>
          <w:color w:val="auto"/>
          <w:kern w:val="0"/>
          <w:sz w:val="24"/>
          <w:szCs w:val="24"/>
          <w:lang w:val="en-US" w:eastAsia="zh-CN"/>
        </w:rPr>
        <w:t>新疆金斌工程项目管理有限公司</w:t>
      </w:r>
    </w:p>
    <w:p w14:paraId="193AE282">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征集人地址：伊宁市福安国际1号商业楼413室</w:t>
      </w:r>
    </w:p>
    <w:p w14:paraId="643F4FEB">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征集人联系人：</w:t>
      </w:r>
      <w:r>
        <w:rPr>
          <w:rFonts w:hint="eastAsia" w:ascii="宋体" w:hAnsi="宋体" w:cs="宋体"/>
          <w:color w:val="auto"/>
          <w:kern w:val="0"/>
          <w:sz w:val="24"/>
          <w:szCs w:val="24"/>
          <w:lang w:val="en-US" w:eastAsia="zh-CN"/>
        </w:rPr>
        <w:t>黄新新</w:t>
      </w:r>
    </w:p>
    <w:p w14:paraId="695C72BA">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rPr>
          <w:rFonts w:hint="default"/>
          <w:lang w:val="en-US"/>
        </w:rPr>
      </w:pPr>
      <w:r>
        <w:rPr>
          <w:rFonts w:hint="eastAsia" w:ascii="宋体" w:hAnsi="宋体" w:eastAsia="宋体" w:cs="宋体"/>
          <w:color w:val="auto"/>
          <w:kern w:val="0"/>
          <w:sz w:val="24"/>
          <w:szCs w:val="24"/>
          <w:lang w:val="en-US" w:eastAsia="zh-CN"/>
        </w:rPr>
        <w:t>征集人联系方式：</w:t>
      </w:r>
      <w:r>
        <w:rPr>
          <w:rFonts w:hint="eastAsia" w:ascii="宋体" w:hAnsi="宋体" w:cs="宋体"/>
          <w:color w:val="auto"/>
          <w:kern w:val="0"/>
          <w:sz w:val="24"/>
          <w:szCs w:val="24"/>
          <w:lang w:val="en-US" w:eastAsia="zh-CN"/>
        </w:rPr>
        <w:t>13201118511</w:t>
      </w:r>
    </w:p>
    <w:p w14:paraId="23906EA2">
      <w:pPr>
        <w:pStyle w:val="26"/>
        <w:keepNext w:val="0"/>
        <w:keepLines w:val="0"/>
        <w:widowControl/>
        <w:suppressLineNumbers w:val="0"/>
        <w:spacing w:before="300" w:beforeAutospacing="0" w:after="0" w:afterAutospacing="0"/>
        <w:ind w:left="0" w:right="0"/>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二、采购项目信息</w:t>
      </w:r>
    </w:p>
    <w:p w14:paraId="4E5E2144">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rPr>
          <w:rFonts w:hint="default" w:ascii="宋体" w:hAnsi="宋体" w:eastAsia="宋体" w:cs="宋体"/>
          <w:kern w:val="0"/>
          <w:sz w:val="24"/>
          <w:szCs w:val="24"/>
          <w:lang w:val="en-US" w:eastAsia="zh-CN" w:bidi="ar"/>
        </w:rPr>
      </w:pPr>
      <w:r>
        <w:rPr>
          <w:rFonts w:hint="eastAsia" w:ascii="宋体" w:hAnsi="宋体" w:eastAsia="宋体" w:cs="宋体"/>
          <w:color w:val="auto"/>
          <w:kern w:val="0"/>
          <w:sz w:val="24"/>
          <w:szCs w:val="24"/>
          <w:lang w:val="en-US" w:eastAsia="zh-CN"/>
        </w:rPr>
        <w:t>项目名称：</w:t>
      </w:r>
      <w:r>
        <w:rPr>
          <w:rFonts w:hint="eastAsia" w:ascii="宋体" w:hAnsi="宋体" w:eastAsia="宋体" w:cs="宋体"/>
          <w:kern w:val="0"/>
          <w:sz w:val="24"/>
          <w:szCs w:val="24"/>
          <w:lang w:val="en-US" w:eastAsia="zh-CN" w:bidi="ar"/>
        </w:rPr>
        <w:t>巩留县财政局2025</w:t>
      </w:r>
      <w:r>
        <w:rPr>
          <w:rFonts w:hint="eastAsia" w:ascii="宋体" w:hAnsi="宋体" w:cs="宋体"/>
          <w:kern w:val="0"/>
          <w:sz w:val="24"/>
          <w:szCs w:val="24"/>
          <w:lang w:val="en-US" w:eastAsia="zh-CN" w:bidi="ar"/>
        </w:rPr>
        <w:t>-2026</w:t>
      </w:r>
      <w:r>
        <w:rPr>
          <w:rFonts w:hint="eastAsia" w:ascii="宋体" w:hAnsi="宋体" w:eastAsia="宋体" w:cs="宋体"/>
          <w:kern w:val="0"/>
          <w:sz w:val="24"/>
          <w:szCs w:val="24"/>
          <w:lang w:val="en-US" w:eastAsia="zh-CN" w:bidi="ar"/>
        </w:rPr>
        <w:t>年度政府投资项目工程造价咨询服务采购项目框架协议</w:t>
      </w:r>
    </w:p>
    <w:p w14:paraId="4205C925">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项目编号：</w:t>
      </w:r>
      <w:r>
        <w:rPr>
          <w:rFonts w:hint="eastAsia" w:ascii="宋体" w:hAnsi="宋体" w:cs="宋体"/>
          <w:color w:val="auto"/>
          <w:kern w:val="0"/>
          <w:sz w:val="24"/>
          <w:szCs w:val="24"/>
          <w:lang w:val="en-US" w:eastAsia="zh-CN"/>
        </w:rPr>
        <w:t>XJJB-2025-003</w:t>
      </w:r>
    </w:p>
    <w:p w14:paraId="162BBB05">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适用采购人或者服务对象范围：</w:t>
      </w:r>
      <w:r>
        <w:rPr>
          <w:rFonts w:hint="eastAsia" w:ascii="宋体" w:hAnsi="宋体" w:cs="宋体"/>
          <w:color w:val="auto"/>
          <w:kern w:val="0"/>
          <w:sz w:val="24"/>
          <w:szCs w:val="24"/>
          <w:lang w:val="en-US" w:eastAsia="zh-CN"/>
        </w:rPr>
        <w:t>巩留县</w:t>
      </w:r>
      <w:r>
        <w:rPr>
          <w:rFonts w:hint="eastAsia" w:ascii="宋体" w:hAnsi="宋体" w:eastAsia="宋体" w:cs="宋体"/>
          <w:color w:val="auto"/>
          <w:kern w:val="0"/>
          <w:sz w:val="24"/>
          <w:szCs w:val="24"/>
          <w:lang w:val="en-US" w:eastAsia="zh-CN"/>
        </w:rPr>
        <w:t>财政局</w:t>
      </w:r>
    </w:p>
    <w:p w14:paraId="0446C2C7">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pPr>
      <w:r>
        <w:rPr>
          <w:rFonts w:hint="eastAsia" w:ascii="宋体" w:hAnsi="宋体" w:eastAsia="宋体" w:cs="宋体"/>
          <w:color w:val="auto"/>
          <w:kern w:val="0"/>
          <w:sz w:val="24"/>
          <w:szCs w:val="24"/>
          <w:lang w:val="en-US" w:eastAsia="zh-CN"/>
        </w:rPr>
        <w:t xml:space="preserve">采购需求：   </w:t>
      </w:r>
      <w:r>
        <w:rPr>
          <w:rFonts w:hint="eastAsia" w:ascii="微软雅黑" w:hAnsi="微软雅黑" w:eastAsia="微软雅黑" w:cs="微软雅黑"/>
          <w:i w:val="0"/>
          <w:iCs w:val="0"/>
          <w:color w:val="000000"/>
          <w:spacing w:val="0"/>
          <w:sz w:val="24"/>
          <w:szCs w:val="24"/>
        </w:rPr>
        <w:t>   </w:t>
      </w:r>
    </w:p>
    <w:tbl>
      <w:tblPr>
        <w:tblStyle w:val="30"/>
        <w:tblW w:w="95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0" w:type="dxa"/>
          <w:bottom w:w="15" w:type="dxa"/>
          <w:right w:w="15" w:type="dxa"/>
        </w:tblCellMar>
      </w:tblPr>
      <w:tblGrid>
        <w:gridCol w:w="833"/>
        <w:gridCol w:w="4835"/>
        <w:gridCol w:w="2051"/>
        <w:gridCol w:w="1859"/>
      </w:tblGrid>
      <w:tr w14:paraId="7B472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0" w:type="dxa"/>
            <w:bottom w:w="15" w:type="dxa"/>
            <w:right w:w="15" w:type="dxa"/>
          </w:tblCellMar>
        </w:tblPrEx>
        <w:trPr>
          <w:trHeight w:val="550" w:hRule="atLeast"/>
        </w:trPr>
        <w:tc>
          <w:tcPr>
            <w:tcW w:w="435" w:type="pct"/>
            <w:tcBorders>
              <w:top w:val="single" w:color="DDDDDD" w:sz="6" w:space="0"/>
              <w:left w:val="single" w:color="DDDDDD" w:sz="6" w:space="0"/>
              <w:bottom w:val="single" w:color="DDDDDD" w:sz="6" w:space="0"/>
              <w:right w:val="single" w:color="DDDDDD" w:sz="6" w:space="0"/>
            </w:tcBorders>
            <w:shd w:val="clear" w:color="auto" w:fill="EEEEEE"/>
            <w:tcMar>
              <w:top w:w="120" w:type="dxa"/>
              <w:left w:w="120" w:type="dxa"/>
              <w:bottom w:w="120" w:type="dxa"/>
              <w:right w:w="120" w:type="dxa"/>
            </w:tcMar>
            <w:vAlign w:val="center"/>
          </w:tcPr>
          <w:p w14:paraId="1C85526E">
            <w:pPr>
              <w:keepNext w:val="0"/>
              <w:keepLines w:val="0"/>
              <w:widowControl/>
              <w:suppressLineNumbers w:val="0"/>
              <w:wordWrap w:val="0"/>
              <w:spacing w:line="315" w:lineRule="atLeast"/>
              <w:jc w:val="center"/>
              <w:rPr>
                <w:sz w:val="24"/>
                <w:szCs w:val="24"/>
              </w:rPr>
            </w:pPr>
            <w:r>
              <w:rPr>
                <w:rFonts w:ascii="宋体" w:hAnsi="宋体" w:eastAsia="宋体" w:cs="宋体"/>
                <w:kern w:val="0"/>
                <w:sz w:val="24"/>
                <w:szCs w:val="24"/>
                <w:lang w:val="en-US" w:eastAsia="zh-CN" w:bidi="ar"/>
              </w:rPr>
              <w:t>序号</w:t>
            </w:r>
          </w:p>
        </w:tc>
        <w:tc>
          <w:tcPr>
            <w:tcW w:w="2523" w:type="pct"/>
            <w:tcBorders>
              <w:top w:val="single" w:color="DDDDDD" w:sz="6" w:space="0"/>
              <w:left w:val="single" w:color="DDDDDD" w:sz="6" w:space="0"/>
              <w:bottom w:val="single" w:color="DDDDDD" w:sz="6" w:space="0"/>
              <w:right w:val="single" w:color="DDDDDD" w:sz="6" w:space="0"/>
            </w:tcBorders>
            <w:shd w:val="clear" w:color="auto" w:fill="EEEEEE"/>
            <w:tcMar>
              <w:top w:w="120" w:type="dxa"/>
              <w:left w:w="120" w:type="dxa"/>
              <w:bottom w:w="120" w:type="dxa"/>
              <w:right w:w="120" w:type="dxa"/>
            </w:tcMar>
            <w:vAlign w:val="center"/>
          </w:tcPr>
          <w:p w14:paraId="335E84C2">
            <w:pPr>
              <w:keepNext w:val="0"/>
              <w:keepLines w:val="0"/>
              <w:widowControl/>
              <w:suppressLineNumbers w:val="0"/>
              <w:wordWrap w:val="0"/>
              <w:spacing w:line="315" w:lineRule="atLeast"/>
              <w:jc w:val="center"/>
              <w:rPr>
                <w:sz w:val="24"/>
                <w:szCs w:val="24"/>
              </w:rPr>
            </w:pPr>
            <w:r>
              <w:rPr>
                <w:rFonts w:ascii="宋体" w:hAnsi="宋体" w:eastAsia="宋体" w:cs="宋体"/>
                <w:kern w:val="0"/>
                <w:sz w:val="24"/>
                <w:szCs w:val="24"/>
                <w:lang w:val="en-US" w:eastAsia="zh-CN" w:bidi="ar"/>
              </w:rPr>
              <w:t>采购需求</w:t>
            </w:r>
          </w:p>
        </w:tc>
        <w:tc>
          <w:tcPr>
            <w:tcW w:w="1070" w:type="pct"/>
            <w:tcBorders>
              <w:top w:val="single" w:color="DDDDDD" w:sz="6" w:space="0"/>
              <w:left w:val="single" w:color="DDDDDD" w:sz="6" w:space="0"/>
              <w:bottom w:val="single" w:color="DDDDDD" w:sz="6" w:space="0"/>
              <w:right w:val="single" w:color="DDDDDD" w:sz="6" w:space="0"/>
            </w:tcBorders>
            <w:shd w:val="clear" w:color="auto" w:fill="EEEEEE"/>
            <w:tcMar>
              <w:top w:w="120" w:type="dxa"/>
              <w:left w:w="120" w:type="dxa"/>
              <w:bottom w:w="120" w:type="dxa"/>
              <w:right w:w="120" w:type="dxa"/>
            </w:tcMar>
            <w:vAlign w:val="center"/>
          </w:tcPr>
          <w:p w14:paraId="394F01E9">
            <w:pPr>
              <w:keepNext w:val="0"/>
              <w:keepLines w:val="0"/>
              <w:widowControl/>
              <w:suppressLineNumbers w:val="0"/>
              <w:wordWrap w:val="0"/>
              <w:spacing w:line="315" w:lineRule="atLeast"/>
              <w:jc w:val="center"/>
              <w:rPr>
                <w:sz w:val="24"/>
                <w:szCs w:val="24"/>
              </w:rPr>
            </w:pPr>
            <w:r>
              <w:rPr>
                <w:rFonts w:ascii="宋体" w:hAnsi="宋体" w:eastAsia="宋体" w:cs="宋体"/>
                <w:kern w:val="0"/>
                <w:sz w:val="24"/>
                <w:szCs w:val="24"/>
                <w:lang w:val="en-US" w:eastAsia="zh-CN" w:bidi="ar"/>
              </w:rPr>
              <w:t>最高限制单价</w:t>
            </w:r>
          </w:p>
        </w:tc>
        <w:tc>
          <w:tcPr>
            <w:tcW w:w="970" w:type="pct"/>
            <w:tcBorders>
              <w:top w:val="single" w:color="DDDDDD" w:sz="6" w:space="0"/>
              <w:left w:val="single" w:color="DDDDDD" w:sz="6" w:space="0"/>
              <w:bottom w:val="single" w:color="DDDDDD" w:sz="6" w:space="0"/>
              <w:right w:val="single" w:color="DDDDDD" w:sz="6" w:space="0"/>
            </w:tcBorders>
            <w:shd w:val="clear" w:color="auto" w:fill="EEEEEE"/>
            <w:tcMar>
              <w:top w:w="120" w:type="dxa"/>
              <w:left w:w="120" w:type="dxa"/>
              <w:bottom w:w="120" w:type="dxa"/>
              <w:right w:w="120" w:type="dxa"/>
            </w:tcMar>
            <w:vAlign w:val="center"/>
          </w:tcPr>
          <w:p w14:paraId="751509CF">
            <w:pPr>
              <w:keepNext w:val="0"/>
              <w:keepLines w:val="0"/>
              <w:widowControl/>
              <w:suppressLineNumbers w:val="0"/>
              <w:wordWrap w:val="0"/>
              <w:spacing w:line="315" w:lineRule="atLeast"/>
              <w:jc w:val="center"/>
              <w:rPr>
                <w:sz w:val="24"/>
                <w:szCs w:val="24"/>
              </w:rPr>
            </w:pPr>
            <w:r>
              <w:rPr>
                <w:rFonts w:ascii="宋体" w:hAnsi="宋体" w:eastAsia="宋体" w:cs="宋体"/>
                <w:kern w:val="0"/>
                <w:sz w:val="24"/>
                <w:szCs w:val="24"/>
                <w:lang w:val="en-US" w:eastAsia="zh-CN" w:bidi="ar"/>
              </w:rPr>
              <w:t>预估采购数量</w:t>
            </w:r>
          </w:p>
        </w:tc>
      </w:tr>
      <w:tr w14:paraId="65F35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0" w:type="dxa"/>
            <w:bottom w:w="15" w:type="dxa"/>
            <w:right w:w="15" w:type="dxa"/>
          </w:tblCellMar>
        </w:tblPrEx>
        <w:trPr>
          <w:trHeight w:val="1369" w:hRule="atLeast"/>
        </w:trPr>
        <w:tc>
          <w:tcPr>
            <w:tcW w:w="435" w:type="pct"/>
            <w:tcBorders>
              <w:top w:val="single" w:color="DDDDDD" w:sz="6" w:space="0"/>
              <w:left w:val="single" w:color="DDDDDD" w:sz="6" w:space="0"/>
              <w:bottom w:val="single" w:color="DDDDDD" w:sz="6" w:space="0"/>
              <w:right w:val="single" w:color="DDDDDD" w:sz="6" w:space="0"/>
            </w:tcBorders>
            <w:shd w:val="clear" w:color="auto" w:fill="auto"/>
            <w:tcMar>
              <w:top w:w="180" w:type="dxa"/>
              <w:left w:w="120" w:type="dxa"/>
              <w:bottom w:w="180" w:type="dxa"/>
              <w:right w:w="120" w:type="dxa"/>
            </w:tcMar>
            <w:vAlign w:val="center"/>
          </w:tcPr>
          <w:p w14:paraId="307858C5">
            <w:pPr>
              <w:keepNext w:val="0"/>
              <w:keepLines w:val="0"/>
              <w:widowControl/>
              <w:suppressLineNumbers w:val="0"/>
              <w:wordWrap w:val="0"/>
              <w:spacing w:line="315" w:lineRule="atLeast"/>
              <w:jc w:val="center"/>
              <w:rPr>
                <w:sz w:val="24"/>
                <w:szCs w:val="24"/>
              </w:rPr>
            </w:pPr>
            <w:r>
              <w:rPr>
                <w:rFonts w:ascii="宋体" w:hAnsi="宋体" w:eastAsia="宋体" w:cs="宋体"/>
                <w:kern w:val="0"/>
                <w:sz w:val="24"/>
                <w:szCs w:val="24"/>
                <w:lang w:val="en-US" w:eastAsia="zh-CN" w:bidi="ar"/>
              </w:rPr>
              <w:t>1</w:t>
            </w:r>
          </w:p>
        </w:tc>
        <w:tc>
          <w:tcPr>
            <w:tcW w:w="2523" w:type="pct"/>
            <w:tcBorders>
              <w:top w:val="single" w:color="DDDDDD" w:sz="6" w:space="0"/>
              <w:left w:val="single" w:color="DDDDDD" w:sz="6" w:space="0"/>
              <w:bottom w:val="single" w:color="DDDDDD" w:sz="6" w:space="0"/>
              <w:right w:val="single" w:color="DDDDDD" w:sz="6" w:space="0"/>
            </w:tcBorders>
            <w:shd w:val="clear" w:color="auto" w:fill="auto"/>
            <w:tcMar>
              <w:top w:w="180" w:type="dxa"/>
              <w:left w:w="120" w:type="dxa"/>
              <w:bottom w:w="180" w:type="dxa"/>
              <w:right w:w="120" w:type="dxa"/>
            </w:tcMar>
            <w:vAlign w:val="center"/>
          </w:tcPr>
          <w:p w14:paraId="2C2745F4">
            <w:pPr>
              <w:keepNext w:val="0"/>
              <w:keepLines w:val="0"/>
              <w:pageBreakBefore w:val="0"/>
              <w:widowControl w:val="0"/>
              <w:kinsoku/>
              <w:wordWrap/>
              <w:overflowPunct/>
              <w:topLinePunct w:val="0"/>
              <w:autoSpaceDE/>
              <w:autoSpaceDN/>
              <w:bidi w:val="0"/>
              <w:adjustRightInd/>
              <w:snapToGrid/>
              <w:spacing w:line="440" w:lineRule="exact"/>
              <w:jc w:val="center"/>
              <w:rPr>
                <w:sz w:val="24"/>
                <w:szCs w:val="24"/>
              </w:rPr>
            </w:pPr>
            <w:r>
              <w:rPr>
                <w:rFonts w:hint="eastAsia" w:ascii="宋体" w:hAnsi="宋体" w:eastAsia="宋体" w:cs="宋体"/>
                <w:color w:val="auto"/>
                <w:kern w:val="0"/>
                <w:sz w:val="24"/>
                <w:szCs w:val="24"/>
                <w:lang w:val="en-US" w:eastAsia="zh-CN"/>
              </w:rPr>
              <w:t>为2025-2026年度巩留政府投资项目的工程类项目预算评审（抽审）、竣工结算评审（复审）及其它需要造价咨询公司参与的各项咨询服务。</w:t>
            </w:r>
          </w:p>
        </w:tc>
        <w:tc>
          <w:tcPr>
            <w:tcW w:w="1070" w:type="pct"/>
            <w:tcBorders>
              <w:top w:val="single" w:color="DDDDDD" w:sz="6" w:space="0"/>
              <w:left w:val="single" w:color="DDDDDD" w:sz="6" w:space="0"/>
              <w:bottom w:val="single" w:color="DDDDDD" w:sz="6" w:space="0"/>
              <w:right w:val="single" w:color="DDDDDD" w:sz="6" w:space="0"/>
            </w:tcBorders>
            <w:shd w:val="clear" w:color="auto" w:fill="auto"/>
            <w:tcMar>
              <w:top w:w="180" w:type="dxa"/>
              <w:left w:w="120" w:type="dxa"/>
              <w:bottom w:w="180" w:type="dxa"/>
              <w:right w:w="120" w:type="dxa"/>
            </w:tcMar>
            <w:vAlign w:val="center"/>
          </w:tcPr>
          <w:p w14:paraId="CDD2B7B2">
            <w:pPr>
              <w:keepNext w:val="0"/>
              <w:keepLines w:val="0"/>
              <w:widowControl/>
              <w:suppressLineNumbers w:val="0"/>
              <w:wordWrap w:val="0"/>
              <w:spacing w:line="315" w:lineRule="atLeast"/>
              <w:jc w:val="center"/>
              <w:rPr>
                <w:color w:val="000000" w:themeColor="text1"/>
                <w:sz w:val="24"/>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优惠率</w:t>
            </w:r>
            <w:r>
              <w:rPr>
                <w:rFonts w:hint="eastAsia" w:ascii="宋体" w:hAnsi="宋体" w:eastAsia="宋体" w:cs="宋体"/>
                <w:color w:val="000000" w:themeColor="text1"/>
                <w:kern w:val="0"/>
                <w:sz w:val="24"/>
                <w:szCs w:val="24"/>
                <w:lang w:val="en-US" w:eastAsia="zh-CN" w:bidi="ar"/>
                <w14:textFill>
                  <w14:solidFill>
                    <w14:schemeClr w14:val="tx1"/>
                  </w14:solidFill>
                </w14:textFill>
              </w:rPr>
              <w:t>40</w:t>
            </w:r>
            <w:r>
              <w:rPr>
                <w:rFonts w:ascii="宋体" w:hAnsi="宋体" w:eastAsia="宋体" w:cs="宋体"/>
                <w:color w:val="000000" w:themeColor="text1"/>
                <w:sz w:val="24"/>
                <w:lang w:val="en-US" w:eastAsia="zh-CN" w:bidi="ar"/>
                <w14:textFill>
                  <w14:solidFill>
                    <w14:schemeClr w14:val="tx1"/>
                  </w14:solidFill>
                </w14:textFill>
              </w:rPr>
              <w:t>%</w:t>
            </w:r>
          </w:p>
          <w:p w14:paraId="2DD63A95">
            <w:pPr>
              <w:keepNext w:val="0"/>
              <w:keepLines w:val="0"/>
              <w:widowControl/>
              <w:suppressLineNumbers w:val="0"/>
              <w:wordWrap w:val="0"/>
              <w:spacing w:line="315" w:lineRule="atLeast"/>
              <w:jc w:val="center"/>
              <w:rPr>
                <w:sz w:val="24"/>
                <w:szCs w:val="24"/>
              </w:rPr>
            </w:pPr>
            <w:r>
              <w:rPr>
                <w:rFonts w:ascii="宋体" w:hAnsi="宋体" w:eastAsia="宋体" w:cs="宋体"/>
                <w:color w:val="000000" w:themeColor="text1"/>
                <w:kern w:val="0"/>
                <w:sz w:val="24"/>
                <w:szCs w:val="24"/>
                <w:lang w:val="en-US" w:eastAsia="zh-CN" w:bidi="ar"/>
                <w14:textFill>
                  <w14:solidFill>
                    <w14:schemeClr w14:val="tx1"/>
                  </w14:solidFill>
                </w14:textFill>
              </w:rPr>
              <w:t>（即:打六折）</w:t>
            </w:r>
          </w:p>
        </w:tc>
        <w:tc>
          <w:tcPr>
            <w:tcW w:w="970" w:type="pct"/>
            <w:tcBorders>
              <w:top w:val="single" w:color="DDDDDD" w:sz="6" w:space="0"/>
              <w:left w:val="single" w:color="DDDDDD" w:sz="6" w:space="0"/>
              <w:bottom w:val="single" w:color="DDDDDD" w:sz="6" w:space="0"/>
              <w:right w:val="single" w:color="DDDDDD" w:sz="6" w:space="0"/>
            </w:tcBorders>
            <w:shd w:val="clear" w:color="auto" w:fill="auto"/>
            <w:tcMar>
              <w:top w:w="180" w:type="dxa"/>
              <w:left w:w="120" w:type="dxa"/>
              <w:bottom w:w="180" w:type="dxa"/>
              <w:right w:w="120" w:type="dxa"/>
            </w:tcMar>
            <w:vAlign w:val="center"/>
          </w:tcPr>
          <w:p w14:paraId="2B49BF04">
            <w:pPr>
              <w:keepNext w:val="0"/>
              <w:keepLines w:val="0"/>
              <w:widowControl/>
              <w:suppressLineNumbers w:val="0"/>
              <w:wordWrap w:val="0"/>
              <w:spacing w:line="315" w:lineRule="atLeast"/>
              <w:jc w:val="center"/>
              <w:rPr>
                <w:rFonts w:hint="default"/>
                <w:sz w:val="24"/>
                <w:szCs w:val="24"/>
                <w:lang w:val="en-US"/>
              </w:rPr>
            </w:pPr>
            <w:r>
              <w:rPr>
                <w:rFonts w:hint="eastAsia" w:ascii="宋体" w:hAnsi="宋体" w:eastAsia="宋体" w:cs="宋体"/>
                <w:kern w:val="0"/>
                <w:sz w:val="24"/>
                <w:szCs w:val="24"/>
                <w:lang w:val="en-US" w:eastAsia="zh-CN" w:bidi="ar"/>
              </w:rPr>
              <w:t>14</w:t>
            </w:r>
          </w:p>
        </w:tc>
      </w:tr>
    </w:tbl>
    <w:p w14:paraId="7488D58B">
      <w:pPr>
        <w:keepNext w:val="0"/>
        <w:keepLines w:val="0"/>
        <w:pageBreakBefore w:val="0"/>
        <w:widowControl w:val="0"/>
        <w:kinsoku/>
        <w:wordWrap/>
        <w:overflowPunct/>
        <w:topLinePunct w:val="0"/>
        <w:autoSpaceDE/>
        <w:autoSpaceDN/>
        <w:bidi w:val="0"/>
        <w:adjustRightInd/>
        <w:snapToGrid/>
        <w:spacing w:line="440" w:lineRule="exact"/>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三、供应商的资格条件</w:t>
      </w:r>
    </w:p>
    <w:p w14:paraId="789861B6">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1.满足《中华人民共和国政府采购法》第二十二条规定；</w:t>
      </w:r>
    </w:p>
    <w:p w14:paraId="36AD7C62">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rPr>
          <w:rFonts w:hint="eastAsia" w:ascii="宋体" w:hAnsi="宋体" w:cs="宋体"/>
          <w:color w:val="auto"/>
          <w:kern w:val="0"/>
          <w:sz w:val="24"/>
          <w:szCs w:val="24"/>
          <w:lang w:val="en-US" w:eastAsia="zh-CN"/>
        </w:rPr>
      </w:pPr>
      <w:r>
        <w:rPr>
          <w:rFonts w:hint="eastAsia" w:ascii="宋体" w:hAnsi="宋体" w:eastAsia="宋体" w:cs="宋体"/>
          <w:color w:val="auto"/>
          <w:kern w:val="0"/>
          <w:sz w:val="24"/>
          <w:szCs w:val="24"/>
          <w:lang w:val="en-US" w:eastAsia="zh-CN"/>
        </w:rPr>
        <w:t>2.落实政府采购政策需满足的资格要求：标项1：</w:t>
      </w:r>
      <w:r>
        <w:rPr>
          <w:rFonts w:hint="eastAsia" w:ascii="宋体" w:hAnsi="宋体" w:cs="宋体"/>
          <w:color w:val="auto"/>
          <w:kern w:val="0"/>
          <w:sz w:val="24"/>
          <w:szCs w:val="24"/>
          <w:lang w:val="en-US" w:eastAsia="zh-CN"/>
        </w:rPr>
        <w:t>无</w:t>
      </w:r>
    </w:p>
    <w:p w14:paraId="6771179E">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3.本项目的特定资格要求：无</w:t>
      </w:r>
    </w:p>
    <w:p w14:paraId="4B91A947">
      <w:pPr>
        <w:keepNext w:val="0"/>
        <w:keepLines w:val="0"/>
        <w:pageBreakBefore w:val="0"/>
        <w:widowControl w:val="0"/>
        <w:kinsoku/>
        <w:wordWrap/>
        <w:overflowPunct/>
        <w:topLinePunct w:val="0"/>
        <w:autoSpaceDE/>
        <w:autoSpaceDN/>
        <w:bidi w:val="0"/>
        <w:adjustRightInd/>
        <w:snapToGrid/>
        <w:spacing w:line="440" w:lineRule="exact"/>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四、框架协议的期限</w:t>
      </w:r>
    </w:p>
    <w:p w14:paraId="58ECECA9">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2025-02-</w:t>
      </w:r>
      <w:r>
        <w:rPr>
          <w:rFonts w:hint="eastAsia" w:ascii="宋体" w:hAnsi="宋体" w:cs="宋体"/>
          <w:color w:val="000000" w:themeColor="text1"/>
          <w:kern w:val="0"/>
          <w:sz w:val="24"/>
          <w:szCs w:val="24"/>
          <w:lang w:val="en-US" w:eastAsia="zh-CN"/>
          <w14:textFill>
            <w14:solidFill>
              <w14:schemeClr w14:val="tx1"/>
            </w14:solidFill>
          </w14:textFill>
        </w:rPr>
        <w:t>12</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00:00:00 至 202</w:t>
      </w:r>
      <w:r>
        <w:rPr>
          <w:rFonts w:hint="eastAsia" w:ascii="宋体" w:hAnsi="宋体" w:cs="宋体"/>
          <w:color w:val="000000" w:themeColor="text1"/>
          <w:kern w:val="0"/>
          <w:sz w:val="24"/>
          <w:szCs w:val="24"/>
          <w:lang w:val="en-US" w:eastAsia="zh-CN"/>
          <w14:textFill>
            <w14:solidFill>
              <w14:schemeClr w14:val="tx1"/>
            </w14:solidFill>
          </w14:textFill>
        </w:rPr>
        <w:t>7</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02</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12</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00:00:00</w:t>
      </w:r>
    </w:p>
    <w:p w14:paraId="5FD63D70">
      <w:pPr>
        <w:keepNext w:val="0"/>
        <w:keepLines w:val="0"/>
        <w:pageBreakBefore w:val="0"/>
        <w:widowControl w:val="0"/>
        <w:kinsoku/>
        <w:wordWrap/>
        <w:overflowPunct/>
        <w:topLinePunct w:val="0"/>
        <w:autoSpaceDE/>
        <w:autoSpaceDN/>
        <w:bidi w:val="0"/>
        <w:adjustRightInd/>
        <w:snapToGrid/>
        <w:spacing w:line="440" w:lineRule="exact"/>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五、获取征集文件的时间、地点和方式</w:t>
      </w:r>
    </w:p>
    <w:p w14:paraId="0D4EF6BF">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时间：202</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lang w:val="en-US" w:eastAsia="zh-CN"/>
        </w:rPr>
        <w:t>年</w:t>
      </w:r>
      <w:r>
        <w:rPr>
          <w:rFonts w:hint="eastAsia" w:ascii="宋体" w:hAnsi="宋体" w:cs="宋体"/>
          <w:color w:val="auto"/>
          <w:kern w:val="0"/>
          <w:sz w:val="24"/>
          <w:szCs w:val="24"/>
          <w:lang w:val="en-US" w:eastAsia="zh-CN"/>
        </w:rPr>
        <w:t>01</w:t>
      </w:r>
      <w:r>
        <w:rPr>
          <w:rFonts w:hint="eastAsia" w:ascii="宋体" w:hAnsi="宋体" w:eastAsia="宋体" w:cs="宋体"/>
          <w:color w:val="auto"/>
          <w:kern w:val="0"/>
          <w:sz w:val="24"/>
          <w:szCs w:val="24"/>
          <w:lang w:val="en-US" w:eastAsia="zh-CN"/>
        </w:rPr>
        <w:t>月</w:t>
      </w:r>
      <w:r>
        <w:rPr>
          <w:rFonts w:hint="eastAsia" w:ascii="宋体" w:hAnsi="宋体" w:cs="宋体"/>
          <w:color w:val="auto"/>
          <w:kern w:val="0"/>
          <w:sz w:val="24"/>
          <w:szCs w:val="24"/>
          <w:lang w:val="en-US" w:eastAsia="zh-CN"/>
        </w:rPr>
        <w:t>21</w:t>
      </w:r>
      <w:r>
        <w:rPr>
          <w:rFonts w:hint="eastAsia" w:ascii="宋体" w:hAnsi="宋体" w:eastAsia="宋体" w:cs="宋体"/>
          <w:color w:val="auto"/>
          <w:kern w:val="0"/>
          <w:sz w:val="24"/>
          <w:szCs w:val="24"/>
          <w:lang w:val="en-US" w:eastAsia="zh-CN"/>
        </w:rPr>
        <w:t>日至2025年01月</w:t>
      </w:r>
      <w:r>
        <w:rPr>
          <w:rFonts w:hint="eastAsia" w:ascii="宋体" w:hAnsi="宋体" w:cs="宋体"/>
          <w:color w:val="auto"/>
          <w:kern w:val="0"/>
          <w:sz w:val="24"/>
          <w:szCs w:val="24"/>
          <w:lang w:val="en-US" w:eastAsia="zh-CN"/>
        </w:rPr>
        <w:t>27</w:t>
      </w:r>
      <w:r>
        <w:rPr>
          <w:rFonts w:hint="eastAsia" w:ascii="宋体" w:hAnsi="宋体" w:eastAsia="宋体" w:cs="宋体"/>
          <w:color w:val="auto"/>
          <w:kern w:val="0"/>
          <w:sz w:val="24"/>
          <w:szCs w:val="24"/>
          <w:lang w:val="en-US" w:eastAsia="zh-CN"/>
        </w:rPr>
        <w:t>日，每天上午10:00至14:00 ，下午15:30至19:30（北京时间，法定节假日除外）</w:t>
      </w:r>
    </w:p>
    <w:p w14:paraId="15362320">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地点：政采云平台线上获取</w:t>
      </w:r>
    </w:p>
    <w:p w14:paraId="11EFE81B">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式：供应商登录政采云平台https://www.zcygov.cn/在线申请获取征集文件（进入“框架协议”应用，在获取征集文件菜单中选择项目，申请获取征集文件），或者点击征集公告底部，潜在供应商后的“获取采购文件”，页面跳转后登陆供应商身份账号，直接获取征集文件。</w:t>
      </w:r>
    </w:p>
    <w:p w14:paraId="64655F36">
      <w:pPr>
        <w:keepNext w:val="0"/>
        <w:keepLines w:val="0"/>
        <w:pageBreakBefore w:val="0"/>
        <w:widowControl w:val="0"/>
        <w:kinsoku/>
        <w:wordWrap/>
        <w:overflowPunct/>
        <w:topLinePunct w:val="0"/>
        <w:autoSpaceDE/>
        <w:autoSpaceDN/>
        <w:bidi w:val="0"/>
        <w:adjustRightInd/>
        <w:snapToGrid/>
        <w:spacing w:line="440" w:lineRule="exact"/>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六、响应文件的提交方式、提交截止时间和地点，开启方式、时间和地点</w:t>
      </w:r>
    </w:p>
    <w:p w14:paraId="2AD82CCA">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响应文件提交截止时间：响应文件提交截止时间：2025年0</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lang w:val="en-US" w:eastAsia="zh-CN"/>
        </w:rPr>
        <w:t>月1</w:t>
      </w:r>
      <w:r>
        <w:rPr>
          <w:rFonts w:hint="eastAsia" w:ascii="宋体" w:hAnsi="宋体" w:cs="宋体"/>
          <w:color w:val="auto"/>
          <w:kern w:val="0"/>
          <w:sz w:val="24"/>
          <w:szCs w:val="24"/>
          <w:lang w:val="en-US" w:eastAsia="zh-CN"/>
        </w:rPr>
        <w:t>0</w:t>
      </w:r>
      <w:r>
        <w:rPr>
          <w:rFonts w:hint="eastAsia" w:ascii="宋体" w:hAnsi="宋体" w:eastAsia="宋体" w:cs="宋体"/>
          <w:color w:val="auto"/>
          <w:kern w:val="0"/>
          <w:sz w:val="24"/>
          <w:szCs w:val="24"/>
          <w:lang w:val="en-US" w:eastAsia="zh-CN"/>
        </w:rPr>
        <w:t>日 1</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lang w:val="en-US" w:eastAsia="zh-CN"/>
        </w:rPr>
        <w:t>:</w:t>
      </w:r>
      <w:r>
        <w:rPr>
          <w:rFonts w:hint="eastAsia" w:ascii="宋体" w:hAnsi="宋体" w:cs="宋体"/>
          <w:color w:val="auto"/>
          <w:kern w:val="0"/>
          <w:sz w:val="24"/>
          <w:szCs w:val="24"/>
          <w:lang w:val="en-US" w:eastAsia="zh-CN"/>
        </w:rPr>
        <w:t>00</w:t>
      </w:r>
      <w:r>
        <w:rPr>
          <w:rFonts w:hint="eastAsia" w:ascii="宋体" w:hAnsi="宋体" w:eastAsia="宋体" w:cs="宋体"/>
          <w:color w:val="auto"/>
          <w:kern w:val="0"/>
          <w:sz w:val="24"/>
          <w:szCs w:val="24"/>
          <w:lang w:val="en-US" w:eastAsia="zh-CN"/>
        </w:rPr>
        <w:t>（北京时间）</w:t>
      </w:r>
    </w:p>
    <w:p w14:paraId="3C08D6EE">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响应文件提交地点（网址）：请登录政采云投标客户端投标</w:t>
      </w:r>
    </w:p>
    <w:p w14:paraId="052D21D9">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响应文件开启时间：2025年</w:t>
      </w:r>
      <w:r>
        <w:rPr>
          <w:rFonts w:hint="eastAsia" w:ascii="宋体" w:hAnsi="宋体" w:cs="宋体"/>
          <w:color w:val="auto"/>
          <w:kern w:val="0"/>
          <w:sz w:val="24"/>
          <w:szCs w:val="24"/>
          <w:lang w:val="en-US" w:eastAsia="zh-CN"/>
        </w:rPr>
        <w:t>02</w:t>
      </w:r>
      <w:r>
        <w:rPr>
          <w:rFonts w:hint="eastAsia" w:ascii="宋体" w:hAnsi="宋体" w:eastAsia="宋体" w:cs="宋体"/>
          <w:color w:val="auto"/>
          <w:kern w:val="0"/>
          <w:sz w:val="24"/>
          <w:szCs w:val="24"/>
          <w:lang w:val="en-US" w:eastAsia="zh-CN"/>
        </w:rPr>
        <w:t>月</w:t>
      </w:r>
      <w:r>
        <w:rPr>
          <w:rFonts w:hint="eastAsia" w:ascii="宋体" w:hAnsi="宋体" w:cs="宋体"/>
          <w:color w:val="auto"/>
          <w:kern w:val="0"/>
          <w:sz w:val="24"/>
          <w:szCs w:val="24"/>
          <w:lang w:val="en-US" w:eastAsia="zh-CN"/>
        </w:rPr>
        <w:t>10</w:t>
      </w:r>
      <w:r>
        <w:rPr>
          <w:rFonts w:hint="eastAsia" w:ascii="宋体" w:hAnsi="宋体" w:eastAsia="宋体" w:cs="宋体"/>
          <w:color w:val="auto"/>
          <w:kern w:val="0"/>
          <w:sz w:val="24"/>
          <w:szCs w:val="24"/>
          <w:lang w:val="en-US" w:eastAsia="zh-CN"/>
        </w:rPr>
        <w:t>日 1</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lang w:val="en-US" w:eastAsia="zh-CN"/>
        </w:rPr>
        <w:t>:</w:t>
      </w:r>
      <w:r>
        <w:rPr>
          <w:rFonts w:hint="eastAsia" w:ascii="宋体" w:hAnsi="宋体" w:cs="宋体"/>
          <w:color w:val="auto"/>
          <w:kern w:val="0"/>
          <w:sz w:val="24"/>
          <w:szCs w:val="24"/>
          <w:lang w:val="en-US" w:eastAsia="zh-CN"/>
        </w:rPr>
        <w:t>00</w:t>
      </w:r>
    </w:p>
    <w:p w14:paraId="7978F693">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响应文件开启地点：政采云不见面开标大厅</w:t>
      </w:r>
    </w:p>
    <w:p w14:paraId="6B80C7AE">
      <w:pPr>
        <w:keepNext w:val="0"/>
        <w:keepLines w:val="0"/>
        <w:pageBreakBefore w:val="0"/>
        <w:widowControl w:val="0"/>
        <w:kinsoku/>
        <w:wordWrap/>
        <w:overflowPunct/>
        <w:topLinePunct w:val="0"/>
        <w:autoSpaceDE/>
        <w:autoSpaceDN/>
        <w:bidi w:val="0"/>
        <w:adjustRightInd/>
        <w:snapToGrid/>
        <w:spacing w:line="440" w:lineRule="exact"/>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七、公告期限</w:t>
      </w:r>
    </w:p>
    <w:p w14:paraId="6AD2AE02">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自本公告发布之日起5个工作日。</w:t>
      </w:r>
    </w:p>
    <w:p w14:paraId="1C887ABF">
      <w:pPr>
        <w:keepNext w:val="0"/>
        <w:keepLines w:val="0"/>
        <w:pageBreakBefore w:val="0"/>
        <w:widowControl w:val="0"/>
        <w:kinsoku/>
        <w:wordWrap/>
        <w:overflowPunct/>
        <w:topLinePunct w:val="0"/>
        <w:autoSpaceDE/>
        <w:autoSpaceDN/>
        <w:bidi w:val="0"/>
        <w:adjustRightInd/>
        <w:snapToGrid/>
        <w:spacing w:line="440" w:lineRule="exact"/>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八、省级以上财政部门规定的其他事项</w:t>
      </w:r>
    </w:p>
    <w:p w14:paraId="7025234C">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注：本次采购方式为封闭式框架协议采购。</w:t>
      </w:r>
    </w:p>
    <w:p w14:paraId="3DB4BF50">
      <w:pPr>
        <w:tabs>
          <w:tab w:val="left" w:pos="0"/>
          <w:tab w:val="left" w:pos="3165"/>
          <w:tab w:val="center" w:pos="4153"/>
        </w:tabs>
        <w:autoSpaceDE w:val="0"/>
        <w:autoSpaceDN w:val="0"/>
        <w:adjustRightInd w:val="0"/>
        <w:spacing w:before="0" w:after="0" w:line="360" w:lineRule="auto"/>
        <w:jc w:val="center"/>
        <w:outlineLvl w:val="9"/>
        <w:rPr>
          <w:rFonts w:ascii="Times New Roman" w:eastAsia="楷体"/>
          <w:color w:val="FF0000"/>
          <w:spacing w:val="8"/>
          <w:sz w:val="36"/>
          <w:szCs w:val="22"/>
        </w:rPr>
      </w:pPr>
    </w:p>
    <w:p w14:paraId="782D1B69">
      <w:pPr>
        <w:pStyle w:val="2"/>
        <w:numPr>
          <w:ilvl w:val="0"/>
          <w:numId w:val="0"/>
        </w:numPr>
        <w:tabs>
          <w:tab w:val="left" w:pos="0"/>
          <w:tab w:val="left" w:pos="3165"/>
          <w:tab w:val="center" w:pos="4153"/>
        </w:tabs>
        <w:autoSpaceDE w:val="0"/>
        <w:autoSpaceDN w:val="0"/>
        <w:adjustRightInd w:val="0"/>
        <w:spacing w:before="0" w:after="0" w:line="360" w:lineRule="auto"/>
        <w:jc w:val="center"/>
        <w:outlineLvl w:val="0"/>
        <w:rPr>
          <w:rFonts w:ascii="Times New Roman" w:hAnsi="Times New Roman" w:eastAsia="楷体" w:cs="Times New Roman"/>
          <w:color w:val="auto"/>
          <w:spacing w:val="8"/>
          <w:sz w:val="30"/>
          <w:szCs w:val="30"/>
        </w:rPr>
      </w:pPr>
      <w:r>
        <w:rPr>
          <w:rFonts w:ascii="Times New Roman" w:hAnsi="Times New Roman" w:eastAsia="楷体" w:cs="Times New Roman"/>
          <w:color w:val="auto"/>
          <w:spacing w:val="8"/>
          <w:sz w:val="30"/>
          <w:szCs w:val="30"/>
        </w:rPr>
        <w:t xml:space="preserve"> </w:t>
      </w:r>
    </w:p>
    <w:p w14:paraId="7D9BBE0D">
      <w:pPr>
        <w:pStyle w:val="2"/>
        <w:numPr>
          <w:ilvl w:val="0"/>
          <w:numId w:val="0"/>
        </w:numPr>
        <w:tabs>
          <w:tab w:val="left" w:pos="0"/>
          <w:tab w:val="left" w:pos="3165"/>
          <w:tab w:val="center" w:pos="4153"/>
        </w:tabs>
        <w:autoSpaceDE w:val="0"/>
        <w:autoSpaceDN w:val="0"/>
        <w:adjustRightInd w:val="0"/>
        <w:spacing w:before="0" w:after="0" w:line="360" w:lineRule="auto"/>
        <w:jc w:val="center"/>
        <w:outlineLvl w:val="0"/>
        <w:rPr>
          <w:rFonts w:ascii="Times New Roman" w:hAnsi="Times New Roman" w:eastAsia="楷体" w:cs="Times New Roman"/>
          <w:color w:val="auto"/>
          <w:spacing w:val="8"/>
          <w:sz w:val="30"/>
          <w:szCs w:val="30"/>
        </w:rPr>
      </w:pPr>
    </w:p>
    <w:p w14:paraId="2C9BDB47">
      <w:pPr>
        <w:pStyle w:val="2"/>
        <w:numPr>
          <w:ilvl w:val="0"/>
          <w:numId w:val="0"/>
        </w:numPr>
        <w:tabs>
          <w:tab w:val="left" w:pos="0"/>
          <w:tab w:val="left" w:pos="3165"/>
          <w:tab w:val="center" w:pos="4153"/>
        </w:tabs>
        <w:autoSpaceDE w:val="0"/>
        <w:autoSpaceDN w:val="0"/>
        <w:adjustRightInd w:val="0"/>
        <w:spacing w:before="0" w:after="0" w:line="360" w:lineRule="auto"/>
        <w:jc w:val="center"/>
        <w:outlineLvl w:val="0"/>
        <w:rPr>
          <w:rFonts w:ascii="Times New Roman" w:hAnsi="Times New Roman" w:eastAsia="楷体" w:cs="Times New Roman"/>
          <w:color w:val="auto"/>
          <w:spacing w:val="8"/>
          <w:sz w:val="30"/>
          <w:szCs w:val="30"/>
        </w:rPr>
      </w:pPr>
    </w:p>
    <w:p w14:paraId="090DEAB4">
      <w:pPr>
        <w:pStyle w:val="2"/>
        <w:numPr>
          <w:ilvl w:val="0"/>
          <w:numId w:val="0"/>
        </w:numPr>
        <w:tabs>
          <w:tab w:val="left" w:pos="0"/>
          <w:tab w:val="left" w:pos="3165"/>
          <w:tab w:val="center" w:pos="4153"/>
        </w:tabs>
        <w:autoSpaceDE w:val="0"/>
        <w:autoSpaceDN w:val="0"/>
        <w:adjustRightInd w:val="0"/>
        <w:spacing w:before="0" w:after="0" w:line="360" w:lineRule="auto"/>
        <w:jc w:val="center"/>
        <w:outlineLvl w:val="0"/>
        <w:rPr>
          <w:rFonts w:ascii="Times New Roman" w:hAnsi="Times New Roman" w:eastAsia="楷体" w:cs="Times New Roman"/>
          <w:color w:val="auto"/>
          <w:spacing w:val="8"/>
          <w:sz w:val="30"/>
          <w:szCs w:val="30"/>
        </w:rPr>
      </w:pPr>
    </w:p>
    <w:p w14:paraId="1C34B8DC">
      <w:pPr>
        <w:pStyle w:val="2"/>
        <w:numPr>
          <w:ilvl w:val="0"/>
          <w:numId w:val="0"/>
        </w:numPr>
        <w:tabs>
          <w:tab w:val="left" w:pos="0"/>
          <w:tab w:val="left" w:pos="3165"/>
          <w:tab w:val="center" w:pos="4153"/>
        </w:tabs>
        <w:autoSpaceDE w:val="0"/>
        <w:autoSpaceDN w:val="0"/>
        <w:adjustRightInd w:val="0"/>
        <w:spacing w:before="0" w:after="0" w:line="360" w:lineRule="auto"/>
        <w:jc w:val="center"/>
        <w:outlineLvl w:val="0"/>
        <w:rPr>
          <w:rFonts w:ascii="Times New Roman" w:hAnsi="Times New Roman" w:eastAsia="楷体" w:cs="Times New Roman"/>
          <w:color w:val="auto"/>
          <w:spacing w:val="8"/>
          <w:sz w:val="30"/>
          <w:szCs w:val="30"/>
        </w:rPr>
      </w:pPr>
    </w:p>
    <w:p w14:paraId="20E1F333">
      <w:pPr>
        <w:pStyle w:val="2"/>
        <w:numPr>
          <w:ilvl w:val="0"/>
          <w:numId w:val="0"/>
        </w:numPr>
        <w:tabs>
          <w:tab w:val="left" w:pos="0"/>
          <w:tab w:val="left" w:pos="3165"/>
          <w:tab w:val="center" w:pos="4153"/>
        </w:tabs>
        <w:autoSpaceDE w:val="0"/>
        <w:autoSpaceDN w:val="0"/>
        <w:adjustRightInd w:val="0"/>
        <w:spacing w:before="0" w:after="0" w:line="360" w:lineRule="auto"/>
        <w:jc w:val="center"/>
        <w:outlineLvl w:val="0"/>
        <w:rPr>
          <w:rFonts w:ascii="Times New Roman" w:hAnsi="Times New Roman" w:eastAsia="楷体" w:cs="Times New Roman"/>
          <w:color w:val="auto"/>
          <w:spacing w:val="8"/>
          <w:sz w:val="30"/>
          <w:szCs w:val="30"/>
        </w:rPr>
      </w:pPr>
    </w:p>
    <w:p w14:paraId="1E9CD4ED">
      <w:pPr>
        <w:pStyle w:val="2"/>
        <w:numPr>
          <w:ilvl w:val="0"/>
          <w:numId w:val="0"/>
        </w:numPr>
        <w:tabs>
          <w:tab w:val="left" w:pos="0"/>
          <w:tab w:val="left" w:pos="3165"/>
          <w:tab w:val="center" w:pos="4153"/>
        </w:tabs>
        <w:autoSpaceDE w:val="0"/>
        <w:autoSpaceDN w:val="0"/>
        <w:adjustRightInd w:val="0"/>
        <w:spacing w:before="0" w:after="0" w:line="360" w:lineRule="auto"/>
        <w:jc w:val="center"/>
        <w:outlineLvl w:val="0"/>
        <w:rPr>
          <w:rFonts w:ascii="Times New Roman" w:hAnsi="Times New Roman" w:eastAsia="楷体" w:cs="Times New Roman"/>
          <w:color w:val="auto"/>
          <w:spacing w:val="8"/>
          <w:sz w:val="30"/>
          <w:szCs w:val="30"/>
        </w:rPr>
      </w:pPr>
    </w:p>
    <w:p w14:paraId="330B4AD0">
      <w:pPr>
        <w:pStyle w:val="2"/>
        <w:numPr>
          <w:ilvl w:val="0"/>
          <w:numId w:val="0"/>
        </w:numPr>
        <w:tabs>
          <w:tab w:val="left" w:pos="0"/>
          <w:tab w:val="left" w:pos="3165"/>
          <w:tab w:val="center" w:pos="4153"/>
        </w:tabs>
        <w:autoSpaceDE w:val="0"/>
        <w:autoSpaceDN w:val="0"/>
        <w:adjustRightInd w:val="0"/>
        <w:spacing w:before="0" w:after="0" w:line="360" w:lineRule="auto"/>
        <w:jc w:val="center"/>
        <w:outlineLvl w:val="0"/>
        <w:rPr>
          <w:rFonts w:hint="eastAsia" w:ascii="Times New Roman" w:hAnsi="Times New Roman" w:eastAsia="楷体" w:cs="Times New Roman"/>
          <w:color w:val="auto"/>
          <w:spacing w:val="8"/>
          <w:sz w:val="30"/>
          <w:szCs w:val="30"/>
          <w:lang w:val="en-US" w:eastAsia="zh-CN"/>
        </w:rPr>
      </w:pPr>
    </w:p>
    <w:p w14:paraId="66B24984">
      <w:pPr>
        <w:pStyle w:val="2"/>
        <w:numPr>
          <w:ilvl w:val="0"/>
          <w:numId w:val="0"/>
        </w:numPr>
        <w:tabs>
          <w:tab w:val="left" w:pos="0"/>
          <w:tab w:val="left" w:pos="3165"/>
          <w:tab w:val="center" w:pos="4153"/>
        </w:tabs>
        <w:autoSpaceDE w:val="0"/>
        <w:autoSpaceDN w:val="0"/>
        <w:adjustRightInd w:val="0"/>
        <w:spacing w:before="0" w:after="0" w:line="360" w:lineRule="auto"/>
        <w:jc w:val="center"/>
        <w:outlineLvl w:val="0"/>
        <w:rPr>
          <w:rFonts w:hint="eastAsia" w:ascii="Times New Roman" w:hAnsi="Times New Roman" w:eastAsia="楷体" w:cs="Times New Roman"/>
          <w:color w:val="auto"/>
          <w:spacing w:val="8"/>
          <w:sz w:val="30"/>
          <w:szCs w:val="30"/>
          <w:lang w:val="en-US" w:eastAsia="zh-CN"/>
        </w:rPr>
      </w:pPr>
    </w:p>
    <w:p w14:paraId="675722BF">
      <w:pPr>
        <w:pStyle w:val="2"/>
        <w:numPr>
          <w:ilvl w:val="0"/>
          <w:numId w:val="0"/>
        </w:numPr>
        <w:tabs>
          <w:tab w:val="left" w:pos="0"/>
          <w:tab w:val="left" w:pos="3165"/>
          <w:tab w:val="center" w:pos="4153"/>
        </w:tabs>
        <w:autoSpaceDE w:val="0"/>
        <w:autoSpaceDN w:val="0"/>
        <w:adjustRightInd w:val="0"/>
        <w:spacing w:before="0" w:after="0" w:line="360" w:lineRule="auto"/>
        <w:jc w:val="center"/>
        <w:outlineLvl w:val="0"/>
        <w:rPr>
          <w:rFonts w:hint="eastAsia" w:ascii="Times New Roman" w:hAnsi="Times New Roman" w:eastAsia="楷体" w:cs="Times New Roman"/>
          <w:color w:val="auto"/>
          <w:spacing w:val="8"/>
          <w:sz w:val="30"/>
          <w:szCs w:val="30"/>
          <w:lang w:val="en-US" w:eastAsia="zh-CN"/>
        </w:rPr>
      </w:pPr>
    </w:p>
    <w:p w14:paraId="57A928A3">
      <w:pPr>
        <w:pStyle w:val="2"/>
        <w:numPr>
          <w:ilvl w:val="0"/>
          <w:numId w:val="0"/>
        </w:numPr>
        <w:tabs>
          <w:tab w:val="left" w:pos="0"/>
          <w:tab w:val="left" w:pos="3165"/>
          <w:tab w:val="center" w:pos="4153"/>
        </w:tabs>
        <w:autoSpaceDE w:val="0"/>
        <w:autoSpaceDN w:val="0"/>
        <w:adjustRightInd w:val="0"/>
        <w:spacing w:before="0" w:after="0" w:line="360" w:lineRule="auto"/>
        <w:jc w:val="center"/>
        <w:outlineLvl w:val="0"/>
        <w:rPr>
          <w:rFonts w:hint="eastAsia" w:ascii="Times New Roman" w:hAnsi="Times New Roman" w:eastAsia="楷体" w:cs="Times New Roman"/>
          <w:color w:val="auto"/>
          <w:spacing w:val="8"/>
          <w:sz w:val="30"/>
          <w:szCs w:val="30"/>
          <w:lang w:val="en-US" w:eastAsia="zh-CN"/>
        </w:rPr>
      </w:pPr>
    </w:p>
    <w:p w14:paraId="3598230A">
      <w:pPr>
        <w:pStyle w:val="2"/>
        <w:numPr>
          <w:ilvl w:val="0"/>
          <w:numId w:val="0"/>
        </w:numPr>
        <w:tabs>
          <w:tab w:val="left" w:pos="0"/>
          <w:tab w:val="left" w:pos="3165"/>
          <w:tab w:val="center" w:pos="4153"/>
        </w:tabs>
        <w:autoSpaceDE w:val="0"/>
        <w:autoSpaceDN w:val="0"/>
        <w:adjustRightInd w:val="0"/>
        <w:spacing w:before="0" w:after="0" w:line="360" w:lineRule="auto"/>
        <w:jc w:val="center"/>
        <w:outlineLvl w:val="0"/>
        <w:rPr>
          <w:rFonts w:hint="eastAsia" w:ascii="Times New Roman" w:hAnsi="Times New Roman" w:eastAsia="楷体" w:cs="Times New Roman"/>
          <w:color w:val="auto"/>
          <w:spacing w:val="8"/>
          <w:sz w:val="30"/>
          <w:szCs w:val="30"/>
          <w:lang w:val="en-US" w:eastAsia="zh-CN"/>
        </w:rPr>
      </w:pPr>
    </w:p>
    <w:p w14:paraId="2FFD2880">
      <w:pPr>
        <w:pStyle w:val="2"/>
        <w:numPr>
          <w:ilvl w:val="0"/>
          <w:numId w:val="0"/>
        </w:numPr>
        <w:tabs>
          <w:tab w:val="left" w:pos="0"/>
          <w:tab w:val="left" w:pos="3165"/>
          <w:tab w:val="center" w:pos="4153"/>
        </w:tabs>
        <w:autoSpaceDE w:val="0"/>
        <w:autoSpaceDN w:val="0"/>
        <w:adjustRightInd w:val="0"/>
        <w:spacing w:before="0" w:after="0" w:line="360" w:lineRule="auto"/>
        <w:jc w:val="center"/>
        <w:outlineLvl w:val="0"/>
        <w:rPr>
          <w:rFonts w:hint="eastAsia" w:ascii="Times New Roman" w:hAnsi="Times New Roman" w:eastAsia="楷体" w:cs="Times New Roman"/>
          <w:color w:val="auto"/>
          <w:spacing w:val="8"/>
          <w:sz w:val="30"/>
          <w:szCs w:val="30"/>
          <w:lang w:val="en-US" w:eastAsia="zh-CN"/>
        </w:rPr>
      </w:pPr>
    </w:p>
    <w:p w14:paraId="681799B7">
      <w:pPr>
        <w:pStyle w:val="2"/>
        <w:numPr>
          <w:ilvl w:val="0"/>
          <w:numId w:val="0"/>
        </w:numPr>
        <w:tabs>
          <w:tab w:val="left" w:pos="0"/>
          <w:tab w:val="left" w:pos="3165"/>
          <w:tab w:val="center" w:pos="4153"/>
        </w:tabs>
        <w:autoSpaceDE w:val="0"/>
        <w:autoSpaceDN w:val="0"/>
        <w:adjustRightInd w:val="0"/>
        <w:spacing w:before="0" w:after="0" w:line="360" w:lineRule="auto"/>
        <w:jc w:val="center"/>
        <w:outlineLvl w:val="0"/>
        <w:rPr>
          <w:rFonts w:ascii="Times New Roman" w:hAnsi="Times New Roman" w:eastAsia="楷体" w:cs="Times New Roman"/>
          <w:color w:val="auto"/>
          <w:spacing w:val="8"/>
          <w:sz w:val="30"/>
          <w:szCs w:val="30"/>
        </w:rPr>
      </w:pPr>
      <w:r>
        <w:rPr>
          <w:rFonts w:hint="eastAsia" w:ascii="Times New Roman" w:hAnsi="Times New Roman" w:eastAsia="楷体" w:cs="Times New Roman"/>
          <w:color w:val="auto"/>
          <w:spacing w:val="8"/>
          <w:sz w:val="30"/>
          <w:szCs w:val="30"/>
          <w:lang w:val="en-US" w:eastAsia="zh-CN"/>
        </w:rPr>
        <w:t xml:space="preserve">第二部分 </w:t>
      </w:r>
      <w:r>
        <w:rPr>
          <w:rFonts w:ascii="Times New Roman" w:hAnsi="Times New Roman" w:eastAsia="楷体" w:cs="Times New Roman"/>
          <w:color w:val="auto"/>
          <w:spacing w:val="8"/>
          <w:sz w:val="30"/>
          <w:szCs w:val="30"/>
        </w:rPr>
        <w:t>采购需求</w:t>
      </w:r>
    </w:p>
    <w:p w14:paraId="20276025">
      <w:pPr>
        <w:pStyle w:val="2"/>
        <w:keepNext w:val="0"/>
        <w:keepLines w:val="0"/>
        <w:pageBreakBefore w:val="0"/>
        <w:widowControl/>
        <w:numPr>
          <w:ilvl w:val="0"/>
          <w:numId w:val="0"/>
        </w:numPr>
        <w:tabs>
          <w:tab w:val="left" w:pos="0"/>
          <w:tab w:val="left" w:pos="3165"/>
          <w:tab w:val="center" w:pos="4153"/>
        </w:tabs>
        <w:kinsoku/>
        <w:wordWrap/>
        <w:overflowPunct/>
        <w:topLinePunct w:val="0"/>
        <w:autoSpaceDE w:val="0"/>
        <w:autoSpaceDN w:val="0"/>
        <w:bidi w:val="0"/>
        <w:adjustRightInd w:val="0"/>
        <w:snapToGrid/>
        <w:spacing w:before="20" w:after="20"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一、总体要求</w:t>
      </w:r>
    </w:p>
    <w:p w14:paraId="1FB14351">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本项目拟征集14家造价咨询服务单位，为2025-2026年度巩留政府投资项目的工程类项目预算评审（抽审）、竣工结算评审（复审）及其它需要造价咨询公司参与的各项咨询服务。框架协议有效期2年。</w:t>
      </w:r>
    </w:p>
    <w:p w14:paraId="6BA81760">
      <w:pPr>
        <w:pStyle w:val="2"/>
        <w:keepNext w:val="0"/>
        <w:keepLines w:val="0"/>
        <w:pageBreakBefore w:val="0"/>
        <w:widowControl/>
        <w:numPr>
          <w:ilvl w:val="0"/>
          <w:numId w:val="0"/>
        </w:numPr>
        <w:tabs>
          <w:tab w:val="left" w:pos="0"/>
          <w:tab w:val="left" w:pos="3165"/>
          <w:tab w:val="center" w:pos="4153"/>
        </w:tabs>
        <w:kinsoku/>
        <w:wordWrap/>
        <w:overflowPunct/>
        <w:topLinePunct w:val="0"/>
        <w:autoSpaceDE w:val="0"/>
        <w:autoSpaceDN w:val="0"/>
        <w:bidi w:val="0"/>
        <w:adjustRightInd w:val="0"/>
        <w:snapToGrid/>
        <w:spacing w:before="20" w:after="20"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二、项目概况</w:t>
      </w:r>
    </w:p>
    <w:tbl>
      <w:tblPr>
        <w:tblStyle w:val="31"/>
        <w:tblW w:w="50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1253"/>
        <w:gridCol w:w="1766"/>
        <w:gridCol w:w="2604"/>
        <w:gridCol w:w="3017"/>
      </w:tblGrid>
      <w:tr w14:paraId="3085A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53" w:type="pct"/>
            <w:vAlign w:val="center"/>
          </w:tcPr>
          <w:p w14:paraId="037BD5C5">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sz w:val="24"/>
                <w:szCs w:val="24"/>
                <w:u w:val="none"/>
              </w:rPr>
              <w:t>标包</w:t>
            </w:r>
          </w:p>
        </w:tc>
        <w:tc>
          <w:tcPr>
            <w:tcW w:w="659" w:type="pct"/>
            <w:vAlign w:val="center"/>
          </w:tcPr>
          <w:p w14:paraId="001C29D3">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sz w:val="24"/>
                <w:szCs w:val="24"/>
                <w:u w:val="none"/>
              </w:rPr>
              <w:t>入围供应商个数</w:t>
            </w:r>
          </w:p>
        </w:tc>
        <w:tc>
          <w:tcPr>
            <w:tcW w:w="929" w:type="pct"/>
            <w:vAlign w:val="center"/>
          </w:tcPr>
          <w:p w14:paraId="20EC227A">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sz w:val="24"/>
                <w:szCs w:val="24"/>
                <w:u w:val="none"/>
              </w:rPr>
              <w:t>标项名称</w:t>
            </w:r>
          </w:p>
        </w:tc>
        <w:tc>
          <w:tcPr>
            <w:tcW w:w="1370" w:type="pct"/>
            <w:vAlign w:val="center"/>
          </w:tcPr>
          <w:p w14:paraId="0A3BD5B7">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sz w:val="24"/>
                <w:szCs w:val="24"/>
                <w:u w:val="none"/>
              </w:rPr>
              <w:t>简要描述</w:t>
            </w:r>
          </w:p>
        </w:tc>
        <w:tc>
          <w:tcPr>
            <w:tcW w:w="1587" w:type="pct"/>
            <w:vAlign w:val="center"/>
          </w:tcPr>
          <w:p w14:paraId="3CF85B99">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sz w:val="24"/>
                <w:szCs w:val="24"/>
                <w:u w:val="none"/>
              </w:rPr>
              <w:t>服务要求</w:t>
            </w:r>
          </w:p>
        </w:tc>
      </w:tr>
      <w:tr w14:paraId="4E2B3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jc w:val="center"/>
        </w:trPr>
        <w:tc>
          <w:tcPr>
            <w:tcW w:w="453" w:type="pct"/>
            <w:vAlign w:val="center"/>
          </w:tcPr>
          <w:p w14:paraId="0CFF628D">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iCs w:val="0"/>
                <w:color w:val="auto"/>
                <w:spacing w:val="-20"/>
                <w:sz w:val="24"/>
                <w:szCs w:val="24"/>
                <w:u w:val="none"/>
                <w:lang w:val="en-US" w:eastAsia="zh-CN"/>
              </w:rPr>
            </w:pPr>
            <w:r>
              <w:rPr>
                <w:rFonts w:hint="eastAsia" w:ascii="宋体" w:hAnsi="宋体" w:eastAsia="宋体" w:cs="宋体"/>
                <w:b w:val="0"/>
                <w:bCs w:val="0"/>
                <w:i w:val="0"/>
                <w:iCs w:val="0"/>
                <w:color w:val="auto"/>
                <w:spacing w:val="-20"/>
                <w:sz w:val="24"/>
                <w:szCs w:val="24"/>
                <w:u w:val="none"/>
                <w:lang w:val="en-US" w:eastAsia="zh-CN"/>
              </w:rPr>
              <w:t>标项</w:t>
            </w:r>
          </w:p>
        </w:tc>
        <w:tc>
          <w:tcPr>
            <w:tcW w:w="659" w:type="pct"/>
            <w:vAlign w:val="center"/>
          </w:tcPr>
          <w:p w14:paraId="7CADCF33">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iCs w:val="0"/>
                <w:color w:val="auto"/>
                <w:spacing w:val="-20"/>
                <w:sz w:val="24"/>
                <w:szCs w:val="24"/>
                <w:u w:val="none"/>
                <w:lang w:val="en-US" w:eastAsia="zh-CN"/>
              </w:rPr>
            </w:pPr>
            <w:r>
              <w:rPr>
                <w:rFonts w:hint="eastAsia" w:ascii="宋体" w:hAnsi="宋体" w:eastAsia="宋体" w:cs="宋体"/>
                <w:b w:val="0"/>
                <w:bCs w:val="0"/>
                <w:i w:val="0"/>
                <w:iCs w:val="0"/>
                <w:color w:val="auto"/>
                <w:spacing w:val="-20"/>
                <w:sz w:val="24"/>
                <w:szCs w:val="24"/>
                <w:u w:val="none"/>
                <w:lang w:val="en-US" w:eastAsia="zh-CN"/>
              </w:rPr>
              <w:t>14</w:t>
            </w:r>
          </w:p>
        </w:tc>
        <w:tc>
          <w:tcPr>
            <w:tcW w:w="929" w:type="pct"/>
            <w:vAlign w:val="center"/>
          </w:tcPr>
          <w:p w14:paraId="3C3D5FB9">
            <w:pPr>
              <w:keepNext w:val="0"/>
              <w:keepLines w:val="0"/>
              <w:pageBreakBefore w:val="0"/>
              <w:widowControl w:val="0"/>
              <w:kinsoku/>
              <w:wordWrap/>
              <w:overflowPunct/>
              <w:topLinePunct w:val="0"/>
              <w:autoSpaceDE/>
              <w:autoSpaceDN/>
              <w:bidi w:val="0"/>
              <w:adjustRightInd/>
              <w:snapToGrid/>
              <w:spacing w:line="440" w:lineRule="exact"/>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巩留县财政局2025</w:t>
            </w:r>
            <w:r>
              <w:rPr>
                <w:rFonts w:hint="eastAsia" w:ascii="宋体" w:hAnsi="宋体" w:cs="宋体"/>
                <w:kern w:val="0"/>
                <w:sz w:val="24"/>
                <w:szCs w:val="24"/>
                <w:lang w:val="en-US" w:eastAsia="zh-CN" w:bidi="ar"/>
              </w:rPr>
              <w:t>-2026</w:t>
            </w:r>
            <w:r>
              <w:rPr>
                <w:rFonts w:hint="eastAsia" w:ascii="宋体" w:hAnsi="宋体" w:eastAsia="宋体" w:cs="宋体"/>
                <w:kern w:val="0"/>
                <w:sz w:val="24"/>
                <w:szCs w:val="24"/>
                <w:lang w:val="en-US" w:eastAsia="zh-CN" w:bidi="ar"/>
              </w:rPr>
              <w:t>年度政府投资项目工程造价咨询服务采购项目框架协议</w:t>
            </w:r>
          </w:p>
          <w:p w14:paraId="2B55E418">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宋体" w:hAnsi="宋体" w:eastAsia="宋体" w:cs="宋体"/>
                <w:b w:val="0"/>
                <w:bCs w:val="0"/>
                <w:i w:val="0"/>
                <w:iCs w:val="0"/>
                <w:color w:val="auto"/>
                <w:spacing w:val="-20"/>
                <w:sz w:val="24"/>
                <w:szCs w:val="24"/>
                <w:u w:val="none"/>
                <w:lang w:val="en-US" w:eastAsia="zh-CN"/>
              </w:rPr>
            </w:pPr>
          </w:p>
        </w:tc>
        <w:tc>
          <w:tcPr>
            <w:tcW w:w="1370" w:type="pct"/>
            <w:vAlign w:val="center"/>
          </w:tcPr>
          <w:p w14:paraId="528A4289">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val="0"/>
                <w:bCs w:val="0"/>
                <w:i w:val="0"/>
                <w:iCs w:val="0"/>
                <w:color w:val="auto"/>
                <w:spacing w:val="-20"/>
                <w:sz w:val="24"/>
                <w:szCs w:val="24"/>
                <w:u w:val="none"/>
                <w:lang w:val="en-US" w:eastAsia="zh-CN"/>
              </w:rPr>
            </w:pPr>
            <w:r>
              <w:rPr>
                <w:rFonts w:hint="eastAsia" w:ascii="宋体" w:hAnsi="宋体" w:eastAsia="宋体" w:cs="宋体"/>
                <w:color w:val="auto"/>
                <w:kern w:val="0"/>
                <w:sz w:val="24"/>
                <w:szCs w:val="24"/>
                <w:lang w:val="en-US" w:eastAsia="zh-CN"/>
              </w:rPr>
              <w:t>为2025-2026年度巩留政府投资项目的工程类项目预算评审（抽审）、竣工结算评审（复审）及其它需要造价咨询公司参与的各项咨询服务。</w:t>
            </w:r>
          </w:p>
        </w:tc>
        <w:tc>
          <w:tcPr>
            <w:tcW w:w="1587" w:type="pct"/>
            <w:vAlign w:val="center"/>
          </w:tcPr>
          <w:p w14:paraId="7FF21D77">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color w:val="auto"/>
                <w:kern w:val="0"/>
                <w:sz w:val="24"/>
                <w:szCs w:val="24"/>
                <w:lang w:val="en-US" w:eastAsia="zh-CN"/>
              </w:rPr>
              <w:t>具备从事过与本项目类似工作经验，依照相关依据出具专业意见或成果文件。工程类项目评审严格按照国家规定的造价咨询服务标准和现行技术规范、规程要求开展评审工作，并按要求提交相关成果文件。</w:t>
            </w:r>
          </w:p>
        </w:tc>
      </w:tr>
    </w:tbl>
    <w:p w14:paraId="3D146D66">
      <w:pPr>
        <w:pStyle w:val="2"/>
        <w:keepNext w:val="0"/>
        <w:keepLines w:val="0"/>
        <w:pageBreakBefore w:val="0"/>
        <w:widowControl/>
        <w:numPr>
          <w:ilvl w:val="0"/>
          <w:numId w:val="0"/>
        </w:numPr>
        <w:tabs>
          <w:tab w:val="left" w:pos="0"/>
          <w:tab w:val="left" w:pos="3165"/>
          <w:tab w:val="center" w:pos="4153"/>
        </w:tabs>
        <w:kinsoku/>
        <w:wordWrap/>
        <w:overflowPunct/>
        <w:topLinePunct w:val="0"/>
        <w:autoSpaceDE w:val="0"/>
        <w:autoSpaceDN w:val="0"/>
        <w:bidi w:val="0"/>
        <w:adjustRightInd w:val="0"/>
        <w:snapToGrid/>
        <w:spacing w:before="20" w:after="20"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三、服务相关要求：</w:t>
      </w:r>
    </w:p>
    <w:p w14:paraId="3324ECF4">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（1）供应商对服务项目需分别具有相应业务资质及主营范围。</w:t>
      </w:r>
    </w:p>
    <w:p w14:paraId="41184899">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（2）供应商应具备固定专职技术人员、设备等。</w:t>
      </w:r>
    </w:p>
    <w:p w14:paraId="529EC2DA">
      <w:pPr>
        <w:pStyle w:val="2"/>
        <w:keepNext w:val="0"/>
        <w:keepLines w:val="0"/>
        <w:pageBreakBefore w:val="0"/>
        <w:widowControl/>
        <w:numPr>
          <w:ilvl w:val="0"/>
          <w:numId w:val="0"/>
        </w:numPr>
        <w:tabs>
          <w:tab w:val="left" w:pos="0"/>
          <w:tab w:val="left" w:pos="3165"/>
          <w:tab w:val="center" w:pos="4153"/>
        </w:tabs>
        <w:kinsoku/>
        <w:wordWrap/>
        <w:overflowPunct/>
        <w:topLinePunct w:val="0"/>
        <w:autoSpaceDE w:val="0"/>
        <w:autoSpaceDN w:val="0"/>
        <w:bidi w:val="0"/>
        <w:adjustRightInd w:val="0"/>
        <w:snapToGrid/>
        <w:spacing w:before="20" w:after="20"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四、工作时限要求</w:t>
      </w:r>
    </w:p>
    <w:p w14:paraId="07C5320C">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1.供应商应具备以下限时办结的能力：</w:t>
      </w:r>
    </w:p>
    <w:p w14:paraId="27BB46C9">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供应商须在本地具有快速响应服务能力，自接到采购委托人通知后1小时内响应，并按要求到达指定项目现场开展工作。</w:t>
      </w:r>
    </w:p>
    <w:p w14:paraId="3199DAAF">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响应方式包含但不限于电话响应、即时通讯工具响应（微信、QQ、钉钉）、电子邮件响应、在线会议响应（如腾讯会议、Zoom等）以及到现场响应。</w:t>
      </w:r>
    </w:p>
    <w:p w14:paraId="3EA5BD96">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项目评审审核限时办结制度：供应商与采购人签订项目合同后，应严格遵守项目评审时限要求，合理安排人员在合同规定的时间内完成工作，并向采购人提交合同规定的成果文件及电子文档，且提交的成果文件必须完成其内部审核程序。</w:t>
      </w:r>
    </w:p>
    <w:p w14:paraId="7F8F04EC">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3.因客观原因，需提前完成评审工作的项目，评审时限按项目委托时议定的时限执行。</w:t>
      </w:r>
    </w:p>
    <w:p w14:paraId="1D01416F">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具体时限要求如下：</w:t>
      </w:r>
    </w:p>
    <w:tbl>
      <w:tblPr>
        <w:tblStyle w:val="30"/>
        <w:tblW w:w="5000" w:type="pct"/>
        <w:jc w:val="center"/>
        <w:tblLayout w:type="autofit"/>
        <w:tblCellMar>
          <w:top w:w="0" w:type="dxa"/>
          <w:left w:w="108" w:type="dxa"/>
          <w:bottom w:w="0" w:type="dxa"/>
          <w:right w:w="108" w:type="dxa"/>
        </w:tblCellMar>
      </w:tblPr>
      <w:tblGrid>
        <w:gridCol w:w="488"/>
        <w:gridCol w:w="3407"/>
        <w:gridCol w:w="1122"/>
        <w:gridCol w:w="1079"/>
        <w:gridCol w:w="1113"/>
        <w:gridCol w:w="1156"/>
        <w:gridCol w:w="1000"/>
      </w:tblGrid>
      <w:tr w14:paraId="4A53CD4D">
        <w:tblPrEx>
          <w:tblCellMar>
            <w:top w:w="0" w:type="dxa"/>
            <w:left w:w="108" w:type="dxa"/>
            <w:bottom w:w="0" w:type="dxa"/>
            <w:right w:w="108" w:type="dxa"/>
          </w:tblCellMar>
        </w:tblPrEx>
        <w:trPr>
          <w:trHeight w:val="509" w:hRule="atLeast"/>
          <w:jc w:val="center"/>
        </w:trPr>
        <w:tc>
          <w:tcPr>
            <w:tcW w:w="5000" w:type="pct"/>
            <w:gridSpan w:val="7"/>
            <w:tcBorders>
              <w:top w:val="single" w:color="auto" w:sz="4" w:space="0"/>
              <w:left w:val="single" w:color="auto" w:sz="4" w:space="0"/>
              <w:right w:val="single" w:color="auto" w:sz="4" w:space="0"/>
            </w:tcBorders>
            <w:shd w:val="clear" w:color="auto" w:fill="auto"/>
            <w:vAlign w:val="center"/>
          </w:tcPr>
          <w:p w14:paraId="7D26F24C">
            <w:pPr>
              <w:keepNext w:val="0"/>
              <w:keepLines w:val="0"/>
              <w:pageBreakBefore w:val="0"/>
              <w:widowControl/>
              <w:kinsoku/>
              <w:wordWrap/>
              <w:overflowPunct/>
              <w:topLinePunct w:val="0"/>
              <w:autoSpaceDE/>
              <w:autoSpaceDN/>
              <w:bidi w:val="0"/>
              <w:adjustRightInd/>
              <w:snapToGrid/>
              <w:spacing w:line="360" w:lineRule="auto"/>
              <w:ind w:right="-130" w:rightChars="-65"/>
              <w:jc w:val="center"/>
              <w:rPr>
                <w:rFonts w:hint="eastAsia" w:ascii="宋体" w:hAnsi="宋体" w:eastAsia="宋体" w:cs="宋体"/>
                <w:b w:val="0"/>
                <w:bCs w:val="0"/>
                <w:i w:val="0"/>
                <w:iCs w:val="0"/>
                <w:color w:val="auto"/>
                <w:sz w:val="24"/>
                <w:szCs w:val="24"/>
                <w:u w:val="single"/>
              </w:rPr>
            </w:pPr>
            <w:r>
              <w:rPr>
                <w:rFonts w:hint="eastAsia" w:ascii="宋体" w:hAnsi="宋体" w:eastAsia="宋体" w:cs="宋体"/>
                <w:b/>
                <w:bCs/>
                <w:i w:val="0"/>
                <w:iCs w:val="0"/>
                <w:color w:val="auto"/>
                <w:sz w:val="28"/>
                <w:szCs w:val="28"/>
                <w:u w:val="none"/>
              </w:rPr>
              <w:t>项目评审时限要求</w:t>
            </w:r>
          </w:p>
        </w:tc>
      </w:tr>
      <w:tr w14:paraId="3E382392">
        <w:tblPrEx>
          <w:tblCellMar>
            <w:top w:w="0" w:type="dxa"/>
            <w:left w:w="108" w:type="dxa"/>
            <w:bottom w:w="0" w:type="dxa"/>
            <w:right w:w="108" w:type="dxa"/>
          </w:tblCellMar>
        </w:tblPrEx>
        <w:trPr>
          <w:trHeight w:val="1350" w:hRule="atLeast"/>
          <w:jc w:val="center"/>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14:paraId="4F9FF9A7">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bCs/>
                <w:i w:val="0"/>
                <w:iCs w:val="0"/>
                <w:color w:val="auto"/>
                <w:sz w:val="24"/>
                <w:szCs w:val="24"/>
                <w:u w:val="single"/>
              </w:rPr>
            </w:pPr>
            <w:r>
              <w:rPr>
                <w:rFonts w:hint="eastAsia" w:ascii="宋体" w:hAnsi="宋体" w:eastAsia="宋体" w:cs="宋体"/>
                <w:b/>
                <w:bCs/>
                <w:i w:val="0"/>
                <w:iCs w:val="0"/>
                <w:color w:val="auto"/>
                <w:sz w:val="24"/>
                <w:szCs w:val="24"/>
                <w:u w:val="none"/>
              </w:rPr>
              <w:t>序号</w:t>
            </w:r>
          </w:p>
        </w:tc>
        <w:tc>
          <w:tcPr>
            <w:tcW w:w="1819" w:type="pct"/>
            <w:tcBorders>
              <w:top w:val="single" w:color="auto" w:sz="4" w:space="0"/>
              <w:left w:val="single" w:color="auto" w:sz="4" w:space="0"/>
              <w:bottom w:val="single" w:color="auto" w:sz="4" w:space="0"/>
              <w:right w:val="single" w:color="auto" w:sz="4" w:space="0"/>
            </w:tcBorders>
            <w:shd w:val="clear" w:color="auto" w:fill="auto"/>
          </w:tcPr>
          <w:p w14:paraId="0CC87D7F">
            <w:pPr>
              <w:keepNext w:val="0"/>
              <w:keepLines w:val="0"/>
              <w:pageBreakBefore w:val="0"/>
              <w:widowControl/>
              <w:kinsoku/>
              <w:wordWrap/>
              <w:overflowPunct/>
              <w:topLinePunct w:val="0"/>
              <w:autoSpaceDE/>
              <w:autoSpaceDN/>
              <w:bidi w:val="0"/>
              <w:adjustRightInd/>
              <w:snapToGrid/>
              <w:spacing w:line="360" w:lineRule="auto"/>
              <w:ind w:firstLine="1265" w:firstLineChars="600"/>
              <w:rPr>
                <w:rFonts w:hint="eastAsia" w:ascii="宋体" w:hAnsi="宋体" w:eastAsia="宋体" w:cs="宋体"/>
                <w:b/>
                <w:bCs/>
                <w:i w:val="0"/>
                <w:iCs w:val="0"/>
                <w:color w:val="auto"/>
                <w:sz w:val="24"/>
                <w:szCs w:val="24"/>
                <w:u w:val="single"/>
              </w:rPr>
            </w:pPr>
            <w:r>
              <w:rPr>
                <w:rFonts w:hint="eastAsia" w:ascii="宋体" w:hAnsi="宋体" w:eastAsia="宋体" w:cs="宋体"/>
                <w:b/>
                <w:bCs/>
                <w:i w:val="0"/>
                <w:iCs w:val="0"/>
                <w:color w:val="auto"/>
                <w:sz w:val="21"/>
                <w:szCs w:val="21"/>
                <w:u w:val="none"/>
                <w:lang w:bidi="ug-CN"/>
              </w:rPr>
              <mc:AlternateContent>
                <mc:Choice Requires="wps">
                  <w:drawing>
                    <wp:anchor distT="0" distB="0" distL="114300" distR="114300" simplePos="0" relativeHeight="251660288" behindDoc="0" locked="0" layoutInCell="1" allowOverlap="1">
                      <wp:simplePos x="0" y="0"/>
                      <wp:positionH relativeFrom="column">
                        <wp:posOffset>-64135</wp:posOffset>
                      </wp:positionH>
                      <wp:positionV relativeFrom="paragraph">
                        <wp:posOffset>4445</wp:posOffset>
                      </wp:positionV>
                      <wp:extent cx="2165985" cy="1018540"/>
                      <wp:effectExtent l="1905" t="4445" r="11430" b="13335"/>
                      <wp:wrapNone/>
                      <wp:docPr id="1" name="自选图形 3"/>
                      <wp:cNvGraphicFramePr/>
                      <a:graphic xmlns:a="http://schemas.openxmlformats.org/drawingml/2006/main">
                        <a:graphicData uri="http://schemas.microsoft.com/office/word/2010/wordprocessingShape">
                          <wps:wsp>
                            <wps:cNvCnPr/>
                            <wps:spPr>
                              <a:xfrm>
                                <a:off x="0" y="0"/>
                                <a:ext cx="2165985" cy="1018540"/>
                              </a:xfrm>
                              <a:prstGeom prst="straightConnector1">
                                <a:avLst/>
                              </a:prstGeom>
                              <a:ln w="9525" cap="flat" cmpd="sng">
                                <a:solidFill>
                                  <a:srgbClr val="000000"/>
                                </a:solidFill>
                                <a:prstDash val="solid"/>
                                <a:headEnd type="none" w="med" len="med"/>
                                <a:tailEnd type="none" w="med" len="med"/>
                              </a:ln>
                            </wps:spPr>
                            <wps:bodyPr rot="0" vert="horz" wrap="square" lIns="91440" tIns="45720" rIns="91440" bIns="45720" anchor="t" anchorCtr="0"/>
                          </wps:wsp>
                        </a:graphicData>
                      </a:graphic>
                    </wp:anchor>
                  </w:drawing>
                </mc:Choice>
                <mc:Fallback>
                  <w:pict>
                    <v:shape id="自选图形 3" o:spid="_x0000_s1026" o:spt="32" type="#_x0000_t32" style="position:absolute;left:0pt;margin-left:-5.05pt;margin-top:0.35pt;height:80.2pt;width:170.55pt;z-index:251660288;mso-width-relative:page;mso-height-relative:page;" filled="f" stroked="t" coordsize="21600,21600" o:gfxdata="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5RQfvtcAAAAIAQAADwAAAAAAAAABACAAAAAiAAAAZHJzL2Rvd25yZXYu&#10;eG1sUEsBAhQAFAAAAAgAh07iQI2tk4Y1AgAAWAQAAA4AAAAAAAAAAQAgAAAAJgEAAGRycy9lMm9E&#10;b2MueG1sUEsFBgAAAAAGAAYAWQEAAM0FAAAAAA==&#10;">
                      <v:fill on="f" focussize="0,0"/>
                      <v:stroke color="#000000" joinstyle="round"/>
                      <v:imagedata o:title=""/>
                      <o:lock v:ext="edit" aspectratio="f"/>
                    </v:shape>
                  </w:pict>
                </mc:Fallback>
              </mc:AlternateContent>
            </w:r>
            <w:r>
              <w:rPr>
                <w:rFonts w:hint="eastAsia" w:ascii="宋体" w:hAnsi="宋体" w:eastAsia="宋体" w:cs="宋体"/>
                <w:b/>
                <w:bCs/>
                <w:i w:val="0"/>
                <w:iCs w:val="0"/>
                <w:color w:val="auto"/>
                <w:sz w:val="21"/>
                <w:szCs w:val="21"/>
                <w:u w:val="none"/>
                <w:lang w:bidi="ug-CN"/>
              </w:rPr>
              <mc:AlternateContent>
                <mc:Choice Requires="wps">
                  <w:drawing>
                    <wp:anchor distT="0" distB="0" distL="114300" distR="114300" simplePos="0" relativeHeight="251659264" behindDoc="0" locked="0" layoutInCell="1" allowOverlap="1">
                      <wp:simplePos x="0" y="0"/>
                      <wp:positionH relativeFrom="column">
                        <wp:posOffset>-64770</wp:posOffset>
                      </wp:positionH>
                      <wp:positionV relativeFrom="paragraph">
                        <wp:posOffset>4445</wp:posOffset>
                      </wp:positionV>
                      <wp:extent cx="2160905" cy="553085"/>
                      <wp:effectExtent l="1270" t="4445" r="1905" b="6350"/>
                      <wp:wrapNone/>
                      <wp:docPr id="2" name="自选图形 2"/>
                      <wp:cNvGraphicFramePr/>
                      <a:graphic xmlns:a="http://schemas.openxmlformats.org/drawingml/2006/main">
                        <a:graphicData uri="http://schemas.microsoft.com/office/word/2010/wordprocessingShape">
                          <wps:wsp>
                            <wps:cNvCnPr/>
                            <wps:spPr>
                              <a:xfrm>
                                <a:off x="0" y="0"/>
                                <a:ext cx="2160905" cy="553085"/>
                              </a:xfrm>
                              <a:prstGeom prst="straightConnector1">
                                <a:avLst/>
                              </a:prstGeom>
                              <a:ln w="9525" cap="flat" cmpd="sng">
                                <a:solidFill>
                                  <a:srgbClr val="000000"/>
                                </a:solidFill>
                                <a:prstDash val="solid"/>
                                <a:headEnd type="none" w="med" len="med"/>
                                <a:tailEnd type="none" w="med" len="med"/>
                              </a:ln>
                            </wps:spPr>
                            <wps:bodyPr rot="0" vert="horz" wrap="square" lIns="91440" tIns="45720" rIns="91440" bIns="45720" anchor="t" anchorCtr="0"/>
                          </wps:wsp>
                        </a:graphicData>
                      </a:graphic>
                    </wp:anchor>
                  </w:drawing>
                </mc:Choice>
                <mc:Fallback>
                  <w:pict>
                    <v:shape id="自选图形 2" o:spid="_x0000_s1026" o:spt="32" type="#_x0000_t32" style="position:absolute;left:0pt;margin-left:-5.1pt;margin-top:0.35pt;height:43.55pt;width:170.15pt;z-index:251659264;mso-width-relative:page;mso-height-relative:page;" filled="f" stroked="t" coordsize="21600,21600" o:gfxdata="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Y9+1F1QAAAAcBAAAPAAAAAAAAAAEAIAAAACIAAABkcnMvZG93bnJldi54bWxQ&#10;SwECFAAUAAAACACHTuJAGsBf6zMCAABXBAAADgAAAAAAAAABACAAAAAkAQAAZHJzL2Uyb0RvYy54&#10;bWxQSwUGAAAAAAYABgBZAQAAyQUAAAAA&#10;">
                      <v:fill on="f" focussize="0,0"/>
                      <v:stroke color="#000000" joinstyle="round"/>
                      <v:imagedata o:title=""/>
                      <o:lock v:ext="edit" aspectratio="f"/>
                    </v:shape>
                  </w:pict>
                </mc:Fallback>
              </mc:AlternateContent>
            </w:r>
            <w:r>
              <w:rPr>
                <w:rFonts w:hint="eastAsia" w:ascii="宋体" w:hAnsi="宋体" w:eastAsia="宋体" w:cs="宋体"/>
                <w:b/>
                <w:bCs/>
                <w:i w:val="0"/>
                <w:iCs w:val="0"/>
                <w:color w:val="auto"/>
                <w:sz w:val="21"/>
                <w:szCs w:val="21"/>
                <w:u w:val="none"/>
              </w:rPr>
              <w:t>项目送审金额（万元）</w:t>
            </w:r>
          </w:p>
          <w:p w14:paraId="5EABA965">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b/>
                <w:bCs/>
                <w:i w:val="0"/>
                <w:iCs w:val="0"/>
                <w:color w:val="auto"/>
                <w:sz w:val="24"/>
                <w:szCs w:val="24"/>
                <w:u w:val="none"/>
              </w:rPr>
            </w:pPr>
          </w:p>
          <w:p w14:paraId="7696AB1F">
            <w:pPr>
              <w:keepNext w:val="0"/>
              <w:keepLines w:val="0"/>
              <w:pageBreakBefore w:val="0"/>
              <w:widowControl/>
              <w:kinsoku/>
              <w:wordWrap/>
              <w:overflowPunct/>
              <w:topLinePunct w:val="0"/>
              <w:autoSpaceDE/>
              <w:autoSpaceDN/>
              <w:bidi w:val="0"/>
              <w:adjustRightInd/>
              <w:snapToGrid/>
              <w:spacing w:line="360" w:lineRule="auto"/>
              <w:ind w:firstLine="1792" w:firstLineChars="850"/>
              <w:rPr>
                <w:rFonts w:hint="eastAsia" w:ascii="宋体" w:hAnsi="宋体" w:eastAsia="宋体" w:cs="宋体"/>
                <w:b/>
                <w:bCs/>
                <w:i w:val="0"/>
                <w:iCs w:val="0"/>
                <w:color w:val="auto"/>
                <w:sz w:val="21"/>
                <w:szCs w:val="21"/>
                <w:u w:val="single"/>
              </w:rPr>
            </w:pPr>
            <w:r>
              <w:rPr>
                <w:rFonts w:hint="eastAsia" w:ascii="宋体" w:hAnsi="宋体" w:eastAsia="宋体" w:cs="宋体"/>
                <w:b/>
                <w:bCs/>
                <w:i w:val="0"/>
                <w:iCs w:val="0"/>
                <w:color w:val="auto"/>
                <w:sz w:val="21"/>
                <w:szCs w:val="21"/>
                <w:u w:val="none"/>
              </w:rPr>
              <w:t>时限要求</w:t>
            </w:r>
          </w:p>
          <w:p w14:paraId="462EFC58">
            <w:pPr>
              <w:keepNext w:val="0"/>
              <w:keepLines w:val="0"/>
              <w:pageBreakBefore w:val="0"/>
              <w:widowControl/>
              <w:kinsoku/>
              <w:wordWrap/>
              <w:overflowPunct/>
              <w:topLinePunct w:val="0"/>
              <w:autoSpaceDE/>
              <w:autoSpaceDN/>
              <w:bidi w:val="0"/>
              <w:adjustRightInd/>
              <w:snapToGrid/>
              <w:spacing w:line="360" w:lineRule="auto"/>
              <w:ind w:firstLine="211" w:firstLineChars="100"/>
              <w:rPr>
                <w:rFonts w:hint="eastAsia" w:ascii="宋体" w:hAnsi="宋体" w:eastAsia="宋体" w:cs="宋体"/>
                <w:b/>
                <w:bCs/>
                <w:i w:val="0"/>
                <w:iCs w:val="0"/>
                <w:color w:val="auto"/>
                <w:w w:val="90"/>
                <w:sz w:val="21"/>
                <w:szCs w:val="21"/>
                <w:u w:val="none"/>
              </w:rPr>
            </w:pPr>
            <w:r>
              <w:rPr>
                <w:rFonts w:hint="eastAsia" w:ascii="宋体" w:hAnsi="宋体" w:eastAsia="宋体" w:cs="宋体"/>
                <w:b/>
                <w:bCs/>
                <w:i w:val="0"/>
                <w:iCs w:val="0"/>
                <w:color w:val="auto"/>
                <w:sz w:val="21"/>
                <w:szCs w:val="21"/>
                <w:u w:val="none"/>
              </w:rPr>
              <w:t xml:space="preserve">      </w:t>
            </w:r>
            <w:r>
              <w:rPr>
                <w:rFonts w:hint="eastAsia" w:ascii="宋体" w:hAnsi="宋体" w:cs="宋体"/>
                <w:b/>
                <w:bCs/>
                <w:i w:val="0"/>
                <w:iCs w:val="0"/>
                <w:color w:val="auto"/>
                <w:sz w:val="21"/>
                <w:szCs w:val="21"/>
                <w:u w:val="none"/>
                <w:lang w:val="en-US" w:eastAsia="zh-CN"/>
              </w:rPr>
              <w:t xml:space="preserve">    </w:t>
            </w:r>
            <w:r>
              <w:rPr>
                <w:rFonts w:hint="eastAsia" w:ascii="宋体" w:hAnsi="宋体" w:eastAsia="宋体" w:cs="宋体"/>
                <w:b/>
                <w:bCs/>
                <w:i w:val="0"/>
                <w:iCs w:val="0"/>
                <w:color w:val="auto"/>
                <w:sz w:val="21"/>
                <w:szCs w:val="21"/>
                <w:u w:val="none"/>
              </w:rPr>
              <w:t xml:space="preserve"> </w:t>
            </w:r>
            <w:r>
              <w:rPr>
                <w:rFonts w:hint="eastAsia" w:ascii="宋体" w:hAnsi="宋体" w:cs="宋体"/>
                <w:b/>
                <w:bCs/>
                <w:i w:val="0"/>
                <w:iCs w:val="0"/>
                <w:color w:val="auto"/>
                <w:sz w:val="21"/>
                <w:szCs w:val="21"/>
                <w:u w:val="none"/>
                <w:lang w:val="en-US" w:eastAsia="zh-CN"/>
              </w:rPr>
              <w:t xml:space="preserve">         </w:t>
            </w:r>
            <w:r>
              <w:rPr>
                <w:rFonts w:hint="eastAsia" w:ascii="宋体" w:hAnsi="宋体" w:eastAsia="宋体" w:cs="宋体"/>
                <w:b/>
                <w:bCs/>
                <w:i w:val="0"/>
                <w:iCs w:val="0"/>
                <w:color w:val="auto"/>
                <w:w w:val="90"/>
                <w:sz w:val="21"/>
                <w:szCs w:val="21"/>
                <w:u w:val="none"/>
              </w:rPr>
              <w:t>（工作日）</w:t>
            </w:r>
          </w:p>
          <w:p w14:paraId="1BD4FAE2">
            <w:pPr>
              <w:keepNext w:val="0"/>
              <w:keepLines w:val="0"/>
              <w:pageBreakBefore w:val="0"/>
              <w:widowControl/>
              <w:kinsoku/>
              <w:wordWrap/>
              <w:overflowPunct/>
              <w:topLinePunct w:val="0"/>
              <w:autoSpaceDE/>
              <w:autoSpaceDN/>
              <w:bidi w:val="0"/>
              <w:adjustRightInd/>
              <w:snapToGrid/>
              <w:spacing w:line="360" w:lineRule="auto"/>
              <w:ind w:left="321" w:leftChars="119" w:hanging="83"/>
              <w:jc w:val="left"/>
              <w:rPr>
                <w:rFonts w:hint="eastAsia" w:ascii="宋体" w:hAnsi="宋体" w:eastAsia="宋体" w:cs="宋体"/>
                <w:b/>
                <w:bCs/>
                <w:i w:val="0"/>
                <w:iCs w:val="0"/>
                <w:color w:val="auto"/>
                <w:sz w:val="24"/>
                <w:szCs w:val="24"/>
                <w:u w:val="single"/>
              </w:rPr>
            </w:pPr>
            <w:r>
              <w:rPr>
                <w:rFonts w:hint="eastAsia" w:ascii="宋体" w:hAnsi="宋体" w:eastAsia="宋体" w:cs="宋体"/>
                <w:b/>
                <w:bCs/>
                <w:i w:val="0"/>
                <w:iCs w:val="0"/>
                <w:color w:val="auto"/>
                <w:sz w:val="21"/>
                <w:szCs w:val="21"/>
                <w:u w:val="none"/>
              </w:rPr>
              <w:t xml:space="preserve">阶段性工作内容 </w:t>
            </w:r>
          </w:p>
        </w:tc>
        <w:tc>
          <w:tcPr>
            <w:tcW w:w="599" w:type="pct"/>
            <w:tcBorders>
              <w:top w:val="single" w:color="auto" w:sz="4" w:space="0"/>
              <w:left w:val="single" w:color="auto" w:sz="4" w:space="0"/>
              <w:bottom w:val="single" w:color="auto" w:sz="4" w:space="0"/>
              <w:right w:val="single" w:color="auto" w:sz="4" w:space="0"/>
            </w:tcBorders>
            <w:shd w:val="clear" w:color="auto" w:fill="auto"/>
            <w:vAlign w:val="center"/>
          </w:tcPr>
          <w:p w14:paraId="29383812">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sz w:val="21"/>
                <w:szCs w:val="21"/>
                <w:u w:val="none"/>
              </w:rPr>
              <w:t>500以下</w:t>
            </w:r>
          </w:p>
          <w:p w14:paraId="7A3E4D92">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sz w:val="21"/>
                <w:szCs w:val="21"/>
                <w:u w:val="none"/>
              </w:rPr>
              <w:t>（含500）</w:t>
            </w:r>
          </w:p>
        </w:tc>
        <w:tc>
          <w:tcPr>
            <w:tcW w:w="576" w:type="pct"/>
            <w:tcBorders>
              <w:top w:val="single" w:color="auto" w:sz="4" w:space="0"/>
              <w:left w:val="nil"/>
              <w:bottom w:val="single" w:color="auto" w:sz="4" w:space="0"/>
              <w:right w:val="single" w:color="auto" w:sz="4" w:space="0"/>
            </w:tcBorders>
            <w:shd w:val="clear" w:color="auto" w:fill="auto"/>
            <w:vAlign w:val="center"/>
          </w:tcPr>
          <w:p w14:paraId="51DAEE65">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sz w:val="21"/>
                <w:szCs w:val="21"/>
                <w:u w:val="none"/>
              </w:rPr>
              <w:t>500－1000（含1000）</w:t>
            </w:r>
          </w:p>
        </w:tc>
        <w:tc>
          <w:tcPr>
            <w:tcW w:w="594" w:type="pct"/>
            <w:tcBorders>
              <w:top w:val="single" w:color="auto" w:sz="4" w:space="0"/>
              <w:left w:val="nil"/>
              <w:bottom w:val="single" w:color="auto" w:sz="4" w:space="0"/>
              <w:right w:val="single" w:color="auto" w:sz="4" w:space="0"/>
            </w:tcBorders>
            <w:shd w:val="clear" w:color="auto" w:fill="auto"/>
            <w:vAlign w:val="center"/>
          </w:tcPr>
          <w:p w14:paraId="02866A56">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sz w:val="21"/>
                <w:szCs w:val="21"/>
                <w:u w:val="none"/>
              </w:rPr>
              <w:t>1000－3000（含3000）</w:t>
            </w:r>
          </w:p>
        </w:tc>
        <w:tc>
          <w:tcPr>
            <w:tcW w:w="617" w:type="pct"/>
            <w:tcBorders>
              <w:top w:val="single" w:color="auto" w:sz="4" w:space="0"/>
              <w:left w:val="nil"/>
              <w:bottom w:val="single" w:color="auto" w:sz="4" w:space="0"/>
              <w:right w:val="single" w:color="auto" w:sz="4" w:space="0"/>
            </w:tcBorders>
            <w:shd w:val="clear" w:color="auto" w:fill="auto"/>
            <w:vAlign w:val="center"/>
          </w:tcPr>
          <w:p w14:paraId="7CDFFE11">
            <w:pPr>
              <w:keepNext w:val="0"/>
              <w:keepLines w:val="0"/>
              <w:pageBreakBefore w:val="0"/>
              <w:widowControl/>
              <w:kinsoku/>
              <w:wordWrap/>
              <w:overflowPunct/>
              <w:topLinePunct w:val="0"/>
              <w:autoSpaceDE/>
              <w:autoSpaceDN/>
              <w:bidi w:val="0"/>
              <w:adjustRightInd/>
              <w:snapToGrid/>
              <w:spacing w:line="360" w:lineRule="auto"/>
              <w:ind w:right="-130" w:rightChars="-65"/>
              <w:jc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sz w:val="21"/>
                <w:szCs w:val="21"/>
                <w:u w:val="none"/>
              </w:rPr>
              <w:t>3000－10000（含10000）</w:t>
            </w:r>
          </w:p>
        </w:tc>
        <w:tc>
          <w:tcPr>
            <w:tcW w:w="532" w:type="pct"/>
            <w:tcBorders>
              <w:top w:val="single" w:color="auto" w:sz="4" w:space="0"/>
              <w:left w:val="nil"/>
              <w:bottom w:val="single" w:color="auto" w:sz="4" w:space="0"/>
              <w:right w:val="single" w:color="auto" w:sz="4" w:space="0"/>
            </w:tcBorders>
            <w:shd w:val="clear" w:color="auto" w:fill="auto"/>
            <w:vAlign w:val="center"/>
          </w:tcPr>
          <w:p w14:paraId="3B3E26E0">
            <w:pPr>
              <w:keepNext w:val="0"/>
              <w:keepLines w:val="0"/>
              <w:pageBreakBefore w:val="0"/>
              <w:widowControl/>
              <w:kinsoku/>
              <w:wordWrap/>
              <w:overflowPunct/>
              <w:topLinePunct w:val="0"/>
              <w:autoSpaceDE/>
              <w:autoSpaceDN/>
              <w:bidi w:val="0"/>
              <w:adjustRightInd/>
              <w:snapToGrid/>
              <w:spacing w:line="360" w:lineRule="auto"/>
              <w:ind w:right="-130" w:rightChars="-65"/>
              <w:jc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sz w:val="21"/>
                <w:szCs w:val="21"/>
                <w:u w:val="none"/>
              </w:rPr>
              <w:t>10000</w:t>
            </w:r>
          </w:p>
          <w:p w14:paraId="5AE3C2A5">
            <w:pPr>
              <w:keepNext w:val="0"/>
              <w:keepLines w:val="0"/>
              <w:pageBreakBefore w:val="0"/>
              <w:widowControl/>
              <w:kinsoku/>
              <w:wordWrap/>
              <w:overflowPunct/>
              <w:topLinePunct w:val="0"/>
              <w:autoSpaceDE/>
              <w:autoSpaceDN/>
              <w:bidi w:val="0"/>
              <w:adjustRightInd/>
              <w:snapToGrid/>
              <w:spacing w:line="360" w:lineRule="auto"/>
              <w:ind w:right="-130" w:rightChars="-65"/>
              <w:jc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sz w:val="21"/>
                <w:szCs w:val="21"/>
                <w:u w:val="none"/>
              </w:rPr>
              <w:t>以上</w:t>
            </w:r>
          </w:p>
        </w:tc>
      </w:tr>
      <w:tr w14:paraId="1D0E9923">
        <w:tblPrEx>
          <w:tblCellMar>
            <w:top w:w="0" w:type="dxa"/>
            <w:left w:w="108" w:type="dxa"/>
            <w:bottom w:w="0" w:type="dxa"/>
            <w:right w:w="108" w:type="dxa"/>
          </w:tblCellMar>
        </w:tblPrEx>
        <w:trPr>
          <w:trHeight w:val="853" w:hRule="atLeast"/>
          <w:jc w:val="center"/>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14:paraId="78070355">
            <w:pPr>
              <w:widowControl/>
              <w:spacing w:line="360" w:lineRule="auto"/>
              <w:jc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1</w:t>
            </w:r>
          </w:p>
        </w:tc>
        <w:tc>
          <w:tcPr>
            <w:tcW w:w="1819" w:type="pct"/>
            <w:tcBorders>
              <w:top w:val="single" w:color="auto" w:sz="4" w:space="0"/>
              <w:left w:val="single" w:color="auto" w:sz="4" w:space="0"/>
              <w:bottom w:val="single" w:color="auto" w:sz="4" w:space="0"/>
              <w:right w:val="single" w:color="auto" w:sz="4" w:space="0"/>
            </w:tcBorders>
            <w:shd w:val="clear" w:color="auto" w:fill="auto"/>
            <w:vAlign w:val="center"/>
          </w:tcPr>
          <w:p w14:paraId="6DEF8BE9">
            <w:pPr>
              <w:widowControl/>
              <w:spacing w:line="360" w:lineRule="auto"/>
              <w:ind w:left="-46" w:leftChars="-30" w:right="-78" w:rightChars="-39" w:hanging="14" w:hangingChars="6"/>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供应商签收项目资料对送审资料完整性、合法性审核并提交书面意见给采购人</w:t>
            </w:r>
          </w:p>
        </w:tc>
        <w:tc>
          <w:tcPr>
            <w:tcW w:w="599" w:type="pct"/>
            <w:tcBorders>
              <w:top w:val="single" w:color="auto" w:sz="4" w:space="0"/>
              <w:left w:val="single" w:color="auto" w:sz="4" w:space="0"/>
              <w:bottom w:val="single" w:color="auto" w:sz="4" w:space="0"/>
              <w:right w:val="single" w:color="auto" w:sz="4" w:space="0"/>
            </w:tcBorders>
            <w:shd w:val="clear" w:color="auto" w:fill="auto"/>
            <w:vAlign w:val="center"/>
          </w:tcPr>
          <w:p w14:paraId="54F026B2">
            <w:pPr>
              <w:widowControl/>
              <w:spacing w:line="360" w:lineRule="auto"/>
              <w:jc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1</w:t>
            </w:r>
          </w:p>
        </w:tc>
        <w:tc>
          <w:tcPr>
            <w:tcW w:w="576" w:type="pct"/>
            <w:tcBorders>
              <w:top w:val="single" w:color="auto" w:sz="4" w:space="0"/>
              <w:left w:val="single" w:color="auto" w:sz="4" w:space="0"/>
              <w:bottom w:val="single" w:color="auto" w:sz="4" w:space="0"/>
              <w:right w:val="single" w:color="auto" w:sz="4" w:space="0"/>
            </w:tcBorders>
            <w:shd w:val="clear" w:color="auto" w:fill="auto"/>
            <w:vAlign w:val="center"/>
          </w:tcPr>
          <w:p w14:paraId="3795EB7A">
            <w:pPr>
              <w:widowControl/>
              <w:spacing w:line="360" w:lineRule="auto"/>
              <w:jc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1</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0C4AD383">
            <w:pPr>
              <w:widowControl/>
              <w:spacing w:line="360" w:lineRule="auto"/>
              <w:jc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1</w:t>
            </w:r>
          </w:p>
        </w:tc>
        <w:tc>
          <w:tcPr>
            <w:tcW w:w="617" w:type="pct"/>
            <w:tcBorders>
              <w:top w:val="single" w:color="auto" w:sz="4" w:space="0"/>
              <w:left w:val="single" w:color="auto" w:sz="4" w:space="0"/>
              <w:bottom w:val="single" w:color="auto" w:sz="4" w:space="0"/>
              <w:right w:val="single" w:color="auto" w:sz="4" w:space="0"/>
            </w:tcBorders>
            <w:shd w:val="clear" w:color="auto" w:fill="auto"/>
            <w:vAlign w:val="center"/>
          </w:tcPr>
          <w:p w14:paraId="18343DF2">
            <w:pPr>
              <w:widowControl/>
              <w:spacing w:line="360" w:lineRule="auto"/>
              <w:jc w:val="center"/>
              <w:rPr>
                <w:rFonts w:hint="eastAsia" w:ascii="宋体" w:hAnsi="宋体" w:eastAsia="宋体" w:cs="宋体"/>
                <w:b w:val="0"/>
                <w:bCs w:val="0"/>
                <w:i w:val="0"/>
                <w:iCs w:val="0"/>
                <w:color w:val="auto"/>
                <w:sz w:val="24"/>
                <w:szCs w:val="24"/>
                <w:u w:val="none"/>
                <w:lang w:eastAsia="zh-CN"/>
              </w:rPr>
            </w:pPr>
            <w:r>
              <w:rPr>
                <w:rFonts w:hint="eastAsia" w:ascii="宋体" w:hAnsi="宋体" w:cs="宋体"/>
                <w:b w:val="0"/>
                <w:bCs w:val="0"/>
                <w:i w:val="0"/>
                <w:iCs w:val="0"/>
                <w:color w:val="auto"/>
                <w:sz w:val="24"/>
                <w:szCs w:val="24"/>
                <w:u w:val="none"/>
                <w:lang w:val="en-US" w:eastAsia="zh-CN"/>
              </w:rPr>
              <w:t>2</w:t>
            </w:r>
          </w:p>
        </w:tc>
        <w:tc>
          <w:tcPr>
            <w:tcW w:w="532" w:type="pct"/>
            <w:tcBorders>
              <w:top w:val="single" w:color="auto" w:sz="4" w:space="0"/>
              <w:left w:val="single" w:color="auto" w:sz="4" w:space="0"/>
              <w:bottom w:val="single" w:color="auto" w:sz="4" w:space="0"/>
              <w:right w:val="single" w:color="auto" w:sz="4" w:space="0"/>
            </w:tcBorders>
            <w:shd w:val="clear" w:color="auto" w:fill="auto"/>
            <w:vAlign w:val="center"/>
          </w:tcPr>
          <w:p w14:paraId="3B3457C4">
            <w:pPr>
              <w:widowControl/>
              <w:spacing w:line="360" w:lineRule="auto"/>
              <w:jc w:val="center"/>
              <w:rPr>
                <w:rFonts w:hint="eastAsia" w:ascii="宋体" w:hAnsi="宋体" w:eastAsia="宋体" w:cs="宋体"/>
                <w:b w:val="0"/>
                <w:bCs w:val="0"/>
                <w:i w:val="0"/>
                <w:iCs w:val="0"/>
                <w:color w:val="auto"/>
                <w:sz w:val="24"/>
                <w:szCs w:val="24"/>
                <w:u w:val="none"/>
                <w:lang w:eastAsia="zh-CN"/>
              </w:rPr>
            </w:pPr>
            <w:r>
              <w:rPr>
                <w:rFonts w:hint="eastAsia" w:ascii="宋体" w:hAnsi="宋体" w:cs="宋体"/>
                <w:b w:val="0"/>
                <w:bCs w:val="0"/>
                <w:i w:val="0"/>
                <w:iCs w:val="0"/>
                <w:color w:val="auto"/>
                <w:sz w:val="24"/>
                <w:szCs w:val="24"/>
                <w:u w:val="none"/>
                <w:lang w:val="en-US" w:eastAsia="zh-CN"/>
              </w:rPr>
              <w:t>2</w:t>
            </w:r>
          </w:p>
        </w:tc>
      </w:tr>
      <w:tr w14:paraId="65201870">
        <w:tblPrEx>
          <w:tblCellMar>
            <w:top w:w="0" w:type="dxa"/>
            <w:left w:w="108" w:type="dxa"/>
            <w:bottom w:w="0" w:type="dxa"/>
            <w:right w:w="108" w:type="dxa"/>
          </w:tblCellMar>
        </w:tblPrEx>
        <w:trPr>
          <w:trHeight w:val="905" w:hRule="atLeast"/>
          <w:jc w:val="center"/>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14:paraId="2235BCAF">
            <w:pPr>
              <w:widowControl/>
              <w:spacing w:line="360" w:lineRule="auto"/>
              <w:jc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2</w:t>
            </w:r>
          </w:p>
        </w:tc>
        <w:tc>
          <w:tcPr>
            <w:tcW w:w="1819" w:type="pct"/>
            <w:tcBorders>
              <w:top w:val="single" w:color="auto" w:sz="4" w:space="0"/>
              <w:left w:val="single" w:color="auto" w:sz="4" w:space="0"/>
              <w:bottom w:val="single" w:color="auto" w:sz="4" w:space="0"/>
              <w:right w:val="single" w:color="auto" w:sz="4" w:space="0"/>
            </w:tcBorders>
            <w:shd w:val="clear" w:color="auto" w:fill="auto"/>
            <w:vAlign w:val="center"/>
          </w:tcPr>
          <w:p w14:paraId="41084447">
            <w:pPr>
              <w:widowControl/>
              <w:spacing w:line="360" w:lineRule="auto"/>
              <w:ind w:left="38" w:leftChars="18" w:right="-28" w:rightChars="-14" w:hanging="2"/>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供应商审核项目送审资料、现场勘验，完成项目初审并提交书面审核结果给采购人</w:t>
            </w:r>
          </w:p>
        </w:tc>
        <w:tc>
          <w:tcPr>
            <w:tcW w:w="599" w:type="pct"/>
            <w:tcBorders>
              <w:top w:val="single" w:color="auto" w:sz="4" w:space="0"/>
              <w:left w:val="single" w:color="auto" w:sz="4" w:space="0"/>
              <w:bottom w:val="single" w:color="auto" w:sz="4" w:space="0"/>
              <w:right w:val="single" w:color="auto" w:sz="4" w:space="0"/>
            </w:tcBorders>
            <w:shd w:val="clear" w:color="auto" w:fill="auto"/>
            <w:vAlign w:val="center"/>
          </w:tcPr>
          <w:p w14:paraId="03BC8D6F">
            <w:pPr>
              <w:widowControl/>
              <w:spacing w:line="360" w:lineRule="auto"/>
              <w:jc w:val="center"/>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i w:val="0"/>
                <w:iCs w:val="0"/>
                <w:color w:val="auto"/>
                <w:sz w:val="24"/>
                <w:szCs w:val="24"/>
                <w:u w:val="none"/>
                <w:lang w:val="en-US" w:eastAsia="zh-CN"/>
              </w:rPr>
              <w:t>5</w:t>
            </w:r>
          </w:p>
        </w:tc>
        <w:tc>
          <w:tcPr>
            <w:tcW w:w="576" w:type="pct"/>
            <w:tcBorders>
              <w:top w:val="single" w:color="auto" w:sz="4" w:space="0"/>
              <w:left w:val="nil"/>
              <w:bottom w:val="single" w:color="auto" w:sz="4" w:space="0"/>
              <w:right w:val="single" w:color="auto" w:sz="4" w:space="0"/>
            </w:tcBorders>
            <w:shd w:val="clear" w:color="auto" w:fill="auto"/>
            <w:vAlign w:val="center"/>
          </w:tcPr>
          <w:p w14:paraId="4A6D9401">
            <w:pPr>
              <w:widowControl/>
              <w:spacing w:line="360" w:lineRule="auto"/>
              <w:jc w:val="center"/>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i w:val="0"/>
                <w:iCs w:val="0"/>
                <w:color w:val="auto"/>
                <w:sz w:val="24"/>
                <w:szCs w:val="24"/>
                <w:u w:val="none"/>
                <w:lang w:val="en-US" w:eastAsia="zh-CN"/>
              </w:rPr>
              <w:t>8</w:t>
            </w:r>
          </w:p>
        </w:tc>
        <w:tc>
          <w:tcPr>
            <w:tcW w:w="594" w:type="pct"/>
            <w:tcBorders>
              <w:top w:val="single" w:color="auto" w:sz="4" w:space="0"/>
              <w:left w:val="nil"/>
              <w:bottom w:val="single" w:color="auto" w:sz="4" w:space="0"/>
              <w:right w:val="single" w:color="auto" w:sz="4" w:space="0"/>
            </w:tcBorders>
            <w:shd w:val="clear" w:color="auto" w:fill="auto"/>
            <w:vAlign w:val="center"/>
          </w:tcPr>
          <w:p w14:paraId="26E49729">
            <w:pPr>
              <w:widowControl/>
              <w:spacing w:line="360" w:lineRule="auto"/>
              <w:jc w:val="center"/>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12</w:t>
            </w:r>
          </w:p>
        </w:tc>
        <w:tc>
          <w:tcPr>
            <w:tcW w:w="617" w:type="pct"/>
            <w:tcBorders>
              <w:top w:val="single" w:color="auto" w:sz="4" w:space="0"/>
              <w:left w:val="nil"/>
              <w:bottom w:val="single" w:color="auto" w:sz="4" w:space="0"/>
              <w:right w:val="single" w:color="auto" w:sz="4" w:space="0"/>
            </w:tcBorders>
            <w:shd w:val="clear" w:color="auto" w:fill="auto"/>
            <w:vAlign w:val="center"/>
          </w:tcPr>
          <w:p w14:paraId="640E9684">
            <w:pPr>
              <w:widowControl/>
              <w:spacing w:line="360" w:lineRule="auto"/>
              <w:jc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15</w:t>
            </w:r>
          </w:p>
        </w:tc>
        <w:tc>
          <w:tcPr>
            <w:tcW w:w="532" w:type="pct"/>
            <w:tcBorders>
              <w:top w:val="single" w:color="auto" w:sz="4" w:space="0"/>
              <w:left w:val="nil"/>
              <w:bottom w:val="single" w:color="auto" w:sz="4" w:space="0"/>
              <w:right w:val="single" w:color="auto" w:sz="4" w:space="0"/>
            </w:tcBorders>
            <w:shd w:val="clear" w:color="auto" w:fill="auto"/>
            <w:vAlign w:val="center"/>
          </w:tcPr>
          <w:p w14:paraId="0C8C8FE9">
            <w:pPr>
              <w:widowControl/>
              <w:spacing w:line="360" w:lineRule="auto"/>
              <w:jc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20</w:t>
            </w:r>
          </w:p>
        </w:tc>
      </w:tr>
      <w:tr w14:paraId="68B9C19E">
        <w:tblPrEx>
          <w:tblCellMar>
            <w:top w:w="0" w:type="dxa"/>
            <w:left w:w="108" w:type="dxa"/>
            <w:bottom w:w="0" w:type="dxa"/>
            <w:right w:w="108" w:type="dxa"/>
          </w:tblCellMar>
        </w:tblPrEx>
        <w:trPr>
          <w:trHeight w:val="615" w:hRule="atLeast"/>
          <w:jc w:val="center"/>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14:paraId="4E53E3FC">
            <w:pPr>
              <w:widowControl/>
              <w:spacing w:line="360" w:lineRule="auto"/>
              <w:jc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3</w:t>
            </w:r>
          </w:p>
        </w:tc>
        <w:tc>
          <w:tcPr>
            <w:tcW w:w="1819" w:type="pct"/>
            <w:tcBorders>
              <w:top w:val="single" w:color="auto" w:sz="4" w:space="0"/>
              <w:left w:val="single" w:color="auto" w:sz="4" w:space="0"/>
              <w:bottom w:val="single" w:color="auto" w:sz="4" w:space="0"/>
              <w:right w:val="single" w:color="auto" w:sz="4" w:space="0"/>
            </w:tcBorders>
            <w:shd w:val="clear" w:color="auto" w:fill="auto"/>
            <w:vAlign w:val="center"/>
          </w:tcPr>
          <w:p w14:paraId="71FF9153">
            <w:pPr>
              <w:widowControl/>
              <w:spacing w:line="360" w:lineRule="auto"/>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供应商按照采购人对初审结果的复核意见进行修改</w:t>
            </w:r>
          </w:p>
        </w:tc>
        <w:tc>
          <w:tcPr>
            <w:tcW w:w="599" w:type="pct"/>
            <w:tcBorders>
              <w:top w:val="single" w:color="auto" w:sz="4" w:space="0"/>
              <w:left w:val="single" w:color="auto" w:sz="4" w:space="0"/>
              <w:bottom w:val="single" w:color="auto" w:sz="4" w:space="0"/>
              <w:right w:val="single" w:color="auto" w:sz="4" w:space="0"/>
            </w:tcBorders>
            <w:shd w:val="clear" w:color="auto" w:fill="auto"/>
            <w:vAlign w:val="center"/>
          </w:tcPr>
          <w:p w14:paraId="13B975AF">
            <w:pPr>
              <w:widowControl/>
              <w:spacing w:line="360" w:lineRule="auto"/>
              <w:jc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1</w:t>
            </w:r>
          </w:p>
        </w:tc>
        <w:tc>
          <w:tcPr>
            <w:tcW w:w="576" w:type="pct"/>
            <w:tcBorders>
              <w:top w:val="single" w:color="auto" w:sz="4" w:space="0"/>
              <w:left w:val="single" w:color="auto" w:sz="4" w:space="0"/>
              <w:bottom w:val="single" w:color="auto" w:sz="4" w:space="0"/>
              <w:right w:val="single" w:color="auto" w:sz="4" w:space="0"/>
            </w:tcBorders>
            <w:shd w:val="clear" w:color="auto" w:fill="auto"/>
            <w:vAlign w:val="center"/>
          </w:tcPr>
          <w:p w14:paraId="5320ABB2">
            <w:pPr>
              <w:widowControl/>
              <w:spacing w:line="360" w:lineRule="auto"/>
              <w:jc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1</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428F8B08">
            <w:pPr>
              <w:widowControl/>
              <w:spacing w:line="360" w:lineRule="auto"/>
              <w:jc w:val="center"/>
              <w:rPr>
                <w:rFonts w:hint="eastAsia" w:ascii="宋体" w:hAnsi="宋体" w:eastAsia="宋体" w:cs="宋体"/>
                <w:b w:val="0"/>
                <w:bCs w:val="0"/>
                <w:i w:val="0"/>
                <w:iCs w:val="0"/>
                <w:color w:val="auto"/>
                <w:sz w:val="24"/>
                <w:szCs w:val="24"/>
                <w:u w:val="none"/>
                <w:lang w:eastAsia="zh-CN"/>
              </w:rPr>
            </w:pPr>
            <w:r>
              <w:rPr>
                <w:rFonts w:hint="eastAsia" w:ascii="宋体" w:hAnsi="宋体" w:cs="宋体"/>
                <w:b w:val="0"/>
                <w:bCs w:val="0"/>
                <w:i w:val="0"/>
                <w:iCs w:val="0"/>
                <w:color w:val="auto"/>
                <w:sz w:val="24"/>
                <w:szCs w:val="24"/>
                <w:u w:val="none"/>
                <w:lang w:val="en-US" w:eastAsia="zh-CN"/>
              </w:rPr>
              <w:t>2</w:t>
            </w:r>
          </w:p>
        </w:tc>
        <w:tc>
          <w:tcPr>
            <w:tcW w:w="617" w:type="pct"/>
            <w:tcBorders>
              <w:top w:val="single" w:color="auto" w:sz="4" w:space="0"/>
              <w:left w:val="single" w:color="auto" w:sz="4" w:space="0"/>
              <w:bottom w:val="single" w:color="auto" w:sz="4" w:space="0"/>
              <w:right w:val="single" w:color="auto" w:sz="4" w:space="0"/>
            </w:tcBorders>
            <w:shd w:val="clear" w:color="auto" w:fill="auto"/>
            <w:vAlign w:val="center"/>
          </w:tcPr>
          <w:p w14:paraId="30742BEC">
            <w:pPr>
              <w:widowControl/>
              <w:spacing w:line="360" w:lineRule="auto"/>
              <w:jc w:val="center"/>
              <w:rPr>
                <w:rFonts w:hint="eastAsia" w:ascii="宋体" w:hAnsi="宋体" w:eastAsia="宋体" w:cs="宋体"/>
                <w:b w:val="0"/>
                <w:bCs w:val="0"/>
                <w:i w:val="0"/>
                <w:iCs w:val="0"/>
                <w:color w:val="auto"/>
                <w:sz w:val="24"/>
                <w:szCs w:val="24"/>
                <w:u w:val="none"/>
                <w:lang w:eastAsia="zh-CN"/>
              </w:rPr>
            </w:pPr>
            <w:r>
              <w:rPr>
                <w:rFonts w:hint="eastAsia" w:ascii="宋体" w:hAnsi="宋体" w:cs="宋体"/>
                <w:b w:val="0"/>
                <w:bCs w:val="0"/>
                <w:i w:val="0"/>
                <w:iCs w:val="0"/>
                <w:color w:val="auto"/>
                <w:sz w:val="24"/>
                <w:szCs w:val="24"/>
                <w:u w:val="none"/>
                <w:lang w:val="en-US" w:eastAsia="zh-CN"/>
              </w:rPr>
              <w:t>2</w:t>
            </w:r>
          </w:p>
        </w:tc>
        <w:tc>
          <w:tcPr>
            <w:tcW w:w="532" w:type="pct"/>
            <w:tcBorders>
              <w:top w:val="single" w:color="auto" w:sz="4" w:space="0"/>
              <w:left w:val="single" w:color="auto" w:sz="4" w:space="0"/>
              <w:bottom w:val="single" w:color="auto" w:sz="4" w:space="0"/>
              <w:right w:val="single" w:color="auto" w:sz="4" w:space="0"/>
            </w:tcBorders>
            <w:shd w:val="clear" w:color="auto" w:fill="auto"/>
            <w:vAlign w:val="center"/>
          </w:tcPr>
          <w:p w14:paraId="656C7C90">
            <w:pPr>
              <w:widowControl/>
              <w:spacing w:line="360" w:lineRule="auto"/>
              <w:jc w:val="center"/>
              <w:rPr>
                <w:rFonts w:hint="eastAsia" w:ascii="宋体" w:hAnsi="宋体" w:eastAsia="宋体" w:cs="宋体"/>
                <w:b w:val="0"/>
                <w:bCs w:val="0"/>
                <w:i w:val="0"/>
                <w:iCs w:val="0"/>
                <w:color w:val="auto"/>
                <w:sz w:val="24"/>
                <w:szCs w:val="24"/>
                <w:u w:val="none"/>
                <w:lang w:eastAsia="zh-CN"/>
              </w:rPr>
            </w:pPr>
            <w:r>
              <w:rPr>
                <w:rFonts w:hint="eastAsia" w:ascii="宋体" w:hAnsi="宋体" w:cs="宋体"/>
                <w:b w:val="0"/>
                <w:bCs w:val="0"/>
                <w:i w:val="0"/>
                <w:iCs w:val="0"/>
                <w:color w:val="auto"/>
                <w:sz w:val="24"/>
                <w:szCs w:val="24"/>
                <w:u w:val="none"/>
                <w:lang w:val="en-US" w:eastAsia="zh-CN"/>
              </w:rPr>
              <w:t>3</w:t>
            </w:r>
          </w:p>
        </w:tc>
      </w:tr>
      <w:tr w14:paraId="71F35F23">
        <w:tblPrEx>
          <w:tblCellMar>
            <w:top w:w="0" w:type="dxa"/>
            <w:left w:w="108" w:type="dxa"/>
            <w:bottom w:w="0" w:type="dxa"/>
            <w:right w:w="108" w:type="dxa"/>
          </w:tblCellMar>
        </w:tblPrEx>
        <w:trPr>
          <w:trHeight w:val="649" w:hRule="atLeast"/>
          <w:jc w:val="center"/>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14:paraId="26E93F64">
            <w:pPr>
              <w:widowControl/>
              <w:spacing w:line="360" w:lineRule="auto"/>
              <w:jc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4</w:t>
            </w:r>
          </w:p>
        </w:tc>
        <w:tc>
          <w:tcPr>
            <w:tcW w:w="1819" w:type="pct"/>
            <w:tcBorders>
              <w:top w:val="single" w:color="auto" w:sz="4" w:space="0"/>
              <w:left w:val="single" w:color="auto" w:sz="4" w:space="0"/>
              <w:bottom w:val="single" w:color="auto" w:sz="4" w:space="0"/>
              <w:right w:val="single" w:color="auto" w:sz="4" w:space="0"/>
            </w:tcBorders>
            <w:shd w:val="clear" w:color="auto" w:fill="auto"/>
            <w:vAlign w:val="center"/>
          </w:tcPr>
          <w:p w14:paraId="714D83E0">
            <w:pPr>
              <w:widowControl/>
              <w:spacing w:line="360" w:lineRule="auto"/>
              <w:ind w:right="-130" w:rightChars="-65"/>
              <w:jc w:val="left"/>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供应商提交项目审核意见，收集、汇总、装订项目资料</w:t>
            </w:r>
          </w:p>
        </w:tc>
        <w:tc>
          <w:tcPr>
            <w:tcW w:w="599" w:type="pct"/>
            <w:tcBorders>
              <w:top w:val="single" w:color="auto" w:sz="4" w:space="0"/>
              <w:left w:val="single" w:color="auto" w:sz="4" w:space="0"/>
              <w:bottom w:val="single" w:color="auto" w:sz="4" w:space="0"/>
              <w:right w:val="single" w:color="auto" w:sz="4" w:space="0"/>
            </w:tcBorders>
            <w:shd w:val="clear" w:color="auto" w:fill="auto"/>
            <w:vAlign w:val="center"/>
          </w:tcPr>
          <w:p w14:paraId="7CCDC66F">
            <w:pPr>
              <w:widowControl/>
              <w:spacing w:line="360" w:lineRule="auto"/>
              <w:jc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1</w:t>
            </w:r>
          </w:p>
        </w:tc>
        <w:tc>
          <w:tcPr>
            <w:tcW w:w="576" w:type="pct"/>
            <w:tcBorders>
              <w:top w:val="single" w:color="auto" w:sz="4" w:space="0"/>
              <w:left w:val="single" w:color="auto" w:sz="4" w:space="0"/>
              <w:bottom w:val="single" w:color="auto" w:sz="4" w:space="0"/>
              <w:right w:val="single" w:color="auto" w:sz="4" w:space="0"/>
            </w:tcBorders>
            <w:shd w:val="clear" w:color="auto" w:fill="auto"/>
            <w:vAlign w:val="center"/>
          </w:tcPr>
          <w:p w14:paraId="3E59A216">
            <w:pPr>
              <w:widowControl/>
              <w:spacing w:line="360" w:lineRule="auto"/>
              <w:jc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1</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182BE769">
            <w:pPr>
              <w:widowControl/>
              <w:spacing w:line="360" w:lineRule="auto"/>
              <w:jc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1</w:t>
            </w:r>
          </w:p>
        </w:tc>
        <w:tc>
          <w:tcPr>
            <w:tcW w:w="617" w:type="pct"/>
            <w:tcBorders>
              <w:top w:val="single" w:color="auto" w:sz="4" w:space="0"/>
              <w:left w:val="single" w:color="auto" w:sz="4" w:space="0"/>
              <w:bottom w:val="single" w:color="auto" w:sz="4" w:space="0"/>
              <w:right w:val="single" w:color="auto" w:sz="4" w:space="0"/>
            </w:tcBorders>
            <w:shd w:val="clear" w:color="auto" w:fill="auto"/>
            <w:vAlign w:val="center"/>
          </w:tcPr>
          <w:p w14:paraId="458866DD">
            <w:pPr>
              <w:widowControl/>
              <w:spacing w:line="360" w:lineRule="auto"/>
              <w:jc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2</w:t>
            </w:r>
          </w:p>
        </w:tc>
        <w:tc>
          <w:tcPr>
            <w:tcW w:w="532" w:type="pct"/>
            <w:tcBorders>
              <w:top w:val="single" w:color="auto" w:sz="4" w:space="0"/>
              <w:left w:val="single" w:color="auto" w:sz="4" w:space="0"/>
              <w:bottom w:val="single" w:color="auto" w:sz="4" w:space="0"/>
              <w:right w:val="single" w:color="auto" w:sz="4" w:space="0"/>
            </w:tcBorders>
            <w:shd w:val="clear" w:color="auto" w:fill="auto"/>
            <w:vAlign w:val="center"/>
          </w:tcPr>
          <w:p w14:paraId="111AF1B0">
            <w:pPr>
              <w:widowControl/>
              <w:spacing w:line="360" w:lineRule="auto"/>
              <w:jc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2</w:t>
            </w:r>
          </w:p>
        </w:tc>
      </w:tr>
    </w:tbl>
    <w:p w14:paraId="39C627E1">
      <w:pPr>
        <w:pStyle w:val="2"/>
        <w:keepNext w:val="0"/>
        <w:keepLines w:val="0"/>
        <w:pageBreakBefore w:val="0"/>
        <w:widowControl/>
        <w:numPr>
          <w:ilvl w:val="0"/>
          <w:numId w:val="0"/>
        </w:numPr>
        <w:tabs>
          <w:tab w:val="left" w:pos="0"/>
          <w:tab w:val="left" w:pos="3165"/>
          <w:tab w:val="center" w:pos="4153"/>
        </w:tabs>
        <w:kinsoku/>
        <w:wordWrap/>
        <w:overflowPunct/>
        <w:topLinePunct w:val="0"/>
        <w:autoSpaceDE w:val="0"/>
        <w:autoSpaceDN w:val="0"/>
        <w:bidi w:val="0"/>
        <w:adjustRightInd w:val="0"/>
        <w:snapToGrid/>
        <w:spacing w:before="40" w:after="20" w:line="360" w:lineRule="auto"/>
        <w:jc w:val="both"/>
        <w:rPr>
          <w:rFonts w:hint="eastAsia" w:ascii="宋体" w:hAnsi="宋体" w:eastAsia="宋体" w:cs="宋体"/>
          <w:color w:val="auto"/>
          <w:sz w:val="24"/>
          <w:szCs w:val="24"/>
          <w:lang w:val="en-US" w:eastAsia="zh-CN"/>
        </w:rPr>
      </w:pPr>
      <w:bookmarkStart w:id="6" w:name="_Toc111844960"/>
      <w:r>
        <w:rPr>
          <w:rFonts w:hint="eastAsia" w:ascii="宋体" w:hAnsi="宋体" w:eastAsia="宋体" w:cs="宋体"/>
          <w:color w:val="auto"/>
          <w:sz w:val="24"/>
          <w:szCs w:val="24"/>
          <w:lang w:val="en-US" w:eastAsia="zh-CN"/>
        </w:rPr>
        <w:t>五、服务标准</w:t>
      </w:r>
      <w:bookmarkEnd w:id="6"/>
    </w:p>
    <w:p w14:paraId="11F88DAF">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1.供应商要严格遵守国家的法律、法规和有关规章制度，严格遵守行为准则和职业道德，按现行的财政项目评审操作规程及质量控制规定开展工作。</w:t>
      </w:r>
    </w:p>
    <w:p w14:paraId="2CF723BA">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2.供应商对成果文件应实行内部“三级复核”制度。应依照相关依据发表专业意见出具成果文件，并对成果的真实性、完整性、准确性负责。</w:t>
      </w:r>
    </w:p>
    <w:p w14:paraId="68776305">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各类评审报告编制标准：评审内容完整、数据准确、依据充分；评审结论定性客观、定量准确、依据充分；核增核减原因定性准确、条理清晰，披露评审问题有理有据、分析透彻；提出评审建议措施具体、针对性强。</w:t>
      </w:r>
    </w:p>
    <w:p w14:paraId="176F2F40">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4.采购人将对供应商提交的评审意见和评审结论进行复审，复审结果因供应商造成严重质量问题的，采购人不支付该项目的评审费用，供应商必须承担由此造成的全部经济和法律责任。</w:t>
      </w:r>
    </w:p>
    <w:p w14:paraId="0BE5043C">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5.供应商应同意采购人在必要时有另择其他中介机构对已审定的工程结算进行复审的权利，若误差率大于3%，咨询人须接受如下处罚:(1)若 3%&lt;误差率&lt;5%时，由咨询人支付复审费用的20%；(2)若5%&lt;误差率&lt;8%时，除由咨询人支付全部复审费用外，应收回已支付的50%中介服务费用的；(3)若误差率&gt;8%时，除由咨询人支付全部复审费用外，委托人应收回已支付的100%中介服务费用，取消其受托资格，并视情节轻重追究相应责任。</w:t>
      </w:r>
    </w:p>
    <w:p w14:paraId="238C9F4C">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6.供应商递交的评审意见和评审结论经采购人、建设单位确认后，在后续工作过程中若由造价管理机构或其他单位发现审核结果存在严重错误（如漏项、漏计单价、由于小数点等原因造成工程量或单价误差较大、各表格之间的对应数据不一致等问题），供应商必须承担由此造成的全部经济和法律责任，并接受行业主管部门相关责任的处罚，采购人不支付该单项项目的审核费用。</w:t>
      </w:r>
    </w:p>
    <w:p w14:paraId="5CDC9DC4">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rPr>
          <w:b w:val="0"/>
          <w:bCs w:val="0"/>
          <w:i w:val="0"/>
          <w:iCs w:val="0"/>
          <w:color w:val="FF0000"/>
          <w:u w:val="single"/>
        </w:rPr>
      </w:pPr>
      <w:r>
        <w:rPr>
          <w:rFonts w:hint="eastAsia" w:ascii="宋体" w:hAnsi="宋体" w:eastAsia="宋体" w:cs="宋体"/>
          <w:color w:val="auto"/>
          <w:kern w:val="0"/>
          <w:sz w:val="24"/>
          <w:szCs w:val="24"/>
          <w:lang w:val="en-US" w:eastAsia="zh-CN" w:bidi="ar-SA"/>
        </w:rPr>
        <w:t>7.因客观原因导致已审核的项目需要重新审核的，供应商须无条件配合并重新进行审核、出具审核成果，采购人不再另行支付供应商相关费用，供应商需充分考虑该因素进行响应。</w:t>
      </w:r>
    </w:p>
    <w:p w14:paraId="72888E24">
      <w:pPr>
        <w:pStyle w:val="2"/>
        <w:keepNext w:val="0"/>
        <w:keepLines w:val="0"/>
        <w:pageBreakBefore w:val="0"/>
        <w:widowControl/>
        <w:numPr>
          <w:ilvl w:val="0"/>
          <w:numId w:val="0"/>
        </w:numPr>
        <w:tabs>
          <w:tab w:val="left" w:pos="0"/>
          <w:tab w:val="left" w:pos="3165"/>
          <w:tab w:val="center" w:pos="4153"/>
        </w:tabs>
        <w:kinsoku/>
        <w:wordWrap/>
        <w:overflowPunct/>
        <w:topLinePunct w:val="0"/>
        <w:autoSpaceDE w:val="0"/>
        <w:autoSpaceDN w:val="0"/>
        <w:bidi w:val="0"/>
        <w:adjustRightInd w:val="0"/>
        <w:snapToGrid/>
        <w:spacing w:before="40" w:after="20" w:line="360" w:lineRule="auto"/>
        <w:jc w:val="both"/>
        <w:rPr>
          <w:rFonts w:hint="eastAsia" w:ascii="宋体" w:hAnsi="宋体" w:eastAsia="宋体" w:cs="宋体"/>
          <w:color w:val="auto"/>
          <w:sz w:val="24"/>
          <w:szCs w:val="24"/>
          <w:lang w:val="en-US" w:eastAsia="zh-CN"/>
        </w:rPr>
      </w:pPr>
      <w:bookmarkStart w:id="7" w:name="_Toc111844961"/>
      <w:r>
        <w:rPr>
          <w:rFonts w:hint="eastAsia" w:ascii="宋体" w:hAnsi="宋体" w:eastAsia="宋体" w:cs="宋体"/>
          <w:color w:val="auto"/>
          <w:sz w:val="24"/>
          <w:szCs w:val="24"/>
          <w:lang w:val="en-US" w:eastAsia="zh-CN"/>
        </w:rPr>
        <w:t>六、工作方式及服务人员组成</w:t>
      </w:r>
      <w:bookmarkEnd w:id="7"/>
    </w:p>
    <w:p w14:paraId="191EC06F">
      <w:pPr>
        <w:pStyle w:val="2"/>
        <w:keepNext w:val="0"/>
        <w:keepLines w:val="0"/>
        <w:pageBreakBefore w:val="0"/>
        <w:widowControl/>
        <w:numPr>
          <w:ilvl w:val="0"/>
          <w:numId w:val="0"/>
        </w:numPr>
        <w:tabs>
          <w:tab w:val="left" w:pos="0"/>
          <w:tab w:val="left" w:pos="3165"/>
          <w:tab w:val="center" w:pos="4153"/>
        </w:tabs>
        <w:kinsoku/>
        <w:wordWrap/>
        <w:overflowPunct/>
        <w:topLinePunct w:val="0"/>
        <w:autoSpaceDE w:val="0"/>
        <w:autoSpaceDN w:val="0"/>
        <w:bidi w:val="0"/>
        <w:adjustRightInd w:val="0"/>
        <w:snapToGrid/>
        <w:spacing w:before="40" w:after="20" w:line="360" w:lineRule="auto"/>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（一）工作方式：</w:t>
      </w:r>
    </w:p>
    <w:p w14:paraId="2A067D4F">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1.采购人对项目委托后供应商应指派至少两名评审人员进点开展评审工作，并根据项目金额确定的评审时限提交工作成果。</w:t>
      </w:r>
    </w:p>
    <w:p w14:paraId="3BF5B62C">
      <w:pPr>
        <w:spacing w:line="480" w:lineRule="exact"/>
        <w:jc w:val="left"/>
        <w:rPr>
          <w:rFonts w:hint="eastAsia" w:ascii="宋体" w:hAnsi="宋体" w:eastAsia="宋体" w:cs="宋体"/>
          <w:color w:val="auto"/>
          <w:kern w:val="0"/>
          <w:sz w:val="24"/>
          <w:szCs w:val="24"/>
          <w:lang w:val="en-US" w:eastAsia="zh-CN" w:bidi="ar-SA"/>
        </w:rPr>
      </w:pPr>
      <w:r>
        <w:rPr>
          <w:rFonts w:hint="eastAsia" w:ascii="宋体" w:hAnsi="宋体" w:eastAsia="宋体" w:cs="宋体"/>
          <w:b/>
          <w:color w:val="auto"/>
          <w:kern w:val="0"/>
          <w:sz w:val="24"/>
          <w:szCs w:val="24"/>
          <w:lang w:val="en-US" w:eastAsia="zh-CN" w:bidi="ar-SA"/>
        </w:rPr>
        <w:t>（二）服务人员组成及要求：</w:t>
      </w:r>
    </w:p>
    <w:p w14:paraId="0C489C95">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1.项目负责人要求</w:t>
      </w:r>
    </w:p>
    <w:p w14:paraId="06ED5226">
      <w:pPr>
        <w:spacing w:line="480" w:lineRule="exact"/>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SA"/>
        </w:rPr>
        <w:t>供应商派一名项目技术负责人（可兼项目负责人）与采购人及相关单位进行有效沟通，随时向采购人汇报工作，跟进项目进度，确保审核质量并承担相应责任，组织相关评审工作，能够就评审中的重大技术问题、重大争议与纠纷提出处理建议，按规定提交采购人要求的各项意见和审核报告。</w:t>
      </w:r>
      <w:r>
        <w:rPr>
          <w:rFonts w:hint="eastAsia" w:ascii="宋体" w:hAnsi="宋体" w:eastAsia="宋体" w:cs="宋体"/>
          <w:color w:val="auto"/>
          <w:sz w:val="24"/>
          <w:szCs w:val="24"/>
          <w:lang w:val="en-US" w:eastAsia="zh-CN"/>
        </w:rPr>
        <w:t xml:space="preserve">      </w:t>
      </w:r>
    </w:p>
    <w:p w14:paraId="51EFFA6B">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2.项目评审人员要求</w:t>
      </w:r>
    </w:p>
    <w:p w14:paraId="3BADE1DC">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①成交供应商应配合委托人收集评审资料，接受委托人对评审业务的监督及管理， </w:t>
      </w:r>
    </w:p>
    <w:p w14:paraId="342F1125">
      <w:pPr>
        <w:spacing w:line="480" w:lineRule="exact"/>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SA"/>
        </w:rPr>
        <w:t>项目技术负责人（可兼项目负责人）1 名，须持有国家注册一级造价工程师证书，并人员固定，各专业造价人员配备合理，满足编制和审核的要求（填写与投标人员一致的人员姓名及联系方式，附资质证明材料）：</w:t>
      </w:r>
      <w:r>
        <w:rPr>
          <w:rFonts w:hint="eastAsia" w:ascii="宋体" w:hAnsi="宋体" w:eastAsia="宋体" w:cs="宋体"/>
          <w:color w:val="auto"/>
          <w:sz w:val="24"/>
          <w:szCs w:val="24"/>
          <w:lang w:val="en-US" w:eastAsia="zh-CN"/>
        </w:rPr>
        <w:t xml:space="preserve"> </w:t>
      </w:r>
    </w:p>
    <w:p w14:paraId="0CA0FF0F">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供应商应根据采购人工作需要，至少派两名沟通能力强，熟悉政府评审工作流程，具备岗位匹配专业技术的本单位专职工作人员参与评审、技术探讨和提供日常咨询业务。原则上评审人员在合同期内不予更换，如需更换，须经采购人审核同意。如不能按要求派驻评审人员，采购人有权不向其委托评审项目（响应文件中应提供派驻评审人员名单及执业资格资料）。</w:t>
      </w:r>
    </w:p>
    <w:p w14:paraId="74FA2994">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②如果供应商需要更换项目负责人或评审人员时，需提前</w:t>
      </w:r>
      <w:r>
        <w:rPr>
          <w:rFonts w:hint="eastAsia" w:ascii="宋体" w:hAnsi="宋体" w:cs="宋体"/>
          <w:color w:val="auto"/>
          <w:kern w:val="0"/>
          <w:sz w:val="24"/>
          <w:szCs w:val="24"/>
          <w:lang w:val="en-US" w:eastAsia="zh-CN" w:bidi="ar-SA"/>
        </w:rPr>
        <w:t>2</w:t>
      </w:r>
      <w:r>
        <w:rPr>
          <w:rFonts w:hint="eastAsia" w:ascii="宋体" w:hAnsi="宋体" w:eastAsia="宋体" w:cs="宋体"/>
          <w:color w:val="auto"/>
          <w:kern w:val="0"/>
          <w:sz w:val="24"/>
          <w:szCs w:val="24"/>
          <w:lang w:val="en-US" w:eastAsia="zh-CN" w:bidi="ar-SA"/>
        </w:rPr>
        <w:t>个月向采购人提出申请并得到采购人的同意。采购人认为供应商实际投入的评审人员不足以满足任务需要或认为评审人员不称职时，可向供应商发出要求增加或更换评审人员的通知,供应商应及时增加或更换符合采购人需求的评审人员，由此产生的费用由供应商自行承担。</w:t>
      </w:r>
    </w:p>
    <w:p w14:paraId="68215F38">
      <w:pPr>
        <w:spacing w:line="480" w:lineRule="exact"/>
        <w:jc w:val="left"/>
        <w:rPr>
          <w:rFonts w:hint="eastAsia" w:ascii="宋体" w:hAnsi="宋体" w:eastAsia="宋体" w:cs="宋体"/>
          <w:color w:val="auto"/>
          <w:kern w:val="0"/>
          <w:sz w:val="24"/>
          <w:szCs w:val="24"/>
          <w:lang w:val="en-US" w:eastAsia="zh-CN" w:bidi="ar-SA"/>
        </w:rPr>
      </w:pPr>
      <w:bookmarkStart w:id="8" w:name="_Toc111844962"/>
      <w:r>
        <w:rPr>
          <w:rFonts w:hint="eastAsia" w:ascii="宋体" w:hAnsi="宋体" w:eastAsia="宋体" w:cs="宋体"/>
          <w:b/>
          <w:color w:val="auto"/>
          <w:sz w:val="24"/>
          <w:szCs w:val="24"/>
          <w:lang w:val="en-US" w:eastAsia="zh-CN" w:bidi="ar-SA"/>
        </w:rPr>
        <w:t>七、服务费</w:t>
      </w:r>
      <w:bookmarkEnd w:id="8"/>
      <w:r>
        <w:rPr>
          <w:rFonts w:hint="eastAsia" w:ascii="宋体" w:hAnsi="宋体" w:eastAsia="宋体" w:cs="宋体"/>
          <w:b/>
          <w:color w:val="auto"/>
          <w:sz w:val="24"/>
          <w:szCs w:val="24"/>
          <w:lang w:val="en-US" w:eastAsia="zh-CN" w:bidi="ar-SA"/>
        </w:rPr>
        <w:t>标准</w:t>
      </w:r>
    </w:p>
    <w:p w14:paraId="1C9410BB">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为保证项目服务质量，委托评审服务费将根据被委托的项目类别确定委托服务费，具体如下：</w:t>
      </w:r>
    </w:p>
    <w:p w14:paraId="7D49F3B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right="0" w:rightChars="0" w:firstLine="420" w:firstLineChars="0"/>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1、工程类项目预算</w:t>
      </w:r>
      <w:r>
        <w:rPr>
          <w:rFonts w:hint="eastAsia" w:ascii="宋体" w:hAnsi="宋体" w:cs="宋体"/>
          <w:color w:val="auto"/>
          <w:kern w:val="0"/>
          <w:sz w:val="24"/>
          <w:szCs w:val="24"/>
          <w:lang w:val="en-US" w:eastAsia="zh-CN" w:bidi="ar-SA"/>
        </w:rPr>
        <w:t>评审</w:t>
      </w:r>
      <w:r>
        <w:rPr>
          <w:rFonts w:hint="eastAsia" w:ascii="宋体" w:hAnsi="宋体" w:eastAsia="宋体" w:cs="宋体"/>
          <w:color w:val="auto"/>
          <w:kern w:val="0"/>
          <w:sz w:val="24"/>
          <w:szCs w:val="24"/>
          <w:lang w:val="en-US" w:eastAsia="zh-CN" w:bidi="ar-SA"/>
        </w:rPr>
        <w:t>、竣工结算评审项目的委托评审服务费，以审定金额为基准，以新疆计划委员会、自治区建设厅《关于下达新疆维吾尔自治区工程造价咨询服务收费管理规定的通知》（新计价房﹝2002﹞866号）所列示标准的基础上按优惠率40％（即:打6折）确定付费金额。咨询费不足1000元的按1000元确定结算服务费。</w:t>
      </w:r>
    </w:p>
    <w:p w14:paraId="0C0B25B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right="0" w:rightChars="0" w:firstLine="420" w:firstLineChars="0"/>
        <w:textAlignment w:val="baseline"/>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2、</w:t>
      </w:r>
      <w:r>
        <w:rPr>
          <w:rFonts w:hint="eastAsia" w:ascii="宋体" w:hAnsi="宋体" w:eastAsia="宋体" w:cs="宋体"/>
          <w:color w:val="auto"/>
          <w:kern w:val="0"/>
          <w:sz w:val="24"/>
          <w:szCs w:val="24"/>
          <w:lang w:val="en-US" w:eastAsia="zh-CN" w:bidi="ar-SA"/>
        </w:rPr>
        <w:t>工程类项目预算</w:t>
      </w:r>
      <w:r>
        <w:rPr>
          <w:rFonts w:hint="eastAsia" w:ascii="宋体" w:hAnsi="宋体" w:cs="宋体"/>
          <w:color w:val="auto"/>
          <w:kern w:val="0"/>
          <w:sz w:val="24"/>
          <w:szCs w:val="24"/>
          <w:lang w:val="en-US" w:eastAsia="zh-CN" w:bidi="ar-SA"/>
        </w:rPr>
        <w:t>抽审</w:t>
      </w:r>
      <w:r>
        <w:rPr>
          <w:rFonts w:hint="eastAsia" w:ascii="宋体" w:hAnsi="宋体" w:eastAsia="宋体" w:cs="宋体"/>
          <w:color w:val="auto"/>
          <w:kern w:val="0"/>
          <w:sz w:val="24"/>
          <w:szCs w:val="24"/>
          <w:lang w:val="en-US" w:eastAsia="zh-CN" w:bidi="ar-SA"/>
        </w:rPr>
        <w:t>，以审定金额为基准，对于</w:t>
      </w:r>
      <w:r>
        <w:rPr>
          <w:rFonts w:hint="eastAsia" w:ascii="宋体" w:hAnsi="宋体" w:cs="宋体"/>
          <w:color w:val="auto"/>
          <w:kern w:val="0"/>
          <w:sz w:val="24"/>
          <w:szCs w:val="24"/>
          <w:lang w:val="en-US" w:eastAsia="zh-CN" w:bidi="ar-SA"/>
        </w:rPr>
        <w:t>预算抽</w:t>
      </w:r>
      <w:r>
        <w:rPr>
          <w:rFonts w:hint="eastAsia" w:ascii="宋体" w:hAnsi="宋体" w:eastAsia="宋体" w:cs="宋体"/>
          <w:color w:val="auto"/>
          <w:kern w:val="0"/>
          <w:sz w:val="24"/>
          <w:szCs w:val="24"/>
          <w:lang w:val="en-US" w:eastAsia="zh-CN" w:bidi="ar-SA"/>
        </w:rPr>
        <w:t xml:space="preserve">审项目按照五个档（100万元-500万元， 500万元-1000万元，1000万元-5000万元，5000万元-1亿元，1 亿元以上，）进行付费，复审公司只需要出具复审意见，复审意见反馈给初审公司，初审公司对其进行修改完善并出具最终的定案报告。付费标准如下： </w:t>
      </w:r>
    </w:p>
    <w:p w14:paraId="599E18CE">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（一）100 万元-500 万元：   1000 元/项目 </w:t>
      </w:r>
    </w:p>
    <w:p w14:paraId="10CC12BC">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（二）500 万元-1000 万元：  2000 元/项目 </w:t>
      </w:r>
    </w:p>
    <w:p w14:paraId="0709BB67">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（三）1000 万元-5000 万元： 3000 元/项目 </w:t>
      </w:r>
    </w:p>
    <w:p w14:paraId="0118407A">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（四）5000 万元-1 亿元：    4000 元/项目 </w:t>
      </w:r>
    </w:p>
    <w:p w14:paraId="77A6723C">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（五）1 亿元以上：          5000 元/项目</w:t>
      </w:r>
    </w:p>
    <w:p w14:paraId="584FCE26">
      <w:pPr>
        <w:numPr>
          <w:ilvl w:val="0"/>
          <w:numId w:val="0"/>
        </w:numPr>
        <w:spacing w:line="480" w:lineRule="exact"/>
        <w:ind w:firstLine="420" w:firstLineChars="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工程类项目竣工结算复审，对于项目单位采用全过程跟踪评审的项目进行竣工结算复审，以审定金额为基准。复审公司只需要出具复审意见，复审意见反馈给初审公司，初审公司对其进行修改完善并出具最终的定案报告。付费标准如下：</w:t>
      </w:r>
    </w:p>
    <w:p w14:paraId="386E251C">
      <w:pPr>
        <w:numPr>
          <w:ilvl w:val="0"/>
          <w:numId w:val="0"/>
        </w:num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2000万（含）以上项目：按照审定金额的0.5</w:t>
      </w:r>
      <w:r>
        <w:rPr>
          <w:rFonts w:hint="default" w:ascii="宋体" w:hAnsi="宋体" w:eastAsia="宋体" w:cs="宋体"/>
          <w:color w:val="auto"/>
          <w:kern w:val="0"/>
          <w:sz w:val="24"/>
          <w:szCs w:val="24"/>
          <w:lang w:val="en-US" w:eastAsia="zh-CN" w:bidi="ar-SA"/>
        </w:rPr>
        <w:t>‰</w:t>
      </w:r>
      <w:r>
        <w:rPr>
          <w:rFonts w:hint="eastAsia" w:ascii="宋体" w:hAnsi="宋体" w:eastAsia="宋体" w:cs="宋体"/>
          <w:color w:val="auto"/>
          <w:kern w:val="0"/>
          <w:sz w:val="24"/>
          <w:szCs w:val="24"/>
          <w:lang w:val="en-US" w:eastAsia="zh-CN" w:bidi="ar-SA"/>
        </w:rPr>
        <w:t>为基础费用+核减额的1.5%；</w:t>
      </w:r>
    </w:p>
    <w:p w14:paraId="40D56B05">
      <w:pPr>
        <w:numPr>
          <w:ilvl w:val="0"/>
          <w:numId w:val="0"/>
        </w:numPr>
        <w:spacing w:line="480" w:lineRule="exact"/>
        <w:ind w:firstLine="480" w:firstLineChars="200"/>
        <w:jc w:val="left"/>
        <w:rPr>
          <w:rFonts w:hint="eastAsia" w:ascii="宋体" w:hAnsi="宋体" w:eastAsia="宋体" w:cs="宋体"/>
          <w:color w:val="auto"/>
          <w:kern w:val="0"/>
          <w:sz w:val="30"/>
          <w:szCs w:val="30"/>
          <w:lang w:val="en-US" w:eastAsia="zh-CN" w:bidi="ar-SA"/>
        </w:rPr>
      </w:pPr>
      <w:r>
        <w:rPr>
          <w:rFonts w:hint="eastAsia" w:ascii="宋体" w:hAnsi="宋体" w:eastAsia="宋体" w:cs="宋体"/>
          <w:color w:val="auto"/>
          <w:kern w:val="0"/>
          <w:sz w:val="24"/>
          <w:szCs w:val="24"/>
          <w:lang w:val="en-US" w:eastAsia="zh-CN" w:bidi="ar-SA"/>
        </w:rPr>
        <w:t>2000万以下的项目：按照审定金额的0.5</w:t>
      </w:r>
      <w:r>
        <w:rPr>
          <w:rFonts w:hint="default" w:ascii="宋体" w:hAnsi="宋体" w:eastAsia="宋体" w:cs="宋体"/>
          <w:color w:val="auto"/>
          <w:kern w:val="0"/>
          <w:sz w:val="24"/>
          <w:szCs w:val="24"/>
          <w:lang w:val="en-US" w:eastAsia="zh-CN" w:bidi="ar-SA"/>
        </w:rPr>
        <w:t>‰</w:t>
      </w:r>
      <w:r>
        <w:rPr>
          <w:rFonts w:hint="eastAsia" w:ascii="宋体" w:hAnsi="宋体" w:eastAsia="宋体" w:cs="宋体"/>
          <w:color w:val="auto"/>
          <w:kern w:val="0"/>
          <w:sz w:val="24"/>
          <w:szCs w:val="24"/>
          <w:lang w:val="en-US" w:eastAsia="zh-CN" w:bidi="ar-SA"/>
        </w:rPr>
        <w:t>为基础费用+按照核减额的2%组成计取。</w:t>
      </w:r>
    </w:p>
    <w:p w14:paraId="4304CAEB">
      <w:pPr>
        <w:numPr>
          <w:ilvl w:val="0"/>
          <w:numId w:val="0"/>
        </w:numPr>
        <w:ind w:firstLine="480" w:firstLineChars="200"/>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4、其它各项咨询服务按照补充协议相关内容执行。</w:t>
      </w:r>
    </w:p>
    <w:p w14:paraId="2D38360D">
      <w:pPr>
        <w:pStyle w:val="20"/>
        <w:rPr>
          <w:rFonts w:hint="eastAsia"/>
          <w:color w:val="auto"/>
          <w:lang w:val="en-US" w:eastAsia="zh-CN"/>
        </w:rPr>
      </w:pPr>
    </w:p>
    <w:p w14:paraId="2975EF26">
      <w:pPr>
        <w:spacing w:line="480" w:lineRule="exact"/>
        <w:jc w:val="left"/>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bidi="ar-SA"/>
        </w:rPr>
        <w:t xml:space="preserve"> 八、其他</w:t>
      </w:r>
    </w:p>
    <w:p w14:paraId="7A376A85">
      <w:pPr>
        <w:spacing w:line="480" w:lineRule="exact"/>
        <w:ind w:firstLine="420" w:firstLineChars="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1.供应商应按照《中华人民共和国保守国家秘密法》、《中华人民共和国国家安全法》等安全保密相关规定，存储、保管和清理评审数据电子版和纸质版资料。不得将相关数据信息资料外泄给不相关人员，包括供应商内部不相关人员，不得泄露采购人及所承接项目的任何商业机密，不得未经采购人同意擅自对外公开评审结论。 </w:t>
      </w:r>
    </w:p>
    <w:p w14:paraId="344B25BA">
      <w:pPr>
        <w:spacing w:line="480" w:lineRule="exact"/>
        <w:ind w:firstLine="420" w:firstLineChars="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2.评审人员应严格遵守廉洁自律的有关规定，坚决抵制各种可能影响客观公正评审的商业贿赂，坚决不搞人情评审，避免和杜绝吃拿卡要的不良行为。如因评审人员原因出现违规违纪行为，应及时处理并承担相应法律责任，一经发现，采购人将有权终止协议并报相关部门备案，且不能参与后续年度采购事项，采购人有权追究其相关责任。 </w:t>
      </w:r>
    </w:p>
    <w:p w14:paraId="7E38CA18">
      <w:pPr>
        <w:spacing w:line="480" w:lineRule="exact"/>
        <w:ind w:firstLine="420" w:firstLineChars="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3.供应商自觉遵守回避原则：供应商及其专业技术人员必须严格遵守回避原则，确保在参与相关项目时不会同时涉足投标预算的编制和工程结算编制（无论是受项目单位委托还是施工方委托）。一旦发现有任何违反此规定的行为，供应商应立即主动向采购人提交书面报告，并自觉回避相关活动。若供应商违反前述规定，一经查实，采购人有权立即终止与其的协议，并将此情况上报至相关部门备案。此外，该供应商将被禁止参与后续年度的采购事项，以示惩戒。 </w:t>
      </w:r>
    </w:p>
    <w:p w14:paraId="12063E07">
      <w:pPr>
        <w:spacing w:line="480" w:lineRule="exact"/>
        <w:ind w:firstLine="420" w:firstLineChars="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4.供应商无正当理由不得拒绝采购人各类评审项目的委托。供应商接到项目通知后应按时响应并安排人员对接资料接收等相关工作，应严格按国家有关标准提供相关评审服务，并在接收资料后按时递交成果文件。 </w:t>
      </w:r>
    </w:p>
    <w:p w14:paraId="524D7F6C">
      <w:pPr>
        <w:spacing w:line="480" w:lineRule="exact"/>
        <w:ind w:firstLine="420" w:firstLineChars="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5.严格按照采购人提出的评审时限及评审工作要求完成评审任务并整理装订项目资料提交归档。 </w:t>
      </w:r>
    </w:p>
    <w:p w14:paraId="759E9CB2">
      <w:pPr>
        <w:spacing w:line="480" w:lineRule="exact"/>
        <w:ind w:firstLine="420" w:firstLineChars="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6.供应商不得将采购人委托的评审工作转交或分包给第三方完成，一经发现，采购人将有权终止协议并报相关部门备案，且不能参与后续年度采购事项。 </w:t>
      </w:r>
    </w:p>
    <w:p w14:paraId="3FB8EF5D">
      <w:pPr>
        <w:spacing w:line="480" w:lineRule="exact"/>
        <w:ind w:firstLine="420" w:firstLineChars="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7.评审人员在项目评审中，应该恪守客观公正、实事求是的原则，确保评审工作的真实完整和准确性，保证评审质量。 </w:t>
      </w:r>
    </w:p>
    <w:p w14:paraId="67D83F51">
      <w:pPr>
        <w:spacing w:line="480" w:lineRule="exact"/>
        <w:ind w:firstLine="420" w:firstLineChars="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8.本框架协议采购征集的 14 家服务单位，在签订框架协议后，在签订服务合同前，框架协议入围单位须在新疆建设云造价咨询企业中完成基本信息登记工作，且需在伊犁 州定额管理站进行信息登记。</w:t>
      </w:r>
    </w:p>
    <w:p w14:paraId="268221CA">
      <w:pPr>
        <w:spacing w:line="480" w:lineRule="exact"/>
        <w:ind w:firstLine="420" w:firstLineChars="0"/>
        <w:jc w:val="left"/>
        <w:rPr>
          <w:rFonts w:ascii="Times New Roman" w:eastAsia="楷体"/>
          <w:color w:val="auto"/>
        </w:rPr>
      </w:pPr>
      <w:r>
        <w:rPr>
          <w:rFonts w:hint="eastAsia" w:ascii="宋体" w:hAnsi="宋体" w:cs="宋体"/>
          <w:color w:val="auto"/>
          <w:kern w:val="0"/>
          <w:sz w:val="24"/>
          <w:szCs w:val="24"/>
          <w:lang w:val="en-US" w:eastAsia="zh-CN" w:bidi="ar-SA"/>
        </w:rPr>
        <w:t>9.</w:t>
      </w:r>
      <w:r>
        <w:rPr>
          <w:rFonts w:hint="eastAsia" w:ascii="宋体" w:hAnsi="宋体" w:eastAsia="宋体" w:cs="宋体"/>
          <w:color w:val="auto"/>
          <w:kern w:val="0"/>
          <w:sz w:val="24"/>
          <w:szCs w:val="24"/>
          <w:lang w:val="en-US" w:eastAsia="zh-CN" w:bidi="ar-SA"/>
        </w:rPr>
        <w:t>本框架协议采购征集的 14 家服务单位，</w:t>
      </w:r>
      <w:r>
        <w:rPr>
          <w:rFonts w:hint="eastAsia" w:ascii="宋体" w:hAnsi="宋体" w:cs="宋体"/>
          <w:color w:val="auto"/>
          <w:kern w:val="0"/>
          <w:sz w:val="24"/>
          <w:szCs w:val="24"/>
          <w:lang w:val="en-US" w:eastAsia="zh-CN" w:bidi="ar-SA"/>
        </w:rPr>
        <w:t>在两年服务期内，</w:t>
      </w:r>
      <w:r>
        <w:rPr>
          <w:rFonts w:hint="eastAsia" w:ascii="宋体" w:hAnsi="宋体" w:eastAsia="宋体" w:cs="宋体"/>
          <w:color w:val="auto"/>
          <w:kern w:val="0"/>
          <w:sz w:val="24"/>
          <w:szCs w:val="24"/>
          <w:lang w:val="en-US" w:eastAsia="zh-CN" w:bidi="ar-SA"/>
        </w:rPr>
        <w:t>由采购人按照抽签方式直接选定造价咨询服务单位。</w:t>
      </w:r>
      <w:r>
        <w:rPr>
          <w:rFonts w:hint="eastAsia" w:ascii="宋体" w:hAnsi="宋体" w:eastAsia="宋体" w:cs="宋体"/>
          <w:color w:val="auto"/>
          <w:kern w:val="0"/>
          <w:sz w:val="24"/>
          <w:szCs w:val="24"/>
          <w:lang w:val="en-US" w:eastAsia="zh-CN" w:bidi="ar-SA"/>
        </w:rPr>
        <w:br w:type="page"/>
      </w:r>
    </w:p>
    <w:p w14:paraId="4276CD67">
      <w:pPr>
        <w:pStyle w:val="2"/>
        <w:numPr>
          <w:ilvl w:val="0"/>
          <w:numId w:val="0"/>
        </w:numPr>
        <w:tabs>
          <w:tab w:val="left" w:pos="0"/>
          <w:tab w:val="left" w:pos="3165"/>
          <w:tab w:val="center" w:pos="4153"/>
        </w:tabs>
        <w:autoSpaceDE w:val="0"/>
        <w:autoSpaceDN w:val="0"/>
        <w:adjustRightInd w:val="0"/>
        <w:spacing w:before="0" w:after="0" w:line="360" w:lineRule="auto"/>
        <w:jc w:val="center"/>
        <w:rPr>
          <w:rFonts w:ascii="Times New Roman" w:hAnsi="Times New Roman" w:eastAsia="楷体" w:cs="Times New Roman"/>
          <w:color w:val="auto"/>
          <w:spacing w:val="8"/>
          <w:sz w:val="30"/>
          <w:szCs w:val="30"/>
        </w:rPr>
      </w:pPr>
      <w:bookmarkStart w:id="9" w:name="_Toc17213"/>
      <w:r>
        <w:rPr>
          <w:rFonts w:ascii="Times New Roman" w:hAnsi="Times New Roman" w:eastAsia="楷体" w:cs="Times New Roman"/>
          <w:color w:val="auto"/>
          <w:spacing w:val="8"/>
          <w:sz w:val="30"/>
          <w:szCs w:val="30"/>
        </w:rPr>
        <w:t>第三部分  供应商须知</w:t>
      </w:r>
      <w:bookmarkEnd w:id="9"/>
    </w:p>
    <w:p w14:paraId="7F53F25A">
      <w:pPr>
        <w:pStyle w:val="2"/>
        <w:keepNext w:val="0"/>
        <w:keepLines w:val="0"/>
        <w:pageBreakBefore w:val="0"/>
        <w:widowControl/>
        <w:numPr>
          <w:ilvl w:val="0"/>
          <w:numId w:val="0"/>
        </w:numPr>
        <w:tabs>
          <w:tab w:val="left" w:pos="0"/>
          <w:tab w:val="left" w:pos="3165"/>
          <w:tab w:val="center" w:pos="4153"/>
        </w:tabs>
        <w:kinsoku/>
        <w:wordWrap/>
        <w:overflowPunct/>
        <w:topLinePunct w:val="0"/>
        <w:autoSpaceDE w:val="0"/>
        <w:autoSpaceDN w:val="0"/>
        <w:bidi w:val="0"/>
        <w:adjustRightInd w:val="0"/>
        <w:snapToGrid/>
        <w:spacing w:before="0" w:after="0" w:line="360" w:lineRule="auto"/>
        <w:jc w:val="center"/>
        <w:rPr>
          <w:rFonts w:hint="eastAsia" w:ascii="宋体" w:hAnsi="宋体" w:eastAsia="宋体" w:cs="宋体"/>
          <w:color w:val="auto"/>
          <w:sz w:val="28"/>
          <w:szCs w:val="28"/>
        </w:rPr>
      </w:pPr>
      <w:r>
        <w:rPr>
          <w:rFonts w:hint="eastAsia" w:ascii="宋体" w:hAnsi="宋体" w:eastAsia="宋体" w:cs="宋体"/>
          <w:b/>
          <w:color w:val="auto"/>
          <w:spacing w:val="8"/>
          <w:sz w:val="28"/>
          <w:szCs w:val="28"/>
        </w:rPr>
        <w:t>供应商须知前附表</w:t>
      </w:r>
    </w:p>
    <w:p w14:paraId="4CE178BB">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供应商须知前附表是对投标人须知正文的补充与细化补充，前附表与正文不一致之处，以前附表中内容为准。</w:t>
      </w:r>
    </w:p>
    <w:p w14:paraId="7906BB6C">
      <w:pPr>
        <w:pStyle w:val="54"/>
        <w:jc w:val="left"/>
        <w:rPr>
          <w:rFonts w:eastAsia="楷体"/>
          <w:bCs/>
          <w:color w:val="auto"/>
          <w:szCs w:val="24"/>
        </w:rPr>
      </w:pPr>
    </w:p>
    <w:tbl>
      <w:tblPr>
        <w:tblStyle w:val="30"/>
        <w:tblW w:w="5101" w:type="pct"/>
        <w:jc w:val="center"/>
        <w:tblLayout w:type="autofit"/>
        <w:tblCellMar>
          <w:top w:w="0" w:type="dxa"/>
          <w:left w:w="108" w:type="dxa"/>
          <w:bottom w:w="0" w:type="dxa"/>
          <w:right w:w="108" w:type="dxa"/>
        </w:tblCellMar>
      </w:tblPr>
      <w:tblGrid>
        <w:gridCol w:w="766"/>
        <w:gridCol w:w="1799"/>
        <w:gridCol w:w="6989"/>
      </w:tblGrid>
      <w:tr w14:paraId="0F6A166F">
        <w:tblPrEx>
          <w:tblCellMar>
            <w:top w:w="0" w:type="dxa"/>
            <w:left w:w="108" w:type="dxa"/>
            <w:bottom w:w="0" w:type="dxa"/>
            <w:right w:w="108" w:type="dxa"/>
          </w:tblCellMar>
        </w:tblPrEx>
        <w:trPr>
          <w:cantSplit/>
          <w:trHeight w:val="440" w:hRule="exact"/>
          <w:jc w:val="center"/>
        </w:trPr>
        <w:tc>
          <w:tcPr>
            <w:tcW w:w="401" w:type="pct"/>
            <w:tcBorders>
              <w:top w:val="double" w:color="000000" w:sz="4"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7CADA35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941" w:type="pct"/>
            <w:tcBorders>
              <w:top w:val="doub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3F5FC1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内  容</w:t>
            </w:r>
          </w:p>
        </w:tc>
        <w:tc>
          <w:tcPr>
            <w:tcW w:w="3656" w:type="pct"/>
            <w:tcBorders>
              <w:top w:val="double" w:color="000000" w:sz="4"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0D78BEFB">
            <w:pPr>
              <w:keepNext w:val="0"/>
              <w:keepLines w:val="0"/>
              <w:pageBreakBefore w:val="0"/>
              <w:widowControl/>
              <w:kinsoku/>
              <w:wordWrap/>
              <w:overflowPunct/>
              <w:topLinePunct w:val="0"/>
              <w:autoSpaceDE/>
              <w:autoSpaceDN/>
              <w:bidi w:val="0"/>
              <w:adjustRightInd/>
              <w:snapToGrid/>
              <w:spacing w:line="300" w:lineRule="exact"/>
              <w:ind w:left="-2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说明及要求</w:t>
            </w:r>
          </w:p>
        </w:tc>
      </w:tr>
      <w:tr w14:paraId="0E8951A5">
        <w:tblPrEx>
          <w:tblCellMar>
            <w:top w:w="0" w:type="dxa"/>
            <w:left w:w="108" w:type="dxa"/>
            <w:bottom w:w="0" w:type="dxa"/>
            <w:right w:w="108" w:type="dxa"/>
          </w:tblCellMar>
        </w:tblPrEx>
        <w:trPr>
          <w:cantSplit/>
          <w:trHeight w:val="581" w:hRule="exact"/>
          <w:jc w:val="center"/>
        </w:trPr>
        <w:tc>
          <w:tcPr>
            <w:tcW w:w="401" w:type="pct"/>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1F84392F">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w:t>
            </w:r>
          </w:p>
        </w:tc>
        <w:tc>
          <w:tcPr>
            <w:tcW w:w="94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14D5656">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征集人</w:t>
            </w:r>
          </w:p>
        </w:tc>
        <w:tc>
          <w:tcPr>
            <w:tcW w:w="3656" w:type="pct"/>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049B6DAC">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sz w:val="24"/>
                <w:szCs w:val="24"/>
                <w:lang w:val="en-US" w:eastAsia="zh-CN" w:bidi="ar-SA"/>
              </w:rPr>
            </w:pPr>
            <w:r>
              <w:rPr>
                <w:rFonts w:hint="eastAsia" w:ascii="宋体" w:hAnsi="宋体" w:eastAsia="宋体" w:cs="宋体"/>
                <w:sz w:val="24"/>
                <w:lang w:val="en-US" w:eastAsia="zh-CN" w:bidi="ar-SA"/>
              </w:rPr>
              <w:t>新疆金斌工程项目管理有限公司</w:t>
            </w:r>
          </w:p>
        </w:tc>
      </w:tr>
      <w:tr w14:paraId="65A9A597">
        <w:tblPrEx>
          <w:tblCellMar>
            <w:top w:w="0" w:type="dxa"/>
            <w:left w:w="108" w:type="dxa"/>
            <w:bottom w:w="0" w:type="dxa"/>
            <w:right w:w="108" w:type="dxa"/>
          </w:tblCellMar>
        </w:tblPrEx>
        <w:trPr>
          <w:cantSplit/>
          <w:trHeight w:val="1206" w:hRule="exact"/>
          <w:jc w:val="center"/>
        </w:trPr>
        <w:tc>
          <w:tcPr>
            <w:tcW w:w="401" w:type="pct"/>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22D873F9">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w:t>
            </w:r>
          </w:p>
        </w:tc>
        <w:tc>
          <w:tcPr>
            <w:tcW w:w="94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44F3B7D">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采购人</w:t>
            </w:r>
          </w:p>
        </w:tc>
        <w:tc>
          <w:tcPr>
            <w:tcW w:w="3656" w:type="pct"/>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1B1CC4AA">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名 称：巩留县财政局</w:t>
            </w:r>
          </w:p>
          <w:p w14:paraId="4ED9BA0B">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地 址：巩留县幸福路与桥勒盘路交汇处</w:t>
            </w:r>
          </w:p>
          <w:p w14:paraId="58601C52">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联系人：张</w:t>
            </w:r>
            <w:r>
              <w:rPr>
                <w:rFonts w:hint="eastAsia" w:hAnsi="宋体" w:cs="宋体"/>
                <w:sz w:val="24"/>
                <w:szCs w:val="24"/>
                <w:lang w:val="en-US" w:eastAsia="zh-CN" w:bidi="ar-SA"/>
              </w:rPr>
              <w:t>主任</w:t>
            </w:r>
          </w:p>
          <w:p w14:paraId="692352B7">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联系方式：0999-56</w:t>
            </w:r>
            <w:r>
              <w:rPr>
                <w:rFonts w:hint="eastAsia" w:hAnsi="宋体" w:cs="宋体"/>
                <w:sz w:val="24"/>
                <w:szCs w:val="24"/>
                <w:lang w:val="en-US" w:eastAsia="zh-CN" w:bidi="ar-SA"/>
              </w:rPr>
              <w:t>29801</w:t>
            </w:r>
            <w:r>
              <w:rPr>
                <w:rFonts w:hint="eastAsia" w:ascii="宋体" w:hAnsi="宋体" w:eastAsia="宋体" w:cs="宋体"/>
                <w:sz w:val="24"/>
                <w:szCs w:val="24"/>
                <w:lang w:val="en-US" w:eastAsia="zh-CN" w:bidi="ar-SA"/>
              </w:rPr>
              <w:t xml:space="preserve"> </w:t>
            </w:r>
          </w:p>
          <w:p w14:paraId="15ED8FC6">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jc w:val="both"/>
              <w:textAlignment w:val="auto"/>
              <w:rPr>
                <w:rFonts w:hint="eastAsia" w:ascii="宋体" w:hAnsi="宋体" w:eastAsia="宋体" w:cs="宋体"/>
                <w:sz w:val="24"/>
                <w:szCs w:val="24"/>
                <w:lang w:val="en-US" w:eastAsia="zh-CN" w:bidi="ar-SA"/>
              </w:rPr>
            </w:pPr>
          </w:p>
        </w:tc>
      </w:tr>
      <w:tr w14:paraId="2C1298D7">
        <w:tblPrEx>
          <w:tblCellMar>
            <w:top w:w="0" w:type="dxa"/>
            <w:left w:w="108" w:type="dxa"/>
            <w:bottom w:w="0" w:type="dxa"/>
            <w:right w:w="108" w:type="dxa"/>
          </w:tblCellMar>
        </w:tblPrEx>
        <w:trPr>
          <w:cantSplit/>
          <w:trHeight w:val="1289" w:hRule="exact"/>
          <w:jc w:val="center"/>
        </w:trPr>
        <w:tc>
          <w:tcPr>
            <w:tcW w:w="401" w:type="pct"/>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22C0E217">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w:t>
            </w:r>
          </w:p>
        </w:tc>
        <w:tc>
          <w:tcPr>
            <w:tcW w:w="94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3EBF0A3">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采购代理机构</w:t>
            </w:r>
          </w:p>
        </w:tc>
        <w:tc>
          <w:tcPr>
            <w:tcW w:w="3656" w:type="pct"/>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0EFB4FFD">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rPr>
              <w:t>名称</w:t>
            </w:r>
            <w:r>
              <w:rPr>
                <w:rFonts w:hint="eastAsia" w:ascii="宋体" w:hAnsi="宋体" w:eastAsia="宋体" w:cs="宋体"/>
                <w:color w:val="auto"/>
                <w:sz w:val="24"/>
                <w:szCs w:val="24"/>
                <w:lang w:val="en-US" w:eastAsia="zh-CN" w:bidi="ar-SA"/>
              </w:rPr>
              <w:t>：新疆金斌工程项目管理有限公司</w:t>
            </w:r>
          </w:p>
          <w:p w14:paraId="7EFED5D8">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地址：伊宁市福安国际1号商业楼413室</w:t>
            </w:r>
          </w:p>
          <w:p w14:paraId="071606E4">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 xml:space="preserve">联系人：黄新新  </w:t>
            </w:r>
          </w:p>
          <w:p w14:paraId="7F394274">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both"/>
              <w:textAlignment w:val="auto"/>
              <w:rPr>
                <w:rFonts w:hint="default" w:ascii="宋体" w:hAnsi="宋体" w:eastAsia="宋体" w:cs="宋体"/>
                <w:sz w:val="24"/>
                <w:szCs w:val="24"/>
                <w:lang w:val="en-US" w:eastAsia="zh-CN" w:bidi="ar-SA"/>
              </w:rPr>
            </w:pPr>
            <w:r>
              <w:rPr>
                <w:rFonts w:hint="eastAsia" w:ascii="宋体" w:hAnsi="宋体" w:eastAsia="宋体" w:cs="宋体"/>
                <w:color w:val="auto"/>
                <w:sz w:val="24"/>
                <w:szCs w:val="24"/>
                <w:lang w:val="en-US" w:eastAsia="zh-CN" w:bidi="ar-SA"/>
              </w:rPr>
              <w:t>联系电话：</w:t>
            </w:r>
            <w:r>
              <w:rPr>
                <w:rFonts w:hint="eastAsia" w:hAnsi="宋体" w:cs="宋体"/>
                <w:color w:val="auto"/>
                <w:sz w:val="24"/>
                <w:szCs w:val="24"/>
                <w:lang w:val="en-US" w:eastAsia="zh-CN" w:bidi="ar-SA"/>
              </w:rPr>
              <w:t>13201118511</w:t>
            </w:r>
          </w:p>
        </w:tc>
      </w:tr>
      <w:tr w14:paraId="0A7D77DB">
        <w:tblPrEx>
          <w:tblCellMar>
            <w:top w:w="0" w:type="dxa"/>
            <w:left w:w="108" w:type="dxa"/>
            <w:bottom w:w="0" w:type="dxa"/>
            <w:right w:w="108" w:type="dxa"/>
          </w:tblCellMar>
        </w:tblPrEx>
        <w:trPr>
          <w:cantSplit/>
          <w:trHeight w:val="444" w:hRule="exact"/>
          <w:jc w:val="center"/>
        </w:trPr>
        <w:tc>
          <w:tcPr>
            <w:tcW w:w="401" w:type="pct"/>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477A6CBC">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4</w:t>
            </w:r>
          </w:p>
        </w:tc>
        <w:tc>
          <w:tcPr>
            <w:tcW w:w="94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2FDFE26">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框架协议形式</w:t>
            </w:r>
          </w:p>
        </w:tc>
        <w:tc>
          <w:tcPr>
            <w:tcW w:w="3656" w:type="pct"/>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3160C374">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封闭式框架协议采购</w:t>
            </w:r>
          </w:p>
        </w:tc>
      </w:tr>
      <w:tr w14:paraId="4552DD8C">
        <w:tblPrEx>
          <w:tblCellMar>
            <w:top w:w="0" w:type="dxa"/>
            <w:left w:w="108" w:type="dxa"/>
            <w:bottom w:w="0" w:type="dxa"/>
            <w:right w:w="108" w:type="dxa"/>
          </w:tblCellMar>
        </w:tblPrEx>
        <w:trPr>
          <w:cantSplit/>
          <w:trHeight w:val="463" w:hRule="exact"/>
          <w:jc w:val="center"/>
        </w:trPr>
        <w:tc>
          <w:tcPr>
            <w:tcW w:w="401" w:type="pct"/>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3261E18A">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5</w:t>
            </w:r>
          </w:p>
        </w:tc>
        <w:tc>
          <w:tcPr>
            <w:tcW w:w="94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CF7B755">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项目实施地点</w:t>
            </w:r>
          </w:p>
        </w:tc>
        <w:tc>
          <w:tcPr>
            <w:tcW w:w="3656" w:type="pct"/>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0D26D51C">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巩留县</w:t>
            </w:r>
          </w:p>
        </w:tc>
      </w:tr>
      <w:tr w14:paraId="4D3620BC">
        <w:tblPrEx>
          <w:tblCellMar>
            <w:top w:w="0" w:type="dxa"/>
            <w:left w:w="108" w:type="dxa"/>
            <w:bottom w:w="0" w:type="dxa"/>
            <w:right w:w="108" w:type="dxa"/>
          </w:tblCellMar>
        </w:tblPrEx>
        <w:trPr>
          <w:cantSplit/>
          <w:trHeight w:val="1600" w:hRule="exact"/>
          <w:jc w:val="center"/>
        </w:trPr>
        <w:tc>
          <w:tcPr>
            <w:tcW w:w="401" w:type="pct"/>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444FDE11">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6</w:t>
            </w:r>
          </w:p>
        </w:tc>
        <w:tc>
          <w:tcPr>
            <w:tcW w:w="94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360146E">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服务范围</w:t>
            </w:r>
          </w:p>
        </w:tc>
        <w:tc>
          <w:tcPr>
            <w:tcW w:w="3656" w:type="pct"/>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585B6A9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本项目拟征集14家造价咨询服务单位，</w:t>
            </w:r>
            <w:r>
              <w:rPr>
                <w:rFonts w:hint="eastAsia" w:ascii="宋体" w:hAnsi="宋体" w:eastAsia="宋体" w:cs="宋体"/>
                <w:color w:val="auto"/>
                <w:kern w:val="0"/>
                <w:sz w:val="24"/>
                <w:szCs w:val="24"/>
                <w:lang w:val="en-US" w:eastAsia="zh-CN"/>
              </w:rPr>
              <w:t>为2025-2026年度巩留政府投资项目的工程类项目预算评审（抽审）、竣工结算评审（复审）及其它需要造价咨询公司参与的各项咨询服务。</w:t>
            </w:r>
            <w:r>
              <w:rPr>
                <w:rFonts w:hint="eastAsia" w:ascii="宋体" w:hAnsi="宋体" w:cs="宋体"/>
                <w:color w:val="auto"/>
                <w:kern w:val="0"/>
                <w:sz w:val="24"/>
                <w:szCs w:val="24"/>
                <w:lang w:val="en-US" w:eastAsia="zh-CN"/>
              </w:rPr>
              <w:t>框架协议有效期2年。</w:t>
            </w:r>
          </w:p>
        </w:tc>
      </w:tr>
      <w:tr w14:paraId="66F2D800">
        <w:tblPrEx>
          <w:tblCellMar>
            <w:top w:w="0" w:type="dxa"/>
            <w:left w:w="108" w:type="dxa"/>
            <w:bottom w:w="0" w:type="dxa"/>
            <w:right w:w="108" w:type="dxa"/>
          </w:tblCellMar>
        </w:tblPrEx>
        <w:trPr>
          <w:cantSplit/>
          <w:trHeight w:val="488" w:hRule="exact"/>
          <w:jc w:val="center"/>
        </w:trPr>
        <w:tc>
          <w:tcPr>
            <w:tcW w:w="401" w:type="pct"/>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3B7202AA">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7</w:t>
            </w:r>
          </w:p>
        </w:tc>
        <w:tc>
          <w:tcPr>
            <w:tcW w:w="94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B1889C7">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服务要求</w:t>
            </w:r>
          </w:p>
        </w:tc>
        <w:tc>
          <w:tcPr>
            <w:tcW w:w="3656" w:type="pct"/>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3DCFBF56">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详见第二部分服务采购需求</w:t>
            </w:r>
          </w:p>
        </w:tc>
      </w:tr>
      <w:tr w14:paraId="297DD239">
        <w:tblPrEx>
          <w:tblCellMar>
            <w:top w:w="0" w:type="dxa"/>
            <w:left w:w="108" w:type="dxa"/>
            <w:bottom w:w="0" w:type="dxa"/>
            <w:right w:w="108" w:type="dxa"/>
          </w:tblCellMar>
        </w:tblPrEx>
        <w:trPr>
          <w:cantSplit/>
          <w:trHeight w:val="484" w:hRule="exact"/>
          <w:jc w:val="center"/>
        </w:trPr>
        <w:tc>
          <w:tcPr>
            <w:tcW w:w="401" w:type="pct"/>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7F2724D6">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8</w:t>
            </w:r>
          </w:p>
        </w:tc>
        <w:tc>
          <w:tcPr>
            <w:tcW w:w="94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F43D56E">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合同履行期限</w:t>
            </w:r>
          </w:p>
        </w:tc>
        <w:tc>
          <w:tcPr>
            <w:tcW w:w="3656" w:type="pct"/>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3E9562B7">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202</w:t>
            </w:r>
            <w:r>
              <w:rPr>
                <w:rFonts w:hint="eastAsia" w:hAnsi="宋体" w:cs="宋体"/>
                <w:sz w:val="24"/>
                <w:szCs w:val="24"/>
                <w:lang w:val="en-US" w:eastAsia="zh-CN" w:bidi="ar-SA"/>
              </w:rPr>
              <w:t>5-2026</w:t>
            </w:r>
            <w:r>
              <w:rPr>
                <w:rFonts w:hint="eastAsia" w:ascii="宋体" w:hAnsi="宋体" w:eastAsia="宋体" w:cs="宋体"/>
                <w:sz w:val="24"/>
                <w:szCs w:val="24"/>
                <w:lang w:val="en-US" w:eastAsia="zh-CN" w:bidi="ar-SA"/>
              </w:rPr>
              <w:t>年度</w:t>
            </w:r>
            <w:r>
              <w:rPr>
                <w:rFonts w:hint="eastAsia" w:hAnsi="宋体" w:cs="宋体"/>
                <w:sz w:val="24"/>
                <w:szCs w:val="24"/>
                <w:lang w:val="en-US" w:eastAsia="zh-CN" w:bidi="ar-SA"/>
              </w:rPr>
              <w:t>，框架协议有效期2年</w:t>
            </w:r>
          </w:p>
        </w:tc>
      </w:tr>
      <w:tr w14:paraId="09EDC084">
        <w:tblPrEx>
          <w:tblCellMar>
            <w:top w:w="0" w:type="dxa"/>
            <w:left w:w="108" w:type="dxa"/>
            <w:bottom w:w="0" w:type="dxa"/>
            <w:right w:w="108" w:type="dxa"/>
          </w:tblCellMar>
        </w:tblPrEx>
        <w:trPr>
          <w:cantSplit/>
          <w:trHeight w:val="423" w:hRule="exact"/>
          <w:jc w:val="center"/>
        </w:trPr>
        <w:tc>
          <w:tcPr>
            <w:tcW w:w="401" w:type="pct"/>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4B409378">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9</w:t>
            </w:r>
          </w:p>
        </w:tc>
        <w:tc>
          <w:tcPr>
            <w:tcW w:w="94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79E9709">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资金来源</w:t>
            </w:r>
          </w:p>
        </w:tc>
        <w:tc>
          <w:tcPr>
            <w:tcW w:w="3656" w:type="pct"/>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0CACD7C9">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财政</w:t>
            </w:r>
            <w:r>
              <w:rPr>
                <w:rFonts w:hint="eastAsia" w:hAnsi="宋体" w:cs="宋体"/>
                <w:sz w:val="24"/>
                <w:szCs w:val="24"/>
                <w:lang w:val="en-US" w:eastAsia="zh-CN" w:bidi="ar-SA"/>
              </w:rPr>
              <w:t>或项目单位支付</w:t>
            </w:r>
          </w:p>
        </w:tc>
      </w:tr>
      <w:tr w14:paraId="1DBE7590">
        <w:tblPrEx>
          <w:tblCellMar>
            <w:top w:w="0" w:type="dxa"/>
            <w:left w:w="108" w:type="dxa"/>
            <w:bottom w:w="0" w:type="dxa"/>
            <w:right w:w="108" w:type="dxa"/>
          </w:tblCellMar>
        </w:tblPrEx>
        <w:trPr>
          <w:cantSplit/>
          <w:trHeight w:val="456" w:hRule="exact"/>
          <w:jc w:val="center"/>
        </w:trPr>
        <w:tc>
          <w:tcPr>
            <w:tcW w:w="401" w:type="pct"/>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023AB42E">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10</w:t>
            </w:r>
          </w:p>
        </w:tc>
        <w:tc>
          <w:tcPr>
            <w:tcW w:w="94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A6AF9AD">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投标有效期</w:t>
            </w:r>
          </w:p>
        </w:tc>
        <w:tc>
          <w:tcPr>
            <w:tcW w:w="3656" w:type="pct"/>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4243914B">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90日历日（从开标之日算起）</w:t>
            </w:r>
          </w:p>
        </w:tc>
      </w:tr>
      <w:tr w14:paraId="7A17026C">
        <w:tblPrEx>
          <w:tblCellMar>
            <w:top w:w="0" w:type="dxa"/>
            <w:left w:w="108" w:type="dxa"/>
            <w:bottom w:w="0" w:type="dxa"/>
            <w:right w:w="108" w:type="dxa"/>
          </w:tblCellMar>
        </w:tblPrEx>
        <w:trPr>
          <w:cantSplit/>
          <w:trHeight w:val="548" w:hRule="exact"/>
          <w:jc w:val="center"/>
        </w:trPr>
        <w:tc>
          <w:tcPr>
            <w:tcW w:w="401" w:type="pct"/>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7D703E4B">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11</w:t>
            </w:r>
          </w:p>
        </w:tc>
        <w:tc>
          <w:tcPr>
            <w:tcW w:w="94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4BC787A">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付款方式</w:t>
            </w:r>
          </w:p>
        </w:tc>
        <w:tc>
          <w:tcPr>
            <w:tcW w:w="3656" w:type="pct"/>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3B99D5CD">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rPr>
                <w:rFonts w:hint="default" w:ascii="宋体" w:hAnsi="宋体" w:eastAsia="宋体" w:cs="宋体"/>
                <w:sz w:val="24"/>
                <w:szCs w:val="24"/>
                <w:lang w:val="en-US" w:eastAsia="zh-CN" w:bidi="ar-SA"/>
              </w:rPr>
            </w:pPr>
            <w:r>
              <w:rPr>
                <w:rFonts w:hint="eastAsia" w:hAnsi="宋体" w:cs="宋体"/>
                <w:sz w:val="24"/>
                <w:szCs w:val="24"/>
                <w:lang w:val="en-US" w:eastAsia="zh-CN" w:bidi="ar-SA"/>
              </w:rPr>
              <w:t>第二阶段签订合同时约定</w:t>
            </w:r>
          </w:p>
        </w:tc>
      </w:tr>
      <w:tr w14:paraId="567B789E">
        <w:tblPrEx>
          <w:tblCellMar>
            <w:top w:w="0" w:type="dxa"/>
            <w:left w:w="108" w:type="dxa"/>
            <w:bottom w:w="0" w:type="dxa"/>
            <w:right w:w="108" w:type="dxa"/>
          </w:tblCellMar>
        </w:tblPrEx>
        <w:trPr>
          <w:cantSplit/>
          <w:trHeight w:val="1889" w:hRule="exact"/>
          <w:jc w:val="center"/>
        </w:trPr>
        <w:tc>
          <w:tcPr>
            <w:tcW w:w="401" w:type="pct"/>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055F7D9B">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12</w:t>
            </w:r>
          </w:p>
        </w:tc>
        <w:tc>
          <w:tcPr>
            <w:tcW w:w="94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07A30AE">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提交征集响应文件截止时间及地点</w:t>
            </w:r>
          </w:p>
        </w:tc>
        <w:tc>
          <w:tcPr>
            <w:tcW w:w="3656" w:type="pct"/>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081CAE77">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color w:val="auto"/>
                <w:sz w:val="24"/>
                <w:szCs w:val="24"/>
                <w:lang w:val="en-US" w:eastAsia="zh-CN" w:bidi="ar-SA"/>
              </w:rPr>
            </w:pPr>
            <w:r>
              <w:rPr>
                <w:rFonts w:hint="eastAsia" w:ascii="宋体" w:hAnsi="宋体" w:eastAsia="宋体" w:cs="宋体"/>
                <w:sz w:val="24"/>
                <w:szCs w:val="24"/>
                <w:lang w:val="en-US" w:eastAsia="zh-CN" w:bidi="ar-SA"/>
              </w:rPr>
              <w:t>时</w:t>
            </w:r>
            <w:r>
              <w:rPr>
                <w:rFonts w:hint="eastAsia" w:ascii="宋体" w:hAnsi="宋体" w:eastAsia="宋体" w:cs="宋体"/>
                <w:color w:val="auto"/>
                <w:sz w:val="24"/>
                <w:szCs w:val="24"/>
                <w:lang w:val="en-US" w:eastAsia="zh-CN" w:bidi="ar-SA"/>
              </w:rPr>
              <w:t>间：202</w:t>
            </w:r>
            <w:r>
              <w:rPr>
                <w:rFonts w:hint="eastAsia" w:hAnsi="宋体" w:cs="宋体"/>
                <w:color w:val="auto"/>
                <w:sz w:val="24"/>
                <w:szCs w:val="24"/>
                <w:lang w:val="en-US" w:eastAsia="zh-CN" w:bidi="ar-SA"/>
              </w:rPr>
              <w:t>5</w:t>
            </w:r>
            <w:r>
              <w:rPr>
                <w:rFonts w:hint="eastAsia" w:ascii="宋体" w:hAnsi="宋体" w:eastAsia="宋体" w:cs="宋体"/>
                <w:color w:val="auto"/>
                <w:sz w:val="24"/>
                <w:szCs w:val="24"/>
                <w:lang w:val="en-US" w:eastAsia="zh-CN" w:bidi="ar-SA"/>
              </w:rPr>
              <w:t>年</w:t>
            </w:r>
            <w:r>
              <w:rPr>
                <w:rFonts w:hint="eastAsia" w:hAnsi="宋体" w:cs="宋体"/>
                <w:color w:val="auto"/>
                <w:sz w:val="24"/>
                <w:szCs w:val="24"/>
                <w:lang w:val="en-US" w:eastAsia="zh-CN" w:bidi="ar-SA"/>
              </w:rPr>
              <w:t>2</w:t>
            </w:r>
            <w:r>
              <w:rPr>
                <w:rFonts w:hint="eastAsia" w:ascii="宋体" w:hAnsi="宋体" w:eastAsia="宋体" w:cs="宋体"/>
                <w:color w:val="auto"/>
                <w:sz w:val="24"/>
                <w:szCs w:val="24"/>
                <w:lang w:val="en-US" w:eastAsia="zh-CN" w:bidi="ar-SA"/>
              </w:rPr>
              <w:t>月</w:t>
            </w:r>
            <w:r>
              <w:rPr>
                <w:rFonts w:hint="eastAsia" w:hAnsi="宋体" w:cs="宋体"/>
                <w:color w:val="auto"/>
                <w:sz w:val="24"/>
                <w:szCs w:val="24"/>
                <w:lang w:val="en-US" w:eastAsia="zh-CN" w:bidi="ar-SA"/>
              </w:rPr>
              <w:t xml:space="preserve"> 10</w:t>
            </w:r>
            <w:r>
              <w:rPr>
                <w:rFonts w:hint="eastAsia" w:ascii="宋体" w:hAnsi="宋体" w:eastAsia="宋体" w:cs="宋体"/>
                <w:color w:val="auto"/>
                <w:sz w:val="24"/>
                <w:szCs w:val="24"/>
                <w:lang w:val="en-US" w:eastAsia="zh-CN" w:bidi="ar-SA"/>
              </w:rPr>
              <w:t>日1</w:t>
            </w:r>
            <w:r>
              <w:rPr>
                <w:rFonts w:hint="eastAsia" w:hAnsi="宋体" w:cs="宋体"/>
                <w:color w:val="auto"/>
                <w:sz w:val="24"/>
                <w:szCs w:val="24"/>
                <w:lang w:val="en-US" w:eastAsia="zh-CN" w:bidi="ar-SA"/>
              </w:rPr>
              <w:t>1</w:t>
            </w:r>
            <w:r>
              <w:rPr>
                <w:rFonts w:hint="eastAsia" w:ascii="宋体" w:hAnsi="宋体" w:eastAsia="宋体" w:cs="宋体"/>
                <w:color w:val="auto"/>
                <w:sz w:val="24"/>
                <w:szCs w:val="24"/>
                <w:lang w:val="en-US" w:eastAsia="zh-CN" w:bidi="ar-SA"/>
              </w:rPr>
              <w:t>点00分（北京时间）</w:t>
            </w:r>
          </w:p>
          <w:p w14:paraId="3150A8C5">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sz w:val="24"/>
                <w:szCs w:val="24"/>
                <w:lang w:val="en-US" w:eastAsia="zh-CN" w:bidi="ar-SA"/>
              </w:rPr>
            </w:pPr>
            <w:r>
              <w:rPr>
                <w:rFonts w:hint="eastAsia" w:ascii="宋体" w:hAnsi="宋体" w:eastAsia="宋体" w:cs="宋体"/>
                <w:color w:val="auto"/>
                <w:sz w:val="24"/>
                <w:szCs w:val="24"/>
                <w:lang w:val="en-US" w:eastAsia="zh-CN" w:bidi="ar-SA"/>
              </w:rPr>
              <w:t>地点：</w:t>
            </w:r>
            <w:r>
              <w:rPr>
                <w:rFonts w:hint="eastAsia" w:ascii="宋体" w:hAnsi="宋体" w:eastAsia="宋体" w:cs="宋体"/>
                <w:color w:val="auto"/>
                <w:sz w:val="24"/>
                <w:szCs w:val="24"/>
                <w:lang w:val="zh-CN" w:eastAsia="zh-CN" w:bidi="ar-SA"/>
              </w:rPr>
              <w:t>供应商在政采云平台</w:t>
            </w:r>
            <w:r>
              <w:rPr>
                <w:rFonts w:hint="eastAsia" w:ascii="宋体" w:hAnsi="宋体" w:eastAsia="宋体" w:cs="宋体"/>
                <w:color w:val="auto"/>
                <w:sz w:val="24"/>
                <w:szCs w:val="24"/>
                <w:lang w:val="en-US" w:eastAsia="zh-CN" w:bidi="ar-SA"/>
              </w:rPr>
              <w:t>http://www.zcygov</w:t>
            </w:r>
            <w:r>
              <w:rPr>
                <w:rFonts w:hint="eastAsia" w:ascii="宋体" w:hAnsi="宋体" w:eastAsia="宋体" w:cs="宋体"/>
                <w:sz w:val="24"/>
                <w:szCs w:val="24"/>
                <w:lang w:val="en-US" w:eastAsia="zh-CN" w:bidi="ar-SA"/>
              </w:rPr>
              <w:t>.cn/</w:t>
            </w:r>
            <w:r>
              <w:rPr>
                <w:rFonts w:hint="eastAsia" w:ascii="宋体" w:hAnsi="宋体" w:eastAsia="宋体" w:cs="宋体"/>
                <w:sz w:val="24"/>
                <w:szCs w:val="24"/>
                <w:lang w:val="zh-CN" w:eastAsia="zh-CN" w:bidi="ar-SA"/>
              </w:rPr>
              <w:t>不见面开标大厅远程参加开标活动，电子版投标文件提交至政采云平台在线投标，投标人无需到达评标现场。</w:t>
            </w:r>
          </w:p>
        </w:tc>
      </w:tr>
      <w:tr w14:paraId="3259ACA6">
        <w:tblPrEx>
          <w:tblCellMar>
            <w:top w:w="0" w:type="dxa"/>
            <w:left w:w="108" w:type="dxa"/>
            <w:bottom w:w="0" w:type="dxa"/>
            <w:right w:w="108" w:type="dxa"/>
          </w:tblCellMar>
        </w:tblPrEx>
        <w:trPr>
          <w:cantSplit/>
          <w:trHeight w:val="1988" w:hRule="exact"/>
          <w:jc w:val="center"/>
        </w:trPr>
        <w:tc>
          <w:tcPr>
            <w:tcW w:w="401" w:type="pct"/>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3CB3E3B0">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13</w:t>
            </w:r>
          </w:p>
        </w:tc>
        <w:tc>
          <w:tcPr>
            <w:tcW w:w="94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B006757">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开标时间</w:t>
            </w:r>
          </w:p>
          <w:p w14:paraId="15ABAF13">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及地点</w:t>
            </w:r>
          </w:p>
        </w:tc>
        <w:tc>
          <w:tcPr>
            <w:tcW w:w="3656" w:type="pct"/>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7FD7995B">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color w:val="auto"/>
                <w:sz w:val="24"/>
                <w:szCs w:val="24"/>
                <w:highlight w:val="green"/>
                <w:lang w:val="en-US" w:eastAsia="zh-CN" w:bidi="ar-SA"/>
              </w:rPr>
            </w:pPr>
            <w:r>
              <w:rPr>
                <w:rFonts w:hint="eastAsia" w:ascii="宋体" w:hAnsi="宋体" w:eastAsia="宋体" w:cs="宋体"/>
                <w:sz w:val="24"/>
                <w:szCs w:val="24"/>
                <w:lang w:val="en-US" w:eastAsia="zh-CN" w:bidi="ar-SA"/>
              </w:rPr>
              <w:t>开标时</w:t>
            </w:r>
            <w:r>
              <w:rPr>
                <w:rFonts w:hint="eastAsia" w:ascii="宋体" w:hAnsi="宋体" w:eastAsia="宋体" w:cs="宋体"/>
                <w:color w:val="auto"/>
                <w:sz w:val="24"/>
                <w:szCs w:val="24"/>
                <w:lang w:val="en-US" w:eastAsia="zh-CN" w:bidi="ar-SA"/>
              </w:rPr>
              <w:t>间：202</w:t>
            </w:r>
            <w:r>
              <w:rPr>
                <w:rFonts w:hint="eastAsia" w:hAnsi="宋体" w:cs="宋体"/>
                <w:color w:val="auto"/>
                <w:sz w:val="24"/>
                <w:szCs w:val="24"/>
                <w:lang w:val="en-US" w:eastAsia="zh-CN" w:bidi="ar-SA"/>
              </w:rPr>
              <w:t>5</w:t>
            </w:r>
            <w:r>
              <w:rPr>
                <w:rFonts w:hint="eastAsia" w:ascii="宋体" w:hAnsi="宋体" w:eastAsia="宋体" w:cs="宋体"/>
                <w:color w:val="auto"/>
                <w:sz w:val="24"/>
                <w:szCs w:val="24"/>
                <w:lang w:val="en-US" w:eastAsia="zh-CN" w:bidi="ar-SA"/>
              </w:rPr>
              <w:t xml:space="preserve">年 </w:t>
            </w:r>
            <w:r>
              <w:rPr>
                <w:rFonts w:hint="eastAsia" w:hAnsi="宋体" w:cs="宋体"/>
                <w:color w:val="auto"/>
                <w:sz w:val="24"/>
                <w:szCs w:val="24"/>
                <w:lang w:val="en-US" w:eastAsia="zh-CN" w:bidi="ar-SA"/>
              </w:rPr>
              <w:t>2</w:t>
            </w:r>
            <w:r>
              <w:rPr>
                <w:rFonts w:hint="eastAsia" w:ascii="宋体" w:hAnsi="宋体" w:eastAsia="宋体" w:cs="宋体"/>
                <w:color w:val="auto"/>
                <w:sz w:val="24"/>
                <w:szCs w:val="24"/>
                <w:lang w:val="en-US" w:eastAsia="zh-CN" w:bidi="ar-SA"/>
              </w:rPr>
              <w:t>月</w:t>
            </w:r>
            <w:r>
              <w:rPr>
                <w:rFonts w:hint="eastAsia" w:hAnsi="宋体" w:cs="宋体"/>
                <w:color w:val="auto"/>
                <w:sz w:val="24"/>
                <w:szCs w:val="24"/>
                <w:lang w:val="en-US" w:eastAsia="zh-CN" w:bidi="ar-SA"/>
              </w:rPr>
              <w:t>10</w:t>
            </w:r>
            <w:r>
              <w:rPr>
                <w:rFonts w:hint="eastAsia" w:ascii="宋体" w:hAnsi="宋体" w:eastAsia="宋体" w:cs="宋体"/>
                <w:color w:val="auto"/>
                <w:sz w:val="24"/>
                <w:szCs w:val="24"/>
                <w:lang w:val="en-US" w:eastAsia="zh-CN" w:bidi="ar-SA"/>
              </w:rPr>
              <w:t>日1</w:t>
            </w:r>
            <w:r>
              <w:rPr>
                <w:rFonts w:hint="eastAsia" w:hAnsi="宋体" w:cs="宋体"/>
                <w:color w:val="auto"/>
                <w:sz w:val="24"/>
                <w:szCs w:val="24"/>
                <w:lang w:val="en-US" w:eastAsia="zh-CN" w:bidi="ar-SA"/>
              </w:rPr>
              <w:t>1</w:t>
            </w:r>
            <w:r>
              <w:rPr>
                <w:rFonts w:hint="eastAsia" w:ascii="宋体" w:hAnsi="宋体" w:eastAsia="宋体" w:cs="宋体"/>
                <w:color w:val="auto"/>
                <w:sz w:val="24"/>
                <w:szCs w:val="24"/>
                <w:lang w:val="en-US" w:eastAsia="zh-CN" w:bidi="ar-SA"/>
              </w:rPr>
              <w:t>点00分（北京时间）</w:t>
            </w:r>
          </w:p>
          <w:p w14:paraId="1F5834CA">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供应商开标地点：请登录政采云投标客户端，在截止时间前将加密的电子响应文件（.jmbs）上传到新疆政府采购网对应的位置（逾期上传或者未上传指定地点的响应文件，采购人不予受理）。</w:t>
            </w:r>
          </w:p>
          <w:p w14:paraId="5618636E">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sz w:val="24"/>
                <w:szCs w:val="24"/>
                <w:lang w:val="en-US" w:eastAsia="zh-CN" w:bidi="ar-SA"/>
              </w:rPr>
            </w:pPr>
            <w:r>
              <w:rPr>
                <w:rFonts w:hint="eastAsia" w:ascii="宋体" w:hAnsi="宋体" w:eastAsia="宋体" w:cs="宋体"/>
                <w:color w:val="auto"/>
                <w:sz w:val="24"/>
                <w:szCs w:val="24"/>
                <w:lang w:val="en-US" w:eastAsia="zh-CN" w:bidi="ar-SA"/>
              </w:rPr>
              <w:t>现场开标地点：</w:t>
            </w:r>
            <w:r>
              <w:rPr>
                <w:rFonts w:hint="eastAsia" w:ascii="宋体" w:hAnsi="宋体" w:eastAsia="宋体" w:cs="宋体"/>
                <w:color w:val="auto"/>
                <w:sz w:val="24"/>
                <w:szCs w:val="24"/>
                <w:lang w:val="zh-CN" w:eastAsia="zh-CN" w:bidi="ar-SA"/>
              </w:rPr>
              <w:t>伊宁市开发区河北路福安国际</w:t>
            </w:r>
            <w:r>
              <w:rPr>
                <w:rFonts w:hint="eastAsia" w:ascii="宋体" w:hAnsi="宋体" w:eastAsia="宋体" w:cs="宋体"/>
                <w:sz w:val="24"/>
                <w:szCs w:val="24"/>
                <w:lang w:val="zh-CN" w:eastAsia="zh-CN" w:bidi="ar-SA"/>
              </w:rPr>
              <w:t>1号商业楼41</w:t>
            </w:r>
            <w:r>
              <w:rPr>
                <w:rFonts w:hint="eastAsia" w:ascii="宋体" w:hAnsi="宋体" w:eastAsia="宋体" w:cs="宋体"/>
                <w:sz w:val="24"/>
                <w:szCs w:val="24"/>
                <w:lang w:val="en-US" w:eastAsia="zh-CN" w:bidi="ar-SA"/>
              </w:rPr>
              <w:t>4</w:t>
            </w:r>
            <w:r>
              <w:rPr>
                <w:rFonts w:hint="eastAsia" w:ascii="宋体" w:hAnsi="宋体" w:eastAsia="宋体" w:cs="宋体"/>
                <w:sz w:val="24"/>
                <w:szCs w:val="24"/>
                <w:lang w:val="zh-CN" w:eastAsia="zh-CN" w:bidi="ar-SA"/>
              </w:rPr>
              <w:t>室</w:t>
            </w:r>
            <w:r>
              <w:rPr>
                <w:rFonts w:hint="eastAsia" w:ascii="宋体" w:hAnsi="宋体" w:eastAsia="宋体" w:cs="宋体"/>
                <w:sz w:val="24"/>
                <w:szCs w:val="24"/>
                <w:lang w:val="en-US" w:eastAsia="zh-CN" w:bidi="ar-SA"/>
              </w:rPr>
              <w:t>，新疆金斌工程项目管理有限公司开标厅。</w:t>
            </w:r>
          </w:p>
        </w:tc>
      </w:tr>
      <w:tr w14:paraId="22E74769">
        <w:tblPrEx>
          <w:tblCellMar>
            <w:top w:w="0" w:type="dxa"/>
            <w:left w:w="108" w:type="dxa"/>
            <w:bottom w:w="0" w:type="dxa"/>
            <w:right w:w="108" w:type="dxa"/>
          </w:tblCellMar>
        </w:tblPrEx>
        <w:trPr>
          <w:cantSplit/>
          <w:trHeight w:val="11476" w:hRule="exact"/>
          <w:jc w:val="center"/>
        </w:trPr>
        <w:tc>
          <w:tcPr>
            <w:tcW w:w="401" w:type="pct"/>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5B58D88A">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14</w:t>
            </w:r>
          </w:p>
        </w:tc>
        <w:tc>
          <w:tcPr>
            <w:tcW w:w="94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393E0E0">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right="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投标保证金</w:t>
            </w:r>
          </w:p>
        </w:tc>
        <w:tc>
          <w:tcPr>
            <w:tcW w:w="3656" w:type="pct"/>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323F3D33">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right="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投标保证金缴纳形式：支票、汇票、转账、本票或者金融机构、担保机构出具的保函等非现金形式提交。</w:t>
            </w:r>
          </w:p>
          <w:p w14:paraId="3E2E1634">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right="0"/>
              <w:textAlignment w:val="auto"/>
              <w:rPr>
                <w:rFonts w:hint="eastAsia" w:ascii="宋体" w:hAnsi="宋体" w:eastAsia="宋体" w:cs="宋体"/>
                <w:color w:val="auto"/>
                <w:sz w:val="24"/>
                <w:szCs w:val="24"/>
                <w:lang w:val="en-US" w:eastAsia="zh-CN" w:bidi="ar-SA"/>
              </w:rPr>
            </w:pPr>
            <w:r>
              <w:rPr>
                <w:rFonts w:hint="eastAsia" w:ascii="宋体" w:hAnsi="宋体" w:eastAsia="宋体" w:cs="宋体"/>
                <w:sz w:val="24"/>
                <w:szCs w:val="24"/>
                <w:lang w:val="en-US" w:eastAsia="zh-CN" w:bidi="ar-SA"/>
              </w:rPr>
              <w:t>投标保证金金额：</w:t>
            </w:r>
            <w:r>
              <w:rPr>
                <w:rFonts w:hint="eastAsia" w:ascii="宋体" w:hAnsi="宋体" w:eastAsia="宋体" w:cs="宋体"/>
                <w:color w:val="auto"/>
                <w:sz w:val="24"/>
                <w:szCs w:val="24"/>
                <w:lang w:val="en-US" w:eastAsia="zh-CN" w:bidi="ar-SA"/>
              </w:rPr>
              <w:t>5000</w:t>
            </w:r>
            <w:r>
              <w:rPr>
                <w:rFonts w:hint="eastAsia" w:ascii="宋体" w:hAnsi="宋体" w:eastAsia="宋体" w:cs="宋体"/>
                <w:color w:val="auto"/>
                <w:sz w:val="24"/>
                <w:szCs w:val="24"/>
                <w:lang w:val="zh-CN" w:eastAsia="zh-CN" w:bidi="ar-SA"/>
              </w:rPr>
              <w:t>元</w:t>
            </w:r>
            <w:r>
              <w:rPr>
                <w:rFonts w:hint="eastAsia" w:ascii="宋体" w:hAnsi="宋体" w:eastAsia="宋体" w:cs="宋体"/>
                <w:color w:val="auto"/>
                <w:sz w:val="24"/>
                <w:szCs w:val="24"/>
                <w:lang w:val="en-US" w:eastAsia="zh-CN" w:bidi="ar-SA"/>
              </w:rPr>
              <w:t xml:space="preserve">  大写：伍仟元整</w:t>
            </w:r>
          </w:p>
          <w:p w14:paraId="6305D77E">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right="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投标保证金缴纳账号：</w:t>
            </w:r>
          </w:p>
          <w:p w14:paraId="07F6E36A">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right="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账户名称：新疆金斌工程项目管理有限公司</w:t>
            </w:r>
          </w:p>
          <w:p w14:paraId="2F44404C">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right="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开户行：交通银行伊犁州分行营业部</w:t>
            </w:r>
          </w:p>
          <w:p w14:paraId="351EE646">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right="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账号：6556 5510 1013 0000 76094</w:t>
            </w:r>
          </w:p>
          <w:p w14:paraId="46498E9E">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right="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行号：3018 9800 1011 </w:t>
            </w:r>
          </w:p>
          <w:p w14:paraId="208A9320">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right="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1、投标保证金以电汇递交的</w:t>
            </w:r>
          </w:p>
          <w:p w14:paraId="743C1FB3">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right="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（1）必须由投标供应商的企业账户汇出（个体工商户、自然人除外），并汇入招标文件中提供的投标保证金缴纳账户中，如未从企业账户中缴纳的投标保证金视为无效保证金。</w:t>
            </w:r>
          </w:p>
          <w:p w14:paraId="1D97D1AC">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right="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（2）投标保证金必须在投标截止时间（开标时间）前缴纳至招标文件中指定的保证金账户。投标供应商需自行评估因异地、跨行、公休日等因素造成的投标保证金到账延迟风险，并承担相应责任。 </w:t>
            </w:r>
          </w:p>
          <w:p w14:paraId="77AFB570">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right="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（3）各投标人缴纳投标保证金时需在附加信息及用途栏内注明“投标保证金、项目名称”，以投标保证金接收方银行到账信息为准。</w:t>
            </w:r>
          </w:p>
          <w:p w14:paraId="3681EBCA">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right="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2、采用保函形式递交保证的:</w:t>
            </w:r>
          </w:p>
          <w:p w14:paraId="4F8A8736">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right="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根据国家现行采购政策，投标保证金可以使用金融系统电子保函电子保函按照“一包段一保函”的原则，办理电子保函必须在响应截止时间（开标时间)前完成。供应商需自行评估异地、跨行、公体日等因素造成的保函办理延迟风险，并承担相应责任。开标前，投保人必须下载加密保单作为保证会纳凭证放入响应文件中。</w:t>
            </w:r>
          </w:p>
          <w:p w14:paraId="76F27DEC">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right="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(2)电子保函操作流程: 登陆政采云平台→点击右上角[金融服务]进入详情页→点击页面上方[保险/保函]，根据实际情况中请办理即可。供应商须在响应截止时间前，将所投项目对应的保函随相应文件一起上传到政采云平台。</w:t>
            </w:r>
          </w:p>
          <w:p w14:paraId="1B44859D">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right="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（备注：供应商在电子保函的申请、使用、查看应用过程中遇见问题可咨询技术支撑方：400-903-9583）</w:t>
            </w:r>
          </w:p>
          <w:p w14:paraId="16890289">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right="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若供应商未按照上述规定缴纳投标保证金,响应性文件将被拒绝评审。</w:t>
            </w:r>
          </w:p>
        </w:tc>
      </w:tr>
      <w:tr w14:paraId="2E8915C5">
        <w:tblPrEx>
          <w:tblCellMar>
            <w:top w:w="0" w:type="dxa"/>
            <w:left w:w="108" w:type="dxa"/>
            <w:bottom w:w="0" w:type="dxa"/>
            <w:right w:w="108" w:type="dxa"/>
          </w:tblCellMar>
        </w:tblPrEx>
        <w:trPr>
          <w:cantSplit/>
          <w:trHeight w:val="991" w:hRule="atLeast"/>
          <w:jc w:val="center"/>
        </w:trPr>
        <w:tc>
          <w:tcPr>
            <w:tcW w:w="401" w:type="pct"/>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3F179464">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right="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15</w:t>
            </w:r>
          </w:p>
        </w:tc>
        <w:tc>
          <w:tcPr>
            <w:tcW w:w="94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ADF01BD">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right="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签字盖章</w:t>
            </w:r>
          </w:p>
        </w:tc>
        <w:tc>
          <w:tcPr>
            <w:tcW w:w="3656" w:type="pct"/>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296B647B">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right="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供应商必须按照征集文件的规定和要求在响应文件应由法定代表人或授权代表在规定的签章处逐一签署电子签章。所有供应商签章、法定代表人签章和其它签章处必须加盖具有法律效力的供应商的电子签章，响应文件方为有效。</w:t>
            </w:r>
          </w:p>
        </w:tc>
      </w:tr>
      <w:tr w14:paraId="69946185">
        <w:tblPrEx>
          <w:tblCellMar>
            <w:top w:w="0" w:type="dxa"/>
            <w:left w:w="108" w:type="dxa"/>
            <w:bottom w:w="0" w:type="dxa"/>
            <w:right w:w="108" w:type="dxa"/>
          </w:tblCellMar>
        </w:tblPrEx>
        <w:trPr>
          <w:cantSplit/>
          <w:trHeight w:val="667" w:hRule="atLeast"/>
          <w:jc w:val="center"/>
        </w:trPr>
        <w:tc>
          <w:tcPr>
            <w:tcW w:w="401" w:type="pct"/>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544F3E6A">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right="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16</w:t>
            </w:r>
          </w:p>
        </w:tc>
        <w:tc>
          <w:tcPr>
            <w:tcW w:w="94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98B1509">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right="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征集响应文件份数\递交</w:t>
            </w:r>
          </w:p>
        </w:tc>
        <w:tc>
          <w:tcPr>
            <w:tcW w:w="3656" w:type="pct"/>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6D00E7AD">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right="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加密的电子投标文件壹份(.jmbs格式)在政采云平台指定位置上传</w:t>
            </w:r>
          </w:p>
        </w:tc>
      </w:tr>
      <w:tr w14:paraId="71F816B1">
        <w:tblPrEx>
          <w:tblCellMar>
            <w:top w:w="0" w:type="dxa"/>
            <w:left w:w="108" w:type="dxa"/>
            <w:bottom w:w="0" w:type="dxa"/>
            <w:right w:w="108" w:type="dxa"/>
          </w:tblCellMar>
        </w:tblPrEx>
        <w:trPr>
          <w:cantSplit/>
          <w:trHeight w:val="960" w:hRule="exact"/>
          <w:jc w:val="center"/>
        </w:trPr>
        <w:tc>
          <w:tcPr>
            <w:tcW w:w="401" w:type="pct"/>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72DE5C12">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right="0"/>
              <w:jc w:val="center"/>
              <w:textAlignment w:val="auto"/>
              <w:rPr>
                <w:rFonts w:hint="eastAsia" w:ascii="宋体" w:hAnsi="宋体" w:eastAsia="宋体" w:cs="宋体"/>
                <w:sz w:val="24"/>
                <w:szCs w:val="24"/>
                <w:highlight w:val="green"/>
                <w:lang w:val="en-US" w:eastAsia="zh-CN" w:bidi="ar-SA"/>
              </w:rPr>
            </w:pPr>
            <w:r>
              <w:rPr>
                <w:rFonts w:hint="eastAsia" w:ascii="宋体" w:hAnsi="宋体" w:eastAsia="宋体" w:cs="宋体"/>
                <w:sz w:val="24"/>
                <w:szCs w:val="24"/>
                <w:lang w:val="en-US" w:eastAsia="zh-CN" w:bidi="ar-SA"/>
              </w:rPr>
              <w:t>17</w:t>
            </w:r>
          </w:p>
        </w:tc>
        <w:tc>
          <w:tcPr>
            <w:tcW w:w="94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9FBAEAD">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right="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供应商对征集文件提出质疑的时间</w:t>
            </w:r>
          </w:p>
          <w:p w14:paraId="057BD2E1">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right="0"/>
              <w:jc w:val="center"/>
              <w:textAlignment w:val="auto"/>
              <w:rPr>
                <w:rFonts w:hint="eastAsia" w:ascii="宋体" w:hAnsi="宋体" w:eastAsia="宋体" w:cs="宋体"/>
                <w:sz w:val="24"/>
                <w:szCs w:val="24"/>
                <w:lang w:val="en-US" w:eastAsia="zh-CN" w:bidi="ar-SA"/>
              </w:rPr>
            </w:pPr>
          </w:p>
        </w:tc>
        <w:tc>
          <w:tcPr>
            <w:tcW w:w="3656" w:type="pct"/>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021DB55A">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right="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供应商应在领取征集文件之日起7 个工作日内对征集文件的内容提出质疑，超过时效不予受理。</w:t>
            </w:r>
          </w:p>
        </w:tc>
      </w:tr>
      <w:tr w14:paraId="1F43AFF1">
        <w:tblPrEx>
          <w:tblCellMar>
            <w:top w:w="0" w:type="dxa"/>
            <w:left w:w="108" w:type="dxa"/>
            <w:bottom w:w="0" w:type="dxa"/>
            <w:right w:w="108" w:type="dxa"/>
          </w:tblCellMar>
        </w:tblPrEx>
        <w:trPr>
          <w:cantSplit/>
          <w:trHeight w:val="930" w:hRule="atLeast"/>
          <w:jc w:val="center"/>
        </w:trPr>
        <w:tc>
          <w:tcPr>
            <w:tcW w:w="401" w:type="pct"/>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1696AB7C">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right="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18</w:t>
            </w:r>
          </w:p>
        </w:tc>
        <w:tc>
          <w:tcPr>
            <w:tcW w:w="94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DE54411">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right="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评标方法</w:t>
            </w:r>
          </w:p>
          <w:p w14:paraId="0F7E16DA">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right="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及标准</w:t>
            </w:r>
          </w:p>
        </w:tc>
        <w:tc>
          <w:tcPr>
            <w:tcW w:w="3656" w:type="pct"/>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06D35552">
            <w:pPr>
              <w:keepNext w:val="0"/>
              <w:keepLines w:val="0"/>
              <w:pageBreakBefore w:val="0"/>
              <w:widowControl/>
              <w:kinsoku/>
              <w:wordWrap/>
              <w:overflowPunct/>
              <w:topLinePunct w:val="0"/>
              <w:autoSpaceDE w:val="0"/>
              <w:autoSpaceDN w:val="0"/>
              <w:bidi w:val="0"/>
              <w:adjustRightInd/>
              <w:snapToGrid/>
              <w:spacing w:line="350" w:lineRule="exact"/>
              <w:ind w:right="0"/>
              <w:jc w:val="both"/>
              <w:textAlignment w:val="auto"/>
              <w:rPr>
                <w:rFonts w:hint="eastAsia" w:ascii="宋体" w:hAnsi="宋体" w:eastAsia="宋体" w:cs="宋体"/>
                <w:sz w:val="24"/>
                <w:szCs w:val="24"/>
                <w:lang w:val="en-US" w:eastAsia="zh-CN" w:bidi="ar-SA"/>
              </w:rPr>
            </w:pPr>
            <w:r>
              <w:rPr>
                <w:rFonts w:hint="eastAsia" w:ascii="宋体" w:hAnsi="宋体" w:eastAsia="宋体" w:cs="宋体"/>
                <w:color w:val="auto"/>
                <w:sz w:val="24"/>
                <w:szCs w:val="24"/>
                <w:lang w:val="en-US" w:eastAsia="zh-CN"/>
              </w:rPr>
              <w:t>确定第一阶段入围供应商的评审方法采用质量优先法（即在最大限度地满足征集文件实质性要求前提下，按照征集文件中规定的各项因素进行综合评审后，根据征集文件规定的入围供应商数量上限，确定入围供应商）。</w:t>
            </w:r>
          </w:p>
        </w:tc>
      </w:tr>
      <w:tr w14:paraId="0F8297DF">
        <w:tblPrEx>
          <w:tblCellMar>
            <w:top w:w="0" w:type="dxa"/>
            <w:left w:w="108" w:type="dxa"/>
            <w:bottom w:w="0" w:type="dxa"/>
            <w:right w:w="108" w:type="dxa"/>
          </w:tblCellMar>
        </w:tblPrEx>
        <w:trPr>
          <w:cantSplit/>
          <w:trHeight w:val="698" w:hRule="atLeast"/>
          <w:jc w:val="center"/>
        </w:trPr>
        <w:tc>
          <w:tcPr>
            <w:tcW w:w="401" w:type="pct"/>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65A379DA">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right="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19</w:t>
            </w:r>
          </w:p>
        </w:tc>
        <w:tc>
          <w:tcPr>
            <w:tcW w:w="94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37BA40C">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right="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评审报价</w:t>
            </w:r>
          </w:p>
        </w:tc>
        <w:tc>
          <w:tcPr>
            <w:tcW w:w="3656" w:type="pct"/>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05632995">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right="0"/>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本项目响应报价执行固定让利，参加投标则视为同意采购需求和合同条款中对造价咨询服务的酬金和计取方式条款的认同，即：</w:t>
            </w:r>
          </w:p>
          <w:p w14:paraId="36817808">
            <w:pPr>
              <w:keepNext w:val="0"/>
              <w:keepLines w:val="0"/>
              <w:pageBreakBefore w:val="0"/>
              <w:widowControl/>
              <w:numPr>
                <w:ilvl w:val="0"/>
                <w:numId w:val="0"/>
              </w:numPr>
              <w:kinsoku/>
              <w:wordWrap/>
              <w:overflowPunct/>
              <w:topLinePunct w:val="0"/>
              <w:autoSpaceDE w:val="0"/>
              <w:autoSpaceDN w:val="0"/>
              <w:bidi w:val="0"/>
              <w:adjustRightInd/>
              <w:snapToGrid/>
              <w:spacing w:line="350" w:lineRule="exact"/>
              <w:ind w:right="0" w:right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1、工程类项目预算</w:t>
            </w:r>
            <w:r>
              <w:rPr>
                <w:rFonts w:hint="eastAsia" w:ascii="宋体" w:hAnsi="宋体" w:cs="宋体"/>
                <w:color w:val="auto"/>
                <w:kern w:val="0"/>
                <w:sz w:val="24"/>
                <w:szCs w:val="24"/>
                <w:lang w:val="en-US" w:eastAsia="zh-CN" w:bidi="ar-SA"/>
              </w:rPr>
              <w:t>评审</w:t>
            </w:r>
            <w:r>
              <w:rPr>
                <w:rFonts w:hint="eastAsia" w:ascii="宋体" w:hAnsi="宋体" w:eastAsia="宋体" w:cs="宋体"/>
                <w:color w:val="auto"/>
                <w:kern w:val="0"/>
                <w:sz w:val="24"/>
                <w:szCs w:val="24"/>
                <w:lang w:val="en-US" w:eastAsia="zh-CN" w:bidi="ar-SA"/>
              </w:rPr>
              <w:t>、竣工结算评审项目的委托评审服务费，以审定金额为基准，以新疆计划委员会、自治区建设厅《关于下达新疆维吾尔自治区工程造价咨询服务收费管理规定的通知》（新计价房﹝2002﹞866号）所列示标准的基础上按优惠率40％（即:打6折）确定付费金额。咨询费不足1000元的按1000元确定结算服务费。</w:t>
            </w:r>
          </w:p>
          <w:p w14:paraId="4B788486">
            <w:pPr>
              <w:keepNext w:val="0"/>
              <w:keepLines w:val="0"/>
              <w:pageBreakBefore w:val="0"/>
              <w:widowControl/>
              <w:numPr>
                <w:ilvl w:val="0"/>
                <w:numId w:val="0"/>
              </w:numPr>
              <w:kinsoku/>
              <w:wordWrap/>
              <w:overflowPunct/>
              <w:topLinePunct w:val="0"/>
              <w:autoSpaceDE w:val="0"/>
              <w:autoSpaceDN w:val="0"/>
              <w:bidi w:val="0"/>
              <w:adjustRightInd/>
              <w:snapToGrid/>
              <w:spacing w:line="350" w:lineRule="exact"/>
              <w:ind w:right="0" w:rightChars="0"/>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2、</w:t>
            </w:r>
            <w:r>
              <w:rPr>
                <w:rFonts w:hint="eastAsia" w:ascii="宋体" w:hAnsi="宋体" w:eastAsia="宋体" w:cs="宋体"/>
                <w:color w:val="auto"/>
                <w:kern w:val="0"/>
                <w:sz w:val="24"/>
                <w:szCs w:val="24"/>
                <w:lang w:val="en-US" w:eastAsia="zh-CN" w:bidi="ar-SA"/>
              </w:rPr>
              <w:t>工程类项目预算</w:t>
            </w:r>
            <w:r>
              <w:rPr>
                <w:rFonts w:hint="eastAsia" w:ascii="宋体" w:hAnsi="宋体" w:cs="宋体"/>
                <w:color w:val="auto"/>
                <w:kern w:val="0"/>
                <w:sz w:val="24"/>
                <w:szCs w:val="24"/>
                <w:lang w:val="en-US" w:eastAsia="zh-CN" w:bidi="ar-SA"/>
              </w:rPr>
              <w:t>抽审</w:t>
            </w:r>
            <w:r>
              <w:rPr>
                <w:rFonts w:hint="eastAsia" w:ascii="宋体" w:hAnsi="宋体" w:eastAsia="宋体" w:cs="宋体"/>
                <w:color w:val="auto"/>
                <w:kern w:val="0"/>
                <w:sz w:val="24"/>
                <w:szCs w:val="24"/>
                <w:lang w:val="en-US" w:eastAsia="zh-CN" w:bidi="ar-SA"/>
              </w:rPr>
              <w:t>，以审定金额为基准，对于</w:t>
            </w:r>
            <w:r>
              <w:rPr>
                <w:rFonts w:hint="eastAsia" w:ascii="宋体" w:hAnsi="宋体" w:cs="宋体"/>
                <w:color w:val="auto"/>
                <w:kern w:val="0"/>
                <w:sz w:val="24"/>
                <w:szCs w:val="24"/>
                <w:lang w:val="en-US" w:eastAsia="zh-CN" w:bidi="ar-SA"/>
              </w:rPr>
              <w:t>预算抽</w:t>
            </w:r>
            <w:r>
              <w:rPr>
                <w:rFonts w:hint="eastAsia" w:ascii="宋体" w:hAnsi="宋体" w:eastAsia="宋体" w:cs="宋体"/>
                <w:color w:val="auto"/>
                <w:kern w:val="0"/>
                <w:sz w:val="24"/>
                <w:szCs w:val="24"/>
                <w:lang w:val="en-US" w:eastAsia="zh-CN" w:bidi="ar-SA"/>
              </w:rPr>
              <w:t xml:space="preserve">审项目按照五个档（100万元-500万元， 500万元-1000万元，1000万元-5000万元，5000万元-1亿元，1 亿元以上，）进行付费，复审公司只需要出具复审意见，复审意见反馈给初审公司，初审公司对其进行修改完善并出具最终的定案报告。付费标准如下： </w:t>
            </w:r>
          </w:p>
          <w:p w14:paraId="28726A30">
            <w:pPr>
              <w:keepNext w:val="0"/>
              <w:keepLines w:val="0"/>
              <w:pageBreakBefore w:val="0"/>
              <w:widowControl/>
              <w:kinsoku/>
              <w:wordWrap/>
              <w:overflowPunct/>
              <w:topLinePunct w:val="0"/>
              <w:bidi w:val="0"/>
              <w:adjustRightInd/>
              <w:snapToGrid/>
              <w:spacing w:line="350" w:lineRule="exact"/>
              <w:ind w:firstLine="480"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（一）100 万元-500 万元：   1000 元/项目 </w:t>
            </w:r>
          </w:p>
          <w:p w14:paraId="3D87265D">
            <w:pPr>
              <w:keepNext w:val="0"/>
              <w:keepLines w:val="0"/>
              <w:pageBreakBefore w:val="0"/>
              <w:widowControl/>
              <w:kinsoku/>
              <w:wordWrap/>
              <w:overflowPunct/>
              <w:topLinePunct w:val="0"/>
              <w:bidi w:val="0"/>
              <w:adjustRightInd/>
              <w:snapToGrid/>
              <w:spacing w:line="350" w:lineRule="exact"/>
              <w:ind w:firstLine="480"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（二）500 万元-1000 万元：  2000 元/项目 </w:t>
            </w:r>
          </w:p>
          <w:p w14:paraId="34DD30B7">
            <w:pPr>
              <w:keepNext w:val="0"/>
              <w:keepLines w:val="0"/>
              <w:pageBreakBefore w:val="0"/>
              <w:widowControl/>
              <w:kinsoku/>
              <w:wordWrap/>
              <w:overflowPunct/>
              <w:topLinePunct w:val="0"/>
              <w:bidi w:val="0"/>
              <w:adjustRightInd/>
              <w:snapToGrid/>
              <w:spacing w:line="350" w:lineRule="exact"/>
              <w:ind w:firstLine="480"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（三）1000 万元-5000 万元： 3000 元/项目 </w:t>
            </w:r>
          </w:p>
          <w:p w14:paraId="6FC69EBB">
            <w:pPr>
              <w:keepNext w:val="0"/>
              <w:keepLines w:val="0"/>
              <w:pageBreakBefore w:val="0"/>
              <w:widowControl/>
              <w:kinsoku/>
              <w:wordWrap/>
              <w:overflowPunct/>
              <w:topLinePunct w:val="0"/>
              <w:bidi w:val="0"/>
              <w:adjustRightInd/>
              <w:snapToGrid/>
              <w:spacing w:line="350" w:lineRule="exact"/>
              <w:ind w:firstLine="480"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（四）5000 万元-1 亿元：    4000 元/项目 </w:t>
            </w:r>
          </w:p>
          <w:p w14:paraId="57B4906B">
            <w:pPr>
              <w:keepNext w:val="0"/>
              <w:keepLines w:val="0"/>
              <w:pageBreakBefore w:val="0"/>
              <w:widowControl/>
              <w:kinsoku/>
              <w:wordWrap/>
              <w:overflowPunct/>
              <w:topLinePunct w:val="0"/>
              <w:bidi w:val="0"/>
              <w:adjustRightInd/>
              <w:snapToGrid/>
              <w:spacing w:line="350" w:lineRule="exact"/>
              <w:ind w:firstLine="480"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（五）1 亿元以上：          5000 元/项目</w:t>
            </w:r>
          </w:p>
          <w:p w14:paraId="79915AC8">
            <w:pPr>
              <w:keepNext w:val="0"/>
              <w:keepLines w:val="0"/>
              <w:pageBreakBefore w:val="0"/>
              <w:widowControl/>
              <w:numPr>
                <w:ilvl w:val="0"/>
                <w:numId w:val="0"/>
              </w:numPr>
              <w:kinsoku/>
              <w:wordWrap/>
              <w:overflowPunct/>
              <w:topLinePunct w:val="0"/>
              <w:bidi w:val="0"/>
              <w:adjustRightInd/>
              <w:snapToGrid/>
              <w:spacing w:line="350" w:lineRule="exact"/>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工程类项目竣工结算复审，对于项目单位采用全过程跟踪评审的项目进行竣工结算复审，以审定金额为基准。复审公司只需要出具复审意见，复审意见反馈给初审公司，初审公司对其进行修改完善并出具最终的定案报告。付费标准如下：</w:t>
            </w:r>
          </w:p>
          <w:p w14:paraId="06695188">
            <w:pPr>
              <w:keepNext w:val="0"/>
              <w:keepLines w:val="0"/>
              <w:pageBreakBefore w:val="0"/>
              <w:widowControl/>
              <w:numPr>
                <w:ilvl w:val="0"/>
                <w:numId w:val="0"/>
              </w:numPr>
              <w:kinsoku/>
              <w:wordWrap/>
              <w:overflowPunct/>
              <w:topLinePunct w:val="0"/>
              <w:bidi w:val="0"/>
              <w:adjustRightInd/>
              <w:snapToGrid/>
              <w:spacing w:line="350" w:lineRule="exact"/>
              <w:ind w:firstLine="480"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2000万（含）以上项目：按照审定金额的0.5</w:t>
            </w:r>
            <w:r>
              <w:rPr>
                <w:rFonts w:hint="default" w:ascii="宋体" w:hAnsi="宋体" w:eastAsia="宋体" w:cs="宋体"/>
                <w:color w:val="auto"/>
                <w:kern w:val="0"/>
                <w:sz w:val="24"/>
                <w:szCs w:val="24"/>
                <w:lang w:val="en-US" w:eastAsia="zh-CN" w:bidi="ar-SA"/>
              </w:rPr>
              <w:t>‰</w:t>
            </w:r>
            <w:r>
              <w:rPr>
                <w:rFonts w:hint="eastAsia" w:ascii="宋体" w:hAnsi="宋体" w:eastAsia="宋体" w:cs="宋体"/>
                <w:color w:val="auto"/>
                <w:kern w:val="0"/>
                <w:sz w:val="24"/>
                <w:szCs w:val="24"/>
                <w:lang w:val="en-US" w:eastAsia="zh-CN" w:bidi="ar-SA"/>
              </w:rPr>
              <w:t>为基础费用+核减额的1.5%；</w:t>
            </w:r>
          </w:p>
          <w:p w14:paraId="1A54F518">
            <w:pPr>
              <w:keepNext w:val="0"/>
              <w:keepLines w:val="0"/>
              <w:pageBreakBefore w:val="0"/>
              <w:widowControl/>
              <w:numPr>
                <w:ilvl w:val="0"/>
                <w:numId w:val="0"/>
              </w:numPr>
              <w:kinsoku/>
              <w:wordWrap/>
              <w:overflowPunct/>
              <w:topLinePunct w:val="0"/>
              <w:bidi w:val="0"/>
              <w:adjustRightInd/>
              <w:snapToGrid/>
              <w:spacing w:line="350" w:lineRule="exact"/>
              <w:ind w:firstLine="480" w:firstLineChars="200"/>
              <w:jc w:val="left"/>
              <w:textAlignment w:val="auto"/>
              <w:rPr>
                <w:rFonts w:hint="eastAsia" w:ascii="宋体" w:hAnsi="宋体" w:eastAsia="宋体" w:cs="宋体"/>
                <w:color w:val="auto"/>
                <w:kern w:val="0"/>
                <w:sz w:val="30"/>
                <w:szCs w:val="30"/>
                <w:lang w:val="en-US" w:eastAsia="zh-CN" w:bidi="ar-SA"/>
              </w:rPr>
            </w:pPr>
            <w:r>
              <w:rPr>
                <w:rFonts w:hint="eastAsia" w:ascii="宋体" w:hAnsi="宋体" w:eastAsia="宋体" w:cs="宋体"/>
                <w:color w:val="auto"/>
                <w:kern w:val="0"/>
                <w:sz w:val="24"/>
                <w:szCs w:val="24"/>
                <w:lang w:val="en-US" w:eastAsia="zh-CN" w:bidi="ar-SA"/>
              </w:rPr>
              <w:t>2000万以下的项目：按照审定金额的0.5</w:t>
            </w:r>
            <w:r>
              <w:rPr>
                <w:rFonts w:hint="default" w:ascii="宋体" w:hAnsi="宋体" w:eastAsia="宋体" w:cs="宋体"/>
                <w:color w:val="auto"/>
                <w:kern w:val="0"/>
                <w:sz w:val="24"/>
                <w:szCs w:val="24"/>
                <w:lang w:val="en-US" w:eastAsia="zh-CN" w:bidi="ar-SA"/>
              </w:rPr>
              <w:t>‰</w:t>
            </w:r>
            <w:r>
              <w:rPr>
                <w:rFonts w:hint="eastAsia" w:ascii="宋体" w:hAnsi="宋体" w:eastAsia="宋体" w:cs="宋体"/>
                <w:color w:val="auto"/>
                <w:kern w:val="0"/>
                <w:sz w:val="24"/>
                <w:szCs w:val="24"/>
                <w:lang w:val="en-US" w:eastAsia="zh-CN" w:bidi="ar-SA"/>
              </w:rPr>
              <w:t>为基础费用+按照核减额的2%组成计取。</w:t>
            </w:r>
          </w:p>
          <w:p w14:paraId="51169DCA">
            <w:pPr>
              <w:keepNext w:val="0"/>
              <w:keepLines w:val="0"/>
              <w:pageBreakBefore w:val="0"/>
              <w:widowControl/>
              <w:numPr>
                <w:ilvl w:val="0"/>
                <w:numId w:val="0"/>
              </w:numPr>
              <w:kinsoku/>
              <w:wordWrap/>
              <w:overflowPunct/>
              <w:topLinePunct w:val="0"/>
              <w:bidi w:val="0"/>
              <w:adjustRightInd/>
              <w:snapToGrid/>
              <w:spacing w:line="350" w:lineRule="exact"/>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kern w:val="0"/>
                <w:sz w:val="24"/>
                <w:szCs w:val="24"/>
                <w:lang w:val="en-US" w:eastAsia="zh-CN" w:bidi="ar-SA"/>
              </w:rPr>
              <w:t>4、其它各项咨询服务按照补充协议相关内容执行。</w:t>
            </w:r>
          </w:p>
        </w:tc>
      </w:tr>
      <w:tr w14:paraId="0F7D3526">
        <w:tblPrEx>
          <w:tblCellMar>
            <w:top w:w="0" w:type="dxa"/>
            <w:left w:w="108" w:type="dxa"/>
            <w:bottom w:w="0" w:type="dxa"/>
            <w:right w:w="108" w:type="dxa"/>
          </w:tblCellMar>
        </w:tblPrEx>
        <w:trPr>
          <w:cantSplit/>
          <w:trHeight w:val="2779" w:hRule="atLeast"/>
          <w:jc w:val="center"/>
        </w:trPr>
        <w:tc>
          <w:tcPr>
            <w:tcW w:w="401" w:type="pct"/>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2B8F5CAE">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20</w:t>
            </w:r>
          </w:p>
        </w:tc>
        <w:tc>
          <w:tcPr>
            <w:tcW w:w="94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5ECBE10">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招标</w:t>
            </w:r>
          </w:p>
          <w:p w14:paraId="734E319F">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代理服务费</w:t>
            </w:r>
          </w:p>
        </w:tc>
        <w:tc>
          <w:tcPr>
            <w:tcW w:w="3656" w:type="pct"/>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2BEE13D5">
            <w:pPr>
              <w:keepNext w:val="0"/>
              <w:keepLines w:val="0"/>
              <w:pageBreakBefore w:val="0"/>
              <w:widowControl/>
              <w:kinsoku w:val="0"/>
              <w:wordWrap/>
              <w:overflowPunct/>
              <w:topLinePunct w:val="0"/>
              <w:autoSpaceDE w:val="0"/>
              <w:autoSpaceDN w:val="0"/>
              <w:bidi w:val="0"/>
              <w:adjustRightInd w:val="0"/>
              <w:snapToGrid w:val="0"/>
              <w:spacing w:line="360" w:lineRule="exact"/>
              <w:ind w:right="0" w:righ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采购代理费支付方式：</w:t>
            </w:r>
          </w:p>
          <w:p w14:paraId="03D72531">
            <w:pPr>
              <w:keepNext w:val="0"/>
              <w:keepLines w:val="0"/>
              <w:pageBreakBefore w:val="0"/>
              <w:widowControl/>
              <w:kinsoku w:val="0"/>
              <w:wordWrap/>
              <w:overflowPunct/>
              <w:topLinePunct w:val="0"/>
              <w:autoSpaceDE w:val="0"/>
              <w:autoSpaceDN w:val="0"/>
              <w:bidi w:val="0"/>
              <w:adjustRightInd w:val="0"/>
              <w:snapToGrid w:val="0"/>
              <w:spacing w:line="360" w:lineRule="exact"/>
              <w:ind w:right="0" w:righ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☑本项目代理服务费由中标人在领取入围通知书前，一次性向采购代理机构支付。 </w:t>
            </w:r>
          </w:p>
          <w:p w14:paraId="0A7DC3AC">
            <w:pPr>
              <w:keepNext w:val="0"/>
              <w:keepLines w:val="0"/>
              <w:pageBreakBefore w:val="0"/>
              <w:widowControl/>
              <w:kinsoku w:val="0"/>
              <w:wordWrap/>
              <w:overflowPunct/>
              <w:topLinePunct w:val="0"/>
              <w:autoSpaceDE w:val="0"/>
              <w:autoSpaceDN w:val="0"/>
              <w:bidi w:val="0"/>
              <w:adjustRightInd w:val="0"/>
              <w:snapToGrid w:val="0"/>
              <w:spacing w:line="360" w:lineRule="exact"/>
              <w:ind w:right="0" w:righ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采购代理费收取标准：</w:t>
            </w:r>
          </w:p>
          <w:p w14:paraId="4E2021A8">
            <w:pPr>
              <w:keepNext w:val="0"/>
              <w:keepLines w:val="0"/>
              <w:pageBreakBefore w:val="0"/>
              <w:widowControl/>
              <w:kinsoku w:val="0"/>
              <w:wordWrap/>
              <w:overflowPunct/>
              <w:topLinePunct w:val="0"/>
              <w:autoSpaceDE w:val="0"/>
              <w:autoSpaceDN w:val="0"/>
              <w:bidi w:val="0"/>
              <w:adjustRightInd w:val="0"/>
              <w:snapToGrid w:val="0"/>
              <w:spacing w:line="360" w:lineRule="exact"/>
              <w:ind w:right="0" w:righ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采用固定收费标准，本项目按照：3000元/家入围供应商收取</w:t>
            </w:r>
          </w:p>
          <w:p w14:paraId="30B3C16C">
            <w:pPr>
              <w:keepNext w:val="0"/>
              <w:keepLines w:val="0"/>
              <w:pageBreakBefore w:val="0"/>
              <w:widowControl/>
              <w:kinsoku w:val="0"/>
              <w:wordWrap/>
              <w:overflowPunct/>
              <w:topLinePunct w:val="0"/>
              <w:autoSpaceDE w:val="0"/>
              <w:autoSpaceDN w:val="0"/>
              <w:bidi w:val="0"/>
              <w:adjustRightInd w:val="0"/>
              <w:snapToGrid w:val="0"/>
              <w:spacing w:line="360" w:lineRule="exact"/>
              <w:ind w:right="0" w:righ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代理服务费收款账户信息：</w:t>
            </w:r>
          </w:p>
          <w:p w14:paraId="30002CF7">
            <w:pPr>
              <w:keepNext w:val="0"/>
              <w:keepLines w:val="0"/>
              <w:pageBreakBefore w:val="0"/>
              <w:widowControl/>
              <w:kinsoku w:val="0"/>
              <w:wordWrap/>
              <w:overflowPunct/>
              <w:topLinePunct w:val="0"/>
              <w:autoSpaceDE w:val="0"/>
              <w:autoSpaceDN w:val="0"/>
              <w:bidi w:val="0"/>
              <w:adjustRightInd w:val="0"/>
              <w:snapToGrid w:val="0"/>
              <w:spacing w:line="360" w:lineRule="exact"/>
              <w:ind w:right="0" w:righ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账户名称：新疆金斌工程项目管理有限公司</w:t>
            </w:r>
          </w:p>
          <w:p w14:paraId="106E9265">
            <w:pPr>
              <w:keepNext w:val="0"/>
              <w:keepLines w:val="0"/>
              <w:pageBreakBefore w:val="0"/>
              <w:widowControl/>
              <w:kinsoku w:val="0"/>
              <w:wordWrap/>
              <w:overflowPunct/>
              <w:topLinePunct w:val="0"/>
              <w:autoSpaceDE w:val="0"/>
              <w:autoSpaceDN w:val="0"/>
              <w:bidi w:val="0"/>
              <w:adjustRightInd w:val="0"/>
              <w:snapToGrid w:val="0"/>
              <w:spacing w:line="360" w:lineRule="exact"/>
              <w:ind w:right="0" w:righ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开户行：交通银行伊犁州分行营业部</w:t>
            </w:r>
          </w:p>
          <w:p w14:paraId="2FB4F9F5">
            <w:pPr>
              <w:keepNext w:val="0"/>
              <w:keepLines w:val="0"/>
              <w:pageBreakBefore w:val="0"/>
              <w:widowControl/>
              <w:kinsoku w:val="0"/>
              <w:wordWrap/>
              <w:overflowPunct/>
              <w:topLinePunct w:val="0"/>
              <w:autoSpaceDE w:val="0"/>
              <w:autoSpaceDN w:val="0"/>
              <w:bidi w:val="0"/>
              <w:adjustRightInd w:val="0"/>
              <w:snapToGrid w:val="0"/>
              <w:spacing w:line="360" w:lineRule="exact"/>
              <w:ind w:right="0" w:righ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账号：6556 5510 1013 0000 76094</w:t>
            </w:r>
          </w:p>
          <w:p w14:paraId="309D1A62">
            <w:pPr>
              <w:keepNext w:val="0"/>
              <w:keepLines w:val="0"/>
              <w:pageBreakBefore w:val="0"/>
              <w:widowControl/>
              <w:kinsoku w:val="0"/>
              <w:wordWrap/>
              <w:overflowPunct/>
              <w:topLinePunct w:val="0"/>
              <w:autoSpaceDE w:val="0"/>
              <w:autoSpaceDN w:val="0"/>
              <w:bidi w:val="0"/>
              <w:adjustRightInd w:val="0"/>
              <w:snapToGrid w:val="0"/>
              <w:spacing w:line="360" w:lineRule="exact"/>
              <w:ind w:right="0" w:righ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行号：3018 9800 1011</w:t>
            </w:r>
          </w:p>
        </w:tc>
      </w:tr>
      <w:tr w14:paraId="28A46A05">
        <w:tblPrEx>
          <w:tblCellMar>
            <w:top w:w="0" w:type="dxa"/>
            <w:left w:w="108" w:type="dxa"/>
            <w:bottom w:w="0" w:type="dxa"/>
            <w:right w:w="108" w:type="dxa"/>
          </w:tblCellMar>
        </w:tblPrEx>
        <w:trPr>
          <w:cantSplit/>
          <w:trHeight w:val="695" w:hRule="atLeast"/>
          <w:jc w:val="center"/>
        </w:trPr>
        <w:tc>
          <w:tcPr>
            <w:tcW w:w="401" w:type="pct"/>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7B6251D8">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21</w:t>
            </w:r>
          </w:p>
        </w:tc>
        <w:tc>
          <w:tcPr>
            <w:tcW w:w="94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C50C205">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落实政府采购政策</w:t>
            </w:r>
          </w:p>
        </w:tc>
        <w:tc>
          <w:tcPr>
            <w:tcW w:w="3656" w:type="pct"/>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3D3BE938">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left"/>
              <w:textAlignment w:val="auto"/>
              <w:rPr>
                <w:rFonts w:hint="default" w:ascii="宋体" w:hAnsi="宋体" w:eastAsia="宋体" w:cs="宋体"/>
                <w:sz w:val="24"/>
                <w:szCs w:val="24"/>
                <w:lang w:val="en-US" w:eastAsia="zh-CN" w:bidi="ar-SA"/>
              </w:rPr>
            </w:pPr>
            <w:r>
              <w:rPr>
                <w:rFonts w:hint="eastAsia" w:hAnsi="宋体" w:cs="宋体"/>
                <w:sz w:val="24"/>
                <w:szCs w:val="24"/>
                <w:lang w:val="en-US" w:eastAsia="zh-CN" w:bidi="ar-SA"/>
              </w:rPr>
              <w:t>无</w:t>
            </w:r>
          </w:p>
        </w:tc>
      </w:tr>
      <w:tr w14:paraId="44A067B8">
        <w:tblPrEx>
          <w:tblCellMar>
            <w:top w:w="0" w:type="dxa"/>
            <w:left w:w="108" w:type="dxa"/>
            <w:bottom w:w="0" w:type="dxa"/>
            <w:right w:w="108" w:type="dxa"/>
          </w:tblCellMar>
        </w:tblPrEx>
        <w:trPr>
          <w:cantSplit/>
          <w:trHeight w:val="491" w:hRule="atLeast"/>
          <w:jc w:val="center"/>
        </w:trPr>
        <w:tc>
          <w:tcPr>
            <w:tcW w:w="401" w:type="pct"/>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0FD963B9">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22</w:t>
            </w:r>
          </w:p>
        </w:tc>
        <w:tc>
          <w:tcPr>
            <w:tcW w:w="94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39BF112">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服务质量标准</w:t>
            </w:r>
          </w:p>
        </w:tc>
        <w:tc>
          <w:tcPr>
            <w:tcW w:w="3656" w:type="pct"/>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5C90F1E6">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both"/>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满足</w:t>
            </w:r>
            <w:r>
              <w:rPr>
                <w:rFonts w:hint="eastAsia" w:ascii="宋体" w:hAnsi="宋体" w:eastAsia="宋体" w:cs="宋体"/>
                <w:sz w:val="24"/>
                <w:szCs w:val="24"/>
                <w:lang w:val="en-US" w:eastAsia="zh-CN" w:bidi="ar-SA"/>
              </w:rPr>
              <w:fldChar w:fldCharType="begin"/>
            </w:r>
            <w:r>
              <w:rPr>
                <w:rFonts w:hint="eastAsia" w:ascii="宋体" w:hAnsi="宋体" w:eastAsia="宋体" w:cs="宋体"/>
                <w:sz w:val="24"/>
                <w:szCs w:val="24"/>
                <w:lang w:val="en-US" w:eastAsia="zh-CN" w:bidi="ar-SA"/>
              </w:rPr>
              <w:instrText xml:space="preserve"> HYPERLINK "https://wenku.so.com/d/b3028f648bb66ce29c4165a2685f3461?src=www_rec" \t "https://safe.www.so.com/_blank" </w:instrText>
            </w:r>
            <w:r>
              <w:rPr>
                <w:rFonts w:hint="eastAsia" w:ascii="宋体" w:hAnsi="宋体" w:eastAsia="宋体" w:cs="宋体"/>
                <w:sz w:val="24"/>
                <w:szCs w:val="24"/>
                <w:lang w:val="en-US" w:eastAsia="zh-CN" w:bidi="ar-SA"/>
              </w:rPr>
              <w:fldChar w:fldCharType="separate"/>
            </w:r>
            <w:r>
              <w:rPr>
                <w:rFonts w:hint="eastAsia" w:ascii="宋体" w:hAnsi="宋体" w:eastAsia="宋体" w:cs="宋体"/>
                <w:sz w:val="24"/>
                <w:szCs w:val="24"/>
                <w:lang w:val="en-US" w:eastAsia="zh-CN" w:bidi="ar-SA"/>
              </w:rPr>
              <w:t>建设工程造价咨询成果文件质量标准(CECAGC7-2012</w:t>
            </w:r>
            <w:r>
              <w:rPr>
                <w:rFonts w:hint="eastAsia" w:ascii="宋体" w:hAnsi="宋体" w:eastAsia="宋体" w:cs="宋体"/>
                <w:sz w:val="24"/>
                <w:szCs w:val="24"/>
                <w:lang w:val="en-US" w:eastAsia="zh-CN" w:bidi="ar-SA"/>
              </w:rPr>
              <w:fldChar w:fldCharType="end"/>
            </w:r>
            <w:r>
              <w:rPr>
                <w:rFonts w:hint="eastAsia" w:ascii="宋体" w:hAnsi="宋体" w:eastAsia="宋体" w:cs="宋体"/>
                <w:sz w:val="24"/>
                <w:szCs w:val="24"/>
                <w:lang w:val="en-US" w:eastAsia="zh-CN" w:bidi="ar-SA"/>
              </w:rPr>
              <w:t>)</w:t>
            </w:r>
          </w:p>
        </w:tc>
      </w:tr>
      <w:tr w14:paraId="53F7484C">
        <w:tblPrEx>
          <w:tblCellMar>
            <w:top w:w="0" w:type="dxa"/>
            <w:left w:w="108" w:type="dxa"/>
            <w:bottom w:w="0" w:type="dxa"/>
            <w:right w:w="108" w:type="dxa"/>
          </w:tblCellMar>
        </w:tblPrEx>
        <w:trPr>
          <w:cantSplit/>
          <w:trHeight w:val="751" w:hRule="atLeast"/>
          <w:jc w:val="center"/>
        </w:trPr>
        <w:tc>
          <w:tcPr>
            <w:tcW w:w="401" w:type="pct"/>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130FF62F">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23</w:t>
            </w:r>
          </w:p>
        </w:tc>
        <w:tc>
          <w:tcPr>
            <w:tcW w:w="94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F2DEA5B">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框架协议签订</w:t>
            </w:r>
          </w:p>
        </w:tc>
        <w:tc>
          <w:tcPr>
            <w:tcW w:w="3656" w:type="pct"/>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4B6F79C9">
            <w:pPr>
              <w:keepNext w:val="0"/>
              <w:keepLines w:val="0"/>
              <w:pageBreakBefore w:val="0"/>
              <w:widowControl/>
              <w:kinsoku w:val="0"/>
              <w:wordWrap/>
              <w:overflowPunct/>
              <w:topLinePunct w:val="0"/>
              <w:autoSpaceDE w:val="0"/>
              <w:autoSpaceDN w:val="0"/>
              <w:bidi w:val="0"/>
              <w:adjustRightInd w:val="0"/>
              <w:snapToGrid w:val="0"/>
              <w:spacing w:line="360" w:lineRule="exact"/>
              <w:ind w:right="0"/>
              <w:jc w:val="both"/>
              <w:textAlignment w:val="auto"/>
              <w:rPr>
                <w:rFonts w:hint="eastAsia" w:ascii="宋体" w:hAnsi="宋体" w:eastAsia="宋体" w:cs="宋体"/>
                <w:color w:val="auto"/>
                <w:sz w:val="24"/>
                <w:szCs w:val="24"/>
                <w:highlight w:val="red"/>
                <w:lang w:val="en-US" w:eastAsia="zh-CN"/>
              </w:rPr>
            </w:pPr>
            <w:r>
              <w:rPr>
                <w:rFonts w:hint="eastAsia" w:ascii="宋体" w:hAnsi="宋体" w:eastAsia="宋体" w:cs="宋体"/>
                <w:color w:val="auto"/>
                <w:sz w:val="24"/>
                <w:szCs w:val="24"/>
                <w:lang w:val="en-US" w:eastAsia="zh-CN"/>
              </w:rPr>
              <w:t>征集人在入围通知书发出之日起30日内和入围供应商签订框架协议，并在框架协议签订后7个工作日内，将框架协议副本报本级财政部门备案。</w:t>
            </w:r>
          </w:p>
        </w:tc>
      </w:tr>
      <w:tr w14:paraId="74A6DA33">
        <w:tblPrEx>
          <w:tblCellMar>
            <w:top w:w="0" w:type="dxa"/>
            <w:left w:w="108" w:type="dxa"/>
            <w:bottom w:w="0" w:type="dxa"/>
            <w:right w:w="108" w:type="dxa"/>
          </w:tblCellMar>
        </w:tblPrEx>
        <w:trPr>
          <w:cantSplit/>
          <w:trHeight w:val="965" w:hRule="atLeast"/>
          <w:jc w:val="center"/>
        </w:trPr>
        <w:tc>
          <w:tcPr>
            <w:tcW w:w="401" w:type="pct"/>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7338A30C">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24</w:t>
            </w:r>
          </w:p>
        </w:tc>
        <w:tc>
          <w:tcPr>
            <w:tcW w:w="94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E70CE98">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定标方式</w:t>
            </w:r>
          </w:p>
        </w:tc>
        <w:tc>
          <w:tcPr>
            <w:tcW w:w="3656" w:type="pct"/>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434193C3">
            <w:pPr>
              <w:keepNext w:val="0"/>
              <w:keepLines w:val="0"/>
              <w:pageBreakBefore w:val="0"/>
              <w:widowControl/>
              <w:kinsoku w:val="0"/>
              <w:wordWrap/>
              <w:overflowPunct/>
              <w:topLinePunct w:val="0"/>
              <w:autoSpaceDE w:val="0"/>
              <w:autoSpaceDN w:val="0"/>
              <w:bidi w:val="0"/>
              <w:adjustRightInd w:val="0"/>
              <w:snapToGrid w:val="0"/>
              <w:spacing w:line="360" w:lineRule="exact"/>
              <w:ind w:right="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1、根据中华人民共和国财政部令第 110 号《政府采购框架协议采购方式管理暂行办法》，确定第一阶段入围供应商的评审方法为质量优先法，确定第二阶段成交供应商的方式为直接选定。</w:t>
            </w:r>
          </w:p>
          <w:p w14:paraId="4DC89484">
            <w:pPr>
              <w:keepNext w:val="0"/>
              <w:keepLines w:val="0"/>
              <w:pageBreakBefore w:val="0"/>
              <w:widowControl/>
              <w:kinsoku w:val="0"/>
              <w:wordWrap/>
              <w:overflowPunct/>
              <w:topLinePunct w:val="0"/>
              <w:autoSpaceDE w:val="0"/>
              <w:autoSpaceDN w:val="0"/>
              <w:bidi w:val="0"/>
              <w:adjustRightInd w:val="0"/>
              <w:snapToGrid w:val="0"/>
              <w:spacing w:line="360" w:lineRule="exact"/>
              <w:ind w:right="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质量优先法是指对满足采购需求且响应报价不超过最高限制单价的货物、服务进行质量综合评分，按照质量评分从高到低排序，根据征集文件规定的淘汰率或者入围供应商数量上限，确定入围供应商的评审方法。</w:t>
            </w:r>
          </w:p>
          <w:p w14:paraId="16B867A5">
            <w:pPr>
              <w:keepNext w:val="0"/>
              <w:keepLines w:val="0"/>
              <w:pageBreakBefore w:val="0"/>
              <w:widowControl/>
              <w:kinsoku w:val="0"/>
              <w:wordWrap/>
              <w:overflowPunct/>
              <w:topLinePunct w:val="0"/>
              <w:autoSpaceDE w:val="0"/>
              <w:autoSpaceDN w:val="0"/>
              <w:bidi w:val="0"/>
              <w:adjustRightInd w:val="0"/>
              <w:snapToGrid w:val="0"/>
              <w:spacing w:line="360" w:lineRule="exact"/>
              <w:ind w:right="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直接选定是指确定第二阶段成交供应商应当由征集人或者服务对象依据入围产品价格、质量以及服务便利性、用户评价等因素，从第一阶段入围供应商中选定。</w:t>
            </w:r>
          </w:p>
          <w:p w14:paraId="1CA6B2B7">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left"/>
              <w:textAlignment w:val="auto"/>
              <w:rPr>
                <w:rFonts w:hint="eastAsia" w:ascii="宋体" w:hAnsi="宋体" w:eastAsia="宋体" w:cs="宋体"/>
                <w:sz w:val="24"/>
                <w:szCs w:val="24"/>
                <w:lang w:val="en-US" w:eastAsia="zh-CN" w:bidi="ar-SA"/>
              </w:rPr>
            </w:pPr>
            <w:r>
              <w:rPr>
                <w:rFonts w:hint="eastAsia" w:ascii="宋体" w:hAnsi="宋体" w:eastAsia="宋体" w:cs="宋体"/>
                <w:color w:val="auto"/>
                <w:sz w:val="24"/>
                <w:szCs w:val="24"/>
                <w:lang w:val="en-US" w:eastAsia="zh-CN" w:bidi="ar-SA"/>
              </w:rPr>
              <w:t>2、推荐入围供应商家数时，得分相同的，按技术标优劣排序； 技术标得分也相同的，按供应商业绩优劣排序；业绩得分也相同，按供应商企业信誉优劣排序； 供应商企业信誉也相同的；按《政府采购货物和服务招标投标管理办法》（财政部令第 87 号） 第六十八条由评审小组随机抽取的方式确定；</w:t>
            </w:r>
          </w:p>
        </w:tc>
      </w:tr>
      <w:tr w14:paraId="5A7D1C70">
        <w:tblPrEx>
          <w:tblCellMar>
            <w:top w:w="0" w:type="dxa"/>
            <w:left w:w="108" w:type="dxa"/>
            <w:bottom w:w="0" w:type="dxa"/>
            <w:right w:w="108" w:type="dxa"/>
          </w:tblCellMar>
        </w:tblPrEx>
        <w:trPr>
          <w:cantSplit/>
          <w:trHeight w:val="1111" w:hRule="atLeast"/>
          <w:jc w:val="center"/>
        </w:trPr>
        <w:tc>
          <w:tcPr>
            <w:tcW w:w="401" w:type="pct"/>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2F895DFB">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25</w:t>
            </w:r>
          </w:p>
        </w:tc>
        <w:tc>
          <w:tcPr>
            <w:tcW w:w="94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3A80877">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第一阶段入围供应商数量</w:t>
            </w:r>
          </w:p>
          <w:p w14:paraId="0A4BC96E">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上限</w:t>
            </w:r>
          </w:p>
        </w:tc>
        <w:tc>
          <w:tcPr>
            <w:tcW w:w="3656" w:type="pct"/>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7AAE7361">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left"/>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本次采购最多选定14家入围供应商。当合格供应商≥17家时，将确定得分前14名的供应商为入围供应商；当 2≤合格供应商＜14 家时，按不低于20%的淘汰比例确定入围供应商家数，且至少淘汰 1 家供应商。</w:t>
            </w:r>
          </w:p>
        </w:tc>
      </w:tr>
      <w:tr w14:paraId="111AE340">
        <w:tblPrEx>
          <w:tblCellMar>
            <w:top w:w="0" w:type="dxa"/>
            <w:left w:w="108" w:type="dxa"/>
            <w:bottom w:w="0" w:type="dxa"/>
            <w:right w:w="108" w:type="dxa"/>
          </w:tblCellMar>
        </w:tblPrEx>
        <w:trPr>
          <w:cantSplit/>
          <w:trHeight w:val="4864" w:hRule="atLeast"/>
          <w:jc w:val="center"/>
        </w:trPr>
        <w:tc>
          <w:tcPr>
            <w:tcW w:w="401" w:type="pct"/>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6EA7CF0F">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26</w:t>
            </w:r>
          </w:p>
        </w:tc>
        <w:tc>
          <w:tcPr>
            <w:tcW w:w="94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B3E901B">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第二阶段成交供应商确定</w:t>
            </w:r>
          </w:p>
          <w:p w14:paraId="3D05E2D0">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方式</w:t>
            </w:r>
          </w:p>
        </w:tc>
        <w:tc>
          <w:tcPr>
            <w:tcW w:w="3656" w:type="pct"/>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62C8612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第二阶段使用直接选定法确定采购合同的授予：</w:t>
            </w:r>
          </w:p>
          <w:p w14:paraId="6CB7FFEC">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z w:val="24"/>
                <w:szCs w:val="24"/>
                <w:lang w:val="en-US" w:eastAsia="zh-CN" w:bidi="ar-SA"/>
              </w:rPr>
            </w:pPr>
            <w:r>
              <w:rPr>
                <w:rFonts w:hint="eastAsia" w:ascii="宋体" w:hAnsi="宋体" w:eastAsia="宋体" w:cs="宋体"/>
                <w:color w:val="auto"/>
                <w:sz w:val="24"/>
                <w:szCs w:val="24"/>
                <w:lang w:val="en-US" w:eastAsia="zh-CN" w:bidi="ar-SA"/>
              </w:rPr>
              <w:t>直接选定方式是确定第二阶段成交供应商的主要方式。本项目确定第二阶段成交供应商由征集人或者服务对象依据第一阶段确定入围的供应商的人员素质、服务态度、技术水平以及服务便利性、用户评价等因素，从</w:t>
            </w:r>
            <w:r>
              <w:rPr>
                <w:rFonts w:hint="eastAsia" w:ascii="宋体" w:hAnsi="宋体" w:eastAsia="宋体" w:cs="宋体"/>
                <w:sz w:val="24"/>
                <w:szCs w:val="24"/>
                <w:lang w:val="en-US" w:eastAsia="zh-CN" w:bidi="ar-SA"/>
              </w:rPr>
              <w:t>第一阶段入围供应商中直接选定，征集人在确定成交供应商后2个工作日内在新疆政府采购网逐笔发布成交结果公告。单笔公告应当包括以下主要内容：</w:t>
            </w:r>
          </w:p>
          <w:p w14:paraId="22DD9F6C">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（一）采购人的名称、地址和联系方式；</w:t>
            </w:r>
          </w:p>
          <w:p w14:paraId="266F502C">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（二）框架协议采购项目名称、编号；</w:t>
            </w:r>
          </w:p>
          <w:p w14:paraId="05051E5D">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（三）成交供应商名称、地址和成交金额；</w:t>
            </w:r>
          </w:p>
          <w:p w14:paraId="580E48B0">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（四）成交标的名称、规格型号或者主要服务内容及服务标准、数量、单价；</w:t>
            </w:r>
          </w:p>
          <w:p w14:paraId="63D908C6">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（五）公告期限。</w:t>
            </w:r>
          </w:p>
          <w:p w14:paraId="3E15D1BC">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征集人应当在框架协议有效期满后10个工作日内发布成交结果汇总公告。汇总公告应当包括前款第一项、第二项内容和所有成交供应商的名称、地址及其成交合同总数和总金额。</w:t>
            </w:r>
          </w:p>
        </w:tc>
      </w:tr>
      <w:tr w14:paraId="55F8C4DE">
        <w:tblPrEx>
          <w:tblCellMar>
            <w:top w:w="0" w:type="dxa"/>
            <w:left w:w="108" w:type="dxa"/>
            <w:bottom w:w="0" w:type="dxa"/>
            <w:right w:w="108" w:type="dxa"/>
          </w:tblCellMar>
        </w:tblPrEx>
        <w:trPr>
          <w:cantSplit/>
          <w:trHeight w:val="1735" w:hRule="atLeast"/>
          <w:jc w:val="center"/>
        </w:trPr>
        <w:tc>
          <w:tcPr>
            <w:tcW w:w="401" w:type="pct"/>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1D73D6C3">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27</w:t>
            </w:r>
          </w:p>
        </w:tc>
        <w:tc>
          <w:tcPr>
            <w:tcW w:w="94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5E86518">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征集人补充</w:t>
            </w:r>
          </w:p>
          <w:p w14:paraId="1B8DFC35">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供应商</w:t>
            </w:r>
          </w:p>
        </w:tc>
        <w:tc>
          <w:tcPr>
            <w:tcW w:w="3656" w:type="pct"/>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6E2CBEE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除剩余入围供应商不足入围供应商总数70%且影响框架协议执行的情形外，框架协议有效期内，征集人不得补充征集供应商。 </w:t>
            </w:r>
          </w:p>
          <w:p w14:paraId="6289D20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征集人补充征集供应商的，补充征集规则应当在框架协议中约定，补充征集的条件、程序、评审方法和淘汰比例应当与初次征集相同。补充征集应当遵守原框架协议的有效期。补充征集期间，原框架协议继续履行。 </w:t>
            </w:r>
          </w:p>
        </w:tc>
      </w:tr>
      <w:tr w14:paraId="52AC001A">
        <w:tblPrEx>
          <w:tblCellMar>
            <w:top w:w="0" w:type="dxa"/>
            <w:left w:w="108" w:type="dxa"/>
            <w:bottom w:w="0" w:type="dxa"/>
            <w:right w:w="108" w:type="dxa"/>
          </w:tblCellMar>
        </w:tblPrEx>
        <w:trPr>
          <w:cantSplit/>
          <w:trHeight w:val="955" w:hRule="atLeast"/>
          <w:jc w:val="center"/>
        </w:trPr>
        <w:tc>
          <w:tcPr>
            <w:tcW w:w="401" w:type="pct"/>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55C945B9">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28</w:t>
            </w:r>
          </w:p>
        </w:tc>
        <w:tc>
          <w:tcPr>
            <w:tcW w:w="94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2FDF644">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是否允许分包</w:t>
            </w:r>
          </w:p>
        </w:tc>
        <w:tc>
          <w:tcPr>
            <w:tcW w:w="3656" w:type="pct"/>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3FD832FF">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不允许</w:t>
            </w:r>
          </w:p>
        </w:tc>
      </w:tr>
      <w:tr w14:paraId="6E71B01C">
        <w:tblPrEx>
          <w:tblCellMar>
            <w:top w:w="0" w:type="dxa"/>
            <w:left w:w="108" w:type="dxa"/>
            <w:bottom w:w="0" w:type="dxa"/>
            <w:right w:w="108" w:type="dxa"/>
          </w:tblCellMar>
        </w:tblPrEx>
        <w:trPr>
          <w:cantSplit/>
          <w:trHeight w:val="1505" w:hRule="atLeast"/>
          <w:jc w:val="center"/>
        </w:trPr>
        <w:tc>
          <w:tcPr>
            <w:tcW w:w="401" w:type="pct"/>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74585528">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29</w:t>
            </w:r>
          </w:p>
        </w:tc>
        <w:tc>
          <w:tcPr>
            <w:tcW w:w="94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004F347">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入围服务费</w:t>
            </w:r>
          </w:p>
          <w:p w14:paraId="4FD0B23E">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价格确定</w:t>
            </w:r>
          </w:p>
        </w:tc>
        <w:tc>
          <w:tcPr>
            <w:tcW w:w="3656" w:type="pct"/>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3EAF6E02">
            <w:pPr>
              <w:keepNext w:val="0"/>
              <w:keepLines w:val="0"/>
              <w:pageBreakBefore w:val="0"/>
              <w:widowControl/>
              <w:numPr>
                <w:ilvl w:val="0"/>
                <w:numId w:val="0"/>
              </w:numPr>
              <w:kinsoku/>
              <w:wordWrap/>
              <w:overflowPunct/>
              <w:topLinePunct w:val="0"/>
              <w:autoSpaceDE w:val="0"/>
              <w:autoSpaceDN w:val="0"/>
              <w:bidi w:val="0"/>
              <w:adjustRightInd/>
              <w:snapToGrid/>
              <w:spacing w:line="360" w:lineRule="exact"/>
              <w:ind w:right="0" w:right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1、工程类项目预算</w:t>
            </w:r>
            <w:r>
              <w:rPr>
                <w:rFonts w:hint="eastAsia" w:ascii="宋体" w:hAnsi="宋体" w:cs="宋体"/>
                <w:color w:val="auto"/>
                <w:kern w:val="0"/>
                <w:sz w:val="24"/>
                <w:szCs w:val="24"/>
                <w:lang w:val="en-US" w:eastAsia="zh-CN" w:bidi="ar-SA"/>
              </w:rPr>
              <w:t>评审</w:t>
            </w:r>
            <w:r>
              <w:rPr>
                <w:rFonts w:hint="eastAsia" w:ascii="宋体" w:hAnsi="宋体" w:eastAsia="宋体" w:cs="宋体"/>
                <w:color w:val="auto"/>
                <w:kern w:val="0"/>
                <w:sz w:val="24"/>
                <w:szCs w:val="24"/>
                <w:lang w:val="en-US" w:eastAsia="zh-CN" w:bidi="ar-SA"/>
              </w:rPr>
              <w:t>、竣工结算评审项目的委托评审服务费，以审定金额为基准，以新疆计划委员会、自治区建设厅《关于下达新疆维吾尔自治区工程造价咨询服务收费管理规定的通知》（新计价房﹝2002﹞866号）所列示标准的基础上按优惠率40％（即:打6折）确定付费金额。咨询费不足1000元的按1000元确定结算服务费。</w:t>
            </w:r>
          </w:p>
          <w:p w14:paraId="39A09222">
            <w:pPr>
              <w:keepNext w:val="0"/>
              <w:keepLines w:val="0"/>
              <w:pageBreakBefore w:val="0"/>
              <w:widowControl/>
              <w:numPr>
                <w:ilvl w:val="0"/>
                <w:numId w:val="0"/>
              </w:numPr>
              <w:kinsoku/>
              <w:wordWrap/>
              <w:overflowPunct/>
              <w:topLinePunct w:val="0"/>
              <w:autoSpaceDE w:val="0"/>
              <w:autoSpaceDN w:val="0"/>
              <w:bidi w:val="0"/>
              <w:adjustRightInd/>
              <w:snapToGrid/>
              <w:spacing w:line="360" w:lineRule="exact"/>
              <w:ind w:right="0" w:rightChars="0"/>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2、</w:t>
            </w:r>
            <w:r>
              <w:rPr>
                <w:rFonts w:hint="eastAsia" w:ascii="宋体" w:hAnsi="宋体" w:eastAsia="宋体" w:cs="宋体"/>
                <w:color w:val="auto"/>
                <w:kern w:val="0"/>
                <w:sz w:val="24"/>
                <w:szCs w:val="24"/>
                <w:lang w:val="en-US" w:eastAsia="zh-CN" w:bidi="ar-SA"/>
              </w:rPr>
              <w:t>工程类项目预算</w:t>
            </w:r>
            <w:r>
              <w:rPr>
                <w:rFonts w:hint="eastAsia" w:ascii="宋体" w:hAnsi="宋体" w:cs="宋体"/>
                <w:color w:val="auto"/>
                <w:kern w:val="0"/>
                <w:sz w:val="24"/>
                <w:szCs w:val="24"/>
                <w:lang w:val="en-US" w:eastAsia="zh-CN" w:bidi="ar-SA"/>
              </w:rPr>
              <w:t>抽审</w:t>
            </w:r>
            <w:r>
              <w:rPr>
                <w:rFonts w:hint="eastAsia" w:ascii="宋体" w:hAnsi="宋体" w:eastAsia="宋体" w:cs="宋体"/>
                <w:color w:val="auto"/>
                <w:kern w:val="0"/>
                <w:sz w:val="24"/>
                <w:szCs w:val="24"/>
                <w:lang w:val="en-US" w:eastAsia="zh-CN" w:bidi="ar-SA"/>
              </w:rPr>
              <w:t>，以审定金额为基准，对于</w:t>
            </w:r>
            <w:r>
              <w:rPr>
                <w:rFonts w:hint="eastAsia" w:ascii="宋体" w:hAnsi="宋体" w:cs="宋体"/>
                <w:color w:val="auto"/>
                <w:kern w:val="0"/>
                <w:sz w:val="24"/>
                <w:szCs w:val="24"/>
                <w:lang w:val="en-US" w:eastAsia="zh-CN" w:bidi="ar-SA"/>
              </w:rPr>
              <w:t>预算抽</w:t>
            </w:r>
            <w:r>
              <w:rPr>
                <w:rFonts w:hint="eastAsia" w:ascii="宋体" w:hAnsi="宋体" w:eastAsia="宋体" w:cs="宋体"/>
                <w:color w:val="auto"/>
                <w:kern w:val="0"/>
                <w:sz w:val="24"/>
                <w:szCs w:val="24"/>
                <w:lang w:val="en-US" w:eastAsia="zh-CN" w:bidi="ar-SA"/>
              </w:rPr>
              <w:t xml:space="preserve">审项目按照五个档（100万元-500万元，500万元-1000万元，1000万元-5000万元，5000万元-1亿元，1 亿元以上，）进行付费，复审公司只需要出具复审意见，复审意见反馈给初审公司，初审公司对其进行修改完善并出具最终的定案报告。付费标准如下： </w:t>
            </w:r>
          </w:p>
          <w:p w14:paraId="593444EE">
            <w:pPr>
              <w:keepNext w:val="0"/>
              <w:keepLines w:val="0"/>
              <w:pageBreakBefore w:val="0"/>
              <w:kinsoku/>
              <w:wordWrap/>
              <w:overflowPunct/>
              <w:topLinePunct w:val="0"/>
              <w:bidi w:val="0"/>
              <w:adjustRightInd/>
              <w:snapToGrid/>
              <w:spacing w:line="360" w:lineRule="exact"/>
              <w:ind w:firstLine="480"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（一）100 万元-500 万元：   1000 元/项目 </w:t>
            </w:r>
          </w:p>
          <w:p w14:paraId="5E3015C3">
            <w:pPr>
              <w:keepNext w:val="0"/>
              <w:keepLines w:val="0"/>
              <w:pageBreakBefore w:val="0"/>
              <w:kinsoku/>
              <w:wordWrap/>
              <w:overflowPunct/>
              <w:topLinePunct w:val="0"/>
              <w:bidi w:val="0"/>
              <w:adjustRightInd/>
              <w:snapToGrid/>
              <w:spacing w:line="360" w:lineRule="exact"/>
              <w:ind w:firstLine="480"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（二）500 万元-1000 万元：  2000 元/项目 </w:t>
            </w:r>
          </w:p>
          <w:p w14:paraId="31E59D48">
            <w:pPr>
              <w:keepNext w:val="0"/>
              <w:keepLines w:val="0"/>
              <w:pageBreakBefore w:val="0"/>
              <w:kinsoku/>
              <w:wordWrap/>
              <w:overflowPunct/>
              <w:topLinePunct w:val="0"/>
              <w:bidi w:val="0"/>
              <w:adjustRightInd/>
              <w:snapToGrid/>
              <w:spacing w:line="360" w:lineRule="exact"/>
              <w:ind w:firstLine="480"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（三）1000 万元-5000 万元： 3000 元/项目 </w:t>
            </w:r>
          </w:p>
          <w:p w14:paraId="018473BA">
            <w:pPr>
              <w:keepNext w:val="0"/>
              <w:keepLines w:val="0"/>
              <w:pageBreakBefore w:val="0"/>
              <w:kinsoku/>
              <w:wordWrap/>
              <w:overflowPunct/>
              <w:topLinePunct w:val="0"/>
              <w:bidi w:val="0"/>
              <w:adjustRightInd/>
              <w:snapToGrid/>
              <w:spacing w:line="360" w:lineRule="exact"/>
              <w:ind w:firstLine="480"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（四）5000 万元-1 亿元：    4000 元/项目 </w:t>
            </w:r>
          </w:p>
          <w:p w14:paraId="193ABBE3">
            <w:pPr>
              <w:keepNext w:val="0"/>
              <w:keepLines w:val="0"/>
              <w:pageBreakBefore w:val="0"/>
              <w:kinsoku/>
              <w:wordWrap/>
              <w:overflowPunct/>
              <w:topLinePunct w:val="0"/>
              <w:bidi w:val="0"/>
              <w:adjustRightInd/>
              <w:snapToGrid/>
              <w:spacing w:line="360" w:lineRule="exact"/>
              <w:ind w:firstLine="480"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（五）1 亿元以上：          5000 元/项目</w:t>
            </w:r>
          </w:p>
          <w:p w14:paraId="636BFAEA">
            <w:pPr>
              <w:keepNext w:val="0"/>
              <w:keepLines w:val="0"/>
              <w:pageBreakBefore w:val="0"/>
              <w:numPr>
                <w:ilvl w:val="0"/>
                <w:numId w:val="0"/>
              </w:numPr>
              <w:kinsoku/>
              <w:wordWrap/>
              <w:overflowPunct/>
              <w:topLinePunct w:val="0"/>
              <w:bidi w:val="0"/>
              <w:adjustRightInd/>
              <w:snapToGrid/>
              <w:spacing w:line="360" w:lineRule="exact"/>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工程类项目竣工结算复审，对于项目单位采用全过程跟踪评审的项目进行竣工结算复审，以审定金额为基准。复审公司只需要出具复审意见，复审意见反馈给初审公司，初审公司对其进行修改完善并出具最终的定案报告。付费标准如下：</w:t>
            </w:r>
          </w:p>
          <w:p w14:paraId="74D259C8">
            <w:pPr>
              <w:keepNext w:val="0"/>
              <w:keepLines w:val="0"/>
              <w:pageBreakBefore w:val="0"/>
              <w:numPr>
                <w:ilvl w:val="0"/>
                <w:numId w:val="0"/>
              </w:numPr>
              <w:kinsoku/>
              <w:wordWrap/>
              <w:overflowPunct/>
              <w:topLinePunct w:val="0"/>
              <w:bidi w:val="0"/>
              <w:adjustRightInd/>
              <w:snapToGrid/>
              <w:spacing w:line="360" w:lineRule="exact"/>
              <w:ind w:firstLine="480"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2000万（含）以上项目：按照审定金额的0.5</w:t>
            </w:r>
            <w:r>
              <w:rPr>
                <w:rFonts w:hint="default" w:ascii="宋体" w:hAnsi="宋体" w:eastAsia="宋体" w:cs="宋体"/>
                <w:color w:val="auto"/>
                <w:kern w:val="0"/>
                <w:sz w:val="24"/>
                <w:szCs w:val="24"/>
                <w:lang w:val="en-US" w:eastAsia="zh-CN" w:bidi="ar-SA"/>
              </w:rPr>
              <w:t>‰</w:t>
            </w:r>
            <w:r>
              <w:rPr>
                <w:rFonts w:hint="eastAsia" w:ascii="宋体" w:hAnsi="宋体" w:eastAsia="宋体" w:cs="宋体"/>
                <w:color w:val="auto"/>
                <w:kern w:val="0"/>
                <w:sz w:val="24"/>
                <w:szCs w:val="24"/>
                <w:lang w:val="en-US" w:eastAsia="zh-CN" w:bidi="ar-SA"/>
              </w:rPr>
              <w:t>为基础费用+核减额的1.5%；</w:t>
            </w:r>
          </w:p>
          <w:p w14:paraId="7B9AB8D6">
            <w:pPr>
              <w:keepNext w:val="0"/>
              <w:keepLines w:val="0"/>
              <w:pageBreakBefore w:val="0"/>
              <w:numPr>
                <w:ilvl w:val="0"/>
                <w:numId w:val="0"/>
              </w:numPr>
              <w:kinsoku/>
              <w:wordWrap/>
              <w:overflowPunct/>
              <w:topLinePunct w:val="0"/>
              <w:bidi w:val="0"/>
              <w:adjustRightInd/>
              <w:snapToGrid/>
              <w:spacing w:line="360" w:lineRule="exact"/>
              <w:ind w:firstLine="480" w:firstLineChars="200"/>
              <w:jc w:val="left"/>
              <w:textAlignment w:val="auto"/>
              <w:rPr>
                <w:rFonts w:hint="eastAsia" w:ascii="宋体" w:hAnsi="宋体" w:eastAsia="宋体" w:cs="宋体"/>
                <w:color w:val="auto"/>
                <w:kern w:val="0"/>
                <w:sz w:val="30"/>
                <w:szCs w:val="30"/>
                <w:lang w:val="en-US" w:eastAsia="zh-CN" w:bidi="ar-SA"/>
              </w:rPr>
            </w:pPr>
            <w:r>
              <w:rPr>
                <w:rFonts w:hint="eastAsia" w:ascii="宋体" w:hAnsi="宋体" w:eastAsia="宋体" w:cs="宋体"/>
                <w:color w:val="auto"/>
                <w:kern w:val="0"/>
                <w:sz w:val="24"/>
                <w:szCs w:val="24"/>
                <w:lang w:val="en-US" w:eastAsia="zh-CN" w:bidi="ar-SA"/>
              </w:rPr>
              <w:t>2000万以下的项目：按照审定金额的0.5</w:t>
            </w:r>
            <w:r>
              <w:rPr>
                <w:rFonts w:hint="default" w:ascii="宋体" w:hAnsi="宋体" w:eastAsia="宋体" w:cs="宋体"/>
                <w:color w:val="auto"/>
                <w:kern w:val="0"/>
                <w:sz w:val="24"/>
                <w:szCs w:val="24"/>
                <w:lang w:val="en-US" w:eastAsia="zh-CN" w:bidi="ar-SA"/>
              </w:rPr>
              <w:t>‰</w:t>
            </w:r>
            <w:r>
              <w:rPr>
                <w:rFonts w:hint="eastAsia" w:ascii="宋体" w:hAnsi="宋体" w:eastAsia="宋体" w:cs="宋体"/>
                <w:color w:val="auto"/>
                <w:kern w:val="0"/>
                <w:sz w:val="24"/>
                <w:szCs w:val="24"/>
                <w:lang w:val="en-US" w:eastAsia="zh-CN" w:bidi="ar-SA"/>
              </w:rPr>
              <w:t>为基础费用+按照核减额的2%组成计取。</w:t>
            </w:r>
          </w:p>
          <w:p w14:paraId="2A2907AC">
            <w:pPr>
              <w:keepNext w:val="0"/>
              <w:keepLines w:val="0"/>
              <w:pageBreakBefore w:val="0"/>
              <w:numPr>
                <w:ilvl w:val="0"/>
                <w:numId w:val="0"/>
              </w:numPr>
              <w:kinsoku/>
              <w:wordWrap/>
              <w:overflowPunct/>
              <w:topLinePunct w:val="0"/>
              <w:bidi w:val="0"/>
              <w:adjustRightInd/>
              <w:snapToGrid/>
              <w:spacing w:line="360" w:lineRule="exact"/>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kern w:val="0"/>
                <w:sz w:val="24"/>
                <w:szCs w:val="24"/>
                <w:lang w:val="en-US" w:eastAsia="zh-CN" w:bidi="ar-SA"/>
              </w:rPr>
              <w:t>4、其它各项咨询服务按照补充协议相关内容执行。</w:t>
            </w:r>
          </w:p>
        </w:tc>
      </w:tr>
      <w:tr w14:paraId="3B27E953">
        <w:tblPrEx>
          <w:tblCellMar>
            <w:top w:w="0" w:type="dxa"/>
            <w:left w:w="108" w:type="dxa"/>
            <w:bottom w:w="0" w:type="dxa"/>
            <w:right w:w="108" w:type="dxa"/>
          </w:tblCellMar>
        </w:tblPrEx>
        <w:trPr>
          <w:cantSplit/>
          <w:trHeight w:val="1759" w:hRule="atLeast"/>
          <w:jc w:val="center"/>
        </w:trPr>
        <w:tc>
          <w:tcPr>
            <w:tcW w:w="401" w:type="pct"/>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20E97BDD">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30</w:t>
            </w:r>
          </w:p>
        </w:tc>
        <w:tc>
          <w:tcPr>
            <w:tcW w:w="94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4BBCDBF">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其他不允许投标的情形</w:t>
            </w:r>
          </w:p>
        </w:tc>
        <w:tc>
          <w:tcPr>
            <w:tcW w:w="3656" w:type="pct"/>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13C508FB">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1）与采购人存在利害关系可能影响招标公正性的法人不得参加投标；单位负责人为同一人或者存在控股、管理关系的不同单位，不得同时参加本招标项目投标，否则投标均无效；</w:t>
            </w:r>
          </w:p>
          <w:p w14:paraId="35F47EEF">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2）为本项目提供整体设计、规范编制或者项目管理、监理、检测等服务的供应商，不得参加本项目投标。</w:t>
            </w:r>
          </w:p>
        </w:tc>
      </w:tr>
      <w:tr w14:paraId="7C2E1765">
        <w:tblPrEx>
          <w:tblCellMar>
            <w:top w:w="0" w:type="dxa"/>
            <w:left w:w="108" w:type="dxa"/>
            <w:bottom w:w="0" w:type="dxa"/>
            <w:right w:w="108" w:type="dxa"/>
          </w:tblCellMar>
        </w:tblPrEx>
        <w:trPr>
          <w:cantSplit/>
          <w:trHeight w:val="90" w:hRule="atLeast"/>
          <w:jc w:val="center"/>
        </w:trPr>
        <w:tc>
          <w:tcPr>
            <w:tcW w:w="401" w:type="pct"/>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369A1E7E">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default" w:ascii="宋体" w:hAnsi="宋体" w:eastAsia="宋体" w:cs="宋体"/>
                <w:sz w:val="24"/>
                <w:szCs w:val="24"/>
                <w:lang w:val="en-US" w:eastAsia="zh-CN" w:bidi="ar-SA"/>
              </w:rPr>
            </w:pPr>
            <w:r>
              <w:rPr>
                <w:rFonts w:hint="eastAsia" w:hAnsi="宋体" w:cs="宋体"/>
                <w:sz w:val="24"/>
                <w:szCs w:val="24"/>
                <w:lang w:val="en-US" w:eastAsia="zh-CN" w:bidi="ar-SA"/>
              </w:rPr>
              <w:t>31</w:t>
            </w:r>
          </w:p>
        </w:tc>
        <w:tc>
          <w:tcPr>
            <w:tcW w:w="94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A359695">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default" w:ascii="宋体" w:hAnsi="宋体" w:eastAsia="宋体" w:cs="宋体"/>
                <w:sz w:val="24"/>
                <w:szCs w:val="24"/>
                <w:lang w:val="en-US" w:eastAsia="zh-CN" w:bidi="ar-SA"/>
              </w:rPr>
            </w:pPr>
            <w:r>
              <w:rPr>
                <w:rFonts w:hint="eastAsia" w:hAnsi="宋体" w:cs="宋体"/>
                <w:sz w:val="24"/>
                <w:szCs w:val="24"/>
                <w:lang w:val="en-US" w:eastAsia="zh-CN" w:bidi="ar-SA"/>
              </w:rPr>
              <w:t>行业管理要求</w:t>
            </w:r>
          </w:p>
        </w:tc>
        <w:tc>
          <w:tcPr>
            <w:tcW w:w="3656" w:type="pct"/>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3A4B0E78">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textAlignment w:val="auto"/>
              <w:rPr>
                <w:rFonts w:hint="eastAsia" w:ascii="宋体" w:hAnsi="宋体" w:eastAsia="宋体" w:cs="宋体"/>
                <w:sz w:val="24"/>
                <w:szCs w:val="24"/>
                <w:lang w:val="en-US" w:eastAsia="zh-CN" w:bidi="ar-SA"/>
              </w:rPr>
            </w:pPr>
            <w:r>
              <w:rPr>
                <w:rFonts w:hint="eastAsia" w:ascii="宋体" w:hAnsi="宋体" w:eastAsia="宋体" w:cs="宋体"/>
                <w:color w:val="auto"/>
                <w:sz w:val="24"/>
                <w:szCs w:val="24"/>
                <w:lang w:val="en-US" w:eastAsia="zh-CN" w:bidi="ar-SA"/>
              </w:rPr>
              <w:t>本框架协议采购征集的</w:t>
            </w:r>
            <w:r>
              <w:rPr>
                <w:rFonts w:hint="eastAsia" w:hAnsi="宋体" w:cs="宋体"/>
                <w:color w:val="auto"/>
                <w:sz w:val="24"/>
                <w:szCs w:val="24"/>
                <w:lang w:val="en-US" w:eastAsia="zh-CN" w:bidi="ar-SA"/>
              </w:rPr>
              <w:t>14</w:t>
            </w:r>
            <w:r>
              <w:rPr>
                <w:rFonts w:hint="eastAsia" w:ascii="宋体" w:hAnsi="宋体" w:eastAsia="宋体" w:cs="宋体"/>
                <w:color w:val="auto"/>
                <w:sz w:val="24"/>
                <w:szCs w:val="24"/>
                <w:lang w:val="en-US" w:eastAsia="zh-CN" w:bidi="ar-SA"/>
              </w:rPr>
              <w:t>家服务单位，在签订框架协议后，在签订服务合同前，框架协议入围单位须在新疆建设云造价咨询企业中完成基本信息登记工作，且需在伊犁州定额管理站进行信息登记。</w:t>
            </w:r>
          </w:p>
        </w:tc>
      </w:tr>
      <w:tr w14:paraId="3622F473">
        <w:tblPrEx>
          <w:tblCellMar>
            <w:top w:w="0" w:type="dxa"/>
            <w:left w:w="108" w:type="dxa"/>
            <w:bottom w:w="0" w:type="dxa"/>
            <w:right w:w="108" w:type="dxa"/>
          </w:tblCellMar>
        </w:tblPrEx>
        <w:trPr>
          <w:cantSplit/>
          <w:trHeight w:val="90" w:hRule="atLeast"/>
          <w:jc w:val="center"/>
        </w:trPr>
        <w:tc>
          <w:tcPr>
            <w:tcW w:w="401" w:type="pct"/>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2B8A4134">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default" w:hAnsi="宋体" w:cs="宋体"/>
                <w:sz w:val="24"/>
                <w:szCs w:val="24"/>
                <w:lang w:val="en-US" w:eastAsia="zh-CN" w:bidi="ar-SA"/>
              </w:rPr>
            </w:pPr>
            <w:r>
              <w:rPr>
                <w:rFonts w:hint="eastAsia" w:hAnsi="宋体" w:cs="宋体"/>
                <w:sz w:val="24"/>
                <w:szCs w:val="24"/>
                <w:lang w:val="en-US" w:eastAsia="zh-CN" w:bidi="ar-SA"/>
              </w:rPr>
              <w:t>32</w:t>
            </w:r>
          </w:p>
        </w:tc>
        <w:tc>
          <w:tcPr>
            <w:tcW w:w="94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E1276B1">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default" w:hAnsi="宋体" w:cs="宋体"/>
                <w:sz w:val="24"/>
                <w:szCs w:val="24"/>
                <w:lang w:val="en-US" w:eastAsia="zh-CN" w:bidi="ar-SA"/>
              </w:rPr>
            </w:pPr>
            <w:r>
              <w:rPr>
                <w:rFonts w:hint="eastAsia" w:hAnsi="宋体" w:cs="宋体"/>
                <w:sz w:val="24"/>
                <w:szCs w:val="24"/>
                <w:lang w:val="en-US" w:eastAsia="zh-CN" w:bidi="ar-SA"/>
              </w:rPr>
              <w:t>所属行业</w:t>
            </w:r>
          </w:p>
        </w:tc>
        <w:tc>
          <w:tcPr>
            <w:tcW w:w="3656" w:type="pct"/>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75CFD7B1">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根据《工业和信息化部、国家统计局、国家发展和改革委员会、财政部关于印发中小企业划型标准规定的通知》(工信部联企业(2011)300号)本项目采购标的(服务)对应的中小企业划分标准所属行业为其他未列明行业。</w:t>
            </w:r>
          </w:p>
        </w:tc>
      </w:tr>
    </w:tbl>
    <w:p w14:paraId="427B7B26">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rPr>
          <w:rFonts w:hint="eastAsia" w:ascii="宋体" w:hAnsi="宋体" w:eastAsia="宋体" w:cs="宋体"/>
          <w:sz w:val="21"/>
          <w:szCs w:val="21"/>
          <w:lang w:val="en-US" w:eastAsia="zh-CN" w:bidi="ar-SA"/>
        </w:rPr>
        <w:sectPr>
          <w:footerReference r:id="rId10" w:type="first"/>
          <w:footerReference r:id="rId9" w:type="default"/>
          <w:pgSz w:w="11905" w:h="16838"/>
          <w:pgMar w:top="1383" w:right="1293" w:bottom="1383" w:left="1463" w:header="794" w:footer="794" w:gutter="0"/>
          <w:pgNumType w:start="1"/>
          <w:cols w:space="0" w:num="1"/>
          <w:titlePg/>
          <w:rtlGutter w:val="0"/>
          <w:docGrid w:type="lines" w:linePitch="313" w:charSpace="0"/>
        </w:sectPr>
      </w:pPr>
    </w:p>
    <w:p w14:paraId="2E5DC925">
      <w:pPr>
        <w:spacing w:line="480" w:lineRule="exact"/>
        <w:jc w:val="left"/>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bidi="ar-SA"/>
        </w:rPr>
        <w:t>一、总则</w:t>
      </w:r>
    </w:p>
    <w:p w14:paraId="4EE862FD">
      <w:pPr>
        <w:spacing w:line="480" w:lineRule="exact"/>
        <w:ind w:firstLine="482" w:firstLineChars="200"/>
        <w:jc w:val="left"/>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1.1 定义</w:t>
      </w:r>
    </w:p>
    <w:p w14:paraId="657AE05B">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1.1.1“征集人”集中采购机构、主管预算单位及其委托的采购代理机构，统称征集人。</w:t>
      </w:r>
    </w:p>
    <w:p w14:paraId="0901E420">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1.1.2“采购人”是指依法进行政府采购的国家机关、事业单位、团体组织。本次政府采购的采购人名称、地址、电话、联系人见供应商须知前附表。</w:t>
      </w:r>
    </w:p>
    <w:p w14:paraId="40A51743">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1.1.3“采购代理机构”是指集中采购机构和集中采购机构以外的采购代理机构。本政府采购的采购代理机构名称、地址、电话、联系人见供应商须知前附表。</w:t>
      </w:r>
    </w:p>
    <w:p w14:paraId="6BCB5470">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1.1.4“供应商”凡满足本项目招标公告资格的要求且符合《中华人民共和国政府采购法》第二十二条对供应商的规定响应招标、参加投标竞争的法人、其他组织或者自然人。</w:t>
      </w:r>
    </w:p>
    <w:p w14:paraId="3AD3A802">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 xml:space="preserve">1.1.5 </w:t>
      </w:r>
      <w:r>
        <w:rPr>
          <w:rFonts w:hint="eastAsia" w:ascii="宋体" w:hAnsi="宋体" w:eastAsia="宋体" w:cs="宋体"/>
          <w:color w:val="auto"/>
          <w:kern w:val="0"/>
          <w:sz w:val="24"/>
          <w:szCs w:val="24"/>
          <w:lang w:val="en-US" w:eastAsia="zh-CN" w:bidi="ar-SA"/>
        </w:rPr>
        <w:t>根据《中华人民共和国政府采购法实施条例》释义，银行、保险、石油石化、电力、电信等有行业特殊情况的，允许分支机构参加投标，分支机构参加投标的，需要在投标时提供分支机构的有效证明资料。本征集文件中所有的法定代表人均指法定代表人或分公司负责人。</w:t>
      </w:r>
    </w:p>
    <w:p w14:paraId="48C3FD3F">
      <w:pPr>
        <w:pStyle w:val="20"/>
        <w:ind w:firstLine="360" w:firstLineChars="200"/>
        <w:rPr>
          <w:rFonts w:hint="default"/>
          <w:lang w:val="en-US" w:eastAsia="zh-CN"/>
        </w:rPr>
      </w:pPr>
    </w:p>
    <w:p w14:paraId="2B1C8096">
      <w:pPr>
        <w:spacing w:line="480" w:lineRule="exact"/>
        <w:ind w:firstLine="482" w:firstLineChars="200"/>
        <w:jc w:val="left"/>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1.2供应商不得存在下列任意情形之一：</w:t>
      </w:r>
    </w:p>
    <w:p w14:paraId="639E2D7A">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1.2.1与采购人存在利害关系可能影响招标公正性的法人不得参加投标；</w:t>
      </w:r>
    </w:p>
    <w:p w14:paraId="3292FDD1">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1.2.2单位负责人为同一人或者存在控股、管理关系的不同单位，不得同时参加本招标项目投标，否则投标均无效；</w:t>
      </w:r>
    </w:p>
    <w:p w14:paraId="69BA6CE0">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1.2.3为本项目提供整体设计、规范编制或者项目管理、监理、检测等服务的供应商，不得再参加本项目的其他采购活动。</w:t>
      </w:r>
    </w:p>
    <w:p w14:paraId="52D7A33D">
      <w:pPr>
        <w:spacing w:line="480" w:lineRule="exact"/>
        <w:ind w:firstLine="482" w:firstLineChars="200"/>
        <w:jc w:val="left"/>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1.3供应商应自行承担所有与编写和提交征集响应文件有关的费用,不论投标的结果如何，代理单位和采购人在任何情况下均无义务和责任承担这些费用。</w:t>
      </w:r>
    </w:p>
    <w:p w14:paraId="5D604C84">
      <w:pPr>
        <w:spacing w:line="480" w:lineRule="exact"/>
        <w:ind w:firstLine="482" w:firstLineChars="200"/>
        <w:jc w:val="left"/>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1.4联合体投标（本项目不接受联合体投标）</w:t>
      </w:r>
    </w:p>
    <w:p w14:paraId="72FB369B">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1.4.1两个以上的自然人、法人或者其他组织可以组成一个联合体，以一个供应商的身份共同参加政府采购。</w:t>
      </w:r>
    </w:p>
    <w:p w14:paraId="7B7F19CC">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1.4.2联合体中有同类资质的供应商按照联合体分工承担相同工作的，应当按照资质等级较低的供应商确定资质等级。以联合体形式参加政府采购活动的，联合体各方不得再单独参加或者与其他供应商另外组成联合体参加同一合同项下的政府采购活动。</w:t>
      </w:r>
    </w:p>
    <w:p w14:paraId="2F68C0DE">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1.4.3本项目是否接受联合体投标及相关要求见供应商须知前附表。</w:t>
      </w:r>
    </w:p>
    <w:p w14:paraId="718BFF4D">
      <w:pPr>
        <w:spacing w:line="480" w:lineRule="exact"/>
        <w:ind w:firstLine="482" w:firstLineChars="200"/>
        <w:jc w:val="left"/>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1.5知识产权</w:t>
      </w:r>
    </w:p>
    <w:p w14:paraId="014F0A5E">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1.5.1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14:paraId="01442BF8">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1.5.2 采购人享有本项目实施过程中产生的知识成果及知识产权。</w:t>
      </w:r>
    </w:p>
    <w:p w14:paraId="57DB0A45">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1.5.3 如采用供应商所不拥有的知识产权，则在报价中必须包括合法获取该知识产权的相关费用。</w:t>
      </w:r>
    </w:p>
    <w:p w14:paraId="1911E228">
      <w:pPr>
        <w:spacing w:line="480" w:lineRule="exact"/>
        <w:jc w:val="left"/>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bidi="ar-SA"/>
        </w:rPr>
        <w:t>二、征集文件</w:t>
      </w:r>
    </w:p>
    <w:p w14:paraId="4F12E8CA">
      <w:pPr>
        <w:spacing w:line="480" w:lineRule="exact"/>
        <w:ind w:firstLine="482" w:firstLineChars="200"/>
        <w:jc w:val="left"/>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2.1征集文件</w:t>
      </w:r>
    </w:p>
    <w:p w14:paraId="3BB05B5D">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供应商应认真阅读征集文件中所有的事项、格式、条款和规范等要求。如果没有按照征集文件要求提交全部资料或者征集响应文件没有对征集文件作出实质性响应，该投标有可能被拒绝，其风险应由供应商自行承担。</w:t>
      </w:r>
    </w:p>
    <w:p w14:paraId="4202C3CB">
      <w:pPr>
        <w:spacing w:line="480" w:lineRule="exact"/>
        <w:ind w:firstLine="482" w:firstLineChars="200"/>
        <w:jc w:val="left"/>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2.2征集文件的澄清</w:t>
      </w:r>
    </w:p>
    <w:p w14:paraId="490D8897">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2.2.1任何要求澄清征集文件的供应商，均应在下载征集文件后以书面形式通知代理单位。代理单位收到澄清后将在2日内以澄清通知形式在新疆政府采购网发布予以答复，供应商须自行下载澄清通知，供应商未及时下载澄清通知导致投标无效的，后果自负。</w:t>
      </w:r>
    </w:p>
    <w:p w14:paraId="264AACBD">
      <w:pPr>
        <w:keepNext w:val="0"/>
        <w:keepLines w:val="0"/>
        <w:pageBreakBefore w:val="0"/>
        <w:widowControl w:val="0"/>
        <w:kinsoku/>
        <w:wordWrap/>
        <w:overflowPunct/>
        <w:topLinePunct w:val="0"/>
        <w:autoSpaceDE/>
        <w:autoSpaceDN/>
        <w:bidi w:val="0"/>
        <w:adjustRightInd/>
        <w:snapToGrid/>
        <w:spacing w:line="440" w:lineRule="exact"/>
        <w:ind w:firstLine="514" w:firstLineChars="200"/>
        <w:rPr>
          <w:rFonts w:hint="eastAsia" w:ascii="宋体" w:hAnsi="宋体" w:eastAsia="宋体" w:cs="宋体"/>
          <w:b/>
          <w:color w:val="auto"/>
          <w:spacing w:val="8"/>
          <w:sz w:val="24"/>
        </w:rPr>
      </w:pPr>
      <w:r>
        <w:rPr>
          <w:rFonts w:hint="eastAsia" w:ascii="宋体" w:hAnsi="宋体" w:eastAsia="宋体" w:cs="宋体"/>
          <w:b/>
          <w:color w:val="auto"/>
          <w:spacing w:val="8"/>
          <w:sz w:val="24"/>
        </w:rPr>
        <w:t>注：所有书面文件需加盖单位公章，否则本代理机构概不受理。</w:t>
      </w:r>
    </w:p>
    <w:p w14:paraId="36E2522D">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2.2.2供应商在规定时间未提交疑问的，视作默认对本次招标过程中征集文件或清单无疑问，对供应商超出规定时间提出疑问的采购人对其提出的问题可以不作解释。</w:t>
      </w:r>
    </w:p>
    <w:p w14:paraId="19AAFD03">
      <w:pPr>
        <w:spacing w:line="480" w:lineRule="exact"/>
        <w:ind w:firstLine="482" w:firstLineChars="200"/>
        <w:jc w:val="left"/>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2.3征集文件的修改</w:t>
      </w:r>
    </w:p>
    <w:p w14:paraId="6DF96810">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2.3.1 在提交征集响应文件截止日期前15天，采购人或代理机构可主动的或在解答供应商提出的问题时对征集文件进行修改。</w:t>
      </w:r>
    </w:p>
    <w:p w14:paraId="61BF0411">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2.3.2 征集文件的修改将以变更公告形式在新疆政府采购网发布,并对所有供应商具有约束力。</w:t>
      </w:r>
    </w:p>
    <w:p w14:paraId="504F85C5">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2.3.3 为使供应商在编写征集响应文件时有充分时间对征集文件的修改部分进行研究，代理单位可以酌情后延投标日期。</w:t>
      </w:r>
    </w:p>
    <w:p w14:paraId="6B2C1B99">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2.3.4对征集文件的澄清与修改均须经过采购人确认后方可发放。当征集文件、修改补充通知、澄清（答疑）记录内容相互矛盾时，以最后发出的通知（或纪要）或修改文件为准；</w:t>
      </w:r>
    </w:p>
    <w:p w14:paraId="6F7597B3">
      <w:pPr>
        <w:keepNext w:val="0"/>
        <w:keepLines w:val="0"/>
        <w:pageBreakBefore w:val="0"/>
        <w:widowControl w:val="0"/>
        <w:kinsoku/>
        <w:wordWrap/>
        <w:overflowPunct/>
        <w:topLinePunct w:val="0"/>
        <w:autoSpaceDE/>
        <w:autoSpaceDN/>
        <w:bidi w:val="0"/>
        <w:adjustRightInd/>
        <w:snapToGrid/>
        <w:spacing w:line="440" w:lineRule="exact"/>
        <w:ind w:firstLine="514" w:firstLineChars="200"/>
        <w:rPr>
          <w:rFonts w:hint="eastAsia" w:ascii="宋体" w:hAnsi="宋体" w:eastAsia="宋体" w:cs="宋体"/>
          <w:b/>
          <w:color w:val="auto"/>
          <w:spacing w:val="8"/>
          <w:sz w:val="24"/>
        </w:rPr>
      </w:pPr>
      <w:r>
        <w:rPr>
          <w:rFonts w:hint="eastAsia" w:ascii="宋体" w:hAnsi="宋体" w:eastAsia="宋体" w:cs="宋体"/>
          <w:b/>
          <w:color w:val="auto"/>
          <w:spacing w:val="8"/>
          <w:sz w:val="24"/>
        </w:rPr>
        <w:t>因新疆政府采购网政采云平台在开标前具有保密性，供应商在征集响应文件递交截止时间前须自行查看项目进展、变更通知、澄清及回复，因供应商未及时查看而造成的后果自负。</w:t>
      </w:r>
    </w:p>
    <w:p w14:paraId="297BCCBA">
      <w:pPr>
        <w:spacing w:line="480" w:lineRule="exact"/>
        <w:jc w:val="left"/>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bidi="ar-SA"/>
        </w:rPr>
        <w:t>三、征集响应文件</w:t>
      </w:r>
    </w:p>
    <w:p w14:paraId="044BDB86">
      <w:pPr>
        <w:spacing w:line="480" w:lineRule="exact"/>
        <w:ind w:firstLine="482" w:firstLineChars="200"/>
        <w:jc w:val="left"/>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3.1征集响应文件的编制依据</w:t>
      </w:r>
    </w:p>
    <w:p w14:paraId="0317E719">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3.1.1采购人提供的征集文件及有关资料；</w:t>
      </w:r>
    </w:p>
    <w:p w14:paraId="3AC9066D">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3.1.2相关的法律法规。</w:t>
      </w:r>
    </w:p>
    <w:p w14:paraId="7C15284A">
      <w:pPr>
        <w:spacing w:line="480" w:lineRule="exact"/>
        <w:ind w:firstLine="482" w:firstLineChars="200"/>
        <w:jc w:val="left"/>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3.2征集响应文件格式</w:t>
      </w:r>
    </w:p>
    <w:p w14:paraId="08C1A4B0">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3.2.1征集响应文件应包括本征集文件</w:t>
      </w:r>
      <w:r>
        <w:rPr>
          <w:rFonts w:hint="eastAsia" w:ascii="宋体" w:hAnsi="宋体" w:eastAsia="宋体" w:cs="宋体"/>
          <w:b/>
          <w:bCs/>
          <w:color w:val="auto"/>
          <w:kern w:val="0"/>
          <w:sz w:val="24"/>
          <w:szCs w:val="24"/>
          <w:lang w:val="en-US" w:eastAsia="zh-CN" w:bidi="ar-SA"/>
        </w:rPr>
        <w:t>“第七部分　征集响应文件格式”</w:t>
      </w:r>
      <w:r>
        <w:rPr>
          <w:rFonts w:hint="eastAsia" w:ascii="宋体" w:hAnsi="宋体" w:eastAsia="宋体" w:cs="宋体"/>
          <w:color w:val="auto"/>
          <w:kern w:val="0"/>
          <w:sz w:val="24"/>
          <w:szCs w:val="24"/>
          <w:lang w:val="en-US" w:eastAsia="zh-CN" w:bidi="ar-SA"/>
        </w:rPr>
        <w:t>中所列的内容。</w:t>
      </w:r>
    </w:p>
    <w:p w14:paraId="344F6011">
      <w:pPr>
        <w:keepNext w:val="0"/>
        <w:keepLines w:val="0"/>
        <w:pageBreakBefore w:val="0"/>
        <w:widowControl w:val="0"/>
        <w:kinsoku/>
        <w:wordWrap/>
        <w:overflowPunct/>
        <w:topLinePunct w:val="0"/>
        <w:autoSpaceDE/>
        <w:autoSpaceDN/>
        <w:bidi w:val="0"/>
        <w:adjustRightInd/>
        <w:snapToGrid/>
        <w:spacing w:line="440" w:lineRule="exact"/>
        <w:ind w:firstLine="514" w:firstLineChars="200"/>
        <w:rPr>
          <w:rFonts w:hint="eastAsia" w:ascii="宋体" w:hAnsi="宋体" w:eastAsia="宋体" w:cs="宋体"/>
          <w:b/>
          <w:color w:val="auto"/>
          <w:spacing w:val="8"/>
          <w:sz w:val="24"/>
        </w:rPr>
      </w:pPr>
      <w:r>
        <w:rPr>
          <w:rFonts w:hint="eastAsia" w:ascii="宋体" w:hAnsi="宋体" w:eastAsia="宋体" w:cs="宋体"/>
          <w:b/>
          <w:color w:val="auto"/>
          <w:spacing w:val="8"/>
          <w:sz w:val="24"/>
        </w:rPr>
        <w:t>供应商应按照本企业的实际情况提供征集响应文件格式中所要求的资料，如其征集响应文件与其实际不符，一经发现直接取消其投标资格，并将追究其相关法律责任。</w:t>
      </w:r>
    </w:p>
    <w:p w14:paraId="0E446A47">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3.2.2编制征集响应文件的语言及计量单位 </w:t>
      </w:r>
    </w:p>
    <w:p w14:paraId="6BDFE21C">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1）各投标单位与招标代理机构就有关招标、投标的所有来往函电均应使用中文。</w:t>
      </w:r>
    </w:p>
    <w:p w14:paraId="6729989C">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2）除规范另有规定外，征集响应文件使用的度量衡单位，均采用中华人民共和国法定计量单位。</w:t>
      </w:r>
    </w:p>
    <w:p w14:paraId="22706956">
      <w:pPr>
        <w:spacing w:line="480" w:lineRule="exact"/>
        <w:ind w:firstLine="482" w:firstLineChars="200"/>
        <w:jc w:val="left"/>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3.3投标报价</w:t>
      </w:r>
    </w:p>
    <w:p w14:paraId="40875305">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3.3.1报价依据：本项目征集文件中技术要求。</w:t>
      </w:r>
    </w:p>
    <w:p w14:paraId="365CABC1">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3.3.2</w:t>
      </w:r>
      <w:r>
        <w:rPr>
          <w:rFonts w:hint="eastAsia" w:ascii="宋体" w:hAnsi="宋体" w:cs="宋体"/>
          <w:color w:val="auto"/>
          <w:kern w:val="0"/>
          <w:sz w:val="24"/>
          <w:szCs w:val="24"/>
          <w:lang w:val="en-US" w:eastAsia="zh-CN" w:bidi="ar-SA"/>
        </w:rPr>
        <w:t xml:space="preserve"> </w:t>
      </w:r>
      <w:r>
        <w:rPr>
          <w:rFonts w:hint="eastAsia" w:ascii="宋体" w:hAnsi="宋体" w:eastAsia="宋体" w:cs="宋体"/>
          <w:color w:val="auto"/>
          <w:kern w:val="0"/>
          <w:sz w:val="24"/>
          <w:szCs w:val="24"/>
          <w:lang w:val="en-US" w:eastAsia="zh-CN" w:bidi="ar-SA"/>
        </w:rPr>
        <w:t>投标货币</w:t>
      </w:r>
    </w:p>
    <w:p w14:paraId="4C9EA967">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除非另有规定或许可，供应商应采用人民币报价。</w:t>
      </w:r>
    </w:p>
    <w:p w14:paraId="01127B61">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3.3.3报价方法：</w:t>
      </w:r>
    </w:p>
    <w:p w14:paraId="18E42362">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1）投标报价应按照征集文件要求编制。</w:t>
      </w:r>
    </w:p>
    <w:p w14:paraId="265F2AF4">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2）服务费应为完成规定的工作内容的各项费用,并包括且不限于在办公地点、交通、食宿、通讯、办公设备、专用设备等费用，并包含所提供的高级职称人员、需聘请的专家及最低人数要求所带来的额外费用。</w:t>
      </w:r>
    </w:p>
    <w:p w14:paraId="541C90D9">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3）服务费价格：服务费以中标单位实际承接任务数额据实结算，每个项目支付价格包括投标人履行合同所需的全部直接费用、间接费用、各种征（取）费、政策性调整因素，各种税金、投标人期望的利润、可能发生的任何风险和责任以及完成全部项目而发生的全部费用等。一旦中标，供应商除合同条款规定的调整价格因素外不能以任何理由追加酬金或提任何调整要求。投标报价中所发生的费用缺漏项以及由此引起的风险由投标人承担，并且不免除投标人以缺漏项费用为理由的违约责任； </w:t>
      </w:r>
    </w:p>
    <w:p w14:paraId="67FCE1B6">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4）本项目在执行过程中，上级对本项目内容有新规定时执行上级规定，本项目自行终止。</w:t>
      </w:r>
    </w:p>
    <w:p w14:paraId="603BA56D">
      <w:pPr>
        <w:spacing w:line="480" w:lineRule="exact"/>
        <w:ind w:firstLine="482" w:firstLineChars="200"/>
        <w:jc w:val="left"/>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3.4征集响应文件的有效期</w:t>
      </w:r>
    </w:p>
    <w:p w14:paraId="6530FC35">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3.4.1征集响应文件的有效期为开标之日起90天。</w:t>
      </w:r>
    </w:p>
    <w:p w14:paraId="6DD9AA38">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3.4.2 在原定投标有效期满之前，如果出现特殊情况，经政府采购监督管理机构核准，采购人或代理机构可以跟供应商协商延长投标有效期。</w:t>
      </w:r>
    </w:p>
    <w:p w14:paraId="1EE03293">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征集响应文件授权委托书期限不得少于投标有效期。</w:t>
      </w:r>
    </w:p>
    <w:p w14:paraId="5481E2FF">
      <w:pPr>
        <w:spacing w:line="480" w:lineRule="exact"/>
        <w:ind w:firstLine="482" w:firstLineChars="200"/>
        <w:jc w:val="left"/>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3.5投标保证金（详见前附表）</w:t>
      </w:r>
    </w:p>
    <w:p w14:paraId="02396048">
      <w:pPr>
        <w:spacing w:line="480" w:lineRule="exact"/>
        <w:ind w:firstLine="482" w:firstLineChars="200"/>
        <w:jc w:val="left"/>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3.6征集响应文件的修正</w:t>
      </w:r>
    </w:p>
    <w:p w14:paraId="58EC5164">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评标委员会将对确定为实质上响应征集文件要求的征集响应文件进行校核，看其是否有计算或表达上的错误,修正错误的原则如下:</w:t>
      </w:r>
    </w:p>
    <w:p w14:paraId="349386F4">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3.6.1征集响应文件的大写金额和小写金额不一致的，以大写金额为准；</w:t>
      </w:r>
    </w:p>
    <w:p w14:paraId="54E0ACA1">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3.6.2总价金额与按单价汇总金额不一致的，以单价金额计算结果为准；</w:t>
      </w:r>
    </w:p>
    <w:p w14:paraId="69F8E403">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3.6.3单价金额小数点有明显错位的，应以总价为准，并修改单价；</w:t>
      </w:r>
    </w:p>
    <w:p w14:paraId="308122D8">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3.6.4对不同文字文本征集响应文件的解释发生异议的，以中文文本为准。</w:t>
      </w:r>
    </w:p>
    <w:p w14:paraId="6BD2C9A8">
      <w:pPr>
        <w:spacing w:line="480" w:lineRule="exact"/>
        <w:ind w:firstLine="482" w:firstLineChars="200"/>
        <w:jc w:val="left"/>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3.7征集响应文件的编制要求</w:t>
      </w:r>
    </w:p>
    <w:p w14:paraId="165745B3">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3.7.1征集响应文件制作</w:t>
      </w:r>
    </w:p>
    <w:p w14:paraId="0BA9A0F0">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1、本项目实行电子招投标响应，供应商须登录政采云平台申请获取采购文件，并需要使用CA锁，登录政采云电子投标客户端制作响应文件，若供应商参与投标,自行承担与投标有关的一切费用。</w:t>
      </w:r>
    </w:p>
    <w:p w14:paraId="1F4C48AE">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2、各供应商应在开标前确保是新疆维吾尔自治区政府采购网正式注册入库的供应商，并完成CA数字证书申领。因未注册入库、未办理CA数字证书等原因造成无法投标或投标失败等后果的由供应商自行承担。</w:t>
      </w:r>
    </w:p>
    <w:p w14:paraId="702335D2">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供应商可前往新疆政府采购网（http://www.zcygov.cn/）下载专区，下载政采云电子投标客户端，安装完成后，可通过账号密码或CA登录客户端进行响应文件制作。在使用政采云电子投标客户端时，建议使用WIN7及以上操作系统。若对项目采购电子交易系统操作有疑问，可登录“政采云”平台（https://login.zcygov.cn/），点击右侧咨询小采，获取采小蜜智能服务管家帮助，或拨打政采云服务热线</w:t>
      </w:r>
      <w:r>
        <w:rPr>
          <w:rFonts w:hint="eastAsia" w:ascii="宋体" w:hAnsi="宋体" w:cs="宋体"/>
          <w:color w:val="auto"/>
          <w:kern w:val="0"/>
          <w:sz w:val="24"/>
          <w:szCs w:val="24"/>
          <w:lang w:val="en-US" w:eastAsia="zh-CN" w:bidi="ar-SA"/>
        </w:rPr>
        <w:t>95763</w:t>
      </w:r>
      <w:r>
        <w:rPr>
          <w:rFonts w:hint="eastAsia" w:ascii="宋体" w:hAnsi="宋体" w:eastAsia="宋体" w:cs="宋体"/>
          <w:color w:val="auto"/>
          <w:kern w:val="0"/>
          <w:sz w:val="24"/>
          <w:szCs w:val="24"/>
          <w:lang w:val="en-US" w:eastAsia="zh-CN" w:bidi="ar-SA"/>
        </w:rPr>
        <w:t>获取热线服务帮助。</w:t>
      </w:r>
    </w:p>
    <w:p w14:paraId="6AD57415">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4、供应商在开标时须携带制作加密电子响应文件所使用的CA锁，电脑须提前配置好浏览器（建议使用360浏览器或谷歌浏览器），以便开标时在线解密。</w:t>
      </w:r>
    </w:p>
    <w:p w14:paraId="2A21EE29">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5、投标供应商应当在投标截止时间前，将生成的“电子加密响应文件”上传递交至“政采云”平台，投标截止时间以后上传递交的响应文件将被“政采云”平台拒收。</w:t>
      </w:r>
    </w:p>
    <w:p w14:paraId="3C702048">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6、其他内容详见采购文件。</w:t>
      </w:r>
    </w:p>
    <w:p w14:paraId="4B199949">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3.7.2本项目为全流程电子开评标项目，供应商须在征集响应文件递交截止时间前制作并提交：</w:t>
      </w:r>
    </w:p>
    <w:p w14:paraId="033F5F72">
      <w:pPr>
        <w:spacing w:line="440" w:lineRule="exact"/>
        <w:ind w:firstLine="514" w:firstLineChars="200"/>
        <w:rPr>
          <w:rFonts w:eastAsia="楷体"/>
          <w:b/>
          <w:bCs/>
          <w:color w:val="auto"/>
          <w:spacing w:val="8"/>
          <w:sz w:val="24"/>
        </w:rPr>
      </w:pPr>
      <w:r>
        <w:rPr>
          <w:rFonts w:eastAsia="楷体"/>
          <w:b/>
          <w:bCs/>
          <w:color w:val="auto"/>
          <w:spacing w:val="8"/>
          <w:sz w:val="24"/>
        </w:rPr>
        <w:t>加密的征集响应文件（</w:t>
      </w:r>
      <w:r>
        <w:rPr>
          <w:rFonts w:hint="eastAsia" w:eastAsia="楷体"/>
          <w:b/>
          <w:bCs/>
          <w:color w:val="auto"/>
          <w:spacing w:val="8"/>
          <w:sz w:val="24"/>
          <w:lang w:val="en-US" w:eastAsia="zh-CN"/>
        </w:rPr>
        <w:t>.</w:t>
      </w:r>
      <w:r>
        <w:rPr>
          <w:rFonts w:hint="eastAsia" w:eastAsia="楷体"/>
          <w:b/>
          <w:bCs/>
          <w:color w:val="auto"/>
          <w:spacing w:val="8"/>
          <w:sz w:val="24"/>
        </w:rPr>
        <w:t>jmbs</w:t>
      </w:r>
      <w:r>
        <w:rPr>
          <w:rFonts w:eastAsia="楷体"/>
          <w:b/>
          <w:bCs/>
          <w:color w:val="auto"/>
          <w:spacing w:val="8"/>
          <w:sz w:val="24"/>
        </w:rPr>
        <w:t>格式），并在文件领取开始时间至征集响应文件递交截止时间前通过“政采云平台”上传；上传时必须得到电脑“上传成功”的确认。请供应商在上传时认真检查上传征集响应文件是否完整、正确。</w:t>
      </w:r>
    </w:p>
    <w:p w14:paraId="158496D8">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3.7.3征集文件格式所要求包含的全部资料应全部制作在征集响应文件内，严格按照本项目征集文件所有格式如实填写（不涉及的内容除外），不应存在漏项或缺项，否则将存在征集响应文件被拒绝的风险。</w:t>
      </w:r>
    </w:p>
    <w:p w14:paraId="426B6811">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3.7.4征集响应文件以外的任何资料采购人将拒收。</w:t>
      </w:r>
    </w:p>
    <w:p w14:paraId="1C9405EC">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3.7.5供应商编辑电子征集响应文件时，根据征集文件要求用法人CA秘钥和企业CA秘钥进行签章制作；最后一步生成电子征集响应文件（.jmbs格式）时，只能用本单位的企业CA秘钥加密。</w:t>
      </w:r>
    </w:p>
    <w:p w14:paraId="18DBC944">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3.7.6供应商必须按照征集文件的规定和要求在响应文件应由法定代表人或授权代表在规定的签章处逐一签署电子签章。所有供应商签章、法定代表人签章和其它签章处必须加盖具有法律效力的供应商的电子签章，响应文件方为有效。</w:t>
      </w:r>
    </w:p>
    <w:p w14:paraId="4F829FDC">
      <w:pPr>
        <w:spacing w:line="480" w:lineRule="exact"/>
        <w:ind w:firstLine="482" w:firstLineChars="200"/>
        <w:jc w:val="left"/>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3.8．征集响应文件的递交时间、地点及密封</w:t>
      </w:r>
    </w:p>
    <w:p w14:paraId="639E3AA6">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3.8.1 供应商在征集响应文件规定的递交截止时间前，将征集响应文件按供应商须知第3.7条规定解密递交。未按征集文件要求将加密递交的征集响应文件将被拒绝。</w:t>
      </w:r>
    </w:p>
    <w:p w14:paraId="767F3511">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3.8.2不接受邮寄的征集响应文件。</w:t>
      </w:r>
    </w:p>
    <w:p w14:paraId="50AB157B">
      <w:pPr>
        <w:spacing w:line="480" w:lineRule="exact"/>
        <w:ind w:firstLine="482" w:firstLineChars="200"/>
        <w:jc w:val="left"/>
        <w:rPr>
          <w:rFonts w:hint="eastAsia" w:ascii="仿宋" w:hAnsi="仿宋" w:eastAsia="仿宋" w:cs="仿宋"/>
          <w:b/>
          <w:bCs/>
          <w:color w:val="auto"/>
          <w:kern w:val="0"/>
          <w:sz w:val="24"/>
          <w:szCs w:val="24"/>
          <w:lang w:val="en-US" w:eastAsia="zh-CN" w:bidi="ar-SA"/>
        </w:rPr>
      </w:pPr>
      <w:bookmarkStart w:id="10" w:name="_Toc183582228"/>
      <w:bookmarkStart w:id="11" w:name="_Toc183682365"/>
      <w:bookmarkStart w:id="12" w:name="_Toc62031576"/>
      <w:bookmarkStart w:id="13" w:name="_Toc217446055"/>
      <w:r>
        <w:rPr>
          <w:rFonts w:hint="eastAsia" w:ascii="仿宋" w:hAnsi="仿宋" w:eastAsia="仿宋" w:cs="仿宋"/>
          <w:b/>
          <w:bCs/>
          <w:color w:val="auto"/>
          <w:kern w:val="0"/>
          <w:sz w:val="24"/>
          <w:szCs w:val="24"/>
          <w:lang w:val="en-US" w:eastAsia="zh-CN" w:bidi="ar-SA"/>
        </w:rPr>
        <w:t>3.9征集响应文件的修改和撤</w:t>
      </w:r>
      <w:bookmarkEnd w:id="10"/>
      <w:bookmarkEnd w:id="11"/>
      <w:r>
        <w:rPr>
          <w:rFonts w:hint="eastAsia" w:ascii="仿宋" w:hAnsi="仿宋" w:eastAsia="仿宋" w:cs="仿宋"/>
          <w:b/>
          <w:bCs/>
          <w:color w:val="auto"/>
          <w:kern w:val="0"/>
          <w:sz w:val="24"/>
          <w:szCs w:val="24"/>
          <w:lang w:val="en-US" w:eastAsia="zh-CN" w:bidi="ar-SA"/>
        </w:rPr>
        <w:t>回</w:t>
      </w:r>
      <w:bookmarkEnd w:id="12"/>
      <w:bookmarkEnd w:id="13"/>
    </w:p>
    <w:p w14:paraId="49A6CCCF">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3.9.1 供应商在递交了征集响应文件后，可以修改或撤回其征集响应文件，但必须在规定的递交截止时间前，以书面形式通知采购代理机构。</w:t>
      </w:r>
    </w:p>
    <w:p w14:paraId="7A53F843">
      <w:pPr>
        <w:spacing w:line="480" w:lineRule="exact"/>
        <w:ind w:firstLine="480" w:firstLineChars="200"/>
        <w:jc w:val="left"/>
        <w:rPr>
          <w:rFonts w:eastAsia="楷体"/>
          <w:color w:val="auto"/>
          <w:sz w:val="24"/>
          <w:szCs w:val="24"/>
        </w:rPr>
      </w:pPr>
      <w:r>
        <w:rPr>
          <w:rFonts w:hint="eastAsia" w:ascii="宋体" w:hAnsi="宋体" w:eastAsia="宋体" w:cs="宋体"/>
          <w:color w:val="auto"/>
          <w:kern w:val="0"/>
          <w:sz w:val="24"/>
          <w:szCs w:val="24"/>
          <w:lang w:val="en-US" w:eastAsia="zh-CN" w:bidi="ar-SA"/>
        </w:rPr>
        <w:t>3.9.2 递交截止时间之后，供应商不得对其递交的征集响应文件作任何修改或撤回。</w:t>
      </w:r>
    </w:p>
    <w:p w14:paraId="3EF21B4F">
      <w:pPr>
        <w:spacing w:line="480" w:lineRule="exact"/>
        <w:jc w:val="left"/>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bidi="ar-SA"/>
        </w:rPr>
        <w:t>四、开标及评标</w:t>
      </w:r>
    </w:p>
    <w:p w14:paraId="7627AFC5">
      <w:pPr>
        <w:spacing w:line="480" w:lineRule="exact"/>
        <w:ind w:firstLine="482" w:firstLineChars="200"/>
        <w:jc w:val="left"/>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4.1开标</w:t>
      </w:r>
    </w:p>
    <w:p w14:paraId="54D9599F">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4.1.1代理单位按照征集文件规定的时间，地点组织开标。征集响应文件递交截止时间前一小时内，各投标供应商的法定代表人或委托代理人均提前进入网上开标大厅，选择进入对应标段的开标会议区在线签到。</w:t>
      </w:r>
    </w:p>
    <w:p w14:paraId="170AC232">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4.1.2有重大偏离的征集响应文件将被拒绝。</w:t>
      </w:r>
    </w:p>
    <w:p w14:paraId="0418346B">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4.1.3 开标程序</w:t>
      </w:r>
    </w:p>
    <w:p w14:paraId="76BD665E">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主持人按下列程序进行开标：</w:t>
      </w:r>
    </w:p>
    <w:p w14:paraId="4E4CE9C7">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1）主持人登录网上开标大厅，进入不见面开标系统，选择本项目进行网上开标。</w:t>
      </w:r>
    </w:p>
    <w:p w14:paraId="4BEFE92B">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2）各供应商的授权委托人或法定代表人需在征集响应文件递交截止时间前一小时内进入网上开标大厅。征集响应文件递交截止时间截止后，根据主持人的要求在规定的时间内进行征集响应文件的解密。</w:t>
      </w:r>
    </w:p>
    <w:p w14:paraId="28C5BCFA">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3）主持人在供应商全部解密征集响应文件成功后，导入全部投标响应文件，根据投标报价进行唱标环节。</w:t>
      </w:r>
    </w:p>
    <w:p w14:paraId="16A4E392">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4）唱标环节结束后，供应商确认有无异议，若供应商有异议，可一一作出答复，所有供应商确认无异议后开标结束。</w:t>
      </w:r>
    </w:p>
    <w:p w14:paraId="219E0A20">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5）开标结束，采购代理机构对开标过程进行记录，并存档备查。转入评标阶段。</w:t>
      </w:r>
    </w:p>
    <w:p w14:paraId="63F35C10">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6）招标代理人对开标过程进行记录，并存档备查；</w:t>
      </w:r>
    </w:p>
    <w:p w14:paraId="74183CF9">
      <w:pPr>
        <w:spacing w:line="480" w:lineRule="exact"/>
        <w:ind w:firstLine="482" w:firstLineChars="200"/>
        <w:jc w:val="left"/>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4.2评标</w:t>
      </w:r>
    </w:p>
    <w:p w14:paraId="2CD40245">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详见征集文件第四部分 评标办法</w:t>
      </w:r>
    </w:p>
    <w:p w14:paraId="65F7FD7F">
      <w:pPr>
        <w:spacing w:line="480" w:lineRule="exact"/>
        <w:ind w:firstLine="482" w:firstLineChars="200"/>
        <w:jc w:val="left"/>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4.3征集响应文件的澄清</w:t>
      </w:r>
    </w:p>
    <w:p w14:paraId="191742A6">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4.3.1评标委员会有权请供应商就征集响应文件中的有关问题予以书面说明和澄清。</w:t>
      </w:r>
    </w:p>
    <w:p w14:paraId="645803C9">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4.3.2 供应商对要求说明和澄清的问题应以书面形式明确答复，并应有法定代表人或其授权代表的签字。</w:t>
      </w:r>
    </w:p>
    <w:p w14:paraId="53812803">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4.3.3 供应商的澄清文件是征集响应文件的组成部分，并替代征集响应文件中被澄清的部分。</w:t>
      </w:r>
    </w:p>
    <w:p w14:paraId="20CE7774">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4.3.4 征集响应文件的澄清不得超出征集响应文件的范围或者改变投标的实质内容。</w:t>
      </w:r>
    </w:p>
    <w:p w14:paraId="5C9C2C2E">
      <w:pPr>
        <w:spacing w:line="480" w:lineRule="exact"/>
        <w:ind w:firstLine="482" w:firstLineChars="200"/>
        <w:jc w:val="left"/>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4.4废标条件</w:t>
      </w:r>
    </w:p>
    <w:p w14:paraId="4B5E1F94">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4.4.1未按照征集文件的规定提交投标保证金的；</w:t>
      </w:r>
    </w:p>
    <w:p w14:paraId="253C0B00">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4.4.2征集响应文件未按征集文件要求签字、盖章的；</w:t>
      </w:r>
    </w:p>
    <w:p w14:paraId="492A408E">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4.4.3不具备征集文件中规定的资格要求的；</w:t>
      </w:r>
    </w:p>
    <w:p w14:paraId="3C492FA6">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4.4.4报价超过征集文件中规定的最高限价的；</w:t>
      </w:r>
    </w:p>
    <w:p w14:paraId="3E6FC9F8">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4.4.5投标截止时间以后送达；</w:t>
      </w:r>
    </w:p>
    <w:p w14:paraId="6EF45B47">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4.4.6无法人身份证明书的或无法定代表人出具的授权委托书的；</w:t>
      </w:r>
    </w:p>
    <w:p w14:paraId="4ECB3B1D">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4.4.7征集响应文件的内容不全、扫描件不清晰或关键内容字迹模糊、无法辨认的；</w:t>
      </w:r>
    </w:p>
    <w:p w14:paraId="0811FECC">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4.4.8供应商递交两份或多份内容不同的征集响应文件，或在一份征集响应文件中对同一招标货物报有两个或多个报价的；</w:t>
      </w:r>
    </w:p>
    <w:p w14:paraId="7ADA333E">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4.4.9征集响应文件含有采购人不能接受的附加条件的；</w:t>
      </w:r>
    </w:p>
    <w:p w14:paraId="0CDA8371">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4.4.10供应商以他人名义投标、征集响应文件雷同或者以弄虚作假等方式投标的；</w:t>
      </w:r>
    </w:p>
    <w:p w14:paraId="78AB4EAC">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4.4.11出现其他不符合法律法规和不满足征集文件实质性要求的其他情形；</w:t>
      </w:r>
    </w:p>
    <w:p w14:paraId="6836DC83">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4.4.12未按照征集文件格式制作征集响应文件的；</w:t>
      </w:r>
    </w:p>
    <w:p w14:paraId="4124D0C8">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4.4.13征集响应文件中所附证件或证明材料无效不能实质性响应征集文件的；</w:t>
      </w:r>
    </w:p>
    <w:p w14:paraId="3AFCAEFE">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4.4.14如采购人所采购产品为政府强制采购产品，供应商所投产品不属于品目清单范围内或未在认证证书有效期内的。</w:t>
      </w:r>
    </w:p>
    <w:p w14:paraId="765587D9">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4.4.15征集文件中明确规定可以废标的其他情形；                     </w:t>
      </w:r>
    </w:p>
    <w:p w14:paraId="1D7168F0">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4.4.16违反法律、法规及有关规定的其他行为。</w:t>
      </w:r>
    </w:p>
    <w:p w14:paraId="11847EE6">
      <w:pPr>
        <w:spacing w:line="480" w:lineRule="exact"/>
        <w:ind w:firstLine="482" w:firstLineChars="200"/>
        <w:jc w:val="left"/>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4.5有下列情形之一的，视为供应商串通投标，其投标无效</w:t>
      </w:r>
    </w:p>
    <w:p w14:paraId="1567CDEA">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4.5.1不同供应商的征集响应文件由同一单位或者个人编制</w:t>
      </w:r>
    </w:p>
    <w:p w14:paraId="7F64077B">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4.5.2不同供应商委托同一单位或者个人办理投标事宜</w:t>
      </w:r>
    </w:p>
    <w:p w14:paraId="632C4A38">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4.5.3不同供应商的征集响应文件载明的项目管理成员或者联系人员为同一人</w:t>
      </w:r>
    </w:p>
    <w:p w14:paraId="2E526F42">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4.5.4不同供应商的征集响应文件异常一致或者投标报价呈规律性差异</w:t>
      </w:r>
    </w:p>
    <w:p w14:paraId="4E52000D">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4.5.5不同供应商的征集响应文件互相混装</w:t>
      </w:r>
    </w:p>
    <w:p w14:paraId="35803301">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4.5.6不同供应商的投标保证金从同一单位或者个人的账户转出。</w:t>
      </w:r>
    </w:p>
    <w:p w14:paraId="7E67C189">
      <w:pPr>
        <w:spacing w:line="480" w:lineRule="exact"/>
        <w:ind w:firstLine="482" w:firstLineChars="200"/>
        <w:jc w:val="left"/>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4.6其它</w:t>
      </w:r>
    </w:p>
    <w:p w14:paraId="37AA02EE">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4.6.1评标委员会有权选择和拒绝供应商中标。评标委员会无义务向供应商进行任何有关评标的解释。</w:t>
      </w:r>
    </w:p>
    <w:p w14:paraId="6503BC9C">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4.6.2供应商在评标过程中，所进行的力图影响评标结果的不符合招标规定的活动，可能导致其被取消中标资格。</w:t>
      </w:r>
    </w:p>
    <w:p w14:paraId="778112ED">
      <w:pPr>
        <w:spacing w:line="480" w:lineRule="exact"/>
        <w:jc w:val="left"/>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bidi="ar-SA"/>
        </w:rPr>
        <w:t xml:space="preserve">五、框架协议有效期 </w:t>
      </w:r>
    </w:p>
    <w:p w14:paraId="167492FA">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框架协议有效期</w:t>
      </w:r>
      <w:r>
        <w:rPr>
          <w:rFonts w:hint="eastAsia" w:ascii="宋体" w:hAnsi="宋体" w:cs="宋体"/>
          <w:color w:val="auto"/>
          <w:kern w:val="0"/>
          <w:sz w:val="24"/>
          <w:szCs w:val="24"/>
          <w:lang w:val="en-US" w:eastAsia="zh-CN" w:bidi="ar-SA"/>
        </w:rPr>
        <w:t>2</w:t>
      </w:r>
      <w:r>
        <w:rPr>
          <w:rFonts w:hint="eastAsia" w:ascii="宋体" w:hAnsi="宋体" w:eastAsia="宋体" w:cs="宋体"/>
          <w:color w:val="auto"/>
          <w:kern w:val="0"/>
          <w:sz w:val="24"/>
          <w:szCs w:val="24"/>
          <w:lang w:val="en-US" w:eastAsia="zh-CN" w:bidi="ar-SA"/>
        </w:rPr>
        <w:t>年。</w:t>
      </w:r>
    </w:p>
    <w:p w14:paraId="140F4326">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本项目采用封闭式框架协议入围采购的方式，入围供应商无正当理由，不得主动放弃入围资格或者退出框架协议。</w:t>
      </w:r>
    </w:p>
    <w:p w14:paraId="55EDC2AD">
      <w:pPr>
        <w:spacing w:line="480" w:lineRule="exact"/>
        <w:jc w:val="left"/>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bidi="ar-SA"/>
        </w:rPr>
        <w:t>六、入围结果通知</w:t>
      </w:r>
    </w:p>
    <w:p w14:paraId="18E271A6">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6.1采购人和采购代理单位根据评标委员会的评标结果在</w:t>
      </w:r>
      <w:r>
        <w:rPr>
          <w:rFonts w:hint="eastAsia" w:ascii="宋体" w:hAnsi="宋体" w:cs="宋体"/>
          <w:color w:val="auto"/>
          <w:kern w:val="0"/>
          <w:sz w:val="24"/>
          <w:szCs w:val="24"/>
          <w:lang w:val="en-US" w:eastAsia="zh-CN" w:bidi="ar-SA"/>
        </w:rPr>
        <w:t>新疆政采云采购结果公示栏发布</w:t>
      </w:r>
      <w:r>
        <w:rPr>
          <w:rFonts w:hint="eastAsia" w:ascii="宋体" w:hAnsi="宋体" w:eastAsia="宋体" w:cs="宋体"/>
          <w:color w:val="auto"/>
          <w:kern w:val="0"/>
          <w:sz w:val="24"/>
          <w:szCs w:val="24"/>
          <w:lang w:val="en-US" w:eastAsia="zh-CN" w:bidi="ar-SA"/>
        </w:rPr>
        <w:t>入围公告结果，在公告入围结果的同时向入围供应商发出《入围通知书》。《入围通知书》一经发出即发生法律效力。</w:t>
      </w:r>
    </w:p>
    <w:p w14:paraId="4376F9BB">
      <w:pPr>
        <w:spacing w:line="480" w:lineRule="exact"/>
        <w:jc w:val="left"/>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bidi="ar-SA"/>
        </w:rPr>
        <w:t>七、保密</w:t>
      </w:r>
    </w:p>
    <w:p w14:paraId="4F99A7C9">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向中标人授予合同之前，采购人、采购代理机构、现场监督人员和评标委员会的成员不得向提交征集响应文件的供应商或与这些程序无关的人员泄漏与评标和合同授予有关的信息。</w:t>
      </w:r>
    </w:p>
    <w:p w14:paraId="6E0FCBD8">
      <w:pPr>
        <w:spacing w:line="480" w:lineRule="exact"/>
        <w:jc w:val="left"/>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bidi="ar-SA"/>
        </w:rPr>
        <w:t>八、框架协议书</w:t>
      </w:r>
    </w:p>
    <w:p w14:paraId="5DD4314D">
      <w:pPr>
        <w:spacing w:line="480" w:lineRule="exact"/>
        <w:ind w:firstLine="482" w:firstLineChars="200"/>
        <w:jc w:val="left"/>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8.1签订框架协议</w:t>
      </w:r>
    </w:p>
    <w:p w14:paraId="5C89F4AB">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自入围通知书发出之日起30日内，入围供应商须按征集文件规定和其征集响应文件的承诺与采购人订立书面框架协议。采购人和中标人不再订立背离合同实质性内容的其他协议。</w:t>
      </w:r>
    </w:p>
    <w:p w14:paraId="78E07AB3">
      <w:pPr>
        <w:spacing w:line="480" w:lineRule="exact"/>
        <w:ind w:firstLine="482" w:firstLineChars="200"/>
        <w:jc w:val="left"/>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8.2拒签框架协议</w:t>
      </w:r>
    </w:p>
    <w:p w14:paraId="5D39E061">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8.2.1除非框架协议与征集文件有重大背离或因不可抗力不能履行合同，如中标人放弃中标、在规定时间内不与采购人签订框架协议、不按照征集文件要求提交履约保证金或者被查实存在影响中标结果的违法行为等情形，不符合中标条件的，则按违约处理，没收其投标保证金。给采购人造成的损失超过投标保证金数额的，还应当对超过部分予以赔偿，同时依法承担相应法律责任。项目重新组织采购的，弃标供应商不得参加。</w:t>
      </w:r>
    </w:p>
    <w:p w14:paraId="3BE5F0C4">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 8.2.2如采购人无充分理由而不与中标人签订框架协议，采购人违约，则按照《中华人民共和国政府采购法》有关规定处理。</w:t>
      </w:r>
    </w:p>
    <w:p w14:paraId="78C57782">
      <w:pPr>
        <w:spacing w:line="480" w:lineRule="exact"/>
        <w:ind w:firstLine="482" w:firstLineChars="200"/>
        <w:jc w:val="left"/>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8.3供应商法律责任</w:t>
      </w:r>
    </w:p>
    <w:p w14:paraId="41F0C82A">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入围供应商有下列情形之一，尚未签订框架协议的，取消其入围资格；已经签订框架协议的，解除与其签订的框架协议：</w:t>
      </w:r>
    </w:p>
    <w:p w14:paraId="76322EF2">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（一）恶意串通谋取入围或者成交的；</w:t>
      </w:r>
    </w:p>
    <w:p w14:paraId="5BA83A1E">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（二）提供虚假材料谋取入围或者成交的；</w:t>
      </w:r>
    </w:p>
    <w:p w14:paraId="1A88E44D">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（三）无正当理由拒不接受合同授予的；</w:t>
      </w:r>
    </w:p>
    <w:p w14:paraId="5EBEAC00">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（四）不履行框架协议义务或者履行框架协议义务不符合约定，经采购人请求履行后仍不履行或者仍未按约定履行的；</w:t>
      </w:r>
    </w:p>
    <w:p w14:paraId="65FC6942">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（五）框架协议有效期内，因违法行为被禁止或限制参加政府采购活动的；</w:t>
      </w:r>
    </w:p>
    <w:p w14:paraId="73505DC0">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（六）框架协议约定的其他情形。</w:t>
      </w:r>
    </w:p>
    <w:p w14:paraId="5FD1992E">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被取消入围资格或者被解除框架协议的供应商不得参加同一封闭式框架协议补充征集，或者重新申请加入同一开放式框架协议。</w:t>
      </w:r>
    </w:p>
    <w:p w14:paraId="6FEEC248">
      <w:pPr>
        <w:spacing w:line="480" w:lineRule="exact"/>
        <w:jc w:val="left"/>
        <w:rPr>
          <w:rFonts w:hint="default"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bidi="ar-SA"/>
        </w:rPr>
        <w:t>九、落实的政府采购政策：</w:t>
      </w:r>
      <w:r>
        <w:rPr>
          <w:rFonts w:hint="eastAsia" w:ascii="宋体" w:hAnsi="宋体" w:cs="宋体"/>
          <w:b/>
          <w:color w:val="auto"/>
          <w:sz w:val="24"/>
          <w:szCs w:val="24"/>
          <w:lang w:val="en-US" w:eastAsia="zh-CN" w:bidi="ar-SA"/>
        </w:rPr>
        <w:t>（本项目不适用）</w:t>
      </w:r>
    </w:p>
    <w:p w14:paraId="0900E877">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9.1招标产品未特别注明“进口产品”字样的，均必须采购国产产品。 </w:t>
      </w:r>
    </w:p>
    <w:p w14:paraId="43382C8D">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9.2强制采购</w:t>
      </w:r>
    </w:p>
    <w:p w14:paraId="1363535E">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招标货物中含政府强制采购节能产品的 ，必须符合国家财政部、发展改革委公布的《节能产品政府采购清单》最新一期及相关规定的要求。</w:t>
      </w:r>
    </w:p>
    <w:p w14:paraId="07F39D51">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节能产品政府采购清单》在中华人民共和国财政部网站（http://www.mof.gov.cn）、中国政府采购网（http://www.ccgp.gov.cn）、国家发展改革委网（http://www.ndrc.gov.cn）和中国质量认证中心网站（http://www.cqc.com.cn）上发布，请自行查阅、下载。</w:t>
      </w:r>
    </w:p>
    <w:p w14:paraId="5AE3466A">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采购的产品是市场监督管理总局发布的《强制性产品认证目录》（2020年第18号）内的产品，必须符合《认证认可条例》第二十八、二十九、三十条规定，供应商应当提供强制性产品认证证书（证书扫描件，并加盖公章），相应产品上需加施强制性产品认证标志。</w:t>
      </w:r>
    </w:p>
    <w:p w14:paraId="451EB569">
      <w:pPr>
        <w:spacing w:line="480" w:lineRule="exact"/>
        <w:ind w:firstLine="480" w:firstLineChars="200"/>
        <w:jc w:val="left"/>
        <w:rPr>
          <w:rFonts w:ascii="Times New Roman" w:eastAsia="楷体"/>
          <w:color w:val="auto"/>
        </w:rPr>
      </w:pPr>
      <w:r>
        <w:rPr>
          <w:rFonts w:hint="eastAsia" w:ascii="宋体" w:hAnsi="宋体" w:eastAsia="宋体" w:cs="宋体"/>
          <w:color w:val="auto"/>
          <w:kern w:val="0"/>
          <w:sz w:val="24"/>
          <w:szCs w:val="24"/>
          <w:lang w:val="en-US" w:eastAsia="zh-CN" w:bidi="ar-SA"/>
        </w:rPr>
        <w:t>注：供应商投标货物含有强制采购节能产品的（品目清单标注★符号产品），供应商提供的产品应当取得国家确定的认证机构出具的、处于有效期之内的节能产品认证证书，认证证书未注明产品型号规格的，应提供认证证书附件，否则按无效投标处理。</w:t>
      </w:r>
    </w:p>
    <w:p w14:paraId="34CB004E">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9.3 优先采购</w:t>
      </w:r>
    </w:p>
    <w:p w14:paraId="0589877C">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招标货物中含政府优先采购节能产品的 ，必须符合国家财政部、发展改革委公布的《节能产品政府采购清单》最新一期及相关规定的要求，</w:t>
      </w:r>
    </w:p>
    <w:p w14:paraId="50C0580D">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节能产品政府采购清单》在中华人民共和国财政部网站（http://www.mof.gov.cn）、中国政府采购网（http://www.ccgp.gov.cn）、国家发展改革委网（http://www.ndrc.gov.cn）和中国质量认证中心网站（http://www.cqc.com.cn）上发布，请自行查阅、下载。</w:t>
      </w:r>
    </w:p>
    <w:p w14:paraId="1C6CF885">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为推进和规范环境标志产品政府采购，对列入财政部、环境保护部最新一期环境标志产品政府采购清单产品为政府优先采购产品。对于同时列入环保清单和节能产品政府采购清单的产品，优先于只列入其中一个清单的产品。《环境标志产品政府采购清单》在中华人民共和国财政部网站（http://www.mof.gov.cn）、中国政府采购网（http://www.ccgp.gov.cn）、中华人民共和国环境保护部网站（http://www.zhb.gov.cn）、中国绿色采购网（http://www.cgpn.org）上发布，请自行查阅、下载。</w:t>
      </w:r>
    </w:p>
    <w:p w14:paraId="64D39642">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9.4根据《政府采购促进中小企业发展管理办法》（财库﹝2020﹞46 号）、《关于进一步加大政府采购支持中小企业力度的通知》（财库﹝2022﹞19 号）文件规定。</w:t>
      </w:r>
    </w:p>
    <w:p w14:paraId="4F69799A">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在政府采购活动中，供应商提供的货物、工程或者服务符合下列情形的，享受本办法规定的中小企业扶持政策：</w:t>
      </w:r>
    </w:p>
    <w:p w14:paraId="3473637B">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（一）在货物采购项目中，货物由中小企业制造，即货物由中小企业生产且使用该中小企业商号或者注册商标；</w:t>
      </w:r>
    </w:p>
    <w:p w14:paraId="7A8E9D7B">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（二）在工程采购项目中，工程由中小企业承建，即工程施工单位为中小企业；</w:t>
      </w:r>
    </w:p>
    <w:p w14:paraId="7FD9A3F7">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（三）在服务采购项目中，服务由中小企业承接，即提供服务的人员为中小企业依照《中华人民共和国劳动合同法》订立劳动合同的从业人员。</w:t>
      </w:r>
    </w:p>
    <w:p w14:paraId="19531BC8">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14:paraId="419359E1">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9.5残疾人福利性单位</w:t>
      </w:r>
    </w:p>
    <w:p w14:paraId="7B53AC97">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根据《财政部 民政部 中国残疾人联合会关于促进残疾人就业政府采购政策的通知》（财库[2017]141 号）的要求，残疾人福利性单位视同小型、微型企业。符合条件的残疾人福利性单位在参加政府采购活动时，应当提供《残疾人福利性单位声明函》（格式自拟），并对声明的真实性负责。供应商提供的《残疾人福利性单位声明函》与事实不符的，依照《中华人民共和国政府采购法》第七十七条第一款的规定追究法律责任。</w:t>
      </w:r>
    </w:p>
    <w:p w14:paraId="5691C824">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9.6监狱企业</w:t>
      </w:r>
    </w:p>
    <w:p w14:paraId="7AD9A1A8">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根据《财政部 司法部关于政府采购支持监狱企业发展有关问题的通知》（财库[2014]68号）的要求，监狱企业参加政府采购活动时，应当提供由省级以上监狱管理局、戒毒管理局（含新疆生产建设兵团）出具的属于监狱企业的证明文件。在政府采购活动中，监狱企业视同小型、微型企业，享受预留份额、评审中价格扣除等政府采购促进中小企业发展的政府采购政策。符合条件的监狱企业在参加政府采购活动时，提供的证明文件与事实不符的，依照《中华人民共和国政府采购法》的规定追究法律责任。</w:t>
      </w:r>
    </w:p>
    <w:p w14:paraId="4643EB74">
      <w:pPr>
        <w:pStyle w:val="12"/>
        <w:spacing w:line="480" w:lineRule="exact"/>
        <w:ind w:firstLine="514" w:firstLineChars="200"/>
        <w:rPr>
          <w:rFonts w:hint="eastAsia" w:ascii="宋体" w:hAnsi="宋体" w:eastAsia="宋体" w:cs="宋体"/>
          <w:b/>
          <w:color w:val="auto"/>
          <w:spacing w:val="8"/>
          <w:sz w:val="24"/>
          <w:lang w:val="en-US" w:eastAsia="zh-CN" w:bidi="ar-SA"/>
        </w:rPr>
      </w:pPr>
      <w:r>
        <w:rPr>
          <w:rFonts w:hint="eastAsia" w:ascii="宋体" w:hAnsi="宋体" w:eastAsia="宋体" w:cs="宋体"/>
          <w:b/>
          <w:color w:val="auto"/>
          <w:spacing w:val="8"/>
          <w:sz w:val="24"/>
          <w:lang w:val="en-US" w:eastAsia="zh-CN" w:bidi="ar-SA"/>
        </w:rPr>
        <w:t>对于同时属于小微企业、监狱企业或残疾人福利性单位的，不重复进行投标报价扣除。</w:t>
      </w:r>
    </w:p>
    <w:p w14:paraId="65E022FF">
      <w:pPr>
        <w:spacing w:line="480" w:lineRule="exact"/>
        <w:jc w:val="left"/>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bidi="ar-SA"/>
        </w:rPr>
        <w:t>十、质疑与投诉</w:t>
      </w:r>
    </w:p>
    <w:p w14:paraId="76AD254A">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10.1本征集文件根据《中华人民共和国政府采购法》</w:t>
      </w:r>
      <w:r>
        <w:rPr>
          <w:rFonts w:hint="eastAsia" w:ascii="宋体" w:hAnsi="宋体" w:cs="宋体"/>
          <w:color w:val="auto"/>
          <w:kern w:val="0"/>
          <w:sz w:val="24"/>
          <w:szCs w:val="24"/>
          <w:lang w:val="en-US" w:eastAsia="zh-CN" w:bidi="ar-SA"/>
        </w:rPr>
        <w:t>、</w:t>
      </w:r>
      <w:r>
        <w:rPr>
          <w:rFonts w:hint="eastAsia" w:ascii="宋体" w:hAnsi="宋体" w:eastAsia="宋体" w:cs="宋体"/>
          <w:color w:val="auto"/>
          <w:kern w:val="0"/>
          <w:sz w:val="24"/>
          <w:szCs w:val="24"/>
          <w:lang w:val="en-US" w:eastAsia="zh-CN" w:bidi="ar-SA"/>
        </w:rPr>
        <w:t>《中华人民共和国政府采</w:t>
      </w:r>
      <w:r>
        <w:rPr>
          <w:rFonts w:hint="eastAsia" w:ascii="宋体" w:hAnsi="宋体" w:cs="宋体"/>
          <w:color w:val="auto"/>
          <w:kern w:val="0"/>
          <w:sz w:val="24"/>
          <w:szCs w:val="24"/>
          <w:lang w:val="en-US" w:eastAsia="zh-CN" w:bidi="ar-SA"/>
        </w:rPr>
        <w:t>购</w:t>
      </w:r>
      <w:r>
        <w:rPr>
          <w:rFonts w:hint="eastAsia" w:ascii="宋体" w:hAnsi="宋体" w:eastAsia="宋体" w:cs="宋体"/>
          <w:color w:val="auto"/>
          <w:kern w:val="0"/>
          <w:sz w:val="24"/>
          <w:szCs w:val="24"/>
          <w:lang w:val="en-US" w:eastAsia="zh-CN" w:bidi="ar-SA"/>
        </w:rPr>
        <w:t>实施条例》</w:t>
      </w:r>
      <w:r>
        <w:rPr>
          <w:rFonts w:hint="eastAsia" w:ascii="宋体" w:hAnsi="宋体" w:cs="宋体"/>
          <w:color w:val="auto"/>
          <w:kern w:val="0"/>
          <w:sz w:val="24"/>
          <w:szCs w:val="24"/>
          <w:lang w:val="en-US" w:eastAsia="zh-CN" w:bidi="ar-SA"/>
        </w:rPr>
        <w:t>及</w:t>
      </w:r>
      <w:r>
        <w:rPr>
          <w:rFonts w:hint="eastAsia" w:ascii="宋体" w:hAnsi="宋体" w:eastAsia="宋体" w:cs="宋体"/>
          <w:color w:val="auto"/>
          <w:kern w:val="0"/>
          <w:sz w:val="24"/>
          <w:szCs w:val="24"/>
          <w:lang w:val="en-US" w:eastAsia="zh-CN" w:bidi="ar-SA"/>
        </w:rPr>
        <w:t>财政部令(第110号)政府采购框架协议采购方式管理暂行办法 《政府采购框架协议采购方式管理暂行办法》编制。</w:t>
      </w:r>
    </w:p>
    <w:p w14:paraId="37CA80FA">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10.2供应商认为征集文件、采购过程、中标或者成交结果使自己的权益受到损害的，可以在知道或者应知其权益受到损害之日起7个工作日内，以书面形式同时向采购人、采购代理机构提出质疑。邮寄地址详见磋商公告代理机构及采购人地址。</w:t>
      </w:r>
    </w:p>
    <w:p w14:paraId="13DFC556">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10.3供应商在法定质疑期内一次性提出针对同一采购程序环节的质疑，提出质疑的供应商应当是参与所质疑项目采购活动的供应商，潜在供应商已依法获取其可质疑的采购文件的，可以对该文件提出质疑。</w:t>
      </w:r>
    </w:p>
    <w:p w14:paraId="21B528BB">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10.4质疑应当以书面形式提出，</w:t>
      </w:r>
      <w:r>
        <w:rPr>
          <w:rFonts w:hint="eastAsia" w:ascii="宋体" w:hAnsi="宋体" w:cs="宋体"/>
          <w:color w:val="auto"/>
          <w:kern w:val="0"/>
          <w:sz w:val="24"/>
          <w:szCs w:val="24"/>
          <w:lang w:val="en-US" w:eastAsia="zh-CN" w:bidi="ar-SA"/>
        </w:rPr>
        <w:t>需提供详细事实依据</w:t>
      </w:r>
      <w:r>
        <w:rPr>
          <w:rFonts w:hint="eastAsia" w:ascii="宋体" w:hAnsi="宋体" w:eastAsia="宋体" w:cs="宋体"/>
          <w:color w:val="auto"/>
          <w:kern w:val="0"/>
          <w:sz w:val="24"/>
          <w:szCs w:val="24"/>
          <w:lang w:val="en-US" w:eastAsia="zh-CN" w:bidi="ar-SA"/>
        </w:rPr>
        <w:t>，质疑时应当提供质疑材料，质疑材料应为简体中文，一式二份。</w:t>
      </w:r>
    </w:p>
    <w:p w14:paraId="11339019">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质疑材料包括：1、质疑书原件；2营业执照复印件；3、法定代表人（或授权委托人）身份证复印件；4、授权委托书原件；5、相关举证资料。以上所有复印件须加盖供应商公章。</w:t>
      </w:r>
    </w:p>
    <w:p w14:paraId="40B87C63">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供应商提出质疑应当提交质疑函和必要的证明材料。质疑函应当包括下列内容：</w:t>
      </w:r>
    </w:p>
    <w:p w14:paraId="243C7BB6">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（一）供应商的姓名或者名称、地址、邮编、联系人及联系电话；</w:t>
      </w:r>
    </w:p>
    <w:p w14:paraId="409D581D">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（二）质疑项目的名称、编号；</w:t>
      </w:r>
    </w:p>
    <w:p w14:paraId="63E8818F">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（三）获取采购文件的日期（附网上下载文件时间截图）</w:t>
      </w:r>
    </w:p>
    <w:p w14:paraId="3642DC2A">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（四）具体、明确的质疑事项和与质疑事项相关的请求；</w:t>
      </w:r>
    </w:p>
    <w:p w14:paraId="6E51B040">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（五）事实依据；</w:t>
      </w:r>
    </w:p>
    <w:p w14:paraId="6528A0BA">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（六）必要的法律依据；</w:t>
      </w:r>
    </w:p>
    <w:p w14:paraId="6367538F">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（七）提出质疑的日期。</w:t>
      </w:r>
    </w:p>
    <w:p w14:paraId="7A55029D">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供应商为自然人的，应当由本人签字；供应商为法人或者其他组织的，应当由法定代表人、主要负责人，或者其授权代表签字或者盖章，并加盖公章。</w:t>
      </w:r>
    </w:p>
    <w:p w14:paraId="57580953">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10.5有下列情形之一的，属于无效质疑，不予受理：</w:t>
      </w:r>
    </w:p>
    <w:p w14:paraId="55DAC00E">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10.5.1未在有效期限内提出质疑的；</w:t>
      </w:r>
    </w:p>
    <w:p w14:paraId="7EFAA6CB">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10.5.2质疑未以书面形式提出的；</w:t>
      </w:r>
    </w:p>
    <w:p w14:paraId="552F4EF9">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10.5.3质疑材料不完整或不符合要求的；</w:t>
      </w:r>
    </w:p>
    <w:p w14:paraId="22491624">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10.5.4质疑事项已经进入投诉或者诉讼程序的；</w:t>
      </w:r>
    </w:p>
    <w:p w14:paraId="23DB6BD5">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10.5.5其他不符合受理条件的情形。</w:t>
      </w:r>
    </w:p>
    <w:p w14:paraId="14677ED1">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10.6采购人、采购代理机构不得拒收质疑供应商在法定质疑期内发出的质疑函，应当在收到质疑函后7个工作日内作出答复，并以书面形式通知质疑供应商和其他有关供应商。</w:t>
      </w:r>
    </w:p>
    <w:p w14:paraId="1D4AB915">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10.7 投诉人在全国范围12个月内三次以上投诉查无实据的，由财政部门列入不良行为记录名单。</w:t>
      </w:r>
    </w:p>
    <w:p w14:paraId="69219138">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投诉人有下列行为之一的，属于虚假、恶意投诉，由财政部门列入不良行为记录名单，禁止其1至3年内参加政府采购活动：</w:t>
      </w:r>
    </w:p>
    <w:p w14:paraId="6D4CA76D">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（一）捏造事实;</w:t>
      </w:r>
    </w:p>
    <w:p w14:paraId="0D4AA0DA">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（二）提供虚假材料;</w:t>
      </w:r>
    </w:p>
    <w:p w14:paraId="010E3C38">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（三）以非法手段取得证明材料。证据来源的合法性存在明显疑问，投诉人无法证明其取得方式合法的，视为以非法手段取得证明材料。</w:t>
      </w:r>
    </w:p>
    <w:p w14:paraId="13F48B2A">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10.8 质疑供应商对采购人、采购代理机构的答复不满意，或者采购人、采购代理机构未在规定时间内作出答复的，可以在答复期满后15个工作日内向本办法第六条规定的财政部门提起投诉。</w:t>
      </w:r>
    </w:p>
    <w:p w14:paraId="0B80F974">
      <w:pPr>
        <w:pStyle w:val="20"/>
        <w:rPr>
          <w:rFonts w:hint="eastAsia"/>
          <w:lang w:val="en-US" w:eastAsia="zh-CN"/>
        </w:rPr>
      </w:pPr>
    </w:p>
    <w:p w14:paraId="174F6897">
      <w:pPr>
        <w:spacing w:line="480" w:lineRule="exact"/>
        <w:jc w:val="center"/>
        <w:rPr>
          <w:rFonts w:ascii="Times New Roman" w:hAnsi="Times New Roman" w:eastAsia="楷体" w:cs="Times New Roman"/>
          <w:b/>
          <w:color w:val="auto"/>
          <w:spacing w:val="8"/>
          <w:sz w:val="30"/>
          <w:szCs w:val="30"/>
          <w:lang w:val="en-US" w:eastAsia="zh-CN" w:bidi="ar-SA"/>
        </w:rPr>
      </w:pPr>
    </w:p>
    <w:p w14:paraId="3B8AC8C0">
      <w:pPr>
        <w:spacing w:line="480" w:lineRule="exact"/>
        <w:jc w:val="center"/>
        <w:rPr>
          <w:rFonts w:eastAsia="楷体"/>
          <w:color w:val="auto"/>
          <w:spacing w:val="12"/>
          <w:sz w:val="32"/>
        </w:rPr>
      </w:pPr>
      <w:r>
        <w:rPr>
          <w:rFonts w:ascii="Times New Roman" w:hAnsi="Times New Roman" w:eastAsia="楷体" w:cs="Times New Roman"/>
          <w:b/>
          <w:color w:val="auto"/>
          <w:spacing w:val="8"/>
          <w:sz w:val="30"/>
          <w:szCs w:val="30"/>
          <w:lang w:val="en-US" w:eastAsia="zh-CN" w:bidi="ar-SA"/>
        </w:rPr>
        <w:t>第四部分  评标办法</w:t>
      </w:r>
    </w:p>
    <w:p w14:paraId="30F49BEE">
      <w:pPr>
        <w:spacing w:line="480" w:lineRule="exact"/>
        <w:jc w:val="left"/>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bidi="ar-SA"/>
        </w:rPr>
        <w:t>一、评标原则</w:t>
      </w:r>
    </w:p>
    <w:p w14:paraId="5B034D3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根据《中华人民共和国政府采购法》及相关法律法规的有关规定，在坚持公平、公正、科学、择优的原则基础上，由评标委员会根据征集文件载明的评标办法和标准，对供应商进行综合评定。</w:t>
      </w:r>
    </w:p>
    <w:p w14:paraId="7DE982BE">
      <w:pPr>
        <w:spacing w:line="480" w:lineRule="exact"/>
        <w:jc w:val="left"/>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bidi="ar-SA"/>
        </w:rPr>
        <w:t>二、评标委员会的组成</w:t>
      </w:r>
    </w:p>
    <w:p w14:paraId="4750E0B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采购人依法组建评标委员会，评标委员会由采购人和评标专家库中随机抽取的技术、经济等有关方面的专家组成，成员人数为五人以上单数（全部从专家库中抽取），其中技术、经济等方面的专家不得少于成员总数的三分之二。 </w:t>
      </w:r>
    </w:p>
    <w:p w14:paraId="287B744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有《中华人民共和国政府采购法实施条例》中第九条规定情形中的专家及采购人评委应当回避不能担任评委。</w:t>
      </w:r>
    </w:p>
    <w:p w14:paraId="1EE99698">
      <w:pPr>
        <w:spacing w:line="480" w:lineRule="exact"/>
        <w:jc w:val="left"/>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bidi="ar-SA"/>
        </w:rPr>
        <w:t>三、评标办法</w:t>
      </w:r>
    </w:p>
    <w:p w14:paraId="7DC9878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根据中华人民共和国财政部令第110号《政府采购框架协议采购方式管理暂行办法》的相关规定，确定第一阶段入围供应商的评审方法为质量优先法。</w:t>
      </w:r>
    </w:p>
    <w:p w14:paraId="78B0A7B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rPr>
          <w:rFonts w:eastAsia="楷体"/>
          <w:color w:val="auto"/>
          <w:spacing w:val="10"/>
          <w:sz w:val="24"/>
          <w:szCs w:val="22"/>
        </w:rPr>
      </w:pPr>
      <w:r>
        <w:rPr>
          <w:rFonts w:hint="eastAsia" w:ascii="宋体" w:hAnsi="宋体" w:eastAsia="宋体" w:cs="宋体"/>
          <w:color w:val="auto"/>
          <w:kern w:val="0"/>
          <w:sz w:val="24"/>
          <w:szCs w:val="24"/>
          <w:lang w:val="en-US" w:eastAsia="zh-CN" w:bidi="ar-SA"/>
        </w:rPr>
        <w:t>本次评标采用综合评分法，即</w:t>
      </w:r>
      <w:r>
        <w:rPr>
          <w:rFonts w:hint="eastAsia" w:ascii="宋体" w:hAnsi="宋体" w:eastAsia="宋体" w:cs="宋体"/>
          <w:color w:val="auto"/>
          <w:kern w:val="0"/>
          <w:sz w:val="24"/>
          <w:szCs w:val="24"/>
          <w:lang w:val="zh-CN" w:eastAsia="zh-CN" w:bidi="ar-SA"/>
        </w:rPr>
        <w:t>征集响应文件</w:t>
      </w:r>
      <w:r>
        <w:rPr>
          <w:rFonts w:hint="eastAsia" w:ascii="宋体" w:hAnsi="宋体" w:eastAsia="宋体" w:cs="宋体"/>
          <w:color w:val="auto"/>
          <w:kern w:val="0"/>
          <w:sz w:val="24"/>
          <w:szCs w:val="24"/>
          <w:lang w:val="en-US" w:eastAsia="zh-CN" w:bidi="ar-SA"/>
        </w:rPr>
        <w:t>满足征集文件全部实质性要求，根据征集文件规定的入围供应商数量上限，确定入围供应商的评审方法。</w:t>
      </w:r>
    </w:p>
    <w:p w14:paraId="0B782710">
      <w:pPr>
        <w:spacing w:line="460" w:lineRule="exact"/>
        <w:ind w:firstLine="482" w:firstLineChars="200"/>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3.1评审程序</w:t>
      </w:r>
    </w:p>
    <w:p w14:paraId="7820B97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3.1.1资格评审（资格后审）：采购人或采购代理机构依据法律法规和征集文件的规定，对供应商进行资格性审查，以确定供应商是否具备投标资格。（详见资格审查表）</w:t>
      </w:r>
    </w:p>
    <w:tbl>
      <w:tblPr>
        <w:tblStyle w:val="30"/>
        <w:tblW w:w="9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
      <w:tblGrid>
        <w:gridCol w:w="884"/>
        <w:gridCol w:w="6019"/>
        <w:gridCol w:w="475"/>
        <w:gridCol w:w="475"/>
        <w:gridCol w:w="425"/>
        <w:gridCol w:w="827"/>
      </w:tblGrid>
      <w:tr w14:paraId="091E0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371" w:hRule="atLeast"/>
          <w:tblHeader/>
        </w:trPr>
        <w:tc>
          <w:tcPr>
            <w:tcW w:w="884" w:type="dxa"/>
            <w:vMerge w:val="restart"/>
            <w:noWrap w:val="0"/>
            <w:vAlign w:val="center"/>
          </w:tcPr>
          <w:p w14:paraId="1A6CA51A">
            <w:pPr>
              <w:keepNext w:val="0"/>
              <w:keepLines w:val="0"/>
              <w:widowControl/>
              <w:suppressLineNumbers w:val="0"/>
              <w:spacing w:line="360" w:lineRule="auto"/>
              <w:jc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6019" w:type="dxa"/>
            <w:vMerge w:val="restart"/>
            <w:noWrap w:val="0"/>
            <w:vAlign w:val="center"/>
          </w:tcPr>
          <w:p w14:paraId="161946B9">
            <w:pPr>
              <w:spacing w:line="360" w:lineRule="auto"/>
              <w:jc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评审项目</w:t>
            </w:r>
          </w:p>
        </w:tc>
        <w:tc>
          <w:tcPr>
            <w:tcW w:w="1375" w:type="dxa"/>
            <w:gridSpan w:val="3"/>
            <w:noWrap w:val="0"/>
            <w:vAlign w:val="center"/>
          </w:tcPr>
          <w:p w14:paraId="04DD26D4">
            <w:pPr>
              <w:keepNext w:val="0"/>
              <w:keepLines w:val="0"/>
              <w:widowControl/>
              <w:suppressLineNumbers w:val="0"/>
              <w:spacing w:line="360" w:lineRule="auto"/>
              <w:jc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征集对象</w:t>
            </w:r>
          </w:p>
        </w:tc>
        <w:tc>
          <w:tcPr>
            <w:tcW w:w="827" w:type="dxa"/>
            <w:vMerge w:val="restart"/>
            <w:noWrap w:val="0"/>
            <w:vAlign w:val="center"/>
          </w:tcPr>
          <w:p w14:paraId="00BD2662">
            <w:pPr>
              <w:keepNext w:val="0"/>
              <w:keepLines w:val="0"/>
              <w:widowControl/>
              <w:suppressLineNumbers w:val="0"/>
              <w:spacing w:line="360" w:lineRule="auto"/>
              <w:jc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备注</w:t>
            </w:r>
          </w:p>
        </w:tc>
      </w:tr>
      <w:tr w14:paraId="26940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80" w:hRule="atLeast"/>
          <w:tblHeader/>
        </w:trPr>
        <w:tc>
          <w:tcPr>
            <w:tcW w:w="884" w:type="dxa"/>
            <w:vMerge w:val="continue"/>
            <w:noWrap w:val="0"/>
            <w:vAlign w:val="center"/>
          </w:tcPr>
          <w:p w14:paraId="337779E9">
            <w:pPr>
              <w:keepNext w:val="0"/>
              <w:keepLines w:val="0"/>
              <w:widowControl/>
              <w:suppressLineNumbers w:val="0"/>
              <w:spacing w:line="360" w:lineRule="auto"/>
              <w:jc w:val="center"/>
              <w:rPr>
                <w:rFonts w:hint="eastAsia" w:ascii="宋体" w:hAnsi="宋体" w:eastAsia="宋体" w:cs="宋体"/>
                <w:i w:val="0"/>
                <w:color w:val="auto"/>
                <w:kern w:val="0"/>
                <w:sz w:val="24"/>
                <w:szCs w:val="24"/>
                <w:u w:val="none"/>
                <w:lang w:val="en-US" w:eastAsia="zh-CN" w:bidi="ar"/>
              </w:rPr>
            </w:pPr>
          </w:p>
        </w:tc>
        <w:tc>
          <w:tcPr>
            <w:tcW w:w="6019" w:type="dxa"/>
            <w:vMerge w:val="continue"/>
            <w:noWrap w:val="0"/>
            <w:vAlign w:val="center"/>
          </w:tcPr>
          <w:p w14:paraId="3558D381">
            <w:pPr>
              <w:spacing w:line="360" w:lineRule="auto"/>
              <w:jc w:val="center"/>
              <w:rPr>
                <w:rFonts w:hint="eastAsia" w:ascii="宋体" w:hAnsi="宋体" w:eastAsia="宋体" w:cs="宋体"/>
                <w:i w:val="0"/>
                <w:color w:val="auto"/>
                <w:kern w:val="0"/>
                <w:sz w:val="24"/>
                <w:szCs w:val="24"/>
                <w:u w:val="none"/>
                <w:lang w:val="en-US" w:eastAsia="zh-CN" w:bidi="ar"/>
              </w:rPr>
            </w:pPr>
          </w:p>
        </w:tc>
        <w:tc>
          <w:tcPr>
            <w:tcW w:w="475" w:type="dxa"/>
            <w:noWrap w:val="0"/>
            <w:vAlign w:val="center"/>
          </w:tcPr>
          <w:p w14:paraId="268C485B">
            <w:pPr>
              <w:keepNext w:val="0"/>
              <w:keepLines w:val="0"/>
              <w:widowControl/>
              <w:suppressLineNumbers w:val="0"/>
              <w:spacing w:line="360" w:lineRule="auto"/>
              <w:jc w:val="center"/>
              <w:rPr>
                <w:rFonts w:hint="eastAsia" w:ascii="宋体" w:hAnsi="宋体" w:eastAsia="宋体" w:cs="宋体"/>
                <w:i w:val="0"/>
                <w:color w:val="auto"/>
                <w:kern w:val="0"/>
                <w:sz w:val="24"/>
                <w:szCs w:val="24"/>
                <w:u w:val="none"/>
                <w:lang w:val="en-US" w:eastAsia="zh-CN" w:bidi="ar"/>
              </w:rPr>
            </w:pPr>
          </w:p>
        </w:tc>
        <w:tc>
          <w:tcPr>
            <w:tcW w:w="475" w:type="dxa"/>
            <w:noWrap w:val="0"/>
            <w:vAlign w:val="center"/>
          </w:tcPr>
          <w:p w14:paraId="0FFFA7D9">
            <w:pPr>
              <w:keepNext w:val="0"/>
              <w:keepLines w:val="0"/>
              <w:widowControl/>
              <w:suppressLineNumbers w:val="0"/>
              <w:spacing w:line="360" w:lineRule="auto"/>
              <w:jc w:val="center"/>
              <w:rPr>
                <w:rFonts w:hint="eastAsia" w:ascii="宋体" w:hAnsi="宋体" w:eastAsia="宋体" w:cs="宋体"/>
                <w:i w:val="0"/>
                <w:color w:val="auto"/>
                <w:kern w:val="0"/>
                <w:sz w:val="24"/>
                <w:szCs w:val="24"/>
                <w:u w:val="none"/>
                <w:lang w:val="en-US" w:eastAsia="zh-CN" w:bidi="ar"/>
              </w:rPr>
            </w:pPr>
          </w:p>
        </w:tc>
        <w:tc>
          <w:tcPr>
            <w:tcW w:w="425" w:type="dxa"/>
            <w:noWrap w:val="0"/>
            <w:vAlign w:val="center"/>
          </w:tcPr>
          <w:p w14:paraId="71E0A514">
            <w:pPr>
              <w:keepNext w:val="0"/>
              <w:keepLines w:val="0"/>
              <w:widowControl/>
              <w:suppressLineNumbers w:val="0"/>
              <w:spacing w:line="360" w:lineRule="auto"/>
              <w:jc w:val="center"/>
              <w:rPr>
                <w:rFonts w:hint="eastAsia" w:ascii="宋体" w:hAnsi="宋体" w:eastAsia="宋体" w:cs="宋体"/>
                <w:i w:val="0"/>
                <w:color w:val="auto"/>
                <w:kern w:val="0"/>
                <w:sz w:val="24"/>
                <w:szCs w:val="24"/>
                <w:u w:val="none"/>
                <w:lang w:val="en-US" w:eastAsia="zh-CN" w:bidi="ar"/>
              </w:rPr>
            </w:pPr>
          </w:p>
        </w:tc>
        <w:tc>
          <w:tcPr>
            <w:tcW w:w="827" w:type="dxa"/>
            <w:vMerge w:val="continue"/>
            <w:noWrap w:val="0"/>
            <w:vAlign w:val="center"/>
          </w:tcPr>
          <w:p w14:paraId="62983AB6">
            <w:pPr>
              <w:keepNext w:val="0"/>
              <w:keepLines w:val="0"/>
              <w:widowControl/>
              <w:suppressLineNumbers w:val="0"/>
              <w:spacing w:line="360" w:lineRule="auto"/>
              <w:jc w:val="center"/>
              <w:rPr>
                <w:rFonts w:hint="eastAsia" w:ascii="宋体" w:hAnsi="宋体" w:eastAsia="宋体" w:cs="宋体"/>
                <w:i w:val="0"/>
                <w:color w:val="auto"/>
                <w:kern w:val="0"/>
                <w:sz w:val="24"/>
                <w:szCs w:val="24"/>
                <w:u w:val="none"/>
                <w:lang w:val="en-US" w:eastAsia="zh-CN" w:bidi="ar"/>
              </w:rPr>
            </w:pPr>
          </w:p>
        </w:tc>
      </w:tr>
      <w:tr w14:paraId="67E44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633" w:hRule="atLeast"/>
          <w:tblHeader/>
        </w:trPr>
        <w:tc>
          <w:tcPr>
            <w:tcW w:w="884" w:type="dxa"/>
            <w:vMerge w:val="restart"/>
            <w:noWrap w:val="0"/>
            <w:vAlign w:val="center"/>
          </w:tcPr>
          <w:p w14:paraId="18CF72AD">
            <w:pPr>
              <w:keepNext w:val="0"/>
              <w:keepLines w:val="0"/>
              <w:widowControl/>
              <w:suppressLineNumbers w:val="0"/>
              <w:spacing w:line="360" w:lineRule="auto"/>
              <w:jc w:val="center"/>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资</w:t>
            </w:r>
          </w:p>
          <w:p w14:paraId="3C392785">
            <w:pPr>
              <w:keepNext w:val="0"/>
              <w:keepLines w:val="0"/>
              <w:widowControl/>
              <w:suppressLineNumbers w:val="0"/>
              <w:spacing w:line="360" w:lineRule="auto"/>
              <w:jc w:val="center"/>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格</w:t>
            </w:r>
          </w:p>
          <w:p w14:paraId="5861994D">
            <w:pPr>
              <w:keepNext w:val="0"/>
              <w:keepLines w:val="0"/>
              <w:widowControl/>
              <w:suppressLineNumbers w:val="0"/>
              <w:spacing w:line="360" w:lineRule="auto"/>
              <w:jc w:val="center"/>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性</w:t>
            </w:r>
          </w:p>
          <w:p w14:paraId="529E390F">
            <w:pPr>
              <w:keepNext w:val="0"/>
              <w:keepLines w:val="0"/>
              <w:widowControl/>
              <w:suppressLineNumbers w:val="0"/>
              <w:spacing w:line="360" w:lineRule="auto"/>
              <w:jc w:val="center"/>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审</w:t>
            </w:r>
          </w:p>
          <w:p w14:paraId="47C9398D">
            <w:pPr>
              <w:keepNext w:val="0"/>
              <w:keepLines w:val="0"/>
              <w:widowControl/>
              <w:suppressLineNumbers w:val="0"/>
              <w:spacing w:line="360" w:lineRule="auto"/>
              <w:jc w:val="center"/>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查</w:t>
            </w:r>
          </w:p>
          <w:p w14:paraId="56601E0A">
            <w:pPr>
              <w:keepNext w:val="0"/>
              <w:keepLines w:val="0"/>
              <w:widowControl/>
              <w:suppressLineNumbers w:val="0"/>
              <w:spacing w:line="360" w:lineRule="auto"/>
              <w:jc w:val="center"/>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内</w:t>
            </w:r>
          </w:p>
          <w:p w14:paraId="368674F1">
            <w:pPr>
              <w:keepNext w:val="0"/>
              <w:keepLines w:val="0"/>
              <w:widowControl/>
              <w:suppressLineNumbers w:val="0"/>
              <w:spacing w:line="360" w:lineRule="auto"/>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容</w:t>
            </w:r>
          </w:p>
        </w:tc>
        <w:tc>
          <w:tcPr>
            <w:tcW w:w="6019" w:type="dxa"/>
            <w:noWrap w:val="0"/>
            <w:vAlign w:val="center"/>
          </w:tcPr>
          <w:p w14:paraId="745A567D">
            <w:pPr>
              <w:spacing w:beforeLines="0" w:afterLines="0"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供应商有效的营业执照，或事业单位法人证书，或其他非企业组织证明独立承担民事责任能力的文件原件及扫描件</w:t>
            </w:r>
            <w:r>
              <w:rPr>
                <w:rFonts w:hint="eastAsia" w:ascii="宋体" w:hAnsi="宋体" w:cs="宋体"/>
                <w:color w:val="auto"/>
                <w:sz w:val="24"/>
                <w:szCs w:val="24"/>
                <w:lang w:val="en-US" w:eastAsia="zh-CN"/>
              </w:rPr>
              <w:t>；</w:t>
            </w:r>
          </w:p>
        </w:tc>
        <w:tc>
          <w:tcPr>
            <w:tcW w:w="475" w:type="dxa"/>
            <w:noWrap w:val="0"/>
            <w:vAlign w:val="center"/>
          </w:tcPr>
          <w:p w14:paraId="12610D9C">
            <w:pPr>
              <w:keepNext w:val="0"/>
              <w:keepLines w:val="0"/>
              <w:widowControl/>
              <w:suppressLineNumbers w:val="0"/>
              <w:spacing w:line="360" w:lineRule="auto"/>
              <w:jc w:val="center"/>
              <w:rPr>
                <w:rFonts w:hint="eastAsia" w:ascii="宋体" w:hAnsi="宋体" w:eastAsia="宋体" w:cs="宋体"/>
                <w:i w:val="0"/>
                <w:color w:val="auto"/>
                <w:kern w:val="0"/>
                <w:sz w:val="24"/>
                <w:szCs w:val="24"/>
                <w:u w:val="none"/>
                <w:lang w:val="en-US" w:eastAsia="zh-CN" w:bidi="ar"/>
              </w:rPr>
            </w:pPr>
          </w:p>
        </w:tc>
        <w:tc>
          <w:tcPr>
            <w:tcW w:w="475" w:type="dxa"/>
            <w:noWrap w:val="0"/>
            <w:vAlign w:val="center"/>
          </w:tcPr>
          <w:p w14:paraId="6FACA1CB">
            <w:pPr>
              <w:keepNext w:val="0"/>
              <w:keepLines w:val="0"/>
              <w:widowControl/>
              <w:suppressLineNumbers w:val="0"/>
              <w:spacing w:line="360" w:lineRule="auto"/>
              <w:jc w:val="center"/>
              <w:rPr>
                <w:rFonts w:hint="eastAsia" w:ascii="宋体" w:hAnsi="宋体" w:eastAsia="宋体" w:cs="宋体"/>
                <w:i w:val="0"/>
                <w:color w:val="auto"/>
                <w:kern w:val="0"/>
                <w:sz w:val="24"/>
                <w:szCs w:val="24"/>
                <w:u w:val="none"/>
                <w:lang w:val="en-US" w:eastAsia="zh-CN" w:bidi="ar"/>
              </w:rPr>
            </w:pPr>
          </w:p>
        </w:tc>
        <w:tc>
          <w:tcPr>
            <w:tcW w:w="425" w:type="dxa"/>
            <w:noWrap w:val="0"/>
            <w:vAlign w:val="center"/>
          </w:tcPr>
          <w:p w14:paraId="4FFD8326">
            <w:pPr>
              <w:keepNext w:val="0"/>
              <w:keepLines w:val="0"/>
              <w:widowControl/>
              <w:suppressLineNumbers w:val="0"/>
              <w:spacing w:line="360" w:lineRule="auto"/>
              <w:jc w:val="center"/>
              <w:rPr>
                <w:rFonts w:hint="eastAsia" w:ascii="宋体" w:hAnsi="宋体" w:eastAsia="宋体" w:cs="宋体"/>
                <w:i w:val="0"/>
                <w:color w:val="auto"/>
                <w:kern w:val="0"/>
                <w:sz w:val="24"/>
                <w:szCs w:val="24"/>
                <w:u w:val="none"/>
                <w:lang w:val="en-US" w:eastAsia="zh-CN" w:bidi="ar"/>
              </w:rPr>
            </w:pPr>
          </w:p>
        </w:tc>
        <w:tc>
          <w:tcPr>
            <w:tcW w:w="827" w:type="dxa"/>
            <w:noWrap w:val="0"/>
            <w:vAlign w:val="center"/>
          </w:tcPr>
          <w:p w14:paraId="54575FA9">
            <w:pPr>
              <w:keepNext w:val="0"/>
              <w:keepLines w:val="0"/>
              <w:widowControl/>
              <w:suppressLineNumbers w:val="0"/>
              <w:spacing w:line="360" w:lineRule="auto"/>
              <w:jc w:val="center"/>
              <w:rPr>
                <w:rFonts w:hint="eastAsia" w:ascii="宋体" w:hAnsi="宋体" w:eastAsia="宋体" w:cs="宋体"/>
                <w:i w:val="0"/>
                <w:color w:val="auto"/>
                <w:kern w:val="0"/>
                <w:sz w:val="24"/>
                <w:szCs w:val="24"/>
                <w:u w:val="none"/>
                <w:lang w:val="en-US" w:eastAsia="zh-CN" w:bidi="ar"/>
              </w:rPr>
            </w:pPr>
          </w:p>
        </w:tc>
      </w:tr>
      <w:tr w14:paraId="63FAC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599" w:hRule="atLeast"/>
          <w:tblHeader/>
        </w:trPr>
        <w:tc>
          <w:tcPr>
            <w:tcW w:w="884" w:type="dxa"/>
            <w:vMerge w:val="continue"/>
            <w:noWrap w:val="0"/>
            <w:vAlign w:val="center"/>
          </w:tcPr>
          <w:p w14:paraId="3F992D88">
            <w:pPr>
              <w:keepNext w:val="0"/>
              <w:keepLines w:val="0"/>
              <w:widowControl/>
              <w:suppressLineNumbers w:val="0"/>
              <w:spacing w:line="360" w:lineRule="auto"/>
              <w:jc w:val="center"/>
              <w:rPr>
                <w:rFonts w:hint="eastAsia" w:ascii="宋体" w:hAnsi="宋体" w:eastAsia="宋体" w:cs="宋体"/>
                <w:b/>
                <w:i w:val="0"/>
                <w:color w:val="auto"/>
                <w:kern w:val="0"/>
                <w:sz w:val="24"/>
                <w:szCs w:val="24"/>
                <w:u w:val="none"/>
                <w:lang w:val="en-US" w:eastAsia="zh-CN" w:bidi="ar"/>
              </w:rPr>
            </w:pPr>
          </w:p>
        </w:tc>
        <w:tc>
          <w:tcPr>
            <w:tcW w:w="6019" w:type="dxa"/>
            <w:noWrap w:val="0"/>
            <w:vAlign w:val="center"/>
          </w:tcPr>
          <w:p w14:paraId="79203144">
            <w:pPr>
              <w:pStyle w:val="20"/>
              <w:spacing w:line="360" w:lineRule="auto"/>
              <w:rPr>
                <w:rFonts w:hint="eastAsia"/>
                <w:lang w:val="en-US" w:eastAsia="zh-CN"/>
              </w:rPr>
            </w:pPr>
            <w:r>
              <w:rPr>
                <w:rFonts w:hint="eastAsia" w:ascii="宋体" w:hAnsi="宋体" w:eastAsia="宋体" w:cs="宋体"/>
                <w:color w:val="auto"/>
                <w:sz w:val="24"/>
                <w:szCs w:val="24"/>
                <w:lang w:val="en-US" w:eastAsia="zh-CN" w:bidi="ar-SA"/>
              </w:rPr>
              <w:t>供应商提供会计师事务所出具的2023年财务审计报告原件扫描件（成立时间至提交投标文件截止时间不足一年的可提供成立后任意时段的资产负债表），或其开标前三个月内基本存款账户开户银行出具的资信证明原件扫描件；</w:t>
            </w:r>
          </w:p>
        </w:tc>
        <w:tc>
          <w:tcPr>
            <w:tcW w:w="475" w:type="dxa"/>
            <w:noWrap w:val="0"/>
            <w:vAlign w:val="center"/>
          </w:tcPr>
          <w:p w14:paraId="5F05130C">
            <w:pPr>
              <w:keepNext w:val="0"/>
              <w:keepLines w:val="0"/>
              <w:widowControl/>
              <w:suppressLineNumbers w:val="0"/>
              <w:spacing w:line="360" w:lineRule="auto"/>
              <w:jc w:val="center"/>
              <w:rPr>
                <w:rFonts w:hint="eastAsia" w:ascii="宋体" w:hAnsi="宋体" w:eastAsia="宋体" w:cs="宋体"/>
                <w:i w:val="0"/>
                <w:color w:val="auto"/>
                <w:kern w:val="0"/>
                <w:sz w:val="24"/>
                <w:szCs w:val="24"/>
                <w:u w:val="none"/>
                <w:lang w:val="en-US" w:eastAsia="zh-CN" w:bidi="ar"/>
              </w:rPr>
            </w:pPr>
          </w:p>
        </w:tc>
        <w:tc>
          <w:tcPr>
            <w:tcW w:w="475" w:type="dxa"/>
            <w:noWrap w:val="0"/>
            <w:vAlign w:val="center"/>
          </w:tcPr>
          <w:p w14:paraId="6A518C11">
            <w:pPr>
              <w:keepNext w:val="0"/>
              <w:keepLines w:val="0"/>
              <w:widowControl/>
              <w:suppressLineNumbers w:val="0"/>
              <w:spacing w:line="360" w:lineRule="auto"/>
              <w:jc w:val="center"/>
              <w:rPr>
                <w:rFonts w:hint="eastAsia" w:ascii="宋体" w:hAnsi="宋体" w:eastAsia="宋体" w:cs="宋体"/>
                <w:i w:val="0"/>
                <w:color w:val="auto"/>
                <w:kern w:val="0"/>
                <w:sz w:val="24"/>
                <w:szCs w:val="24"/>
                <w:u w:val="none"/>
                <w:lang w:val="en-US" w:eastAsia="zh-CN" w:bidi="ar"/>
              </w:rPr>
            </w:pPr>
          </w:p>
        </w:tc>
        <w:tc>
          <w:tcPr>
            <w:tcW w:w="425" w:type="dxa"/>
            <w:noWrap w:val="0"/>
            <w:vAlign w:val="center"/>
          </w:tcPr>
          <w:p w14:paraId="64353989">
            <w:pPr>
              <w:keepNext w:val="0"/>
              <w:keepLines w:val="0"/>
              <w:widowControl/>
              <w:suppressLineNumbers w:val="0"/>
              <w:spacing w:line="360" w:lineRule="auto"/>
              <w:jc w:val="center"/>
              <w:rPr>
                <w:rFonts w:hint="eastAsia" w:ascii="宋体" w:hAnsi="宋体" w:eastAsia="宋体" w:cs="宋体"/>
                <w:i w:val="0"/>
                <w:color w:val="auto"/>
                <w:kern w:val="0"/>
                <w:sz w:val="24"/>
                <w:szCs w:val="24"/>
                <w:u w:val="none"/>
                <w:lang w:val="en-US" w:eastAsia="zh-CN" w:bidi="ar"/>
              </w:rPr>
            </w:pPr>
          </w:p>
        </w:tc>
        <w:tc>
          <w:tcPr>
            <w:tcW w:w="827" w:type="dxa"/>
            <w:noWrap w:val="0"/>
            <w:vAlign w:val="center"/>
          </w:tcPr>
          <w:p w14:paraId="13842B93">
            <w:pPr>
              <w:keepNext w:val="0"/>
              <w:keepLines w:val="0"/>
              <w:widowControl/>
              <w:suppressLineNumbers w:val="0"/>
              <w:spacing w:line="360" w:lineRule="auto"/>
              <w:jc w:val="center"/>
              <w:rPr>
                <w:rFonts w:hint="eastAsia" w:ascii="宋体" w:hAnsi="宋体" w:eastAsia="宋体" w:cs="宋体"/>
                <w:i w:val="0"/>
                <w:color w:val="auto"/>
                <w:kern w:val="0"/>
                <w:sz w:val="24"/>
                <w:szCs w:val="24"/>
                <w:u w:val="none"/>
                <w:lang w:val="en-US" w:eastAsia="zh-CN" w:bidi="ar"/>
              </w:rPr>
            </w:pPr>
          </w:p>
        </w:tc>
      </w:tr>
      <w:tr w14:paraId="1B14C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661" w:hRule="atLeast"/>
          <w:tblHeader/>
        </w:trPr>
        <w:tc>
          <w:tcPr>
            <w:tcW w:w="884" w:type="dxa"/>
            <w:vMerge w:val="continue"/>
            <w:noWrap w:val="0"/>
            <w:vAlign w:val="center"/>
          </w:tcPr>
          <w:p w14:paraId="473EF318">
            <w:pPr>
              <w:keepNext w:val="0"/>
              <w:keepLines w:val="0"/>
              <w:widowControl/>
              <w:suppressLineNumbers w:val="0"/>
              <w:spacing w:line="360" w:lineRule="auto"/>
              <w:jc w:val="center"/>
              <w:rPr>
                <w:rFonts w:hint="eastAsia" w:ascii="宋体" w:hAnsi="宋体" w:eastAsia="宋体" w:cs="宋体"/>
                <w:i w:val="0"/>
                <w:color w:val="auto"/>
                <w:kern w:val="0"/>
                <w:sz w:val="24"/>
                <w:szCs w:val="24"/>
                <w:u w:val="none"/>
                <w:lang w:val="en-US" w:eastAsia="zh-CN" w:bidi="ar"/>
              </w:rPr>
            </w:pPr>
          </w:p>
        </w:tc>
        <w:tc>
          <w:tcPr>
            <w:tcW w:w="6019" w:type="dxa"/>
            <w:noWrap w:val="0"/>
            <w:vAlign w:val="center"/>
          </w:tcPr>
          <w:p w14:paraId="55434C6E">
            <w:pPr>
              <w:spacing w:beforeLines="0" w:afterLines="0"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社保机构出具的投标企业缴纳参加本次采购活动近6个月内任意一个月的资金证明原件扫描件</w:t>
            </w:r>
            <w:r>
              <w:rPr>
                <w:rFonts w:hint="eastAsia" w:ascii="宋体" w:hAnsi="宋体" w:cs="宋体"/>
                <w:color w:val="auto"/>
                <w:sz w:val="24"/>
                <w:szCs w:val="24"/>
                <w:lang w:val="en-US" w:eastAsia="zh-CN"/>
              </w:rPr>
              <w:t>；</w:t>
            </w:r>
          </w:p>
        </w:tc>
        <w:tc>
          <w:tcPr>
            <w:tcW w:w="475" w:type="dxa"/>
            <w:noWrap w:val="0"/>
            <w:vAlign w:val="center"/>
          </w:tcPr>
          <w:p w14:paraId="62519F99">
            <w:pPr>
              <w:keepNext w:val="0"/>
              <w:keepLines w:val="0"/>
              <w:widowControl/>
              <w:suppressLineNumbers w:val="0"/>
              <w:spacing w:line="360" w:lineRule="auto"/>
              <w:jc w:val="center"/>
              <w:rPr>
                <w:rFonts w:hint="eastAsia" w:ascii="宋体" w:hAnsi="宋体" w:eastAsia="宋体" w:cs="宋体"/>
                <w:i w:val="0"/>
                <w:color w:val="auto"/>
                <w:kern w:val="0"/>
                <w:sz w:val="24"/>
                <w:szCs w:val="24"/>
                <w:u w:val="none"/>
                <w:lang w:val="en-US" w:eastAsia="zh-CN" w:bidi="ar"/>
              </w:rPr>
            </w:pPr>
          </w:p>
        </w:tc>
        <w:tc>
          <w:tcPr>
            <w:tcW w:w="475" w:type="dxa"/>
            <w:noWrap w:val="0"/>
            <w:vAlign w:val="center"/>
          </w:tcPr>
          <w:p w14:paraId="3A641C31">
            <w:pPr>
              <w:keepNext w:val="0"/>
              <w:keepLines w:val="0"/>
              <w:widowControl/>
              <w:suppressLineNumbers w:val="0"/>
              <w:spacing w:line="360" w:lineRule="auto"/>
              <w:jc w:val="center"/>
              <w:rPr>
                <w:rFonts w:hint="eastAsia" w:ascii="宋体" w:hAnsi="宋体" w:eastAsia="宋体" w:cs="宋体"/>
                <w:i w:val="0"/>
                <w:color w:val="auto"/>
                <w:kern w:val="0"/>
                <w:sz w:val="24"/>
                <w:szCs w:val="24"/>
                <w:u w:val="none"/>
                <w:lang w:val="en-US" w:eastAsia="zh-CN" w:bidi="ar"/>
              </w:rPr>
            </w:pPr>
          </w:p>
        </w:tc>
        <w:tc>
          <w:tcPr>
            <w:tcW w:w="425" w:type="dxa"/>
            <w:noWrap w:val="0"/>
            <w:vAlign w:val="center"/>
          </w:tcPr>
          <w:p w14:paraId="22CFF6F3">
            <w:pPr>
              <w:keepNext w:val="0"/>
              <w:keepLines w:val="0"/>
              <w:widowControl/>
              <w:suppressLineNumbers w:val="0"/>
              <w:spacing w:line="360" w:lineRule="auto"/>
              <w:jc w:val="center"/>
              <w:rPr>
                <w:rFonts w:hint="eastAsia" w:ascii="宋体" w:hAnsi="宋体" w:eastAsia="宋体" w:cs="宋体"/>
                <w:i w:val="0"/>
                <w:color w:val="auto"/>
                <w:kern w:val="0"/>
                <w:sz w:val="24"/>
                <w:szCs w:val="24"/>
                <w:u w:val="none"/>
                <w:lang w:val="en-US" w:eastAsia="zh-CN" w:bidi="ar"/>
              </w:rPr>
            </w:pPr>
          </w:p>
        </w:tc>
        <w:tc>
          <w:tcPr>
            <w:tcW w:w="827" w:type="dxa"/>
            <w:noWrap w:val="0"/>
            <w:vAlign w:val="center"/>
          </w:tcPr>
          <w:p w14:paraId="3F53B746">
            <w:pPr>
              <w:keepNext w:val="0"/>
              <w:keepLines w:val="0"/>
              <w:widowControl/>
              <w:suppressLineNumbers w:val="0"/>
              <w:spacing w:line="360" w:lineRule="auto"/>
              <w:jc w:val="center"/>
              <w:rPr>
                <w:rFonts w:hint="eastAsia" w:ascii="宋体" w:hAnsi="宋体" w:eastAsia="宋体" w:cs="宋体"/>
                <w:i w:val="0"/>
                <w:color w:val="auto"/>
                <w:kern w:val="0"/>
                <w:sz w:val="24"/>
                <w:szCs w:val="24"/>
                <w:u w:val="none"/>
                <w:lang w:val="en-US" w:eastAsia="zh-CN" w:bidi="ar"/>
              </w:rPr>
            </w:pPr>
          </w:p>
        </w:tc>
      </w:tr>
      <w:tr w14:paraId="4E728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90" w:hRule="atLeast"/>
          <w:tblHeader/>
        </w:trPr>
        <w:tc>
          <w:tcPr>
            <w:tcW w:w="884" w:type="dxa"/>
            <w:vMerge w:val="continue"/>
            <w:noWrap w:val="0"/>
            <w:vAlign w:val="center"/>
          </w:tcPr>
          <w:p w14:paraId="04A8DEE0">
            <w:pPr>
              <w:keepNext w:val="0"/>
              <w:keepLines w:val="0"/>
              <w:widowControl/>
              <w:suppressLineNumbers w:val="0"/>
              <w:spacing w:line="360" w:lineRule="auto"/>
              <w:jc w:val="center"/>
              <w:rPr>
                <w:rFonts w:hint="eastAsia" w:ascii="宋体" w:hAnsi="宋体" w:eastAsia="宋体" w:cs="宋体"/>
                <w:i w:val="0"/>
                <w:color w:val="auto"/>
                <w:kern w:val="0"/>
                <w:sz w:val="24"/>
                <w:szCs w:val="24"/>
                <w:u w:val="none"/>
                <w:lang w:val="en-US" w:eastAsia="zh-CN" w:bidi="ar"/>
              </w:rPr>
            </w:pPr>
          </w:p>
        </w:tc>
        <w:tc>
          <w:tcPr>
            <w:tcW w:w="6019" w:type="dxa"/>
            <w:noWrap w:val="0"/>
            <w:vAlign w:val="center"/>
          </w:tcPr>
          <w:p w14:paraId="6BD7DDFB">
            <w:pPr>
              <w:spacing w:beforeLines="0" w:afterLines="0"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税务机关出具的参加本次采购活动近6个月内任意一个月的供投标人依法纳税凭证原件扫描件；</w:t>
            </w:r>
          </w:p>
        </w:tc>
        <w:tc>
          <w:tcPr>
            <w:tcW w:w="475" w:type="dxa"/>
            <w:noWrap w:val="0"/>
            <w:vAlign w:val="center"/>
          </w:tcPr>
          <w:p w14:paraId="7C3B7856">
            <w:pPr>
              <w:keepNext w:val="0"/>
              <w:keepLines w:val="0"/>
              <w:widowControl/>
              <w:suppressLineNumbers w:val="0"/>
              <w:spacing w:line="360" w:lineRule="auto"/>
              <w:jc w:val="center"/>
              <w:rPr>
                <w:rFonts w:hint="eastAsia" w:ascii="宋体" w:hAnsi="宋体" w:eastAsia="宋体" w:cs="宋体"/>
                <w:i w:val="0"/>
                <w:color w:val="auto"/>
                <w:kern w:val="0"/>
                <w:sz w:val="24"/>
                <w:szCs w:val="24"/>
                <w:u w:val="none"/>
                <w:lang w:val="en-US" w:eastAsia="zh-CN" w:bidi="ar"/>
              </w:rPr>
            </w:pPr>
          </w:p>
        </w:tc>
        <w:tc>
          <w:tcPr>
            <w:tcW w:w="475" w:type="dxa"/>
            <w:noWrap w:val="0"/>
            <w:vAlign w:val="center"/>
          </w:tcPr>
          <w:p w14:paraId="630121F4">
            <w:pPr>
              <w:keepNext w:val="0"/>
              <w:keepLines w:val="0"/>
              <w:widowControl/>
              <w:suppressLineNumbers w:val="0"/>
              <w:spacing w:line="360" w:lineRule="auto"/>
              <w:jc w:val="center"/>
              <w:rPr>
                <w:rFonts w:hint="eastAsia" w:ascii="宋体" w:hAnsi="宋体" w:eastAsia="宋体" w:cs="宋体"/>
                <w:i w:val="0"/>
                <w:color w:val="auto"/>
                <w:kern w:val="0"/>
                <w:sz w:val="24"/>
                <w:szCs w:val="24"/>
                <w:u w:val="none"/>
                <w:lang w:val="en-US" w:eastAsia="zh-CN" w:bidi="ar"/>
              </w:rPr>
            </w:pPr>
          </w:p>
        </w:tc>
        <w:tc>
          <w:tcPr>
            <w:tcW w:w="425" w:type="dxa"/>
            <w:noWrap w:val="0"/>
            <w:vAlign w:val="center"/>
          </w:tcPr>
          <w:p w14:paraId="2903C557">
            <w:pPr>
              <w:keepNext w:val="0"/>
              <w:keepLines w:val="0"/>
              <w:widowControl/>
              <w:suppressLineNumbers w:val="0"/>
              <w:spacing w:line="360" w:lineRule="auto"/>
              <w:jc w:val="center"/>
              <w:rPr>
                <w:rFonts w:hint="eastAsia" w:ascii="宋体" w:hAnsi="宋体" w:eastAsia="宋体" w:cs="宋体"/>
                <w:i w:val="0"/>
                <w:color w:val="auto"/>
                <w:kern w:val="0"/>
                <w:sz w:val="24"/>
                <w:szCs w:val="24"/>
                <w:u w:val="none"/>
                <w:lang w:val="en-US" w:eastAsia="zh-CN" w:bidi="ar"/>
              </w:rPr>
            </w:pPr>
          </w:p>
        </w:tc>
        <w:tc>
          <w:tcPr>
            <w:tcW w:w="827" w:type="dxa"/>
            <w:noWrap w:val="0"/>
            <w:vAlign w:val="center"/>
          </w:tcPr>
          <w:p w14:paraId="3F3F5F0C">
            <w:pPr>
              <w:keepNext w:val="0"/>
              <w:keepLines w:val="0"/>
              <w:widowControl/>
              <w:suppressLineNumbers w:val="0"/>
              <w:spacing w:line="360" w:lineRule="auto"/>
              <w:jc w:val="center"/>
              <w:rPr>
                <w:rFonts w:hint="eastAsia" w:ascii="宋体" w:hAnsi="宋体" w:eastAsia="宋体" w:cs="宋体"/>
                <w:i w:val="0"/>
                <w:color w:val="auto"/>
                <w:kern w:val="0"/>
                <w:sz w:val="24"/>
                <w:szCs w:val="24"/>
                <w:u w:val="none"/>
                <w:lang w:val="en-US" w:eastAsia="zh-CN" w:bidi="ar"/>
              </w:rPr>
            </w:pPr>
          </w:p>
        </w:tc>
      </w:tr>
      <w:tr w14:paraId="43AD9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456" w:hRule="atLeast"/>
          <w:tblHeader/>
        </w:trPr>
        <w:tc>
          <w:tcPr>
            <w:tcW w:w="884" w:type="dxa"/>
            <w:vMerge w:val="continue"/>
            <w:noWrap w:val="0"/>
            <w:vAlign w:val="center"/>
          </w:tcPr>
          <w:p w14:paraId="014CA227">
            <w:pPr>
              <w:keepNext w:val="0"/>
              <w:keepLines w:val="0"/>
              <w:widowControl/>
              <w:suppressLineNumbers w:val="0"/>
              <w:spacing w:line="360" w:lineRule="auto"/>
              <w:jc w:val="center"/>
              <w:rPr>
                <w:rFonts w:hint="eastAsia" w:ascii="宋体" w:hAnsi="宋体" w:eastAsia="宋体" w:cs="宋体"/>
                <w:i w:val="0"/>
                <w:color w:val="auto"/>
                <w:kern w:val="0"/>
                <w:sz w:val="24"/>
                <w:szCs w:val="24"/>
                <w:u w:val="none"/>
                <w:lang w:val="en-US" w:eastAsia="zh-CN" w:bidi="ar"/>
              </w:rPr>
            </w:pPr>
          </w:p>
        </w:tc>
        <w:tc>
          <w:tcPr>
            <w:tcW w:w="6019" w:type="dxa"/>
            <w:noWrap w:val="0"/>
            <w:vAlign w:val="center"/>
          </w:tcPr>
          <w:p w14:paraId="77817E06">
            <w:pPr>
              <w:spacing w:beforeLines="0" w:afterLines="0" w:line="360" w:lineRule="auto"/>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无重大违法记录的声明函原件扫描件；</w:t>
            </w:r>
          </w:p>
        </w:tc>
        <w:tc>
          <w:tcPr>
            <w:tcW w:w="475" w:type="dxa"/>
            <w:noWrap w:val="0"/>
            <w:vAlign w:val="center"/>
          </w:tcPr>
          <w:p w14:paraId="0A2FA36E">
            <w:pPr>
              <w:keepNext w:val="0"/>
              <w:keepLines w:val="0"/>
              <w:widowControl/>
              <w:suppressLineNumbers w:val="0"/>
              <w:spacing w:line="360" w:lineRule="auto"/>
              <w:jc w:val="center"/>
              <w:rPr>
                <w:rFonts w:hint="eastAsia" w:ascii="宋体" w:hAnsi="宋体" w:eastAsia="宋体" w:cs="宋体"/>
                <w:i w:val="0"/>
                <w:color w:val="auto"/>
                <w:kern w:val="0"/>
                <w:sz w:val="24"/>
                <w:szCs w:val="24"/>
                <w:u w:val="none"/>
                <w:lang w:val="en-US" w:eastAsia="zh-CN" w:bidi="ar"/>
              </w:rPr>
            </w:pPr>
          </w:p>
        </w:tc>
        <w:tc>
          <w:tcPr>
            <w:tcW w:w="475" w:type="dxa"/>
            <w:noWrap w:val="0"/>
            <w:vAlign w:val="center"/>
          </w:tcPr>
          <w:p w14:paraId="352F04D9">
            <w:pPr>
              <w:keepNext w:val="0"/>
              <w:keepLines w:val="0"/>
              <w:widowControl/>
              <w:suppressLineNumbers w:val="0"/>
              <w:spacing w:line="360" w:lineRule="auto"/>
              <w:jc w:val="center"/>
              <w:rPr>
                <w:rFonts w:hint="eastAsia" w:ascii="宋体" w:hAnsi="宋体" w:eastAsia="宋体" w:cs="宋体"/>
                <w:i w:val="0"/>
                <w:color w:val="auto"/>
                <w:kern w:val="0"/>
                <w:sz w:val="24"/>
                <w:szCs w:val="24"/>
                <w:u w:val="none"/>
                <w:lang w:val="en-US" w:eastAsia="zh-CN" w:bidi="ar"/>
              </w:rPr>
            </w:pPr>
          </w:p>
        </w:tc>
        <w:tc>
          <w:tcPr>
            <w:tcW w:w="425" w:type="dxa"/>
            <w:noWrap w:val="0"/>
            <w:vAlign w:val="center"/>
          </w:tcPr>
          <w:p w14:paraId="693FE978">
            <w:pPr>
              <w:keepNext w:val="0"/>
              <w:keepLines w:val="0"/>
              <w:widowControl/>
              <w:suppressLineNumbers w:val="0"/>
              <w:spacing w:line="360" w:lineRule="auto"/>
              <w:jc w:val="center"/>
              <w:rPr>
                <w:rFonts w:hint="eastAsia" w:ascii="宋体" w:hAnsi="宋体" w:eastAsia="宋体" w:cs="宋体"/>
                <w:i w:val="0"/>
                <w:color w:val="auto"/>
                <w:kern w:val="0"/>
                <w:sz w:val="24"/>
                <w:szCs w:val="24"/>
                <w:u w:val="none"/>
                <w:lang w:val="en-US" w:eastAsia="zh-CN" w:bidi="ar"/>
              </w:rPr>
            </w:pPr>
          </w:p>
        </w:tc>
        <w:tc>
          <w:tcPr>
            <w:tcW w:w="827" w:type="dxa"/>
            <w:noWrap w:val="0"/>
            <w:vAlign w:val="center"/>
          </w:tcPr>
          <w:p w14:paraId="65F7A13F">
            <w:pPr>
              <w:keepNext w:val="0"/>
              <w:keepLines w:val="0"/>
              <w:widowControl/>
              <w:suppressLineNumbers w:val="0"/>
              <w:spacing w:line="360" w:lineRule="auto"/>
              <w:jc w:val="center"/>
              <w:rPr>
                <w:rFonts w:hint="eastAsia" w:ascii="宋体" w:hAnsi="宋体" w:eastAsia="宋体" w:cs="宋体"/>
                <w:i w:val="0"/>
                <w:color w:val="auto"/>
                <w:kern w:val="0"/>
                <w:sz w:val="24"/>
                <w:szCs w:val="24"/>
                <w:u w:val="none"/>
                <w:lang w:val="en-US" w:eastAsia="zh-CN" w:bidi="ar"/>
              </w:rPr>
            </w:pPr>
          </w:p>
        </w:tc>
      </w:tr>
      <w:tr w14:paraId="2F7CF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516" w:hRule="atLeast"/>
          <w:tblHeader/>
        </w:trPr>
        <w:tc>
          <w:tcPr>
            <w:tcW w:w="884" w:type="dxa"/>
            <w:vMerge w:val="continue"/>
            <w:noWrap w:val="0"/>
            <w:vAlign w:val="center"/>
          </w:tcPr>
          <w:p w14:paraId="2E118F23">
            <w:pPr>
              <w:keepNext w:val="0"/>
              <w:keepLines w:val="0"/>
              <w:widowControl/>
              <w:suppressLineNumbers w:val="0"/>
              <w:spacing w:line="360" w:lineRule="auto"/>
              <w:jc w:val="center"/>
              <w:rPr>
                <w:rFonts w:hint="eastAsia" w:ascii="宋体" w:hAnsi="宋体" w:eastAsia="宋体" w:cs="宋体"/>
                <w:i w:val="0"/>
                <w:color w:val="auto"/>
                <w:kern w:val="0"/>
                <w:sz w:val="24"/>
                <w:szCs w:val="24"/>
                <w:u w:val="none"/>
                <w:lang w:val="en-US" w:eastAsia="zh-CN" w:bidi="ar"/>
              </w:rPr>
            </w:pPr>
          </w:p>
        </w:tc>
        <w:tc>
          <w:tcPr>
            <w:tcW w:w="6019" w:type="dxa"/>
            <w:noWrap w:val="0"/>
            <w:vAlign w:val="center"/>
          </w:tcPr>
          <w:p w14:paraId="7F3F7059">
            <w:pPr>
              <w:spacing w:beforeLines="0" w:afterLines="0" w:line="360" w:lineRule="auto"/>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法定代表人身份证明及身份证原件扫描件(法定代表人参加投标或法定代表人授权函、法定代表人及被授权人身份证原件扫描件(委托代理人参加投标)；</w:t>
            </w:r>
          </w:p>
        </w:tc>
        <w:tc>
          <w:tcPr>
            <w:tcW w:w="475" w:type="dxa"/>
            <w:noWrap w:val="0"/>
            <w:vAlign w:val="center"/>
          </w:tcPr>
          <w:p w14:paraId="4264E2AF">
            <w:pPr>
              <w:spacing w:line="360" w:lineRule="auto"/>
              <w:rPr>
                <w:rFonts w:hint="eastAsia" w:ascii="宋体" w:hAnsi="宋体" w:eastAsia="宋体" w:cs="宋体"/>
                <w:i w:val="0"/>
                <w:color w:val="auto"/>
                <w:kern w:val="0"/>
                <w:sz w:val="24"/>
                <w:szCs w:val="24"/>
                <w:u w:val="none"/>
                <w:lang w:val="en-US" w:eastAsia="zh-CN" w:bidi="ar"/>
              </w:rPr>
            </w:pPr>
          </w:p>
        </w:tc>
        <w:tc>
          <w:tcPr>
            <w:tcW w:w="475" w:type="dxa"/>
            <w:noWrap w:val="0"/>
            <w:vAlign w:val="center"/>
          </w:tcPr>
          <w:p w14:paraId="55277352">
            <w:pPr>
              <w:keepNext w:val="0"/>
              <w:keepLines w:val="0"/>
              <w:widowControl/>
              <w:suppressLineNumbers w:val="0"/>
              <w:spacing w:line="360" w:lineRule="auto"/>
              <w:jc w:val="center"/>
              <w:rPr>
                <w:rFonts w:hint="eastAsia" w:ascii="宋体" w:hAnsi="宋体" w:eastAsia="宋体" w:cs="宋体"/>
                <w:i w:val="0"/>
                <w:color w:val="auto"/>
                <w:kern w:val="0"/>
                <w:sz w:val="24"/>
                <w:szCs w:val="24"/>
                <w:u w:val="none"/>
                <w:lang w:val="en-US" w:eastAsia="zh-CN" w:bidi="ar"/>
              </w:rPr>
            </w:pPr>
          </w:p>
        </w:tc>
        <w:tc>
          <w:tcPr>
            <w:tcW w:w="425" w:type="dxa"/>
            <w:noWrap w:val="0"/>
            <w:vAlign w:val="center"/>
          </w:tcPr>
          <w:p w14:paraId="3C4AE8D3">
            <w:pPr>
              <w:keepNext w:val="0"/>
              <w:keepLines w:val="0"/>
              <w:widowControl/>
              <w:suppressLineNumbers w:val="0"/>
              <w:spacing w:line="360" w:lineRule="auto"/>
              <w:jc w:val="center"/>
              <w:rPr>
                <w:rFonts w:hint="eastAsia" w:ascii="宋体" w:hAnsi="宋体" w:eastAsia="宋体" w:cs="宋体"/>
                <w:i w:val="0"/>
                <w:color w:val="auto"/>
                <w:kern w:val="0"/>
                <w:sz w:val="24"/>
                <w:szCs w:val="24"/>
                <w:u w:val="none"/>
                <w:lang w:val="en-US" w:eastAsia="zh-CN" w:bidi="ar"/>
              </w:rPr>
            </w:pPr>
          </w:p>
        </w:tc>
        <w:tc>
          <w:tcPr>
            <w:tcW w:w="827" w:type="dxa"/>
            <w:noWrap w:val="0"/>
            <w:vAlign w:val="center"/>
          </w:tcPr>
          <w:p w14:paraId="63AA804F">
            <w:pPr>
              <w:keepNext w:val="0"/>
              <w:keepLines w:val="0"/>
              <w:pageBreakBefore w:val="0"/>
              <w:widowControl/>
              <w:suppressLineNumbers w:val="0"/>
              <w:kinsoku/>
              <w:wordWrap/>
              <w:overflowPunct/>
              <w:topLinePunct w:val="0"/>
              <w:autoSpaceDE/>
              <w:autoSpaceDN/>
              <w:bidi w:val="0"/>
              <w:adjustRightInd/>
              <w:snapToGrid/>
              <w:spacing w:line="360" w:lineRule="auto"/>
              <w:jc w:val="center"/>
              <w:rPr>
                <w:rFonts w:hint="eastAsia" w:ascii="宋体" w:hAnsi="宋体" w:eastAsia="宋体" w:cs="宋体"/>
                <w:i w:val="0"/>
                <w:color w:val="auto"/>
                <w:kern w:val="0"/>
                <w:sz w:val="24"/>
                <w:szCs w:val="24"/>
                <w:u w:val="none"/>
                <w:lang w:val="en-US" w:eastAsia="zh-CN" w:bidi="ar"/>
              </w:rPr>
            </w:pPr>
          </w:p>
        </w:tc>
      </w:tr>
      <w:tr w14:paraId="45C9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578" w:hRule="atLeast"/>
          <w:tblHeader/>
        </w:trPr>
        <w:tc>
          <w:tcPr>
            <w:tcW w:w="884" w:type="dxa"/>
            <w:vMerge w:val="continue"/>
            <w:noWrap w:val="0"/>
            <w:vAlign w:val="center"/>
          </w:tcPr>
          <w:p w14:paraId="2F631571">
            <w:pPr>
              <w:keepNext w:val="0"/>
              <w:keepLines w:val="0"/>
              <w:widowControl/>
              <w:suppressLineNumbers w:val="0"/>
              <w:spacing w:line="360" w:lineRule="auto"/>
              <w:jc w:val="center"/>
              <w:rPr>
                <w:rFonts w:hint="eastAsia" w:ascii="宋体" w:hAnsi="宋体" w:eastAsia="宋体" w:cs="宋体"/>
                <w:i w:val="0"/>
                <w:color w:val="auto"/>
                <w:kern w:val="0"/>
                <w:sz w:val="24"/>
                <w:szCs w:val="24"/>
                <w:u w:val="none"/>
                <w:lang w:val="en-US" w:eastAsia="zh-CN" w:bidi="ar"/>
              </w:rPr>
            </w:pPr>
          </w:p>
        </w:tc>
        <w:tc>
          <w:tcPr>
            <w:tcW w:w="6019" w:type="dxa"/>
            <w:noWrap w:val="0"/>
            <w:vAlign w:val="center"/>
          </w:tcPr>
          <w:p w14:paraId="68C282CC">
            <w:pPr>
              <w:spacing w:beforeLines="0" w:afterLines="0"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投标人拟派技术负责人(可兼任项目负责人)须提供具有有效期内的国家注册一级造价师资格证书原件扫描件并加盖投标企业公章；</w:t>
            </w:r>
          </w:p>
        </w:tc>
        <w:tc>
          <w:tcPr>
            <w:tcW w:w="475" w:type="dxa"/>
            <w:noWrap w:val="0"/>
            <w:vAlign w:val="center"/>
          </w:tcPr>
          <w:p w14:paraId="1A2753DF">
            <w:pPr>
              <w:keepNext w:val="0"/>
              <w:keepLines w:val="0"/>
              <w:widowControl/>
              <w:suppressLineNumbers w:val="0"/>
              <w:spacing w:line="360" w:lineRule="auto"/>
              <w:jc w:val="center"/>
              <w:rPr>
                <w:rFonts w:hint="eastAsia" w:ascii="宋体" w:hAnsi="宋体" w:eastAsia="宋体" w:cs="宋体"/>
                <w:i w:val="0"/>
                <w:color w:val="auto"/>
                <w:kern w:val="0"/>
                <w:sz w:val="24"/>
                <w:szCs w:val="24"/>
                <w:u w:val="none"/>
                <w:lang w:val="en-US" w:eastAsia="zh-CN" w:bidi="ar"/>
              </w:rPr>
            </w:pPr>
          </w:p>
        </w:tc>
        <w:tc>
          <w:tcPr>
            <w:tcW w:w="475" w:type="dxa"/>
            <w:noWrap w:val="0"/>
            <w:vAlign w:val="center"/>
          </w:tcPr>
          <w:p w14:paraId="03A50472">
            <w:pPr>
              <w:keepNext w:val="0"/>
              <w:keepLines w:val="0"/>
              <w:widowControl/>
              <w:suppressLineNumbers w:val="0"/>
              <w:spacing w:line="360" w:lineRule="auto"/>
              <w:jc w:val="center"/>
              <w:rPr>
                <w:rFonts w:hint="eastAsia" w:ascii="宋体" w:hAnsi="宋体" w:eastAsia="宋体" w:cs="宋体"/>
                <w:i w:val="0"/>
                <w:color w:val="auto"/>
                <w:kern w:val="0"/>
                <w:sz w:val="24"/>
                <w:szCs w:val="24"/>
                <w:u w:val="none"/>
                <w:lang w:val="en-US" w:eastAsia="zh-CN" w:bidi="ar"/>
              </w:rPr>
            </w:pPr>
          </w:p>
        </w:tc>
        <w:tc>
          <w:tcPr>
            <w:tcW w:w="425" w:type="dxa"/>
            <w:noWrap w:val="0"/>
            <w:vAlign w:val="center"/>
          </w:tcPr>
          <w:p w14:paraId="4E28BDE8">
            <w:pPr>
              <w:keepNext w:val="0"/>
              <w:keepLines w:val="0"/>
              <w:widowControl/>
              <w:suppressLineNumbers w:val="0"/>
              <w:spacing w:line="360" w:lineRule="auto"/>
              <w:jc w:val="center"/>
              <w:rPr>
                <w:rFonts w:hint="eastAsia" w:ascii="宋体" w:hAnsi="宋体" w:eastAsia="宋体" w:cs="宋体"/>
                <w:i w:val="0"/>
                <w:color w:val="auto"/>
                <w:kern w:val="0"/>
                <w:sz w:val="24"/>
                <w:szCs w:val="24"/>
                <w:u w:val="none"/>
                <w:lang w:val="en-US" w:eastAsia="zh-CN" w:bidi="ar"/>
              </w:rPr>
            </w:pPr>
          </w:p>
        </w:tc>
        <w:tc>
          <w:tcPr>
            <w:tcW w:w="827" w:type="dxa"/>
            <w:noWrap w:val="0"/>
            <w:vAlign w:val="center"/>
          </w:tcPr>
          <w:p w14:paraId="5A394DEF">
            <w:pPr>
              <w:keepNext w:val="0"/>
              <w:keepLines w:val="0"/>
              <w:widowControl/>
              <w:suppressLineNumbers w:val="0"/>
              <w:spacing w:line="360" w:lineRule="auto"/>
              <w:jc w:val="center"/>
              <w:rPr>
                <w:color w:val="auto"/>
                <w:sz w:val="24"/>
                <w:szCs w:val="24"/>
              </w:rPr>
            </w:pPr>
          </w:p>
        </w:tc>
      </w:tr>
      <w:tr w14:paraId="62778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435" w:hRule="atLeast"/>
          <w:tblHeader/>
        </w:trPr>
        <w:tc>
          <w:tcPr>
            <w:tcW w:w="884" w:type="dxa"/>
            <w:vMerge w:val="continue"/>
            <w:noWrap w:val="0"/>
            <w:vAlign w:val="center"/>
          </w:tcPr>
          <w:p w14:paraId="749F214D">
            <w:pPr>
              <w:keepNext w:val="0"/>
              <w:keepLines w:val="0"/>
              <w:widowControl/>
              <w:suppressLineNumbers w:val="0"/>
              <w:spacing w:line="360" w:lineRule="auto"/>
              <w:jc w:val="center"/>
              <w:rPr>
                <w:rFonts w:hint="eastAsia" w:ascii="宋体" w:hAnsi="宋体" w:eastAsia="宋体" w:cs="宋体"/>
                <w:i w:val="0"/>
                <w:color w:val="auto"/>
                <w:kern w:val="0"/>
                <w:sz w:val="24"/>
                <w:szCs w:val="24"/>
                <w:u w:val="none"/>
                <w:lang w:val="en-US" w:eastAsia="zh-CN" w:bidi="ar"/>
              </w:rPr>
            </w:pPr>
          </w:p>
        </w:tc>
        <w:tc>
          <w:tcPr>
            <w:tcW w:w="6019" w:type="dxa"/>
            <w:noWrap w:val="0"/>
            <w:vAlign w:val="center"/>
          </w:tcPr>
          <w:p w14:paraId="4FEB2F4E">
            <w:pPr>
              <w:spacing w:beforeLines="0" w:afterLines="0" w:line="360" w:lineRule="auto"/>
              <w:jc w:val="both"/>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结论（“通过” “不通过”）</w:t>
            </w:r>
          </w:p>
        </w:tc>
        <w:tc>
          <w:tcPr>
            <w:tcW w:w="475" w:type="dxa"/>
            <w:noWrap w:val="0"/>
            <w:vAlign w:val="center"/>
          </w:tcPr>
          <w:p w14:paraId="3B5C8880">
            <w:pPr>
              <w:keepNext w:val="0"/>
              <w:keepLines w:val="0"/>
              <w:widowControl/>
              <w:suppressLineNumbers w:val="0"/>
              <w:spacing w:line="360" w:lineRule="auto"/>
              <w:jc w:val="center"/>
              <w:rPr>
                <w:rFonts w:hint="eastAsia" w:ascii="宋体" w:hAnsi="宋体" w:eastAsia="宋体" w:cs="宋体"/>
                <w:i w:val="0"/>
                <w:color w:val="auto"/>
                <w:kern w:val="0"/>
                <w:sz w:val="24"/>
                <w:szCs w:val="24"/>
                <w:u w:val="none"/>
                <w:lang w:val="en-US" w:eastAsia="zh-CN" w:bidi="ar"/>
              </w:rPr>
            </w:pPr>
          </w:p>
        </w:tc>
        <w:tc>
          <w:tcPr>
            <w:tcW w:w="475" w:type="dxa"/>
            <w:noWrap w:val="0"/>
            <w:vAlign w:val="center"/>
          </w:tcPr>
          <w:p w14:paraId="7428AB72">
            <w:pPr>
              <w:keepNext w:val="0"/>
              <w:keepLines w:val="0"/>
              <w:widowControl/>
              <w:suppressLineNumbers w:val="0"/>
              <w:spacing w:line="360" w:lineRule="auto"/>
              <w:jc w:val="center"/>
              <w:rPr>
                <w:rFonts w:hint="eastAsia" w:ascii="宋体" w:hAnsi="宋体" w:eastAsia="宋体" w:cs="宋体"/>
                <w:i w:val="0"/>
                <w:color w:val="auto"/>
                <w:kern w:val="0"/>
                <w:sz w:val="24"/>
                <w:szCs w:val="24"/>
                <w:u w:val="none"/>
                <w:lang w:val="en-US" w:eastAsia="zh-CN" w:bidi="ar"/>
              </w:rPr>
            </w:pPr>
          </w:p>
        </w:tc>
        <w:tc>
          <w:tcPr>
            <w:tcW w:w="425" w:type="dxa"/>
            <w:noWrap w:val="0"/>
            <w:vAlign w:val="center"/>
          </w:tcPr>
          <w:p w14:paraId="0E94A616">
            <w:pPr>
              <w:keepNext w:val="0"/>
              <w:keepLines w:val="0"/>
              <w:widowControl/>
              <w:suppressLineNumbers w:val="0"/>
              <w:spacing w:line="360" w:lineRule="auto"/>
              <w:jc w:val="center"/>
              <w:rPr>
                <w:rFonts w:hint="eastAsia" w:ascii="宋体" w:hAnsi="宋体" w:eastAsia="宋体" w:cs="宋体"/>
                <w:i w:val="0"/>
                <w:color w:val="auto"/>
                <w:kern w:val="0"/>
                <w:sz w:val="24"/>
                <w:szCs w:val="24"/>
                <w:u w:val="none"/>
                <w:lang w:val="en-US" w:eastAsia="zh-CN" w:bidi="ar"/>
              </w:rPr>
            </w:pPr>
          </w:p>
        </w:tc>
        <w:tc>
          <w:tcPr>
            <w:tcW w:w="827" w:type="dxa"/>
            <w:noWrap w:val="0"/>
            <w:vAlign w:val="center"/>
          </w:tcPr>
          <w:p w14:paraId="59E5FDC8">
            <w:pPr>
              <w:keepNext w:val="0"/>
              <w:keepLines w:val="0"/>
              <w:widowControl/>
              <w:suppressLineNumbers w:val="0"/>
              <w:spacing w:line="360" w:lineRule="auto"/>
              <w:jc w:val="center"/>
              <w:rPr>
                <w:rFonts w:hint="eastAsia" w:ascii="宋体" w:hAnsi="宋体" w:eastAsia="宋体" w:cs="宋体"/>
                <w:i w:val="0"/>
                <w:color w:val="auto"/>
                <w:kern w:val="0"/>
                <w:sz w:val="24"/>
                <w:szCs w:val="24"/>
                <w:u w:val="none"/>
                <w:lang w:val="en-US" w:eastAsia="zh-CN" w:bidi="ar"/>
              </w:rPr>
            </w:pPr>
          </w:p>
        </w:tc>
      </w:tr>
      <w:tr w14:paraId="4B27F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545" w:hRule="atLeast"/>
          <w:tblHeader/>
        </w:trPr>
        <w:tc>
          <w:tcPr>
            <w:tcW w:w="884" w:type="dxa"/>
            <w:vMerge w:val="continue"/>
            <w:noWrap w:val="0"/>
            <w:vAlign w:val="center"/>
          </w:tcPr>
          <w:p w14:paraId="5A6988A6">
            <w:pPr>
              <w:keepNext w:val="0"/>
              <w:keepLines w:val="0"/>
              <w:widowControl/>
              <w:suppressLineNumbers w:val="0"/>
              <w:spacing w:line="360" w:lineRule="auto"/>
              <w:jc w:val="center"/>
              <w:rPr>
                <w:rFonts w:hint="eastAsia" w:ascii="宋体" w:hAnsi="宋体" w:eastAsia="宋体" w:cs="宋体"/>
                <w:i w:val="0"/>
                <w:color w:val="auto"/>
                <w:kern w:val="0"/>
                <w:sz w:val="24"/>
                <w:szCs w:val="24"/>
                <w:u w:val="none"/>
                <w:lang w:val="en-US" w:eastAsia="zh-CN" w:bidi="ar"/>
              </w:rPr>
            </w:pPr>
          </w:p>
        </w:tc>
        <w:tc>
          <w:tcPr>
            <w:tcW w:w="8221" w:type="dxa"/>
            <w:gridSpan w:val="5"/>
            <w:noWrap w:val="0"/>
            <w:vAlign w:val="center"/>
          </w:tcPr>
          <w:p w14:paraId="79954762">
            <w:pPr>
              <w:keepNext w:val="0"/>
              <w:keepLines w:val="0"/>
              <w:widowControl/>
              <w:suppressLineNumbers w:val="0"/>
              <w:spacing w:line="360" w:lineRule="auto"/>
              <w:jc w:val="both"/>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sz w:val="24"/>
                <w:szCs w:val="24"/>
                <w:u w:val="none"/>
                <w:lang w:val="en-US" w:eastAsia="zh-CN"/>
              </w:rPr>
              <w:t>审核人签字</w:t>
            </w:r>
          </w:p>
        </w:tc>
      </w:tr>
    </w:tbl>
    <w:p w14:paraId="0F31AC8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3.1.2初步评审</w:t>
      </w:r>
      <w:r>
        <w:rPr>
          <w:rFonts w:hint="eastAsia" w:ascii="宋体" w:hAnsi="宋体" w:eastAsia="宋体" w:cs="宋体"/>
          <w:color w:val="auto"/>
          <w:kern w:val="0"/>
          <w:sz w:val="24"/>
          <w:szCs w:val="24"/>
          <w:lang w:val="en-US" w:eastAsia="zh-CN" w:bidi="ar-SA"/>
        </w:rPr>
        <w:tab/>
      </w:r>
    </w:p>
    <w:p w14:paraId="147FB26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符合性检查。依据征集文件的规定，从征集响应文件的有效性、完整性和对征集文件的响应程度进行审查，以确定是否对征集文件的实质性要求作出响应。</w:t>
      </w:r>
    </w:p>
    <w:tbl>
      <w:tblPr>
        <w:tblStyle w:val="30"/>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73"/>
        <w:gridCol w:w="4952"/>
        <w:gridCol w:w="887"/>
        <w:gridCol w:w="909"/>
        <w:gridCol w:w="896"/>
        <w:gridCol w:w="956"/>
      </w:tblGrid>
      <w:tr w14:paraId="03BD1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312" w:type="pct"/>
            <w:vMerge w:val="restart"/>
            <w:tcBorders>
              <w:top w:val="single" w:color="000000" w:sz="4" w:space="0"/>
              <w:left w:val="single" w:color="000000" w:sz="4" w:space="0"/>
              <w:right w:val="single" w:color="000000" w:sz="4" w:space="0"/>
            </w:tcBorders>
            <w:noWrap w:val="0"/>
            <w:vAlign w:val="center"/>
          </w:tcPr>
          <w:p w14:paraId="5FD1369E">
            <w:pPr>
              <w:keepNext w:val="0"/>
              <w:keepLines w:val="0"/>
              <w:widowControl/>
              <w:suppressLineNumbers w:val="0"/>
              <w:spacing w:line="360" w:lineRule="auto"/>
              <w:jc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序号</w:t>
            </w:r>
          </w:p>
        </w:tc>
        <w:tc>
          <w:tcPr>
            <w:tcW w:w="2699" w:type="pct"/>
            <w:vMerge w:val="restart"/>
            <w:tcBorders>
              <w:top w:val="single" w:color="000000" w:sz="4" w:space="0"/>
              <w:left w:val="single" w:color="000000" w:sz="4" w:space="0"/>
              <w:right w:val="single" w:color="000000" w:sz="4" w:space="0"/>
            </w:tcBorders>
            <w:noWrap w:val="0"/>
            <w:vAlign w:val="center"/>
          </w:tcPr>
          <w:p w14:paraId="05064EDA">
            <w:pPr>
              <w:spacing w:line="360" w:lineRule="auto"/>
              <w:jc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评审项目</w:t>
            </w:r>
          </w:p>
        </w:tc>
        <w:tc>
          <w:tcPr>
            <w:tcW w:w="1466" w:type="pct"/>
            <w:gridSpan w:val="3"/>
            <w:tcBorders>
              <w:top w:val="single" w:color="000000" w:sz="4" w:space="0"/>
              <w:left w:val="single" w:color="000000" w:sz="4" w:space="0"/>
              <w:bottom w:val="single" w:color="000000" w:sz="4" w:space="0"/>
              <w:right w:val="single" w:color="000000" w:sz="4" w:space="0"/>
            </w:tcBorders>
            <w:noWrap w:val="0"/>
            <w:vAlign w:val="center"/>
          </w:tcPr>
          <w:p w14:paraId="5C23C1DD">
            <w:pPr>
              <w:keepNext w:val="0"/>
              <w:keepLines w:val="0"/>
              <w:widowControl/>
              <w:suppressLineNumbers w:val="0"/>
              <w:spacing w:line="360" w:lineRule="auto"/>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征集对象</w:t>
            </w:r>
          </w:p>
        </w:tc>
        <w:tc>
          <w:tcPr>
            <w:tcW w:w="521" w:type="pct"/>
            <w:vMerge w:val="restart"/>
            <w:tcBorders>
              <w:top w:val="single" w:color="000000" w:sz="4" w:space="0"/>
              <w:left w:val="single" w:color="000000" w:sz="4" w:space="0"/>
              <w:right w:val="single" w:color="000000" w:sz="4" w:space="0"/>
            </w:tcBorders>
            <w:noWrap w:val="0"/>
            <w:vAlign w:val="center"/>
          </w:tcPr>
          <w:p w14:paraId="08F34AF3">
            <w:pPr>
              <w:keepNext w:val="0"/>
              <w:keepLines w:val="0"/>
              <w:widowControl/>
              <w:suppressLineNumbers w:val="0"/>
              <w:spacing w:line="360" w:lineRule="auto"/>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备注</w:t>
            </w:r>
          </w:p>
        </w:tc>
      </w:tr>
      <w:tr w14:paraId="49D01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trPr>
        <w:tc>
          <w:tcPr>
            <w:tcW w:w="312" w:type="pct"/>
            <w:vMerge w:val="continue"/>
            <w:tcBorders>
              <w:left w:val="single" w:color="000000" w:sz="4" w:space="0"/>
              <w:bottom w:val="single" w:color="auto" w:sz="4" w:space="0"/>
              <w:right w:val="single" w:color="000000" w:sz="4" w:space="0"/>
            </w:tcBorders>
            <w:noWrap w:val="0"/>
            <w:vAlign w:val="center"/>
          </w:tcPr>
          <w:p w14:paraId="5A83CB74">
            <w:pPr>
              <w:spacing w:line="360" w:lineRule="auto"/>
              <w:jc w:val="center"/>
              <w:rPr>
                <w:rFonts w:hint="eastAsia" w:ascii="宋体" w:hAnsi="宋体" w:eastAsia="宋体" w:cs="宋体"/>
                <w:i w:val="0"/>
                <w:color w:val="auto"/>
                <w:sz w:val="24"/>
                <w:szCs w:val="24"/>
                <w:u w:val="none"/>
              </w:rPr>
            </w:pPr>
          </w:p>
        </w:tc>
        <w:tc>
          <w:tcPr>
            <w:tcW w:w="2699" w:type="pct"/>
            <w:vMerge w:val="continue"/>
            <w:tcBorders>
              <w:left w:val="single" w:color="000000" w:sz="4" w:space="0"/>
              <w:bottom w:val="single" w:color="auto" w:sz="4" w:space="0"/>
              <w:right w:val="single" w:color="000000" w:sz="4" w:space="0"/>
            </w:tcBorders>
            <w:noWrap w:val="0"/>
            <w:vAlign w:val="center"/>
          </w:tcPr>
          <w:p w14:paraId="015014BC">
            <w:pPr>
              <w:spacing w:line="360" w:lineRule="auto"/>
              <w:jc w:val="center"/>
              <w:rPr>
                <w:rFonts w:hint="eastAsia" w:ascii="宋体" w:hAnsi="宋体" w:eastAsia="宋体" w:cs="宋体"/>
                <w:i w:val="0"/>
                <w:color w:val="auto"/>
                <w:sz w:val="24"/>
                <w:szCs w:val="24"/>
                <w:u w:val="none"/>
              </w:rPr>
            </w:pPr>
          </w:p>
        </w:tc>
        <w:tc>
          <w:tcPr>
            <w:tcW w:w="483" w:type="pct"/>
            <w:tcBorders>
              <w:top w:val="single" w:color="000000" w:sz="4" w:space="0"/>
              <w:left w:val="single" w:color="000000" w:sz="4" w:space="0"/>
              <w:bottom w:val="single" w:color="000000" w:sz="4" w:space="0"/>
              <w:right w:val="single" w:color="000000" w:sz="4" w:space="0"/>
            </w:tcBorders>
            <w:noWrap w:val="0"/>
            <w:vAlign w:val="center"/>
          </w:tcPr>
          <w:p w14:paraId="71EAF4BB">
            <w:pPr>
              <w:keepNext w:val="0"/>
              <w:keepLines w:val="0"/>
              <w:widowControl/>
              <w:suppressLineNumbers w:val="0"/>
              <w:spacing w:line="360" w:lineRule="auto"/>
              <w:jc w:val="center"/>
              <w:rPr>
                <w:rFonts w:hint="eastAsia" w:ascii="宋体" w:hAnsi="宋体" w:eastAsia="宋体" w:cs="宋体"/>
                <w:i w:val="0"/>
                <w:color w:val="auto"/>
                <w:sz w:val="24"/>
                <w:szCs w:val="24"/>
                <w:u w:val="none"/>
              </w:rPr>
            </w:pPr>
          </w:p>
        </w:tc>
        <w:tc>
          <w:tcPr>
            <w:tcW w:w="495" w:type="pct"/>
            <w:tcBorders>
              <w:top w:val="single" w:color="000000" w:sz="4" w:space="0"/>
              <w:left w:val="single" w:color="000000" w:sz="4" w:space="0"/>
              <w:bottom w:val="single" w:color="000000" w:sz="4" w:space="0"/>
              <w:right w:val="single" w:color="000000" w:sz="4" w:space="0"/>
            </w:tcBorders>
            <w:noWrap w:val="0"/>
            <w:vAlign w:val="center"/>
          </w:tcPr>
          <w:p w14:paraId="5741428B">
            <w:pPr>
              <w:keepNext w:val="0"/>
              <w:keepLines w:val="0"/>
              <w:widowControl/>
              <w:suppressLineNumbers w:val="0"/>
              <w:spacing w:line="360" w:lineRule="auto"/>
              <w:jc w:val="center"/>
              <w:rPr>
                <w:rFonts w:hint="eastAsia" w:ascii="宋体" w:hAnsi="宋体" w:eastAsia="宋体" w:cs="宋体"/>
                <w:i w:val="0"/>
                <w:color w:val="auto"/>
                <w:sz w:val="24"/>
                <w:szCs w:val="24"/>
                <w:u w:val="none"/>
              </w:rPr>
            </w:pPr>
          </w:p>
        </w:tc>
        <w:tc>
          <w:tcPr>
            <w:tcW w:w="488" w:type="pct"/>
            <w:tcBorders>
              <w:top w:val="single" w:color="000000" w:sz="4" w:space="0"/>
              <w:left w:val="single" w:color="000000" w:sz="4" w:space="0"/>
              <w:bottom w:val="single" w:color="000000" w:sz="4" w:space="0"/>
              <w:right w:val="single" w:color="000000" w:sz="4" w:space="0"/>
            </w:tcBorders>
            <w:noWrap w:val="0"/>
            <w:vAlign w:val="center"/>
          </w:tcPr>
          <w:p w14:paraId="2E45BE5B">
            <w:pPr>
              <w:keepNext w:val="0"/>
              <w:keepLines w:val="0"/>
              <w:widowControl/>
              <w:suppressLineNumbers w:val="0"/>
              <w:spacing w:line="360" w:lineRule="auto"/>
              <w:jc w:val="center"/>
              <w:rPr>
                <w:rFonts w:hint="eastAsia" w:ascii="宋体" w:hAnsi="宋体" w:eastAsia="宋体" w:cs="宋体"/>
                <w:i w:val="0"/>
                <w:color w:val="auto"/>
                <w:sz w:val="24"/>
                <w:szCs w:val="24"/>
                <w:u w:val="none"/>
              </w:rPr>
            </w:pPr>
          </w:p>
        </w:tc>
        <w:tc>
          <w:tcPr>
            <w:tcW w:w="521" w:type="pct"/>
            <w:vMerge w:val="continue"/>
            <w:tcBorders>
              <w:left w:val="single" w:color="000000" w:sz="4" w:space="0"/>
              <w:bottom w:val="single" w:color="000000" w:sz="4" w:space="0"/>
              <w:right w:val="single" w:color="000000" w:sz="4" w:space="0"/>
            </w:tcBorders>
            <w:noWrap w:val="0"/>
            <w:vAlign w:val="center"/>
          </w:tcPr>
          <w:p w14:paraId="71CA3860">
            <w:pPr>
              <w:keepNext w:val="0"/>
              <w:keepLines w:val="0"/>
              <w:widowControl/>
              <w:suppressLineNumbers w:val="0"/>
              <w:spacing w:line="360" w:lineRule="auto"/>
              <w:jc w:val="center"/>
              <w:rPr>
                <w:rFonts w:hint="eastAsia" w:ascii="宋体" w:hAnsi="宋体" w:eastAsia="宋体" w:cs="宋体"/>
                <w:i w:val="0"/>
                <w:color w:val="auto"/>
                <w:sz w:val="24"/>
                <w:szCs w:val="24"/>
                <w:u w:val="none"/>
              </w:rPr>
            </w:pPr>
          </w:p>
        </w:tc>
      </w:tr>
      <w:tr w14:paraId="2C2F7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trPr>
        <w:tc>
          <w:tcPr>
            <w:tcW w:w="312" w:type="pct"/>
            <w:vMerge w:val="restart"/>
            <w:tcBorders>
              <w:top w:val="single" w:color="auto" w:sz="4" w:space="0"/>
              <w:left w:val="single" w:color="auto" w:sz="4" w:space="0"/>
              <w:right w:val="single" w:color="auto" w:sz="4" w:space="0"/>
            </w:tcBorders>
            <w:noWrap w:val="0"/>
            <w:vAlign w:val="center"/>
          </w:tcPr>
          <w:p w14:paraId="3911D076">
            <w:pPr>
              <w:keepNext w:val="0"/>
              <w:keepLines w:val="0"/>
              <w:widowControl/>
              <w:suppressLineNumbers w:val="0"/>
              <w:spacing w:line="360" w:lineRule="auto"/>
              <w:jc w:val="center"/>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符</w:t>
            </w:r>
          </w:p>
          <w:p w14:paraId="5F5864D5">
            <w:pPr>
              <w:keepNext w:val="0"/>
              <w:keepLines w:val="0"/>
              <w:widowControl/>
              <w:suppressLineNumbers w:val="0"/>
              <w:spacing w:line="360" w:lineRule="auto"/>
              <w:jc w:val="center"/>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合</w:t>
            </w:r>
          </w:p>
          <w:p w14:paraId="03666B2B">
            <w:pPr>
              <w:keepNext w:val="0"/>
              <w:keepLines w:val="0"/>
              <w:widowControl/>
              <w:suppressLineNumbers w:val="0"/>
              <w:spacing w:line="360" w:lineRule="auto"/>
              <w:jc w:val="center"/>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性</w:t>
            </w:r>
          </w:p>
          <w:p w14:paraId="6D32B0B8">
            <w:pPr>
              <w:keepNext w:val="0"/>
              <w:keepLines w:val="0"/>
              <w:widowControl/>
              <w:suppressLineNumbers w:val="0"/>
              <w:spacing w:line="360" w:lineRule="auto"/>
              <w:jc w:val="center"/>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审</w:t>
            </w:r>
          </w:p>
          <w:p w14:paraId="38F55DA6">
            <w:pPr>
              <w:keepNext w:val="0"/>
              <w:keepLines w:val="0"/>
              <w:widowControl/>
              <w:suppressLineNumbers w:val="0"/>
              <w:spacing w:line="360" w:lineRule="auto"/>
              <w:jc w:val="center"/>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查</w:t>
            </w:r>
          </w:p>
          <w:p w14:paraId="523FC17A">
            <w:pPr>
              <w:keepNext w:val="0"/>
              <w:keepLines w:val="0"/>
              <w:widowControl/>
              <w:suppressLineNumbers w:val="0"/>
              <w:spacing w:line="360" w:lineRule="auto"/>
              <w:jc w:val="center"/>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内</w:t>
            </w:r>
          </w:p>
          <w:p w14:paraId="333F6153">
            <w:pPr>
              <w:keepNext w:val="0"/>
              <w:keepLines w:val="0"/>
              <w:widowControl/>
              <w:suppressLineNumbers w:val="0"/>
              <w:spacing w:line="360" w:lineRule="auto"/>
              <w:jc w:val="center"/>
              <w:rPr>
                <w:rFonts w:hint="eastAsia" w:ascii="宋体" w:hAnsi="宋体" w:eastAsia="宋体" w:cs="宋体"/>
                <w:i w:val="0"/>
                <w:color w:val="auto"/>
                <w:sz w:val="24"/>
                <w:szCs w:val="24"/>
                <w:u w:val="none"/>
              </w:rPr>
            </w:pPr>
            <w:r>
              <w:rPr>
                <w:rFonts w:hint="eastAsia" w:ascii="宋体" w:hAnsi="宋体" w:eastAsia="宋体" w:cs="宋体"/>
                <w:b/>
                <w:i w:val="0"/>
                <w:color w:val="auto"/>
                <w:kern w:val="0"/>
                <w:sz w:val="24"/>
                <w:szCs w:val="24"/>
                <w:u w:val="none"/>
                <w:lang w:val="en-US" w:eastAsia="zh-CN" w:bidi="ar"/>
              </w:rPr>
              <w:t>容</w:t>
            </w:r>
          </w:p>
        </w:tc>
        <w:tc>
          <w:tcPr>
            <w:tcW w:w="2699" w:type="pct"/>
            <w:tcBorders>
              <w:top w:val="single" w:color="auto" w:sz="4" w:space="0"/>
              <w:left w:val="single" w:color="auto" w:sz="4" w:space="0"/>
              <w:bottom w:val="single" w:color="auto" w:sz="4" w:space="0"/>
              <w:right w:val="single" w:color="auto" w:sz="4" w:space="0"/>
            </w:tcBorders>
            <w:noWrap w:val="0"/>
            <w:vAlign w:val="center"/>
          </w:tcPr>
          <w:p w14:paraId="65CF4570">
            <w:pPr>
              <w:spacing w:beforeLines="0" w:afterLines="0" w:line="360" w:lineRule="auto"/>
              <w:jc w:val="left"/>
              <w:rPr>
                <w:rFonts w:hint="eastAsia" w:ascii="Arial" w:hAnsi="Arial" w:eastAsia="Arial" w:cs="Arial"/>
                <w:color w:val="auto"/>
                <w:sz w:val="24"/>
                <w:szCs w:val="24"/>
                <w:lang w:val="en-US" w:eastAsia="zh-CN"/>
              </w:rPr>
            </w:pPr>
            <w:r>
              <w:rPr>
                <w:rFonts w:hint="eastAsia" w:ascii="Arial" w:hAnsi="Arial" w:eastAsia="Arial" w:cs="Arial"/>
                <w:color w:val="auto"/>
                <w:sz w:val="24"/>
                <w:szCs w:val="24"/>
                <w:lang w:val="en-US" w:eastAsia="zh-CN"/>
              </w:rPr>
              <w:t>投响应文件未按征集文件要求签署、盖章的</w:t>
            </w:r>
          </w:p>
        </w:tc>
        <w:tc>
          <w:tcPr>
            <w:tcW w:w="483" w:type="pct"/>
            <w:tcBorders>
              <w:top w:val="single" w:color="000000" w:sz="4" w:space="0"/>
              <w:left w:val="single" w:color="auto" w:sz="4" w:space="0"/>
              <w:bottom w:val="single" w:color="000000" w:sz="4" w:space="0"/>
              <w:right w:val="single" w:color="000000" w:sz="4" w:space="0"/>
            </w:tcBorders>
            <w:noWrap w:val="0"/>
            <w:vAlign w:val="center"/>
          </w:tcPr>
          <w:p w14:paraId="42B93903">
            <w:pPr>
              <w:spacing w:line="360" w:lineRule="auto"/>
              <w:jc w:val="center"/>
              <w:rPr>
                <w:rFonts w:hint="eastAsia" w:ascii="宋体" w:hAnsi="宋体" w:eastAsia="宋体" w:cs="宋体"/>
                <w:i w:val="0"/>
                <w:color w:val="auto"/>
                <w:sz w:val="24"/>
                <w:szCs w:val="24"/>
                <w:u w:val="none"/>
              </w:rPr>
            </w:pPr>
          </w:p>
        </w:tc>
        <w:tc>
          <w:tcPr>
            <w:tcW w:w="495" w:type="pct"/>
            <w:tcBorders>
              <w:top w:val="single" w:color="000000" w:sz="4" w:space="0"/>
              <w:left w:val="single" w:color="000000" w:sz="4" w:space="0"/>
              <w:bottom w:val="single" w:color="000000" w:sz="4" w:space="0"/>
              <w:right w:val="single" w:color="000000" w:sz="4" w:space="0"/>
            </w:tcBorders>
            <w:noWrap w:val="0"/>
            <w:vAlign w:val="center"/>
          </w:tcPr>
          <w:p w14:paraId="3E05EB4B">
            <w:pPr>
              <w:spacing w:line="360" w:lineRule="auto"/>
              <w:jc w:val="center"/>
              <w:rPr>
                <w:rFonts w:hint="eastAsia" w:ascii="宋体" w:hAnsi="宋体" w:eastAsia="宋体" w:cs="宋体"/>
                <w:i w:val="0"/>
                <w:color w:val="auto"/>
                <w:sz w:val="24"/>
                <w:szCs w:val="24"/>
                <w:u w:val="none"/>
              </w:rPr>
            </w:pPr>
          </w:p>
        </w:tc>
        <w:tc>
          <w:tcPr>
            <w:tcW w:w="488" w:type="pct"/>
            <w:tcBorders>
              <w:top w:val="single" w:color="000000" w:sz="4" w:space="0"/>
              <w:left w:val="single" w:color="000000" w:sz="4" w:space="0"/>
              <w:bottom w:val="single" w:color="000000" w:sz="4" w:space="0"/>
              <w:right w:val="single" w:color="000000" w:sz="4" w:space="0"/>
            </w:tcBorders>
            <w:noWrap w:val="0"/>
            <w:vAlign w:val="center"/>
          </w:tcPr>
          <w:p w14:paraId="69FDB83E">
            <w:pPr>
              <w:spacing w:line="360" w:lineRule="auto"/>
              <w:jc w:val="center"/>
              <w:rPr>
                <w:rFonts w:hint="eastAsia" w:ascii="宋体" w:hAnsi="宋体" w:eastAsia="宋体" w:cs="宋体"/>
                <w:i w:val="0"/>
                <w:color w:val="auto"/>
                <w:sz w:val="24"/>
                <w:szCs w:val="24"/>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68717384">
            <w:pPr>
              <w:spacing w:line="360" w:lineRule="auto"/>
              <w:jc w:val="center"/>
              <w:rPr>
                <w:rFonts w:hint="eastAsia" w:ascii="宋体" w:hAnsi="宋体" w:eastAsia="宋体" w:cs="宋体"/>
                <w:i w:val="0"/>
                <w:color w:val="auto"/>
                <w:sz w:val="24"/>
                <w:szCs w:val="24"/>
                <w:u w:val="none"/>
              </w:rPr>
            </w:pPr>
          </w:p>
        </w:tc>
      </w:tr>
      <w:tr w14:paraId="78DF4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6" w:hRule="atLeast"/>
        </w:trPr>
        <w:tc>
          <w:tcPr>
            <w:tcW w:w="312" w:type="pct"/>
            <w:vMerge w:val="continue"/>
            <w:tcBorders>
              <w:left w:val="single" w:color="auto" w:sz="4" w:space="0"/>
              <w:right w:val="single" w:color="auto" w:sz="4" w:space="0"/>
            </w:tcBorders>
            <w:noWrap w:val="0"/>
            <w:vAlign w:val="center"/>
          </w:tcPr>
          <w:p w14:paraId="470FBC38">
            <w:pPr>
              <w:keepNext w:val="0"/>
              <w:keepLines w:val="0"/>
              <w:widowControl/>
              <w:suppressLineNumbers w:val="0"/>
              <w:spacing w:line="360" w:lineRule="auto"/>
              <w:jc w:val="center"/>
              <w:rPr>
                <w:rFonts w:hint="eastAsia" w:ascii="宋体" w:hAnsi="宋体" w:eastAsia="宋体" w:cs="宋体"/>
                <w:i w:val="0"/>
                <w:color w:val="auto"/>
                <w:sz w:val="24"/>
                <w:szCs w:val="24"/>
                <w:u w:val="none"/>
              </w:rPr>
            </w:pPr>
          </w:p>
        </w:tc>
        <w:tc>
          <w:tcPr>
            <w:tcW w:w="2699" w:type="pct"/>
            <w:tcBorders>
              <w:top w:val="single" w:color="auto" w:sz="4" w:space="0"/>
              <w:left w:val="single" w:color="auto" w:sz="4" w:space="0"/>
              <w:bottom w:val="single" w:color="auto" w:sz="4" w:space="0"/>
              <w:right w:val="single" w:color="auto" w:sz="4" w:space="0"/>
            </w:tcBorders>
            <w:noWrap w:val="0"/>
            <w:vAlign w:val="center"/>
          </w:tcPr>
          <w:p w14:paraId="50F8D947">
            <w:pPr>
              <w:spacing w:beforeLines="0" w:afterLines="0" w:line="360" w:lineRule="auto"/>
              <w:jc w:val="left"/>
              <w:rPr>
                <w:rFonts w:hint="eastAsia" w:ascii="Arial" w:hAnsi="Arial" w:eastAsia="Arial" w:cs="Arial"/>
                <w:color w:val="auto"/>
                <w:sz w:val="24"/>
                <w:szCs w:val="24"/>
                <w:lang w:val="en-US" w:eastAsia="zh-CN"/>
              </w:rPr>
            </w:pPr>
            <w:r>
              <w:rPr>
                <w:rFonts w:hint="eastAsia" w:ascii="Arial" w:hAnsi="Arial" w:eastAsia="Arial" w:cs="Arial"/>
                <w:color w:val="auto"/>
                <w:sz w:val="24"/>
                <w:szCs w:val="24"/>
                <w:lang w:val="en-US" w:eastAsia="zh-CN"/>
              </w:rPr>
              <w:t>未按照征集文件规定交纳投标保证金的或投标保证金金额不足或投标保函的有效期短于投标有效期的</w:t>
            </w:r>
          </w:p>
        </w:tc>
        <w:tc>
          <w:tcPr>
            <w:tcW w:w="483" w:type="pct"/>
            <w:tcBorders>
              <w:top w:val="single" w:color="000000" w:sz="4" w:space="0"/>
              <w:left w:val="single" w:color="auto" w:sz="4" w:space="0"/>
              <w:bottom w:val="single" w:color="000000" w:sz="4" w:space="0"/>
              <w:right w:val="single" w:color="000000" w:sz="4" w:space="0"/>
            </w:tcBorders>
            <w:noWrap w:val="0"/>
            <w:vAlign w:val="top"/>
          </w:tcPr>
          <w:p w14:paraId="5553191D">
            <w:pPr>
              <w:spacing w:beforeLines="0" w:afterLines="0" w:line="360" w:lineRule="auto"/>
              <w:jc w:val="left"/>
              <w:rPr>
                <w:rFonts w:hint="eastAsia" w:ascii="宋体" w:hAnsi="宋体" w:eastAsia="宋体" w:cs="宋体"/>
                <w:i w:val="0"/>
                <w:color w:val="auto"/>
                <w:sz w:val="24"/>
                <w:szCs w:val="24"/>
                <w:u w:val="none"/>
              </w:rPr>
            </w:pPr>
          </w:p>
        </w:tc>
        <w:tc>
          <w:tcPr>
            <w:tcW w:w="495" w:type="pct"/>
            <w:tcBorders>
              <w:top w:val="single" w:color="000000" w:sz="4" w:space="0"/>
              <w:left w:val="single" w:color="000000" w:sz="4" w:space="0"/>
              <w:bottom w:val="single" w:color="000000" w:sz="4" w:space="0"/>
              <w:right w:val="single" w:color="000000" w:sz="4" w:space="0"/>
            </w:tcBorders>
            <w:noWrap w:val="0"/>
            <w:vAlign w:val="top"/>
          </w:tcPr>
          <w:p w14:paraId="47595FB0">
            <w:pPr>
              <w:spacing w:beforeLines="0" w:afterLines="0" w:line="360" w:lineRule="auto"/>
              <w:jc w:val="left"/>
              <w:rPr>
                <w:rFonts w:hint="eastAsia" w:ascii="宋体" w:hAnsi="宋体" w:eastAsia="宋体" w:cs="宋体"/>
                <w:i w:val="0"/>
                <w:color w:val="auto"/>
                <w:sz w:val="24"/>
                <w:szCs w:val="24"/>
                <w:u w:val="none"/>
              </w:rPr>
            </w:pPr>
          </w:p>
        </w:tc>
        <w:tc>
          <w:tcPr>
            <w:tcW w:w="488" w:type="pct"/>
            <w:tcBorders>
              <w:top w:val="single" w:color="000000" w:sz="4" w:space="0"/>
              <w:left w:val="single" w:color="000000" w:sz="4" w:space="0"/>
              <w:bottom w:val="single" w:color="000000" w:sz="4" w:space="0"/>
              <w:right w:val="single" w:color="000000" w:sz="4" w:space="0"/>
            </w:tcBorders>
            <w:noWrap w:val="0"/>
            <w:vAlign w:val="top"/>
          </w:tcPr>
          <w:p w14:paraId="2B8B490B">
            <w:pPr>
              <w:spacing w:beforeLines="0" w:afterLines="0" w:line="360" w:lineRule="auto"/>
              <w:jc w:val="left"/>
              <w:rPr>
                <w:rFonts w:hint="eastAsia" w:ascii="宋体" w:hAnsi="宋体" w:eastAsia="宋体" w:cs="宋体"/>
                <w:i w:val="0"/>
                <w:color w:val="auto"/>
                <w:sz w:val="24"/>
                <w:szCs w:val="24"/>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top"/>
          </w:tcPr>
          <w:p w14:paraId="435230F9">
            <w:pPr>
              <w:spacing w:beforeLines="0" w:afterLines="0" w:line="360" w:lineRule="auto"/>
              <w:jc w:val="left"/>
              <w:rPr>
                <w:rFonts w:hint="eastAsia" w:ascii="宋体" w:hAnsi="宋体" w:eastAsia="宋体" w:cs="宋体"/>
                <w:i w:val="0"/>
                <w:color w:val="auto"/>
                <w:sz w:val="24"/>
                <w:szCs w:val="24"/>
                <w:u w:val="none"/>
              </w:rPr>
            </w:pPr>
          </w:p>
        </w:tc>
      </w:tr>
      <w:tr w14:paraId="401D9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9" w:hRule="atLeast"/>
        </w:trPr>
        <w:tc>
          <w:tcPr>
            <w:tcW w:w="312" w:type="pct"/>
            <w:vMerge w:val="continue"/>
            <w:tcBorders>
              <w:left w:val="single" w:color="auto" w:sz="4" w:space="0"/>
              <w:right w:val="single" w:color="auto" w:sz="4" w:space="0"/>
            </w:tcBorders>
            <w:noWrap w:val="0"/>
            <w:vAlign w:val="center"/>
          </w:tcPr>
          <w:p w14:paraId="6421B759">
            <w:pPr>
              <w:keepNext w:val="0"/>
              <w:keepLines w:val="0"/>
              <w:widowControl/>
              <w:suppressLineNumbers w:val="0"/>
              <w:spacing w:line="360" w:lineRule="auto"/>
              <w:jc w:val="center"/>
              <w:rPr>
                <w:rFonts w:hint="eastAsia" w:ascii="宋体" w:hAnsi="宋体" w:eastAsia="宋体" w:cs="宋体"/>
                <w:i w:val="0"/>
                <w:color w:val="auto"/>
                <w:sz w:val="24"/>
                <w:szCs w:val="24"/>
                <w:u w:val="none"/>
              </w:rPr>
            </w:pPr>
          </w:p>
        </w:tc>
        <w:tc>
          <w:tcPr>
            <w:tcW w:w="2699" w:type="pct"/>
            <w:tcBorders>
              <w:top w:val="single" w:color="auto" w:sz="4" w:space="0"/>
              <w:left w:val="single" w:color="auto" w:sz="4" w:space="0"/>
              <w:bottom w:val="single" w:color="auto" w:sz="4" w:space="0"/>
              <w:right w:val="single" w:color="auto" w:sz="4" w:space="0"/>
            </w:tcBorders>
            <w:noWrap w:val="0"/>
            <w:vAlign w:val="center"/>
          </w:tcPr>
          <w:p w14:paraId="70D70E80">
            <w:pPr>
              <w:spacing w:beforeLines="0" w:afterLines="0" w:line="360" w:lineRule="auto"/>
              <w:jc w:val="left"/>
              <w:rPr>
                <w:rFonts w:hint="eastAsia" w:ascii="Arial" w:hAnsi="Arial" w:eastAsia="Arial" w:cs="Arial"/>
                <w:color w:val="auto"/>
                <w:sz w:val="24"/>
                <w:szCs w:val="24"/>
                <w:lang w:val="en-US" w:eastAsia="zh-CN"/>
              </w:rPr>
            </w:pPr>
            <w:r>
              <w:rPr>
                <w:rFonts w:hint="eastAsia" w:ascii="Arial" w:hAnsi="Arial" w:eastAsia="Arial" w:cs="Arial"/>
                <w:color w:val="auto"/>
                <w:sz w:val="24"/>
                <w:szCs w:val="24"/>
                <w:lang w:val="en-US" w:eastAsia="zh-CN"/>
              </w:rPr>
              <w:t>不能满足征集文件中任何一条实质性要求或投标内容不符合相关强制性规定的</w:t>
            </w:r>
          </w:p>
        </w:tc>
        <w:tc>
          <w:tcPr>
            <w:tcW w:w="483" w:type="pct"/>
            <w:tcBorders>
              <w:top w:val="single" w:color="000000" w:sz="4" w:space="0"/>
              <w:left w:val="single" w:color="auto" w:sz="4" w:space="0"/>
              <w:bottom w:val="single" w:color="000000" w:sz="4" w:space="0"/>
              <w:right w:val="single" w:color="000000" w:sz="4" w:space="0"/>
            </w:tcBorders>
            <w:noWrap w:val="0"/>
            <w:vAlign w:val="top"/>
          </w:tcPr>
          <w:p w14:paraId="434A8458">
            <w:pPr>
              <w:spacing w:beforeLines="0" w:afterLines="0" w:line="360" w:lineRule="auto"/>
              <w:jc w:val="left"/>
              <w:rPr>
                <w:rFonts w:hint="eastAsia" w:ascii="宋体" w:hAnsi="宋体" w:eastAsia="宋体" w:cs="宋体"/>
                <w:i w:val="0"/>
                <w:color w:val="auto"/>
                <w:sz w:val="24"/>
                <w:szCs w:val="24"/>
                <w:u w:val="none"/>
              </w:rPr>
            </w:pPr>
          </w:p>
        </w:tc>
        <w:tc>
          <w:tcPr>
            <w:tcW w:w="495" w:type="pct"/>
            <w:tcBorders>
              <w:top w:val="single" w:color="000000" w:sz="4" w:space="0"/>
              <w:left w:val="single" w:color="000000" w:sz="4" w:space="0"/>
              <w:bottom w:val="single" w:color="000000" w:sz="4" w:space="0"/>
              <w:right w:val="single" w:color="000000" w:sz="4" w:space="0"/>
            </w:tcBorders>
            <w:noWrap w:val="0"/>
            <w:vAlign w:val="top"/>
          </w:tcPr>
          <w:p w14:paraId="51F92704">
            <w:pPr>
              <w:spacing w:beforeLines="0" w:afterLines="0" w:line="360" w:lineRule="auto"/>
              <w:jc w:val="left"/>
              <w:rPr>
                <w:rFonts w:hint="eastAsia" w:ascii="宋体" w:hAnsi="宋体" w:eastAsia="宋体" w:cs="宋体"/>
                <w:i w:val="0"/>
                <w:color w:val="auto"/>
                <w:sz w:val="24"/>
                <w:szCs w:val="24"/>
                <w:u w:val="none"/>
              </w:rPr>
            </w:pPr>
          </w:p>
        </w:tc>
        <w:tc>
          <w:tcPr>
            <w:tcW w:w="488" w:type="pct"/>
            <w:tcBorders>
              <w:top w:val="single" w:color="000000" w:sz="4" w:space="0"/>
              <w:left w:val="single" w:color="000000" w:sz="4" w:space="0"/>
              <w:bottom w:val="single" w:color="000000" w:sz="4" w:space="0"/>
              <w:right w:val="single" w:color="000000" w:sz="4" w:space="0"/>
            </w:tcBorders>
            <w:noWrap w:val="0"/>
            <w:vAlign w:val="top"/>
          </w:tcPr>
          <w:p w14:paraId="6B2D0168">
            <w:pPr>
              <w:spacing w:beforeLines="0" w:afterLines="0" w:line="360" w:lineRule="auto"/>
              <w:jc w:val="left"/>
              <w:rPr>
                <w:rFonts w:hint="eastAsia" w:ascii="宋体" w:hAnsi="宋体" w:eastAsia="宋体" w:cs="宋体"/>
                <w:i w:val="0"/>
                <w:color w:val="auto"/>
                <w:sz w:val="24"/>
                <w:szCs w:val="24"/>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top"/>
          </w:tcPr>
          <w:p w14:paraId="66A7EBCE">
            <w:pPr>
              <w:spacing w:beforeLines="0" w:afterLines="0" w:line="360" w:lineRule="auto"/>
              <w:jc w:val="left"/>
              <w:rPr>
                <w:rFonts w:hint="eastAsia" w:ascii="宋体" w:hAnsi="宋体" w:eastAsia="宋体" w:cs="宋体"/>
                <w:i w:val="0"/>
                <w:color w:val="auto"/>
                <w:sz w:val="24"/>
                <w:szCs w:val="24"/>
                <w:u w:val="none"/>
              </w:rPr>
            </w:pPr>
          </w:p>
        </w:tc>
      </w:tr>
      <w:tr w14:paraId="3035D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2" w:hRule="atLeast"/>
        </w:trPr>
        <w:tc>
          <w:tcPr>
            <w:tcW w:w="312" w:type="pct"/>
            <w:vMerge w:val="continue"/>
            <w:tcBorders>
              <w:left w:val="single" w:color="auto" w:sz="4" w:space="0"/>
              <w:right w:val="single" w:color="auto" w:sz="4" w:space="0"/>
            </w:tcBorders>
            <w:noWrap w:val="0"/>
            <w:vAlign w:val="center"/>
          </w:tcPr>
          <w:p w14:paraId="7D158D39">
            <w:pPr>
              <w:keepNext w:val="0"/>
              <w:keepLines w:val="0"/>
              <w:widowControl/>
              <w:suppressLineNumbers w:val="0"/>
              <w:spacing w:line="360" w:lineRule="auto"/>
              <w:jc w:val="center"/>
              <w:rPr>
                <w:rFonts w:hint="eastAsia" w:ascii="宋体" w:hAnsi="宋体" w:eastAsia="宋体" w:cs="宋体"/>
                <w:i w:val="0"/>
                <w:color w:val="auto"/>
                <w:kern w:val="0"/>
                <w:sz w:val="24"/>
                <w:szCs w:val="24"/>
                <w:u w:val="none"/>
                <w:lang w:val="en-US" w:eastAsia="zh-CN" w:bidi="ar"/>
              </w:rPr>
            </w:pPr>
          </w:p>
        </w:tc>
        <w:tc>
          <w:tcPr>
            <w:tcW w:w="2699" w:type="pct"/>
            <w:tcBorders>
              <w:top w:val="single" w:color="auto" w:sz="4" w:space="0"/>
              <w:left w:val="single" w:color="auto" w:sz="4" w:space="0"/>
              <w:bottom w:val="single" w:color="auto" w:sz="4" w:space="0"/>
              <w:right w:val="single" w:color="auto" w:sz="4" w:space="0"/>
            </w:tcBorders>
            <w:noWrap w:val="0"/>
            <w:vAlign w:val="center"/>
          </w:tcPr>
          <w:p w14:paraId="7FD555C5">
            <w:pPr>
              <w:spacing w:beforeLines="0" w:afterLines="0" w:line="360" w:lineRule="auto"/>
              <w:jc w:val="left"/>
              <w:rPr>
                <w:rFonts w:hint="eastAsia" w:ascii="Arial" w:hAnsi="Arial" w:eastAsia="Arial" w:cs="Arial"/>
                <w:color w:val="auto"/>
                <w:sz w:val="24"/>
                <w:szCs w:val="24"/>
                <w:lang w:val="en-US" w:eastAsia="zh-CN"/>
              </w:rPr>
            </w:pPr>
            <w:r>
              <w:rPr>
                <w:rFonts w:hint="eastAsia" w:ascii="Arial" w:hAnsi="Arial" w:eastAsia="Arial" w:cs="Arial"/>
                <w:color w:val="auto"/>
                <w:sz w:val="24"/>
                <w:szCs w:val="24"/>
                <w:lang w:val="en-US" w:eastAsia="zh-CN"/>
              </w:rPr>
              <w:t>报价超过征集文件中规定的预算金额或者最高限价的</w:t>
            </w:r>
          </w:p>
        </w:tc>
        <w:tc>
          <w:tcPr>
            <w:tcW w:w="483" w:type="pct"/>
            <w:tcBorders>
              <w:top w:val="single" w:color="000000" w:sz="4" w:space="0"/>
              <w:left w:val="single" w:color="auto" w:sz="4" w:space="0"/>
              <w:bottom w:val="single" w:color="000000" w:sz="4" w:space="0"/>
              <w:right w:val="single" w:color="000000" w:sz="4" w:space="0"/>
            </w:tcBorders>
            <w:noWrap w:val="0"/>
            <w:vAlign w:val="top"/>
          </w:tcPr>
          <w:p w14:paraId="32E61B2B">
            <w:pPr>
              <w:spacing w:beforeLines="0" w:afterLines="0" w:line="360" w:lineRule="auto"/>
              <w:jc w:val="left"/>
              <w:rPr>
                <w:rFonts w:hint="eastAsia" w:ascii="宋体" w:hAnsi="宋体" w:eastAsia="宋体" w:cs="宋体"/>
                <w:color w:val="auto"/>
                <w:sz w:val="24"/>
                <w:szCs w:val="24"/>
              </w:rPr>
            </w:pPr>
          </w:p>
        </w:tc>
        <w:tc>
          <w:tcPr>
            <w:tcW w:w="495" w:type="pct"/>
            <w:tcBorders>
              <w:top w:val="single" w:color="000000" w:sz="4" w:space="0"/>
              <w:left w:val="single" w:color="000000" w:sz="4" w:space="0"/>
              <w:bottom w:val="single" w:color="000000" w:sz="4" w:space="0"/>
              <w:right w:val="single" w:color="000000" w:sz="4" w:space="0"/>
            </w:tcBorders>
            <w:noWrap w:val="0"/>
            <w:vAlign w:val="top"/>
          </w:tcPr>
          <w:p w14:paraId="05FA5E76">
            <w:pPr>
              <w:spacing w:beforeLines="0" w:afterLines="0" w:line="360" w:lineRule="auto"/>
              <w:jc w:val="left"/>
              <w:rPr>
                <w:rFonts w:hint="eastAsia" w:ascii="宋体" w:hAnsi="宋体" w:eastAsia="宋体" w:cs="宋体"/>
                <w:color w:val="auto"/>
                <w:sz w:val="24"/>
                <w:szCs w:val="24"/>
              </w:rPr>
            </w:pPr>
          </w:p>
        </w:tc>
        <w:tc>
          <w:tcPr>
            <w:tcW w:w="488" w:type="pct"/>
            <w:tcBorders>
              <w:top w:val="single" w:color="000000" w:sz="4" w:space="0"/>
              <w:left w:val="single" w:color="000000" w:sz="4" w:space="0"/>
              <w:bottom w:val="single" w:color="000000" w:sz="4" w:space="0"/>
              <w:right w:val="single" w:color="000000" w:sz="4" w:space="0"/>
            </w:tcBorders>
            <w:noWrap w:val="0"/>
            <w:vAlign w:val="top"/>
          </w:tcPr>
          <w:p w14:paraId="7C9172A9">
            <w:pPr>
              <w:spacing w:beforeLines="0" w:afterLines="0" w:line="360" w:lineRule="auto"/>
              <w:jc w:val="left"/>
              <w:rPr>
                <w:rFonts w:hint="eastAsia" w:ascii="宋体" w:hAnsi="宋体" w:eastAsia="宋体" w:cs="宋体"/>
                <w:color w:val="auto"/>
                <w:sz w:val="24"/>
                <w:szCs w:val="24"/>
              </w:rPr>
            </w:pPr>
          </w:p>
        </w:tc>
        <w:tc>
          <w:tcPr>
            <w:tcW w:w="521" w:type="pct"/>
            <w:tcBorders>
              <w:top w:val="single" w:color="000000" w:sz="4" w:space="0"/>
              <w:left w:val="single" w:color="000000" w:sz="4" w:space="0"/>
              <w:bottom w:val="single" w:color="000000" w:sz="4" w:space="0"/>
              <w:right w:val="single" w:color="000000" w:sz="4" w:space="0"/>
            </w:tcBorders>
            <w:noWrap w:val="0"/>
            <w:vAlign w:val="top"/>
          </w:tcPr>
          <w:p w14:paraId="5FB04FAD">
            <w:pPr>
              <w:spacing w:beforeLines="0" w:afterLines="0" w:line="360" w:lineRule="auto"/>
              <w:jc w:val="left"/>
              <w:rPr>
                <w:rFonts w:hint="eastAsia" w:ascii="宋体" w:hAnsi="宋体" w:eastAsia="宋体" w:cs="宋体"/>
                <w:color w:val="auto"/>
                <w:sz w:val="24"/>
                <w:szCs w:val="24"/>
              </w:rPr>
            </w:pPr>
          </w:p>
        </w:tc>
      </w:tr>
      <w:tr w14:paraId="5A920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12" w:type="pct"/>
            <w:vMerge w:val="continue"/>
            <w:tcBorders>
              <w:left w:val="single" w:color="auto" w:sz="4" w:space="0"/>
              <w:right w:val="single" w:color="auto" w:sz="4" w:space="0"/>
            </w:tcBorders>
            <w:noWrap w:val="0"/>
            <w:vAlign w:val="center"/>
          </w:tcPr>
          <w:p w14:paraId="61192AEB">
            <w:pPr>
              <w:keepNext w:val="0"/>
              <w:keepLines w:val="0"/>
              <w:widowControl/>
              <w:suppressLineNumbers w:val="0"/>
              <w:spacing w:line="360" w:lineRule="auto"/>
              <w:jc w:val="center"/>
              <w:rPr>
                <w:rFonts w:hint="eastAsia" w:ascii="宋体" w:hAnsi="宋体" w:eastAsia="宋体" w:cs="宋体"/>
                <w:i w:val="0"/>
                <w:color w:val="auto"/>
                <w:kern w:val="0"/>
                <w:sz w:val="24"/>
                <w:szCs w:val="24"/>
                <w:u w:val="none"/>
                <w:lang w:val="en-US" w:eastAsia="zh-CN" w:bidi="ar"/>
              </w:rPr>
            </w:pPr>
          </w:p>
        </w:tc>
        <w:tc>
          <w:tcPr>
            <w:tcW w:w="2699" w:type="pct"/>
            <w:tcBorders>
              <w:top w:val="single" w:color="auto" w:sz="4" w:space="0"/>
              <w:left w:val="single" w:color="auto" w:sz="4" w:space="0"/>
              <w:bottom w:val="single" w:color="auto" w:sz="4" w:space="0"/>
              <w:right w:val="single" w:color="auto" w:sz="4" w:space="0"/>
            </w:tcBorders>
            <w:noWrap w:val="0"/>
            <w:vAlign w:val="center"/>
          </w:tcPr>
          <w:p w14:paraId="7683CC43">
            <w:pPr>
              <w:spacing w:beforeLines="0" w:afterLines="0" w:line="360" w:lineRule="auto"/>
              <w:jc w:val="left"/>
              <w:rPr>
                <w:rFonts w:hint="eastAsia" w:ascii="Arial" w:hAnsi="Arial" w:eastAsia="Arial" w:cs="Arial"/>
                <w:color w:val="auto"/>
                <w:sz w:val="24"/>
                <w:szCs w:val="24"/>
                <w:lang w:val="en-US" w:eastAsia="zh-CN"/>
              </w:rPr>
            </w:pPr>
            <w:r>
              <w:rPr>
                <w:rFonts w:hint="eastAsia" w:ascii="Arial" w:hAnsi="Arial" w:eastAsia="Arial" w:cs="Arial"/>
                <w:color w:val="auto"/>
                <w:sz w:val="24"/>
                <w:szCs w:val="24"/>
                <w:lang w:val="en-US" w:eastAsia="zh-CN"/>
              </w:rPr>
              <w:t>响应文件含有征集人不能接受的附加条件的</w:t>
            </w:r>
          </w:p>
        </w:tc>
        <w:tc>
          <w:tcPr>
            <w:tcW w:w="483" w:type="pct"/>
            <w:tcBorders>
              <w:top w:val="single" w:color="000000" w:sz="4" w:space="0"/>
              <w:left w:val="single" w:color="auto" w:sz="4" w:space="0"/>
              <w:bottom w:val="single" w:color="000000" w:sz="4" w:space="0"/>
              <w:right w:val="single" w:color="000000" w:sz="4" w:space="0"/>
            </w:tcBorders>
            <w:noWrap w:val="0"/>
            <w:vAlign w:val="top"/>
          </w:tcPr>
          <w:p w14:paraId="14827AE8">
            <w:pPr>
              <w:spacing w:beforeLines="0" w:afterLines="0" w:line="360" w:lineRule="auto"/>
              <w:jc w:val="left"/>
              <w:rPr>
                <w:rFonts w:hint="eastAsia" w:ascii="宋体" w:hAnsi="宋体" w:eastAsia="宋体" w:cs="宋体"/>
                <w:color w:val="auto"/>
                <w:sz w:val="24"/>
                <w:szCs w:val="24"/>
              </w:rPr>
            </w:pPr>
          </w:p>
        </w:tc>
        <w:tc>
          <w:tcPr>
            <w:tcW w:w="495" w:type="pct"/>
            <w:tcBorders>
              <w:top w:val="single" w:color="000000" w:sz="4" w:space="0"/>
              <w:left w:val="single" w:color="000000" w:sz="4" w:space="0"/>
              <w:bottom w:val="single" w:color="000000" w:sz="4" w:space="0"/>
              <w:right w:val="single" w:color="000000" w:sz="4" w:space="0"/>
            </w:tcBorders>
            <w:noWrap w:val="0"/>
            <w:vAlign w:val="top"/>
          </w:tcPr>
          <w:p w14:paraId="60AB6AB7">
            <w:pPr>
              <w:spacing w:beforeLines="0" w:afterLines="0" w:line="360" w:lineRule="auto"/>
              <w:jc w:val="left"/>
              <w:rPr>
                <w:rFonts w:hint="eastAsia" w:ascii="宋体" w:hAnsi="宋体" w:eastAsia="宋体" w:cs="宋体"/>
                <w:color w:val="auto"/>
                <w:sz w:val="24"/>
                <w:szCs w:val="24"/>
              </w:rPr>
            </w:pPr>
          </w:p>
        </w:tc>
        <w:tc>
          <w:tcPr>
            <w:tcW w:w="488" w:type="pct"/>
            <w:tcBorders>
              <w:top w:val="single" w:color="000000" w:sz="4" w:space="0"/>
              <w:left w:val="single" w:color="000000" w:sz="4" w:space="0"/>
              <w:bottom w:val="single" w:color="000000" w:sz="4" w:space="0"/>
              <w:right w:val="single" w:color="000000" w:sz="4" w:space="0"/>
            </w:tcBorders>
            <w:noWrap w:val="0"/>
            <w:vAlign w:val="top"/>
          </w:tcPr>
          <w:p w14:paraId="32F3F4B4">
            <w:pPr>
              <w:spacing w:beforeLines="0" w:afterLines="0" w:line="360" w:lineRule="auto"/>
              <w:jc w:val="left"/>
              <w:rPr>
                <w:rFonts w:hint="eastAsia" w:ascii="宋体" w:hAnsi="宋体" w:eastAsia="宋体" w:cs="宋体"/>
                <w:color w:val="auto"/>
                <w:sz w:val="24"/>
                <w:szCs w:val="24"/>
              </w:rPr>
            </w:pPr>
          </w:p>
        </w:tc>
        <w:tc>
          <w:tcPr>
            <w:tcW w:w="521" w:type="pct"/>
            <w:tcBorders>
              <w:top w:val="single" w:color="000000" w:sz="4" w:space="0"/>
              <w:left w:val="single" w:color="000000" w:sz="4" w:space="0"/>
              <w:bottom w:val="single" w:color="000000" w:sz="4" w:space="0"/>
              <w:right w:val="single" w:color="000000" w:sz="4" w:space="0"/>
            </w:tcBorders>
            <w:noWrap w:val="0"/>
            <w:vAlign w:val="top"/>
          </w:tcPr>
          <w:p w14:paraId="5224B58F">
            <w:pPr>
              <w:spacing w:beforeLines="0" w:afterLines="0" w:line="360" w:lineRule="auto"/>
              <w:jc w:val="left"/>
              <w:rPr>
                <w:rFonts w:hint="eastAsia" w:ascii="宋体" w:hAnsi="宋体" w:eastAsia="宋体" w:cs="宋体"/>
                <w:color w:val="auto"/>
                <w:sz w:val="24"/>
                <w:szCs w:val="24"/>
              </w:rPr>
            </w:pPr>
          </w:p>
        </w:tc>
      </w:tr>
      <w:tr w14:paraId="25902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1" w:hRule="atLeast"/>
        </w:trPr>
        <w:tc>
          <w:tcPr>
            <w:tcW w:w="312" w:type="pct"/>
            <w:vMerge w:val="continue"/>
            <w:tcBorders>
              <w:left w:val="single" w:color="auto" w:sz="4" w:space="0"/>
              <w:right w:val="single" w:color="auto" w:sz="4" w:space="0"/>
            </w:tcBorders>
            <w:noWrap w:val="0"/>
            <w:vAlign w:val="center"/>
          </w:tcPr>
          <w:p w14:paraId="11D0E2AA">
            <w:pPr>
              <w:keepNext w:val="0"/>
              <w:keepLines w:val="0"/>
              <w:widowControl/>
              <w:suppressLineNumbers w:val="0"/>
              <w:spacing w:line="360" w:lineRule="auto"/>
              <w:jc w:val="center"/>
              <w:rPr>
                <w:rFonts w:hint="eastAsia" w:ascii="宋体" w:hAnsi="宋体" w:eastAsia="宋体" w:cs="宋体"/>
                <w:i w:val="0"/>
                <w:color w:val="auto"/>
                <w:kern w:val="0"/>
                <w:sz w:val="24"/>
                <w:szCs w:val="24"/>
                <w:u w:val="none"/>
                <w:lang w:val="en-US" w:eastAsia="zh-CN" w:bidi="ar"/>
              </w:rPr>
            </w:pPr>
          </w:p>
        </w:tc>
        <w:tc>
          <w:tcPr>
            <w:tcW w:w="2699" w:type="pct"/>
            <w:tcBorders>
              <w:top w:val="single" w:color="auto" w:sz="4" w:space="0"/>
              <w:left w:val="single" w:color="auto" w:sz="4" w:space="0"/>
              <w:bottom w:val="single" w:color="auto" w:sz="4" w:space="0"/>
              <w:right w:val="single" w:color="auto" w:sz="4" w:space="0"/>
            </w:tcBorders>
            <w:noWrap w:val="0"/>
            <w:vAlign w:val="center"/>
          </w:tcPr>
          <w:p w14:paraId="66CAE477">
            <w:pPr>
              <w:spacing w:beforeLines="0" w:afterLines="0" w:line="360" w:lineRule="auto"/>
              <w:jc w:val="left"/>
              <w:rPr>
                <w:rFonts w:hint="eastAsia" w:ascii="Arial" w:hAnsi="Arial" w:eastAsia="Arial" w:cs="Arial"/>
                <w:color w:val="auto"/>
                <w:sz w:val="24"/>
                <w:szCs w:val="24"/>
                <w:lang w:val="en-US" w:eastAsia="zh-CN"/>
              </w:rPr>
            </w:pPr>
            <w:r>
              <w:rPr>
                <w:rFonts w:hint="eastAsia" w:ascii="Arial" w:hAnsi="Arial" w:eastAsia="Arial" w:cs="Arial"/>
                <w:color w:val="auto"/>
                <w:sz w:val="24"/>
                <w:szCs w:val="24"/>
                <w:lang w:val="en-US" w:eastAsia="zh-CN"/>
              </w:rPr>
              <w:t>经评审委员会认定，供应商的报价明显低于其他供应商的报价，有可能影响产品质量或者不能诚信履约的，供应商不能证明其报价合理性的</w:t>
            </w:r>
          </w:p>
        </w:tc>
        <w:tc>
          <w:tcPr>
            <w:tcW w:w="483" w:type="pct"/>
            <w:tcBorders>
              <w:top w:val="single" w:color="000000" w:sz="4" w:space="0"/>
              <w:left w:val="single" w:color="auto" w:sz="4" w:space="0"/>
              <w:bottom w:val="single" w:color="000000" w:sz="4" w:space="0"/>
              <w:right w:val="single" w:color="000000" w:sz="4" w:space="0"/>
            </w:tcBorders>
            <w:noWrap w:val="0"/>
            <w:vAlign w:val="top"/>
          </w:tcPr>
          <w:p w14:paraId="380FFC0B">
            <w:pPr>
              <w:spacing w:beforeLines="0" w:afterLines="0" w:line="360" w:lineRule="auto"/>
              <w:jc w:val="left"/>
              <w:rPr>
                <w:rFonts w:hint="eastAsia" w:ascii="宋体" w:hAnsi="宋体" w:eastAsia="宋体" w:cs="宋体"/>
                <w:color w:val="auto"/>
                <w:sz w:val="24"/>
                <w:szCs w:val="24"/>
              </w:rPr>
            </w:pPr>
          </w:p>
        </w:tc>
        <w:tc>
          <w:tcPr>
            <w:tcW w:w="495" w:type="pct"/>
            <w:tcBorders>
              <w:top w:val="single" w:color="000000" w:sz="4" w:space="0"/>
              <w:left w:val="single" w:color="000000" w:sz="4" w:space="0"/>
              <w:bottom w:val="single" w:color="000000" w:sz="4" w:space="0"/>
              <w:right w:val="single" w:color="000000" w:sz="4" w:space="0"/>
            </w:tcBorders>
            <w:noWrap w:val="0"/>
            <w:vAlign w:val="top"/>
          </w:tcPr>
          <w:p w14:paraId="30E32D39">
            <w:pPr>
              <w:spacing w:beforeLines="0" w:afterLines="0" w:line="360" w:lineRule="auto"/>
              <w:jc w:val="left"/>
              <w:rPr>
                <w:rFonts w:hint="eastAsia" w:ascii="宋体" w:hAnsi="宋体" w:eastAsia="宋体" w:cs="宋体"/>
                <w:color w:val="auto"/>
                <w:sz w:val="24"/>
                <w:szCs w:val="24"/>
              </w:rPr>
            </w:pPr>
          </w:p>
        </w:tc>
        <w:tc>
          <w:tcPr>
            <w:tcW w:w="488" w:type="pct"/>
            <w:tcBorders>
              <w:top w:val="single" w:color="000000" w:sz="4" w:space="0"/>
              <w:left w:val="single" w:color="000000" w:sz="4" w:space="0"/>
              <w:bottom w:val="single" w:color="000000" w:sz="4" w:space="0"/>
              <w:right w:val="single" w:color="000000" w:sz="4" w:space="0"/>
            </w:tcBorders>
            <w:noWrap w:val="0"/>
            <w:vAlign w:val="top"/>
          </w:tcPr>
          <w:p w14:paraId="2415F4AF">
            <w:pPr>
              <w:spacing w:beforeLines="0" w:afterLines="0" w:line="360" w:lineRule="auto"/>
              <w:jc w:val="left"/>
              <w:rPr>
                <w:rFonts w:hint="eastAsia" w:ascii="宋体" w:hAnsi="宋体" w:eastAsia="宋体" w:cs="宋体"/>
                <w:color w:val="auto"/>
                <w:sz w:val="24"/>
                <w:szCs w:val="24"/>
              </w:rPr>
            </w:pPr>
          </w:p>
        </w:tc>
        <w:tc>
          <w:tcPr>
            <w:tcW w:w="521" w:type="pct"/>
            <w:tcBorders>
              <w:top w:val="single" w:color="000000" w:sz="4" w:space="0"/>
              <w:left w:val="single" w:color="000000" w:sz="4" w:space="0"/>
              <w:bottom w:val="single" w:color="000000" w:sz="4" w:space="0"/>
              <w:right w:val="single" w:color="000000" w:sz="4" w:space="0"/>
            </w:tcBorders>
            <w:noWrap w:val="0"/>
            <w:vAlign w:val="top"/>
          </w:tcPr>
          <w:p w14:paraId="0844E44A">
            <w:pPr>
              <w:spacing w:beforeLines="0" w:afterLines="0" w:line="360" w:lineRule="auto"/>
              <w:jc w:val="left"/>
              <w:rPr>
                <w:rFonts w:hint="eastAsia" w:ascii="宋体" w:hAnsi="宋体" w:eastAsia="宋体" w:cs="宋体"/>
                <w:color w:val="auto"/>
                <w:sz w:val="24"/>
                <w:szCs w:val="24"/>
              </w:rPr>
            </w:pPr>
          </w:p>
        </w:tc>
      </w:tr>
      <w:tr w14:paraId="0F0E7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312" w:type="pct"/>
            <w:vMerge w:val="continue"/>
            <w:tcBorders>
              <w:left w:val="single" w:color="auto" w:sz="4" w:space="0"/>
              <w:right w:val="single" w:color="auto" w:sz="4" w:space="0"/>
            </w:tcBorders>
            <w:noWrap w:val="0"/>
            <w:vAlign w:val="center"/>
          </w:tcPr>
          <w:p w14:paraId="7B17DEF0">
            <w:pPr>
              <w:keepNext w:val="0"/>
              <w:keepLines w:val="0"/>
              <w:widowControl/>
              <w:suppressLineNumbers w:val="0"/>
              <w:spacing w:line="360" w:lineRule="auto"/>
              <w:jc w:val="center"/>
              <w:rPr>
                <w:rFonts w:hint="eastAsia" w:ascii="宋体" w:hAnsi="宋体" w:eastAsia="宋体" w:cs="宋体"/>
                <w:i w:val="0"/>
                <w:color w:val="auto"/>
                <w:sz w:val="24"/>
                <w:szCs w:val="24"/>
                <w:u w:val="none"/>
              </w:rPr>
            </w:pPr>
          </w:p>
        </w:tc>
        <w:tc>
          <w:tcPr>
            <w:tcW w:w="2699" w:type="pct"/>
            <w:tcBorders>
              <w:top w:val="single" w:color="auto" w:sz="4" w:space="0"/>
              <w:left w:val="single" w:color="auto" w:sz="4" w:space="0"/>
              <w:bottom w:val="single" w:color="auto" w:sz="4" w:space="0"/>
              <w:right w:val="single" w:color="auto" w:sz="4" w:space="0"/>
            </w:tcBorders>
            <w:noWrap w:val="0"/>
            <w:vAlign w:val="center"/>
          </w:tcPr>
          <w:p w14:paraId="768E7BB8">
            <w:pPr>
              <w:spacing w:beforeLines="0" w:afterLines="0" w:line="360" w:lineRule="auto"/>
              <w:jc w:val="left"/>
              <w:rPr>
                <w:rFonts w:hint="eastAsia" w:ascii="Arial" w:hAnsi="Arial" w:eastAsia="Arial" w:cs="Arial"/>
                <w:color w:val="auto"/>
                <w:sz w:val="24"/>
                <w:szCs w:val="24"/>
                <w:lang w:val="en-US" w:eastAsia="zh-CN"/>
              </w:rPr>
            </w:pPr>
            <w:r>
              <w:rPr>
                <w:rFonts w:hint="eastAsia" w:ascii="Arial" w:hAnsi="Arial" w:eastAsia="Arial" w:cs="Arial"/>
                <w:color w:val="auto"/>
                <w:sz w:val="24"/>
                <w:szCs w:val="24"/>
                <w:lang w:val="en-US" w:eastAsia="zh-CN"/>
              </w:rPr>
              <w:t>法律、法规和征集文件规定的其他无效情形</w:t>
            </w:r>
          </w:p>
        </w:tc>
        <w:tc>
          <w:tcPr>
            <w:tcW w:w="483" w:type="pct"/>
            <w:tcBorders>
              <w:top w:val="single" w:color="000000" w:sz="4" w:space="0"/>
              <w:left w:val="single" w:color="auto" w:sz="4" w:space="0"/>
              <w:bottom w:val="single" w:color="000000" w:sz="4" w:space="0"/>
              <w:right w:val="single" w:color="000000" w:sz="4" w:space="0"/>
            </w:tcBorders>
            <w:noWrap w:val="0"/>
            <w:vAlign w:val="top"/>
          </w:tcPr>
          <w:p w14:paraId="78ED9FE2">
            <w:pPr>
              <w:spacing w:beforeLines="0" w:afterLines="0" w:line="360" w:lineRule="auto"/>
              <w:jc w:val="left"/>
              <w:rPr>
                <w:rFonts w:hint="eastAsia" w:ascii="宋体" w:hAnsi="宋体" w:eastAsia="宋体" w:cs="宋体"/>
                <w:i w:val="0"/>
                <w:color w:val="auto"/>
                <w:sz w:val="24"/>
                <w:szCs w:val="24"/>
                <w:u w:val="none"/>
              </w:rPr>
            </w:pPr>
          </w:p>
        </w:tc>
        <w:tc>
          <w:tcPr>
            <w:tcW w:w="495" w:type="pct"/>
            <w:tcBorders>
              <w:top w:val="single" w:color="000000" w:sz="4" w:space="0"/>
              <w:left w:val="single" w:color="000000" w:sz="4" w:space="0"/>
              <w:bottom w:val="single" w:color="000000" w:sz="4" w:space="0"/>
              <w:right w:val="single" w:color="000000" w:sz="4" w:space="0"/>
            </w:tcBorders>
            <w:noWrap w:val="0"/>
            <w:vAlign w:val="top"/>
          </w:tcPr>
          <w:p w14:paraId="26342679">
            <w:pPr>
              <w:spacing w:beforeLines="0" w:afterLines="0" w:line="360" w:lineRule="auto"/>
              <w:jc w:val="left"/>
              <w:rPr>
                <w:rFonts w:hint="eastAsia" w:ascii="宋体" w:hAnsi="宋体" w:eastAsia="宋体" w:cs="宋体"/>
                <w:i w:val="0"/>
                <w:color w:val="auto"/>
                <w:sz w:val="24"/>
                <w:szCs w:val="24"/>
                <w:u w:val="none"/>
              </w:rPr>
            </w:pPr>
          </w:p>
        </w:tc>
        <w:tc>
          <w:tcPr>
            <w:tcW w:w="488" w:type="pct"/>
            <w:tcBorders>
              <w:top w:val="single" w:color="000000" w:sz="4" w:space="0"/>
              <w:left w:val="single" w:color="000000" w:sz="4" w:space="0"/>
              <w:bottom w:val="single" w:color="000000" w:sz="4" w:space="0"/>
              <w:right w:val="single" w:color="000000" w:sz="4" w:space="0"/>
            </w:tcBorders>
            <w:noWrap w:val="0"/>
            <w:vAlign w:val="top"/>
          </w:tcPr>
          <w:p w14:paraId="6E95307B">
            <w:pPr>
              <w:spacing w:beforeLines="0" w:afterLines="0" w:line="360" w:lineRule="auto"/>
              <w:jc w:val="left"/>
              <w:rPr>
                <w:rFonts w:hint="eastAsia" w:ascii="宋体" w:hAnsi="宋体" w:eastAsia="宋体" w:cs="宋体"/>
                <w:i w:val="0"/>
                <w:color w:val="auto"/>
                <w:sz w:val="24"/>
                <w:szCs w:val="24"/>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top"/>
          </w:tcPr>
          <w:p w14:paraId="06949A62">
            <w:pPr>
              <w:spacing w:beforeLines="0" w:afterLines="0" w:line="360" w:lineRule="auto"/>
              <w:jc w:val="left"/>
              <w:rPr>
                <w:rFonts w:hint="eastAsia" w:ascii="宋体" w:hAnsi="宋体" w:eastAsia="宋体" w:cs="宋体"/>
                <w:i w:val="0"/>
                <w:color w:val="auto"/>
                <w:sz w:val="24"/>
                <w:szCs w:val="24"/>
                <w:u w:val="none"/>
              </w:rPr>
            </w:pPr>
          </w:p>
        </w:tc>
      </w:tr>
      <w:tr w14:paraId="70389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9" w:hRule="atLeast"/>
        </w:trPr>
        <w:tc>
          <w:tcPr>
            <w:tcW w:w="312" w:type="pct"/>
            <w:vMerge w:val="continue"/>
            <w:tcBorders>
              <w:left w:val="single" w:color="auto" w:sz="4" w:space="0"/>
              <w:right w:val="single" w:color="auto" w:sz="4" w:space="0"/>
            </w:tcBorders>
            <w:noWrap w:val="0"/>
            <w:vAlign w:val="center"/>
          </w:tcPr>
          <w:p w14:paraId="54087E15">
            <w:pPr>
              <w:spacing w:line="360" w:lineRule="auto"/>
              <w:jc w:val="center"/>
              <w:rPr>
                <w:rFonts w:hint="eastAsia" w:ascii="宋体" w:hAnsi="宋体" w:eastAsia="宋体" w:cs="宋体"/>
                <w:i w:val="0"/>
                <w:color w:val="auto"/>
                <w:sz w:val="24"/>
                <w:szCs w:val="24"/>
                <w:u w:val="none"/>
              </w:rPr>
            </w:pPr>
          </w:p>
        </w:tc>
        <w:tc>
          <w:tcPr>
            <w:tcW w:w="2699" w:type="pct"/>
            <w:tcBorders>
              <w:top w:val="single" w:color="auto" w:sz="4" w:space="0"/>
              <w:left w:val="single" w:color="auto" w:sz="4" w:space="0"/>
              <w:bottom w:val="single" w:color="auto" w:sz="4" w:space="0"/>
              <w:right w:val="single" w:color="auto" w:sz="4" w:space="0"/>
            </w:tcBorders>
            <w:noWrap w:val="0"/>
            <w:vAlign w:val="center"/>
          </w:tcPr>
          <w:p w14:paraId="4D6A3823">
            <w:pPr>
              <w:spacing w:beforeLines="0" w:afterLines="0" w:line="360" w:lineRule="auto"/>
              <w:jc w:val="left"/>
              <w:rPr>
                <w:rFonts w:hint="eastAsia" w:ascii="宋体" w:hAnsi="宋体" w:eastAsia="宋体" w:cs="宋体"/>
                <w:color w:val="auto"/>
                <w:sz w:val="24"/>
                <w:szCs w:val="24"/>
              </w:rPr>
            </w:pPr>
            <w:r>
              <w:rPr>
                <w:rFonts w:hint="eastAsia" w:ascii="宋体" w:hAnsi="宋体" w:eastAsia="宋体" w:cs="宋体"/>
                <w:b/>
                <w:i w:val="0"/>
                <w:color w:val="auto"/>
                <w:kern w:val="0"/>
                <w:sz w:val="24"/>
                <w:szCs w:val="24"/>
                <w:u w:val="none"/>
                <w:lang w:val="en-US" w:eastAsia="zh-CN" w:bidi="ar"/>
              </w:rPr>
              <w:t>结论（“通过” “不通过”）</w:t>
            </w:r>
            <w:r>
              <w:rPr>
                <w:rFonts w:hint="eastAsia" w:ascii="宋体" w:hAnsi="宋体" w:eastAsia="宋体" w:cs="宋体"/>
                <w:b/>
                <w:i w:val="0"/>
                <w:color w:val="auto"/>
                <w:kern w:val="0"/>
                <w:sz w:val="24"/>
                <w:szCs w:val="24"/>
                <w:u w:val="none"/>
                <w:lang w:val="en-US" w:eastAsia="zh-CN" w:bidi="ar"/>
              </w:rPr>
              <w:tab/>
            </w:r>
          </w:p>
        </w:tc>
        <w:tc>
          <w:tcPr>
            <w:tcW w:w="483" w:type="pct"/>
            <w:tcBorders>
              <w:top w:val="single" w:color="000000" w:sz="4" w:space="0"/>
              <w:left w:val="single" w:color="auto" w:sz="4" w:space="0"/>
              <w:bottom w:val="single" w:color="000000" w:sz="4" w:space="0"/>
              <w:right w:val="single" w:color="000000" w:sz="4" w:space="0"/>
            </w:tcBorders>
            <w:noWrap w:val="0"/>
            <w:vAlign w:val="center"/>
          </w:tcPr>
          <w:p w14:paraId="57CAB9DF">
            <w:pPr>
              <w:spacing w:line="360" w:lineRule="auto"/>
              <w:rPr>
                <w:rFonts w:hint="eastAsia" w:ascii="宋体" w:hAnsi="宋体" w:eastAsia="宋体" w:cs="宋体"/>
                <w:i w:val="0"/>
                <w:color w:val="auto"/>
                <w:sz w:val="24"/>
                <w:szCs w:val="24"/>
                <w:u w:val="none"/>
              </w:rPr>
            </w:pPr>
          </w:p>
        </w:tc>
        <w:tc>
          <w:tcPr>
            <w:tcW w:w="495" w:type="pct"/>
            <w:tcBorders>
              <w:top w:val="single" w:color="000000" w:sz="4" w:space="0"/>
              <w:left w:val="single" w:color="000000" w:sz="4" w:space="0"/>
              <w:bottom w:val="single" w:color="000000" w:sz="4" w:space="0"/>
              <w:right w:val="single" w:color="000000" w:sz="4" w:space="0"/>
            </w:tcBorders>
            <w:noWrap w:val="0"/>
            <w:vAlign w:val="center"/>
          </w:tcPr>
          <w:p w14:paraId="5034E1B1">
            <w:pPr>
              <w:spacing w:line="360" w:lineRule="auto"/>
              <w:rPr>
                <w:rFonts w:hint="eastAsia" w:ascii="宋体" w:hAnsi="宋体" w:eastAsia="宋体" w:cs="宋体"/>
                <w:i w:val="0"/>
                <w:color w:val="auto"/>
                <w:sz w:val="24"/>
                <w:szCs w:val="24"/>
                <w:u w:val="none"/>
              </w:rPr>
            </w:pPr>
          </w:p>
        </w:tc>
        <w:tc>
          <w:tcPr>
            <w:tcW w:w="488" w:type="pct"/>
            <w:tcBorders>
              <w:top w:val="single" w:color="000000" w:sz="4" w:space="0"/>
              <w:left w:val="single" w:color="000000" w:sz="4" w:space="0"/>
              <w:bottom w:val="single" w:color="000000" w:sz="4" w:space="0"/>
              <w:right w:val="single" w:color="000000" w:sz="4" w:space="0"/>
            </w:tcBorders>
            <w:noWrap w:val="0"/>
            <w:vAlign w:val="center"/>
          </w:tcPr>
          <w:p w14:paraId="131AC059">
            <w:pPr>
              <w:spacing w:line="360" w:lineRule="auto"/>
              <w:rPr>
                <w:rFonts w:hint="eastAsia" w:ascii="宋体" w:hAnsi="宋体" w:eastAsia="宋体" w:cs="宋体"/>
                <w:i w:val="0"/>
                <w:color w:val="auto"/>
                <w:sz w:val="24"/>
                <w:szCs w:val="24"/>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6D7D6A3C">
            <w:pPr>
              <w:spacing w:line="360" w:lineRule="auto"/>
              <w:rPr>
                <w:rFonts w:hint="eastAsia" w:ascii="宋体" w:hAnsi="宋体" w:eastAsia="宋体" w:cs="宋体"/>
                <w:i w:val="0"/>
                <w:color w:val="auto"/>
                <w:sz w:val="24"/>
                <w:szCs w:val="24"/>
                <w:u w:val="none"/>
              </w:rPr>
            </w:pPr>
          </w:p>
        </w:tc>
      </w:tr>
      <w:tr w14:paraId="15CD7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8" w:hRule="atLeast"/>
        </w:trPr>
        <w:tc>
          <w:tcPr>
            <w:tcW w:w="312" w:type="pct"/>
            <w:vMerge w:val="continue"/>
            <w:tcBorders>
              <w:left w:val="single" w:color="auto" w:sz="4" w:space="0"/>
              <w:bottom w:val="single" w:color="auto" w:sz="4" w:space="0"/>
              <w:right w:val="single" w:color="auto" w:sz="4" w:space="0"/>
            </w:tcBorders>
            <w:noWrap w:val="0"/>
            <w:vAlign w:val="center"/>
          </w:tcPr>
          <w:p w14:paraId="3288A5DB">
            <w:pPr>
              <w:spacing w:line="360" w:lineRule="auto"/>
              <w:jc w:val="center"/>
              <w:rPr>
                <w:rFonts w:hint="eastAsia" w:ascii="宋体" w:hAnsi="宋体" w:eastAsia="宋体" w:cs="宋体"/>
                <w:i w:val="0"/>
                <w:color w:val="auto"/>
                <w:sz w:val="24"/>
                <w:szCs w:val="24"/>
                <w:u w:val="none"/>
              </w:rPr>
            </w:pPr>
          </w:p>
        </w:tc>
        <w:tc>
          <w:tcPr>
            <w:tcW w:w="4687" w:type="pct"/>
            <w:gridSpan w:val="5"/>
            <w:tcBorders>
              <w:top w:val="single" w:color="auto" w:sz="4" w:space="0"/>
              <w:left w:val="single" w:color="auto" w:sz="4" w:space="0"/>
              <w:bottom w:val="single" w:color="auto" w:sz="4" w:space="0"/>
              <w:right w:val="single" w:color="000000" w:sz="4" w:space="0"/>
            </w:tcBorders>
            <w:noWrap w:val="0"/>
            <w:vAlign w:val="center"/>
          </w:tcPr>
          <w:p w14:paraId="54F1A7E3">
            <w:pPr>
              <w:spacing w:line="360" w:lineRule="auto"/>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审核人签字</w:t>
            </w:r>
          </w:p>
        </w:tc>
      </w:tr>
    </w:tbl>
    <w:p w14:paraId="0356BF2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3.1.3澄清有关问题</w:t>
      </w:r>
    </w:p>
    <w:p w14:paraId="191A332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对征集响应文件中含义不明确、同类问题表述不一致或者有明显文字和计算错误的内容，评标委员会可以书面形式要求供应商作出必要的澄清、说明或者纠正。供应商的澄清、说明或者补正应采用书面形式加盖供应商公章或授权委托代理人签字后的扫描件发送采购代理机构指定邮箱（</w:t>
      </w:r>
      <w:r>
        <w:rPr>
          <w:rFonts w:hint="eastAsia" w:ascii="宋体" w:hAnsi="宋体" w:cs="宋体"/>
          <w:color w:val="auto"/>
          <w:kern w:val="0"/>
          <w:sz w:val="24"/>
          <w:szCs w:val="24"/>
          <w:lang w:val="en-US" w:eastAsia="zh-CN" w:bidi="ar-SA"/>
        </w:rPr>
        <w:t>654927562</w:t>
      </w:r>
      <w:r>
        <w:rPr>
          <w:rFonts w:hint="eastAsia" w:ascii="宋体" w:hAnsi="宋体" w:eastAsia="宋体" w:cs="宋体"/>
          <w:color w:val="auto"/>
          <w:kern w:val="0"/>
          <w:sz w:val="24"/>
          <w:szCs w:val="24"/>
          <w:lang w:val="en-US" w:eastAsia="zh-CN" w:bidi="ar-SA"/>
        </w:rPr>
        <w:t xml:space="preserve">@qq.com），并不得超出征集响应文件的范围或者改变征集响应文件的实质性内容。 </w:t>
      </w:r>
    </w:p>
    <w:p w14:paraId="59C5070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征集响应文件报价出现前后不一致的，按照下列规定修正:</w:t>
      </w:r>
    </w:p>
    <w:p w14:paraId="039D409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（1）征集响应文件中开标一览表（报价表）内容与征集响应文件中相应内容不一致的，以开标一览表（报价表）为准；</w:t>
      </w:r>
    </w:p>
    <w:p w14:paraId="3DA329E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（2）征集响应文件的大写金额和小写金额不一致的，以大写金额为准；</w:t>
      </w:r>
    </w:p>
    <w:p w14:paraId="6BFE27A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（3）总价金额与按单价汇总金额不一致的，以单价金额计算结果为准；</w:t>
      </w:r>
    </w:p>
    <w:p w14:paraId="251D12F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（4）单价金额小数点或者百分比有明显错位的，以开标一览表的总价为准，并修改单价；</w:t>
      </w:r>
    </w:p>
    <w:p w14:paraId="3447A55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（5）对不同文字文本磋商响应文件的解释发生异议的，以中文文本为准。</w:t>
      </w:r>
    </w:p>
    <w:p w14:paraId="0A81736F">
      <w:pPr>
        <w:pStyle w:val="12"/>
        <w:spacing w:line="480" w:lineRule="exact"/>
        <w:ind w:left="0" w:leftChars="0" w:firstLine="514" w:firstLineChars="200"/>
        <w:rPr>
          <w:rFonts w:hint="eastAsia" w:ascii="宋体" w:hAnsi="宋体" w:eastAsia="宋体" w:cs="宋体"/>
          <w:b/>
          <w:color w:val="auto"/>
          <w:spacing w:val="8"/>
          <w:sz w:val="24"/>
          <w:lang w:val="en-US" w:eastAsia="zh-CN" w:bidi="ar-SA"/>
        </w:rPr>
      </w:pPr>
      <w:r>
        <w:rPr>
          <w:rFonts w:hint="eastAsia" w:ascii="宋体" w:hAnsi="宋体" w:eastAsia="宋体" w:cs="宋体"/>
          <w:b/>
          <w:color w:val="auto"/>
          <w:spacing w:val="8"/>
          <w:sz w:val="24"/>
          <w:lang w:val="en-US" w:eastAsia="zh-CN" w:bidi="ar-SA"/>
        </w:rPr>
        <w:t>供应商拒不按照要求对征集响应文件进行澄清、说明或者补正的，或者对报价修正不确认的，评标委员会可以否决其投标。</w:t>
      </w:r>
    </w:p>
    <w:p w14:paraId="4AE7865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3.1.4比较与评价</w:t>
      </w:r>
    </w:p>
    <w:p w14:paraId="785F840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按征集文件中规定的评标方法和标准，对资格性检查和符合性检查合格的征集响应文件进行商务和技术等其他因素的评估，综合比较与评价。</w:t>
      </w:r>
    </w:p>
    <w:p w14:paraId="26D5EB8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3.1.5 确定入围供应商</w:t>
      </w:r>
    </w:p>
    <w:p w14:paraId="19E058F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1、根据中华人民共和国财政部令第 110 号《政府采购框架协议采购方式管理暂行办法》，确定第一阶段入围供应商的评审方法为质量优先法，确定第二阶段成交供应商的方式为直接选定。</w:t>
      </w:r>
    </w:p>
    <w:p w14:paraId="1DCA37F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质量优先法是指对满足采购需求且响应报价不超过最高限制单价的货物、服务进行质量综合评分，按照质量评分从高到低排序，根据征集文件规定的淘汰率或者入围供应商数量上限，确定入围供应商的评审方法。</w:t>
      </w:r>
    </w:p>
    <w:p w14:paraId="4DDF8E0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直接选定是指确定第二阶段成交供应商应当由征集人或者服务对象依据入围产品价格、质量以及服务便利性、用户评价等因素，从第一阶段入围供应商中直接选定。</w:t>
      </w:r>
    </w:p>
    <w:p w14:paraId="6F8AD08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2、推荐入围供应商家数时，得分相同的，按技术标优劣排序；技术标得分也相同的，按供应商业绩优劣排序；业绩得分也相同，按供应商企业信誉优劣排序； 供应商企业信誉也相同的；按《政府采购货物和服务招标投标管理办法》（财政部令第 87 号） 第六十八条由评审小组随机抽取的方式确定；</w:t>
      </w:r>
    </w:p>
    <w:p w14:paraId="1F65034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若供应商在“中国裁判文书网”中查询到行贿犯罪记录则不再被评标委员会推荐为入围供应商。</w:t>
      </w:r>
    </w:p>
    <w:p w14:paraId="639372F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3.2评标细则</w:t>
      </w:r>
    </w:p>
    <w:p w14:paraId="0BDC977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3.2.1本项目响应报价执行固定让利，参加投标则视为同意采购需求和合同条款中对造价咨询服务的酬金和计取方式条款的认同，即：</w:t>
      </w:r>
    </w:p>
    <w:p w14:paraId="59BA05B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right="0" w:rightChars="0" w:firstLine="420" w:firstLineChars="0"/>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1、工程类项目预算</w:t>
      </w:r>
      <w:r>
        <w:rPr>
          <w:rFonts w:hint="eastAsia" w:ascii="宋体" w:hAnsi="宋体" w:cs="宋体"/>
          <w:color w:val="auto"/>
          <w:kern w:val="0"/>
          <w:sz w:val="24"/>
          <w:szCs w:val="24"/>
          <w:lang w:val="en-US" w:eastAsia="zh-CN" w:bidi="ar-SA"/>
        </w:rPr>
        <w:t>评审</w:t>
      </w:r>
      <w:r>
        <w:rPr>
          <w:rFonts w:hint="eastAsia" w:ascii="宋体" w:hAnsi="宋体" w:eastAsia="宋体" w:cs="宋体"/>
          <w:color w:val="auto"/>
          <w:kern w:val="0"/>
          <w:sz w:val="24"/>
          <w:szCs w:val="24"/>
          <w:lang w:val="en-US" w:eastAsia="zh-CN" w:bidi="ar-SA"/>
        </w:rPr>
        <w:t>、竣工结算评审项目的委托评审服务费，以审定金额为基准，以新疆计划委员会、自治区建设厅《关于下达新疆维吾尔自治区工程造价咨询服务收费管理规定的通知》（新计价房﹝2002﹞866号）所列示标准的基础上按优惠率40％（即:打6折）确定付费金额。咨询费不足1000元的按1000元确定结算服务费。</w:t>
      </w:r>
    </w:p>
    <w:p w14:paraId="64C4C6E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right="0" w:rightChars="0" w:firstLine="420" w:firstLineChars="0"/>
        <w:textAlignment w:val="baseline"/>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2、</w:t>
      </w:r>
      <w:r>
        <w:rPr>
          <w:rFonts w:hint="eastAsia" w:ascii="宋体" w:hAnsi="宋体" w:eastAsia="宋体" w:cs="宋体"/>
          <w:color w:val="auto"/>
          <w:kern w:val="0"/>
          <w:sz w:val="24"/>
          <w:szCs w:val="24"/>
          <w:lang w:val="en-US" w:eastAsia="zh-CN" w:bidi="ar-SA"/>
        </w:rPr>
        <w:t>工程类项目预算</w:t>
      </w:r>
      <w:r>
        <w:rPr>
          <w:rFonts w:hint="eastAsia" w:ascii="宋体" w:hAnsi="宋体" w:cs="宋体"/>
          <w:color w:val="auto"/>
          <w:kern w:val="0"/>
          <w:sz w:val="24"/>
          <w:szCs w:val="24"/>
          <w:lang w:val="en-US" w:eastAsia="zh-CN" w:bidi="ar-SA"/>
        </w:rPr>
        <w:t>抽审</w:t>
      </w:r>
      <w:r>
        <w:rPr>
          <w:rFonts w:hint="eastAsia" w:ascii="宋体" w:hAnsi="宋体" w:eastAsia="宋体" w:cs="宋体"/>
          <w:color w:val="auto"/>
          <w:kern w:val="0"/>
          <w:sz w:val="24"/>
          <w:szCs w:val="24"/>
          <w:lang w:val="en-US" w:eastAsia="zh-CN" w:bidi="ar-SA"/>
        </w:rPr>
        <w:t>，以审定金额为基准，对于</w:t>
      </w:r>
      <w:r>
        <w:rPr>
          <w:rFonts w:hint="eastAsia" w:ascii="宋体" w:hAnsi="宋体" w:cs="宋体"/>
          <w:color w:val="auto"/>
          <w:kern w:val="0"/>
          <w:sz w:val="24"/>
          <w:szCs w:val="24"/>
          <w:lang w:val="en-US" w:eastAsia="zh-CN" w:bidi="ar-SA"/>
        </w:rPr>
        <w:t>预算抽</w:t>
      </w:r>
      <w:r>
        <w:rPr>
          <w:rFonts w:hint="eastAsia" w:ascii="宋体" w:hAnsi="宋体" w:eastAsia="宋体" w:cs="宋体"/>
          <w:color w:val="auto"/>
          <w:kern w:val="0"/>
          <w:sz w:val="24"/>
          <w:szCs w:val="24"/>
          <w:lang w:val="en-US" w:eastAsia="zh-CN" w:bidi="ar-SA"/>
        </w:rPr>
        <w:t xml:space="preserve">审项目按照五个档（100万元-500万元， 500万元-1000万元，1000万元-5000万元，5000万元-1亿元，1 亿元以上，）进行付费，复审公司只需要出具复审意见，复审意见反馈给初审公司，初审公司对其进行修改完善并出具最终的定案报告。付费标准如下： </w:t>
      </w:r>
    </w:p>
    <w:p w14:paraId="7FF2C5BC">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（一）100 万元-500 万元：   1000 元/项目 </w:t>
      </w:r>
    </w:p>
    <w:p w14:paraId="304161CB">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（二）500 万元-1000 万元：  2000 元/项目 </w:t>
      </w:r>
    </w:p>
    <w:p w14:paraId="5C300F8E">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（三）1000 万元-5000 万元： 3000 元/项目 </w:t>
      </w:r>
    </w:p>
    <w:p w14:paraId="141EB92B">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（四）5000 万元-1 亿元：    4000 元/项目 </w:t>
      </w:r>
    </w:p>
    <w:p w14:paraId="543EA583">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（五）1 亿元以上：          5000 元/项目</w:t>
      </w:r>
    </w:p>
    <w:p w14:paraId="72847C3E">
      <w:pPr>
        <w:numPr>
          <w:ilvl w:val="0"/>
          <w:numId w:val="0"/>
        </w:numPr>
        <w:spacing w:line="480" w:lineRule="exact"/>
        <w:ind w:firstLine="420" w:firstLineChars="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工程类项目竣工结算复审，对于项目单位采用全过程跟踪评审的项目进行竣工结算复审，以审定金额为基准。复审公司只需要出具复审意见，复审意见反馈给初审公司，初审公司对其进行修改完善并出具最终的定案报告。付费标准如下：</w:t>
      </w:r>
    </w:p>
    <w:p w14:paraId="73541729">
      <w:pPr>
        <w:numPr>
          <w:ilvl w:val="0"/>
          <w:numId w:val="0"/>
        </w:num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2000万（含）以上项目：按照审定金额的0.5</w:t>
      </w:r>
      <w:r>
        <w:rPr>
          <w:rFonts w:hint="default" w:ascii="宋体" w:hAnsi="宋体" w:eastAsia="宋体" w:cs="宋体"/>
          <w:color w:val="auto"/>
          <w:kern w:val="0"/>
          <w:sz w:val="24"/>
          <w:szCs w:val="24"/>
          <w:lang w:val="en-US" w:eastAsia="zh-CN" w:bidi="ar-SA"/>
        </w:rPr>
        <w:t>‰</w:t>
      </w:r>
      <w:r>
        <w:rPr>
          <w:rFonts w:hint="eastAsia" w:ascii="宋体" w:hAnsi="宋体" w:eastAsia="宋体" w:cs="宋体"/>
          <w:color w:val="auto"/>
          <w:kern w:val="0"/>
          <w:sz w:val="24"/>
          <w:szCs w:val="24"/>
          <w:lang w:val="en-US" w:eastAsia="zh-CN" w:bidi="ar-SA"/>
        </w:rPr>
        <w:t>为基础费用+核减额的1.5%；</w:t>
      </w:r>
    </w:p>
    <w:p w14:paraId="4557F22D">
      <w:pPr>
        <w:numPr>
          <w:ilvl w:val="0"/>
          <w:numId w:val="0"/>
        </w:numPr>
        <w:spacing w:line="480" w:lineRule="exact"/>
        <w:ind w:firstLine="480" w:firstLineChars="200"/>
        <w:jc w:val="left"/>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2000万以下的项目：按照审定金额的0.5</w:t>
      </w:r>
      <w:r>
        <w:rPr>
          <w:rFonts w:hint="default" w:ascii="宋体" w:hAnsi="宋体" w:eastAsia="宋体" w:cs="宋体"/>
          <w:color w:val="auto"/>
          <w:kern w:val="0"/>
          <w:sz w:val="24"/>
          <w:szCs w:val="24"/>
          <w:lang w:val="en-US" w:eastAsia="zh-CN" w:bidi="ar-SA"/>
        </w:rPr>
        <w:t>‰</w:t>
      </w:r>
      <w:r>
        <w:rPr>
          <w:rFonts w:hint="eastAsia" w:ascii="宋体" w:hAnsi="宋体" w:eastAsia="宋体" w:cs="宋体"/>
          <w:color w:val="auto"/>
          <w:kern w:val="0"/>
          <w:sz w:val="24"/>
          <w:szCs w:val="24"/>
          <w:lang w:val="en-US" w:eastAsia="zh-CN" w:bidi="ar-SA"/>
        </w:rPr>
        <w:t>为基础费用+按照核减额的2%组成计取。</w:t>
      </w:r>
      <w:r>
        <w:rPr>
          <w:rFonts w:hint="eastAsia" w:ascii="宋体" w:hAnsi="宋体" w:eastAsia="宋体" w:cs="宋体"/>
          <w:color w:val="auto"/>
          <w:kern w:val="0"/>
          <w:sz w:val="24"/>
          <w:szCs w:val="24"/>
          <w:lang w:val="en-US" w:eastAsia="zh-CN" w:bidi="ar-SA"/>
        </w:rPr>
        <w:tab/>
      </w:r>
      <w:r>
        <w:rPr>
          <w:rFonts w:hint="eastAsia" w:ascii="宋体" w:hAnsi="宋体" w:eastAsia="宋体" w:cs="宋体"/>
          <w:color w:val="auto"/>
          <w:kern w:val="0"/>
          <w:sz w:val="24"/>
          <w:szCs w:val="24"/>
          <w:lang w:val="en-US" w:eastAsia="zh-CN" w:bidi="ar-SA"/>
        </w:rPr>
        <w:t>4、其它各项咨询服务按照补充协议相关内容执行。</w:t>
      </w:r>
    </w:p>
    <w:p w14:paraId="134E848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rPr>
          <w:rFonts w:hint="eastAsia" w:ascii="宋体" w:hAnsi="宋体" w:eastAsia="宋体" w:cs="宋体"/>
          <w:b/>
          <w:bCs/>
          <w:color w:val="auto"/>
          <w:kern w:val="0"/>
          <w:sz w:val="28"/>
          <w:szCs w:val="28"/>
          <w:lang w:val="en-US" w:eastAsia="zh-CN" w:bidi="ar-SA"/>
        </w:rPr>
      </w:pPr>
      <w:r>
        <w:rPr>
          <w:rFonts w:hint="eastAsia" w:ascii="宋体" w:hAnsi="宋体" w:eastAsia="宋体" w:cs="宋体"/>
          <w:color w:val="auto"/>
          <w:kern w:val="0"/>
          <w:sz w:val="24"/>
          <w:szCs w:val="24"/>
          <w:lang w:val="en-US" w:eastAsia="zh-CN" w:bidi="ar-SA"/>
        </w:rPr>
        <w:t>3.2.3评分标准及因素</w:t>
      </w:r>
    </w:p>
    <w:p w14:paraId="17A54B6B">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center"/>
        <w:rPr>
          <w:rFonts w:hint="default"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评审标准</w:t>
      </w:r>
    </w:p>
    <w:p w14:paraId="3B13E7C1">
      <w:pPr>
        <w:pStyle w:val="14"/>
        <w:rPr>
          <w:rFonts w:hint="eastAsia"/>
          <w:lang w:val="en-US" w:eastAsia="zh-CN"/>
        </w:rPr>
      </w:pPr>
    </w:p>
    <w:tbl>
      <w:tblPr>
        <w:tblStyle w:val="73"/>
        <w:tblW w:w="5013"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12"/>
        <w:gridCol w:w="1025"/>
        <w:gridCol w:w="723"/>
        <w:gridCol w:w="6419"/>
      </w:tblGrid>
      <w:tr w14:paraId="327084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8" w:hRule="atLeast"/>
        </w:trPr>
        <w:tc>
          <w:tcPr>
            <w:tcW w:w="1109" w:type="pct"/>
            <w:gridSpan w:val="2"/>
            <w:noWrap w:val="0"/>
            <w:vAlign w:val="center"/>
          </w:tcPr>
          <w:p w14:paraId="6E2E70F5">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bCs/>
                <w:spacing w:val="-4"/>
                <w:sz w:val="24"/>
                <w:szCs w:val="24"/>
              </w:rPr>
            </w:pPr>
            <w:r>
              <w:rPr>
                <w:rFonts w:hint="eastAsia" w:ascii="宋体" w:hAnsi="宋体" w:eastAsia="宋体" w:cs="宋体"/>
                <w:b/>
                <w:bCs/>
                <w:spacing w:val="-4"/>
                <w:sz w:val="24"/>
                <w:szCs w:val="24"/>
              </w:rPr>
              <w:t>评分项目</w:t>
            </w:r>
          </w:p>
        </w:tc>
        <w:tc>
          <w:tcPr>
            <w:tcW w:w="394" w:type="pct"/>
            <w:noWrap w:val="0"/>
            <w:vAlign w:val="center"/>
          </w:tcPr>
          <w:p w14:paraId="2A4C9D68">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bCs/>
                <w:sz w:val="24"/>
                <w:szCs w:val="24"/>
              </w:rPr>
            </w:pPr>
            <w:r>
              <w:rPr>
                <w:rFonts w:hint="eastAsia" w:ascii="宋体" w:hAnsi="宋体" w:eastAsia="宋体" w:cs="宋体"/>
                <w:b/>
                <w:bCs/>
                <w:spacing w:val="-10"/>
                <w:sz w:val="24"/>
                <w:szCs w:val="24"/>
              </w:rPr>
              <w:t>分数</w:t>
            </w:r>
          </w:p>
        </w:tc>
        <w:tc>
          <w:tcPr>
            <w:tcW w:w="3496" w:type="pct"/>
            <w:noWrap w:val="0"/>
            <w:vAlign w:val="center"/>
          </w:tcPr>
          <w:p w14:paraId="09EA2652">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bCs/>
                <w:sz w:val="24"/>
                <w:szCs w:val="24"/>
              </w:rPr>
            </w:pPr>
            <w:r>
              <w:rPr>
                <w:rFonts w:hint="eastAsia" w:ascii="宋体" w:hAnsi="宋体" w:eastAsia="宋体" w:cs="宋体"/>
                <w:b/>
                <w:bCs/>
                <w:spacing w:val="-4"/>
                <w:sz w:val="24"/>
                <w:szCs w:val="24"/>
              </w:rPr>
              <w:t>评分标准</w:t>
            </w:r>
          </w:p>
        </w:tc>
      </w:tr>
      <w:tr w14:paraId="4F6A66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09" w:type="pct"/>
            <w:gridSpan w:val="2"/>
            <w:noWrap w:val="0"/>
            <w:vAlign w:val="center"/>
          </w:tcPr>
          <w:p w14:paraId="6EC34939">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ascii="宋体" w:hAnsi="宋体" w:eastAsia="宋体" w:cs="宋体"/>
                <w:spacing w:val="-8"/>
                <w:sz w:val="24"/>
                <w:szCs w:val="24"/>
              </w:rPr>
            </w:pPr>
            <w:r>
              <w:rPr>
                <w:rFonts w:hint="eastAsia" w:ascii="宋体" w:hAnsi="宋体" w:eastAsia="宋体" w:cs="宋体"/>
                <w:spacing w:val="-8"/>
                <w:sz w:val="24"/>
                <w:szCs w:val="24"/>
              </w:rPr>
              <w:t>报价</w:t>
            </w:r>
          </w:p>
        </w:tc>
        <w:tc>
          <w:tcPr>
            <w:tcW w:w="394" w:type="pct"/>
            <w:noWrap w:val="0"/>
            <w:vAlign w:val="center"/>
          </w:tcPr>
          <w:p w14:paraId="5455595F">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pacing w:val="-6"/>
                <w:sz w:val="24"/>
                <w:szCs w:val="24"/>
              </w:rPr>
              <w:t>0分</w:t>
            </w:r>
          </w:p>
        </w:tc>
        <w:tc>
          <w:tcPr>
            <w:tcW w:w="3496" w:type="pct"/>
            <w:noWrap w:val="0"/>
            <w:vAlign w:val="center"/>
          </w:tcPr>
          <w:p w14:paraId="4DF3B011">
            <w:pPr>
              <w:keepNext w:val="0"/>
              <w:keepLines w:val="0"/>
              <w:pageBreakBefore w:val="0"/>
              <w:widowControl/>
              <w:kinsoku w:val="0"/>
              <w:wordWrap/>
              <w:overflowPunct/>
              <w:topLinePunct w:val="0"/>
              <w:autoSpaceDE w:val="0"/>
              <w:autoSpaceDN w:val="0"/>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pacing w:val="-1"/>
                <w:sz w:val="24"/>
                <w:szCs w:val="24"/>
              </w:rPr>
              <w:t>本项目执行固定</w:t>
            </w:r>
            <w:r>
              <w:rPr>
                <w:rFonts w:hint="eastAsia" w:ascii="宋体" w:hAnsi="宋体" w:cs="宋体"/>
                <w:spacing w:val="-1"/>
                <w:sz w:val="24"/>
                <w:szCs w:val="24"/>
                <w:lang w:val="en-US" w:eastAsia="zh-CN"/>
              </w:rPr>
              <w:t>优惠率</w:t>
            </w:r>
            <w:r>
              <w:rPr>
                <w:rFonts w:hint="eastAsia" w:ascii="宋体" w:hAnsi="宋体" w:eastAsia="宋体" w:cs="宋体"/>
                <w:spacing w:val="-1"/>
                <w:sz w:val="24"/>
                <w:szCs w:val="24"/>
              </w:rPr>
              <w:t>，价格按征集文件中报价说明执行。</w:t>
            </w:r>
          </w:p>
        </w:tc>
      </w:tr>
      <w:tr w14:paraId="79A7B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3" w:hRule="atLeast"/>
        </w:trPr>
        <w:tc>
          <w:tcPr>
            <w:tcW w:w="551" w:type="pct"/>
            <w:vMerge w:val="restart"/>
            <w:noWrap w:val="0"/>
            <w:vAlign w:val="center"/>
          </w:tcPr>
          <w:p w14:paraId="2F736C1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技术部分</w:t>
            </w:r>
            <w:r>
              <w:rPr>
                <w:rFonts w:hint="eastAsia" w:ascii="宋体" w:hAnsi="宋体" w:cs="宋体"/>
                <w:sz w:val="24"/>
                <w:szCs w:val="24"/>
                <w:lang w:val="en-US" w:eastAsia="zh-CN"/>
              </w:rPr>
              <w:t>63</w:t>
            </w:r>
            <w:r>
              <w:rPr>
                <w:rFonts w:hint="eastAsia" w:ascii="宋体" w:hAnsi="宋体" w:eastAsia="宋体" w:cs="宋体"/>
                <w:sz w:val="24"/>
                <w:szCs w:val="24"/>
              </w:rPr>
              <w:t>分</w:t>
            </w:r>
          </w:p>
        </w:tc>
        <w:tc>
          <w:tcPr>
            <w:tcW w:w="558" w:type="pct"/>
            <w:noWrap w:val="0"/>
            <w:vAlign w:val="center"/>
          </w:tcPr>
          <w:p w14:paraId="08B06CBE">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服务方案</w:t>
            </w:r>
          </w:p>
          <w:p w14:paraId="56F9FA83">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和措施</w:t>
            </w:r>
          </w:p>
        </w:tc>
        <w:tc>
          <w:tcPr>
            <w:tcW w:w="394" w:type="pct"/>
            <w:noWrap w:val="0"/>
            <w:vAlign w:val="center"/>
          </w:tcPr>
          <w:p w14:paraId="2FAE851A">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p w14:paraId="3057147C">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p w14:paraId="59E8B609">
            <w:pPr>
              <w:keepNext w:val="0"/>
              <w:keepLines w:val="0"/>
              <w:pageBreakBefore w:val="0"/>
              <w:widowControl/>
              <w:suppressLineNumbers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w:t>
            </w:r>
            <w:r>
              <w:rPr>
                <w:rFonts w:hint="eastAsia" w:ascii="宋体" w:hAnsi="宋体" w:cs="宋体"/>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分</w:t>
            </w:r>
          </w:p>
          <w:p w14:paraId="168D421F">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rPr>
            </w:pPr>
          </w:p>
          <w:p w14:paraId="1B41DAEB">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3496" w:type="pct"/>
            <w:noWrap w:val="0"/>
            <w:vAlign w:val="center"/>
          </w:tcPr>
          <w:p w14:paraId="4C43BA0A">
            <w:pPr>
              <w:keepNext w:val="0"/>
              <w:keepLines w:val="0"/>
              <w:pageBreakBefore w:val="0"/>
              <w:widowControl/>
              <w:kinsoku w:val="0"/>
              <w:wordWrap/>
              <w:overflowPunct/>
              <w:topLinePunct w:val="0"/>
              <w:autoSpaceDE w:val="0"/>
              <w:autoSpaceDN w:val="0"/>
              <w:bidi w:val="0"/>
              <w:adjustRightInd w:val="0"/>
              <w:snapToGrid w:val="0"/>
              <w:spacing w:line="360"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专家对投标供应商提供的工程造价咨询服务方案和措施进行综合评价；</w:t>
            </w:r>
          </w:p>
          <w:p w14:paraId="740E034E">
            <w:pPr>
              <w:keepNext w:val="0"/>
              <w:keepLines w:val="0"/>
              <w:pageBreakBefore w:val="0"/>
              <w:widowControl/>
              <w:kinsoku w:val="0"/>
              <w:wordWrap/>
              <w:overflowPunct/>
              <w:topLinePunct w:val="0"/>
              <w:autoSpaceDE w:val="0"/>
              <w:autoSpaceDN w:val="0"/>
              <w:bidi w:val="0"/>
              <w:adjustRightInd w:val="0"/>
              <w:snapToGrid w:val="0"/>
              <w:spacing w:line="360"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根据投标人是否提供切实可行的建设项目工程造价咨询服务方案和措施，根据投标供应商的工作程序、工作标准、工作方法、工作内容、工作进度安排等是否完整合理、科学严密，切实可行，规定时间内提交报告且有保障措施，以及是否承诺对提交检查结果的真实性、准确性负责，是否严格执行质量三级复核制度。服务方案详细得</w:t>
            </w:r>
            <w:r>
              <w:rPr>
                <w:rFonts w:hint="eastAsia" w:ascii="宋体" w:hAnsi="宋体" w:cs="宋体"/>
                <w:spacing w:val="-1"/>
                <w:sz w:val="24"/>
                <w:szCs w:val="24"/>
                <w:lang w:val="en-US" w:eastAsia="zh-CN"/>
              </w:rPr>
              <w:t>12</w:t>
            </w:r>
            <w:r>
              <w:rPr>
                <w:rFonts w:hint="eastAsia" w:ascii="宋体" w:hAnsi="宋体" w:eastAsia="宋体" w:cs="宋体"/>
                <w:spacing w:val="-1"/>
                <w:sz w:val="24"/>
                <w:szCs w:val="24"/>
                <w:lang w:val="en-US" w:eastAsia="zh-CN"/>
              </w:rPr>
              <w:t>分；服务方案描述一般得</w:t>
            </w:r>
            <w:r>
              <w:rPr>
                <w:rFonts w:hint="eastAsia" w:ascii="宋体" w:hAnsi="宋体" w:cs="宋体"/>
                <w:spacing w:val="-1"/>
                <w:sz w:val="24"/>
                <w:szCs w:val="24"/>
                <w:lang w:val="en-US" w:eastAsia="zh-CN"/>
              </w:rPr>
              <w:t>8</w:t>
            </w:r>
            <w:r>
              <w:rPr>
                <w:rFonts w:hint="eastAsia" w:ascii="宋体" w:hAnsi="宋体" w:eastAsia="宋体" w:cs="宋体"/>
                <w:spacing w:val="-1"/>
                <w:sz w:val="24"/>
                <w:szCs w:val="24"/>
                <w:lang w:val="en-US" w:eastAsia="zh-CN"/>
              </w:rPr>
              <w:t>分；内容简单或存在部分缺陷的得</w:t>
            </w:r>
            <w:r>
              <w:rPr>
                <w:rFonts w:hint="eastAsia" w:ascii="宋体" w:hAnsi="宋体" w:cs="宋体"/>
                <w:spacing w:val="-1"/>
                <w:sz w:val="24"/>
                <w:szCs w:val="24"/>
                <w:lang w:val="en-US" w:eastAsia="zh-CN"/>
              </w:rPr>
              <w:t>5</w:t>
            </w:r>
            <w:r>
              <w:rPr>
                <w:rFonts w:hint="eastAsia" w:ascii="宋体" w:hAnsi="宋体" w:eastAsia="宋体" w:cs="宋体"/>
                <w:spacing w:val="-1"/>
                <w:sz w:val="24"/>
                <w:szCs w:val="24"/>
                <w:lang w:val="en-US" w:eastAsia="zh-CN"/>
              </w:rPr>
              <w:t>分；缺项不得分。</w:t>
            </w:r>
          </w:p>
        </w:tc>
      </w:tr>
      <w:tr w14:paraId="0662AF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2" w:hRule="atLeast"/>
        </w:trPr>
        <w:tc>
          <w:tcPr>
            <w:tcW w:w="551" w:type="pct"/>
            <w:vMerge w:val="continue"/>
            <w:noWrap w:val="0"/>
            <w:vAlign w:val="center"/>
          </w:tcPr>
          <w:p w14:paraId="1AAF26CA">
            <w:pPr>
              <w:keepNext w:val="0"/>
              <w:keepLines w:val="0"/>
              <w:pageBreakBefore w:val="0"/>
              <w:widowControl/>
              <w:kinsoku w:val="0"/>
              <w:wordWrap/>
              <w:overflowPunct/>
              <w:topLinePunct w:val="0"/>
              <w:autoSpaceDE w:val="0"/>
              <w:autoSpaceDN w:val="0"/>
              <w:bidi w:val="0"/>
              <w:adjustRightInd w:val="0"/>
              <w:snapToGrid w:val="0"/>
              <w:spacing w:line="360" w:lineRule="auto"/>
              <w:rPr>
                <w:rFonts w:hint="eastAsia" w:ascii="宋体" w:hAnsi="宋体" w:eastAsia="宋体" w:cs="宋体"/>
                <w:sz w:val="24"/>
                <w:szCs w:val="24"/>
              </w:rPr>
            </w:pPr>
          </w:p>
        </w:tc>
        <w:tc>
          <w:tcPr>
            <w:tcW w:w="558" w:type="pct"/>
            <w:noWrap w:val="0"/>
            <w:vAlign w:val="center"/>
          </w:tcPr>
          <w:p w14:paraId="3E113056">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服务和进度保障方案和措施</w:t>
            </w:r>
          </w:p>
        </w:tc>
        <w:tc>
          <w:tcPr>
            <w:tcW w:w="394" w:type="pct"/>
            <w:noWrap w:val="0"/>
            <w:vAlign w:val="center"/>
          </w:tcPr>
          <w:p w14:paraId="3FF6FB74">
            <w:pPr>
              <w:keepNext w:val="0"/>
              <w:keepLines w:val="0"/>
              <w:widowControl/>
              <w:suppressLineNumbers w:val="0"/>
              <w:spacing w:line="360" w:lineRule="auto"/>
              <w:jc w:val="center"/>
              <w:rPr>
                <w:rFonts w:hint="eastAsia" w:ascii="宋体" w:hAnsi="宋体" w:eastAsia="宋体" w:cs="宋体"/>
                <w:sz w:val="24"/>
                <w:szCs w:val="24"/>
              </w:rPr>
            </w:pPr>
            <w:r>
              <w:rPr>
                <w:rFonts w:hint="eastAsia" w:ascii="宋体" w:hAnsi="宋体" w:cs="宋体"/>
                <w:color w:val="000000"/>
                <w:kern w:val="0"/>
                <w:sz w:val="24"/>
                <w:szCs w:val="24"/>
                <w:lang w:val="en-US" w:eastAsia="zh-CN" w:bidi="ar"/>
              </w:rPr>
              <w:t>10</w:t>
            </w:r>
            <w:r>
              <w:rPr>
                <w:rFonts w:hint="eastAsia" w:ascii="宋体" w:hAnsi="宋体" w:eastAsia="宋体" w:cs="宋体"/>
                <w:color w:val="000000"/>
                <w:kern w:val="0"/>
                <w:sz w:val="24"/>
                <w:szCs w:val="24"/>
                <w:lang w:val="en-US" w:eastAsia="zh-CN" w:bidi="ar"/>
              </w:rPr>
              <w:t>分</w:t>
            </w:r>
          </w:p>
        </w:tc>
        <w:tc>
          <w:tcPr>
            <w:tcW w:w="3496" w:type="pct"/>
            <w:noWrap w:val="0"/>
            <w:vAlign w:val="center"/>
          </w:tcPr>
          <w:p w14:paraId="1BA4FF86">
            <w:pPr>
              <w:keepNext w:val="0"/>
              <w:keepLines w:val="0"/>
              <w:pageBreakBefore w:val="0"/>
              <w:widowControl/>
              <w:kinsoku w:val="0"/>
              <w:wordWrap/>
              <w:overflowPunct/>
              <w:topLinePunct w:val="0"/>
              <w:autoSpaceDE w:val="0"/>
              <w:autoSpaceDN w:val="0"/>
              <w:bidi w:val="0"/>
              <w:adjustRightInd w:val="0"/>
              <w:snapToGrid w:val="0"/>
              <w:spacing w:line="360"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针对项目团队的固定性，建设项目工程造价咨询服务和进度保障方案和措施</w:t>
            </w:r>
            <w:r>
              <w:rPr>
                <w:rFonts w:hint="eastAsia" w:ascii="宋体" w:hAnsi="宋体" w:cs="宋体"/>
                <w:spacing w:val="-1"/>
                <w:sz w:val="24"/>
                <w:szCs w:val="24"/>
                <w:lang w:val="en-US" w:eastAsia="zh-CN"/>
              </w:rPr>
              <w:t>进行综合评价</w:t>
            </w:r>
            <w:r>
              <w:rPr>
                <w:rFonts w:hint="eastAsia" w:ascii="宋体" w:hAnsi="宋体" w:eastAsia="宋体" w:cs="宋体"/>
                <w:spacing w:val="-1"/>
                <w:sz w:val="24"/>
                <w:szCs w:val="24"/>
                <w:lang w:val="en-US" w:eastAsia="zh-CN"/>
              </w:rPr>
              <w:t>；</w:t>
            </w:r>
          </w:p>
          <w:p w14:paraId="43A9F6B8">
            <w:pPr>
              <w:keepNext w:val="0"/>
              <w:keepLines w:val="0"/>
              <w:pageBreakBefore w:val="0"/>
              <w:widowControl/>
              <w:kinsoku w:val="0"/>
              <w:wordWrap/>
              <w:overflowPunct/>
              <w:topLinePunct w:val="0"/>
              <w:autoSpaceDE w:val="0"/>
              <w:autoSpaceDN w:val="0"/>
              <w:bidi w:val="0"/>
              <w:adjustRightInd w:val="0"/>
              <w:snapToGrid w:val="0"/>
              <w:spacing w:line="360"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响应速度、积极配合程度、出报告的时效性、服务质量、工作纪律方案和措施等方面科学严密，切实可行，得</w:t>
            </w:r>
            <w:r>
              <w:rPr>
                <w:rFonts w:hint="eastAsia" w:ascii="宋体" w:hAnsi="宋体" w:cs="宋体"/>
                <w:spacing w:val="-1"/>
                <w:sz w:val="24"/>
                <w:szCs w:val="24"/>
                <w:lang w:val="en-US" w:eastAsia="zh-CN"/>
              </w:rPr>
              <w:t>10</w:t>
            </w:r>
            <w:r>
              <w:rPr>
                <w:rFonts w:hint="eastAsia" w:ascii="宋体" w:hAnsi="宋体" w:eastAsia="宋体" w:cs="宋体"/>
                <w:spacing w:val="-1"/>
                <w:sz w:val="24"/>
                <w:szCs w:val="24"/>
                <w:lang w:val="en-US" w:eastAsia="zh-CN"/>
              </w:rPr>
              <w:t>分；</w:t>
            </w:r>
          </w:p>
          <w:p w14:paraId="5F1EA6E3">
            <w:pPr>
              <w:keepNext w:val="0"/>
              <w:keepLines w:val="0"/>
              <w:pageBreakBefore w:val="0"/>
              <w:widowControl/>
              <w:kinsoku w:val="0"/>
              <w:wordWrap/>
              <w:overflowPunct/>
              <w:topLinePunct w:val="0"/>
              <w:autoSpaceDE w:val="0"/>
              <w:autoSpaceDN w:val="0"/>
              <w:bidi w:val="0"/>
              <w:adjustRightInd w:val="0"/>
              <w:snapToGrid w:val="0"/>
              <w:spacing w:line="360" w:lineRule="auto"/>
              <w:rPr>
                <w:rFonts w:hint="eastAsia" w:ascii="宋体" w:hAnsi="宋体" w:cs="宋体"/>
                <w:spacing w:val="-1"/>
                <w:sz w:val="24"/>
                <w:szCs w:val="24"/>
                <w:lang w:val="en-US" w:eastAsia="zh-CN"/>
              </w:rPr>
            </w:pPr>
            <w:r>
              <w:rPr>
                <w:rFonts w:hint="eastAsia" w:ascii="宋体" w:hAnsi="宋体" w:eastAsia="宋体" w:cs="宋体"/>
                <w:spacing w:val="-1"/>
                <w:sz w:val="24"/>
                <w:szCs w:val="24"/>
                <w:lang w:val="en-US" w:eastAsia="zh-CN"/>
              </w:rPr>
              <w:t>响应速度、积极配合程度、出报告的时效性、服务质量、工作纪律方案和措施等方面基本可行，还需进一步完善，得</w:t>
            </w:r>
            <w:r>
              <w:rPr>
                <w:rFonts w:hint="eastAsia" w:ascii="宋体" w:hAnsi="宋体" w:cs="宋体"/>
                <w:spacing w:val="-1"/>
                <w:sz w:val="24"/>
                <w:szCs w:val="24"/>
                <w:lang w:val="en-US" w:eastAsia="zh-CN"/>
              </w:rPr>
              <w:t>5</w:t>
            </w:r>
            <w:r>
              <w:rPr>
                <w:rFonts w:hint="eastAsia" w:ascii="宋体" w:hAnsi="宋体" w:eastAsia="宋体" w:cs="宋体"/>
                <w:spacing w:val="-1"/>
                <w:sz w:val="24"/>
                <w:szCs w:val="24"/>
                <w:lang w:val="en-US" w:eastAsia="zh-CN"/>
              </w:rPr>
              <w:t>分</w:t>
            </w:r>
            <w:r>
              <w:rPr>
                <w:rFonts w:hint="eastAsia" w:ascii="宋体" w:hAnsi="宋体" w:cs="宋体"/>
                <w:spacing w:val="-1"/>
                <w:sz w:val="24"/>
                <w:szCs w:val="24"/>
                <w:lang w:val="en-US" w:eastAsia="zh-CN"/>
              </w:rPr>
              <w:t>；</w:t>
            </w:r>
          </w:p>
          <w:p w14:paraId="1A8DA396">
            <w:pPr>
              <w:keepNext w:val="0"/>
              <w:keepLines w:val="0"/>
              <w:pageBreakBefore w:val="0"/>
              <w:widowControl/>
              <w:kinsoku w:val="0"/>
              <w:wordWrap/>
              <w:overflowPunct/>
              <w:topLinePunct w:val="0"/>
              <w:autoSpaceDE w:val="0"/>
              <w:autoSpaceDN w:val="0"/>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pacing w:val="-1"/>
                <w:sz w:val="24"/>
                <w:szCs w:val="24"/>
                <w:lang w:val="en-US" w:eastAsia="zh-CN"/>
              </w:rPr>
              <w:t xml:space="preserve">未提供得 0 分。 </w:t>
            </w:r>
          </w:p>
        </w:tc>
      </w:tr>
      <w:tr w14:paraId="46DB00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6" w:hRule="atLeast"/>
        </w:trPr>
        <w:tc>
          <w:tcPr>
            <w:tcW w:w="551" w:type="pct"/>
            <w:vMerge w:val="continue"/>
            <w:noWrap w:val="0"/>
            <w:vAlign w:val="center"/>
          </w:tcPr>
          <w:p w14:paraId="5A610EBD">
            <w:pPr>
              <w:keepNext w:val="0"/>
              <w:keepLines w:val="0"/>
              <w:pageBreakBefore w:val="0"/>
              <w:widowControl/>
              <w:kinsoku w:val="0"/>
              <w:wordWrap/>
              <w:overflowPunct/>
              <w:topLinePunct w:val="0"/>
              <w:autoSpaceDE w:val="0"/>
              <w:autoSpaceDN w:val="0"/>
              <w:bidi w:val="0"/>
              <w:adjustRightInd w:val="0"/>
              <w:snapToGrid w:val="0"/>
              <w:spacing w:line="360" w:lineRule="auto"/>
              <w:rPr>
                <w:rFonts w:hint="eastAsia" w:ascii="宋体" w:hAnsi="宋体" w:eastAsia="宋体" w:cs="宋体"/>
                <w:sz w:val="24"/>
                <w:szCs w:val="24"/>
              </w:rPr>
            </w:pPr>
          </w:p>
        </w:tc>
        <w:tc>
          <w:tcPr>
            <w:tcW w:w="558" w:type="pct"/>
            <w:noWrap w:val="0"/>
            <w:vAlign w:val="center"/>
          </w:tcPr>
          <w:p w14:paraId="5ACD7D3F">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企业内部</w:t>
            </w:r>
          </w:p>
          <w:p w14:paraId="44E398B5">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管理制度</w:t>
            </w:r>
          </w:p>
        </w:tc>
        <w:tc>
          <w:tcPr>
            <w:tcW w:w="394" w:type="pct"/>
            <w:noWrap w:val="0"/>
            <w:vAlign w:val="center"/>
          </w:tcPr>
          <w:p w14:paraId="7402A3B0">
            <w:pPr>
              <w:keepNext w:val="0"/>
              <w:keepLines w:val="0"/>
              <w:widowControl/>
              <w:suppressLineNumbers w:val="0"/>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8</w:t>
            </w:r>
            <w:r>
              <w:rPr>
                <w:rFonts w:hint="eastAsia" w:ascii="宋体" w:hAnsi="宋体" w:eastAsia="宋体" w:cs="宋体"/>
                <w:color w:val="000000"/>
                <w:kern w:val="0"/>
                <w:sz w:val="24"/>
                <w:szCs w:val="24"/>
                <w:lang w:val="en-US" w:eastAsia="zh-CN" w:bidi="ar"/>
              </w:rPr>
              <w:t>分</w:t>
            </w:r>
          </w:p>
        </w:tc>
        <w:tc>
          <w:tcPr>
            <w:tcW w:w="3496" w:type="pct"/>
            <w:noWrap w:val="0"/>
            <w:vAlign w:val="center"/>
          </w:tcPr>
          <w:p w14:paraId="73D693DB">
            <w:pPr>
              <w:keepNext w:val="0"/>
              <w:keepLines w:val="0"/>
              <w:pageBreakBefore w:val="0"/>
              <w:widowControl/>
              <w:kinsoku w:val="0"/>
              <w:wordWrap/>
              <w:overflowPunct/>
              <w:topLinePunct w:val="0"/>
              <w:autoSpaceDE w:val="0"/>
              <w:autoSpaceDN w:val="0"/>
              <w:bidi w:val="0"/>
              <w:adjustRightInd w:val="0"/>
              <w:snapToGrid w:val="0"/>
              <w:spacing w:line="360"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专家对投标供应商提供的企业内部管理制度等进行综合评价；</w:t>
            </w:r>
          </w:p>
          <w:p w14:paraId="3C03843E">
            <w:pPr>
              <w:keepNext w:val="0"/>
              <w:keepLines w:val="0"/>
              <w:pageBreakBefore w:val="0"/>
              <w:widowControl/>
              <w:kinsoku w:val="0"/>
              <w:wordWrap/>
              <w:overflowPunct/>
              <w:topLinePunct w:val="0"/>
              <w:autoSpaceDE w:val="0"/>
              <w:autoSpaceDN w:val="0"/>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pacing w:val="-1"/>
                <w:sz w:val="24"/>
                <w:szCs w:val="24"/>
                <w:lang w:val="en-US" w:eastAsia="zh-CN"/>
              </w:rPr>
              <w:t>企业内部管理制度 ：职业道德规范制度 、执业质量控制制度 、职业培训制度 、人员考核制度、财务管理制度，完善、合理、针对性强，得</w:t>
            </w:r>
            <w:r>
              <w:rPr>
                <w:rFonts w:hint="eastAsia" w:ascii="宋体" w:hAnsi="宋体" w:cs="宋体"/>
                <w:spacing w:val="-1"/>
                <w:sz w:val="24"/>
                <w:szCs w:val="24"/>
                <w:lang w:val="en-US" w:eastAsia="zh-CN"/>
              </w:rPr>
              <w:t>8</w:t>
            </w:r>
            <w:r>
              <w:rPr>
                <w:rFonts w:hint="eastAsia" w:ascii="宋体" w:hAnsi="宋体" w:eastAsia="宋体" w:cs="宋体"/>
                <w:spacing w:val="-1"/>
                <w:sz w:val="24"/>
                <w:szCs w:val="24"/>
                <w:lang w:val="en-US" w:eastAsia="zh-CN"/>
              </w:rPr>
              <w:t>分；企业内部管理制度基本合理，有针对性，得</w:t>
            </w:r>
            <w:r>
              <w:rPr>
                <w:rFonts w:hint="eastAsia" w:ascii="宋体" w:hAnsi="宋体" w:cs="宋体"/>
                <w:spacing w:val="-1"/>
                <w:sz w:val="24"/>
                <w:szCs w:val="24"/>
                <w:lang w:val="en-US" w:eastAsia="zh-CN"/>
              </w:rPr>
              <w:t>5</w:t>
            </w:r>
            <w:r>
              <w:rPr>
                <w:rFonts w:hint="eastAsia" w:ascii="宋体" w:hAnsi="宋体" w:eastAsia="宋体" w:cs="宋体"/>
                <w:spacing w:val="-1"/>
                <w:sz w:val="24"/>
                <w:szCs w:val="24"/>
                <w:lang w:val="en-US" w:eastAsia="zh-CN"/>
              </w:rPr>
              <w:t>分；企业内部管理制度方案不完善，没有针对性，存在缺陷，得3分。</w:t>
            </w:r>
          </w:p>
        </w:tc>
      </w:tr>
      <w:tr w14:paraId="57F65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551" w:type="pct"/>
            <w:vMerge w:val="continue"/>
            <w:noWrap w:val="0"/>
            <w:vAlign w:val="center"/>
          </w:tcPr>
          <w:p w14:paraId="01C12DC4">
            <w:pPr>
              <w:keepNext w:val="0"/>
              <w:keepLines w:val="0"/>
              <w:pageBreakBefore w:val="0"/>
              <w:widowControl/>
              <w:kinsoku w:val="0"/>
              <w:wordWrap/>
              <w:overflowPunct/>
              <w:topLinePunct w:val="0"/>
              <w:autoSpaceDE w:val="0"/>
              <w:autoSpaceDN w:val="0"/>
              <w:bidi w:val="0"/>
              <w:adjustRightInd w:val="0"/>
              <w:snapToGrid w:val="0"/>
              <w:spacing w:line="360" w:lineRule="auto"/>
              <w:rPr>
                <w:rFonts w:hint="eastAsia" w:ascii="宋体" w:hAnsi="宋体" w:eastAsia="宋体" w:cs="宋体"/>
                <w:sz w:val="24"/>
                <w:szCs w:val="24"/>
              </w:rPr>
            </w:pPr>
          </w:p>
        </w:tc>
        <w:tc>
          <w:tcPr>
            <w:tcW w:w="558" w:type="pct"/>
            <w:noWrap w:val="0"/>
            <w:vAlign w:val="center"/>
          </w:tcPr>
          <w:p w14:paraId="160297B5">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风险和质量控制方案和措施</w:t>
            </w:r>
          </w:p>
        </w:tc>
        <w:tc>
          <w:tcPr>
            <w:tcW w:w="394" w:type="pct"/>
            <w:noWrap w:val="0"/>
            <w:vAlign w:val="center"/>
          </w:tcPr>
          <w:p w14:paraId="061A05D8">
            <w:pPr>
              <w:keepNext w:val="0"/>
              <w:keepLines w:val="0"/>
              <w:widowControl/>
              <w:suppressLineNumbers w:val="0"/>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r>
              <w:rPr>
                <w:rFonts w:hint="eastAsia" w:ascii="宋体" w:hAnsi="宋体" w:cs="宋体"/>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分</w:t>
            </w:r>
          </w:p>
        </w:tc>
        <w:tc>
          <w:tcPr>
            <w:tcW w:w="3496" w:type="pct"/>
            <w:noWrap w:val="0"/>
            <w:vAlign w:val="center"/>
          </w:tcPr>
          <w:p w14:paraId="7BBF3022">
            <w:pPr>
              <w:keepNext w:val="0"/>
              <w:keepLines w:val="0"/>
              <w:pageBreakBefore w:val="0"/>
              <w:widowControl/>
              <w:kinsoku w:val="0"/>
              <w:wordWrap/>
              <w:overflowPunct/>
              <w:topLinePunct w:val="0"/>
              <w:autoSpaceDE w:val="0"/>
              <w:autoSpaceDN w:val="0"/>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pacing w:val="-1"/>
                <w:sz w:val="24"/>
                <w:szCs w:val="24"/>
                <w:lang w:val="en-US" w:eastAsia="zh-CN"/>
              </w:rPr>
              <w:t>专家对投标供应商提供的工程造价咨询的风险分析、应对措施和质量控制的方案和措施等进行综合评价，控制方法科学、应对措施有效得</w:t>
            </w:r>
            <w:r>
              <w:rPr>
                <w:rFonts w:hint="eastAsia" w:ascii="宋体" w:hAnsi="宋体" w:cs="宋体"/>
                <w:spacing w:val="-1"/>
                <w:sz w:val="24"/>
                <w:szCs w:val="24"/>
                <w:lang w:val="en-US" w:eastAsia="zh-CN"/>
              </w:rPr>
              <w:t>15</w:t>
            </w:r>
            <w:r>
              <w:rPr>
                <w:rFonts w:hint="eastAsia" w:ascii="宋体" w:hAnsi="宋体" w:eastAsia="宋体" w:cs="宋体"/>
                <w:spacing w:val="-1"/>
                <w:sz w:val="24"/>
                <w:szCs w:val="24"/>
                <w:lang w:val="en-US" w:eastAsia="zh-CN"/>
              </w:rPr>
              <w:t>分；控制方法较为科学、应对措施较为有效得</w:t>
            </w:r>
            <w:r>
              <w:rPr>
                <w:rFonts w:hint="eastAsia" w:ascii="宋体" w:hAnsi="宋体" w:cs="宋体"/>
                <w:spacing w:val="-1"/>
                <w:sz w:val="24"/>
                <w:szCs w:val="24"/>
                <w:lang w:val="en-US" w:eastAsia="zh-CN"/>
              </w:rPr>
              <w:t>10</w:t>
            </w:r>
            <w:r>
              <w:rPr>
                <w:rFonts w:hint="eastAsia" w:ascii="宋体" w:hAnsi="宋体" w:eastAsia="宋体" w:cs="宋体"/>
                <w:spacing w:val="-1"/>
                <w:sz w:val="24"/>
                <w:szCs w:val="24"/>
                <w:lang w:val="en-US" w:eastAsia="zh-CN"/>
              </w:rPr>
              <w:t>分；控制方法、应对措施一般得</w:t>
            </w:r>
            <w:r>
              <w:rPr>
                <w:rFonts w:hint="eastAsia" w:ascii="宋体" w:hAnsi="宋体" w:cs="宋体"/>
                <w:spacing w:val="-1"/>
                <w:sz w:val="24"/>
                <w:szCs w:val="24"/>
                <w:lang w:val="en-US" w:eastAsia="zh-CN"/>
              </w:rPr>
              <w:t>5</w:t>
            </w:r>
            <w:r>
              <w:rPr>
                <w:rFonts w:hint="eastAsia" w:ascii="宋体" w:hAnsi="宋体" w:eastAsia="宋体" w:cs="宋体"/>
                <w:spacing w:val="-1"/>
                <w:sz w:val="24"/>
                <w:szCs w:val="24"/>
                <w:lang w:val="en-US" w:eastAsia="zh-CN"/>
              </w:rPr>
              <w:t>分；</w:t>
            </w:r>
          </w:p>
        </w:tc>
      </w:tr>
      <w:tr w14:paraId="546B2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5" w:hRule="atLeast"/>
        </w:trPr>
        <w:tc>
          <w:tcPr>
            <w:tcW w:w="551" w:type="pct"/>
            <w:vMerge w:val="continue"/>
            <w:noWrap w:val="0"/>
            <w:vAlign w:val="center"/>
          </w:tcPr>
          <w:p w14:paraId="30A815C9">
            <w:pPr>
              <w:keepNext w:val="0"/>
              <w:keepLines w:val="0"/>
              <w:pageBreakBefore w:val="0"/>
              <w:widowControl/>
              <w:kinsoku w:val="0"/>
              <w:wordWrap/>
              <w:overflowPunct/>
              <w:topLinePunct w:val="0"/>
              <w:autoSpaceDE w:val="0"/>
              <w:autoSpaceDN w:val="0"/>
              <w:bidi w:val="0"/>
              <w:adjustRightInd w:val="0"/>
              <w:snapToGrid w:val="0"/>
              <w:spacing w:line="360" w:lineRule="auto"/>
              <w:rPr>
                <w:rFonts w:hint="eastAsia" w:ascii="宋体" w:hAnsi="宋体" w:eastAsia="宋体" w:cs="宋体"/>
                <w:sz w:val="24"/>
                <w:szCs w:val="24"/>
              </w:rPr>
            </w:pPr>
          </w:p>
        </w:tc>
        <w:tc>
          <w:tcPr>
            <w:tcW w:w="558" w:type="pct"/>
            <w:noWrap w:val="0"/>
            <w:vAlign w:val="center"/>
          </w:tcPr>
          <w:p w14:paraId="10CB83C5">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保密方案和措施及廉政承诺</w:t>
            </w:r>
          </w:p>
        </w:tc>
        <w:tc>
          <w:tcPr>
            <w:tcW w:w="394" w:type="pct"/>
            <w:noWrap w:val="0"/>
            <w:vAlign w:val="center"/>
          </w:tcPr>
          <w:p w14:paraId="03EE4460">
            <w:pPr>
              <w:keepNext w:val="0"/>
              <w:keepLines w:val="0"/>
              <w:widowControl/>
              <w:suppressLineNumbers w:val="0"/>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6</w:t>
            </w:r>
            <w:r>
              <w:rPr>
                <w:rFonts w:hint="eastAsia" w:ascii="宋体" w:hAnsi="宋体" w:eastAsia="宋体" w:cs="宋体"/>
                <w:color w:val="000000"/>
                <w:kern w:val="0"/>
                <w:sz w:val="24"/>
                <w:szCs w:val="24"/>
                <w:lang w:val="en-US" w:eastAsia="zh-CN" w:bidi="ar"/>
              </w:rPr>
              <w:t>分</w:t>
            </w:r>
          </w:p>
        </w:tc>
        <w:tc>
          <w:tcPr>
            <w:tcW w:w="3496" w:type="pct"/>
            <w:noWrap w:val="0"/>
            <w:vAlign w:val="center"/>
          </w:tcPr>
          <w:p w14:paraId="2C5AA459">
            <w:pPr>
              <w:keepNext w:val="0"/>
              <w:keepLines w:val="0"/>
              <w:pageBreakBefore w:val="0"/>
              <w:widowControl/>
              <w:kinsoku w:val="0"/>
              <w:wordWrap/>
              <w:overflowPunct/>
              <w:topLinePunct w:val="0"/>
              <w:autoSpaceDE w:val="0"/>
              <w:autoSpaceDN w:val="0"/>
              <w:bidi w:val="0"/>
              <w:adjustRightInd w:val="0"/>
              <w:snapToGrid w:val="0"/>
              <w:spacing w:line="360"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专家对投标供应商提供的保密方案和措施及廉政承诺等进行综合评价；</w:t>
            </w:r>
          </w:p>
          <w:p w14:paraId="5106D117">
            <w:pPr>
              <w:keepNext w:val="0"/>
              <w:keepLines w:val="0"/>
              <w:pageBreakBefore w:val="0"/>
              <w:widowControl/>
              <w:kinsoku w:val="0"/>
              <w:wordWrap/>
              <w:overflowPunct/>
              <w:topLinePunct w:val="0"/>
              <w:autoSpaceDE w:val="0"/>
              <w:autoSpaceDN w:val="0"/>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pacing w:val="-1"/>
                <w:sz w:val="24"/>
                <w:szCs w:val="24"/>
                <w:lang w:val="en-US" w:eastAsia="zh-CN"/>
              </w:rPr>
              <w:t>投标供应商保密措施、廉政承诺等，考虑周全且可行得</w:t>
            </w:r>
            <w:r>
              <w:rPr>
                <w:rFonts w:hint="eastAsia" w:ascii="宋体" w:hAnsi="宋体" w:cs="宋体"/>
                <w:spacing w:val="-1"/>
                <w:sz w:val="24"/>
                <w:szCs w:val="24"/>
                <w:lang w:val="en-US" w:eastAsia="zh-CN"/>
              </w:rPr>
              <w:t>6</w:t>
            </w:r>
            <w:r>
              <w:rPr>
                <w:rFonts w:hint="eastAsia" w:ascii="宋体" w:hAnsi="宋体" w:eastAsia="宋体" w:cs="宋体"/>
                <w:spacing w:val="-1"/>
                <w:sz w:val="24"/>
                <w:szCs w:val="24"/>
                <w:lang w:val="en-US" w:eastAsia="zh-CN"/>
              </w:rPr>
              <w:t>分；投标供应商保密措施、廉政承诺等，考虑周全较为可行得</w:t>
            </w:r>
            <w:r>
              <w:rPr>
                <w:rFonts w:hint="eastAsia" w:ascii="宋体" w:hAnsi="宋体" w:cs="宋体"/>
                <w:spacing w:val="-1"/>
                <w:sz w:val="24"/>
                <w:szCs w:val="24"/>
                <w:lang w:val="en-US" w:eastAsia="zh-CN"/>
              </w:rPr>
              <w:t>4</w:t>
            </w:r>
            <w:r>
              <w:rPr>
                <w:rFonts w:hint="eastAsia" w:ascii="宋体" w:hAnsi="宋体" w:eastAsia="宋体" w:cs="宋体"/>
                <w:spacing w:val="-1"/>
                <w:sz w:val="24"/>
                <w:szCs w:val="24"/>
                <w:lang w:val="en-US" w:eastAsia="zh-CN"/>
              </w:rPr>
              <w:t>分；投标供应商保密措施、廉政承诺等，考虑一般得</w:t>
            </w:r>
            <w:r>
              <w:rPr>
                <w:rFonts w:hint="eastAsia" w:ascii="宋体" w:hAnsi="宋体" w:cs="宋体"/>
                <w:spacing w:val="-1"/>
                <w:sz w:val="24"/>
                <w:szCs w:val="24"/>
                <w:lang w:val="en-US" w:eastAsia="zh-CN"/>
              </w:rPr>
              <w:t>2</w:t>
            </w:r>
            <w:r>
              <w:rPr>
                <w:rFonts w:hint="eastAsia" w:ascii="宋体" w:hAnsi="宋体" w:eastAsia="宋体" w:cs="宋体"/>
                <w:spacing w:val="-1"/>
                <w:sz w:val="24"/>
                <w:szCs w:val="24"/>
                <w:lang w:val="en-US" w:eastAsia="zh-CN"/>
              </w:rPr>
              <w:t>分；</w:t>
            </w:r>
          </w:p>
        </w:tc>
      </w:tr>
      <w:tr w14:paraId="78EF1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1" w:hRule="atLeast"/>
        </w:trPr>
        <w:tc>
          <w:tcPr>
            <w:tcW w:w="551" w:type="pct"/>
            <w:vMerge w:val="continue"/>
            <w:noWrap w:val="0"/>
            <w:vAlign w:val="center"/>
          </w:tcPr>
          <w:p w14:paraId="2F804DCD">
            <w:pPr>
              <w:keepNext w:val="0"/>
              <w:keepLines w:val="0"/>
              <w:pageBreakBefore w:val="0"/>
              <w:widowControl/>
              <w:kinsoku w:val="0"/>
              <w:wordWrap/>
              <w:overflowPunct/>
              <w:topLinePunct w:val="0"/>
              <w:autoSpaceDE w:val="0"/>
              <w:autoSpaceDN w:val="0"/>
              <w:bidi w:val="0"/>
              <w:adjustRightInd w:val="0"/>
              <w:snapToGrid w:val="0"/>
              <w:spacing w:line="360" w:lineRule="auto"/>
              <w:rPr>
                <w:rFonts w:hint="eastAsia" w:ascii="宋体" w:hAnsi="宋体" w:eastAsia="宋体" w:cs="宋体"/>
                <w:sz w:val="24"/>
                <w:szCs w:val="24"/>
              </w:rPr>
            </w:pPr>
          </w:p>
        </w:tc>
        <w:tc>
          <w:tcPr>
            <w:tcW w:w="558" w:type="pct"/>
            <w:noWrap w:val="0"/>
            <w:vAlign w:val="center"/>
          </w:tcPr>
          <w:p w14:paraId="3A39EC7B">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合理化</w:t>
            </w:r>
          </w:p>
          <w:p w14:paraId="038F61A8">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建议</w:t>
            </w:r>
          </w:p>
        </w:tc>
        <w:tc>
          <w:tcPr>
            <w:tcW w:w="394" w:type="pct"/>
            <w:noWrap w:val="0"/>
            <w:vAlign w:val="center"/>
          </w:tcPr>
          <w:p w14:paraId="00F055CE">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6分</w:t>
            </w:r>
          </w:p>
        </w:tc>
        <w:tc>
          <w:tcPr>
            <w:tcW w:w="3496" w:type="pct"/>
            <w:noWrap w:val="0"/>
            <w:vAlign w:val="center"/>
          </w:tcPr>
          <w:p w14:paraId="36A73B6E">
            <w:pPr>
              <w:keepNext w:val="0"/>
              <w:keepLines w:val="0"/>
              <w:pageBreakBefore w:val="0"/>
              <w:widowControl/>
              <w:kinsoku w:val="0"/>
              <w:wordWrap/>
              <w:overflowPunct/>
              <w:topLinePunct w:val="0"/>
              <w:autoSpaceDE w:val="0"/>
              <w:autoSpaceDN w:val="0"/>
              <w:bidi w:val="0"/>
              <w:adjustRightInd w:val="0"/>
              <w:snapToGrid w:val="0"/>
              <w:spacing w:line="360" w:lineRule="auto"/>
              <w:jc w:val="both"/>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专家对投标供应商提供的合理化建议等进行综合评价；</w:t>
            </w:r>
          </w:p>
          <w:p w14:paraId="144B76B1">
            <w:pPr>
              <w:keepNext w:val="0"/>
              <w:keepLines w:val="0"/>
              <w:pageBreakBefore w:val="0"/>
              <w:widowControl/>
              <w:kinsoku w:val="0"/>
              <w:wordWrap/>
              <w:overflowPunct/>
              <w:topLinePunct w:val="0"/>
              <w:autoSpaceDE w:val="0"/>
              <w:autoSpaceDN w:val="0"/>
              <w:bidi w:val="0"/>
              <w:adjustRightInd w:val="0"/>
              <w:snapToGrid w:val="0"/>
              <w:spacing w:line="360"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合理化建议清晰、准确、完善、科学、切实可行的得6分；</w:t>
            </w:r>
          </w:p>
          <w:p w14:paraId="71BD31EF">
            <w:pPr>
              <w:keepNext w:val="0"/>
              <w:keepLines w:val="0"/>
              <w:pageBreakBefore w:val="0"/>
              <w:widowControl/>
              <w:kinsoku w:val="0"/>
              <w:wordWrap/>
              <w:overflowPunct/>
              <w:topLinePunct w:val="0"/>
              <w:autoSpaceDE w:val="0"/>
              <w:autoSpaceDN w:val="0"/>
              <w:bidi w:val="0"/>
              <w:adjustRightInd w:val="0"/>
              <w:snapToGrid w:val="0"/>
              <w:spacing w:line="360"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合理化建议基本准确、可行的得4分；</w:t>
            </w:r>
          </w:p>
          <w:p w14:paraId="7A3B5E08">
            <w:pPr>
              <w:keepNext w:val="0"/>
              <w:keepLines w:val="0"/>
              <w:pageBreakBefore w:val="0"/>
              <w:widowControl/>
              <w:kinsoku w:val="0"/>
              <w:wordWrap/>
              <w:overflowPunct/>
              <w:topLinePunct w:val="0"/>
              <w:autoSpaceDE w:val="0"/>
              <w:autoSpaceDN w:val="0"/>
              <w:bidi w:val="0"/>
              <w:adjustRightInd w:val="0"/>
              <w:snapToGrid w:val="0"/>
              <w:spacing w:line="360"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合理化建议内容简单或存在部分缺陷的得2分；</w:t>
            </w:r>
          </w:p>
          <w:p w14:paraId="0280F15B">
            <w:pPr>
              <w:keepNext w:val="0"/>
              <w:keepLines w:val="0"/>
              <w:pageBreakBefore w:val="0"/>
              <w:widowControl/>
              <w:kinsoku w:val="0"/>
              <w:wordWrap/>
              <w:overflowPunct/>
              <w:topLinePunct w:val="0"/>
              <w:autoSpaceDE w:val="0"/>
              <w:autoSpaceDN w:val="0"/>
              <w:bidi w:val="0"/>
              <w:adjustRightInd w:val="0"/>
              <w:snapToGrid w:val="0"/>
              <w:spacing w:line="360"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缺项不得分</w:t>
            </w:r>
          </w:p>
        </w:tc>
      </w:tr>
      <w:tr w14:paraId="2D2C9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551" w:type="pct"/>
            <w:vMerge w:val="continue"/>
            <w:noWrap w:val="0"/>
            <w:vAlign w:val="center"/>
          </w:tcPr>
          <w:p w14:paraId="5B75762B">
            <w:pPr>
              <w:keepNext w:val="0"/>
              <w:keepLines w:val="0"/>
              <w:pageBreakBefore w:val="0"/>
              <w:widowControl/>
              <w:kinsoku w:val="0"/>
              <w:wordWrap/>
              <w:overflowPunct/>
              <w:topLinePunct w:val="0"/>
              <w:autoSpaceDE w:val="0"/>
              <w:autoSpaceDN w:val="0"/>
              <w:bidi w:val="0"/>
              <w:adjustRightInd w:val="0"/>
              <w:snapToGrid w:val="0"/>
              <w:spacing w:line="360" w:lineRule="auto"/>
              <w:rPr>
                <w:rFonts w:hint="eastAsia" w:ascii="宋体" w:hAnsi="宋体" w:eastAsia="宋体" w:cs="宋体"/>
                <w:sz w:val="24"/>
                <w:szCs w:val="24"/>
              </w:rPr>
            </w:pPr>
          </w:p>
        </w:tc>
        <w:tc>
          <w:tcPr>
            <w:tcW w:w="558" w:type="pct"/>
            <w:noWrap w:val="0"/>
            <w:vAlign w:val="center"/>
          </w:tcPr>
          <w:p w14:paraId="64798898">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服务承诺</w:t>
            </w:r>
          </w:p>
        </w:tc>
        <w:tc>
          <w:tcPr>
            <w:tcW w:w="394" w:type="pct"/>
            <w:noWrap w:val="0"/>
            <w:vAlign w:val="center"/>
          </w:tcPr>
          <w:p w14:paraId="6083B0F0">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cs="宋体"/>
                <w:color w:val="auto"/>
                <w:spacing w:val="-1"/>
                <w:sz w:val="24"/>
                <w:szCs w:val="24"/>
                <w:lang w:val="en-US" w:eastAsia="zh-CN"/>
              </w:rPr>
              <w:t>6</w:t>
            </w:r>
            <w:r>
              <w:rPr>
                <w:rFonts w:hint="eastAsia" w:ascii="宋体" w:hAnsi="宋体" w:eastAsia="宋体" w:cs="宋体"/>
                <w:color w:val="auto"/>
                <w:spacing w:val="-1"/>
                <w:sz w:val="24"/>
                <w:szCs w:val="24"/>
                <w:lang w:val="en-US" w:eastAsia="zh-CN"/>
              </w:rPr>
              <w:t>分</w:t>
            </w:r>
          </w:p>
        </w:tc>
        <w:tc>
          <w:tcPr>
            <w:tcW w:w="3496" w:type="pct"/>
            <w:noWrap w:val="0"/>
            <w:vAlign w:val="center"/>
          </w:tcPr>
          <w:p w14:paraId="0914EBAD">
            <w:pPr>
              <w:keepNext w:val="0"/>
              <w:keepLines w:val="0"/>
              <w:pageBreakBefore w:val="0"/>
              <w:widowControl/>
              <w:kinsoku w:val="0"/>
              <w:wordWrap/>
              <w:overflowPunct/>
              <w:topLinePunct w:val="0"/>
              <w:autoSpaceDE w:val="0"/>
              <w:autoSpaceDN w:val="0"/>
              <w:bidi w:val="0"/>
              <w:adjustRightInd w:val="0"/>
              <w:snapToGrid w:val="0"/>
              <w:spacing w:line="360"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专家对投标供应商提供的招标文件中要求的各项</w:t>
            </w:r>
            <w:r>
              <w:rPr>
                <w:rFonts w:hint="eastAsia" w:ascii="宋体" w:hAnsi="宋体" w:eastAsia="宋体" w:cs="宋体"/>
                <w:sz w:val="24"/>
                <w:szCs w:val="24"/>
              </w:rPr>
              <w:t>服务承诺</w:t>
            </w:r>
            <w:r>
              <w:rPr>
                <w:rFonts w:hint="eastAsia" w:ascii="宋体" w:hAnsi="宋体" w:eastAsia="宋体" w:cs="宋体"/>
                <w:spacing w:val="-1"/>
                <w:sz w:val="24"/>
                <w:szCs w:val="24"/>
                <w:lang w:val="en-US" w:eastAsia="zh-CN"/>
              </w:rPr>
              <w:t>进行综合评价；</w:t>
            </w:r>
          </w:p>
          <w:p w14:paraId="4215892F">
            <w:pPr>
              <w:keepNext w:val="0"/>
              <w:keepLines w:val="0"/>
              <w:pageBreakBefore w:val="0"/>
              <w:widowControl/>
              <w:kinsoku w:val="0"/>
              <w:wordWrap/>
              <w:overflowPunct/>
              <w:topLinePunct w:val="0"/>
              <w:autoSpaceDE w:val="0"/>
              <w:autoSpaceDN w:val="0"/>
              <w:bidi w:val="0"/>
              <w:adjustRightInd w:val="0"/>
              <w:snapToGrid w:val="0"/>
              <w:spacing w:line="360"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服务承诺科学、全面、合理、系统完善、针对性强，能够充分满足招标人的需求的并在</w:t>
            </w:r>
            <w:r>
              <w:rPr>
                <w:rFonts w:hint="eastAsia" w:ascii="宋体" w:hAnsi="宋体" w:cs="宋体"/>
                <w:spacing w:val="-1"/>
                <w:sz w:val="24"/>
                <w:szCs w:val="24"/>
                <w:lang w:val="en-US" w:eastAsia="zh-CN"/>
              </w:rPr>
              <w:t>1</w:t>
            </w:r>
            <w:r>
              <w:rPr>
                <w:rFonts w:hint="eastAsia" w:ascii="宋体" w:hAnsi="宋体" w:eastAsia="宋体" w:cs="宋体"/>
                <w:spacing w:val="-1"/>
                <w:sz w:val="24"/>
                <w:szCs w:val="24"/>
                <w:lang w:val="en-US" w:eastAsia="zh-CN"/>
              </w:rPr>
              <w:t>小时内响应的,得</w:t>
            </w:r>
            <w:r>
              <w:rPr>
                <w:rFonts w:hint="eastAsia" w:ascii="宋体" w:hAnsi="宋体" w:cs="宋体"/>
                <w:spacing w:val="-1"/>
                <w:sz w:val="24"/>
                <w:szCs w:val="24"/>
                <w:lang w:val="en-US" w:eastAsia="zh-CN"/>
              </w:rPr>
              <w:t>6</w:t>
            </w:r>
            <w:r>
              <w:rPr>
                <w:rFonts w:hint="eastAsia" w:ascii="宋体" w:hAnsi="宋体" w:eastAsia="宋体" w:cs="宋体"/>
                <w:spacing w:val="-1"/>
                <w:sz w:val="24"/>
                <w:szCs w:val="24"/>
                <w:lang w:val="en-US" w:eastAsia="zh-CN"/>
              </w:rPr>
              <w:t>分</w:t>
            </w:r>
            <w:r>
              <w:rPr>
                <w:rFonts w:hint="eastAsia" w:ascii="宋体" w:hAnsi="宋体" w:cs="宋体"/>
                <w:spacing w:val="-1"/>
                <w:sz w:val="24"/>
                <w:szCs w:val="24"/>
                <w:lang w:val="en-US" w:eastAsia="zh-CN"/>
              </w:rPr>
              <w:t>；</w:t>
            </w:r>
          </w:p>
          <w:p w14:paraId="23854FF1">
            <w:pPr>
              <w:keepNext w:val="0"/>
              <w:keepLines w:val="0"/>
              <w:pageBreakBefore w:val="0"/>
              <w:widowControl/>
              <w:kinsoku w:val="0"/>
              <w:wordWrap/>
              <w:overflowPunct/>
              <w:topLinePunct w:val="0"/>
              <w:autoSpaceDE w:val="0"/>
              <w:autoSpaceDN w:val="0"/>
              <w:bidi w:val="0"/>
              <w:adjustRightInd w:val="0"/>
              <w:snapToGrid w:val="0"/>
              <w:spacing w:line="360"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服务承诺较为合理，可行性较强，基本满足招标人需求的得</w:t>
            </w:r>
            <w:r>
              <w:rPr>
                <w:rFonts w:hint="eastAsia" w:ascii="宋体" w:hAnsi="宋体" w:cs="宋体"/>
                <w:spacing w:val="-1"/>
                <w:sz w:val="24"/>
                <w:szCs w:val="24"/>
                <w:lang w:val="en-US" w:eastAsia="zh-CN"/>
              </w:rPr>
              <w:t>4</w:t>
            </w:r>
            <w:r>
              <w:rPr>
                <w:rFonts w:hint="eastAsia" w:ascii="宋体" w:hAnsi="宋体" w:eastAsia="宋体" w:cs="宋体"/>
                <w:spacing w:val="-1"/>
                <w:sz w:val="24"/>
                <w:szCs w:val="24"/>
                <w:lang w:val="en-US" w:eastAsia="zh-CN"/>
              </w:rPr>
              <w:t>分</w:t>
            </w:r>
            <w:r>
              <w:rPr>
                <w:rFonts w:hint="eastAsia" w:ascii="宋体" w:hAnsi="宋体" w:cs="宋体"/>
                <w:spacing w:val="-1"/>
                <w:sz w:val="24"/>
                <w:szCs w:val="24"/>
                <w:lang w:val="en-US" w:eastAsia="zh-CN"/>
              </w:rPr>
              <w:t>；</w:t>
            </w:r>
          </w:p>
          <w:p w14:paraId="0A02AD58">
            <w:pPr>
              <w:keepNext w:val="0"/>
              <w:keepLines w:val="0"/>
              <w:pageBreakBefore w:val="0"/>
              <w:widowControl/>
              <w:kinsoku w:val="0"/>
              <w:wordWrap/>
              <w:overflowPunct/>
              <w:topLinePunct w:val="0"/>
              <w:autoSpaceDE w:val="0"/>
              <w:autoSpaceDN w:val="0"/>
              <w:bidi w:val="0"/>
              <w:adjustRightInd w:val="0"/>
              <w:snapToGrid w:val="0"/>
              <w:spacing w:line="360" w:lineRule="auto"/>
              <w:rPr>
                <w:rFonts w:hint="eastAsia" w:ascii="宋体" w:hAnsi="宋体" w:cs="宋体"/>
                <w:spacing w:val="-1"/>
                <w:sz w:val="24"/>
                <w:szCs w:val="24"/>
                <w:lang w:val="en-US" w:eastAsia="zh-CN"/>
              </w:rPr>
            </w:pPr>
            <w:r>
              <w:rPr>
                <w:rFonts w:hint="eastAsia" w:ascii="宋体" w:hAnsi="宋体" w:eastAsia="宋体" w:cs="宋体"/>
                <w:spacing w:val="-1"/>
                <w:sz w:val="24"/>
                <w:szCs w:val="24"/>
                <w:lang w:val="en-US" w:eastAsia="zh-CN"/>
              </w:rPr>
              <w:t>服务承诺一般，可行性一般的</w:t>
            </w:r>
            <w:r>
              <w:rPr>
                <w:rFonts w:hint="eastAsia" w:ascii="宋体" w:hAnsi="宋体" w:cs="宋体"/>
                <w:spacing w:val="-1"/>
                <w:sz w:val="24"/>
                <w:szCs w:val="24"/>
                <w:lang w:val="en-US" w:eastAsia="zh-CN"/>
              </w:rPr>
              <w:t>2</w:t>
            </w:r>
            <w:r>
              <w:rPr>
                <w:rFonts w:hint="eastAsia" w:ascii="宋体" w:hAnsi="宋体" w:eastAsia="宋体" w:cs="宋体"/>
                <w:spacing w:val="-1"/>
                <w:sz w:val="24"/>
                <w:szCs w:val="24"/>
                <w:lang w:val="en-US" w:eastAsia="zh-CN"/>
              </w:rPr>
              <w:t>分</w:t>
            </w:r>
            <w:r>
              <w:rPr>
                <w:rFonts w:hint="eastAsia" w:ascii="宋体" w:hAnsi="宋体" w:cs="宋体"/>
                <w:spacing w:val="-1"/>
                <w:sz w:val="24"/>
                <w:szCs w:val="24"/>
                <w:lang w:val="en-US" w:eastAsia="zh-CN"/>
              </w:rPr>
              <w:t>；</w:t>
            </w:r>
          </w:p>
          <w:p w14:paraId="2DF413E7">
            <w:pPr>
              <w:keepNext w:val="0"/>
              <w:keepLines w:val="0"/>
              <w:pageBreakBefore w:val="0"/>
              <w:widowControl/>
              <w:kinsoku w:val="0"/>
              <w:wordWrap/>
              <w:overflowPunct/>
              <w:topLinePunct w:val="0"/>
              <w:autoSpaceDE w:val="0"/>
              <w:autoSpaceDN w:val="0"/>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pacing w:val="-1"/>
                <w:sz w:val="24"/>
                <w:szCs w:val="24"/>
                <w:lang w:val="en-US" w:eastAsia="zh-CN"/>
              </w:rPr>
              <w:t>不提供不得分。</w:t>
            </w:r>
          </w:p>
        </w:tc>
      </w:tr>
      <w:tr w14:paraId="6EC3D9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551" w:type="pct"/>
            <w:noWrap w:val="0"/>
            <w:vAlign w:val="center"/>
          </w:tcPr>
          <w:p w14:paraId="2C9AF3B3">
            <w:pPr>
              <w:spacing w:before="78" w:line="360" w:lineRule="auto"/>
              <w:jc w:val="center"/>
              <w:rPr>
                <w:rFonts w:hint="eastAsia" w:ascii="宋体" w:hAnsi="宋体" w:eastAsia="宋体" w:cs="宋体"/>
                <w:spacing w:val="-4"/>
                <w:sz w:val="24"/>
                <w:szCs w:val="24"/>
              </w:rPr>
            </w:pPr>
            <w:r>
              <w:rPr>
                <w:rFonts w:hint="eastAsia" w:ascii="宋体" w:hAnsi="宋体" w:cs="宋体"/>
                <w:sz w:val="24"/>
                <w:szCs w:val="24"/>
                <w:lang w:val="en-US" w:eastAsia="zh-CN"/>
              </w:rPr>
              <w:t>商务</w:t>
            </w:r>
            <w:r>
              <w:rPr>
                <w:rFonts w:hint="eastAsia" w:ascii="宋体" w:hAnsi="宋体" w:eastAsia="宋体" w:cs="宋体"/>
                <w:sz w:val="24"/>
                <w:szCs w:val="24"/>
              </w:rPr>
              <w:t>部分</w:t>
            </w:r>
            <w:r>
              <w:rPr>
                <w:rFonts w:hint="eastAsia" w:ascii="宋体" w:hAnsi="宋体" w:cs="宋体"/>
                <w:sz w:val="24"/>
                <w:szCs w:val="24"/>
                <w:lang w:val="en-US" w:eastAsia="zh-CN"/>
              </w:rPr>
              <w:t>37</w:t>
            </w:r>
            <w:r>
              <w:rPr>
                <w:rFonts w:hint="eastAsia" w:ascii="宋体" w:hAnsi="宋体" w:eastAsia="宋体" w:cs="宋体"/>
                <w:sz w:val="24"/>
                <w:szCs w:val="24"/>
              </w:rPr>
              <w:t>分</w:t>
            </w:r>
          </w:p>
        </w:tc>
        <w:tc>
          <w:tcPr>
            <w:tcW w:w="558" w:type="pct"/>
            <w:noWrap w:val="0"/>
            <w:vAlign w:val="center"/>
          </w:tcPr>
          <w:p w14:paraId="62E9E596">
            <w:pPr>
              <w:spacing w:before="78" w:line="360" w:lineRule="auto"/>
              <w:jc w:val="center"/>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类似业绩</w:t>
            </w:r>
          </w:p>
        </w:tc>
        <w:tc>
          <w:tcPr>
            <w:tcW w:w="394" w:type="pct"/>
            <w:noWrap w:val="0"/>
            <w:vAlign w:val="center"/>
          </w:tcPr>
          <w:p w14:paraId="73B6DC6D">
            <w:pPr>
              <w:spacing w:before="78" w:line="360" w:lineRule="auto"/>
              <w:jc w:val="center"/>
              <w:rPr>
                <w:rFonts w:hint="eastAsia" w:ascii="宋体" w:hAnsi="宋体" w:eastAsia="宋体" w:cs="宋体"/>
                <w:spacing w:val="-3"/>
                <w:sz w:val="24"/>
                <w:szCs w:val="24"/>
                <w:lang w:val="en-US" w:eastAsia="zh-CN"/>
              </w:rPr>
            </w:pPr>
            <w:r>
              <w:rPr>
                <w:rFonts w:hint="eastAsia" w:ascii="宋体" w:hAnsi="宋体" w:cs="宋体"/>
                <w:spacing w:val="-3"/>
                <w:sz w:val="24"/>
                <w:szCs w:val="24"/>
                <w:lang w:val="en-US" w:eastAsia="zh-CN"/>
              </w:rPr>
              <w:t>7</w:t>
            </w:r>
            <w:r>
              <w:rPr>
                <w:rFonts w:hint="eastAsia" w:ascii="宋体" w:hAnsi="宋体" w:eastAsia="宋体" w:cs="宋体"/>
                <w:sz w:val="24"/>
                <w:szCs w:val="24"/>
              </w:rPr>
              <w:t>分</w:t>
            </w:r>
          </w:p>
        </w:tc>
        <w:tc>
          <w:tcPr>
            <w:tcW w:w="3496" w:type="pct"/>
            <w:noWrap w:val="0"/>
            <w:vAlign w:val="center"/>
          </w:tcPr>
          <w:p w14:paraId="79F0D58E">
            <w:pPr>
              <w:keepNext w:val="0"/>
              <w:keepLines w:val="0"/>
              <w:pageBreakBefore w:val="0"/>
              <w:widowControl/>
              <w:kinsoku w:val="0"/>
              <w:wordWrap/>
              <w:overflowPunct/>
              <w:topLinePunct w:val="0"/>
              <w:autoSpaceDE w:val="0"/>
              <w:autoSpaceDN w:val="0"/>
              <w:bidi w:val="0"/>
              <w:adjustRightInd w:val="0"/>
              <w:snapToGrid w:val="0"/>
              <w:spacing w:line="360" w:lineRule="auto"/>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代表项目涉及</w:t>
            </w:r>
            <w:r>
              <w:rPr>
                <w:rFonts w:hint="eastAsia" w:ascii="宋体" w:hAnsi="宋体" w:cs="宋体"/>
                <w:color w:val="auto"/>
                <w:spacing w:val="-1"/>
                <w:sz w:val="24"/>
                <w:szCs w:val="24"/>
                <w:lang w:val="en-US" w:eastAsia="zh-CN"/>
              </w:rPr>
              <w:t>土木</w:t>
            </w:r>
            <w:r>
              <w:rPr>
                <w:rFonts w:hint="eastAsia" w:ascii="宋体" w:hAnsi="宋体" w:eastAsia="宋体" w:cs="宋体"/>
                <w:color w:val="auto"/>
                <w:spacing w:val="-1"/>
                <w:sz w:val="24"/>
                <w:szCs w:val="24"/>
                <w:lang w:val="en-US" w:eastAsia="zh-CN"/>
              </w:rPr>
              <w:t>建筑</w:t>
            </w:r>
            <w:r>
              <w:rPr>
                <w:rFonts w:hint="eastAsia" w:ascii="宋体" w:hAnsi="宋体" w:cs="宋体"/>
                <w:color w:val="auto"/>
                <w:spacing w:val="-1"/>
                <w:sz w:val="24"/>
                <w:szCs w:val="24"/>
                <w:lang w:val="en-US" w:eastAsia="zh-CN"/>
              </w:rPr>
              <w:t>工程</w:t>
            </w:r>
            <w:r>
              <w:rPr>
                <w:rFonts w:hint="eastAsia" w:ascii="宋体" w:hAnsi="宋体" w:eastAsia="宋体" w:cs="宋体"/>
                <w:color w:val="auto"/>
                <w:spacing w:val="-1"/>
                <w:sz w:val="24"/>
                <w:szCs w:val="24"/>
                <w:lang w:val="en-US" w:eastAsia="zh-CN"/>
              </w:rPr>
              <w:t>、</w:t>
            </w:r>
            <w:r>
              <w:rPr>
                <w:rFonts w:hint="eastAsia" w:ascii="宋体" w:hAnsi="宋体" w:cs="宋体"/>
                <w:color w:val="auto"/>
                <w:spacing w:val="-1"/>
                <w:sz w:val="24"/>
                <w:szCs w:val="24"/>
                <w:lang w:val="en-US" w:eastAsia="zh-CN"/>
              </w:rPr>
              <w:t>水利水电工程</w:t>
            </w:r>
            <w:r>
              <w:rPr>
                <w:rFonts w:hint="eastAsia" w:ascii="宋体" w:hAnsi="宋体" w:eastAsia="宋体" w:cs="宋体"/>
                <w:color w:val="auto"/>
                <w:spacing w:val="-1"/>
                <w:sz w:val="24"/>
                <w:szCs w:val="24"/>
                <w:lang w:val="en-US" w:eastAsia="zh-CN"/>
              </w:rPr>
              <w:t>、</w:t>
            </w:r>
            <w:r>
              <w:rPr>
                <w:rFonts w:hint="eastAsia" w:ascii="宋体" w:hAnsi="宋体" w:cs="宋体"/>
                <w:color w:val="auto"/>
                <w:spacing w:val="-1"/>
                <w:sz w:val="24"/>
                <w:szCs w:val="24"/>
                <w:lang w:val="en-US" w:eastAsia="zh-CN"/>
              </w:rPr>
              <w:t>交通运输工程（公路）</w:t>
            </w:r>
            <w:r>
              <w:rPr>
                <w:rFonts w:hint="eastAsia" w:ascii="宋体" w:hAnsi="宋体" w:eastAsia="宋体" w:cs="宋体"/>
                <w:color w:val="auto"/>
                <w:spacing w:val="-1"/>
                <w:sz w:val="24"/>
                <w:szCs w:val="24"/>
                <w:lang w:val="en-US" w:eastAsia="zh-CN"/>
              </w:rPr>
              <w:t>、</w:t>
            </w:r>
            <w:r>
              <w:rPr>
                <w:rFonts w:hint="eastAsia" w:ascii="宋体" w:hAnsi="宋体" w:cs="宋体"/>
                <w:color w:val="auto"/>
                <w:spacing w:val="-1"/>
                <w:sz w:val="24"/>
                <w:szCs w:val="24"/>
                <w:lang w:val="en-US" w:eastAsia="zh-CN"/>
              </w:rPr>
              <w:t>市政工程、电力工程、</w:t>
            </w:r>
            <w:r>
              <w:rPr>
                <w:rFonts w:hint="eastAsia" w:ascii="宋体" w:hAnsi="宋体" w:eastAsia="宋体" w:cs="宋体"/>
                <w:color w:val="auto"/>
                <w:spacing w:val="-1"/>
                <w:sz w:val="24"/>
                <w:szCs w:val="24"/>
                <w:lang w:val="en-US" w:eastAsia="zh-CN"/>
              </w:rPr>
              <w:t>园林</w:t>
            </w:r>
            <w:r>
              <w:rPr>
                <w:rFonts w:hint="eastAsia" w:ascii="宋体" w:hAnsi="宋体" w:cs="宋体"/>
                <w:color w:val="auto"/>
                <w:spacing w:val="-1"/>
                <w:sz w:val="24"/>
                <w:szCs w:val="24"/>
                <w:lang w:val="en-US" w:eastAsia="zh-CN"/>
              </w:rPr>
              <w:t>绿化工程等</w:t>
            </w:r>
            <w:r>
              <w:rPr>
                <w:rFonts w:hint="eastAsia" w:ascii="宋体" w:hAnsi="宋体" w:eastAsia="宋体" w:cs="宋体"/>
                <w:color w:val="auto"/>
                <w:spacing w:val="-1"/>
                <w:sz w:val="24"/>
                <w:szCs w:val="24"/>
                <w:lang w:val="en-US" w:eastAsia="zh-CN"/>
              </w:rPr>
              <w:t>专业中的</w:t>
            </w:r>
            <w:r>
              <w:rPr>
                <w:rFonts w:hint="eastAsia" w:ascii="宋体" w:hAnsi="宋体" w:cs="宋体"/>
                <w:color w:val="auto"/>
                <w:spacing w:val="-1"/>
                <w:sz w:val="24"/>
                <w:szCs w:val="24"/>
                <w:lang w:val="en-US" w:eastAsia="zh-CN"/>
              </w:rPr>
              <w:t>3</w:t>
            </w:r>
            <w:r>
              <w:rPr>
                <w:rFonts w:hint="eastAsia" w:ascii="宋体" w:hAnsi="宋体" w:eastAsia="宋体" w:cs="宋体"/>
                <w:color w:val="auto"/>
                <w:spacing w:val="-1"/>
                <w:sz w:val="24"/>
                <w:szCs w:val="24"/>
                <w:lang w:val="en-US" w:eastAsia="zh-CN"/>
              </w:rPr>
              <w:t>类专业得</w:t>
            </w:r>
            <w:r>
              <w:rPr>
                <w:rFonts w:hint="eastAsia" w:ascii="宋体" w:hAnsi="宋体" w:cs="宋体"/>
                <w:color w:val="auto"/>
                <w:spacing w:val="-1"/>
                <w:sz w:val="24"/>
                <w:szCs w:val="24"/>
                <w:lang w:val="en-US" w:eastAsia="zh-CN"/>
              </w:rPr>
              <w:t>5</w:t>
            </w:r>
            <w:r>
              <w:rPr>
                <w:rFonts w:hint="eastAsia" w:ascii="宋体" w:hAnsi="宋体" w:eastAsia="宋体" w:cs="宋体"/>
                <w:color w:val="auto"/>
                <w:spacing w:val="-1"/>
                <w:sz w:val="24"/>
                <w:szCs w:val="24"/>
                <w:lang w:val="en-US" w:eastAsia="zh-CN"/>
              </w:rPr>
              <w:t>分（低于三类的不得分），涉及</w:t>
            </w:r>
            <w:r>
              <w:rPr>
                <w:rFonts w:hint="eastAsia" w:ascii="宋体" w:hAnsi="宋体" w:cs="宋体"/>
                <w:color w:val="auto"/>
                <w:spacing w:val="-1"/>
                <w:sz w:val="24"/>
                <w:szCs w:val="24"/>
                <w:lang w:val="en-US" w:eastAsia="zh-CN"/>
              </w:rPr>
              <w:t>4</w:t>
            </w:r>
            <w:r>
              <w:rPr>
                <w:rFonts w:hint="eastAsia" w:ascii="宋体" w:hAnsi="宋体" w:eastAsia="宋体" w:cs="宋体"/>
                <w:color w:val="auto"/>
                <w:spacing w:val="-1"/>
                <w:sz w:val="24"/>
                <w:szCs w:val="24"/>
                <w:lang w:val="en-US" w:eastAsia="zh-CN"/>
              </w:rPr>
              <w:t>类专业得</w:t>
            </w:r>
            <w:r>
              <w:rPr>
                <w:rFonts w:hint="eastAsia" w:ascii="宋体" w:hAnsi="宋体" w:cs="宋体"/>
                <w:color w:val="auto"/>
                <w:spacing w:val="-1"/>
                <w:sz w:val="24"/>
                <w:szCs w:val="24"/>
                <w:lang w:val="en-US" w:eastAsia="zh-CN"/>
              </w:rPr>
              <w:t>6</w:t>
            </w:r>
            <w:r>
              <w:rPr>
                <w:rFonts w:hint="eastAsia" w:ascii="宋体" w:hAnsi="宋体" w:eastAsia="宋体" w:cs="宋体"/>
                <w:color w:val="auto"/>
                <w:spacing w:val="-1"/>
                <w:sz w:val="24"/>
                <w:szCs w:val="24"/>
                <w:lang w:val="en-US" w:eastAsia="zh-CN"/>
              </w:rPr>
              <w:t>分，涉及</w:t>
            </w:r>
            <w:r>
              <w:rPr>
                <w:rFonts w:hint="eastAsia" w:ascii="宋体" w:hAnsi="宋体" w:cs="宋体"/>
                <w:color w:val="auto"/>
                <w:spacing w:val="-1"/>
                <w:sz w:val="24"/>
                <w:szCs w:val="24"/>
                <w:lang w:val="en-US" w:eastAsia="zh-CN"/>
              </w:rPr>
              <w:t>5</w:t>
            </w:r>
            <w:r>
              <w:rPr>
                <w:rFonts w:hint="eastAsia" w:ascii="宋体" w:hAnsi="宋体" w:eastAsia="宋体" w:cs="宋体"/>
                <w:color w:val="auto"/>
                <w:spacing w:val="-1"/>
                <w:sz w:val="24"/>
                <w:szCs w:val="24"/>
                <w:lang w:val="en-US" w:eastAsia="zh-CN"/>
              </w:rPr>
              <w:t>类专业得</w:t>
            </w:r>
            <w:r>
              <w:rPr>
                <w:rFonts w:hint="eastAsia" w:ascii="宋体" w:hAnsi="宋体" w:cs="宋体"/>
                <w:color w:val="auto"/>
                <w:spacing w:val="-1"/>
                <w:sz w:val="24"/>
                <w:szCs w:val="24"/>
                <w:lang w:val="en-US" w:eastAsia="zh-CN"/>
              </w:rPr>
              <w:t>7</w:t>
            </w:r>
            <w:r>
              <w:rPr>
                <w:rFonts w:hint="eastAsia" w:ascii="宋体" w:hAnsi="宋体" w:eastAsia="宋体" w:cs="宋体"/>
                <w:color w:val="auto"/>
                <w:spacing w:val="-1"/>
                <w:sz w:val="24"/>
                <w:szCs w:val="24"/>
                <w:lang w:val="en-US" w:eastAsia="zh-CN"/>
              </w:rPr>
              <w:t>分</w:t>
            </w:r>
          </w:p>
          <w:p w14:paraId="5F9353A2">
            <w:pPr>
              <w:keepNext w:val="0"/>
              <w:keepLines w:val="0"/>
              <w:pageBreakBefore w:val="0"/>
              <w:widowControl/>
              <w:kinsoku w:val="0"/>
              <w:wordWrap/>
              <w:overflowPunct/>
              <w:topLinePunct w:val="0"/>
              <w:autoSpaceDE w:val="0"/>
              <w:autoSpaceDN w:val="0"/>
              <w:bidi w:val="0"/>
              <w:adjustRightInd w:val="0"/>
              <w:snapToGrid w:val="0"/>
              <w:spacing w:line="360" w:lineRule="auto"/>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注：供应商提供的业绩证明材料为合同复印件</w:t>
            </w:r>
            <w:r>
              <w:rPr>
                <w:rFonts w:hint="eastAsia" w:ascii="宋体" w:hAnsi="宋体" w:cs="宋体"/>
                <w:color w:val="auto"/>
                <w:spacing w:val="-1"/>
                <w:sz w:val="24"/>
                <w:szCs w:val="24"/>
                <w:lang w:val="en-US" w:eastAsia="zh-CN"/>
              </w:rPr>
              <w:t>或结算审核确认书或中标通知书，</w:t>
            </w:r>
            <w:r>
              <w:rPr>
                <w:rFonts w:hint="eastAsia" w:ascii="宋体" w:hAnsi="宋体" w:eastAsia="宋体" w:cs="宋体"/>
                <w:color w:val="auto"/>
                <w:spacing w:val="-1"/>
                <w:sz w:val="24"/>
                <w:szCs w:val="24"/>
                <w:lang w:val="en-US" w:eastAsia="zh-CN"/>
              </w:rPr>
              <w:t>日期应在征集文件要求的时限内，</w:t>
            </w:r>
            <w:r>
              <w:rPr>
                <w:rFonts w:hint="eastAsia" w:ascii="宋体" w:hAnsi="宋体" w:cs="宋体"/>
                <w:color w:val="auto"/>
                <w:spacing w:val="-1"/>
                <w:sz w:val="24"/>
                <w:szCs w:val="24"/>
                <w:lang w:val="en-US" w:eastAsia="zh-CN"/>
              </w:rPr>
              <w:t>提供资料</w:t>
            </w:r>
            <w:r>
              <w:rPr>
                <w:rFonts w:hint="eastAsia" w:ascii="宋体" w:hAnsi="宋体" w:eastAsia="宋体" w:cs="宋体"/>
                <w:color w:val="auto"/>
                <w:spacing w:val="-1"/>
                <w:sz w:val="24"/>
                <w:szCs w:val="24"/>
                <w:lang w:val="en-US" w:eastAsia="zh-CN"/>
              </w:rPr>
              <w:t>应当清晰、完整且有效，并加盖公章。（代表项目无金额要求，招标控制价或结算均可）</w:t>
            </w:r>
          </w:p>
          <w:p w14:paraId="72D5230E">
            <w:pPr>
              <w:keepNext w:val="0"/>
              <w:keepLines w:val="0"/>
              <w:pageBreakBefore w:val="0"/>
              <w:widowControl/>
              <w:kinsoku w:val="0"/>
              <w:wordWrap/>
              <w:overflowPunct/>
              <w:topLinePunct w:val="0"/>
              <w:autoSpaceDE w:val="0"/>
              <w:autoSpaceDN w:val="0"/>
              <w:bidi w:val="0"/>
              <w:adjustRightInd w:val="0"/>
              <w:snapToGrid w:val="0"/>
              <w:spacing w:line="360" w:lineRule="auto"/>
              <w:rPr>
                <w:rFonts w:hint="eastAsia" w:ascii="宋体" w:hAnsi="宋体" w:eastAsia="宋体" w:cs="宋体"/>
                <w:color w:val="auto"/>
                <w:spacing w:val="-1"/>
                <w:sz w:val="24"/>
                <w:szCs w:val="24"/>
                <w:lang w:val="en-US" w:eastAsia="zh-CN"/>
              </w:rPr>
            </w:pPr>
            <w:r>
              <w:rPr>
                <w:rFonts w:hint="eastAsia" w:ascii="宋体" w:hAnsi="宋体" w:cs="宋体"/>
                <w:color w:val="auto"/>
                <w:spacing w:val="-1"/>
                <w:sz w:val="24"/>
                <w:szCs w:val="24"/>
                <w:lang w:val="en-US" w:eastAsia="zh-CN"/>
              </w:rPr>
              <w:t>提供的资料</w:t>
            </w:r>
            <w:r>
              <w:rPr>
                <w:rFonts w:hint="eastAsia" w:ascii="宋体" w:hAnsi="宋体" w:eastAsia="宋体" w:cs="宋体"/>
                <w:color w:val="auto"/>
                <w:spacing w:val="-1"/>
                <w:sz w:val="24"/>
                <w:szCs w:val="24"/>
                <w:lang w:val="en-US" w:eastAsia="zh-CN"/>
              </w:rPr>
              <w:t>须标明关键信息（通过关键信息无法判断</w:t>
            </w:r>
            <w:r>
              <w:rPr>
                <w:rFonts w:hint="eastAsia" w:ascii="宋体" w:hAnsi="宋体" w:cs="宋体"/>
                <w:color w:val="auto"/>
                <w:spacing w:val="-1"/>
                <w:sz w:val="24"/>
                <w:szCs w:val="24"/>
                <w:lang w:val="en-US" w:eastAsia="zh-CN"/>
              </w:rPr>
              <w:t>的不</w:t>
            </w:r>
            <w:r>
              <w:rPr>
                <w:rFonts w:hint="eastAsia" w:ascii="宋体" w:hAnsi="宋体" w:eastAsia="宋体" w:cs="宋体"/>
                <w:color w:val="auto"/>
                <w:spacing w:val="-1"/>
                <w:sz w:val="24"/>
                <w:szCs w:val="24"/>
                <w:lang w:val="en-US" w:eastAsia="zh-CN"/>
              </w:rPr>
              <w:t>得分）</w:t>
            </w:r>
            <w:r>
              <w:rPr>
                <w:rFonts w:hint="eastAsia" w:ascii="宋体" w:hAnsi="宋体" w:cs="宋体"/>
                <w:color w:val="auto"/>
                <w:spacing w:val="-1"/>
                <w:sz w:val="24"/>
                <w:szCs w:val="24"/>
                <w:lang w:val="en-US" w:eastAsia="zh-CN"/>
              </w:rPr>
              <w:t>；</w:t>
            </w:r>
            <w:r>
              <w:rPr>
                <w:rFonts w:hint="eastAsia" w:ascii="宋体" w:hAnsi="宋体" w:eastAsia="宋体" w:cs="宋体"/>
                <w:color w:val="auto"/>
                <w:spacing w:val="-1"/>
                <w:sz w:val="24"/>
                <w:szCs w:val="24"/>
                <w:lang w:val="en-US" w:eastAsia="zh-CN"/>
              </w:rPr>
              <w:t>未按要求提供或提供不清晰导致专家无法有效判断的不得分</w:t>
            </w:r>
            <w:r>
              <w:rPr>
                <w:rFonts w:hint="eastAsia" w:ascii="宋体" w:hAnsi="宋体" w:cs="宋体"/>
                <w:color w:val="auto"/>
                <w:spacing w:val="-1"/>
                <w:sz w:val="24"/>
                <w:szCs w:val="24"/>
                <w:lang w:val="en-US" w:eastAsia="zh-CN"/>
              </w:rPr>
              <w:t>；</w:t>
            </w:r>
          </w:p>
          <w:p w14:paraId="3517CE6A">
            <w:pPr>
              <w:keepNext w:val="0"/>
              <w:keepLines w:val="0"/>
              <w:pageBreakBefore w:val="0"/>
              <w:widowControl/>
              <w:kinsoku w:val="0"/>
              <w:wordWrap/>
              <w:overflowPunct/>
              <w:topLinePunct w:val="0"/>
              <w:autoSpaceDE w:val="0"/>
              <w:autoSpaceDN w:val="0"/>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color w:val="auto"/>
                <w:spacing w:val="-1"/>
                <w:sz w:val="24"/>
                <w:szCs w:val="24"/>
                <w:lang w:val="en-US" w:eastAsia="zh-CN"/>
              </w:rPr>
              <w:t>供应商提供202</w:t>
            </w:r>
            <w:r>
              <w:rPr>
                <w:rFonts w:hint="eastAsia" w:ascii="宋体" w:hAnsi="宋体" w:cs="宋体"/>
                <w:color w:val="auto"/>
                <w:spacing w:val="-1"/>
                <w:sz w:val="24"/>
                <w:szCs w:val="24"/>
                <w:lang w:val="en-US" w:eastAsia="zh-CN"/>
              </w:rPr>
              <w:t>2</w:t>
            </w:r>
            <w:r>
              <w:rPr>
                <w:rFonts w:hint="eastAsia" w:ascii="宋体" w:hAnsi="宋体" w:eastAsia="宋体" w:cs="宋体"/>
                <w:color w:val="auto"/>
                <w:spacing w:val="-1"/>
                <w:sz w:val="24"/>
                <w:szCs w:val="24"/>
                <w:lang w:val="en-US" w:eastAsia="zh-CN"/>
              </w:rPr>
              <w:t>年1月至今类似项目业绩</w:t>
            </w:r>
            <w:r>
              <w:rPr>
                <w:rFonts w:hint="eastAsia" w:ascii="宋体" w:hAnsi="宋体" w:cs="宋体"/>
                <w:color w:val="auto"/>
                <w:spacing w:val="-1"/>
                <w:sz w:val="24"/>
                <w:szCs w:val="24"/>
                <w:lang w:val="en-US" w:eastAsia="zh-CN"/>
              </w:rPr>
              <w:t>。</w:t>
            </w:r>
          </w:p>
        </w:tc>
      </w:tr>
      <w:tr w14:paraId="70E6F3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551" w:type="pct"/>
            <w:noWrap w:val="0"/>
            <w:vAlign w:val="center"/>
          </w:tcPr>
          <w:p w14:paraId="705CB298">
            <w:pPr>
              <w:spacing w:before="78" w:line="360" w:lineRule="auto"/>
              <w:ind w:firstLine="155"/>
              <w:jc w:val="both"/>
              <w:rPr>
                <w:rFonts w:hint="eastAsia" w:ascii="宋体" w:hAnsi="宋体" w:eastAsia="宋体" w:cs="宋体"/>
                <w:spacing w:val="-4"/>
                <w:sz w:val="24"/>
                <w:szCs w:val="24"/>
              </w:rPr>
            </w:pPr>
          </w:p>
        </w:tc>
        <w:tc>
          <w:tcPr>
            <w:tcW w:w="558" w:type="pct"/>
            <w:noWrap w:val="0"/>
            <w:vAlign w:val="center"/>
          </w:tcPr>
          <w:p w14:paraId="785DBF86">
            <w:pPr>
              <w:spacing w:before="78" w:line="360" w:lineRule="auto"/>
              <w:jc w:val="center"/>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区域化</w:t>
            </w:r>
          </w:p>
          <w:p w14:paraId="3495A1FB">
            <w:pPr>
              <w:spacing w:before="78" w:line="360" w:lineRule="auto"/>
              <w:jc w:val="center"/>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办公场所</w:t>
            </w:r>
          </w:p>
        </w:tc>
        <w:tc>
          <w:tcPr>
            <w:tcW w:w="394" w:type="pct"/>
            <w:noWrap w:val="0"/>
            <w:vAlign w:val="center"/>
          </w:tcPr>
          <w:p w14:paraId="2735E8EB">
            <w:pPr>
              <w:spacing w:before="78" w:line="360" w:lineRule="auto"/>
              <w:jc w:val="center"/>
              <w:rPr>
                <w:rFonts w:hint="eastAsia" w:ascii="宋体" w:hAnsi="宋体" w:eastAsia="宋体" w:cs="宋体"/>
                <w:spacing w:val="-3"/>
                <w:sz w:val="24"/>
                <w:szCs w:val="24"/>
                <w:lang w:val="en-US" w:eastAsia="zh-CN"/>
              </w:rPr>
            </w:pPr>
            <w:r>
              <w:rPr>
                <w:rFonts w:hint="eastAsia" w:ascii="宋体" w:hAnsi="宋体" w:cs="宋体"/>
                <w:spacing w:val="-3"/>
                <w:sz w:val="24"/>
                <w:szCs w:val="24"/>
                <w:lang w:val="en-US" w:eastAsia="zh-CN"/>
              </w:rPr>
              <w:t>8</w:t>
            </w:r>
            <w:r>
              <w:rPr>
                <w:rFonts w:hint="eastAsia" w:ascii="宋体" w:hAnsi="宋体" w:eastAsia="宋体" w:cs="宋体"/>
                <w:spacing w:val="-3"/>
                <w:sz w:val="24"/>
                <w:szCs w:val="24"/>
                <w:lang w:val="en-US" w:eastAsia="zh-CN"/>
              </w:rPr>
              <w:t>分</w:t>
            </w:r>
          </w:p>
        </w:tc>
        <w:tc>
          <w:tcPr>
            <w:tcW w:w="3496" w:type="pct"/>
            <w:noWrap w:val="0"/>
            <w:vAlign w:val="center"/>
          </w:tcPr>
          <w:p w14:paraId="699519DE">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投标供应商在伊犁州应有固定办公场所并配备相应的办公设备、设施。伊犁州区域外的投标供应商若在伊犁州范围内没有固定办公场所，应提供能根据项目实际需要以满足现场办公服务的承诺及详细方案，能及时有效的满足招标人工作需求。经评审委员会横向对比，对投标供应商的办公设备、办公场所面积与人员配备情况进行科学合理的评分。</w:t>
            </w:r>
          </w:p>
          <w:p w14:paraId="0C42667A">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1、在</w:t>
            </w:r>
            <w:r>
              <w:rPr>
                <w:rFonts w:hint="eastAsia" w:ascii="宋体" w:hAnsi="宋体" w:cs="宋体"/>
                <w:color w:val="auto"/>
                <w:spacing w:val="-1"/>
                <w:sz w:val="24"/>
                <w:szCs w:val="24"/>
                <w:lang w:val="en-US" w:eastAsia="zh-CN"/>
              </w:rPr>
              <w:t>伊犁</w:t>
            </w:r>
            <w:r>
              <w:rPr>
                <w:rFonts w:hint="eastAsia" w:ascii="宋体" w:hAnsi="宋体" w:eastAsia="宋体" w:cs="宋体"/>
                <w:color w:val="auto"/>
                <w:spacing w:val="-1"/>
                <w:sz w:val="24"/>
                <w:szCs w:val="24"/>
                <w:lang w:val="en-US" w:eastAsia="zh-CN"/>
              </w:rPr>
              <w:t>州区域内有办公场所或外地企业在伊犁州设有分公司或办事处，且办公设备、办公场所面积与人员配备情况完全满足工作需要得</w:t>
            </w:r>
            <w:r>
              <w:rPr>
                <w:rFonts w:hint="eastAsia" w:ascii="宋体" w:hAnsi="宋体" w:cs="宋体"/>
                <w:color w:val="auto"/>
                <w:spacing w:val="-1"/>
                <w:sz w:val="24"/>
                <w:szCs w:val="24"/>
                <w:lang w:val="en-US" w:eastAsia="zh-CN"/>
              </w:rPr>
              <w:t>8</w:t>
            </w:r>
            <w:r>
              <w:rPr>
                <w:rFonts w:hint="eastAsia" w:ascii="宋体" w:hAnsi="宋体" w:eastAsia="宋体" w:cs="宋体"/>
                <w:color w:val="auto"/>
                <w:spacing w:val="-1"/>
                <w:sz w:val="24"/>
                <w:szCs w:val="24"/>
                <w:lang w:val="en-US" w:eastAsia="zh-CN"/>
              </w:rPr>
              <w:t>分；</w:t>
            </w:r>
          </w:p>
          <w:p w14:paraId="7AE68DC1">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2、在</w:t>
            </w:r>
            <w:r>
              <w:rPr>
                <w:rFonts w:hint="eastAsia" w:ascii="宋体" w:hAnsi="宋体" w:cs="宋体"/>
                <w:color w:val="auto"/>
                <w:spacing w:val="-1"/>
                <w:sz w:val="24"/>
                <w:szCs w:val="24"/>
                <w:lang w:val="en-US" w:eastAsia="zh-CN"/>
              </w:rPr>
              <w:t>伊犁</w:t>
            </w:r>
            <w:r>
              <w:rPr>
                <w:rFonts w:hint="eastAsia" w:ascii="宋体" w:hAnsi="宋体" w:eastAsia="宋体" w:cs="宋体"/>
                <w:color w:val="auto"/>
                <w:spacing w:val="-1"/>
                <w:sz w:val="24"/>
                <w:szCs w:val="24"/>
                <w:lang w:val="en-US" w:eastAsia="zh-CN"/>
              </w:rPr>
              <w:t>州区域内没有办公场所或外地企业在伊犁州没有设立分公司或办事处，但提供了根据项目实际需要以满足现场办公服务的承诺及详细方案，且方案中投标供应商的办公设备、办公场</w:t>
            </w:r>
            <w:r>
              <w:rPr>
                <w:rFonts w:hint="eastAsia" w:ascii="宋体" w:hAnsi="宋体" w:cs="宋体"/>
                <w:color w:val="auto"/>
                <w:spacing w:val="-1"/>
                <w:sz w:val="24"/>
                <w:szCs w:val="24"/>
                <w:lang w:val="en-US" w:eastAsia="zh-CN"/>
              </w:rPr>
              <w:t>所</w:t>
            </w:r>
            <w:r>
              <w:rPr>
                <w:rFonts w:hint="eastAsia" w:ascii="宋体" w:hAnsi="宋体" w:eastAsia="宋体" w:cs="宋体"/>
                <w:color w:val="auto"/>
                <w:spacing w:val="-1"/>
                <w:sz w:val="24"/>
                <w:szCs w:val="24"/>
                <w:lang w:val="en-US" w:eastAsia="zh-CN"/>
              </w:rPr>
              <w:t>与人员配备情况对应科学、合理，得</w:t>
            </w:r>
            <w:r>
              <w:rPr>
                <w:rFonts w:hint="eastAsia" w:ascii="宋体" w:hAnsi="宋体" w:cs="宋体"/>
                <w:color w:val="auto"/>
                <w:spacing w:val="-1"/>
                <w:sz w:val="24"/>
                <w:szCs w:val="24"/>
                <w:lang w:val="en-US" w:eastAsia="zh-CN"/>
              </w:rPr>
              <w:t>5</w:t>
            </w:r>
            <w:r>
              <w:rPr>
                <w:rFonts w:hint="eastAsia" w:ascii="宋体" w:hAnsi="宋体" w:eastAsia="宋体" w:cs="宋体"/>
                <w:color w:val="auto"/>
                <w:spacing w:val="-1"/>
                <w:sz w:val="24"/>
                <w:szCs w:val="24"/>
                <w:lang w:val="en-US" w:eastAsia="zh-CN"/>
              </w:rPr>
              <w:t>分；</w:t>
            </w:r>
          </w:p>
          <w:p w14:paraId="61F12C22">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rPr>
                <w:rFonts w:hint="eastAsia" w:ascii="宋体" w:hAnsi="宋体" w:eastAsia="宋体" w:cs="宋体"/>
                <w:color w:val="auto"/>
                <w:spacing w:val="-1"/>
                <w:sz w:val="24"/>
                <w:szCs w:val="24"/>
                <w:lang w:val="en-US" w:eastAsia="zh-CN"/>
              </w:rPr>
            </w:pPr>
            <w:r>
              <w:rPr>
                <w:rFonts w:hint="eastAsia" w:ascii="宋体" w:hAnsi="宋体" w:cs="宋体"/>
                <w:color w:val="auto"/>
                <w:spacing w:val="-1"/>
                <w:sz w:val="24"/>
                <w:szCs w:val="24"/>
                <w:lang w:val="en-US" w:eastAsia="zh-CN"/>
              </w:rPr>
              <w:t>3、</w:t>
            </w:r>
            <w:r>
              <w:rPr>
                <w:rFonts w:hint="eastAsia" w:ascii="宋体" w:hAnsi="宋体" w:eastAsia="宋体" w:cs="宋体"/>
                <w:color w:val="auto"/>
                <w:spacing w:val="-1"/>
                <w:sz w:val="24"/>
                <w:szCs w:val="24"/>
                <w:lang w:val="en-US" w:eastAsia="zh-CN"/>
              </w:rPr>
              <w:t>在</w:t>
            </w:r>
            <w:r>
              <w:rPr>
                <w:rFonts w:hint="eastAsia" w:ascii="宋体" w:hAnsi="宋体" w:cs="宋体"/>
                <w:color w:val="auto"/>
                <w:spacing w:val="-1"/>
                <w:sz w:val="24"/>
                <w:szCs w:val="24"/>
                <w:lang w:val="en-US" w:eastAsia="zh-CN"/>
              </w:rPr>
              <w:t>伊犁</w:t>
            </w:r>
            <w:r>
              <w:rPr>
                <w:rFonts w:hint="eastAsia" w:ascii="宋体" w:hAnsi="宋体" w:eastAsia="宋体" w:cs="宋体"/>
                <w:color w:val="auto"/>
                <w:spacing w:val="-1"/>
                <w:sz w:val="24"/>
                <w:szCs w:val="24"/>
                <w:lang w:val="en-US" w:eastAsia="zh-CN"/>
              </w:rPr>
              <w:t>州区域内没有办公场所或外地企业在伊犁州没有设立分公司或办事处，但提供</w:t>
            </w:r>
            <w:r>
              <w:rPr>
                <w:rFonts w:hint="eastAsia" w:ascii="宋体" w:hAnsi="宋体" w:cs="宋体"/>
                <w:color w:val="auto"/>
                <w:spacing w:val="-1"/>
                <w:sz w:val="24"/>
                <w:szCs w:val="24"/>
                <w:lang w:val="en-US" w:eastAsia="zh-CN"/>
              </w:rPr>
              <w:t>的</w:t>
            </w:r>
            <w:r>
              <w:rPr>
                <w:rFonts w:hint="eastAsia" w:ascii="宋体" w:hAnsi="宋体" w:eastAsia="宋体" w:cs="宋体"/>
                <w:color w:val="auto"/>
                <w:spacing w:val="-1"/>
                <w:sz w:val="24"/>
                <w:szCs w:val="24"/>
                <w:lang w:val="en-US" w:eastAsia="zh-CN"/>
              </w:rPr>
              <w:t>现场办公服务的承诺及详细方案</w:t>
            </w:r>
            <w:r>
              <w:rPr>
                <w:rFonts w:hint="eastAsia" w:ascii="宋体" w:hAnsi="宋体" w:cs="宋体"/>
                <w:color w:val="auto"/>
                <w:spacing w:val="-1"/>
                <w:sz w:val="24"/>
                <w:szCs w:val="24"/>
                <w:lang w:val="en-US" w:eastAsia="zh-CN"/>
              </w:rPr>
              <w:t>不全面，操作性不强</w:t>
            </w:r>
            <w:r>
              <w:rPr>
                <w:rFonts w:hint="eastAsia" w:ascii="宋体" w:hAnsi="宋体" w:eastAsia="宋体" w:cs="宋体"/>
                <w:color w:val="auto"/>
                <w:spacing w:val="-1"/>
                <w:sz w:val="24"/>
                <w:szCs w:val="24"/>
                <w:lang w:val="en-US" w:eastAsia="zh-CN"/>
              </w:rPr>
              <w:t>，且方案中的办公设备、办公场所与人员配备情况</w:t>
            </w:r>
            <w:r>
              <w:rPr>
                <w:rFonts w:hint="eastAsia" w:ascii="宋体" w:hAnsi="宋体" w:cs="宋体"/>
                <w:color w:val="auto"/>
                <w:spacing w:val="-1"/>
                <w:sz w:val="24"/>
                <w:szCs w:val="24"/>
                <w:lang w:val="en-US" w:eastAsia="zh-CN"/>
              </w:rPr>
              <w:t>不具体，不能满足评审要求</w:t>
            </w:r>
            <w:r>
              <w:rPr>
                <w:rFonts w:hint="eastAsia" w:ascii="宋体" w:hAnsi="宋体" w:eastAsia="宋体" w:cs="宋体"/>
                <w:color w:val="auto"/>
                <w:spacing w:val="-1"/>
                <w:sz w:val="24"/>
                <w:szCs w:val="24"/>
                <w:lang w:val="en-US" w:eastAsia="zh-CN"/>
              </w:rPr>
              <w:t>，得</w:t>
            </w:r>
            <w:r>
              <w:rPr>
                <w:rFonts w:hint="eastAsia" w:ascii="宋体" w:hAnsi="宋体" w:cs="宋体"/>
                <w:color w:val="auto"/>
                <w:spacing w:val="-1"/>
                <w:sz w:val="24"/>
                <w:szCs w:val="24"/>
                <w:lang w:val="en-US" w:eastAsia="zh-CN"/>
              </w:rPr>
              <w:t>3</w:t>
            </w:r>
            <w:r>
              <w:rPr>
                <w:rFonts w:hint="eastAsia" w:ascii="宋体" w:hAnsi="宋体" w:eastAsia="宋体" w:cs="宋体"/>
                <w:color w:val="auto"/>
                <w:spacing w:val="-1"/>
                <w:sz w:val="24"/>
                <w:szCs w:val="24"/>
                <w:lang w:val="en-US" w:eastAsia="zh-CN"/>
              </w:rPr>
              <w:t>分；</w:t>
            </w:r>
          </w:p>
          <w:p w14:paraId="283CABD0">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备注：</w:t>
            </w:r>
          </w:p>
          <w:p w14:paraId="5A0C8BDE">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rPr>
                <w:rFonts w:hint="eastAsia" w:ascii="宋体" w:hAnsi="宋体" w:eastAsia="宋体" w:cs="宋体"/>
                <w:spacing w:val="-1"/>
                <w:sz w:val="24"/>
                <w:szCs w:val="24"/>
                <w:lang w:val="en-US" w:eastAsia="zh-CN"/>
              </w:rPr>
            </w:pPr>
            <w:r>
              <w:rPr>
                <w:rFonts w:hint="eastAsia" w:ascii="宋体" w:hAnsi="宋体" w:eastAsia="宋体" w:cs="宋体"/>
                <w:color w:val="auto"/>
                <w:spacing w:val="-1"/>
                <w:sz w:val="24"/>
                <w:szCs w:val="24"/>
                <w:lang w:val="en-US" w:eastAsia="zh-CN"/>
              </w:rPr>
              <w:t>响应文件中提供以下相关证明材原件的扫描件加盖公章（选择其中一种）：1.自有房产登记证（不动产登记证）；2.房屋租赁合同；3.经房管部门备案的购房合同；4.其它能够合理合法证明具有所有权或使用权的材料；5、伊犁州区域外投标单位若在项目所在地区有办公场所，可提供 1-4 项中任一一项内容（但应提供相应的发票包括但不限于物业费、水电费、房屋租赁费），伊犁州区域外投标单位若无办公场所，需提供详细的现场办公承诺及详细方案。</w:t>
            </w:r>
          </w:p>
        </w:tc>
      </w:tr>
      <w:tr w14:paraId="1499BB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8" w:hRule="atLeast"/>
        </w:trPr>
        <w:tc>
          <w:tcPr>
            <w:tcW w:w="551" w:type="pct"/>
            <w:noWrap w:val="0"/>
            <w:vAlign w:val="center"/>
          </w:tcPr>
          <w:p w14:paraId="6D0B4442">
            <w:pPr>
              <w:spacing w:before="78" w:line="360" w:lineRule="auto"/>
              <w:ind w:firstLine="155"/>
              <w:jc w:val="both"/>
              <w:rPr>
                <w:rFonts w:hint="eastAsia" w:ascii="宋体" w:hAnsi="宋体" w:eastAsia="宋体" w:cs="宋体"/>
                <w:spacing w:val="-4"/>
                <w:sz w:val="24"/>
                <w:szCs w:val="24"/>
              </w:rPr>
            </w:pPr>
          </w:p>
        </w:tc>
        <w:tc>
          <w:tcPr>
            <w:tcW w:w="558" w:type="pct"/>
            <w:noWrap w:val="0"/>
            <w:vAlign w:val="center"/>
          </w:tcPr>
          <w:p w14:paraId="6A791012">
            <w:pPr>
              <w:keepNext w:val="0"/>
              <w:keepLines w:val="0"/>
              <w:pageBreakBefore w:val="0"/>
              <w:widowControl w:val="0"/>
              <w:kinsoku/>
              <w:wordWrap/>
              <w:overflowPunct/>
              <w:topLinePunct w:val="0"/>
              <w:autoSpaceDE/>
              <w:autoSpaceDN/>
              <w:bidi w:val="0"/>
              <w:adjustRightInd/>
              <w:snapToGrid/>
              <w:spacing w:beforeLines="0" w:afterLines="0" w:line="360" w:lineRule="auto"/>
              <w:ind w:firstLine="28"/>
              <w:jc w:val="center"/>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技术服务</w:t>
            </w:r>
          </w:p>
          <w:p w14:paraId="7E4E8700">
            <w:pPr>
              <w:keepNext w:val="0"/>
              <w:keepLines w:val="0"/>
              <w:pageBreakBefore w:val="0"/>
              <w:widowControl w:val="0"/>
              <w:kinsoku/>
              <w:wordWrap/>
              <w:overflowPunct/>
              <w:topLinePunct w:val="0"/>
              <w:autoSpaceDE/>
              <w:autoSpaceDN/>
              <w:bidi w:val="0"/>
              <w:adjustRightInd/>
              <w:snapToGrid/>
              <w:spacing w:beforeLines="0" w:afterLines="0" w:line="360" w:lineRule="auto"/>
              <w:ind w:firstLine="28"/>
              <w:jc w:val="center"/>
              <w:rPr>
                <w:rFonts w:hint="default"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人员配备</w:t>
            </w:r>
          </w:p>
        </w:tc>
        <w:tc>
          <w:tcPr>
            <w:tcW w:w="394" w:type="pct"/>
            <w:noWrap w:val="0"/>
            <w:vAlign w:val="center"/>
          </w:tcPr>
          <w:p w14:paraId="091A1F7E">
            <w:pPr>
              <w:keepNext w:val="0"/>
              <w:keepLines w:val="0"/>
              <w:pageBreakBefore w:val="0"/>
              <w:widowControl w:val="0"/>
              <w:kinsoku/>
              <w:wordWrap/>
              <w:overflowPunct/>
              <w:topLinePunct w:val="0"/>
              <w:autoSpaceDE/>
              <w:autoSpaceDN/>
              <w:bidi w:val="0"/>
              <w:adjustRightInd/>
              <w:snapToGrid/>
              <w:spacing w:beforeLines="0" w:afterLines="0" w:line="360" w:lineRule="auto"/>
              <w:ind w:firstLine="28"/>
              <w:jc w:val="center"/>
              <w:rPr>
                <w:rFonts w:hint="eastAsia" w:ascii="宋体" w:hAnsi="宋体" w:eastAsia="宋体" w:cs="宋体"/>
                <w:spacing w:val="-1"/>
                <w:sz w:val="24"/>
                <w:szCs w:val="24"/>
                <w:lang w:val="en-US" w:eastAsia="zh-CN"/>
              </w:rPr>
            </w:pPr>
            <w:r>
              <w:rPr>
                <w:rFonts w:hint="eastAsia" w:ascii="宋体" w:hAnsi="宋体" w:cs="宋体"/>
                <w:spacing w:val="-1"/>
                <w:sz w:val="24"/>
                <w:szCs w:val="24"/>
                <w:lang w:val="en-US" w:eastAsia="zh-CN"/>
              </w:rPr>
              <w:t>16</w:t>
            </w:r>
            <w:r>
              <w:rPr>
                <w:rFonts w:hint="eastAsia" w:ascii="宋体" w:hAnsi="宋体" w:eastAsia="宋体" w:cs="宋体"/>
                <w:spacing w:val="-1"/>
                <w:sz w:val="24"/>
                <w:szCs w:val="24"/>
                <w:lang w:val="en-US" w:eastAsia="zh-CN"/>
              </w:rPr>
              <w:t>分</w:t>
            </w:r>
          </w:p>
        </w:tc>
        <w:tc>
          <w:tcPr>
            <w:tcW w:w="3496" w:type="pct"/>
            <w:noWrap w:val="0"/>
            <w:vAlign w:val="center"/>
          </w:tcPr>
          <w:p w14:paraId="1E900ED5">
            <w:pPr>
              <w:keepNext w:val="0"/>
              <w:keepLines w:val="0"/>
              <w:pageBreakBefore w:val="0"/>
              <w:widowControl w:val="0"/>
              <w:kinsoku/>
              <w:wordWrap/>
              <w:overflowPunct/>
              <w:topLinePunct w:val="0"/>
              <w:autoSpaceDE/>
              <w:autoSpaceDN/>
              <w:bidi w:val="0"/>
              <w:adjustRightInd/>
              <w:snapToGrid/>
              <w:spacing w:beforeLines="0" w:afterLines="0" w:line="360" w:lineRule="auto"/>
              <w:ind w:firstLine="28"/>
              <w:jc w:val="both"/>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 xml:space="preserve">人员配备及分工方案 </w:t>
            </w:r>
          </w:p>
          <w:p w14:paraId="0212B89E">
            <w:pPr>
              <w:keepNext w:val="0"/>
              <w:keepLines w:val="0"/>
              <w:pageBreakBefore w:val="0"/>
              <w:widowControl w:val="0"/>
              <w:kinsoku/>
              <w:wordWrap/>
              <w:overflowPunct/>
              <w:topLinePunct w:val="0"/>
              <w:autoSpaceDE/>
              <w:autoSpaceDN/>
              <w:bidi w:val="0"/>
              <w:adjustRightInd/>
              <w:snapToGrid/>
              <w:spacing w:beforeLines="0" w:afterLines="0" w:line="360" w:lineRule="auto"/>
              <w:ind w:firstLine="28"/>
              <w:jc w:val="both"/>
              <w:rPr>
                <w:rFonts w:hint="default" w:ascii="宋体" w:hAnsi="宋体" w:eastAsia="宋体" w:cs="宋体"/>
                <w:spacing w:val="-1"/>
                <w:sz w:val="24"/>
                <w:szCs w:val="24"/>
                <w:lang w:val="en-US" w:eastAsia="zh-CN"/>
              </w:rPr>
            </w:pPr>
            <w:r>
              <w:rPr>
                <w:rFonts w:hint="eastAsia" w:ascii="宋体" w:hAnsi="宋体" w:cs="宋体"/>
                <w:spacing w:val="-1"/>
                <w:sz w:val="24"/>
                <w:szCs w:val="24"/>
                <w:lang w:val="en-US" w:eastAsia="zh-CN"/>
              </w:rPr>
              <w:t>1、</w:t>
            </w:r>
            <w:r>
              <w:rPr>
                <w:rFonts w:hint="eastAsia" w:ascii="宋体" w:hAnsi="宋体" w:eastAsia="宋体" w:cs="宋体"/>
                <w:spacing w:val="-1"/>
                <w:sz w:val="24"/>
                <w:szCs w:val="24"/>
                <w:lang w:val="en-US" w:eastAsia="zh-CN"/>
              </w:rPr>
              <w:t>拟安排的评审人员（含项目负责人）持有二级造价师及以上达到10人（含），人员配置、专业配置齐全，责任分工明确，人员的社会保障基金全部缴纳，得10分；其中有土木建筑、交通运输工程（公路）、水利、安装所有四类专业的一级造价工程师，得</w:t>
            </w:r>
            <w:r>
              <w:rPr>
                <w:rFonts w:hint="eastAsia" w:ascii="宋体" w:hAnsi="宋体" w:cs="宋体"/>
                <w:spacing w:val="-1"/>
                <w:sz w:val="24"/>
                <w:szCs w:val="24"/>
                <w:lang w:val="en-US" w:eastAsia="zh-CN"/>
              </w:rPr>
              <w:t>6</w:t>
            </w:r>
            <w:r>
              <w:rPr>
                <w:rFonts w:hint="eastAsia" w:ascii="宋体" w:hAnsi="宋体" w:eastAsia="宋体" w:cs="宋体"/>
                <w:spacing w:val="-1"/>
                <w:sz w:val="24"/>
                <w:szCs w:val="24"/>
                <w:lang w:val="en-US" w:eastAsia="zh-CN"/>
              </w:rPr>
              <w:t>分；</w:t>
            </w:r>
          </w:p>
          <w:p w14:paraId="0EB951F5">
            <w:pPr>
              <w:keepNext w:val="0"/>
              <w:keepLines w:val="0"/>
              <w:pageBreakBefore w:val="0"/>
              <w:widowControl w:val="0"/>
              <w:kinsoku/>
              <w:wordWrap/>
              <w:overflowPunct/>
              <w:topLinePunct w:val="0"/>
              <w:autoSpaceDE/>
              <w:autoSpaceDN/>
              <w:bidi w:val="0"/>
              <w:adjustRightInd/>
              <w:snapToGrid/>
              <w:spacing w:beforeLines="0" w:afterLines="0" w:line="360" w:lineRule="auto"/>
              <w:jc w:val="both"/>
              <w:rPr>
                <w:rFonts w:hint="eastAsia" w:ascii="宋体" w:hAnsi="宋体" w:eastAsia="宋体" w:cs="宋体"/>
                <w:spacing w:val="-1"/>
                <w:sz w:val="24"/>
                <w:szCs w:val="24"/>
                <w:lang w:val="en-US" w:eastAsia="zh-CN"/>
              </w:rPr>
            </w:pPr>
            <w:r>
              <w:rPr>
                <w:rFonts w:hint="eastAsia" w:ascii="宋体" w:hAnsi="宋体" w:cs="宋体"/>
                <w:spacing w:val="-1"/>
                <w:sz w:val="24"/>
                <w:szCs w:val="24"/>
                <w:lang w:val="en-US" w:eastAsia="zh-CN"/>
              </w:rPr>
              <w:t>2、</w:t>
            </w:r>
            <w:r>
              <w:rPr>
                <w:rFonts w:hint="eastAsia" w:ascii="宋体" w:hAnsi="宋体" w:eastAsia="宋体" w:cs="宋体"/>
                <w:spacing w:val="-1"/>
                <w:sz w:val="24"/>
                <w:szCs w:val="24"/>
                <w:lang w:val="en-US" w:eastAsia="zh-CN"/>
              </w:rPr>
              <w:t>拟安排的评审人员（含项目负责人）持有二级造价师及以上达到8人（含），人员配置、专业配置合理，责任分工清楚，人员的社会保障基金全部缴纳，得8分；其中有土木建筑、交通运输工程（公路）、水利、安装四类中的3类专业的一级造价工程师，得</w:t>
            </w:r>
            <w:r>
              <w:rPr>
                <w:rFonts w:hint="eastAsia" w:ascii="宋体" w:hAnsi="宋体" w:cs="宋体"/>
                <w:spacing w:val="-1"/>
                <w:sz w:val="24"/>
                <w:szCs w:val="24"/>
                <w:lang w:val="en-US" w:eastAsia="zh-CN"/>
              </w:rPr>
              <w:t>5</w:t>
            </w:r>
            <w:r>
              <w:rPr>
                <w:rFonts w:hint="eastAsia" w:ascii="宋体" w:hAnsi="宋体" w:eastAsia="宋体" w:cs="宋体"/>
                <w:spacing w:val="-1"/>
                <w:sz w:val="24"/>
                <w:szCs w:val="24"/>
                <w:lang w:val="en-US" w:eastAsia="zh-CN"/>
              </w:rPr>
              <w:t>分；</w:t>
            </w:r>
          </w:p>
          <w:p w14:paraId="04C6211E">
            <w:pPr>
              <w:keepNext w:val="0"/>
              <w:keepLines w:val="0"/>
              <w:pageBreakBefore w:val="0"/>
              <w:widowControl w:val="0"/>
              <w:kinsoku/>
              <w:wordWrap/>
              <w:overflowPunct/>
              <w:topLinePunct w:val="0"/>
              <w:autoSpaceDE/>
              <w:autoSpaceDN/>
              <w:bidi w:val="0"/>
              <w:adjustRightInd/>
              <w:snapToGrid/>
              <w:spacing w:beforeLines="0" w:afterLines="0" w:line="360" w:lineRule="auto"/>
              <w:ind w:firstLine="28"/>
              <w:jc w:val="both"/>
              <w:rPr>
                <w:rFonts w:hint="eastAsia" w:ascii="宋体" w:hAnsi="宋体" w:eastAsia="宋体" w:cs="宋体"/>
                <w:spacing w:val="-1"/>
                <w:sz w:val="24"/>
                <w:szCs w:val="24"/>
                <w:lang w:val="en-US" w:eastAsia="zh-CN"/>
              </w:rPr>
            </w:pPr>
            <w:r>
              <w:rPr>
                <w:rFonts w:hint="eastAsia" w:ascii="宋体" w:hAnsi="宋体" w:cs="宋体"/>
                <w:spacing w:val="-1"/>
                <w:sz w:val="24"/>
                <w:szCs w:val="24"/>
                <w:lang w:val="en-US" w:eastAsia="zh-CN"/>
              </w:rPr>
              <w:t>3、</w:t>
            </w:r>
            <w:r>
              <w:rPr>
                <w:rFonts w:hint="eastAsia" w:ascii="宋体" w:hAnsi="宋体" w:eastAsia="宋体" w:cs="宋体"/>
                <w:spacing w:val="-1"/>
                <w:sz w:val="24"/>
                <w:szCs w:val="24"/>
                <w:lang w:val="en-US" w:eastAsia="zh-CN"/>
              </w:rPr>
              <w:t>拟安排的评审人员（含项目负责人）持有二级造价师及以上达到6人（含），人员配置、专业配置基本合理，责任分工基本清楚，人员的社会保障基金全部缴纳，得6分；其中有土木建筑、交通运输工程（公路）、水利、安装四类中的2类专业的一级造价工程师，得</w:t>
            </w:r>
            <w:r>
              <w:rPr>
                <w:rFonts w:hint="eastAsia" w:ascii="宋体" w:hAnsi="宋体" w:cs="宋体"/>
                <w:spacing w:val="-1"/>
                <w:sz w:val="24"/>
                <w:szCs w:val="24"/>
                <w:lang w:val="en-US" w:eastAsia="zh-CN"/>
              </w:rPr>
              <w:t>4</w:t>
            </w:r>
            <w:r>
              <w:rPr>
                <w:rFonts w:hint="eastAsia" w:ascii="宋体" w:hAnsi="宋体" w:eastAsia="宋体" w:cs="宋体"/>
                <w:spacing w:val="-1"/>
                <w:sz w:val="24"/>
                <w:szCs w:val="24"/>
                <w:lang w:val="en-US" w:eastAsia="zh-CN"/>
              </w:rPr>
              <w:t>分；（低于两类得</w:t>
            </w:r>
            <w:r>
              <w:rPr>
                <w:rFonts w:hint="eastAsia" w:ascii="宋体" w:hAnsi="宋体" w:cs="宋体"/>
                <w:spacing w:val="-1"/>
                <w:sz w:val="24"/>
                <w:szCs w:val="24"/>
                <w:lang w:val="en-US" w:eastAsia="zh-CN"/>
              </w:rPr>
              <w:t>1</w:t>
            </w:r>
            <w:r>
              <w:rPr>
                <w:rFonts w:hint="eastAsia" w:ascii="宋体" w:hAnsi="宋体" w:eastAsia="宋体" w:cs="宋体"/>
                <w:spacing w:val="-1"/>
                <w:sz w:val="24"/>
                <w:szCs w:val="24"/>
                <w:lang w:val="en-US" w:eastAsia="zh-CN"/>
              </w:rPr>
              <w:t>分）</w:t>
            </w:r>
          </w:p>
          <w:p w14:paraId="49A3B805">
            <w:pPr>
              <w:keepNext w:val="0"/>
              <w:keepLines w:val="0"/>
              <w:pageBreakBefore w:val="0"/>
              <w:widowControl w:val="0"/>
              <w:kinsoku/>
              <w:wordWrap/>
              <w:overflowPunct/>
              <w:topLinePunct w:val="0"/>
              <w:autoSpaceDE/>
              <w:autoSpaceDN/>
              <w:bidi w:val="0"/>
              <w:adjustRightInd/>
              <w:snapToGrid/>
              <w:spacing w:beforeLines="0" w:afterLines="0" w:line="360" w:lineRule="auto"/>
              <w:ind w:firstLine="28"/>
              <w:jc w:val="both"/>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注：</w:t>
            </w:r>
          </w:p>
          <w:p w14:paraId="493A53B7">
            <w:pPr>
              <w:keepNext w:val="0"/>
              <w:keepLines w:val="0"/>
              <w:pageBreakBefore w:val="0"/>
              <w:widowControl w:val="0"/>
              <w:kinsoku/>
              <w:wordWrap/>
              <w:overflowPunct/>
              <w:topLinePunct w:val="0"/>
              <w:autoSpaceDE/>
              <w:autoSpaceDN/>
              <w:bidi w:val="0"/>
              <w:adjustRightInd/>
              <w:snapToGrid/>
              <w:spacing w:beforeLines="0" w:afterLines="0" w:line="360" w:lineRule="auto"/>
              <w:ind w:firstLine="28"/>
              <w:jc w:val="both"/>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1)需提供技术负责人(可兼任项目负责人)一级及注册造价师资格证书和其他各专业技术人员的资格证明文件及所配人员开标之日前近6个月内任意一个月的社保缴纳证明材料的扫描件，并可查询(外地企业在伊犁州有分支机构的可提供分支机构的人员证书):2)供应商填报的技术负责人(可兼任项目负责人)及其他各专业技术人员(土木建筑、公路交通、水利、安装等各专业人员)必须是咨询供立商拟投入到本项目中的人员，招标人一旦发现响应文件中配备的人员与实际为本项目编制报告的人员不一致，按弄虚作假处理，对采购人造损害及利益受损的，可直接终止其入围供应商资格。3)上述证明材料以响应文件中与原件相一致的扫描件为准。</w:t>
            </w:r>
          </w:p>
        </w:tc>
      </w:tr>
      <w:tr w14:paraId="236341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8" w:hRule="atLeast"/>
        </w:trPr>
        <w:tc>
          <w:tcPr>
            <w:tcW w:w="551" w:type="pct"/>
            <w:noWrap w:val="0"/>
            <w:vAlign w:val="center"/>
          </w:tcPr>
          <w:p w14:paraId="1A3A56BE">
            <w:pPr>
              <w:spacing w:before="78" w:line="360" w:lineRule="auto"/>
              <w:ind w:firstLine="155"/>
              <w:jc w:val="both"/>
              <w:rPr>
                <w:rFonts w:hint="eastAsia" w:ascii="宋体" w:hAnsi="宋体" w:eastAsia="宋体" w:cs="宋体"/>
                <w:spacing w:val="-4"/>
                <w:sz w:val="24"/>
                <w:szCs w:val="24"/>
              </w:rPr>
            </w:pPr>
          </w:p>
        </w:tc>
        <w:tc>
          <w:tcPr>
            <w:tcW w:w="558" w:type="pct"/>
            <w:noWrap w:val="0"/>
            <w:vAlign w:val="center"/>
          </w:tcPr>
          <w:p w14:paraId="65B46B18">
            <w:pPr>
              <w:keepNext w:val="0"/>
              <w:keepLines w:val="0"/>
              <w:pageBreakBefore w:val="0"/>
              <w:widowControl w:val="0"/>
              <w:kinsoku/>
              <w:wordWrap/>
              <w:overflowPunct/>
              <w:topLinePunct w:val="0"/>
              <w:autoSpaceDE/>
              <w:autoSpaceDN/>
              <w:bidi w:val="0"/>
              <w:adjustRightInd/>
              <w:snapToGrid/>
              <w:spacing w:beforeLines="0" w:afterLines="0" w:line="360" w:lineRule="auto"/>
              <w:ind w:firstLine="28"/>
              <w:jc w:val="center"/>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 xml:space="preserve">工作软件 </w:t>
            </w:r>
          </w:p>
          <w:p w14:paraId="181077FF">
            <w:pPr>
              <w:keepNext w:val="0"/>
              <w:keepLines w:val="0"/>
              <w:pageBreakBefore w:val="0"/>
              <w:widowControl w:val="0"/>
              <w:kinsoku/>
              <w:wordWrap/>
              <w:overflowPunct/>
              <w:topLinePunct w:val="0"/>
              <w:autoSpaceDE/>
              <w:autoSpaceDN/>
              <w:bidi w:val="0"/>
              <w:adjustRightInd/>
              <w:snapToGrid/>
              <w:spacing w:beforeLines="0" w:afterLines="0" w:line="360" w:lineRule="auto"/>
              <w:ind w:firstLine="28"/>
              <w:jc w:val="center"/>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的配备</w:t>
            </w:r>
          </w:p>
          <w:p w14:paraId="1D258072">
            <w:pPr>
              <w:keepNext w:val="0"/>
              <w:keepLines w:val="0"/>
              <w:pageBreakBefore w:val="0"/>
              <w:widowControl w:val="0"/>
              <w:kinsoku/>
              <w:wordWrap/>
              <w:overflowPunct/>
              <w:topLinePunct w:val="0"/>
              <w:autoSpaceDE/>
              <w:autoSpaceDN/>
              <w:bidi w:val="0"/>
              <w:adjustRightInd/>
              <w:snapToGrid/>
              <w:spacing w:beforeLines="0" w:afterLines="0" w:line="360" w:lineRule="auto"/>
              <w:ind w:firstLine="28"/>
              <w:jc w:val="center"/>
              <w:rPr>
                <w:rFonts w:hint="eastAsia" w:ascii="宋体" w:hAnsi="宋体" w:eastAsia="宋体" w:cs="宋体"/>
                <w:spacing w:val="-1"/>
                <w:sz w:val="24"/>
                <w:szCs w:val="24"/>
                <w:lang w:val="en-US" w:eastAsia="zh-CN"/>
              </w:rPr>
            </w:pPr>
          </w:p>
        </w:tc>
        <w:tc>
          <w:tcPr>
            <w:tcW w:w="394" w:type="pct"/>
            <w:noWrap w:val="0"/>
            <w:vAlign w:val="center"/>
          </w:tcPr>
          <w:p w14:paraId="1F7C3BF6">
            <w:pPr>
              <w:keepNext w:val="0"/>
              <w:keepLines w:val="0"/>
              <w:pageBreakBefore w:val="0"/>
              <w:widowControl w:val="0"/>
              <w:kinsoku/>
              <w:wordWrap/>
              <w:overflowPunct/>
              <w:topLinePunct w:val="0"/>
              <w:autoSpaceDE/>
              <w:autoSpaceDN/>
              <w:bidi w:val="0"/>
              <w:adjustRightInd/>
              <w:snapToGrid/>
              <w:spacing w:beforeLines="0" w:afterLines="0" w:line="360" w:lineRule="auto"/>
              <w:ind w:firstLine="28"/>
              <w:jc w:val="center"/>
              <w:rPr>
                <w:rFonts w:hint="default" w:ascii="宋体" w:hAnsi="宋体" w:cs="宋体"/>
                <w:spacing w:val="-1"/>
                <w:sz w:val="24"/>
                <w:szCs w:val="24"/>
                <w:lang w:val="en-US" w:eastAsia="zh-CN"/>
              </w:rPr>
            </w:pPr>
            <w:r>
              <w:rPr>
                <w:rFonts w:hint="eastAsia" w:ascii="宋体" w:hAnsi="宋体" w:cs="宋体"/>
                <w:spacing w:val="-1"/>
                <w:sz w:val="24"/>
                <w:szCs w:val="24"/>
                <w:lang w:val="en-US" w:eastAsia="zh-CN"/>
              </w:rPr>
              <w:t>6分</w:t>
            </w:r>
          </w:p>
        </w:tc>
        <w:tc>
          <w:tcPr>
            <w:tcW w:w="3496" w:type="pct"/>
            <w:noWrap w:val="0"/>
            <w:vAlign w:val="center"/>
          </w:tcPr>
          <w:p w14:paraId="0EF2883C">
            <w:pPr>
              <w:keepNext w:val="0"/>
              <w:keepLines w:val="0"/>
              <w:pageBreakBefore w:val="0"/>
              <w:widowControl w:val="0"/>
              <w:kinsoku/>
              <w:wordWrap/>
              <w:overflowPunct/>
              <w:topLinePunct w:val="0"/>
              <w:autoSpaceDE/>
              <w:autoSpaceDN/>
              <w:bidi w:val="0"/>
              <w:adjustRightInd/>
              <w:snapToGrid/>
              <w:spacing w:beforeLines="0" w:afterLines="0" w:line="360" w:lineRule="auto"/>
              <w:ind w:firstLine="28"/>
              <w:jc w:val="both"/>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对投标人针对本项目的计价软件配置(包括土建、安装、公路和水利专业的正版广联达、新点等计价软件)进行评价:1、投标人应配置齐全4个专业的正版计价软件，且每个专业计价锁(加密狗)数量不少于2把，并能和伊犁州公共资源交易中心评标软件兼容得基础分4分，投标人在4个专业每专业多一把专业计价锁(加密狗)加0.5分，同一专业以最高三把锁为限得1.5分，满分6分。2、投标人应配置齐全4个专业的正版计价软件，且每个专业计价锁(加密狗)数量不少于2把，并能和伊犁州公共资源交易中心评标软件兼容得基础分4分，投标人在4个专业每专业少一把专业计价锁(加密狗)扣0.5分，同一专业以2把锁得1分为限，直至扣完为止。注:提供计价软件的购买发票复印件或合同复印件，发票的购买方须与投标人名称一致;且需标明锁号。</w:t>
            </w:r>
          </w:p>
        </w:tc>
      </w:tr>
    </w:tbl>
    <w:p w14:paraId="43307D79">
      <w:pPr>
        <w:spacing w:line="320" w:lineRule="exact"/>
        <w:jc w:val="left"/>
        <w:rPr>
          <w:rFonts w:hint="eastAsia" w:ascii="宋体" w:hAnsi="宋体" w:eastAsia="宋体" w:cs="宋体"/>
          <w:color w:val="auto"/>
          <w:sz w:val="24"/>
          <w:szCs w:val="24"/>
        </w:rPr>
      </w:pPr>
    </w:p>
    <w:p w14:paraId="45F69300">
      <w:pPr>
        <w:spacing w:line="320" w:lineRule="exact"/>
        <w:jc w:val="left"/>
        <w:rPr>
          <w:rFonts w:eastAsia="楷体"/>
          <w:color w:val="auto"/>
          <w:sz w:val="24"/>
          <w:szCs w:val="24"/>
        </w:rPr>
      </w:pPr>
      <w:r>
        <w:rPr>
          <w:rFonts w:hint="eastAsia" w:ascii="宋体" w:hAnsi="宋体" w:eastAsia="宋体" w:cs="宋体"/>
          <w:color w:val="auto"/>
          <w:sz w:val="24"/>
          <w:szCs w:val="24"/>
        </w:rPr>
        <w:t>备注：评分得数保留两位小数，第三位数四舍五入，缺项得0分。</w:t>
      </w:r>
    </w:p>
    <w:p w14:paraId="31F468C2">
      <w:pPr>
        <w:rPr>
          <w:rFonts w:eastAsia="楷体"/>
          <w:b/>
          <w:color w:val="auto"/>
          <w:sz w:val="28"/>
        </w:rPr>
      </w:pPr>
      <w:r>
        <w:rPr>
          <w:rFonts w:eastAsia="楷体"/>
          <w:b/>
          <w:color w:val="auto"/>
          <w:sz w:val="28"/>
        </w:rPr>
        <w:br w:type="page"/>
      </w:r>
    </w:p>
    <w:p w14:paraId="35E534E0">
      <w:pPr>
        <w:spacing w:line="480" w:lineRule="exact"/>
        <w:jc w:val="center"/>
        <w:rPr>
          <w:rFonts w:ascii="Times New Roman" w:hAnsi="Times New Roman" w:eastAsia="楷体" w:cs="Times New Roman"/>
          <w:b/>
          <w:color w:val="auto"/>
          <w:spacing w:val="8"/>
          <w:sz w:val="30"/>
          <w:szCs w:val="30"/>
          <w:lang w:val="en-US" w:eastAsia="zh-CN" w:bidi="ar-SA"/>
        </w:rPr>
      </w:pPr>
      <w:bookmarkStart w:id="14" w:name="_Toc12000"/>
      <w:r>
        <w:rPr>
          <w:rFonts w:ascii="Times New Roman" w:hAnsi="Times New Roman" w:eastAsia="楷体" w:cs="Times New Roman"/>
          <w:b/>
          <w:color w:val="auto"/>
          <w:spacing w:val="8"/>
          <w:sz w:val="30"/>
          <w:szCs w:val="30"/>
          <w:lang w:val="en-US" w:eastAsia="zh-CN" w:bidi="ar-SA"/>
        </w:rPr>
        <w:t>第五部分</w:t>
      </w:r>
      <w:r>
        <w:rPr>
          <w:rFonts w:ascii="Times New Roman" w:hAnsi="Times New Roman" w:eastAsia="楷体" w:cs="Times New Roman"/>
          <w:b/>
          <w:color w:val="auto"/>
          <w:spacing w:val="8"/>
          <w:sz w:val="30"/>
          <w:szCs w:val="30"/>
          <w:lang w:val="en-US" w:eastAsia="zh-CN" w:bidi="ar-SA"/>
        </w:rPr>
        <w:tab/>
      </w:r>
      <w:r>
        <w:rPr>
          <w:rFonts w:ascii="Times New Roman" w:hAnsi="Times New Roman" w:eastAsia="楷体" w:cs="Times New Roman"/>
          <w:b/>
          <w:color w:val="auto"/>
          <w:spacing w:val="8"/>
          <w:sz w:val="30"/>
          <w:szCs w:val="30"/>
          <w:lang w:val="en-US" w:eastAsia="zh-CN" w:bidi="ar-SA"/>
        </w:rPr>
        <w:t xml:space="preserve">  框架协议（格式）</w:t>
      </w:r>
      <w:bookmarkEnd w:id="14"/>
    </w:p>
    <w:p w14:paraId="672B7652">
      <w:pPr>
        <w:spacing w:line="460" w:lineRule="exact"/>
        <w:ind w:left="400" w:leftChars="200" w:right="400" w:rightChars="200" w:firstLine="480" w:firstLineChars="20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框架协议（</w:t>
      </w:r>
      <w:r>
        <w:rPr>
          <w:rFonts w:hint="eastAsia" w:ascii="宋体" w:hAnsi="宋体" w:eastAsia="宋体" w:cs="宋体"/>
          <w:b/>
          <w:color w:val="auto"/>
          <w:szCs w:val="28"/>
        </w:rPr>
        <w:t>本协议仅供参考，以后期签订为准</w:t>
      </w:r>
      <w:r>
        <w:rPr>
          <w:rFonts w:hint="eastAsia" w:ascii="宋体" w:hAnsi="宋体" w:eastAsia="宋体" w:cs="宋体"/>
          <w:bCs/>
          <w:color w:val="auto"/>
          <w:sz w:val="24"/>
          <w:szCs w:val="24"/>
        </w:rPr>
        <w:t>）</w:t>
      </w:r>
    </w:p>
    <w:p w14:paraId="4ECDB890">
      <w:pPr>
        <w:tabs>
          <w:tab w:val="left" w:pos="4705"/>
        </w:tabs>
        <w:spacing w:line="460" w:lineRule="exact"/>
        <w:ind w:left="400" w:leftChars="200" w:right="400" w:rightChars="200" w:firstLine="480" w:firstLineChars="200"/>
        <w:rPr>
          <w:rFonts w:hint="eastAsia" w:ascii="宋体" w:hAnsi="宋体" w:eastAsia="宋体" w:cs="宋体"/>
          <w:bCs/>
          <w:color w:val="auto"/>
          <w:sz w:val="24"/>
          <w:szCs w:val="24"/>
        </w:rPr>
      </w:pPr>
    </w:p>
    <w:p w14:paraId="38BBE99B">
      <w:pPr>
        <w:keepNext w:val="0"/>
        <w:keepLines w:val="0"/>
        <w:pageBreakBefore w:val="0"/>
        <w:widowControl w:val="0"/>
        <w:tabs>
          <w:tab w:val="left" w:pos="4705"/>
        </w:tabs>
        <w:kinsoku/>
        <w:wordWrap/>
        <w:overflowPunct/>
        <w:topLinePunct w:val="0"/>
        <w:autoSpaceDE/>
        <w:autoSpaceDN/>
        <w:bidi w:val="0"/>
        <w:adjustRightInd/>
        <w:snapToGrid/>
        <w:spacing w:line="460" w:lineRule="exact"/>
        <w:ind w:left="0" w:leftChars="0" w:right="0" w:rightChars="0"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甲方（征集人）：</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u w:val="single"/>
          <w:lang w:val="en-US" w:eastAsia="zh-CN"/>
        </w:rPr>
        <w:t xml:space="preserve"> </w:t>
      </w:r>
      <w:r>
        <w:rPr>
          <w:rFonts w:hint="eastAsia" w:ascii="宋体" w:hAnsi="宋体" w:eastAsia="宋体" w:cs="宋体"/>
          <w:bCs/>
          <w:color w:val="auto"/>
          <w:sz w:val="24"/>
          <w:szCs w:val="24"/>
          <w:u w:val="single"/>
          <w:lang w:eastAsia="zh-CN"/>
        </w:rPr>
        <w:t>巩留县财政局</w:t>
      </w:r>
      <w:r>
        <w:rPr>
          <w:rFonts w:hint="eastAsia" w:ascii="宋体" w:hAnsi="宋体" w:eastAsia="宋体" w:cs="宋体"/>
          <w:bCs/>
          <w:color w:val="auto"/>
          <w:sz w:val="24"/>
          <w:szCs w:val="24"/>
          <w:u w:val="single"/>
        </w:rPr>
        <w:tab/>
      </w:r>
    </w:p>
    <w:p w14:paraId="5EE09AFC">
      <w:pPr>
        <w:keepNext w:val="0"/>
        <w:keepLines w:val="0"/>
        <w:pageBreakBefore w:val="0"/>
        <w:widowControl w:val="0"/>
        <w:tabs>
          <w:tab w:val="left" w:pos="5721"/>
        </w:tabs>
        <w:kinsoku/>
        <w:wordWrap/>
        <w:overflowPunct/>
        <w:topLinePunct w:val="0"/>
        <w:autoSpaceDE/>
        <w:autoSpaceDN/>
        <w:bidi w:val="0"/>
        <w:adjustRightInd/>
        <w:snapToGrid/>
        <w:spacing w:line="460" w:lineRule="exact"/>
        <w:ind w:left="0" w:leftChars="0" w:right="0" w:rightChars="0" w:firstLine="480" w:firstLineChars="200"/>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rPr>
        <w:t>乙方（入围供应商）：</w:t>
      </w:r>
      <w:r>
        <w:rPr>
          <w:rFonts w:hint="eastAsia" w:ascii="宋体" w:hAnsi="宋体" w:eastAsia="宋体" w:cs="宋体"/>
          <w:bCs/>
          <w:color w:val="auto"/>
          <w:sz w:val="24"/>
          <w:szCs w:val="24"/>
          <w:u w:val="single"/>
        </w:rPr>
        <w:t xml:space="preserve"> </w:t>
      </w:r>
      <w:r>
        <w:rPr>
          <w:rFonts w:hint="eastAsia" w:ascii="宋体" w:hAnsi="宋体" w:cs="宋体"/>
          <w:bCs/>
          <w:color w:val="auto"/>
          <w:sz w:val="24"/>
          <w:szCs w:val="24"/>
          <w:u w:val="single"/>
          <w:lang w:val="en-US" w:eastAsia="zh-CN"/>
        </w:rPr>
        <w:t xml:space="preserve">           </w:t>
      </w:r>
    </w:p>
    <w:p w14:paraId="1704D78E">
      <w:pPr>
        <w:keepNext w:val="0"/>
        <w:keepLines w:val="0"/>
        <w:pageBreakBefore w:val="0"/>
        <w:widowControl w:val="0"/>
        <w:tabs>
          <w:tab w:val="left" w:pos="5721"/>
        </w:tabs>
        <w:kinsoku/>
        <w:wordWrap/>
        <w:overflowPunct/>
        <w:topLinePunct w:val="0"/>
        <w:autoSpaceDE/>
        <w:autoSpaceDN/>
        <w:bidi w:val="0"/>
        <w:adjustRightInd/>
        <w:snapToGrid/>
        <w:spacing w:before="131" w:line="460" w:lineRule="exact"/>
        <w:ind w:right="400" w:rightChars="200"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根据《中华人民共和国政府采购法》、《政府采购框架协议采购方式管理暂行办法》等相关法律，按照征集文件约定的事项以及协议乙方的响应文件及其承诺，协议甲乙双方签订框架协议</w:t>
      </w:r>
    </w:p>
    <w:p w14:paraId="49A9868F">
      <w:pPr>
        <w:spacing w:before="1" w:line="460" w:lineRule="exact"/>
        <w:ind w:right="400" w:rightChars="200"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第一条 项目基本信息</w:t>
      </w:r>
    </w:p>
    <w:p w14:paraId="7057650A">
      <w:pPr>
        <w:keepNext w:val="0"/>
        <w:keepLines w:val="0"/>
        <w:pageBreakBefore w:val="0"/>
        <w:widowControl w:val="0"/>
        <w:numPr>
          <w:ilvl w:val="0"/>
          <w:numId w:val="0"/>
        </w:numPr>
        <w:tabs>
          <w:tab w:val="left" w:pos="1227"/>
          <w:tab w:val="left" w:pos="6801"/>
        </w:tabs>
        <w:kinsoku/>
        <w:wordWrap/>
        <w:overflowPunct/>
        <w:topLinePunct w:val="0"/>
        <w:autoSpaceDE/>
        <w:autoSpaceDN/>
        <w:bidi w:val="0"/>
        <w:adjustRightInd/>
        <w:snapToGrid/>
        <w:spacing w:line="440" w:lineRule="exact"/>
        <w:ind w:right="400" w:rightChars="200"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项目名称：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p w14:paraId="60D0ACC1">
      <w:pPr>
        <w:keepNext w:val="0"/>
        <w:keepLines w:val="0"/>
        <w:pageBreakBefore w:val="0"/>
        <w:widowControl w:val="0"/>
        <w:numPr>
          <w:ilvl w:val="0"/>
          <w:numId w:val="0"/>
        </w:numPr>
        <w:tabs>
          <w:tab w:val="left" w:pos="1227"/>
          <w:tab w:val="left" w:pos="6801"/>
        </w:tabs>
        <w:kinsoku/>
        <w:wordWrap/>
        <w:overflowPunct/>
        <w:topLinePunct w:val="0"/>
        <w:autoSpaceDE/>
        <w:autoSpaceDN/>
        <w:bidi w:val="0"/>
        <w:adjustRightInd/>
        <w:snapToGrid/>
        <w:spacing w:line="440" w:lineRule="exact"/>
        <w:ind w:right="400" w:rightChars="200" w:firstLine="480" w:firstLineChars="200"/>
        <w:rPr>
          <w:rFonts w:hint="eastAsia" w:ascii="宋体" w:hAnsi="宋体" w:eastAsia="宋体" w:cs="宋体"/>
          <w:color w:val="auto"/>
          <w:sz w:val="24"/>
          <w:szCs w:val="24"/>
          <w:u w:val="single"/>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p w14:paraId="71733518">
      <w:pPr>
        <w:keepNext w:val="0"/>
        <w:keepLines w:val="0"/>
        <w:pageBreakBefore w:val="0"/>
        <w:widowControl w:val="0"/>
        <w:numPr>
          <w:ilvl w:val="0"/>
          <w:numId w:val="0"/>
        </w:numPr>
        <w:tabs>
          <w:tab w:val="left" w:pos="1227"/>
          <w:tab w:val="left" w:pos="6801"/>
        </w:tabs>
        <w:kinsoku/>
        <w:wordWrap/>
        <w:overflowPunct/>
        <w:topLinePunct w:val="0"/>
        <w:autoSpaceDE/>
        <w:autoSpaceDN/>
        <w:bidi w:val="0"/>
        <w:adjustRightInd/>
        <w:snapToGrid/>
        <w:spacing w:line="440" w:lineRule="exact"/>
        <w:ind w:right="400" w:rightChars="200"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采购需求：</w:t>
      </w:r>
      <w:r>
        <w:rPr>
          <w:rFonts w:hint="eastAsia" w:ascii="宋体" w:hAnsi="宋体" w:eastAsia="宋体" w:cs="宋体"/>
          <w:color w:val="auto"/>
          <w:kern w:val="0"/>
          <w:sz w:val="24"/>
          <w:szCs w:val="24"/>
          <w:u w:val="single"/>
          <w:lang w:val="en-US" w:eastAsia="zh-CN"/>
        </w:rPr>
        <w:t>本项目拟征集14家造价咨询服务单位，为2025-2026年度巩留政府投资项目的工程类项目预算评审（抽审）、竣工结算评审（复审）及其它需要造价咨询公司参与的各项咨询服务。</w:t>
      </w:r>
    </w:p>
    <w:p w14:paraId="3EE85EF6">
      <w:pPr>
        <w:keepNext w:val="0"/>
        <w:keepLines w:val="0"/>
        <w:pageBreakBefore w:val="0"/>
        <w:widowControl w:val="0"/>
        <w:numPr>
          <w:ilvl w:val="0"/>
          <w:numId w:val="0"/>
        </w:numPr>
        <w:tabs>
          <w:tab w:val="left" w:pos="1227"/>
          <w:tab w:val="left" w:pos="6801"/>
        </w:tabs>
        <w:kinsoku/>
        <w:wordWrap/>
        <w:overflowPunct/>
        <w:topLinePunct w:val="0"/>
        <w:autoSpaceDE/>
        <w:autoSpaceDN/>
        <w:bidi w:val="0"/>
        <w:adjustRightInd/>
        <w:snapToGrid/>
        <w:spacing w:line="440" w:lineRule="exact"/>
        <w:ind w:right="0" w:rightChars="0"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框架协议期限：本协议有效期为</w:t>
      </w:r>
      <w:r>
        <w:rPr>
          <w:rFonts w:hint="eastAsia" w:ascii="宋体" w:hAnsi="宋体" w:cs="宋体"/>
          <w:color w:val="auto"/>
          <w:sz w:val="24"/>
          <w:szCs w:val="24"/>
          <w:u w:val="single"/>
          <w:lang w:val="en-US" w:eastAsia="zh-CN"/>
        </w:rPr>
        <w:t>2</w:t>
      </w:r>
      <w:r>
        <w:rPr>
          <w:rFonts w:hint="eastAsia" w:ascii="宋体" w:hAnsi="宋体" w:eastAsia="宋体" w:cs="宋体"/>
          <w:color w:val="auto"/>
          <w:sz w:val="24"/>
          <w:szCs w:val="24"/>
        </w:rPr>
        <w:t>年，自</w:t>
      </w:r>
      <w:r>
        <w:rPr>
          <w:rFonts w:hint="eastAsia" w:ascii="宋体" w:hAnsi="宋体" w:eastAsia="宋体" w:cs="宋体"/>
          <w:color w:val="auto"/>
          <w:sz w:val="24"/>
          <w:szCs w:val="24"/>
          <w:u w:val="single"/>
          <w:lang w:val="en-US" w:eastAsia="zh-CN"/>
        </w:rPr>
        <w:t>202</w:t>
      </w:r>
      <w:r>
        <w:rPr>
          <w:rFonts w:hint="eastAsia" w:ascii="宋体" w:hAnsi="宋体" w:cs="宋体"/>
          <w:color w:val="auto"/>
          <w:sz w:val="24"/>
          <w:szCs w:val="24"/>
          <w:u w:val="single"/>
          <w:lang w:val="en-US" w:eastAsia="zh-CN"/>
        </w:rPr>
        <w:t>5</w:t>
      </w:r>
      <w:r>
        <w:rPr>
          <w:rFonts w:hint="eastAsia" w:ascii="宋体" w:hAnsi="宋体" w:eastAsia="宋体" w:cs="宋体"/>
          <w:color w:val="auto"/>
          <w:sz w:val="24"/>
          <w:szCs w:val="24"/>
        </w:rPr>
        <w:t>年</w:t>
      </w:r>
      <w:r>
        <w:rPr>
          <w:rFonts w:hint="eastAsia" w:ascii="宋体" w:hAnsi="宋体" w:cs="宋体"/>
          <w:color w:val="auto"/>
          <w:sz w:val="24"/>
          <w:szCs w:val="24"/>
          <w:u w:val="single"/>
          <w:lang w:val="en-US" w:eastAsia="zh-CN"/>
        </w:rPr>
        <w:t>02</w:t>
      </w:r>
      <w:r>
        <w:rPr>
          <w:rFonts w:hint="eastAsia" w:ascii="宋体" w:hAnsi="宋体" w:eastAsia="宋体" w:cs="宋体"/>
          <w:color w:val="auto"/>
          <w:sz w:val="24"/>
          <w:szCs w:val="24"/>
        </w:rPr>
        <w:t>月</w:t>
      </w:r>
      <w:r>
        <w:rPr>
          <w:rFonts w:hint="eastAsia" w:ascii="宋体" w:hAnsi="宋体" w:cs="宋体"/>
          <w:color w:val="auto"/>
          <w:sz w:val="24"/>
          <w:szCs w:val="24"/>
          <w:u w:val="single"/>
          <w:lang w:val="en-US" w:eastAsia="zh-CN"/>
        </w:rPr>
        <w:t>12</w:t>
      </w:r>
      <w:r>
        <w:rPr>
          <w:rFonts w:hint="eastAsia" w:ascii="宋体" w:hAnsi="宋体" w:eastAsia="宋体" w:cs="宋体"/>
          <w:color w:val="auto"/>
          <w:sz w:val="24"/>
          <w:szCs w:val="24"/>
        </w:rPr>
        <w:t>日起到</w:t>
      </w:r>
      <w:r>
        <w:rPr>
          <w:rFonts w:hint="eastAsia" w:ascii="宋体" w:hAnsi="宋体" w:eastAsia="宋体" w:cs="宋体"/>
          <w:color w:val="auto"/>
          <w:sz w:val="24"/>
          <w:szCs w:val="24"/>
          <w:u w:val="single"/>
          <w:lang w:val="en-US" w:eastAsia="zh-CN"/>
        </w:rPr>
        <w:t>202</w:t>
      </w:r>
      <w:r>
        <w:rPr>
          <w:rFonts w:hint="eastAsia" w:ascii="宋体" w:hAnsi="宋体" w:cs="宋体"/>
          <w:color w:val="auto"/>
          <w:sz w:val="24"/>
          <w:szCs w:val="24"/>
          <w:u w:val="single"/>
          <w:lang w:val="en-US" w:eastAsia="zh-CN"/>
        </w:rPr>
        <w:t>7</w:t>
      </w:r>
      <w:r>
        <w:rPr>
          <w:rFonts w:hint="eastAsia" w:ascii="宋体" w:hAnsi="宋体" w:eastAsia="宋体" w:cs="宋体"/>
          <w:color w:val="auto"/>
          <w:sz w:val="24"/>
          <w:szCs w:val="24"/>
        </w:rPr>
        <w:t>年</w:t>
      </w:r>
      <w:r>
        <w:rPr>
          <w:rFonts w:hint="eastAsia" w:ascii="宋体" w:hAnsi="宋体" w:cs="宋体"/>
          <w:color w:val="auto"/>
          <w:sz w:val="24"/>
          <w:szCs w:val="24"/>
          <w:u w:val="single"/>
          <w:lang w:val="en-US" w:eastAsia="zh-CN"/>
        </w:rPr>
        <w:t>02</w:t>
      </w:r>
      <w:r>
        <w:rPr>
          <w:rFonts w:hint="eastAsia" w:ascii="宋体" w:hAnsi="宋体" w:eastAsia="宋体" w:cs="宋体"/>
          <w:color w:val="auto"/>
          <w:sz w:val="24"/>
          <w:szCs w:val="24"/>
        </w:rPr>
        <w:t>月</w:t>
      </w:r>
      <w:r>
        <w:rPr>
          <w:rFonts w:hint="eastAsia" w:ascii="宋体" w:hAnsi="宋体" w:cs="宋体"/>
          <w:color w:val="auto"/>
          <w:sz w:val="24"/>
          <w:szCs w:val="24"/>
          <w:u w:val="single"/>
          <w:lang w:val="en-US" w:eastAsia="zh-CN"/>
        </w:rPr>
        <w:t>12</w:t>
      </w:r>
      <w:r>
        <w:rPr>
          <w:rFonts w:hint="eastAsia" w:ascii="宋体" w:hAnsi="宋体" w:eastAsia="宋体" w:cs="宋体"/>
          <w:color w:val="auto"/>
          <w:sz w:val="24"/>
          <w:szCs w:val="24"/>
        </w:rPr>
        <w:t>日为本协议的执行期限。</w:t>
      </w:r>
    </w:p>
    <w:p w14:paraId="0F7D5FE7">
      <w:pPr>
        <w:spacing w:before="1" w:line="460" w:lineRule="exact"/>
        <w:ind w:right="400" w:rightChars="200"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第二条 框架协议信息</w:t>
      </w:r>
    </w:p>
    <w:p w14:paraId="4AA15192">
      <w:pPr>
        <w:keepNext w:val="0"/>
        <w:keepLines w:val="0"/>
        <w:pageBreakBefore w:val="0"/>
        <w:widowControl w:val="0"/>
        <w:numPr>
          <w:ilvl w:val="0"/>
          <w:numId w:val="0"/>
        </w:numPr>
        <w:tabs>
          <w:tab w:val="left" w:pos="1227"/>
          <w:tab w:val="left" w:pos="6801"/>
        </w:tabs>
        <w:kinsoku/>
        <w:wordWrap/>
        <w:overflowPunct/>
        <w:topLinePunct w:val="0"/>
        <w:autoSpaceDE/>
        <w:autoSpaceDN/>
        <w:bidi w:val="0"/>
        <w:adjustRightInd/>
        <w:snapToGrid/>
        <w:spacing w:line="440" w:lineRule="exact"/>
        <w:ind w:right="0" w:righ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服务内容、服务标准、协议价格</w:t>
      </w:r>
    </w:p>
    <w:p w14:paraId="5D0868C1">
      <w:pPr>
        <w:keepNext w:val="0"/>
        <w:keepLines w:val="0"/>
        <w:pageBreakBefore w:val="0"/>
        <w:widowControl w:val="0"/>
        <w:numPr>
          <w:ilvl w:val="0"/>
          <w:numId w:val="0"/>
        </w:numPr>
        <w:tabs>
          <w:tab w:val="left" w:pos="1227"/>
          <w:tab w:val="left" w:pos="3625"/>
        </w:tabs>
        <w:kinsoku/>
        <w:wordWrap/>
        <w:overflowPunct/>
        <w:topLinePunct w:val="0"/>
        <w:autoSpaceDE/>
        <w:autoSpaceDN/>
        <w:bidi w:val="0"/>
        <w:adjustRightInd/>
        <w:snapToGrid/>
        <w:spacing w:line="440" w:lineRule="exact"/>
        <w:ind w:right="400" w:rightChars="200"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1.1服务内容：</w:t>
      </w:r>
    </w:p>
    <w:p w14:paraId="16BE4C10">
      <w:pPr>
        <w:keepNext w:val="0"/>
        <w:keepLines w:val="0"/>
        <w:pageBreakBefore w:val="0"/>
        <w:widowControl w:val="0"/>
        <w:numPr>
          <w:ilvl w:val="0"/>
          <w:numId w:val="0"/>
        </w:numPr>
        <w:tabs>
          <w:tab w:val="left" w:pos="1227"/>
          <w:tab w:val="left" w:pos="6801"/>
        </w:tabs>
        <w:kinsoku/>
        <w:wordWrap/>
        <w:overflowPunct/>
        <w:topLinePunct w:val="0"/>
        <w:autoSpaceDE/>
        <w:autoSpaceDN/>
        <w:bidi w:val="0"/>
        <w:adjustRightInd/>
        <w:snapToGrid/>
        <w:spacing w:line="440" w:lineRule="exact"/>
        <w:ind w:right="0" w:rightChars="0" w:firstLine="480" w:firstLineChars="200"/>
        <w:rPr>
          <w:rFonts w:hint="eastAsia" w:ascii="宋体" w:hAnsi="宋体" w:eastAsia="宋体" w:cs="宋体"/>
          <w:color w:val="auto"/>
          <w:kern w:val="0"/>
          <w:sz w:val="24"/>
          <w:szCs w:val="24"/>
          <w:u w:val="single"/>
          <w:lang w:val="en-US" w:eastAsia="zh-CN"/>
        </w:rPr>
      </w:pPr>
      <w:r>
        <w:rPr>
          <w:rFonts w:hint="eastAsia" w:ascii="宋体" w:hAnsi="宋体" w:eastAsia="宋体" w:cs="宋体"/>
          <w:color w:val="auto"/>
          <w:kern w:val="0"/>
          <w:sz w:val="24"/>
          <w:szCs w:val="24"/>
          <w:u w:val="single"/>
          <w:lang w:val="en-US" w:eastAsia="zh-CN"/>
        </w:rPr>
        <w:t>为2025-2026年度巩留政府投资项目的工程类项目预算评审（抽审）、竣工结算评审（复审）及其它需要造价咨询公司参与的各项咨询服务。</w:t>
      </w:r>
    </w:p>
    <w:p w14:paraId="122D4814">
      <w:pPr>
        <w:keepNext w:val="0"/>
        <w:keepLines w:val="0"/>
        <w:pageBreakBefore w:val="0"/>
        <w:widowControl w:val="0"/>
        <w:numPr>
          <w:ilvl w:val="0"/>
          <w:numId w:val="0"/>
        </w:numPr>
        <w:tabs>
          <w:tab w:val="left" w:pos="1227"/>
          <w:tab w:val="left" w:pos="6801"/>
        </w:tabs>
        <w:kinsoku/>
        <w:wordWrap/>
        <w:overflowPunct/>
        <w:topLinePunct w:val="0"/>
        <w:autoSpaceDE/>
        <w:autoSpaceDN/>
        <w:bidi w:val="0"/>
        <w:adjustRightInd/>
        <w:snapToGrid/>
        <w:spacing w:line="440" w:lineRule="exact"/>
        <w:ind w:right="0" w:rightChars="0"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1.2服务标准：</w:t>
      </w:r>
    </w:p>
    <w:p w14:paraId="55E87ED5">
      <w:pPr>
        <w:keepNext w:val="0"/>
        <w:keepLines w:val="0"/>
        <w:pageBreakBefore w:val="0"/>
        <w:widowControl w:val="0"/>
        <w:numPr>
          <w:ilvl w:val="0"/>
          <w:numId w:val="0"/>
        </w:numPr>
        <w:tabs>
          <w:tab w:val="left" w:pos="1227"/>
          <w:tab w:val="left" w:pos="6801"/>
        </w:tabs>
        <w:kinsoku/>
        <w:wordWrap/>
        <w:overflowPunct/>
        <w:topLinePunct w:val="0"/>
        <w:autoSpaceDE/>
        <w:autoSpaceDN/>
        <w:bidi w:val="0"/>
        <w:adjustRightInd/>
        <w:snapToGrid/>
        <w:spacing w:line="440" w:lineRule="exact"/>
        <w:ind w:right="0" w:rightChars="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1.2.1供应商要严格遵守国家的法律、法规和有关规章制度，严格遵守行为准则和职业道德，按现行的财政项目评审操作规程及质量控制规定开展工作。</w:t>
      </w:r>
    </w:p>
    <w:p w14:paraId="5DF9027B">
      <w:pPr>
        <w:keepNext w:val="0"/>
        <w:keepLines w:val="0"/>
        <w:pageBreakBefore w:val="0"/>
        <w:widowControl w:val="0"/>
        <w:numPr>
          <w:ilvl w:val="0"/>
          <w:numId w:val="0"/>
        </w:numPr>
        <w:tabs>
          <w:tab w:val="left" w:pos="1227"/>
          <w:tab w:val="left" w:pos="6801"/>
        </w:tabs>
        <w:kinsoku/>
        <w:wordWrap/>
        <w:overflowPunct/>
        <w:topLinePunct w:val="0"/>
        <w:autoSpaceDE/>
        <w:autoSpaceDN/>
        <w:bidi w:val="0"/>
        <w:adjustRightInd/>
        <w:snapToGrid/>
        <w:spacing w:line="440" w:lineRule="exact"/>
        <w:ind w:right="0" w:rightChars="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1.2.2供应商对成果文件应实行复核人、项目负责人、 技术负责人“三级复核”应依照相关依据发表专业意见出具成果文件，并对成果的真实性、完整性、准确性负责,成果文件除加盖编制人、复核人造价师执业印章外，还应由编制人复核人、项目负责人和技术负责人亲笔签名，证实成果文件经相关人审核。</w:t>
      </w:r>
    </w:p>
    <w:p w14:paraId="6A58271C">
      <w:pPr>
        <w:keepNext w:val="0"/>
        <w:keepLines w:val="0"/>
        <w:pageBreakBefore w:val="0"/>
        <w:widowControl w:val="0"/>
        <w:numPr>
          <w:ilvl w:val="0"/>
          <w:numId w:val="0"/>
        </w:numPr>
        <w:tabs>
          <w:tab w:val="left" w:pos="1227"/>
          <w:tab w:val="left" w:pos="6801"/>
        </w:tabs>
        <w:kinsoku/>
        <w:wordWrap/>
        <w:overflowPunct/>
        <w:topLinePunct w:val="0"/>
        <w:autoSpaceDE/>
        <w:autoSpaceDN/>
        <w:bidi w:val="0"/>
        <w:adjustRightInd/>
        <w:snapToGrid/>
        <w:spacing w:line="440" w:lineRule="exact"/>
        <w:ind w:right="0" w:rightChars="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1.2.3各类评审报告编制标准 ：评审内容完整、数据准确、依据充分，评审结论定性客观、定量准确、依据充分，核增核减原因定性准确、条理清晰，披露评审问题有理有据、分析透彻，提出评审建议措施具体、针对性强。</w:t>
      </w:r>
    </w:p>
    <w:p w14:paraId="27E11BBD">
      <w:pPr>
        <w:keepNext w:val="0"/>
        <w:keepLines w:val="0"/>
        <w:pageBreakBefore w:val="0"/>
        <w:widowControl w:val="0"/>
        <w:numPr>
          <w:ilvl w:val="0"/>
          <w:numId w:val="0"/>
        </w:numPr>
        <w:tabs>
          <w:tab w:val="left" w:pos="1227"/>
          <w:tab w:val="left" w:pos="6801"/>
        </w:tabs>
        <w:kinsoku/>
        <w:wordWrap/>
        <w:overflowPunct/>
        <w:topLinePunct w:val="0"/>
        <w:autoSpaceDE/>
        <w:autoSpaceDN/>
        <w:bidi w:val="0"/>
        <w:adjustRightInd/>
        <w:snapToGrid/>
        <w:spacing w:line="440" w:lineRule="exact"/>
        <w:ind w:right="0" w:rightChars="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1.2.4采购人将对供应商提交的评审意见和评审结论进行复审，复审结果因供应商造成严重质量问题时，采购人不支付该项目的评审费用，供应商必须承担由此造成的全部经济和法律责任。</w:t>
      </w:r>
    </w:p>
    <w:p w14:paraId="57F5F578">
      <w:pPr>
        <w:keepNext w:val="0"/>
        <w:keepLines w:val="0"/>
        <w:pageBreakBefore w:val="0"/>
        <w:widowControl w:val="0"/>
        <w:numPr>
          <w:ilvl w:val="0"/>
          <w:numId w:val="0"/>
        </w:numPr>
        <w:tabs>
          <w:tab w:val="left" w:pos="1227"/>
          <w:tab w:val="left" w:pos="6801"/>
        </w:tabs>
        <w:kinsoku/>
        <w:wordWrap/>
        <w:overflowPunct/>
        <w:topLinePunct w:val="0"/>
        <w:autoSpaceDE/>
        <w:autoSpaceDN/>
        <w:bidi w:val="0"/>
        <w:adjustRightInd/>
        <w:snapToGrid/>
        <w:spacing w:line="440" w:lineRule="exact"/>
        <w:ind w:right="0" w:rightChars="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1.2.5 </w:t>
      </w:r>
      <w:r>
        <w:rPr>
          <w:rFonts w:hint="eastAsia" w:ascii="宋体" w:hAnsi="宋体" w:eastAsia="宋体" w:cs="宋体"/>
          <w:color w:val="auto"/>
          <w:kern w:val="0"/>
          <w:sz w:val="24"/>
          <w:szCs w:val="24"/>
          <w:lang w:val="en-US" w:eastAsia="zh-CN" w:bidi="ar-SA"/>
        </w:rPr>
        <w:t>供应商应同意采购人在必要时有另择其他中介机构对已审定的工程结算进行复审的权利，若误差率大于3%，咨询人须接受如下处罚:(1)若 3%&lt;误差率&lt;5%时，由咨询人支付复审费用的20%；(2)若5%&lt;误差率&lt;8%时，除由咨询人支付全部复审费用外，应收回已支付的50%中介服务费用的；(3)若误差率&gt;8%时，除由咨询人支付全部复审费用外，委托人应收回已支付的100%中介服务费用，取消其受托资格，并视情节轻重追究相应责任</w:t>
      </w:r>
    </w:p>
    <w:p w14:paraId="18A5B9F4">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lang w:val="en-US" w:eastAsia="zh-CN"/>
        </w:rPr>
        <w:t>1.2.6</w:t>
      </w:r>
      <w:r>
        <w:rPr>
          <w:rFonts w:hint="eastAsia" w:ascii="宋体" w:hAnsi="宋体" w:eastAsia="宋体" w:cs="宋体"/>
          <w:color w:val="auto"/>
          <w:kern w:val="0"/>
          <w:sz w:val="24"/>
          <w:szCs w:val="24"/>
          <w:lang w:val="en-US" w:eastAsia="zh-CN" w:bidi="ar-SA"/>
        </w:rPr>
        <w:t>供应商递交的评审意见和评审结论经采购人、建设单位确认后，在后续工作过程中若由造价管理机构或其他单位发现审核结果存在严重错误（如漏项、漏计单价、由于小数点等原因造成工程量或单价误差较大、各表格之间的对应数据不一致等问题），供应商必须承担由此造成的全部经济和法律责任，并接受行业主管部门相关责任的处罚，采购人不支付该单项项目的审核费用，。</w:t>
      </w:r>
    </w:p>
    <w:p w14:paraId="08632AB3">
      <w:pPr>
        <w:keepNext w:val="0"/>
        <w:keepLines w:val="0"/>
        <w:pageBreakBefore w:val="0"/>
        <w:widowControl w:val="0"/>
        <w:numPr>
          <w:ilvl w:val="0"/>
          <w:numId w:val="0"/>
        </w:numPr>
        <w:tabs>
          <w:tab w:val="left" w:pos="1227"/>
          <w:tab w:val="left" w:pos="6801"/>
        </w:tabs>
        <w:kinsoku/>
        <w:wordWrap/>
        <w:overflowPunct/>
        <w:topLinePunct w:val="0"/>
        <w:autoSpaceDE/>
        <w:autoSpaceDN/>
        <w:bidi w:val="0"/>
        <w:adjustRightInd/>
        <w:snapToGrid/>
        <w:spacing w:line="440" w:lineRule="exact"/>
        <w:ind w:right="0" w:rightChars="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1.2.7因客观原因导致已审核的项目需要重新审核的，供应商须无条件配合并重新进行审核、出具审核成果，采购人不再另行支付供应商相关费用，供应商需充分考虑该因素进行响应。</w:t>
      </w:r>
    </w:p>
    <w:p w14:paraId="760FFE53">
      <w:pPr>
        <w:keepNext w:val="0"/>
        <w:keepLines w:val="0"/>
        <w:pageBreakBefore w:val="0"/>
        <w:widowControl w:val="0"/>
        <w:numPr>
          <w:ilvl w:val="0"/>
          <w:numId w:val="0"/>
        </w:numPr>
        <w:tabs>
          <w:tab w:val="left" w:pos="1227"/>
          <w:tab w:val="left" w:pos="6801"/>
        </w:tabs>
        <w:kinsoku/>
        <w:wordWrap/>
        <w:overflowPunct/>
        <w:topLinePunct w:val="0"/>
        <w:autoSpaceDE/>
        <w:autoSpaceDN/>
        <w:bidi w:val="0"/>
        <w:adjustRightInd/>
        <w:snapToGrid/>
        <w:spacing w:line="440" w:lineRule="exact"/>
        <w:ind w:right="0" w:rightChars="0"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2.协议价格形式：</w:t>
      </w:r>
    </w:p>
    <w:p w14:paraId="691F689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right="0" w:rightChars="0" w:firstLine="420" w:firstLineChars="0"/>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①工程类项目预算</w:t>
      </w:r>
      <w:r>
        <w:rPr>
          <w:rFonts w:hint="eastAsia" w:ascii="宋体" w:hAnsi="宋体" w:cs="宋体"/>
          <w:color w:val="auto"/>
          <w:kern w:val="0"/>
          <w:sz w:val="24"/>
          <w:szCs w:val="24"/>
          <w:lang w:val="en-US" w:eastAsia="zh-CN" w:bidi="ar-SA"/>
        </w:rPr>
        <w:t>评审</w:t>
      </w:r>
      <w:r>
        <w:rPr>
          <w:rFonts w:hint="eastAsia" w:ascii="宋体" w:hAnsi="宋体" w:eastAsia="宋体" w:cs="宋体"/>
          <w:color w:val="auto"/>
          <w:kern w:val="0"/>
          <w:sz w:val="24"/>
          <w:szCs w:val="24"/>
          <w:lang w:val="en-US" w:eastAsia="zh-CN" w:bidi="ar-SA"/>
        </w:rPr>
        <w:t>、竣工结算评审项目的委托评审服务费，以审定金额为基准，以新疆计划委员会、自治区建设厅《关于下达新疆维吾尔自治区工程造价咨询服务收费管理规定的通知》（新计价房﹝2002﹞866号）所列示标准的基础上按优惠率40％（即:打6折）确定付费金额。咨询费不足1000元的按1000元确定结算服务费。</w:t>
      </w:r>
    </w:p>
    <w:p w14:paraId="40D3B0D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right="0" w:rightChars="0" w:firstLine="420" w:firstLineChars="0"/>
        <w:textAlignment w:val="baseline"/>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②</w:t>
      </w:r>
      <w:r>
        <w:rPr>
          <w:rFonts w:hint="eastAsia" w:ascii="宋体" w:hAnsi="宋体" w:eastAsia="宋体" w:cs="宋体"/>
          <w:color w:val="auto"/>
          <w:kern w:val="0"/>
          <w:sz w:val="24"/>
          <w:szCs w:val="24"/>
          <w:lang w:val="en-US" w:eastAsia="zh-CN" w:bidi="ar-SA"/>
        </w:rPr>
        <w:t>工程类项目预算</w:t>
      </w:r>
      <w:r>
        <w:rPr>
          <w:rFonts w:hint="eastAsia" w:ascii="宋体" w:hAnsi="宋体" w:cs="宋体"/>
          <w:color w:val="auto"/>
          <w:kern w:val="0"/>
          <w:sz w:val="24"/>
          <w:szCs w:val="24"/>
          <w:lang w:val="en-US" w:eastAsia="zh-CN" w:bidi="ar-SA"/>
        </w:rPr>
        <w:t>抽审</w:t>
      </w:r>
      <w:r>
        <w:rPr>
          <w:rFonts w:hint="eastAsia" w:ascii="宋体" w:hAnsi="宋体" w:eastAsia="宋体" w:cs="宋体"/>
          <w:color w:val="auto"/>
          <w:kern w:val="0"/>
          <w:sz w:val="24"/>
          <w:szCs w:val="24"/>
          <w:lang w:val="en-US" w:eastAsia="zh-CN" w:bidi="ar-SA"/>
        </w:rPr>
        <w:t>，以审定金额为基准，对于</w:t>
      </w:r>
      <w:r>
        <w:rPr>
          <w:rFonts w:hint="eastAsia" w:ascii="宋体" w:hAnsi="宋体" w:cs="宋体"/>
          <w:color w:val="auto"/>
          <w:kern w:val="0"/>
          <w:sz w:val="24"/>
          <w:szCs w:val="24"/>
          <w:lang w:val="en-US" w:eastAsia="zh-CN" w:bidi="ar-SA"/>
        </w:rPr>
        <w:t>预算抽</w:t>
      </w:r>
      <w:r>
        <w:rPr>
          <w:rFonts w:hint="eastAsia" w:ascii="宋体" w:hAnsi="宋体" w:eastAsia="宋体" w:cs="宋体"/>
          <w:color w:val="auto"/>
          <w:kern w:val="0"/>
          <w:sz w:val="24"/>
          <w:szCs w:val="24"/>
          <w:lang w:val="en-US" w:eastAsia="zh-CN" w:bidi="ar-SA"/>
        </w:rPr>
        <w:t xml:space="preserve">审项目按照五个档（100万元-500万元， 500万元-1000万元，1000万元-5000万元，5000万元-1亿元，1 亿元以上，）进行付费，复审公司只需要出具复审意见，复审意见反馈给初审公司，初审公司对其进行修改完善并出具最终的定案报告。付费标准如下： </w:t>
      </w:r>
    </w:p>
    <w:p w14:paraId="1D0BE47C">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（一）100 万元-500 万元：   1000 元/项目 </w:t>
      </w:r>
    </w:p>
    <w:p w14:paraId="7912B148">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（二）500 万元-1000 万元：  2000 元/项目 </w:t>
      </w:r>
    </w:p>
    <w:p w14:paraId="132A5B9B">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（三）1000 万元-5000 万元： 3000 元/项目 </w:t>
      </w:r>
    </w:p>
    <w:p w14:paraId="7AFD2594">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（四）5000 万元-1 亿元：    4000 元/项目 </w:t>
      </w:r>
    </w:p>
    <w:p w14:paraId="75978793">
      <w:p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（五）1 亿元以上：          5000 元/项目</w:t>
      </w:r>
    </w:p>
    <w:p w14:paraId="230F2590">
      <w:pPr>
        <w:numPr>
          <w:ilvl w:val="0"/>
          <w:numId w:val="0"/>
        </w:numPr>
        <w:spacing w:line="480" w:lineRule="exact"/>
        <w:ind w:firstLine="420" w:firstLineChars="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③工程类项目竣工结算复审，对于项目单位采用全过程跟踪评审的项目进行竣工结算复审，以审定金额为基准。复审公司只需要出具复审意见，复审意见反馈给初审公司，初审公司对其进行修改完善并出具最终的定案报告。付费标准如下：</w:t>
      </w:r>
    </w:p>
    <w:p w14:paraId="5D7F6EFF">
      <w:pPr>
        <w:numPr>
          <w:ilvl w:val="0"/>
          <w:numId w:val="0"/>
        </w:numPr>
        <w:spacing w:line="48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2000万（含）以上项目：按照审定金额的0.5</w:t>
      </w:r>
      <w:r>
        <w:rPr>
          <w:rFonts w:hint="default" w:ascii="宋体" w:hAnsi="宋体" w:eastAsia="宋体" w:cs="宋体"/>
          <w:color w:val="auto"/>
          <w:kern w:val="0"/>
          <w:sz w:val="24"/>
          <w:szCs w:val="24"/>
          <w:lang w:val="en-US" w:eastAsia="zh-CN" w:bidi="ar-SA"/>
        </w:rPr>
        <w:t>‰</w:t>
      </w:r>
      <w:r>
        <w:rPr>
          <w:rFonts w:hint="eastAsia" w:ascii="宋体" w:hAnsi="宋体" w:eastAsia="宋体" w:cs="宋体"/>
          <w:color w:val="auto"/>
          <w:kern w:val="0"/>
          <w:sz w:val="24"/>
          <w:szCs w:val="24"/>
          <w:lang w:val="en-US" w:eastAsia="zh-CN" w:bidi="ar-SA"/>
        </w:rPr>
        <w:t>为基础费用+核减额的1.5%；</w:t>
      </w:r>
    </w:p>
    <w:p w14:paraId="3B0D4DBC">
      <w:pPr>
        <w:numPr>
          <w:ilvl w:val="0"/>
          <w:numId w:val="0"/>
        </w:numPr>
        <w:spacing w:line="480" w:lineRule="exact"/>
        <w:ind w:firstLine="480" w:firstLineChars="200"/>
        <w:jc w:val="left"/>
        <w:rPr>
          <w:rFonts w:hint="eastAsia" w:ascii="宋体" w:hAnsi="宋体" w:eastAsia="宋体" w:cs="宋体"/>
          <w:color w:val="auto"/>
          <w:kern w:val="0"/>
          <w:sz w:val="30"/>
          <w:szCs w:val="30"/>
          <w:lang w:val="en-US" w:eastAsia="zh-CN" w:bidi="ar-SA"/>
        </w:rPr>
      </w:pPr>
      <w:r>
        <w:rPr>
          <w:rFonts w:hint="eastAsia" w:ascii="宋体" w:hAnsi="宋体" w:eastAsia="宋体" w:cs="宋体"/>
          <w:color w:val="auto"/>
          <w:kern w:val="0"/>
          <w:sz w:val="24"/>
          <w:szCs w:val="24"/>
          <w:lang w:val="en-US" w:eastAsia="zh-CN" w:bidi="ar-SA"/>
        </w:rPr>
        <w:t>2000万以下的项目：按照审定金额的0.5</w:t>
      </w:r>
      <w:r>
        <w:rPr>
          <w:rFonts w:hint="default" w:ascii="宋体" w:hAnsi="宋体" w:eastAsia="宋体" w:cs="宋体"/>
          <w:color w:val="auto"/>
          <w:kern w:val="0"/>
          <w:sz w:val="24"/>
          <w:szCs w:val="24"/>
          <w:lang w:val="en-US" w:eastAsia="zh-CN" w:bidi="ar-SA"/>
        </w:rPr>
        <w:t>‰</w:t>
      </w:r>
      <w:r>
        <w:rPr>
          <w:rFonts w:hint="eastAsia" w:ascii="宋体" w:hAnsi="宋体" w:eastAsia="宋体" w:cs="宋体"/>
          <w:color w:val="auto"/>
          <w:kern w:val="0"/>
          <w:sz w:val="24"/>
          <w:szCs w:val="24"/>
          <w:lang w:val="en-US" w:eastAsia="zh-CN" w:bidi="ar-SA"/>
        </w:rPr>
        <w:t>为基础费用+按照核减额的2%组成计取。</w:t>
      </w:r>
    </w:p>
    <w:p w14:paraId="2F3E32F4">
      <w:pPr>
        <w:numPr>
          <w:ilvl w:val="0"/>
          <w:numId w:val="0"/>
        </w:numPr>
        <w:ind w:firstLine="480" w:firstLineChars="200"/>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④其它各项咨询服务按照补充协议相关内容执行。</w:t>
      </w:r>
    </w:p>
    <w:p w14:paraId="6475A75E">
      <w:pPr>
        <w:keepNext w:val="0"/>
        <w:keepLines w:val="0"/>
        <w:pageBreakBefore w:val="0"/>
        <w:widowControl w:val="0"/>
        <w:numPr>
          <w:ilvl w:val="0"/>
          <w:numId w:val="4"/>
        </w:numPr>
        <w:tabs>
          <w:tab w:val="left" w:pos="1226"/>
        </w:tabs>
        <w:kinsoku/>
        <w:wordWrap/>
        <w:overflowPunct/>
        <w:topLinePunct w:val="0"/>
        <w:autoSpaceDE/>
        <w:autoSpaceDN/>
        <w:bidi w:val="0"/>
        <w:adjustRightInd/>
        <w:snapToGrid/>
        <w:spacing w:line="440" w:lineRule="exact"/>
        <w:ind w:left="0" w:leftChars="0" w:right="0" w:rightChars="0"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适用框架协议的征集人：</w:t>
      </w:r>
    </w:p>
    <w:p w14:paraId="35EB7811">
      <w:pPr>
        <w:keepNext w:val="0"/>
        <w:keepLines w:val="0"/>
        <w:pageBreakBefore w:val="0"/>
        <w:widowControl w:val="0"/>
        <w:numPr>
          <w:ilvl w:val="0"/>
          <w:numId w:val="0"/>
        </w:numPr>
        <w:tabs>
          <w:tab w:val="left" w:pos="1227"/>
          <w:tab w:val="left" w:pos="6801"/>
        </w:tabs>
        <w:kinsoku/>
        <w:wordWrap/>
        <w:overflowPunct/>
        <w:topLinePunct w:val="0"/>
        <w:autoSpaceDE/>
        <w:autoSpaceDN/>
        <w:bidi w:val="0"/>
        <w:adjustRightInd/>
        <w:snapToGrid/>
        <w:spacing w:line="440" w:lineRule="exact"/>
        <w:ind w:right="0" w:rightChars="0" w:firstLine="480" w:firstLineChars="200"/>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single"/>
          <w:lang w:val="en-US" w:eastAsia="zh-CN"/>
        </w:rPr>
        <w:t>巩留县财政局</w:t>
      </w:r>
    </w:p>
    <w:p w14:paraId="7B5FDAAB">
      <w:pPr>
        <w:keepNext w:val="0"/>
        <w:keepLines w:val="0"/>
        <w:pageBreakBefore w:val="0"/>
        <w:widowControl w:val="0"/>
        <w:numPr>
          <w:ilvl w:val="0"/>
          <w:numId w:val="0"/>
        </w:numPr>
        <w:tabs>
          <w:tab w:val="left" w:pos="1227"/>
          <w:tab w:val="left" w:pos="6801"/>
        </w:tabs>
        <w:kinsoku/>
        <w:wordWrap/>
        <w:overflowPunct/>
        <w:topLinePunct w:val="0"/>
        <w:autoSpaceDE/>
        <w:autoSpaceDN/>
        <w:bidi w:val="0"/>
        <w:adjustRightInd/>
        <w:snapToGrid/>
        <w:spacing w:line="440" w:lineRule="exact"/>
        <w:ind w:right="0" w:rightChars="0" w:firstLine="480" w:firstLineChars="200"/>
        <w:rPr>
          <w:rFonts w:hint="eastAsia" w:ascii="宋体" w:hAnsi="宋体" w:eastAsia="宋体" w:cs="宋体"/>
          <w:b w:val="0"/>
          <w:bCs w:val="0"/>
          <w:color w:val="auto"/>
          <w:sz w:val="24"/>
          <w:szCs w:val="24"/>
          <w:u w:val="single"/>
          <w:lang w:val="en-US" w:eastAsia="zh-CN"/>
        </w:rPr>
      </w:pPr>
      <w:r>
        <w:rPr>
          <w:rFonts w:hint="eastAsia" w:ascii="宋体" w:hAnsi="宋体" w:cs="宋体"/>
          <w:b w:val="0"/>
          <w:bCs w:val="0"/>
          <w:color w:val="auto"/>
          <w:sz w:val="24"/>
          <w:szCs w:val="24"/>
          <w:u w:val="single"/>
          <w:lang w:val="en-US" w:eastAsia="zh-CN"/>
        </w:rPr>
        <w:t>如</w:t>
      </w:r>
      <w:r>
        <w:rPr>
          <w:rFonts w:hint="eastAsia" w:ascii="宋体" w:hAnsi="宋体" w:eastAsia="宋体" w:cs="宋体"/>
          <w:b w:val="0"/>
          <w:bCs w:val="0"/>
          <w:color w:val="auto"/>
          <w:sz w:val="24"/>
          <w:szCs w:val="24"/>
          <w:u w:val="single"/>
          <w:lang w:val="en-US" w:eastAsia="zh-CN"/>
        </w:rPr>
        <w:t>其他项目</w:t>
      </w:r>
      <w:r>
        <w:rPr>
          <w:rFonts w:hint="eastAsia" w:ascii="宋体" w:hAnsi="宋体" w:cs="宋体"/>
          <w:b w:val="0"/>
          <w:bCs w:val="0"/>
          <w:color w:val="auto"/>
          <w:sz w:val="24"/>
          <w:szCs w:val="24"/>
          <w:u w:val="single"/>
          <w:lang w:val="en-US" w:eastAsia="zh-CN"/>
        </w:rPr>
        <w:t>建设</w:t>
      </w:r>
      <w:r>
        <w:rPr>
          <w:rFonts w:hint="eastAsia" w:ascii="宋体" w:hAnsi="宋体" w:eastAsia="宋体" w:cs="宋体"/>
          <w:b w:val="0"/>
          <w:bCs w:val="0"/>
          <w:color w:val="auto"/>
          <w:sz w:val="24"/>
          <w:szCs w:val="24"/>
          <w:u w:val="single"/>
          <w:lang w:val="en-US" w:eastAsia="zh-CN"/>
        </w:rPr>
        <w:t>单位</w:t>
      </w:r>
      <w:r>
        <w:rPr>
          <w:rFonts w:hint="eastAsia" w:ascii="宋体" w:hAnsi="宋体" w:cs="宋体"/>
          <w:b w:val="0"/>
          <w:bCs w:val="0"/>
          <w:color w:val="auto"/>
          <w:sz w:val="24"/>
          <w:szCs w:val="24"/>
          <w:u w:val="single"/>
          <w:lang w:val="en-US" w:eastAsia="zh-CN"/>
        </w:rPr>
        <w:t>对造价咨询有需要可自行选择框架协议单位入围单位为其提供造价咨询服务。</w:t>
      </w:r>
    </w:p>
    <w:p w14:paraId="3E824C13">
      <w:pPr>
        <w:keepNext w:val="0"/>
        <w:keepLines w:val="0"/>
        <w:pageBreakBefore w:val="0"/>
        <w:widowControl w:val="0"/>
        <w:numPr>
          <w:ilvl w:val="0"/>
          <w:numId w:val="4"/>
        </w:numPr>
        <w:tabs>
          <w:tab w:val="left" w:pos="1226"/>
        </w:tabs>
        <w:kinsoku/>
        <w:wordWrap/>
        <w:overflowPunct/>
        <w:topLinePunct w:val="0"/>
        <w:autoSpaceDE/>
        <w:autoSpaceDN/>
        <w:bidi w:val="0"/>
        <w:adjustRightInd/>
        <w:snapToGrid/>
        <w:spacing w:line="440" w:lineRule="exact"/>
        <w:ind w:left="0" w:leftChars="0" w:right="0" w:rightChars="0"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履行合同的地域范围：</w:t>
      </w:r>
    </w:p>
    <w:p w14:paraId="2D23F183">
      <w:pPr>
        <w:keepNext w:val="0"/>
        <w:keepLines w:val="0"/>
        <w:pageBreakBefore w:val="0"/>
        <w:widowControl w:val="0"/>
        <w:numPr>
          <w:ilvl w:val="0"/>
          <w:numId w:val="0"/>
        </w:numPr>
        <w:tabs>
          <w:tab w:val="left" w:pos="1227"/>
          <w:tab w:val="left" w:pos="6801"/>
        </w:tabs>
        <w:kinsoku/>
        <w:wordWrap/>
        <w:overflowPunct/>
        <w:topLinePunct w:val="0"/>
        <w:autoSpaceDE/>
        <w:autoSpaceDN/>
        <w:bidi w:val="0"/>
        <w:adjustRightInd/>
        <w:snapToGrid/>
        <w:spacing w:line="440" w:lineRule="exact"/>
        <w:ind w:right="0" w:rightChars="0" w:firstLine="480" w:firstLineChars="200"/>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single"/>
          <w:lang w:val="en-US" w:eastAsia="zh-CN"/>
        </w:rPr>
        <w:t xml:space="preserve">采购人指定地点 </w:t>
      </w:r>
    </w:p>
    <w:p w14:paraId="10E2D33E">
      <w:pPr>
        <w:spacing w:before="1" w:line="460" w:lineRule="exact"/>
        <w:ind w:right="400" w:rightChars="200"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第三条 确定第二阶段成交供应商的方式</w:t>
      </w:r>
    </w:p>
    <w:p w14:paraId="029E0922">
      <w:pPr>
        <w:keepNext w:val="0"/>
        <w:keepLines w:val="0"/>
        <w:pageBreakBefore w:val="0"/>
        <w:widowControl w:val="0"/>
        <w:numPr>
          <w:ilvl w:val="0"/>
          <w:numId w:val="0"/>
        </w:numPr>
        <w:tabs>
          <w:tab w:val="left" w:pos="1227"/>
          <w:tab w:val="left" w:pos="6801"/>
        </w:tabs>
        <w:kinsoku/>
        <w:wordWrap/>
        <w:overflowPunct/>
        <w:topLinePunct w:val="0"/>
        <w:autoSpaceDE/>
        <w:autoSpaceDN/>
        <w:bidi w:val="0"/>
        <w:adjustRightInd/>
        <w:snapToGrid/>
        <w:spacing w:line="440" w:lineRule="exact"/>
        <w:ind w:right="0" w:rightChars="0" w:firstLine="480"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采购人在入围供应商中通过</w:t>
      </w:r>
      <w:r>
        <w:rPr>
          <w:rFonts w:hint="eastAsia" w:ascii="宋体" w:hAnsi="宋体" w:eastAsia="宋体" w:cs="宋体"/>
          <w:color w:val="auto"/>
          <w:sz w:val="24"/>
          <w:szCs w:val="24"/>
          <w:u w:val="single"/>
          <w:lang w:val="en-US" w:eastAsia="zh-CN"/>
        </w:rPr>
        <w:t>（1）</w:t>
      </w:r>
      <w:r>
        <w:rPr>
          <w:rFonts w:hint="eastAsia" w:ascii="宋体" w:hAnsi="宋体" w:eastAsia="宋体" w:cs="宋体"/>
          <w:color w:val="auto"/>
          <w:sz w:val="24"/>
          <w:szCs w:val="24"/>
          <w:u w:val="none"/>
          <w:lang w:val="en-US" w:eastAsia="zh-CN"/>
        </w:rPr>
        <w:t>种方式确定成交供应商并签订合同。</w:t>
      </w:r>
    </w:p>
    <w:p w14:paraId="796AFAF9">
      <w:pPr>
        <w:keepNext w:val="0"/>
        <w:keepLines w:val="0"/>
        <w:pageBreakBefore w:val="0"/>
        <w:widowControl w:val="0"/>
        <w:numPr>
          <w:ilvl w:val="0"/>
          <w:numId w:val="5"/>
        </w:numPr>
        <w:tabs>
          <w:tab w:val="left" w:pos="1227"/>
          <w:tab w:val="left" w:pos="6801"/>
        </w:tabs>
        <w:kinsoku/>
        <w:wordWrap/>
        <w:overflowPunct/>
        <w:topLinePunct w:val="0"/>
        <w:autoSpaceDE/>
        <w:autoSpaceDN/>
        <w:bidi w:val="0"/>
        <w:adjustRightInd/>
        <w:snapToGrid/>
        <w:spacing w:line="440" w:lineRule="exact"/>
        <w:ind w:right="0" w:rightChars="0" w:firstLine="480"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直接选定</w:t>
      </w:r>
    </w:p>
    <w:p w14:paraId="0BCC117F">
      <w:pPr>
        <w:keepNext w:val="0"/>
        <w:keepLines w:val="0"/>
        <w:pageBreakBefore w:val="0"/>
        <w:widowControl w:val="0"/>
        <w:numPr>
          <w:ilvl w:val="0"/>
          <w:numId w:val="0"/>
        </w:numPr>
        <w:tabs>
          <w:tab w:val="left" w:pos="1227"/>
          <w:tab w:val="left" w:pos="6801"/>
        </w:tabs>
        <w:kinsoku/>
        <w:wordWrap/>
        <w:overflowPunct/>
        <w:topLinePunct w:val="0"/>
        <w:autoSpaceDE/>
        <w:autoSpaceDN/>
        <w:bidi w:val="0"/>
        <w:adjustRightInd/>
        <w:snapToGrid/>
        <w:spacing w:line="440" w:lineRule="exact"/>
        <w:ind w:right="0" w:rightChars="0" w:firstLine="480"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依据入围产品价格、质量以及服务便利性、用户评价等因素，通过推荐加抽签方式，从入围供应商中直接选定成交供应商。</w:t>
      </w:r>
    </w:p>
    <w:p w14:paraId="62454280">
      <w:pPr>
        <w:keepNext w:val="0"/>
        <w:keepLines w:val="0"/>
        <w:pageBreakBefore w:val="0"/>
        <w:widowControl w:val="0"/>
        <w:numPr>
          <w:ilvl w:val="0"/>
          <w:numId w:val="0"/>
        </w:numPr>
        <w:tabs>
          <w:tab w:val="left" w:pos="1227"/>
          <w:tab w:val="left" w:pos="6801"/>
        </w:tabs>
        <w:kinsoku/>
        <w:wordWrap/>
        <w:overflowPunct/>
        <w:topLinePunct w:val="0"/>
        <w:autoSpaceDE/>
        <w:autoSpaceDN/>
        <w:bidi w:val="0"/>
        <w:adjustRightInd/>
        <w:snapToGrid/>
        <w:spacing w:line="440" w:lineRule="exact"/>
        <w:ind w:right="0" w:rightChars="0" w:firstLine="480"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（2）二次竞价</w:t>
      </w:r>
    </w:p>
    <w:p w14:paraId="146A4EDD">
      <w:pPr>
        <w:keepNext w:val="0"/>
        <w:keepLines w:val="0"/>
        <w:pageBreakBefore w:val="0"/>
        <w:widowControl w:val="0"/>
        <w:numPr>
          <w:ilvl w:val="0"/>
          <w:numId w:val="0"/>
        </w:numPr>
        <w:tabs>
          <w:tab w:val="left" w:pos="1227"/>
          <w:tab w:val="left" w:pos="6801"/>
        </w:tabs>
        <w:kinsoku/>
        <w:wordWrap/>
        <w:overflowPunct/>
        <w:topLinePunct w:val="0"/>
        <w:autoSpaceDE/>
        <w:autoSpaceDN/>
        <w:bidi w:val="0"/>
        <w:adjustRightInd/>
        <w:snapToGrid/>
        <w:spacing w:line="440" w:lineRule="exact"/>
        <w:ind w:right="0" w:rightChars="0" w:firstLine="480"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二次竞价规则：协议方乙方以第一阶段的响应报价（协议价格）为最高限价，依照响应文件中承诺的入围产品（服务）、采购合同等事项，根据采购人明确的竞价需求，参与二次竞价，以报价最低的为成交供应商。</w:t>
      </w:r>
    </w:p>
    <w:p w14:paraId="2E8A37B7">
      <w:pPr>
        <w:keepNext w:val="0"/>
        <w:keepLines w:val="0"/>
        <w:pageBreakBefore w:val="0"/>
        <w:widowControl w:val="0"/>
        <w:numPr>
          <w:ilvl w:val="0"/>
          <w:numId w:val="0"/>
        </w:numPr>
        <w:tabs>
          <w:tab w:val="left" w:pos="1227"/>
          <w:tab w:val="left" w:pos="6801"/>
        </w:tabs>
        <w:kinsoku/>
        <w:wordWrap/>
        <w:overflowPunct/>
        <w:topLinePunct w:val="0"/>
        <w:autoSpaceDE/>
        <w:autoSpaceDN/>
        <w:bidi w:val="0"/>
        <w:adjustRightInd/>
        <w:snapToGrid/>
        <w:spacing w:line="440" w:lineRule="exact"/>
        <w:ind w:right="0" w:rightChars="0" w:firstLine="480"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（3）顺序轮候</w:t>
      </w:r>
    </w:p>
    <w:p w14:paraId="26D72A9C">
      <w:pPr>
        <w:keepNext w:val="0"/>
        <w:keepLines w:val="0"/>
        <w:pageBreakBefore w:val="0"/>
        <w:widowControl w:val="0"/>
        <w:numPr>
          <w:ilvl w:val="0"/>
          <w:numId w:val="0"/>
        </w:numPr>
        <w:tabs>
          <w:tab w:val="left" w:pos="1227"/>
          <w:tab w:val="left" w:pos="6801"/>
        </w:tabs>
        <w:kinsoku/>
        <w:wordWrap/>
        <w:overflowPunct/>
        <w:topLinePunct w:val="0"/>
        <w:autoSpaceDE/>
        <w:autoSpaceDN/>
        <w:bidi w:val="0"/>
        <w:adjustRightInd/>
        <w:snapToGrid/>
        <w:spacing w:line="440" w:lineRule="exact"/>
        <w:ind w:right="0" w:rightChars="0" w:firstLine="480"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顺序轮候规则：以入围供应商从高到低排名依次进行合同授予，每个入围供应商在一个顺序轮候期内，仅能获得一次合同授予的机会。</w:t>
      </w:r>
    </w:p>
    <w:p w14:paraId="38FAC84B">
      <w:pPr>
        <w:spacing w:before="1" w:line="460" w:lineRule="exact"/>
        <w:ind w:right="400" w:rightChars="200"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第四条 资金支付方式、时间、条件</w:t>
      </w:r>
    </w:p>
    <w:p w14:paraId="658094DA">
      <w:pPr>
        <w:keepNext w:val="0"/>
        <w:keepLines w:val="0"/>
        <w:pageBreakBefore w:val="0"/>
        <w:widowControl w:val="0"/>
        <w:numPr>
          <w:ilvl w:val="0"/>
          <w:numId w:val="0"/>
        </w:numPr>
        <w:tabs>
          <w:tab w:val="left" w:pos="1227"/>
          <w:tab w:val="left" w:pos="6801"/>
        </w:tabs>
        <w:kinsoku/>
        <w:wordWrap/>
        <w:overflowPunct/>
        <w:topLinePunct w:val="0"/>
        <w:autoSpaceDE/>
        <w:autoSpaceDN/>
        <w:bidi w:val="0"/>
        <w:adjustRightInd/>
        <w:snapToGrid/>
        <w:spacing w:line="440" w:lineRule="exact"/>
        <w:ind w:right="0" w:rightChars="0" w:firstLine="480"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1、本项目无预付款。在完成项目评审工作后，供应商按年度填写《项目委托评审费支付申请表》并加盖公章后送采购人审核签认，由采购人</w:t>
      </w:r>
      <w:r>
        <w:rPr>
          <w:rFonts w:hint="eastAsia" w:ascii="宋体" w:hAnsi="宋体" w:cs="宋体"/>
          <w:color w:val="auto"/>
          <w:sz w:val="24"/>
          <w:szCs w:val="24"/>
          <w:u w:val="none"/>
          <w:lang w:val="en-US" w:eastAsia="zh-CN"/>
        </w:rPr>
        <w:t>或项目实施单位</w:t>
      </w:r>
      <w:r>
        <w:rPr>
          <w:rFonts w:hint="eastAsia" w:ascii="宋体" w:hAnsi="宋体" w:eastAsia="宋体" w:cs="宋体"/>
          <w:color w:val="auto"/>
          <w:sz w:val="24"/>
          <w:szCs w:val="24"/>
          <w:u w:val="none"/>
          <w:lang w:val="en-US" w:eastAsia="zh-CN"/>
        </w:rPr>
        <w:t>直接向成交供应商支付。双方账户信息如下：</w:t>
      </w:r>
    </w:p>
    <w:p w14:paraId="2C76337E">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甲方名称：</w:t>
      </w:r>
      <w:r>
        <w:rPr>
          <w:rFonts w:hint="eastAsia" w:ascii="宋体" w:hAnsi="宋体" w:eastAsia="宋体" w:cs="宋体"/>
          <w:color w:val="auto"/>
          <w:sz w:val="24"/>
          <w:szCs w:val="24"/>
          <w:u w:val="single"/>
          <w:lang w:eastAsia="zh-CN"/>
        </w:rPr>
        <w:t>巩留县财政局</w:t>
      </w:r>
    </w:p>
    <w:p w14:paraId="58E165D2">
      <w:pPr>
        <w:keepNext w:val="0"/>
        <w:keepLines w:val="0"/>
        <w:pageBreakBefore w:val="0"/>
        <w:widowControl w:val="0"/>
        <w:tabs>
          <w:tab w:val="left" w:pos="6321"/>
        </w:tabs>
        <w:kinsoku/>
        <w:wordWrap/>
        <w:overflowPunct/>
        <w:topLinePunct w:val="0"/>
        <w:autoSpaceDE/>
        <w:autoSpaceDN/>
        <w:bidi w:val="0"/>
        <w:adjustRightInd/>
        <w:snapToGrid/>
        <w:spacing w:line="440" w:lineRule="exact"/>
        <w:ind w:left="0" w:leftChars="0" w:right="0" w:righ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纳税人识别号：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p w14:paraId="6977733F">
      <w:pPr>
        <w:keepNext w:val="0"/>
        <w:keepLines w:val="0"/>
        <w:pageBreakBefore w:val="0"/>
        <w:widowControl w:val="0"/>
        <w:tabs>
          <w:tab w:val="left" w:pos="4880"/>
        </w:tabs>
        <w:kinsoku/>
        <w:wordWrap/>
        <w:overflowPunct/>
        <w:topLinePunct w:val="0"/>
        <w:autoSpaceDE/>
        <w:autoSpaceDN/>
        <w:bidi w:val="0"/>
        <w:adjustRightInd/>
        <w:snapToGrid/>
        <w:spacing w:line="440" w:lineRule="exact"/>
        <w:ind w:left="0" w:leftChars="0" w:right="0" w:righ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户名：</w:t>
      </w:r>
      <w:r>
        <w:rPr>
          <w:rFonts w:hint="eastAsia" w:ascii="宋体" w:hAnsi="宋体" w:eastAsia="宋体" w:cs="宋体"/>
          <w:color w:val="auto"/>
          <w:spacing w:val="-1"/>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p w14:paraId="50703A56">
      <w:pPr>
        <w:keepNext w:val="0"/>
        <w:keepLines w:val="0"/>
        <w:pageBreakBefore w:val="0"/>
        <w:widowControl w:val="0"/>
        <w:tabs>
          <w:tab w:val="left" w:pos="4880"/>
        </w:tabs>
        <w:kinsoku/>
        <w:wordWrap/>
        <w:overflowPunct/>
        <w:topLinePunct w:val="0"/>
        <w:autoSpaceDE/>
        <w:autoSpaceDN/>
        <w:bidi w:val="0"/>
        <w:adjustRightInd/>
        <w:snapToGrid/>
        <w:spacing w:line="440" w:lineRule="exact"/>
        <w:ind w:left="0" w:leftChars="0" w:right="0" w:rightChars="0"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开户行：</w:t>
      </w:r>
      <w:r>
        <w:rPr>
          <w:rFonts w:hint="eastAsia" w:ascii="宋体" w:hAnsi="宋体" w:eastAsia="宋体" w:cs="宋体"/>
          <w:color w:val="auto"/>
          <w:spacing w:val="-1"/>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p w14:paraId="5C4B11C1">
      <w:pPr>
        <w:keepNext w:val="0"/>
        <w:keepLines w:val="0"/>
        <w:pageBreakBefore w:val="0"/>
        <w:widowControl w:val="0"/>
        <w:tabs>
          <w:tab w:val="left" w:pos="4880"/>
        </w:tabs>
        <w:kinsoku/>
        <w:wordWrap/>
        <w:overflowPunct/>
        <w:topLinePunct w:val="0"/>
        <w:autoSpaceDE/>
        <w:autoSpaceDN/>
        <w:bidi w:val="0"/>
        <w:adjustRightInd/>
        <w:snapToGrid/>
        <w:spacing w:line="440" w:lineRule="exact"/>
        <w:ind w:left="0" w:leftChars="0" w:right="0" w:rightChars="0"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lang w:eastAsia="zh-CN"/>
        </w:rPr>
        <w:t>账号</w:t>
      </w:r>
      <w:r>
        <w:rPr>
          <w:rFonts w:hint="eastAsia" w:ascii="宋体" w:hAnsi="宋体" w:eastAsia="宋体" w:cs="宋体"/>
          <w:color w:val="auto"/>
          <w:sz w:val="24"/>
          <w:szCs w:val="24"/>
        </w:rPr>
        <w:t>：</w:t>
      </w:r>
      <w:r>
        <w:rPr>
          <w:rFonts w:hint="eastAsia" w:ascii="宋体" w:hAnsi="宋体" w:eastAsia="宋体" w:cs="宋体"/>
          <w:color w:val="auto"/>
          <w:spacing w:val="-1"/>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p w14:paraId="06B81F30">
      <w:pPr>
        <w:keepNext w:val="0"/>
        <w:keepLines w:val="0"/>
        <w:pageBreakBefore w:val="0"/>
        <w:widowControl w:val="0"/>
        <w:tabs>
          <w:tab w:val="left" w:pos="4880"/>
        </w:tabs>
        <w:kinsoku/>
        <w:wordWrap/>
        <w:overflowPunct/>
        <w:topLinePunct w:val="0"/>
        <w:autoSpaceDE/>
        <w:autoSpaceDN/>
        <w:bidi w:val="0"/>
        <w:adjustRightInd/>
        <w:snapToGrid/>
        <w:spacing w:line="440" w:lineRule="exact"/>
        <w:ind w:left="0" w:leftChars="0" w:right="0" w:rightChars="0"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地址：</w:t>
      </w:r>
      <w:r>
        <w:rPr>
          <w:rFonts w:hint="eastAsia" w:ascii="宋体" w:hAnsi="宋体" w:eastAsia="宋体" w:cs="宋体"/>
          <w:color w:val="auto"/>
          <w:spacing w:val="-1"/>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p w14:paraId="256B3DC6">
      <w:pPr>
        <w:keepNext w:val="0"/>
        <w:keepLines w:val="0"/>
        <w:pageBreakBefore w:val="0"/>
        <w:widowControl w:val="0"/>
        <w:tabs>
          <w:tab w:val="left" w:pos="4880"/>
        </w:tabs>
        <w:kinsoku/>
        <w:wordWrap/>
        <w:overflowPunct/>
        <w:topLinePunct w:val="0"/>
        <w:autoSpaceDE/>
        <w:autoSpaceDN/>
        <w:bidi w:val="0"/>
        <w:adjustRightInd/>
        <w:snapToGrid/>
        <w:spacing w:line="440" w:lineRule="exact"/>
        <w:ind w:left="0" w:leftChars="0" w:right="0" w:righ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pacing w:val="-1"/>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p w14:paraId="17F70C77">
      <w:pPr>
        <w:pStyle w:val="11"/>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rPr>
          <w:rFonts w:hint="eastAsia" w:ascii="宋体" w:hAnsi="宋体" w:eastAsia="宋体" w:cs="宋体"/>
          <w:color w:val="auto"/>
          <w:sz w:val="24"/>
          <w:szCs w:val="24"/>
        </w:rPr>
      </w:pPr>
    </w:p>
    <w:p w14:paraId="50716BAB">
      <w:pPr>
        <w:keepNext w:val="0"/>
        <w:keepLines w:val="0"/>
        <w:pageBreakBefore w:val="0"/>
        <w:widowControl w:val="0"/>
        <w:tabs>
          <w:tab w:val="left" w:pos="4880"/>
        </w:tabs>
        <w:kinsoku/>
        <w:wordWrap/>
        <w:overflowPunct/>
        <w:topLinePunct w:val="0"/>
        <w:autoSpaceDE/>
        <w:autoSpaceDN/>
        <w:bidi w:val="0"/>
        <w:adjustRightInd/>
        <w:snapToGrid/>
        <w:spacing w:line="440" w:lineRule="exact"/>
        <w:ind w:left="0" w:leftChars="0" w:right="0" w:rightChars="0"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乙方名称：</w:t>
      </w:r>
      <w:r>
        <w:rPr>
          <w:rFonts w:hint="eastAsia" w:ascii="宋体" w:hAnsi="宋体" w:eastAsia="宋体" w:cs="宋体"/>
          <w:color w:val="auto"/>
          <w:sz w:val="24"/>
          <w:szCs w:val="24"/>
          <w:u w:val="single"/>
        </w:rPr>
        <w:tab/>
      </w:r>
      <w:r>
        <w:rPr>
          <w:rFonts w:hint="eastAsia" w:ascii="宋体" w:hAnsi="宋体" w:eastAsia="宋体" w:cs="宋体"/>
          <w:color w:val="auto"/>
          <w:spacing w:val="-1"/>
          <w:sz w:val="24"/>
          <w:szCs w:val="24"/>
        </w:rPr>
        <w:t xml:space="preserve">  </w:t>
      </w:r>
    </w:p>
    <w:p w14:paraId="61F33095">
      <w:pPr>
        <w:keepNext w:val="0"/>
        <w:keepLines w:val="0"/>
        <w:pageBreakBefore w:val="0"/>
        <w:widowControl w:val="0"/>
        <w:tabs>
          <w:tab w:val="left" w:pos="4880"/>
        </w:tabs>
        <w:kinsoku/>
        <w:wordWrap/>
        <w:overflowPunct/>
        <w:topLinePunct w:val="0"/>
        <w:autoSpaceDE/>
        <w:autoSpaceDN/>
        <w:bidi w:val="0"/>
        <w:adjustRightInd/>
        <w:snapToGrid/>
        <w:spacing w:line="440" w:lineRule="exact"/>
        <w:ind w:left="0" w:leftChars="0" w:right="0" w:rightChars="0"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纳税人识别号：</w:t>
      </w:r>
      <w:r>
        <w:rPr>
          <w:rFonts w:hint="eastAsia" w:ascii="宋体" w:hAnsi="宋体" w:eastAsia="宋体" w:cs="宋体"/>
          <w:color w:val="auto"/>
          <w:sz w:val="24"/>
          <w:szCs w:val="24"/>
          <w:u w:val="single"/>
        </w:rPr>
        <w:tab/>
      </w:r>
      <w:r>
        <w:rPr>
          <w:rFonts w:hint="eastAsia" w:ascii="宋体" w:hAnsi="宋体" w:eastAsia="宋体" w:cs="宋体"/>
          <w:color w:val="auto"/>
          <w:spacing w:val="-1"/>
          <w:sz w:val="24"/>
          <w:szCs w:val="24"/>
        </w:rPr>
        <w:t xml:space="preserve">  </w:t>
      </w:r>
    </w:p>
    <w:p w14:paraId="7DEC61D1">
      <w:pPr>
        <w:keepNext w:val="0"/>
        <w:keepLines w:val="0"/>
        <w:pageBreakBefore w:val="0"/>
        <w:widowControl w:val="0"/>
        <w:tabs>
          <w:tab w:val="left" w:pos="4880"/>
        </w:tabs>
        <w:kinsoku/>
        <w:wordWrap/>
        <w:overflowPunct/>
        <w:topLinePunct w:val="0"/>
        <w:autoSpaceDE/>
        <w:autoSpaceDN/>
        <w:bidi w:val="0"/>
        <w:adjustRightInd/>
        <w:snapToGrid/>
        <w:spacing w:line="440" w:lineRule="exact"/>
        <w:ind w:left="0" w:leftChars="0" w:right="0" w:rightChars="0" w:firstLine="476" w:firstLineChars="200"/>
        <w:rPr>
          <w:rFonts w:hint="eastAsia" w:ascii="宋体" w:hAnsi="宋体" w:eastAsia="宋体" w:cs="宋体"/>
          <w:color w:val="auto"/>
          <w:sz w:val="24"/>
          <w:szCs w:val="24"/>
          <w:u w:val="single"/>
        </w:rPr>
      </w:pPr>
      <w:r>
        <w:rPr>
          <w:rFonts w:hint="eastAsia" w:ascii="宋体" w:hAnsi="宋体" w:eastAsia="宋体" w:cs="宋体"/>
          <w:color w:val="auto"/>
          <w:spacing w:val="-1"/>
          <w:sz w:val="24"/>
          <w:szCs w:val="24"/>
        </w:rPr>
        <w:t xml:space="preserve">户名：  </w:t>
      </w:r>
      <w:r>
        <w:rPr>
          <w:rFonts w:hint="eastAsia" w:ascii="宋体" w:hAnsi="宋体" w:eastAsia="宋体" w:cs="宋体"/>
          <w:color w:val="auto"/>
          <w:sz w:val="24"/>
          <w:szCs w:val="24"/>
          <w:u w:val="single"/>
        </w:rPr>
        <w:tab/>
      </w:r>
    </w:p>
    <w:p w14:paraId="6EDFAAC1">
      <w:pPr>
        <w:keepNext w:val="0"/>
        <w:keepLines w:val="0"/>
        <w:pageBreakBefore w:val="0"/>
        <w:widowControl w:val="0"/>
        <w:tabs>
          <w:tab w:val="left" w:pos="4880"/>
        </w:tabs>
        <w:kinsoku/>
        <w:wordWrap/>
        <w:overflowPunct/>
        <w:topLinePunct w:val="0"/>
        <w:autoSpaceDE/>
        <w:autoSpaceDN/>
        <w:bidi w:val="0"/>
        <w:adjustRightInd/>
        <w:snapToGrid/>
        <w:spacing w:line="440" w:lineRule="exact"/>
        <w:ind w:left="0" w:leftChars="0" w:right="0" w:rightChars="0" w:firstLine="476" w:firstLineChars="200"/>
        <w:rPr>
          <w:rFonts w:hint="eastAsia" w:ascii="宋体" w:hAnsi="宋体" w:eastAsia="宋体" w:cs="宋体"/>
          <w:color w:val="auto"/>
          <w:sz w:val="24"/>
          <w:szCs w:val="24"/>
          <w:u w:val="single"/>
        </w:rPr>
      </w:pPr>
      <w:r>
        <w:rPr>
          <w:rFonts w:hint="eastAsia" w:ascii="宋体" w:hAnsi="宋体" w:eastAsia="宋体" w:cs="宋体"/>
          <w:color w:val="auto"/>
          <w:spacing w:val="-1"/>
          <w:sz w:val="24"/>
          <w:szCs w:val="24"/>
        </w:rPr>
        <w:t xml:space="preserve">开户行： </w:t>
      </w:r>
      <w:r>
        <w:rPr>
          <w:rFonts w:hint="eastAsia" w:ascii="宋体" w:hAnsi="宋体" w:eastAsia="宋体" w:cs="宋体"/>
          <w:color w:val="auto"/>
          <w:sz w:val="24"/>
          <w:szCs w:val="24"/>
          <w:u w:val="single"/>
        </w:rPr>
        <w:tab/>
      </w:r>
    </w:p>
    <w:p w14:paraId="4462CAE6">
      <w:pPr>
        <w:keepNext w:val="0"/>
        <w:keepLines w:val="0"/>
        <w:pageBreakBefore w:val="0"/>
        <w:widowControl w:val="0"/>
        <w:tabs>
          <w:tab w:val="left" w:pos="4880"/>
        </w:tabs>
        <w:kinsoku/>
        <w:wordWrap/>
        <w:overflowPunct/>
        <w:topLinePunct w:val="0"/>
        <w:autoSpaceDE/>
        <w:autoSpaceDN/>
        <w:bidi w:val="0"/>
        <w:adjustRightInd/>
        <w:snapToGrid/>
        <w:spacing w:line="440" w:lineRule="exact"/>
        <w:ind w:left="0" w:leftChars="0" w:right="0" w:rightChars="0" w:firstLine="476" w:firstLineChars="200"/>
        <w:rPr>
          <w:rFonts w:hint="eastAsia" w:ascii="宋体" w:hAnsi="宋体" w:eastAsia="宋体" w:cs="宋体"/>
          <w:color w:val="auto"/>
          <w:sz w:val="24"/>
          <w:szCs w:val="24"/>
          <w:u w:val="single"/>
        </w:rPr>
      </w:pPr>
      <w:r>
        <w:rPr>
          <w:rFonts w:hint="eastAsia" w:ascii="宋体" w:hAnsi="宋体" w:eastAsia="宋体" w:cs="宋体"/>
          <w:color w:val="auto"/>
          <w:spacing w:val="-1"/>
          <w:sz w:val="24"/>
          <w:szCs w:val="24"/>
          <w:lang w:eastAsia="zh-CN"/>
        </w:rPr>
        <w:t>账号</w:t>
      </w:r>
      <w:r>
        <w:rPr>
          <w:rFonts w:hint="eastAsia" w:ascii="宋体" w:hAnsi="宋体" w:eastAsia="宋体" w:cs="宋体"/>
          <w:color w:val="auto"/>
          <w:spacing w:val="-1"/>
          <w:sz w:val="24"/>
          <w:szCs w:val="24"/>
        </w:rPr>
        <w:t xml:space="preserve">：  </w:t>
      </w:r>
      <w:r>
        <w:rPr>
          <w:rFonts w:hint="eastAsia" w:ascii="宋体" w:hAnsi="宋体" w:eastAsia="宋体" w:cs="宋体"/>
          <w:color w:val="auto"/>
          <w:sz w:val="24"/>
          <w:szCs w:val="24"/>
          <w:u w:val="single"/>
        </w:rPr>
        <w:tab/>
      </w:r>
    </w:p>
    <w:p w14:paraId="492B84CD">
      <w:pPr>
        <w:keepNext w:val="0"/>
        <w:keepLines w:val="0"/>
        <w:pageBreakBefore w:val="0"/>
        <w:widowControl w:val="0"/>
        <w:tabs>
          <w:tab w:val="left" w:pos="4880"/>
        </w:tabs>
        <w:kinsoku/>
        <w:wordWrap/>
        <w:overflowPunct/>
        <w:topLinePunct w:val="0"/>
        <w:autoSpaceDE/>
        <w:autoSpaceDN/>
        <w:bidi w:val="0"/>
        <w:adjustRightInd/>
        <w:snapToGrid/>
        <w:spacing w:line="440" w:lineRule="exact"/>
        <w:ind w:left="0" w:leftChars="0" w:right="0" w:rightChars="0"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地址：</w:t>
      </w:r>
      <w:r>
        <w:rPr>
          <w:rFonts w:hint="eastAsia" w:ascii="宋体" w:hAnsi="宋体" w:eastAsia="宋体" w:cs="宋体"/>
          <w:color w:val="auto"/>
          <w:spacing w:val="-1"/>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p w14:paraId="38F1769A">
      <w:pPr>
        <w:keepNext w:val="0"/>
        <w:keepLines w:val="0"/>
        <w:pageBreakBefore w:val="0"/>
        <w:widowControl w:val="0"/>
        <w:tabs>
          <w:tab w:val="left" w:pos="4880"/>
        </w:tabs>
        <w:kinsoku/>
        <w:wordWrap/>
        <w:overflowPunct/>
        <w:topLinePunct w:val="0"/>
        <w:autoSpaceDE/>
        <w:autoSpaceDN/>
        <w:bidi w:val="0"/>
        <w:adjustRightInd/>
        <w:snapToGrid/>
        <w:spacing w:line="440" w:lineRule="exact"/>
        <w:ind w:left="0" w:leftChars="0" w:right="0" w:righ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pacing w:val="-1"/>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p w14:paraId="1AA8C204">
      <w:pPr>
        <w:keepNext w:val="0"/>
        <w:keepLines w:val="0"/>
        <w:pageBreakBefore w:val="0"/>
        <w:widowControl w:val="0"/>
        <w:numPr>
          <w:ilvl w:val="0"/>
          <w:numId w:val="0"/>
        </w:numPr>
        <w:tabs>
          <w:tab w:val="left" w:pos="1227"/>
          <w:tab w:val="left" w:pos="6801"/>
        </w:tabs>
        <w:kinsoku/>
        <w:wordWrap/>
        <w:overflowPunct/>
        <w:topLinePunct w:val="0"/>
        <w:autoSpaceDE/>
        <w:autoSpaceDN/>
        <w:bidi w:val="0"/>
        <w:adjustRightInd/>
        <w:snapToGrid/>
        <w:spacing w:line="440" w:lineRule="exact"/>
        <w:ind w:right="0" w:rightChars="0" w:firstLine="480"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2、乙方如需改变上述账户，应提前 10 日以书面通知甲方。如乙方未按本合同规定通知导致甲方逾期付款，甲方不承担任何违约责任，乙方应承担因此产生的一切费用。</w:t>
      </w:r>
    </w:p>
    <w:p w14:paraId="3FFD92A0">
      <w:pPr>
        <w:keepNext w:val="0"/>
        <w:keepLines w:val="0"/>
        <w:pageBreakBefore w:val="0"/>
        <w:widowControl w:val="0"/>
        <w:numPr>
          <w:ilvl w:val="0"/>
          <w:numId w:val="0"/>
        </w:numPr>
        <w:tabs>
          <w:tab w:val="left" w:pos="1227"/>
          <w:tab w:val="left" w:pos="6801"/>
        </w:tabs>
        <w:kinsoku/>
        <w:wordWrap/>
        <w:overflowPunct/>
        <w:topLinePunct w:val="0"/>
        <w:autoSpaceDE/>
        <w:autoSpaceDN/>
        <w:bidi w:val="0"/>
        <w:adjustRightInd/>
        <w:snapToGrid/>
        <w:spacing w:line="440" w:lineRule="exact"/>
        <w:ind w:right="0" w:rightChars="0" w:firstLine="480"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3、费率其他约定</w:t>
      </w:r>
    </w:p>
    <w:p w14:paraId="377D84E1">
      <w:pPr>
        <w:keepNext w:val="0"/>
        <w:keepLines w:val="0"/>
        <w:pageBreakBefore w:val="0"/>
        <w:widowControl w:val="0"/>
        <w:numPr>
          <w:ilvl w:val="0"/>
          <w:numId w:val="0"/>
        </w:numPr>
        <w:tabs>
          <w:tab w:val="left" w:pos="1227"/>
          <w:tab w:val="left" w:pos="6801"/>
        </w:tabs>
        <w:kinsoku/>
        <w:wordWrap/>
        <w:overflowPunct/>
        <w:topLinePunct w:val="0"/>
        <w:autoSpaceDE/>
        <w:autoSpaceDN/>
        <w:bidi w:val="0"/>
        <w:adjustRightInd/>
        <w:snapToGrid/>
        <w:spacing w:line="440" w:lineRule="exact"/>
        <w:ind w:right="0" w:rightChars="0" w:firstLine="480"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当成交供应商承接的项目评审存在特殊情况，采购人与成交供应商协商确定费率后， 另行在采购合同中约定。</w:t>
      </w:r>
    </w:p>
    <w:p w14:paraId="34447007">
      <w:pPr>
        <w:keepNext w:val="0"/>
        <w:keepLines w:val="0"/>
        <w:pageBreakBefore w:val="0"/>
        <w:widowControl w:val="0"/>
        <w:numPr>
          <w:ilvl w:val="0"/>
          <w:numId w:val="0"/>
        </w:numPr>
        <w:tabs>
          <w:tab w:val="left" w:pos="1227"/>
          <w:tab w:val="left" w:pos="6801"/>
        </w:tabs>
        <w:kinsoku/>
        <w:wordWrap/>
        <w:overflowPunct/>
        <w:topLinePunct w:val="0"/>
        <w:autoSpaceDE/>
        <w:autoSpaceDN/>
        <w:bidi w:val="0"/>
        <w:adjustRightInd/>
        <w:snapToGrid/>
        <w:spacing w:line="440" w:lineRule="exact"/>
        <w:ind w:right="0" w:rightChars="0" w:firstLine="480"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4、履约保证金：无。</w:t>
      </w:r>
    </w:p>
    <w:p w14:paraId="4B5D224C">
      <w:pPr>
        <w:spacing w:before="1" w:line="460" w:lineRule="exact"/>
        <w:ind w:right="400" w:rightChars="200"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第五条 采购合同文本</w:t>
      </w:r>
    </w:p>
    <w:p w14:paraId="5B4AD42E">
      <w:pPr>
        <w:keepNext w:val="0"/>
        <w:keepLines w:val="0"/>
        <w:pageBreakBefore w:val="0"/>
        <w:widowControl w:val="0"/>
        <w:numPr>
          <w:ilvl w:val="0"/>
          <w:numId w:val="0"/>
        </w:numPr>
        <w:tabs>
          <w:tab w:val="left" w:pos="1227"/>
          <w:tab w:val="left" w:pos="6801"/>
        </w:tabs>
        <w:kinsoku/>
        <w:wordWrap/>
        <w:overflowPunct/>
        <w:topLinePunct w:val="0"/>
        <w:autoSpaceDE/>
        <w:autoSpaceDN/>
        <w:bidi w:val="0"/>
        <w:adjustRightInd/>
        <w:snapToGrid/>
        <w:spacing w:line="440" w:lineRule="exact"/>
        <w:ind w:right="0" w:rightChars="0" w:firstLine="480"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详见第六章采购合同（格式）。</w:t>
      </w:r>
    </w:p>
    <w:p w14:paraId="1AC1B185">
      <w:pPr>
        <w:spacing w:before="1" w:line="460" w:lineRule="exact"/>
        <w:ind w:right="400" w:rightChars="200"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 xml:space="preserve">第六条 </w:t>
      </w:r>
      <w:r>
        <w:rPr>
          <w:rFonts w:hint="eastAsia" w:ascii="宋体" w:hAnsi="宋体" w:eastAsia="宋体" w:cs="宋体"/>
          <w:b/>
          <w:bCs/>
          <w:color w:val="auto"/>
          <w:sz w:val="24"/>
          <w:szCs w:val="24"/>
        </w:rPr>
        <w:t>入围供应商清退和补充规则</w:t>
      </w:r>
    </w:p>
    <w:p w14:paraId="46B27FF4">
      <w:pPr>
        <w:keepNext w:val="0"/>
        <w:keepLines w:val="0"/>
        <w:pageBreakBefore w:val="0"/>
        <w:widowControl w:val="0"/>
        <w:numPr>
          <w:ilvl w:val="0"/>
          <w:numId w:val="0"/>
        </w:numPr>
        <w:tabs>
          <w:tab w:val="left" w:pos="1227"/>
          <w:tab w:val="left" w:pos="6801"/>
        </w:tabs>
        <w:kinsoku/>
        <w:wordWrap/>
        <w:overflowPunct/>
        <w:topLinePunct w:val="0"/>
        <w:autoSpaceDE/>
        <w:autoSpaceDN/>
        <w:bidi w:val="0"/>
        <w:adjustRightInd/>
        <w:snapToGrid/>
        <w:spacing w:line="420" w:lineRule="exact"/>
        <w:ind w:right="0" w:rightChars="0" w:firstLine="480"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1.入围供应商的清退</w:t>
      </w:r>
    </w:p>
    <w:p w14:paraId="7ED3B38E">
      <w:pPr>
        <w:keepNext w:val="0"/>
        <w:keepLines w:val="0"/>
        <w:pageBreakBefore w:val="0"/>
        <w:widowControl w:val="0"/>
        <w:numPr>
          <w:ilvl w:val="0"/>
          <w:numId w:val="0"/>
        </w:numPr>
        <w:tabs>
          <w:tab w:val="left" w:pos="1227"/>
          <w:tab w:val="left" w:pos="6801"/>
        </w:tabs>
        <w:kinsoku/>
        <w:wordWrap/>
        <w:overflowPunct/>
        <w:topLinePunct w:val="0"/>
        <w:autoSpaceDE/>
        <w:autoSpaceDN/>
        <w:bidi w:val="0"/>
        <w:adjustRightInd/>
        <w:snapToGrid/>
        <w:spacing w:line="420" w:lineRule="exact"/>
        <w:ind w:right="0" w:rightChars="0" w:firstLine="480"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乙方在签订本框架协议前出现以下情形之一的，甲方将取消其入围资格；乙方在签订本框架协议后出现以下情形之一的，甲方将解除与其签订的框架协议：</w:t>
      </w:r>
    </w:p>
    <w:p w14:paraId="7AF7F407">
      <w:pPr>
        <w:keepNext w:val="0"/>
        <w:keepLines w:val="0"/>
        <w:pageBreakBefore w:val="0"/>
        <w:widowControl w:val="0"/>
        <w:numPr>
          <w:ilvl w:val="0"/>
          <w:numId w:val="0"/>
        </w:numPr>
        <w:tabs>
          <w:tab w:val="left" w:pos="1227"/>
          <w:tab w:val="left" w:pos="6801"/>
        </w:tabs>
        <w:kinsoku/>
        <w:wordWrap/>
        <w:overflowPunct/>
        <w:topLinePunct w:val="0"/>
        <w:autoSpaceDE/>
        <w:autoSpaceDN/>
        <w:bidi w:val="0"/>
        <w:adjustRightInd/>
        <w:snapToGrid/>
        <w:spacing w:line="420" w:lineRule="exact"/>
        <w:ind w:right="0" w:rightChars="0" w:firstLine="480"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(1)恶意串通谋取入围或者成交的</w:t>
      </w:r>
      <w:r>
        <w:rPr>
          <w:rFonts w:hint="eastAsia" w:ascii="宋体" w:hAnsi="宋体" w:cs="宋体"/>
          <w:color w:val="auto"/>
          <w:sz w:val="24"/>
          <w:szCs w:val="24"/>
          <w:u w:val="none"/>
          <w:lang w:val="en-US" w:eastAsia="zh-CN"/>
        </w:rPr>
        <w:t>；</w:t>
      </w:r>
    </w:p>
    <w:p w14:paraId="41231CA5">
      <w:pPr>
        <w:keepNext w:val="0"/>
        <w:keepLines w:val="0"/>
        <w:pageBreakBefore w:val="0"/>
        <w:widowControl w:val="0"/>
        <w:numPr>
          <w:ilvl w:val="0"/>
          <w:numId w:val="0"/>
        </w:numPr>
        <w:tabs>
          <w:tab w:val="left" w:pos="1227"/>
          <w:tab w:val="left" w:pos="6801"/>
        </w:tabs>
        <w:kinsoku/>
        <w:wordWrap/>
        <w:overflowPunct/>
        <w:topLinePunct w:val="0"/>
        <w:autoSpaceDE/>
        <w:autoSpaceDN/>
        <w:bidi w:val="0"/>
        <w:adjustRightInd/>
        <w:snapToGrid/>
        <w:spacing w:line="420" w:lineRule="exact"/>
        <w:ind w:right="0" w:rightChars="0" w:firstLine="480"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(2)提供虚假材料谋取入围或者成交的</w:t>
      </w:r>
      <w:r>
        <w:rPr>
          <w:rFonts w:hint="eastAsia" w:ascii="宋体" w:hAnsi="宋体" w:cs="宋体"/>
          <w:color w:val="auto"/>
          <w:sz w:val="24"/>
          <w:szCs w:val="24"/>
          <w:u w:val="none"/>
          <w:lang w:val="en-US" w:eastAsia="zh-CN"/>
        </w:rPr>
        <w:t>；</w:t>
      </w:r>
    </w:p>
    <w:p w14:paraId="1C44C06F">
      <w:pPr>
        <w:keepNext w:val="0"/>
        <w:keepLines w:val="0"/>
        <w:pageBreakBefore w:val="0"/>
        <w:widowControl w:val="0"/>
        <w:numPr>
          <w:ilvl w:val="0"/>
          <w:numId w:val="0"/>
        </w:numPr>
        <w:tabs>
          <w:tab w:val="left" w:pos="1227"/>
          <w:tab w:val="left" w:pos="6801"/>
        </w:tabs>
        <w:kinsoku/>
        <w:wordWrap/>
        <w:overflowPunct/>
        <w:topLinePunct w:val="0"/>
        <w:autoSpaceDE/>
        <w:autoSpaceDN/>
        <w:bidi w:val="0"/>
        <w:adjustRightInd/>
        <w:snapToGrid/>
        <w:spacing w:line="420" w:lineRule="exact"/>
        <w:ind w:right="0" w:rightChars="0" w:firstLine="480"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(3)无正当理由拒不接受授予的</w:t>
      </w:r>
      <w:r>
        <w:rPr>
          <w:rFonts w:hint="eastAsia" w:ascii="宋体" w:hAnsi="宋体" w:cs="宋体"/>
          <w:color w:val="auto"/>
          <w:sz w:val="24"/>
          <w:szCs w:val="24"/>
          <w:u w:val="none"/>
          <w:lang w:val="en-US" w:eastAsia="zh-CN"/>
        </w:rPr>
        <w:t>；</w:t>
      </w:r>
    </w:p>
    <w:p w14:paraId="31692247">
      <w:pPr>
        <w:keepNext w:val="0"/>
        <w:keepLines w:val="0"/>
        <w:pageBreakBefore w:val="0"/>
        <w:widowControl w:val="0"/>
        <w:numPr>
          <w:ilvl w:val="0"/>
          <w:numId w:val="0"/>
        </w:numPr>
        <w:tabs>
          <w:tab w:val="left" w:pos="1227"/>
          <w:tab w:val="left" w:pos="6801"/>
        </w:tabs>
        <w:kinsoku/>
        <w:wordWrap/>
        <w:overflowPunct/>
        <w:topLinePunct w:val="0"/>
        <w:autoSpaceDE/>
        <w:autoSpaceDN/>
        <w:bidi w:val="0"/>
        <w:adjustRightInd/>
        <w:snapToGrid/>
        <w:spacing w:line="420" w:lineRule="exact"/>
        <w:ind w:right="0" w:rightChars="0" w:firstLine="480"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(4)不履行框架协议义务或者履行义务不符合约定，经采购人请求履行后仍不履行或者仍未按约定履行的</w:t>
      </w:r>
      <w:r>
        <w:rPr>
          <w:rFonts w:hint="eastAsia" w:ascii="宋体" w:hAnsi="宋体" w:cs="宋体"/>
          <w:color w:val="auto"/>
          <w:sz w:val="24"/>
          <w:szCs w:val="24"/>
          <w:u w:val="none"/>
          <w:lang w:val="en-US" w:eastAsia="zh-CN"/>
        </w:rPr>
        <w:t>；</w:t>
      </w:r>
    </w:p>
    <w:p w14:paraId="3ED5BE59">
      <w:pPr>
        <w:keepNext w:val="0"/>
        <w:keepLines w:val="0"/>
        <w:pageBreakBefore w:val="0"/>
        <w:widowControl w:val="0"/>
        <w:numPr>
          <w:ilvl w:val="0"/>
          <w:numId w:val="0"/>
        </w:numPr>
        <w:tabs>
          <w:tab w:val="left" w:pos="1227"/>
          <w:tab w:val="left" w:pos="6801"/>
        </w:tabs>
        <w:kinsoku/>
        <w:wordWrap/>
        <w:overflowPunct/>
        <w:topLinePunct w:val="0"/>
        <w:autoSpaceDE/>
        <w:autoSpaceDN/>
        <w:bidi w:val="0"/>
        <w:adjustRightInd/>
        <w:snapToGrid/>
        <w:spacing w:line="420" w:lineRule="exact"/>
        <w:ind w:right="0" w:rightChars="0" w:firstLine="480"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(5)框架协议有效期内，因违法行为被禁止或限制参加政府采购活动的</w:t>
      </w:r>
      <w:r>
        <w:rPr>
          <w:rFonts w:hint="eastAsia" w:ascii="宋体" w:hAnsi="宋体" w:cs="宋体"/>
          <w:color w:val="auto"/>
          <w:sz w:val="24"/>
          <w:szCs w:val="24"/>
          <w:u w:val="none"/>
          <w:lang w:val="en-US" w:eastAsia="zh-CN"/>
        </w:rPr>
        <w:t>；</w:t>
      </w:r>
    </w:p>
    <w:p w14:paraId="264C18FA">
      <w:pPr>
        <w:keepNext w:val="0"/>
        <w:keepLines w:val="0"/>
        <w:pageBreakBefore w:val="0"/>
        <w:widowControl w:val="0"/>
        <w:numPr>
          <w:ilvl w:val="0"/>
          <w:numId w:val="0"/>
        </w:numPr>
        <w:tabs>
          <w:tab w:val="left" w:pos="1227"/>
          <w:tab w:val="left" w:pos="6801"/>
        </w:tabs>
        <w:kinsoku/>
        <w:wordWrap/>
        <w:overflowPunct/>
        <w:topLinePunct w:val="0"/>
        <w:autoSpaceDE/>
        <w:autoSpaceDN/>
        <w:bidi w:val="0"/>
        <w:adjustRightInd/>
        <w:snapToGrid/>
        <w:spacing w:line="420" w:lineRule="exact"/>
        <w:ind w:right="0" w:rightChars="0" w:firstLine="480"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(6)入围供应商的组织机构、经营、财务状况发生较大变化，可能造成不能履行框架协议或合同的</w:t>
      </w:r>
      <w:r>
        <w:rPr>
          <w:rFonts w:hint="eastAsia" w:ascii="宋体" w:hAnsi="宋体" w:cs="宋体"/>
          <w:color w:val="auto"/>
          <w:sz w:val="24"/>
          <w:szCs w:val="24"/>
          <w:u w:val="none"/>
          <w:lang w:val="en-US" w:eastAsia="zh-CN"/>
        </w:rPr>
        <w:t>；</w:t>
      </w:r>
    </w:p>
    <w:p w14:paraId="7763F57E">
      <w:pPr>
        <w:keepNext w:val="0"/>
        <w:keepLines w:val="0"/>
        <w:pageBreakBefore w:val="0"/>
        <w:widowControl w:val="0"/>
        <w:numPr>
          <w:ilvl w:val="0"/>
          <w:numId w:val="0"/>
        </w:numPr>
        <w:tabs>
          <w:tab w:val="left" w:pos="1227"/>
          <w:tab w:val="left" w:pos="6801"/>
        </w:tabs>
        <w:kinsoku/>
        <w:wordWrap/>
        <w:overflowPunct/>
        <w:topLinePunct w:val="0"/>
        <w:autoSpaceDE/>
        <w:autoSpaceDN/>
        <w:bidi w:val="0"/>
        <w:adjustRightInd/>
        <w:snapToGrid/>
        <w:spacing w:line="420" w:lineRule="exact"/>
        <w:ind w:right="0" w:rightChars="0" w:firstLine="480" w:firstLineChars="200"/>
        <w:rPr>
          <w:rFonts w:hint="eastAsia" w:ascii="宋体" w:hAnsi="宋体" w:cs="宋体"/>
          <w:color w:val="auto"/>
          <w:sz w:val="24"/>
          <w:szCs w:val="24"/>
          <w:u w:val="none"/>
          <w:lang w:val="en-US" w:eastAsia="zh-CN"/>
        </w:rPr>
      </w:pPr>
      <w:r>
        <w:rPr>
          <w:rFonts w:hint="eastAsia" w:ascii="宋体" w:hAnsi="宋体" w:eastAsia="宋体" w:cs="宋体"/>
          <w:color w:val="auto"/>
          <w:sz w:val="24"/>
          <w:szCs w:val="24"/>
          <w:u w:val="none"/>
          <w:lang w:val="en-US" w:eastAsia="zh-CN"/>
        </w:rPr>
        <w:t>(7)如有必要，招标人也可在第一年度末进行一次业务质量评定考核，实行不小于中标企业总数20%的末位考核淘汰制度。具体工作中，如末位淘汰制度影响框架协议的</w:t>
      </w:r>
      <w:r>
        <w:rPr>
          <w:rFonts w:hint="eastAsia" w:ascii="宋体" w:hAnsi="宋体" w:cs="宋体"/>
          <w:color w:val="auto"/>
          <w:sz w:val="24"/>
          <w:szCs w:val="24"/>
          <w:u w:val="none"/>
          <w:lang w:val="en-US" w:eastAsia="zh-CN"/>
        </w:rPr>
        <w:t>。</w:t>
      </w:r>
    </w:p>
    <w:p w14:paraId="30E8F5B8">
      <w:pPr>
        <w:keepNext w:val="0"/>
        <w:keepLines w:val="0"/>
        <w:pageBreakBefore w:val="0"/>
        <w:widowControl w:val="0"/>
        <w:numPr>
          <w:ilvl w:val="0"/>
          <w:numId w:val="0"/>
        </w:numPr>
        <w:tabs>
          <w:tab w:val="left" w:pos="1227"/>
          <w:tab w:val="left" w:pos="6801"/>
        </w:tabs>
        <w:kinsoku/>
        <w:wordWrap/>
        <w:overflowPunct/>
        <w:topLinePunct w:val="0"/>
        <w:autoSpaceDE/>
        <w:autoSpaceDN/>
        <w:bidi w:val="0"/>
        <w:adjustRightInd/>
        <w:snapToGrid/>
        <w:spacing w:line="420" w:lineRule="exact"/>
        <w:ind w:right="0" w:rightChars="0" w:firstLine="480"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2.入围供应商的补充</w:t>
      </w:r>
    </w:p>
    <w:p w14:paraId="2A4F9172">
      <w:pPr>
        <w:keepNext w:val="0"/>
        <w:keepLines w:val="0"/>
        <w:pageBreakBefore w:val="0"/>
        <w:widowControl w:val="0"/>
        <w:numPr>
          <w:ilvl w:val="0"/>
          <w:numId w:val="0"/>
        </w:numPr>
        <w:tabs>
          <w:tab w:val="left" w:pos="1227"/>
          <w:tab w:val="left" w:pos="6801"/>
        </w:tabs>
        <w:kinsoku/>
        <w:wordWrap/>
        <w:overflowPunct/>
        <w:topLinePunct w:val="0"/>
        <w:autoSpaceDE/>
        <w:autoSpaceDN/>
        <w:bidi w:val="0"/>
        <w:adjustRightInd/>
        <w:snapToGrid/>
        <w:spacing w:line="420" w:lineRule="exact"/>
        <w:ind w:right="0" w:rightChars="0" w:firstLine="480"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除剩余入围供应商不足入围供应商总数70%且影响框架协议执行的情形外，框架协议有效期内，征集人不得补充征集供应商。 </w:t>
      </w:r>
    </w:p>
    <w:p w14:paraId="4F2D7EB5">
      <w:pPr>
        <w:keepNext w:val="0"/>
        <w:keepLines w:val="0"/>
        <w:pageBreakBefore w:val="0"/>
        <w:widowControl w:val="0"/>
        <w:numPr>
          <w:ilvl w:val="0"/>
          <w:numId w:val="0"/>
        </w:numPr>
        <w:tabs>
          <w:tab w:val="left" w:pos="1227"/>
          <w:tab w:val="left" w:pos="6801"/>
        </w:tabs>
        <w:kinsoku/>
        <w:wordWrap/>
        <w:overflowPunct/>
        <w:topLinePunct w:val="0"/>
        <w:autoSpaceDE/>
        <w:autoSpaceDN/>
        <w:bidi w:val="0"/>
        <w:adjustRightInd/>
        <w:snapToGrid/>
        <w:spacing w:line="420" w:lineRule="exact"/>
        <w:ind w:right="0" w:rightChars="0" w:firstLine="480"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征集人补充征集供应商的，补充征集规则应当在框架协议中约定，补充征集的条件、程序、评审方法和淘汰比例应当与初次征集相同。补充征集应当遵守原框架协议的有效期。补充征集期间，原框架协议继续履行。</w:t>
      </w:r>
    </w:p>
    <w:p w14:paraId="560A3295">
      <w:pPr>
        <w:spacing w:before="1" w:line="460" w:lineRule="exact"/>
        <w:ind w:right="400" w:rightChars="200"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第七条 甲方权利和义务</w:t>
      </w:r>
    </w:p>
    <w:p w14:paraId="633F6ABA">
      <w:pPr>
        <w:keepNext w:val="0"/>
        <w:keepLines w:val="0"/>
        <w:pageBreakBefore w:val="0"/>
        <w:widowControl w:val="0"/>
        <w:numPr>
          <w:ilvl w:val="0"/>
          <w:numId w:val="0"/>
        </w:numPr>
        <w:tabs>
          <w:tab w:val="left" w:pos="1227"/>
          <w:tab w:val="left" w:pos="6801"/>
        </w:tabs>
        <w:kinsoku/>
        <w:wordWrap/>
        <w:overflowPunct/>
        <w:topLinePunct w:val="0"/>
        <w:autoSpaceDE/>
        <w:autoSpaceDN/>
        <w:bidi w:val="0"/>
        <w:adjustRightInd/>
        <w:snapToGrid/>
        <w:spacing w:line="420" w:lineRule="exact"/>
        <w:ind w:right="0" w:rightChars="0" w:firstLine="480"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1、甲方将依照有关法规、规章的规定，按照本项目征集文件采购需求及本框架协议约定的事项从入围供应商中选定成交供应商。</w:t>
      </w:r>
    </w:p>
    <w:p w14:paraId="1AB1F4B9">
      <w:pPr>
        <w:keepNext w:val="0"/>
        <w:keepLines w:val="0"/>
        <w:pageBreakBefore w:val="0"/>
        <w:widowControl w:val="0"/>
        <w:numPr>
          <w:ilvl w:val="0"/>
          <w:numId w:val="0"/>
        </w:numPr>
        <w:tabs>
          <w:tab w:val="left" w:pos="1227"/>
          <w:tab w:val="left" w:pos="6801"/>
        </w:tabs>
        <w:kinsoku/>
        <w:wordWrap/>
        <w:overflowPunct/>
        <w:topLinePunct w:val="0"/>
        <w:autoSpaceDE/>
        <w:autoSpaceDN/>
        <w:bidi w:val="0"/>
        <w:adjustRightInd/>
        <w:snapToGrid/>
        <w:spacing w:line="420" w:lineRule="exact"/>
        <w:ind w:right="0" w:rightChars="0" w:firstLine="480"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2、甲方负责管理乙方的服务活动，使其符合采购价格不高于响应报价的价格，采购质量优良和服务良好的要求。</w:t>
      </w:r>
    </w:p>
    <w:p w14:paraId="6B4FC158">
      <w:pPr>
        <w:keepNext w:val="0"/>
        <w:keepLines w:val="0"/>
        <w:pageBreakBefore w:val="0"/>
        <w:widowControl w:val="0"/>
        <w:numPr>
          <w:ilvl w:val="0"/>
          <w:numId w:val="0"/>
        </w:numPr>
        <w:tabs>
          <w:tab w:val="left" w:pos="1227"/>
          <w:tab w:val="left" w:pos="6801"/>
        </w:tabs>
        <w:kinsoku/>
        <w:wordWrap/>
        <w:overflowPunct/>
        <w:topLinePunct w:val="0"/>
        <w:autoSpaceDE/>
        <w:autoSpaceDN/>
        <w:bidi w:val="0"/>
        <w:adjustRightInd/>
        <w:snapToGrid/>
        <w:spacing w:line="420" w:lineRule="exact"/>
        <w:ind w:right="0" w:rightChars="0" w:firstLine="480"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3、甲方有权按照本项目征集文件以及本框架协议和采购合同等文件对乙方履约行为进行监督和检查，收集并公开采购人对入围供应商履行框架协议和采购合同情况的反馈与评价。如发现乙方违反征集文件或本协议或采购合同的有关规定和承诺，甲方有权暂停或解除乙方的框架协议。</w:t>
      </w:r>
    </w:p>
    <w:p w14:paraId="6753565E">
      <w:pPr>
        <w:keepNext w:val="0"/>
        <w:keepLines w:val="0"/>
        <w:pageBreakBefore w:val="0"/>
        <w:widowControl w:val="0"/>
        <w:numPr>
          <w:ilvl w:val="0"/>
          <w:numId w:val="0"/>
        </w:numPr>
        <w:tabs>
          <w:tab w:val="left" w:pos="1227"/>
          <w:tab w:val="left" w:pos="6801"/>
        </w:tabs>
        <w:kinsoku/>
        <w:wordWrap/>
        <w:overflowPunct/>
        <w:topLinePunct w:val="0"/>
        <w:autoSpaceDE/>
        <w:autoSpaceDN/>
        <w:bidi w:val="0"/>
        <w:adjustRightInd/>
        <w:snapToGrid/>
        <w:spacing w:line="420" w:lineRule="exact"/>
        <w:ind w:right="0" w:rightChars="0" w:firstLine="480"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4、甲方有权对入围供应商进行清退或补充等相关事宜。</w:t>
      </w:r>
    </w:p>
    <w:p w14:paraId="4263D4B3">
      <w:pPr>
        <w:keepNext w:val="0"/>
        <w:keepLines w:val="0"/>
        <w:pageBreakBefore w:val="0"/>
        <w:widowControl w:val="0"/>
        <w:numPr>
          <w:ilvl w:val="0"/>
          <w:numId w:val="0"/>
        </w:numPr>
        <w:tabs>
          <w:tab w:val="left" w:pos="1227"/>
          <w:tab w:val="left" w:pos="6801"/>
        </w:tabs>
        <w:kinsoku/>
        <w:wordWrap/>
        <w:overflowPunct/>
        <w:topLinePunct w:val="0"/>
        <w:autoSpaceDE/>
        <w:autoSpaceDN/>
        <w:bidi w:val="0"/>
        <w:adjustRightInd/>
        <w:snapToGrid/>
        <w:spacing w:line="420" w:lineRule="exact"/>
        <w:ind w:right="0" w:rightChars="0" w:firstLine="480"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5、如征集文件有要求需要在框架协议中另行确定的事项，甲方有权按征集文件要求执行。</w:t>
      </w:r>
    </w:p>
    <w:p w14:paraId="4AE26817">
      <w:pPr>
        <w:keepNext w:val="0"/>
        <w:keepLines w:val="0"/>
        <w:pageBreakBefore w:val="0"/>
        <w:widowControl w:val="0"/>
        <w:numPr>
          <w:ilvl w:val="0"/>
          <w:numId w:val="0"/>
        </w:numPr>
        <w:tabs>
          <w:tab w:val="left" w:pos="1227"/>
          <w:tab w:val="left" w:pos="6801"/>
        </w:tabs>
        <w:kinsoku/>
        <w:wordWrap/>
        <w:overflowPunct/>
        <w:topLinePunct w:val="0"/>
        <w:autoSpaceDE/>
        <w:autoSpaceDN/>
        <w:bidi w:val="0"/>
        <w:adjustRightInd/>
        <w:snapToGrid/>
        <w:spacing w:line="420" w:lineRule="exact"/>
        <w:ind w:right="0" w:rightChars="0" w:firstLine="480"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6、甲方有权要求乙方按时、按质、按量、按计划与合同协议约定完成本项目，并有权对乙方工作情况进行监督。如发现乙方与项目有关人员有意串通增大工程量或弄虚作假增加评审金额的，经查实按违约责任处理。</w:t>
      </w:r>
    </w:p>
    <w:p w14:paraId="03605D3C">
      <w:pPr>
        <w:keepNext w:val="0"/>
        <w:keepLines w:val="0"/>
        <w:pageBreakBefore w:val="0"/>
        <w:widowControl w:val="0"/>
        <w:numPr>
          <w:ilvl w:val="0"/>
          <w:numId w:val="0"/>
        </w:numPr>
        <w:tabs>
          <w:tab w:val="left" w:pos="1227"/>
          <w:tab w:val="left" w:pos="6801"/>
        </w:tabs>
        <w:kinsoku/>
        <w:wordWrap/>
        <w:overflowPunct/>
        <w:topLinePunct w:val="0"/>
        <w:autoSpaceDE/>
        <w:autoSpaceDN/>
        <w:bidi w:val="0"/>
        <w:adjustRightInd/>
        <w:snapToGrid/>
        <w:spacing w:line="420" w:lineRule="exact"/>
        <w:ind w:right="0" w:rightChars="0" w:firstLine="480"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7、根据项目进度，甲方有权及时对乙方提交的方案提出修改意见，并要求乙方按修改意见完成服务工作。</w:t>
      </w:r>
    </w:p>
    <w:p w14:paraId="63D458A6">
      <w:pPr>
        <w:keepNext w:val="0"/>
        <w:keepLines w:val="0"/>
        <w:pageBreakBefore w:val="0"/>
        <w:widowControl w:val="0"/>
        <w:numPr>
          <w:ilvl w:val="0"/>
          <w:numId w:val="0"/>
        </w:numPr>
        <w:tabs>
          <w:tab w:val="left" w:pos="1227"/>
          <w:tab w:val="left" w:pos="6801"/>
        </w:tabs>
        <w:kinsoku/>
        <w:wordWrap/>
        <w:overflowPunct/>
        <w:topLinePunct w:val="0"/>
        <w:autoSpaceDE/>
        <w:autoSpaceDN/>
        <w:bidi w:val="0"/>
        <w:adjustRightInd/>
        <w:snapToGrid/>
        <w:spacing w:line="420" w:lineRule="exact"/>
        <w:ind w:right="0" w:rightChars="0" w:firstLine="480"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8、乙方配备的项目投入人员应得到甲方的认可；对派遣到甲方的评审人员（包括主审、协审人员）进行管理、考核、检查与奖惩。</w:t>
      </w:r>
    </w:p>
    <w:p w14:paraId="1CDD7793">
      <w:pPr>
        <w:keepNext w:val="0"/>
        <w:keepLines w:val="0"/>
        <w:pageBreakBefore w:val="0"/>
        <w:widowControl w:val="0"/>
        <w:numPr>
          <w:ilvl w:val="0"/>
          <w:numId w:val="0"/>
        </w:numPr>
        <w:tabs>
          <w:tab w:val="left" w:pos="1227"/>
          <w:tab w:val="left" w:pos="6801"/>
        </w:tabs>
        <w:kinsoku/>
        <w:wordWrap/>
        <w:overflowPunct/>
        <w:topLinePunct w:val="0"/>
        <w:autoSpaceDE/>
        <w:autoSpaceDN/>
        <w:bidi w:val="0"/>
        <w:adjustRightInd/>
        <w:snapToGrid/>
        <w:spacing w:line="420" w:lineRule="exact"/>
        <w:ind w:right="0" w:rightChars="0" w:firstLine="480"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9、甲方有权要求乙方更换不合格的工作人员。</w:t>
      </w:r>
    </w:p>
    <w:p w14:paraId="7622C243">
      <w:pPr>
        <w:keepNext w:val="0"/>
        <w:keepLines w:val="0"/>
        <w:pageBreakBefore w:val="0"/>
        <w:widowControl w:val="0"/>
        <w:numPr>
          <w:ilvl w:val="0"/>
          <w:numId w:val="0"/>
        </w:numPr>
        <w:tabs>
          <w:tab w:val="left" w:pos="1227"/>
          <w:tab w:val="left" w:pos="6801"/>
        </w:tabs>
        <w:kinsoku/>
        <w:wordWrap/>
        <w:overflowPunct/>
        <w:topLinePunct w:val="0"/>
        <w:autoSpaceDE/>
        <w:autoSpaceDN/>
        <w:bidi w:val="0"/>
        <w:adjustRightInd/>
        <w:snapToGrid/>
        <w:spacing w:line="420" w:lineRule="exact"/>
        <w:ind w:right="0" w:rightChars="0" w:firstLine="480"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10、按框架协议要求及时向乙方支付产品和服务费用。</w:t>
      </w:r>
    </w:p>
    <w:p w14:paraId="0D45DB1F">
      <w:pPr>
        <w:keepNext w:val="0"/>
        <w:keepLines w:val="0"/>
        <w:pageBreakBefore w:val="0"/>
        <w:widowControl w:val="0"/>
        <w:numPr>
          <w:ilvl w:val="0"/>
          <w:numId w:val="0"/>
        </w:numPr>
        <w:tabs>
          <w:tab w:val="left" w:pos="1227"/>
          <w:tab w:val="left" w:pos="6801"/>
        </w:tabs>
        <w:kinsoku/>
        <w:wordWrap/>
        <w:overflowPunct/>
        <w:topLinePunct w:val="0"/>
        <w:autoSpaceDE/>
        <w:autoSpaceDN/>
        <w:bidi w:val="0"/>
        <w:adjustRightInd/>
        <w:snapToGrid/>
        <w:spacing w:line="420" w:lineRule="exact"/>
        <w:ind w:right="0" w:rightChars="0" w:firstLine="480"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11、如采购项目涉及采购标的的知识产权归属的，产权归属为甲方。</w:t>
      </w:r>
    </w:p>
    <w:p w14:paraId="2ADCDE19">
      <w:pPr>
        <w:keepNext w:val="0"/>
        <w:keepLines w:val="0"/>
        <w:pageBreakBefore w:val="0"/>
        <w:widowControl w:val="0"/>
        <w:numPr>
          <w:ilvl w:val="0"/>
          <w:numId w:val="0"/>
        </w:numPr>
        <w:tabs>
          <w:tab w:val="left" w:pos="1227"/>
          <w:tab w:val="left" w:pos="6801"/>
        </w:tabs>
        <w:kinsoku/>
        <w:wordWrap/>
        <w:overflowPunct/>
        <w:topLinePunct w:val="0"/>
        <w:autoSpaceDE/>
        <w:autoSpaceDN/>
        <w:bidi w:val="0"/>
        <w:adjustRightInd/>
        <w:snapToGrid/>
        <w:spacing w:line="420" w:lineRule="exact"/>
        <w:ind w:right="0" w:rightChars="0" w:firstLine="480"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12、处理方式：采购人在中华人民共和国境内使用供应商提供的产品及服务时免受第三方提出的侵犯其专利权或其他知识产权的起诉。如果第三方提出侵权指控，乙方应承担由此而引起的一切法律责任和费用。</w:t>
      </w:r>
    </w:p>
    <w:p w14:paraId="17FEAAB0">
      <w:pPr>
        <w:spacing w:before="1" w:line="460" w:lineRule="exact"/>
        <w:ind w:right="400" w:rightChars="200"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第八条 乙方权利和义务</w:t>
      </w:r>
    </w:p>
    <w:p w14:paraId="1EE87A89">
      <w:pPr>
        <w:keepNext w:val="0"/>
        <w:keepLines w:val="0"/>
        <w:pageBreakBefore w:val="0"/>
        <w:widowControl w:val="0"/>
        <w:numPr>
          <w:ilvl w:val="0"/>
          <w:numId w:val="0"/>
        </w:numPr>
        <w:tabs>
          <w:tab w:val="left" w:pos="1227"/>
          <w:tab w:val="left" w:pos="6801"/>
        </w:tabs>
        <w:kinsoku/>
        <w:wordWrap/>
        <w:overflowPunct/>
        <w:topLinePunct w:val="0"/>
        <w:autoSpaceDE/>
        <w:autoSpaceDN/>
        <w:bidi w:val="0"/>
        <w:adjustRightInd/>
        <w:snapToGrid/>
        <w:spacing w:line="440" w:lineRule="exact"/>
        <w:ind w:leftChars="0" w:right="0" w:rightChars="0" w:firstLine="480"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1、乙方应当遵守采购人按照本协议规定的选定成交供应商的方式获得成交供应商资格。</w:t>
      </w:r>
    </w:p>
    <w:p w14:paraId="5B0F8ABA">
      <w:pPr>
        <w:keepNext w:val="0"/>
        <w:keepLines w:val="0"/>
        <w:pageBreakBefore w:val="0"/>
        <w:widowControl w:val="0"/>
        <w:numPr>
          <w:ilvl w:val="0"/>
          <w:numId w:val="0"/>
        </w:numPr>
        <w:tabs>
          <w:tab w:val="left" w:pos="1227"/>
          <w:tab w:val="left" w:pos="6801"/>
        </w:tabs>
        <w:kinsoku/>
        <w:wordWrap/>
        <w:overflowPunct/>
        <w:topLinePunct w:val="0"/>
        <w:autoSpaceDE/>
        <w:autoSpaceDN/>
        <w:bidi w:val="0"/>
        <w:adjustRightInd/>
        <w:snapToGrid/>
        <w:spacing w:line="440" w:lineRule="exact"/>
        <w:ind w:leftChars="0" w:right="0" w:rightChars="0" w:firstLine="480"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2、乙方提供的产品或服务应符合国家标准和征集文件中要求的标准。</w:t>
      </w:r>
    </w:p>
    <w:p w14:paraId="6EBED2C8">
      <w:pPr>
        <w:keepNext w:val="0"/>
        <w:keepLines w:val="0"/>
        <w:pageBreakBefore w:val="0"/>
        <w:widowControl w:val="0"/>
        <w:numPr>
          <w:ilvl w:val="0"/>
          <w:numId w:val="0"/>
        </w:numPr>
        <w:tabs>
          <w:tab w:val="left" w:pos="1227"/>
          <w:tab w:val="left" w:pos="6801"/>
        </w:tabs>
        <w:kinsoku/>
        <w:wordWrap/>
        <w:overflowPunct/>
        <w:topLinePunct w:val="0"/>
        <w:autoSpaceDE/>
        <w:autoSpaceDN/>
        <w:bidi w:val="0"/>
        <w:adjustRightInd/>
        <w:snapToGrid/>
        <w:spacing w:line="440" w:lineRule="exact"/>
        <w:ind w:leftChars="0" w:right="0" w:rightChars="0" w:firstLine="480"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3、乙方应保证依据征集文件要求及响应承诺，向采购人提供优秀的质量服务。</w:t>
      </w:r>
    </w:p>
    <w:p w14:paraId="36D5ACEE">
      <w:pPr>
        <w:keepNext w:val="0"/>
        <w:keepLines w:val="0"/>
        <w:pageBreakBefore w:val="0"/>
        <w:widowControl w:val="0"/>
        <w:numPr>
          <w:ilvl w:val="0"/>
          <w:numId w:val="0"/>
        </w:numPr>
        <w:tabs>
          <w:tab w:val="left" w:pos="1227"/>
          <w:tab w:val="left" w:pos="6801"/>
        </w:tabs>
        <w:kinsoku/>
        <w:wordWrap/>
        <w:overflowPunct/>
        <w:topLinePunct w:val="0"/>
        <w:autoSpaceDE/>
        <w:autoSpaceDN/>
        <w:bidi w:val="0"/>
        <w:adjustRightInd/>
        <w:snapToGrid/>
        <w:spacing w:line="440" w:lineRule="exact"/>
        <w:ind w:leftChars="0" w:right="0" w:rightChars="0" w:firstLine="480"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4、乙方应接受并配合甲方的评价及反馈机制，严格履行服务承诺。</w:t>
      </w:r>
    </w:p>
    <w:p w14:paraId="4D576B39">
      <w:pPr>
        <w:keepNext w:val="0"/>
        <w:keepLines w:val="0"/>
        <w:pageBreakBefore w:val="0"/>
        <w:widowControl w:val="0"/>
        <w:numPr>
          <w:ilvl w:val="0"/>
          <w:numId w:val="0"/>
        </w:numPr>
        <w:tabs>
          <w:tab w:val="left" w:pos="1227"/>
          <w:tab w:val="left" w:pos="6801"/>
        </w:tabs>
        <w:kinsoku/>
        <w:wordWrap/>
        <w:overflowPunct/>
        <w:topLinePunct w:val="0"/>
        <w:autoSpaceDE/>
        <w:autoSpaceDN/>
        <w:bidi w:val="0"/>
        <w:adjustRightInd/>
        <w:snapToGrid/>
        <w:spacing w:line="440" w:lineRule="exact"/>
        <w:ind w:leftChars="0" w:right="0" w:rightChars="0" w:firstLine="480"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5、乙方无正当理由，不得主动放弃入围资格或者退出框架协议，否则，乙方不得参加同一封闭式框架协议补充征集，或者重新申请加入同一开放式框架协议。甲方保留对乙方追究责任的权利。</w:t>
      </w:r>
    </w:p>
    <w:p w14:paraId="1D2C2919">
      <w:pPr>
        <w:keepNext w:val="0"/>
        <w:keepLines w:val="0"/>
        <w:pageBreakBefore w:val="0"/>
        <w:widowControl w:val="0"/>
        <w:numPr>
          <w:ilvl w:val="0"/>
          <w:numId w:val="0"/>
        </w:numPr>
        <w:tabs>
          <w:tab w:val="left" w:pos="1227"/>
          <w:tab w:val="left" w:pos="6801"/>
        </w:tabs>
        <w:kinsoku/>
        <w:wordWrap/>
        <w:overflowPunct/>
        <w:topLinePunct w:val="0"/>
        <w:autoSpaceDE/>
        <w:autoSpaceDN/>
        <w:bidi w:val="0"/>
        <w:adjustRightInd/>
        <w:snapToGrid/>
        <w:spacing w:line="440" w:lineRule="exact"/>
        <w:ind w:leftChars="0" w:right="0" w:rightChars="0" w:firstLine="480"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6、乙方应按照征集文件评审办法要求提供需要核查的原件，如原件与响应文件中提供的不一致或虚假的或未提供的，甲方有权取消乙方入围资格，另行确定入围供应商。</w:t>
      </w:r>
    </w:p>
    <w:p w14:paraId="07CA5CA9">
      <w:pPr>
        <w:keepNext w:val="0"/>
        <w:keepLines w:val="0"/>
        <w:pageBreakBefore w:val="0"/>
        <w:widowControl w:val="0"/>
        <w:numPr>
          <w:ilvl w:val="0"/>
          <w:numId w:val="0"/>
        </w:numPr>
        <w:tabs>
          <w:tab w:val="left" w:pos="1227"/>
          <w:tab w:val="left" w:pos="6801"/>
        </w:tabs>
        <w:kinsoku/>
        <w:wordWrap/>
        <w:overflowPunct/>
        <w:topLinePunct w:val="0"/>
        <w:autoSpaceDE/>
        <w:autoSpaceDN/>
        <w:bidi w:val="0"/>
        <w:adjustRightInd/>
        <w:snapToGrid/>
        <w:spacing w:line="440" w:lineRule="exact"/>
        <w:ind w:leftChars="0" w:right="0" w:rightChars="0" w:firstLine="480"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7、严格履行合同文件（含征集文件、响应文件等）约定和承诺的服务内容和质量标准，保证甲方项目的相关工作质量和进度。</w:t>
      </w:r>
    </w:p>
    <w:p w14:paraId="5497A258">
      <w:pPr>
        <w:keepNext w:val="0"/>
        <w:keepLines w:val="0"/>
        <w:pageBreakBefore w:val="0"/>
        <w:widowControl w:val="0"/>
        <w:numPr>
          <w:ilvl w:val="0"/>
          <w:numId w:val="0"/>
        </w:numPr>
        <w:tabs>
          <w:tab w:val="left" w:pos="1227"/>
          <w:tab w:val="left" w:pos="6801"/>
        </w:tabs>
        <w:kinsoku/>
        <w:wordWrap/>
        <w:overflowPunct/>
        <w:topLinePunct w:val="0"/>
        <w:autoSpaceDE/>
        <w:autoSpaceDN/>
        <w:bidi w:val="0"/>
        <w:adjustRightInd/>
        <w:snapToGrid/>
        <w:spacing w:line="440" w:lineRule="exact"/>
        <w:ind w:leftChars="0" w:right="0" w:rightChars="0" w:firstLine="480"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8、必须严格实施乙方响应文件中承诺的人力资源配置。在必须补充或更换人员时，必须补充或更换优于或等同于响应文件所承诺资质的评审人员（包括主审、协审人员）， 并须取得甲方书面同意。在框架协议有效期内，如乙方在第二阶段签订合同时需要调整人员，调整的人员应当是响应文件中承诺的拟投入人员，且签订合同前须提供人员名单送甲方审核。</w:t>
      </w:r>
    </w:p>
    <w:p w14:paraId="0AF7BA2F">
      <w:pPr>
        <w:keepNext w:val="0"/>
        <w:keepLines w:val="0"/>
        <w:pageBreakBefore w:val="0"/>
        <w:widowControl w:val="0"/>
        <w:numPr>
          <w:ilvl w:val="0"/>
          <w:numId w:val="0"/>
        </w:numPr>
        <w:tabs>
          <w:tab w:val="left" w:pos="1227"/>
          <w:tab w:val="left" w:pos="6801"/>
        </w:tabs>
        <w:kinsoku/>
        <w:wordWrap/>
        <w:overflowPunct/>
        <w:topLinePunct w:val="0"/>
        <w:autoSpaceDE/>
        <w:autoSpaceDN/>
        <w:bidi w:val="0"/>
        <w:adjustRightInd/>
        <w:snapToGrid/>
        <w:spacing w:line="440" w:lineRule="exact"/>
        <w:ind w:leftChars="0" w:right="0" w:rightChars="0" w:firstLine="480"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9、乙方项目负责人及服务团队成员须与响应文件保持一致。合同存续期内，未经甲方书面要求或同意，项目负责人不应调整。项目负责人及服务团队成员必须保证在岗工作时间和重要活动在岗，如有变化，须取得甲方同意。</w:t>
      </w:r>
    </w:p>
    <w:p w14:paraId="3811BB28">
      <w:pPr>
        <w:keepNext w:val="0"/>
        <w:keepLines w:val="0"/>
        <w:pageBreakBefore w:val="0"/>
        <w:widowControl w:val="0"/>
        <w:numPr>
          <w:ilvl w:val="0"/>
          <w:numId w:val="0"/>
        </w:numPr>
        <w:tabs>
          <w:tab w:val="left" w:pos="1227"/>
          <w:tab w:val="left" w:pos="6801"/>
        </w:tabs>
        <w:kinsoku/>
        <w:wordWrap/>
        <w:overflowPunct/>
        <w:topLinePunct w:val="0"/>
        <w:autoSpaceDE/>
        <w:autoSpaceDN/>
        <w:bidi w:val="0"/>
        <w:adjustRightInd/>
        <w:snapToGrid/>
        <w:spacing w:line="440" w:lineRule="exact"/>
        <w:ind w:leftChars="0" w:right="0" w:rightChars="0" w:firstLine="480"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10、乙方依本合同约定向甲方提供的报告、资料、文件等内容及服务成果后，甲方即对上述内容享有充分、完整和排他的著作权和知识产权。未经甲方书面许可，乙方不得向任何第三方提供上述报告、资料、文件等内容及服务成果。即使向履行本合同有关的人员提供，也应注意保密并限于履行合同的必需范围。</w:t>
      </w:r>
    </w:p>
    <w:p w14:paraId="59B2965B">
      <w:pPr>
        <w:keepNext w:val="0"/>
        <w:keepLines w:val="0"/>
        <w:pageBreakBefore w:val="0"/>
        <w:widowControl w:val="0"/>
        <w:numPr>
          <w:ilvl w:val="0"/>
          <w:numId w:val="0"/>
        </w:numPr>
        <w:tabs>
          <w:tab w:val="left" w:pos="1227"/>
          <w:tab w:val="left" w:pos="6801"/>
        </w:tabs>
        <w:kinsoku/>
        <w:wordWrap/>
        <w:overflowPunct/>
        <w:topLinePunct w:val="0"/>
        <w:autoSpaceDE/>
        <w:autoSpaceDN/>
        <w:bidi w:val="0"/>
        <w:adjustRightInd/>
        <w:snapToGrid/>
        <w:spacing w:line="440" w:lineRule="exact"/>
        <w:ind w:leftChars="0" w:right="0" w:rightChars="0" w:firstLine="480"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11、乙方评审人员（包括主审、协审人员）应履行保密义务。如乙方因违反本条约定给甲方造成损失的，乙方应当承担相应的法律责任，并赔偿由此给甲方造成的一切损失。</w:t>
      </w:r>
    </w:p>
    <w:p w14:paraId="77F0EADE">
      <w:pPr>
        <w:keepNext w:val="0"/>
        <w:keepLines w:val="0"/>
        <w:pageBreakBefore w:val="0"/>
        <w:widowControl w:val="0"/>
        <w:numPr>
          <w:ilvl w:val="0"/>
          <w:numId w:val="0"/>
        </w:numPr>
        <w:tabs>
          <w:tab w:val="left" w:pos="1227"/>
          <w:tab w:val="left" w:pos="6801"/>
        </w:tabs>
        <w:kinsoku/>
        <w:wordWrap/>
        <w:overflowPunct/>
        <w:topLinePunct w:val="0"/>
        <w:autoSpaceDE/>
        <w:autoSpaceDN/>
        <w:bidi w:val="0"/>
        <w:adjustRightInd/>
        <w:snapToGrid/>
        <w:spacing w:line="440" w:lineRule="exact"/>
        <w:ind w:leftChars="0" w:right="0" w:rightChars="0" w:firstLine="480"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12、乙方应履行回避义务。乙方以及乙方评审人员（包括主审、协审人员）如存在可能影响本合同所安排项目评审公正性的情形，应主动告知甲方，并终止本合同或更换存在利益关联的评审人员。如果乙方与所评审项目（或该项目的送审单位）存在利益关联，应主动告知甲方并终止本合同；如果所安排评审人员与所评审项目（或该项目的送审单位） 存在利益关联，应主动告知甲方并更换评审人员。</w:t>
      </w:r>
    </w:p>
    <w:p w14:paraId="31070C85">
      <w:pPr>
        <w:keepNext w:val="0"/>
        <w:keepLines w:val="0"/>
        <w:pageBreakBefore w:val="0"/>
        <w:widowControl w:val="0"/>
        <w:numPr>
          <w:ilvl w:val="0"/>
          <w:numId w:val="0"/>
        </w:numPr>
        <w:tabs>
          <w:tab w:val="left" w:pos="1227"/>
          <w:tab w:val="left" w:pos="6801"/>
        </w:tabs>
        <w:kinsoku/>
        <w:wordWrap/>
        <w:overflowPunct/>
        <w:topLinePunct w:val="0"/>
        <w:autoSpaceDE/>
        <w:autoSpaceDN/>
        <w:bidi w:val="0"/>
        <w:adjustRightInd/>
        <w:snapToGrid/>
        <w:spacing w:line="440" w:lineRule="exact"/>
        <w:ind w:leftChars="0" w:right="0" w:rightChars="0" w:firstLine="480"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13、有义务妥善保管甲方提供的资料，并在审核工作完成后，完整交回甲方。</w:t>
      </w:r>
    </w:p>
    <w:p w14:paraId="0BD8D0D5">
      <w:pPr>
        <w:keepNext w:val="0"/>
        <w:keepLines w:val="0"/>
        <w:pageBreakBefore w:val="0"/>
        <w:widowControl w:val="0"/>
        <w:numPr>
          <w:ilvl w:val="0"/>
          <w:numId w:val="0"/>
        </w:numPr>
        <w:tabs>
          <w:tab w:val="left" w:pos="1227"/>
          <w:tab w:val="left" w:pos="6801"/>
        </w:tabs>
        <w:kinsoku/>
        <w:wordWrap/>
        <w:overflowPunct/>
        <w:topLinePunct w:val="0"/>
        <w:autoSpaceDE/>
        <w:autoSpaceDN/>
        <w:bidi w:val="0"/>
        <w:adjustRightInd/>
        <w:snapToGrid/>
        <w:spacing w:line="440" w:lineRule="exact"/>
        <w:ind w:leftChars="0" w:right="0" w:rightChars="0" w:firstLine="480"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14、乙方应服从甲方对可能委托项目的指派及分配，并了解本项目签订框架协议后仅代表取得入围</w:t>
      </w:r>
      <w:r>
        <w:rPr>
          <w:rFonts w:hint="eastAsia" w:ascii="宋体" w:hAnsi="宋体" w:cs="宋体"/>
          <w:color w:val="auto"/>
          <w:sz w:val="24"/>
          <w:szCs w:val="24"/>
          <w:u w:val="none"/>
          <w:lang w:val="en-US" w:eastAsia="zh-CN"/>
        </w:rPr>
        <w:t>巩留县</w:t>
      </w:r>
      <w:r>
        <w:rPr>
          <w:rFonts w:hint="eastAsia" w:ascii="宋体" w:hAnsi="宋体" w:eastAsia="宋体" w:cs="宋体"/>
          <w:color w:val="auto"/>
          <w:sz w:val="24"/>
          <w:szCs w:val="24"/>
          <w:u w:val="none"/>
          <w:lang w:val="en-US" w:eastAsia="zh-CN"/>
        </w:rPr>
        <w:t>财政投资评审服务资格，不等同于可确保直接承接相应数量的项目评审工作并获得相应项目的服务费用。</w:t>
      </w:r>
    </w:p>
    <w:p w14:paraId="10A4494A">
      <w:pPr>
        <w:keepNext w:val="0"/>
        <w:keepLines w:val="0"/>
        <w:pageBreakBefore w:val="0"/>
        <w:widowControl w:val="0"/>
        <w:kinsoku/>
        <w:wordWrap/>
        <w:overflowPunct/>
        <w:topLinePunct w:val="0"/>
        <w:autoSpaceDE/>
        <w:autoSpaceDN/>
        <w:bidi w:val="0"/>
        <w:adjustRightInd/>
        <w:snapToGrid/>
        <w:spacing w:line="440" w:lineRule="exact"/>
        <w:ind w:leftChars="0" w:right="0" w:rightChars="0"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第九条 违约责任</w:t>
      </w:r>
    </w:p>
    <w:p w14:paraId="19A69324">
      <w:pPr>
        <w:keepNext w:val="0"/>
        <w:keepLines w:val="0"/>
        <w:pageBreakBefore w:val="0"/>
        <w:widowControl w:val="0"/>
        <w:numPr>
          <w:ilvl w:val="0"/>
          <w:numId w:val="0"/>
        </w:numPr>
        <w:tabs>
          <w:tab w:val="left" w:pos="1227"/>
          <w:tab w:val="left" w:pos="6801"/>
        </w:tabs>
        <w:kinsoku/>
        <w:wordWrap/>
        <w:overflowPunct/>
        <w:topLinePunct w:val="0"/>
        <w:autoSpaceDE/>
        <w:autoSpaceDN/>
        <w:bidi w:val="0"/>
        <w:adjustRightInd/>
        <w:snapToGrid/>
        <w:spacing w:line="440" w:lineRule="exact"/>
        <w:ind w:leftChars="0" w:right="0" w:rightChars="0" w:firstLine="480"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1、若因乙方原因而未能履行框架协议或未达到框架协议约定的要求，甲方有权书面督促乙方履行框架协议，乙方应在收到甲方书面通知之日起七日内给予书面答复并进行整改；如乙方在上述时间未答复，或无故拖延履行框架协议，或经整改后仍未达到甲方要求，甲方有权书面通知乙方解除服务框架协议，且无需支付合同解除后的框架协议后续费用。同时，乙方必须退还甲方已付出的所有服务费用，并赔偿由此给甲方造成的全部损失。</w:t>
      </w:r>
    </w:p>
    <w:p w14:paraId="7E43119A">
      <w:pPr>
        <w:keepNext w:val="0"/>
        <w:keepLines w:val="0"/>
        <w:pageBreakBefore w:val="0"/>
        <w:widowControl w:val="0"/>
        <w:numPr>
          <w:ilvl w:val="0"/>
          <w:numId w:val="0"/>
        </w:numPr>
        <w:tabs>
          <w:tab w:val="left" w:pos="1227"/>
          <w:tab w:val="left" w:pos="6801"/>
        </w:tabs>
        <w:kinsoku/>
        <w:wordWrap/>
        <w:overflowPunct/>
        <w:topLinePunct w:val="0"/>
        <w:autoSpaceDE/>
        <w:autoSpaceDN/>
        <w:bidi w:val="0"/>
        <w:adjustRightInd/>
        <w:snapToGrid/>
        <w:spacing w:line="440" w:lineRule="exact"/>
        <w:ind w:leftChars="0" w:right="0" w:rightChars="0" w:firstLine="480"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2、乙方未得到甲方同意，擅自更换项目负责人及服务团队成员时，甲方有权书面通知乙方解除服务框架协议，且无需支付框架协议解除后的框架协议后续费用。同时，乙方必须退还甲方已付出的所有服务费用，并赔偿由此给甲方造成的全部损失。</w:t>
      </w:r>
    </w:p>
    <w:p w14:paraId="11A17042">
      <w:pPr>
        <w:keepNext w:val="0"/>
        <w:keepLines w:val="0"/>
        <w:pageBreakBefore w:val="0"/>
        <w:widowControl w:val="0"/>
        <w:numPr>
          <w:ilvl w:val="0"/>
          <w:numId w:val="0"/>
        </w:numPr>
        <w:tabs>
          <w:tab w:val="left" w:pos="1227"/>
          <w:tab w:val="left" w:pos="6801"/>
        </w:tabs>
        <w:kinsoku/>
        <w:wordWrap/>
        <w:overflowPunct/>
        <w:topLinePunct w:val="0"/>
        <w:autoSpaceDE/>
        <w:autoSpaceDN/>
        <w:bidi w:val="0"/>
        <w:adjustRightInd/>
        <w:snapToGrid/>
        <w:spacing w:line="440" w:lineRule="exact"/>
        <w:ind w:leftChars="0" w:right="0" w:rightChars="0" w:firstLine="480"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3、乙方或乙方人员违反保密义务时，甲方有权书面通知乙方解除咨询合同，且无需支付框架协议解除后的框架协议后续费用。同时，乙方必须退还甲方已付出的所有咨询费用，并赔偿由此给甲方造成的全部损失。</w:t>
      </w:r>
    </w:p>
    <w:p w14:paraId="45220E5E">
      <w:pPr>
        <w:keepNext w:val="0"/>
        <w:keepLines w:val="0"/>
        <w:pageBreakBefore w:val="0"/>
        <w:widowControl w:val="0"/>
        <w:numPr>
          <w:ilvl w:val="0"/>
          <w:numId w:val="0"/>
        </w:numPr>
        <w:tabs>
          <w:tab w:val="left" w:pos="1227"/>
          <w:tab w:val="left" w:pos="6801"/>
        </w:tabs>
        <w:kinsoku/>
        <w:wordWrap/>
        <w:overflowPunct/>
        <w:topLinePunct w:val="0"/>
        <w:autoSpaceDE/>
        <w:autoSpaceDN/>
        <w:bidi w:val="0"/>
        <w:adjustRightInd/>
        <w:snapToGrid/>
        <w:spacing w:line="440" w:lineRule="exact"/>
        <w:ind w:leftChars="0" w:right="0" w:rightChars="0" w:firstLine="480"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4、乙方提供的服务如侵犯了第三方合法权益而引发的任何纠纷或诉讼，均由乙方负责交涉并承担全部责任。</w:t>
      </w:r>
    </w:p>
    <w:p w14:paraId="1EDCD274">
      <w:pPr>
        <w:keepNext w:val="0"/>
        <w:keepLines w:val="0"/>
        <w:pageBreakBefore w:val="0"/>
        <w:widowControl w:val="0"/>
        <w:numPr>
          <w:ilvl w:val="0"/>
          <w:numId w:val="0"/>
        </w:numPr>
        <w:tabs>
          <w:tab w:val="left" w:pos="1227"/>
          <w:tab w:val="left" w:pos="6801"/>
        </w:tabs>
        <w:kinsoku/>
        <w:wordWrap/>
        <w:overflowPunct/>
        <w:topLinePunct w:val="0"/>
        <w:autoSpaceDE/>
        <w:autoSpaceDN/>
        <w:bidi w:val="0"/>
        <w:adjustRightInd/>
        <w:snapToGrid/>
        <w:spacing w:line="440" w:lineRule="exact"/>
        <w:ind w:leftChars="0" w:right="0" w:rightChars="0" w:firstLine="480"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5、乙方出现</w:t>
      </w:r>
      <w:r>
        <w:rPr>
          <w:rFonts w:hint="eastAsia" w:ascii="宋体" w:hAnsi="宋体" w:eastAsia="宋体" w:cs="宋体"/>
          <w:color w:val="auto"/>
          <w:sz w:val="24"/>
          <w:szCs w:val="24"/>
          <w:u w:val="single"/>
          <w:lang w:val="en-US" w:eastAsia="zh-CN"/>
        </w:rPr>
        <w:t xml:space="preserve"> 1 </w:t>
      </w:r>
      <w:r>
        <w:rPr>
          <w:rFonts w:hint="eastAsia" w:ascii="宋体" w:hAnsi="宋体" w:eastAsia="宋体" w:cs="宋体"/>
          <w:color w:val="auto"/>
          <w:sz w:val="24"/>
          <w:szCs w:val="24"/>
          <w:u w:val="none"/>
          <w:lang w:val="en-US" w:eastAsia="zh-CN"/>
        </w:rPr>
        <w:t xml:space="preserve">次损坏审核资料的，给予警告一次；出现 </w:t>
      </w:r>
      <w:r>
        <w:rPr>
          <w:rFonts w:hint="eastAsia" w:ascii="宋体" w:hAnsi="宋体" w:eastAsia="宋体" w:cs="宋体"/>
          <w:color w:val="auto"/>
          <w:sz w:val="24"/>
          <w:szCs w:val="24"/>
          <w:u w:val="single"/>
          <w:lang w:val="en-US" w:eastAsia="zh-CN"/>
        </w:rPr>
        <w:t xml:space="preserve">2 </w:t>
      </w:r>
      <w:r>
        <w:rPr>
          <w:rFonts w:hint="eastAsia" w:ascii="宋体" w:hAnsi="宋体" w:eastAsia="宋体" w:cs="宋体"/>
          <w:color w:val="auto"/>
          <w:sz w:val="24"/>
          <w:szCs w:val="24"/>
          <w:u w:val="none"/>
          <w:lang w:val="en-US" w:eastAsia="zh-CN"/>
        </w:rPr>
        <w:t>次损坏审核资料或</w:t>
      </w:r>
      <w:r>
        <w:rPr>
          <w:rFonts w:hint="eastAsia" w:ascii="宋体" w:hAnsi="宋体" w:eastAsia="宋体" w:cs="宋体"/>
          <w:color w:val="auto"/>
          <w:sz w:val="24"/>
          <w:szCs w:val="24"/>
          <w:u w:val="single"/>
          <w:lang w:val="en-US" w:eastAsia="zh-CN"/>
        </w:rPr>
        <w:t xml:space="preserve"> 1 </w:t>
      </w:r>
      <w:r>
        <w:rPr>
          <w:rFonts w:hint="eastAsia" w:ascii="宋体" w:hAnsi="宋体" w:eastAsia="宋体" w:cs="宋体"/>
          <w:color w:val="auto"/>
          <w:sz w:val="24"/>
          <w:szCs w:val="24"/>
          <w:u w:val="none"/>
          <w:lang w:val="en-US" w:eastAsia="zh-CN"/>
        </w:rPr>
        <w:t>次丢失审核资料，终止框架协议，并按情节轻重究其责任。</w:t>
      </w:r>
    </w:p>
    <w:p w14:paraId="59802B95">
      <w:pPr>
        <w:keepNext w:val="0"/>
        <w:keepLines w:val="0"/>
        <w:pageBreakBefore w:val="0"/>
        <w:widowControl w:val="0"/>
        <w:numPr>
          <w:ilvl w:val="0"/>
          <w:numId w:val="0"/>
        </w:numPr>
        <w:tabs>
          <w:tab w:val="left" w:pos="1227"/>
          <w:tab w:val="left" w:pos="6801"/>
        </w:tabs>
        <w:kinsoku/>
        <w:wordWrap/>
        <w:overflowPunct/>
        <w:topLinePunct w:val="0"/>
        <w:autoSpaceDE/>
        <w:autoSpaceDN/>
        <w:bidi w:val="0"/>
        <w:adjustRightInd/>
        <w:snapToGrid/>
        <w:spacing w:line="440" w:lineRule="exact"/>
        <w:ind w:leftChars="0" w:right="0" w:rightChars="0" w:firstLine="482" w:firstLineChars="200"/>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u w:val="none"/>
          <w:lang w:val="en-US" w:eastAsia="zh-CN"/>
        </w:rPr>
        <w:t>6、乙方未按本框架协议和响应文件中规定的服务承诺提供审后服务的，乙方应按</w:t>
      </w:r>
      <w:r>
        <w:rPr>
          <w:rFonts w:hint="eastAsia" w:ascii="宋体" w:hAnsi="宋体" w:cs="宋体"/>
          <w:b/>
          <w:bCs/>
          <w:color w:val="auto"/>
          <w:sz w:val="24"/>
          <w:szCs w:val="24"/>
          <w:u w:val="none"/>
          <w:lang w:val="en-US" w:eastAsia="zh-CN"/>
        </w:rPr>
        <w:t>该委托项目应付咨询费的</w:t>
      </w:r>
      <w:r>
        <w:rPr>
          <w:rFonts w:hint="eastAsia" w:ascii="宋体" w:hAnsi="宋体" w:eastAsia="宋体" w:cs="宋体"/>
          <w:b/>
          <w:bCs/>
          <w:color w:val="auto"/>
          <w:sz w:val="24"/>
          <w:szCs w:val="24"/>
          <w:u w:val="none"/>
          <w:lang w:val="en-US" w:eastAsia="zh-CN"/>
        </w:rPr>
        <w:t xml:space="preserve"> </w:t>
      </w:r>
      <w:r>
        <w:rPr>
          <w:rFonts w:hint="eastAsia" w:ascii="宋体" w:hAnsi="宋体" w:eastAsia="宋体" w:cs="宋体"/>
          <w:b/>
          <w:bCs/>
          <w:color w:val="auto"/>
          <w:sz w:val="24"/>
          <w:szCs w:val="24"/>
          <w:u w:val="single"/>
          <w:lang w:val="en-US" w:eastAsia="zh-CN"/>
        </w:rPr>
        <w:t>5</w:t>
      </w:r>
      <w:r>
        <w:rPr>
          <w:rFonts w:hint="eastAsia" w:ascii="宋体" w:hAnsi="宋体" w:eastAsia="宋体" w:cs="宋体"/>
          <w:b/>
          <w:bCs/>
          <w:color w:val="auto"/>
          <w:sz w:val="24"/>
          <w:szCs w:val="24"/>
          <w:u w:val="none"/>
          <w:lang w:val="en-US" w:eastAsia="zh-CN"/>
        </w:rPr>
        <w:t>% 向甲方支付违约金</w:t>
      </w:r>
      <w:r>
        <w:rPr>
          <w:rFonts w:hint="eastAsia" w:ascii="宋体" w:hAnsi="宋体" w:cs="宋体"/>
          <w:b/>
          <w:bCs/>
          <w:color w:val="auto"/>
          <w:sz w:val="24"/>
          <w:szCs w:val="24"/>
          <w:u w:val="none"/>
          <w:lang w:val="en-US" w:eastAsia="zh-CN"/>
        </w:rPr>
        <w:t>或甲方直接在未付的该项目咨询费中扣除</w:t>
      </w:r>
      <w:r>
        <w:rPr>
          <w:rFonts w:hint="eastAsia" w:ascii="宋体" w:hAnsi="宋体" w:cs="宋体"/>
          <w:b/>
          <w:bCs/>
          <w:color w:val="auto"/>
          <w:sz w:val="24"/>
          <w:szCs w:val="24"/>
          <w:u w:val="single"/>
          <w:lang w:val="en-US" w:eastAsia="zh-CN"/>
        </w:rPr>
        <w:t>5</w:t>
      </w:r>
      <w:r>
        <w:rPr>
          <w:rFonts w:hint="eastAsia" w:ascii="宋体" w:hAnsi="宋体" w:cs="宋体"/>
          <w:b/>
          <w:bCs/>
          <w:color w:val="auto"/>
          <w:sz w:val="24"/>
          <w:szCs w:val="24"/>
          <w:u w:val="none"/>
          <w:lang w:val="en-US" w:eastAsia="zh-CN"/>
        </w:rPr>
        <w:t>%的违约金</w:t>
      </w:r>
      <w:r>
        <w:rPr>
          <w:rFonts w:hint="eastAsia" w:ascii="宋体" w:hAnsi="宋体" w:eastAsia="宋体" w:cs="宋体"/>
          <w:b/>
          <w:bCs/>
          <w:color w:val="auto"/>
          <w:sz w:val="24"/>
          <w:szCs w:val="24"/>
          <w:u w:val="none"/>
          <w:lang w:val="en-US" w:eastAsia="zh-CN"/>
        </w:rPr>
        <w:t>。</w:t>
      </w:r>
    </w:p>
    <w:p w14:paraId="436B2CAE">
      <w:pPr>
        <w:keepNext w:val="0"/>
        <w:keepLines w:val="0"/>
        <w:pageBreakBefore w:val="0"/>
        <w:widowControl w:val="0"/>
        <w:numPr>
          <w:ilvl w:val="0"/>
          <w:numId w:val="0"/>
        </w:numPr>
        <w:tabs>
          <w:tab w:val="left" w:pos="1227"/>
          <w:tab w:val="left" w:pos="6801"/>
        </w:tabs>
        <w:kinsoku/>
        <w:wordWrap/>
        <w:overflowPunct/>
        <w:topLinePunct w:val="0"/>
        <w:autoSpaceDE/>
        <w:autoSpaceDN/>
        <w:bidi w:val="0"/>
        <w:adjustRightInd/>
        <w:snapToGrid/>
        <w:spacing w:line="440" w:lineRule="exact"/>
        <w:ind w:leftChars="0" w:right="0" w:rightChars="0" w:firstLine="482" w:firstLineChars="200"/>
        <w:rPr>
          <w:rFonts w:hint="eastAsia" w:ascii="宋体" w:hAnsi="宋体" w:eastAsia="宋体" w:cs="宋体"/>
          <w:b/>
          <w:bCs/>
          <w:color w:val="auto"/>
          <w:sz w:val="24"/>
          <w:szCs w:val="24"/>
          <w:u w:val="none"/>
          <w:lang w:val="en-US" w:eastAsia="zh-CN" w:bidi="ar-SA"/>
        </w:rPr>
      </w:pPr>
      <w:r>
        <w:rPr>
          <w:rFonts w:hint="eastAsia" w:ascii="宋体" w:hAnsi="宋体" w:eastAsia="宋体" w:cs="宋体"/>
          <w:b/>
          <w:bCs/>
          <w:color w:val="auto"/>
          <w:sz w:val="24"/>
          <w:szCs w:val="24"/>
          <w:u w:val="none"/>
          <w:lang w:val="en-US" w:eastAsia="zh-CN" w:bidi="ar-SA"/>
        </w:rPr>
        <w:t>7、其他违约行为</w:t>
      </w:r>
      <w:r>
        <w:rPr>
          <w:rFonts w:hint="eastAsia" w:hAnsi="宋体" w:cs="宋体"/>
          <w:b/>
          <w:bCs/>
          <w:color w:val="auto"/>
          <w:sz w:val="24"/>
          <w:szCs w:val="24"/>
          <w:u w:val="none"/>
          <w:lang w:val="en-US" w:eastAsia="zh-CN"/>
        </w:rPr>
        <w:t>除扣除</w:t>
      </w:r>
      <w:r>
        <w:rPr>
          <w:rFonts w:hint="eastAsia" w:ascii="宋体" w:hAnsi="宋体" w:cs="宋体"/>
          <w:b/>
          <w:bCs/>
          <w:color w:val="auto"/>
          <w:sz w:val="24"/>
          <w:szCs w:val="24"/>
          <w:u w:val="none"/>
          <w:lang w:val="en-US" w:eastAsia="zh-CN"/>
        </w:rPr>
        <w:t>该委托项目应付咨询费的</w:t>
      </w:r>
      <w:r>
        <w:rPr>
          <w:rFonts w:hint="eastAsia" w:ascii="宋体" w:hAnsi="宋体" w:eastAsia="宋体" w:cs="宋体"/>
          <w:b/>
          <w:bCs/>
          <w:color w:val="auto"/>
          <w:sz w:val="24"/>
          <w:szCs w:val="24"/>
          <w:u w:val="single"/>
          <w:lang w:val="en-US" w:eastAsia="zh-CN"/>
        </w:rPr>
        <w:t>5</w:t>
      </w:r>
      <w:r>
        <w:rPr>
          <w:rFonts w:hint="eastAsia" w:ascii="宋体" w:hAnsi="宋体" w:eastAsia="宋体" w:cs="宋体"/>
          <w:b/>
          <w:bCs/>
          <w:color w:val="auto"/>
          <w:sz w:val="24"/>
          <w:szCs w:val="24"/>
          <w:u w:val="none"/>
          <w:lang w:val="en-US" w:eastAsia="zh-CN"/>
        </w:rPr>
        <w:t xml:space="preserve">% </w:t>
      </w:r>
      <w:r>
        <w:rPr>
          <w:rFonts w:hint="eastAsia" w:ascii="宋体" w:hAnsi="宋体" w:eastAsia="宋体" w:cs="宋体"/>
          <w:b/>
          <w:bCs/>
          <w:color w:val="auto"/>
          <w:sz w:val="24"/>
          <w:szCs w:val="24"/>
          <w:u w:val="none"/>
          <w:lang w:val="en-US" w:eastAsia="zh-CN" w:bidi="ar-SA"/>
        </w:rPr>
        <w:t>违约</w:t>
      </w:r>
      <w:r>
        <w:rPr>
          <w:rFonts w:hint="eastAsia" w:hAnsi="宋体" w:cs="宋体"/>
          <w:b/>
          <w:bCs/>
          <w:color w:val="auto"/>
          <w:sz w:val="24"/>
          <w:szCs w:val="24"/>
          <w:u w:val="none"/>
          <w:lang w:val="en-US" w:eastAsia="zh-CN" w:bidi="ar-SA"/>
        </w:rPr>
        <w:t>金之外，还应对甲方造成的经济损失进行赔偿，赔偿金额以实际发生的经济损失金额为限，并处</w:t>
      </w:r>
      <w:r>
        <w:rPr>
          <w:rFonts w:hint="eastAsia" w:ascii="宋体" w:hAnsi="宋体" w:cs="宋体"/>
          <w:b/>
          <w:bCs/>
          <w:color w:val="auto"/>
          <w:sz w:val="24"/>
          <w:szCs w:val="24"/>
          <w:u w:val="none"/>
          <w:lang w:val="en-US" w:eastAsia="zh-CN"/>
        </w:rPr>
        <w:t>该委托项目应付咨询费的</w:t>
      </w:r>
      <w:r>
        <w:rPr>
          <w:rFonts w:hint="eastAsia" w:hAnsi="宋体" w:cs="宋体"/>
          <w:b/>
          <w:bCs/>
          <w:color w:val="auto"/>
          <w:sz w:val="24"/>
          <w:szCs w:val="24"/>
          <w:u w:val="none"/>
          <w:lang w:val="en-US" w:eastAsia="zh-CN" w:bidi="ar-SA"/>
        </w:rPr>
        <w:t>2倍进行处罚</w:t>
      </w:r>
      <w:r>
        <w:rPr>
          <w:rFonts w:hint="eastAsia" w:ascii="宋体" w:hAnsi="宋体" w:eastAsia="宋体" w:cs="宋体"/>
          <w:b/>
          <w:bCs/>
          <w:color w:val="auto"/>
          <w:sz w:val="24"/>
          <w:szCs w:val="24"/>
          <w:u w:val="none"/>
          <w:lang w:val="en-US" w:eastAsia="zh-CN" w:bidi="ar-SA"/>
        </w:rPr>
        <w:t>。</w:t>
      </w:r>
    </w:p>
    <w:p w14:paraId="69442FB9">
      <w:pPr>
        <w:keepNext w:val="0"/>
        <w:keepLines w:val="0"/>
        <w:pageBreakBefore w:val="0"/>
        <w:widowControl w:val="0"/>
        <w:kinsoku/>
        <w:wordWrap/>
        <w:overflowPunct/>
        <w:topLinePunct w:val="0"/>
        <w:autoSpaceDE/>
        <w:autoSpaceDN/>
        <w:bidi w:val="0"/>
        <w:adjustRightInd/>
        <w:snapToGrid/>
        <w:spacing w:line="440" w:lineRule="exact"/>
        <w:ind w:leftChars="0" w:right="0" w:rightChars="0"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第十条 不可抗力事件处理</w:t>
      </w:r>
    </w:p>
    <w:p w14:paraId="686FEA55">
      <w:pPr>
        <w:keepNext w:val="0"/>
        <w:keepLines w:val="0"/>
        <w:pageBreakBefore w:val="0"/>
        <w:widowControl w:val="0"/>
        <w:numPr>
          <w:ilvl w:val="0"/>
          <w:numId w:val="0"/>
        </w:numPr>
        <w:tabs>
          <w:tab w:val="left" w:pos="1107"/>
        </w:tabs>
        <w:kinsoku/>
        <w:wordWrap/>
        <w:overflowPunct/>
        <w:topLinePunct w:val="0"/>
        <w:autoSpaceDE/>
        <w:autoSpaceDN/>
        <w:bidi w:val="0"/>
        <w:adjustRightInd/>
        <w:snapToGrid/>
        <w:spacing w:line="440" w:lineRule="exact"/>
        <w:ind w:leftChars="0" w:right="0" w:rightChars="0" w:firstLine="480" w:firstLineChars="200"/>
        <w:rPr>
          <w:rFonts w:hint="eastAsia" w:ascii="宋体" w:hAnsi="宋体" w:eastAsia="宋体" w:cs="宋体"/>
          <w:color w:val="auto"/>
          <w:sz w:val="24"/>
          <w:szCs w:val="24"/>
          <w:u w:val="none"/>
          <w:lang w:val="en-US" w:eastAsia="zh-CN" w:bidi="ar-SA"/>
        </w:rPr>
      </w:pPr>
      <w:r>
        <w:rPr>
          <w:rFonts w:hint="eastAsia" w:ascii="宋体" w:hAnsi="宋体" w:eastAsia="宋体" w:cs="宋体"/>
          <w:color w:val="auto"/>
          <w:sz w:val="24"/>
          <w:szCs w:val="24"/>
          <w:u w:val="none"/>
          <w:lang w:val="en-US" w:eastAsia="zh-CN" w:bidi="ar-SA"/>
        </w:rPr>
        <w:t>1、在合同有效期内，任何一方因不可抗力事件导致不能履行框架协议，则框架协议履行期可延长，其延长期与不可抗力影响期相同。</w:t>
      </w:r>
    </w:p>
    <w:p w14:paraId="0BC35D63">
      <w:pPr>
        <w:keepNext w:val="0"/>
        <w:keepLines w:val="0"/>
        <w:pageBreakBefore w:val="0"/>
        <w:widowControl w:val="0"/>
        <w:numPr>
          <w:ilvl w:val="0"/>
          <w:numId w:val="0"/>
        </w:numPr>
        <w:tabs>
          <w:tab w:val="left" w:pos="1107"/>
        </w:tabs>
        <w:kinsoku/>
        <w:wordWrap/>
        <w:overflowPunct/>
        <w:topLinePunct w:val="0"/>
        <w:autoSpaceDE/>
        <w:autoSpaceDN/>
        <w:bidi w:val="0"/>
        <w:adjustRightInd/>
        <w:snapToGrid/>
        <w:spacing w:line="440" w:lineRule="exact"/>
        <w:ind w:leftChars="0" w:right="0" w:rightChars="0" w:firstLine="480" w:firstLineChars="200"/>
        <w:rPr>
          <w:rFonts w:hint="eastAsia" w:ascii="宋体" w:hAnsi="宋体" w:eastAsia="宋体" w:cs="宋体"/>
          <w:color w:val="auto"/>
          <w:sz w:val="24"/>
          <w:szCs w:val="24"/>
          <w:u w:val="none"/>
          <w:lang w:val="en-US" w:eastAsia="zh-CN" w:bidi="ar-SA"/>
        </w:rPr>
      </w:pPr>
      <w:r>
        <w:rPr>
          <w:rFonts w:hint="eastAsia" w:ascii="宋体" w:hAnsi="宋体" w:eastAsia="宋体" w:cs="宋体"/>
          <w:color w:val="auto"/>
          <w:sz w:val="24"/>
          <w:szCs w:val="24"/>
          <w:u w:val="none"/>
          <w:lang w:val="en-US" w:eastAsia="zh-CN" w:bidi="ar-SA"/>
        </w:rPr>
        <w:t>2、不可抗力事件发生后，应立即通知对方，并寄送有关权威机构出具的证明。</w:t>
      </w:r>
    </w:p>
    <w:p w14:paraId="6105E79D">
      <w:pPr>
        <w:pStyle w:val="57"/>
        <w:keepNext w:val="0"/>
        <w:keepLines w:val="0"/>
        <w:pageBreakBefore w:val="0"/>
        <w:widowControl w:val="0"/>
        <w:numPr>
          <w:ilvl w:val="0"/>
          <w:numId w:val="0"/>
        </w:numPr>
        <w:tabs>
          <w:tab w:val="left" w:pos="1107"/>
        </w:tabs>
        <w:kinsoku/>
        <w:wordWrap/>
        <w:overflowPunct/>
        <w:topLinePunct w:val="0"/>
        <w:autoSpaceDE/>
        <w:autoSpaceDN/>
        <w:bidi w:val="0"/>
        <w:adjustRightInd/>
        <w:snapToGrid/>
        <w:spacing w:before="0" w:after="0" w:line="440" w:lineRule="exact"/>
        <w:ind w:leftChars="0" w:right="0" w:rightChars="0" w:firstLine="480" w:firstLineChars="200"/>
        <w:rPr>
          <w:rFonts w:hint="eastAsia" w:ascii="宋体" w:hAnsi="宋体" w:eastAsia="宋体" w:cs="宋体"/>
          <w:color w:val="auto"/>
          <w:sz w:val="24"/>
          <w:szCs w:val="24"/>
          <w:u w:val="none"/>
          <w:lang w:val="en-US" w:eastAsia="zh-CN" w:bidi="ar-SA"/>
        </w:rPr>
      </w:pPr>
      <w:r>
        <w:rPr>
          <w:rFonts w:hint="eastAsia" w:ascii="宋体" w:hAnsi="宋体" w:eastAsia="宋体" w:cs="宋体"/>
          <w:color w:val="auto"/>
          <w:sz w:val="24"/>
          <w:szCs w:val="24"/>
          <w:u w:val="none"/>
          <w:lang w:val="en-US" w:eastAsia="zh-CN" w:bidi="ar-SA"/>
        </w:rPr>
        <w:t>3、不可抗力事件延续三十天以上，双方应通过友好协商，确定是否继续履行合同。</w:t>
      </w:r>
    </w:p>
    <w:p w14:paraId="34285327">
      <w:pPr>
        <w:keepNext w:val="0"/>
        <w:keepLines w:val="0"/>
        <w:pageBreakBefore w:val="0"/>
        <w:widowControl w:val="0"/>
        <w:kinsoku/>
        <w:wordWrap/>
        <w:overflowPunct/>
        <w:topLinePunct w:val="0"/>
        <w:autoSpaceDE/>
        <w:autoSpaceDN/>
        <w:bidi w:val="0"/>
        <w:adjustRightInd/>
        <w:snapToGrid/>
        <w:spacing w:line="440" w:lineRule="exact"/>
        <w:ind w:leftChars="0" w:right="0" w:rightChars="0"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第十一条 争议解决</w:t>
      </w:r>
    </w:p>
    <w:p w14:paraId="31A1D0DA">
      <w:pPr>
        <w:keepNext w:val="0"/>
        <w:keepLines w:val="0"/>
        <w:pageBreakBefore w:val="0"/>
        <w:widowControl w:val="0"/>
        <w:numPr>
          <w:ilvl w:val="0"/>
          <w:numId w:val="0"/>
        </w:numPr>
        <w:tabs>
          <w:tab w:val="left" w:pos="1107"/>
        </w:tabs>
        <w:kinsoku/>
        <w:wordWrap/>
        <w:overflowPunct/>
        <w:topLinePunct w:val="0"/>
        <w:autoSpaceDE/>
        <w:autoSpaceDN/>
        <w:bidi w:val="0"/>
        <w:adjustRightInd/>
        <w:snapToGrid/>
        <w:spacing w:line="440" w:lineRule="exact"/>
        <w:ind w:leftChars="0" w:right="0" w:rightChars="0" w:firstLine="480" w:firstLineChars="200"/>
        <w:rPr>
          <w:rFonts w:hint="eastAsia" w:ascii="宋体" w:hAnsi="宋体" w:eastAsia="宋体" w:cs="宋体"/>
          <w:color w:val="auto"/>
          <w:sz w:val="24"/>
          <w:szCs w:val="24"/>
          <w:u w:val="none"/>
          <w:lang w:val="en-US" w:eastAsia="zh-CN" w:bidi="ar-SA"/>
        </w:rPr>
      </w:pPr>
      <w:r>
        <w:rPr>
          <w:rFonts w:hint="eastAsia" w:ascii="宋体" w:hAnsi="宋体" w:eastAsia="宋体" w:cs="宋体"/>
          <w:color w:val="auto"/>
          <w:sz w:val="24"/>
          <w:szCs w:val="24"/>
          <w:u w:val="none"/>
          <w:lang w:val="en-US" w:eastAsia="zh-CN" w:bidi="ar-SA"/>
        </w:rPr>
        <w:t>1、因服务成果质量问题发生争议的，应邀请国家认定的评估机构按照标准对服务成果质量进行验收。服务成果符合标准的，鉴定费由甲方承担；服务成果不符合标准的，鉴定费由乙方承担。</w:t>
      </w:r>
    </w:p>
    <w:p w14:paraId="7CB577F2">
      <w:pPr>
        <w:keepNext w:val="0"/>
        <w:keepLines w:val="0"/>
        <w:pageBreakBefore w:val="0"/>
        <w:widowControl w:val="0"/>
        <w:numPr>
          <w:ilvl w:val="0"/>
          <w:numId w:val="0"/>
        </w:numPr>
        <w:tabs>
          <w:tab w:val="left" w:pos="1107"/>
        </w:tabs>
        <w:kinsoku/>
        <w:wordWrap/>
        <w:overflowPunct/>
        <w:topLinePunct w:val="0"/>
        <w:autoSpaceDE/>
        <w:autoSpaceDN/>
        <w:bidi w:val="0"/>
        <w:adjustRightInd/>
        <w:snapToGrid/>
        <w:spacing w:line="440" w:lineRule="exact"/>
        <w:ind w:left="480" w:leftChars="240" w:right="0" w:rightChars="0" w:firstLine="0" w:firstLineChars="0"/>
        <w:rPr>
          <w:rFonts w:hint="eastAsia" w:ascii="宋体" w:hAnsi="宋体" w:eastAsia="宋体" w:cs="宋体"/>
          <w:color w:val="auto"/>
          <w:sz w:val="24"/>
          <w:szCs w:val="24"/>
          <w:u w:val="none"/>
          <w:lang w:val="en-US" w:eastAsia="zh-CN" w:bidi="ar-SA"/>
        </w:rPr>
      </w:pPr>
      <w:r>
        <w:rPr>
          <w:rFonts w:hint="eastAsia" w:ascii="宋体" w:hAnsi="宋体" w:eastAsia="宋体" w:cs="宋体"/>
          <w:color w:val="auto"/>
          <w:sz w:val="24"/>
          <w:szCs w:val="24"/>
          <w:u w:val="none"/>
          <w:lang w:val="en-US" w:eastAsia="zh-CN" w:bidi="ar-SA"/>
        </w:rPr>
        <w:t>2、因履行本合同引起的或与本合同有关的争议，甲乙双方应首先通过友好协商解决3、如果协商不能解决，可向甲方所在地</w:t>
      </w:r>
      <w:r>
        <w:rPr>
          <w:rFonts w:hint="eastAsia" w:ascii="宋体" w:hAnsi="宋体" w:eastAsia="宋体" w:cs="宋体"/>
          <w:color w:val="auto"/>
          <w:sz w:val="24"/>
          <w:szCs w:val="24"/>
          <w:u w:val="single"/>
          <w:lang w:val="en-US" w:eastAsia="zh-CN" w:bidi="ar-SA"/>
        </w:rPr>
        <w:t>巩留县人民法院</w:t>
      </w:r>
      <w:r>
        <w:rPr>
          <w:rFonts w:hint="eastAsia" w:ascii="宋体" w:hAnsi="宋体" w:eastAsia="宋体" w:cs="宋体"/>
          <w:color w:val="auto"/>
          <w:sz w:val="24"/>
          <w:szCs w:val="24"/>
          <w:u w:val="none"/>
          <w:lang w:val="en-US" w:eastAsia="zh-CN" w:bidi="ar-SA"/>
        </w:rPr>
        <w:t>提起诉讼。</w:t>
      </w:r>
    </w:p>
    <w:p w14:paraId="47F01603">
      <w:pPr>
        <w:keepNext w:val="0"/>
        <w:keepLines w:val="0"/>
        <w:pageBreakBefore w:val="0"/>
        <w:widowControl w:val="0"/>
        <w:numPr>
          <w:ilvl w:val="0"/>
          <w:numId w:val="0"/>
        </w:numPr>
        <w:tabs>
          <w:tab w:val="left" w:pos="1107"/>
        </w:tabs>
        <w:kinsoku/>
        <w:wordWrap/>
        <w:overflowPunct/>
        <w:topLinePunct w:val="0"/>
        <w:autoSpaceDE/>
        <w:autoSpaceDN/>
        <w:bidi w:val="0"/>
        <w:adjustRightInd/>
        <w:snapToGrid/>
        <w:spacing w:line="440" w:lineRule="exact"/>
        <w:ind w:leftChars="0" w:right="0" w:rightChars="0" w:firstLine="480" w:firstLineChars="200"/>
        <w:rPr>
          <w:rFonts w:hint="eastAsia" w:ascii="宋体" w:hAnsi="宋体" w:eastAsia="宋体" w:cs="宋体"/>
          <w:color w:val="auto"/>
          <w:sz w:val="24"/>
          <w:szCs w:val="24"/>
          <w:u w:val="none"/>
          <w:lang w:val="en-US" w:eastAsia="zh-CN" w:bidi="ar-SA"/>
        </w:rPr>
      </w:pPr>
      <w:r>
        <w:rPr>
          <w:rFonts w:hint="eastAsia" w:ascii="宋体" w:hAnsi="宋体" w:eastAsia="宋体" w:cs="宋体"/>
          <w:color w:val="auto"/>
          <w:sz w:val="24"/>
          <w:szCs w:val="24"/>
          <w:u w:val="none"/>
          <w:lang w:val="en-US" w:eastAsia="zh-CN" w:bidi="ar-SA"/>
        </w:rPr>
        <w:t>4、诉讼期间，本框架协议继续履行。</w:t>
      </w:r>
    </w:p>
    <w:p w14:paraId="3BCFA000">
      <w:pPr>
        <w:keepNext w:val="0"/>
        <w:keepLines w:val="0"/>
        <w:pageBreakBefore w:val="0"/>
        <w:widowControl w:val="0"/>
        <w:kinsoku/>
        <w:wordWrap/>
        <w:overflowPunct/>
        <w:topLinePunct w:val="0"/>
        <w:autoSpaceDE/>
        <w:autoSpaceDN/>
        <w:bidi w:val="0"/>
        <w:adjustRightInd/>
        <w:snapToGrid/>
        <w:spacing w:line="440" w:lineRule="exact"/>
        <w:ind w:leftChars="0" w:right="0" w:rightChars="0"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第十二条 其他</w:t>
      </w:r>
    </w:p>
    <w:p w14:paraId="26AFFF8F">
      <w:pPr>
        <w:keepNext w:val="0"/>
        <w:keepLines w:val="0"/>
        <w:pageBreakBefore w:val="0"/>
        <w:widowControl w:val="0"/>
        <w:numPr>
          <w:ilvl w:val="0"/>
          <w:numId w:val="0"/>
        </w:numPr>
        <w:tabs>
          <w:tab w:val="left" w:pos="1107"/>
        </w:tabs>
        <w:kinsoku/>
        <w:wordWrap/>
        <w:overflowPunct/>
        <w:topLinePunct w:val="0"/>
        <w:autoSpaceDE/>
        <w:autoSpaceDN/>
        <w:bidi w:val="0"/>
        <w:adjustRightInd/>
        <w:snapToGrid/>
        <w:spacing w:line="440" w:lineRule="exact"/>
        <w:ind w:leftChars="0" w:right="0" w:rightChars="0" w:firstLine="480" w:firstLineChars="200"/>
        <w:rPr>
          <w:rFonts w:hint="eastAsia" w:ascii="宋体" w:hAnsi="宋体" w:eastAsia="宋体" w:cs="宋体"/>
          <w:color w:val="auto"/>
          <w:sz w:val="24"/>
          <w:szCs w:val="24"/>
          <w:u w:val="none"/>
          <w:lang w:val="en-US" w:eastAsia="zh-CN" w:bidi="ar-SA"/>
        </w:rPr>
      </w:pPr>
      <w:r>
        <w:rPr>
          <w:rFonts w:hint="eastAsia" w:ascii="宋体" w:hAnsi="宋体" w:eastAsia="宋体" w:cs="宋体"/>
          <w:color w:val="auto"/>
          <w:sz w:val="24"/>
          <w:szCs w:val="24"/>
          <w:u w:val="none"/>
          <w:lang w:val="en-US" w:eastAsia="zh-CN" w:bidi="ar-SA"/>
        </w:rPr>
        <w:t>1、本协议原则上由双方代表人签订并加盖单位公章后生效。</w:t>
      </w:r>
    </w:p>
    <w:p w14:paraId="45E82BA7">
      <w:pPr>
        <w:keepNext w:val="0"/>
        <w:keepLines w:val="0"/>
        <w:pageBreakBefore w:val="0"/>
        <w:widowControl w:val="0"/>
        <w:numPr>
          <w:ilvl w:val="0"/>
          <w:numId w:val="0"/>
        </w:numPr>
        <w:tabs>
          <w:tab w:val="left" w:pos="1107"/>
        </w:tabs>
        <w:kinsoku/>
        <w:wordWrap/>
        <w:overflowPunct/>
        <w:topLinePunct w:val="0"/>
        <w:autoSpaceDE/>
        <w:autoSpaceDN/>
        <w:bidi w:val="0"/>
        <w:adjustRightInd/>
        <w:snapToGrid/>
        <w:spacing w:line="440" w:lineRule="exact"/>
        <w:ind w:leftChars="0" w:right="0" w:rightChars="0" w:firstLine="480" w:firstLineChars="200"/>
        <w:rPr>
          <w:rFonts w:hint="eastAsia" w:ascii="宋体" w:hAnsi="宋体" w:eastAsia="宋体" w:cs="宋体"/>
          <w:color w:val="auto"/>
          <w:sz w:val="24"/>
          <w:szCs w:val="24"/>
          <w:u w:val="none"/>
          <w:lang w:val="en-US" w:eastAsia="zh-CN" w:bidi="ar-SA"/>
        </w:rPr>
      </w:pPr>
      <w:r>
        <w:rPr>
          <w:rFonts w:hint="eastAsia" w:ascii="宋体" w:hAnsi="宋体" w:eastAsia="宋体" w:cs="宋体"/>
          <w:color w:val="auto"/>
          <w:sz w:val="24"/>
          <w:szCs w:val="24"/>
          <w:u w:val="none"/>
          <w:lang w:val="en-US" w:eastAsia="zh-CN" w:bidi="ar-SA"/>
        </w:rPr>
        <w:t>2、本协议为框架协议，具体项目具体事宜需在采购合同中进一步予以明确。框架协议与采购合同构成不可分割的整体。</w:t>
      </w:r>
    </w:p>
    <w:p w14:paraId="1CF326BA">
      <w:pPr>
        <w:keepNext w:val="0"/>
        <w:keepLines w:val="0"/>
        <w:pageBreakBefore w:val="0"/>
        <w:widowControl w:val="0"/>
        <w:numPr>
          <w:ilvl w:val="0"/>
          <w:numId w:val="0"/>
        </w:numPr>
        <w:tabs>
          <w:tab w:val="left" w:pos="1107"/>
        </w:tabs>
        <w:kinsoku/>
        <w:wordWrap/>
        <w:overflowPunct/>
        <w:topLinePunct w:val="0"/>
        <w:autoSpaceDE/>
        <w:autoSpaceDN/>
        <w:bidi w:val="0"/>
        <w:adjustRightInd/>
        <w:snapToGrid/>
        <w:spacing w:line="440" w:lineRule="exact"/>
        <w:ind w:leftChars="0" w:right="0" w:rightChars="0" w:firstLine="480" w:firstLineChars="200"/>
        <w:rPr>
          <w:rFonts w:hint="eastAsia" w:ascii="宋体" w:hAnsi="宋体" w:eastAsia="宋体" w:cs="宋体"/>
          <w:color w:val="auto"/>
          <w:sz w:val="24"/>
          <w:szCs w:val="24"/>
          <w:u w:val="none"/>
          <w:lang w:val="en-US" w:eastAsia="zh-CN" w:bidi="ar-SA"/>
        </w:rPr>
      </w:pPr>
      <w:r>
        <w:rPr>
          <w:rFonts w:hint="eastAsia" w:ascii="宋体" w:hAnsi="宋体" w:eastAsia="宋体" w:cs="宋体"/>
          <w:color w:val="auto"/>
          <w:sz w:val="24"/>
          <w:szCs w:val="24"/>
          <w:u w:val="none"/>
          <w:lang w:val="en-US" w:eastAsia="zh-CN" w:bidi="ar-SA"/>
        </w:rPr>
        <w:t>3、本协议一式</w:t>
      </w:r>
      <w:r>
        <w:rPr>
          <w:rFonts w:hint="eastAsia" w:ascii="宋体" w:hAnsi="宋体" w:eastAsia="宋体" w:cs="宋体"/>
          <w:color w:val="auto"/>
          <w:sz w:val="24"/>
          <w:szCs w:val="24"/>
          <w:u w:val="single"/>
          <w:lang w:val="en-US" w:eastAsia="zh-CN" w:bidi="ar-SA"/>
        </w:rPr>
        <w:t>陆</w:t>
      </w:r>
      <w:r>
        <w:rPr>
          <w:rFonts w:hint="eastAsia" w:ascii="宋体" w:hAnsi="宋体" w:eastAsia="宋体" w:cs="宋体"/>
          <w:color w:val="auto"/>
          <w:sz w:val="24"/>
          <w:szCs w:val="24"/>
          <w:u w:val="none"/>
          <w:lang w:val="en-US" w:eastAsia="zh-CN" w:bidi="ar-SA"/>
        </w:rPr>
        <w:t>份，双方各执正本</w:t>
      </w:r>
      <w:r>
        <w:rPr>
          <w:rFonts w:hint="eastAsia" w:ascii="宋体" w:hAnsi="宋体" w:eastAsia="宋体" w:cs="宋体"/>
          <w:color w:val="auto"/>
          <w:sz w:val="24"/>
          <w:szCs w:val="24"/>
          <w:u w:val="single"/>
          <w:lang w:val="en-US" w:eastAsia="zh-CN" w:bidi="ar-SA"/>
        </w:rPr>
        <w:t>壹</w:t>
      </w:r>
      <w:r>
        <w:rPr>
          <w:rFonts w:hint="eastAsia" w:ascii="宋体" w:hAnsi="宋体" w:eastAsia="宋体" w:cs="宋体"/>
          <w:color w:val="auto"/>
          <w:sz w:val="24"/>
          <w:szCs w:val="24"/>
          <w:u w:val="none"/>
          <w:lang w:val="en-US" w:eastAsia="zh-CN" w:bidi="ar-SA"/>
        </w:rPr>
        <w:t>份，副本</w:t>
      </w:r>
      <w:r>
        <w:rPr>
          <w:rFonts w:hint="eastAsia" w:ascii="宋体" w:hAnsi="宋体" w:eastAsia="宋体" w:cs="宋体"/>
          <w:color w:val="auto"/>
          <w:sz w:val="24"/>
          <w:szCs w:val="24"/>
          <w:u w:val="single"/>
          <w:lang w:val="en-US" w:eastAsia="zh-CN" w:bidi="ar-SA"/>
        </w:rPr>
        <w:t>贰</w:t>
      </w:r>
      <w:r>
        <w:rPr>
          <w:rFonts w:hint="eastAsia" w:ascii="宋体" w:hAnsi="宋体" w:eastAsia="宋体" w:cs="宋体"/>
          <w:color w:val="auto"/>
          <w:sz w:val="24"/>
          <w:szCs w:val="24"/>
          <w:u w:val="none"/>
          <w:lang w:val="en-US" w:eastAsia="zh-CN" w:bidi="ar-SA"/>
        </w:rPr>
        <w:t>份，具有同等法律效力。</w:t>
      </w:r>
    </w:p>
    <w:p w14:paraId="6684999D">
      <w:pPr>
        <w:keepNext w:val="0"/>
        <w:keepLines w:val="0"/>
        <w:pageBreakBefore w:val="0"/>
        <w:widowControl w:val="0"/>
        <w:tabs>
          <w:tab w:val="left" w:pos="4640"/>
          <w:tab w:val="left" w:pos="5906"/>
          <w:tab w:val="left" w:pos="9681"/>
        </w:tabs>
        <w:kinsoku/>
        <w:wordWrap/>
        <w:overflowPunct/>
        <w:topLinePunct w:val="0"/>
        <w:autoSpaceDE/>
        <w:autoSpaceDN/>
        <w:bidi w:val="0"/>
        <w:adjustRightInd/>
        <w:snapToGrid/>
        <w:spacing w:line="440" w:lineRule="exact"/>
        <w:ind w:left="0" w:leftChars="0" w:right="0" w:rightChars="0" w:firstLine="480" w:firstLineChars="200"/>
        <w:rPr>
          <w:rFonts w:hint="eastAsia" w:ascii="宋体" w:hAnsi="宋体" w:eastAsia="宋体" w:cs="宋体"/>
          <w:color w:val="auto"/>
          <w:sz w:val="24"/>
          <w:szCs w:val="24"/>
        </w:rPr>
      </w:pPr>
    </w:p>
    <w:p w14:paraId="2BAFEAFC">
      <w:pPr>
        <w:keepNext w:val="0"/>
        <w:keepLines w:val="0"/>
        <w:pageBreakBefore w:val="0"/>
        <w:widowControl w:val="0"/>
        <w:tabs>
          <w:tab w:val="left" w:pos="4640"/>
          <w:tab w:val="left" w:pos="5906"/>
          <w:tab w:val="left" w:pos="9681"/>
        </w:tabs>
        <w:kinsoku/>
        <w:wordWrap/>
        <w:overflowPunct/>
        <w:topLinePunct w:val="0"/>
        <w:autoSpaceDE/>
        <w:autoSpaceDN/>
        <w:bidi w:val="0"/>
        <w:adjustRightInd/>
        <w:snapToGrid/>
        <w:spacing w:line="440" w:lineRule="exact"/>
        <w:ind w:left="0" w:leftChars="0" w:right="0" w:righ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协议甲方名称（盖章）：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rPr>
        <w:t>协议乙方</w:t>
      </w:r>
      <w:r>
        <w:rPr>
          <w:rFonts w:hint="eastAsia" w:ascii="宋体" w:hAnsi="宋体" w:eastAsia="宋体" w:cs="宋体"/>
          <w:color w:val="auto"/>
          <w:sz w:val="24"/>
          <w:szCs w:val="24"/>
          <w:lang w:val="en-US" w:eastAsia="zh-CN"/>
        </w:rPr>
        <w:t>名称</w:t>
      </w:r>
      <w:r>
        <w:rPr>
          <w:rFonts w:hint="eastAsia" w:ascii="宋体" w:hAnsi="宋体" w:eastAsia="宋体" w:cs="宋体"/>
          <w:color w:val="auto"/>
          <w:sz w:val="24"/>
          <w:szCs w:val="24"/>
        </w:rPr>
        <w:t>（盖章）：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p w14:paraId="7E5129EF">
      <w:pPr>
        <w:keepNext w:val="0"/>
        <w:keepLines w:val="0"/>
        <w:pageBreakBefore w:val="0"/>
        <w:widowControl w:val="0"/>
        <w:tabs>
          <w:tab w:val="left" w:pos="4760"/>
          <w:tab w:val="left" w:pos="5906"/>
          <w:tab w:val="left" w:pos="9681"/>
        </w:tabs>
        <w:kinsoku/>
        <w:wordWrap/>
        <w:overflowPunct/>
        <w:topLinePunct w:val="0"/>
        <w:autoSpaceDE/>
        <w:autoSpaceDN/>
        <w:bidi w:val="0"/>
        <w:adjustRightInd/>
        <w:snapToGrid/>
        <w:spacing w:line="440" w:lineRule="exact"/>
        <w:ind w:left="0" w:leftChars="0" w:right="0" w:righ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p w14:paraId="44D260F4">
      <w:pPr>
        <w:keepNext w:val="0"/>
        <w:keepLines w:val="0"/>
        <w:pageBreakBefore w:val="0"/>
        <w:widowControl w:val="0"/>
        <w:tabs>
          <w:tab w:val="left" w:pos="4760"/>
          <w:tab w:val="left" w:pos="5906"/>
          <w:tab w:val="left" w:pos="9681"/>
        </w:tabs>
        <w:kinsoku/>
        <w:wordWrap/>
        <w:overflowPunct/>
        <w:topLinePunct w:val="0"/>
        <w:autoSpaceDE/>
        <w:autoSpaceDN/>
        <w:bidi w:val="0"/>
        <w:adjustRightInd/>
        <w:snapToGrid/>
        <w:spacing w:line="440" w:lineRule="exact"/>
        <w:ind w:left="0" w:leftChars="0" w:right="0" w:righ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联系方式：</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ab/>
      </w:r>
      <w:r>
        <w:rPr>
          <w:rFonts w:hint="eastAsia" w:ascii="宋体" w:hAnsi="宋体" w:eastAsia="宋体" w:cs="宋体"/>
          <w:color w:val="auto"/>
          <w:sz w:val="24"/>
          <w:szCs w:val="24"/>
        </w:rPr>
        <w:t>联系方式：</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p w14:paraId="64B5CF83">
      <w:pPr>
        <w:keepNext w:val="0"/>
        <w:keepLines w:val="0"/>
        <w:pageBreakBefore w:val="0"/>
        <w:widowControl w:val="0"/>
        <w:tabs>
          <w:tab w:val="left" w:pos="4760"/>
          <w:tab w:val="left" w:pos="5906"/>
          <w:tab w:val="left" w:pos="9681"/>
        </w:tabs>
        <w:kinsoku/>
        <w:wordWrap/>
        <w:overflowPunct/>
        <w:topLinePunct w:val="0"/>
        <w:autoSpaceDE/>
        <w:autoSpaceDN/>
        <w:bidi w:val="0"/>
        <w:adjustRightInd/>
        <w:snapToGrid/>
        <w:spacing w:line="440" w:lineRule="exact"/>
        <w:ind w:left="0" w:leftChars="0" w:right="0" w:righ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代表签字：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ab/>
      </w:r>
      <w:r>
        <w:rPr>
          <w:rFonts w:hint="eastAsia" w:ascii="宋体" w:hAnsi="宋体" w:eastAsia="宋体" w:cs="宋体"/>
          <w:color w:val="auto"/>
          <w:sz w:val="24"/>
          <w:szCs w:val="24"/>
        </w:rPr>
        <w:t>代表签字：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p w14:paraId="31261A67">
      <w:pPr>
        <w:keepNext w:val="0"/>
        <w:keepLines w:val="0"/>
        <w:pageBreakBefore w:val="0"/>
        <w:widowControl w:val="0"/>
        <w:tabs>
          <w:tab w:val="left" w:pos="2185"/>
          <w:tab w:val="left" w:pos="2905"/>
          <w:tab w:val="left" w:pos="3625"/>
          <w:tab w:val="left" w:pos="5906"/>
          <w:tab w:val="left" w:pos="7226"/>
          <w:tab w:val="left" w:pos="7946"/>
          <w:tab w:val="left" w:pos="8666"/>
        </w:tabs>
        <w:kinsoku/>
        <w:wordWrap/>
        <w:overflowPunct/>
        <w:topLinePunct w:val="0"/>
        <w:autoSpaceDE/>
        <w:autoSpaceDN/>
        <w:bidi w:val="0"/>
        <w:adjustRightInd/>
        <w:snapToGrid/>
        <w:spacing w:line="440" w:lineRule="exact"/>
        <w:ind w:left="0" w:leftChars="0" w:right="0" w:rightChars="0" w:firstLine="480" w:firstLineChars="200"/>
        <w:rPr>
          <w:rFonts w:hint="eastAsia" w:ascii="宋体" w:hAnsi="宋体" w:eastAsia="宋体" w:cs="宋体"/>
          <w:color w:val="auto"/>
          <w:sz w:val="24"/>
          <w:szCs w:val="24"/>
        </w:rPr>
        <w:sectPr>
          <w:footerReference r:id="rId11" w:type="default"/>
          <w:pgSz w:w="11905" w:h="16838"/>
          <w:pgMar w:top="1383" w:right="1293" w:bottom="1383" w:left="1463" w:header="1077" w:footer="794" w:gutter="0"/>
          <w:cols w:space="0" w:num="1"/>
          <w:titlePg/>
          <w:rtlGutter w:val="0"/>
          <w:docGrid w:type="lines" w:linePitch="313" w:charSpace="0"/>
        </w:sectPr>
      </w:pPr>
      <w:r>
        <w:rPr>
          <w:rFonts w:hint="eastAsia" w:ascii="宋体" w:hAnsi="宋体" w:eastAsia="宋体" w:cs="宋体"/>
          <w:color w:val="auto"/>
          <w:sz w:val="24"/>
          <w:szCs w:val="24"/>
        </w:rPr>
        <w:t>日</w:t>
      </w:r>
      <w:r>
        <w:rPr>
          <w:rFonts w:hint="eastAsia" w:ascii="宋体" w:hAnsi="宋体" w:eastAsia="宋体" w:cs="宋体"/>
          <w:color w:val="auto"/>
          <w:spacing w:val="-1"/>
          <w:sz w:val="24"/>
          <w:szCs w:val="24"/>
        </w:rPr>
        <w:t xml:space="preserve"> </w:t>
      </w:r>
      <w:r>
        <w:rPr>
          <w:rFonts w:hint="eastAsia" w:ascii="宋体" w:hAnsi="宋体" w:eastAsia="宋体" w:cs="宋体"/>
          <w:color w:val="auto"/>
          <w:sz w:val="24"/>
          <w:szCs w:val="24"/>
        </w:rPr>
        <w:t>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日</w:t>
      </w:r>
      <w:r>
        <w:rPr>
          <w:rFonts w:hint="eastAsia" w:ascii="宋体" w:hAnsi="宋体" w:eastAsia="宋体" w:cs="宋体"/>
          <w:color w:val="auto"/>
          <w:sz w:val="24"/>
          <w:szCs w:val="24"/>
        </w:rPr>
        <w:tab/>
      </w:r>
      <w:r>
        <w:rPr>
          <w:rFonts w:hint="eastAsia" w:ascii="宋体" w:hAnsi="宋体" w:eastAsia="宋体" w:cs="宋体"/>
          <w:color w:val="auto"/>
          <w:sz w:val="24"/>
          <w:szCs w:val="24"/>
        </w:rPr>
        <w:t>日 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日</w:t>
      </w:r>
    </w:p>
    <w:p w14:paraId="7A80011C">
      <w:pPr>
        <w:spacing w:line="460" w:lineRule="exact"/>
        <w:ind w:right="400" w:rightChars="200"/>
        <w:rPr>
          <w:rFonts w:eastAsia="楷体"/>
          <w:b/>
          <w:bCs/>
          <w:color w:val="auto"/>
          <w:sz w:val="24"/>
          <w:szCs w:val="24"/>
        </w:rPr>
      </w:pPr>
      <w:r>
        <w:rPr>
          <w:rFonts w:eastAsia="楷体"/>
          <w:b/>
          <w:bCs/>
          <w:color w:val="auto"/>
          <w:spacing w:val="-21"/>
          <w:sz w:val="24"/>
          <w:szCs w:val="24"/>
        </w:rPr>
        <w:t xml:space="preserve">附件 </w:t>
      </w:r>
      <w:r>
        <w:rPr>
          <w:rFonts w:eastAsia="楷体"/>
          <w:b/>
          <w:bCs/>
          <w:color w:val="auto"/>
          <w:sz w:val="24"/>
          <w:szCs w:val="24"/>
        </w:rPr>
        <w:t>1</w:t>
      </w:r>
    </w:p>
    <w:p w14:paraId="7E404735">
      <w:pPr>
        <w:spacing w:line="480" w:lineRule="exact"/>
        <w:jc w:val="center"/>
        <w:rPr>
          <w:rFonts w:ascii="Times New Roman" w:hAnsi="Times New Roman" w:eastAsia="楷体" w:cs="Times New Roman"/>
          <w:b/>
          <w:color w:val="auto"/>
          <w:spacing w:val="8"/>
          <w:sz w:val="30"/>
          <w:szCs w:val="30"/>
          <w:lang w:val="en-US" w:eastAsia="zh-CN" w:bidi="ar-SA"/>
        </w:rPr>
      </w:pPr>
      <w:r>
        <w:rPr>
          <w:rFonts w:ascii="Times New Roman" w:hAnsi="Times New Roman" w:eastAsia="楷体" w:cs="Times New Roman"/>
          <w:b/>
          <w:color w:val="auto"/>
          <w:spacing w:val="8"/>
          <w:sz w:val="30"/>
          <w:szCs w:val="30"/>
          <w:lang w:val="en-US" w:eastAsia="zh-CN" w:bidi="ar-SA"/>
        </w:rPr>
        <w:t>廉洁诚信协议</w:t>
      </w:r>
    </w:p>
    <w:p w14:paraId="4D2DBE9A">
      <w:pPr>
        <w:pStyle w:val="11"/>
        <w:spacing w:before="5" w:line="460" w:lineRule="exact"/>
        <w:ind w:left="400" w:leftChars="200" w:right="400" w:rightChars="200" w:firstLine="482" w:firstLineChars="200"/>
        <w:rPr>
          <w:rFonts w:eastAsia="楷体"/>
          <w:b/>
          <w:color w:val="auto"/>
          <w:sz w:val="24"/>
          <w:szCs w:val="24"/>
        </w:rPr>
      </w:pPr>
    </w:p>
    <w:p w14:paraId="5229FF91">
      <w:pPr>
        <w:tabs>
          <w:tab w:val="left" w:pos="3694"/>
          <w:tab w:val="left" w:pos="3759"/>
        </w:tabs>
        <w:spacing w:before="66" w:line="460" w:lineRule="exact"/>
        <w:ind w:right="400" w:rightChars="200" w:firstLine="476" w:firstLineChars="200"/>
        <w:rPr>
          <w:rFonts w:hint="eastAsia" w:ascii="宋体" w:hAnsi="宋体" w:eastAsia="宋体" w:cs="宋体"/>
          <w:color w:val="auto"/>
          <w:sz w:val="24"/>
          <w:szCs w:val="24"/>
          <w:u w:val="single"/>
        </w:rPr>
      </w:pPr>
      <w:r>
        <w:rPr>
          <w:rFonts w:hint="eastAsia" w:ascii="宋体" w:hAnsi="宋体" w:eastAsia="宋体" w:cs="宋体"/>
          <w:color w:val="auto"/>
          <w:spacing w:val="-1"/>
          <w:sz w:val="24"/>
          <w:szCs w:val="24"/>
        </w:rPr>
        <w:t>甲</w:t>
      </w:r>
      <w:r>
        <w:rPr>
          <w:rFonts w:hint="eastAsia" w:ascii="宋体" w:hAnsi="宋体" w:eastAsia="宋体" w:cs="宋体"/>
          <w:color w:val="auto"/>
          <w:sz w:val="24"/>
          <w:szCs w:val="24"/>
        </w:rPr>
        <w:t>方：</w:t>
      </w:r>
      <w:r>
        <w:rPr>
          <w:rFonts w:hint="eastAsia" w:ascii="宋体" w:hAnsi="宋体" w:eastAsia="宋体" w:cs="宋体"/>
          <w:color w:val="auto"/>
          <w:sz w:val="24"/>
          <w:szCs w:val="24"/>
          <w:u w:val="single"/>
          <w:lang w:eastAsia="zh-CN"/>
        </w:rPr>
        <w:t>巩留县财政局</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乙</w:t>
      </w:r>
      <w:r>
        <w:rPr>
          <w:rFonts w:hint="eastAsia" w:ascii="宋体" w:hAnsi="宋体" w:eastAsia="宋体" w:cs="宋体"/>
          <w:color w:val="auto"/>
          <w:sz w:val="24"/>
          <w:szCs w:val="24"/>
        </w:rPr>
        <w:t>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p w14:paraId="31BEAE13">
      <w:pPr>
        <w:pStyle w:val="20"/>
        <w:rPr>
          <w:rFonts w:hint="eastAsia"/>
        </w:rPr>
      </w:pPr>
    </w:p>
    <w:p w14:paraId="4EBB01ED">
      <w:pPr>
        <w:spacing w:line="460" w:lineRule="exact"/>
        <w:ind w:right="400" w:rightChars="2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为保障甲方与乙方在业务来往的合法权益，推进甲、乙双方及其工作人员的廉洁诚信</w:t>
      </w:r>
      <w:r>
        <w:rPr>
          <w:rFonts w:hint="eastAsia" w:ascii="宋体" w:hAnsi="宋体" w:eastAsia="宋体" w:cs="宋体"/>
          <w:color w:val="auto"/>
          <w:spacing w:val="-13"/>
          <w:sz w:val="24"/>
          <w:szCs w:val="24"/>
        </w:rPr>
        <w:t xml:space="preserve">建设，使甲、乙双方的业务往来充分体现廉洁、诚信的原则，预防商业贿赂和不正当竞争， </w:t>
      </w:r>
      <w:r>
        <w:rPr>
          <w:rFonts w:hint="eastAsia" w:ascii="宋体" w:hAnsi="宋体" w:eastAsia="宋体" w:cs="宋体"/>
          <w:color w:val="auto"/>
          <w:sz w:val="24"/>
          <w:szCs w:val="24"/>
        </w:rPr>
        <w:t>甲、乙双方在自愿的基础上签署本协议。</w:t>
      </w:r>
    </w:p>
    <w:p w14:paraId="2E2D932E">
      <w:pPr>
        <w:keepNext w:val="0"/>
        <w:keepLines w:val="0"/>
        <w:pageBreakBefore w:val="0"/>
        <w:widowControl w:val="0"/>
        <w:kinsoku/>
        <w:wordWrap/>
        <w:overflowPunct/>
        <w:topLinePunct w:val="0"/>
        <w:autoSpaceDE/>
        <w:autoSpaceDN/>
        <w:bidi w:val="0"/>
        <w:adjustRightInd/>
        <w:snapToGrid/>
        <w:spacing w:before="158" w:beforeLines="50" w:after="158" w:afterLines="50" w:line="460" w:lineRule="exact"/>
        <w:ind w:right="0" w:rightChars="0"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第一条</w:t>
      </w:r>
      <w:r>
        <w:rPr>
          <w:rFonts w:hint="eastAsia" w:ascii="宋体" w:hAnsi="宋体" w:eastAsia="宋体" w:cs="宋体"/>
          <w:b/>
          <w:bCs/>
          <w:color w:val="auto"/>
          <w:sz w:val="24"/>
          <w:szCs w:val="24"/>
          <w:lang w:val="en-US" w:eastAsia="zh-CN"/>
        </w:rPr>
        <w:tab/>
      </w:r>
      <w:r>
        <w:rPr>
          <w:rFonts w:hint="eastAsia" w:ascii="宋体" w:hAnsi="宋体" w:eastAsia="宋体" w:cs="宋体"/>
          <w:b/>
          <w:bCs/>
          <w:color w:val="auto"/>
          <w:sz w:val="24"/>
          <w:szCs w:val="24"/>
          <w:lang w:val="en-US" w:eastAsia="zh-CN"/>
        </w:rPr>
        <w:t>本协议作为框架协议的附件，经甲、乙双方签署后生效。</w:t>
      </w:r>
    </w:p>
    <w:p w14:paraId="072ED0D4">
      <w:pPr>
        <w:spacing w:line="460" w:lineRule="exact"/>
        <w:ind w:right="400" w:rightChars="2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本协议所指利害关系人是指评审项目有关工作人员、有关工作人员亲属及其他共同利益关系人。</w:t>
      </w:r>
    </w:p>
    <w:p w14:paraId="6544A119">
      <w:pPr>
        <w:keepNext w:val="0"/>
        <w:keepLines w:val="0"/>
        <w:pageBreakBefore w:val="0"/>
        <w:widowControl w:val="0"/>
        <w:kinsoku/>
        <w:wordWrap/>
        <w:overflowPunct/>
        <w:topLinePunct w:val="0"/>
        <w:autoSpaceDE/>
        <w:autoSpaceDN/>
        <w:bidi w:val="0"/>
        <w:adjustRightInd/>
        <w:snapToGrid/>
        <w:spacing w:before="158" w:beforeLines="50" w:after="158" w:afterLines="50" w:line="460" w:lineRule="exact"/>
        <w:ind w:right="0" w:rightChars="0"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第二条</w:t>
      </w:r>
      <w:r>
        <w:rPr>
          <w:rFonts w:hint="eastAsia" w:ascii="宋体" w:hAnsi="宋体" w:eastAsia="宋体" w:cs="宋体"/>
          <w:b/>
          <w:bCs/>
          <w:color w:val="auto"/>
          <w:sz w:val="24"/>
          <w:szCs w:val="24"/>
          <w:lang w:val="en-US" w:eastAsia="zh-CN"/>
        </w:rPr>
        <w:tab/>
      </w:r>
      <w:r>
        <w:rPr>
          <w:rFonts w:hint="eastAsia" w:ascii="宋体" w:hAnsi="宋体" w:eastAsia="宋体" w:cs="宋体"/>
          <w:b/>
          <w:bCs/>
          <w:color w:val="auto"/>
          <w:sz w:val="24"/>
          <w:szCs w:val="24"/>
          <w:lang w:val="en-US" w:eastAsia="zh-CN"/>
        </w:rPr>
        <w:t>甲、乙双方应共同遵守下列条款：</w:t>
      </w:r>
    </w:p>
    <w:p w14:paraId="09681A4D">
      <w:pPr>
        <w:spacing w:line="460" w:lineRule="exact"/>
        <w:ind w:right="400" w:rightChars="2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（一）严格遵守国家法律法规，坚持廉洁、诚信的原则，恪守公认的商业道德和职业道德规范，不从事并抵制不廉洁、不诚信行为；</w:t>
      </w:r>
    </w:p>
    <w:p w14:paraId="394661B9">
      <w:pPr>
        <w:spacing w:line="460" w:lineRule="exact"/>
        <w:ind w:right="400" w:rightChars="2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（二）对各自工作人员开展廉政教育，增强相关人员廉洁自律的意识。</w:t>
      </w:r>
    </w:p>
    <w:p w14:paraId="6BDE1B33">
      <w:pPr>
        <w:keepNext w:val="0"/>
        <w:keepLines w:val="0"/>
        <w:pageBreakBefore w:val="0"/>
        <w:widowControl w:val="0"/>
        <w:kinsoku/>
        <w:wordWrap/>
        <w:overflowPunct/>
        <w:topLinePunct w:val="0"/>
        <w:autoSpaceDE/>
        <w:autoSpaceDN/>
        <w:bidi w:val="0"/>
        <w:adjustRightInd/>
        <w:snapToGrid/>
        <w:spacing w:before="158" w:beforeLines="50" w:after="158" w:afterLines="50" w:line="460" w:lineRule="exact"/>
        <w:ind w:right="0" w:rightChars="0"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第三条</w:t>
      </w:r>
      <w:r>
        <w:rPr>
          <w:rFonts w:hint="eastAsia" w:ascii="宋体" w:hAnsi="宋体" w:eastAsia="宋体" w:cs="宋体"/>
          <w:b/>
          <w:bCs/>
          <w:color w:val="auto"/>
          <w:sz w:val="24"/>
          <w:szCs w:val="24"/>
          <w:lang w:val="en-US" w:eastAsia="zh-CN"/>
        </w:rPr>
        <w:tab/>
      </w:r>
      <w:r>
        <w:rPr>
          <w:rFonts w:hint="eastAsia" w:ascii="宋体" w:hAnsi="宋体" w:eastAsia="宋体" w:cs="宋体"/>
          <w:b/>
          <w:bCs/>
          <w:color w:val="auto"/>
          <w:sz w:val="24"/>
          <w:szCs w:val="24"/>
          <w:lang w:val="en-US" w:eastAsia="zh-CN"/>
        </w:rPr>
        <w:t>甲方应遵守下列条款：</w:t>
      </w:r>
    </w:p>
    <w:p w14:paraId="350EA654">
      <w:pPr>
        <w:spacing w:line="460" w:lineRule="exact"/>
        <w:ind w:right="400" w:rightChars="2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（一）利害关系人不得接受或以借用等名义占用乙方或乙方工作人员的财物；</w:t>
      </w:r>
    </w:p>
    <w:p w14:paraId="4D46A50A">
      <w:pPr>
        <w:spacing w:line="460" w:lineRule="exact"/>
        <w:ind w:right="400" w:rightChars="2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（二）利害关系人不得接受乙方提供的礼品、宴请以及旅游、健身、娱乐等活动安排；</w:t>
      </w:r>
    </w:p>
    <w:p w14:paraId="46A29C8B">
      <w:pPr>
        <w:spacing w:line="460" w:lineRule="exact"/>
        <w:ind w:right="400" w:rightChars="2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（三）利害关系人不得接受乙方提供的礼金和各种有价证券、支付凭证；</w:t>
      </w:r>
    </w:p>
    <w:p w14:paraId="3C1899AD">
      <w:pPr>
        <w:spacing w:line="460" w:lineRule="exact"/>
        <w:ind w:right="400" w:rightChars="2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（四）利害关系人不得要求乙方支付应由本人负担的费用或报销票据；</w:t>
      </w:r>
    </w:p>
    <w:p w14:paraId="2599BCCA">
      <w:pPr>
        <w:spacing w:line="460" w:lineRule="exact"/>
        <w:ind w:right="400" w:rightChars="2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（五）利害关系人不得接受由乙方提供的其他任何可能影响本人公正执行公务的财物或服务；</w:t>
      </w:r>
    </w:p>
    <w:p w14:paraId="06D08591">
      <w:pPr>
        <w:spacing w:line="460" w:lineRule="exact"/>
        <w:ind w:right="400" w:rightChars="2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（六）当乙方提供本条第（一）至（五）款所指的内容，或实施其他不廉洁、不诚信行为时，利害关系人应予以拒绝；对于无法拒绝的，应及时向甲方或监督检查部门举报并上缴相关财物。</w:t>
      </w:r>
    </w:p>
    <w:p w14:paraId="5411FFD4">
      <w:pPr>
        <w:keepNext w:val="0"/>
        <w:keepLines w:val="0"/>
        <w:pageBreakBefore w:val="0"/>
        <w:widowControl w:val="0"/>
        <w:kinsoku/>
        <w:wordWrap/>
        <w:overflowPunct/>
        <w:topLinePunct w:val="0"/>
        <w:autoSpaceDE/>
        <w:autoSpaceDN/>
        <w:bidi w:val="0"/>
        <w:adjustRightInd/>
        <w:snapToGrid/>
        <w:spacing w:before="158" w:beforeLines="50" w:after="158" w:afterLines="50" w:line="460" w:lineRule="exact"/>
        <w:ind w:right="0" w:rightChars="0"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第四条</w:t>
      </w:r>
      <w:r>
        <w:rPr>
          <w:rFonts w:hint="eastAsia" w:ascii="宋体" w:hAnsi="宋体" w:eastAsia="宋体" w:cs="宋体"/>
          <w:b/>
          <w:bCs/>
          <w:color w:val="auto"/>
          <w:sz w:val="24"/>
          <w:szCs w:val="24"/>
          <w:lang w:val="en-US" w:eastAsia="zh-CN"/>
        </w:rPr>
        <w:tab/>
      </w:r>
      <w:r>
        <w:rPr>
          <w:rFonts w:hint="eastAsia" w:ascii="宋体" w:hAnsi="宋体" w:eastAsia="宋体" w:cs="宋体"/>
          <w:b/>
          <w:bCs/>
          <w:color w:val="auto"/>
          <w:sz w:val="24"/>
          <w:szCs w:val="24"/>
          <w:lang w:val="en-US" w:eastAsia="zh-CN"/>
        </w:rPr>
        <w:t>乙方应遵守下列条款：</w:t>
      </w:r>
    </w:p>
    <w:p w14:paraId="60A9A837">
      <w:pPr>
        <w:spacing w:line="460" w:lineRule="exact"/>
        <w:ind w:right="400" w:rightChars="2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（一）不得给予或以借用等名义向利害关系人提供财物；</w:t>
      </w:r>
    </w:p>
    <w:p w14:paraId="1C2ED451">
      <w:pPr>
        <w:spacing w:line="460" w:lineRule="exact"/>
        <w:ind w:right="400" w:rightChars="2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（二）不得向利害关系人提供礼品、宴请以及旅游、健身、娱乐等活动安排；</w:t>
      </w:r>
    </w:p>
    <w:p w14:paraId="3DDA5FD7">
      <w:pPr>
        <w:spacing w:line="460" w:lineRule="exact"/>
        <w:ind w:right="400" w:rightChars="2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（三）不得向利害关系人提供礼金和各种有价证券、支付凭证；</w:t>
      </w:r>
    </w:p>
    <w:p w14:paraId="3FD10C4F">
      <w:pPr>
        <w:spacing w:line="460" w:lineRule="exact"/>
        <w:ind w:right="400" w:rightChars="2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（四）不得为利害关系人支付应由其本人承担的费用或报销票据；</w:t>
      </w:r>
    </w:p>
    <w:p w14:paraId="04297A4F">
      <w:pPr>
        <w:spacing w:line="460" w:lineRule="exact"/>
        <w:ind w:right="400" w:rightChars="2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（五）不得向利害关系人提供其他任何可能影响其公正执行公务的财物或服务；</w:t>
      </w:r>
    </w:p>
    <w:p w14:paraId="762AB6CE">
      <w:pPr>
        <w:spacing w:line="460" w:lineRule="exact"/>
        <w:ind w:right="400" w:rightChars="2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六）利害关系人主动索取和要求本条（一）至（五）款所指的内容，或实施其他不廉洁、不诚信行为时，乙方应拒绝，并有义务向甲方或监督检查部门举报或投诉，也可向有关部门举报。甲方应保护乙方当事人的合法权益。</w:t>
      </w:r>
    </w:p>
    <w:p w14:paraId="50C8EABA">
      <w:pPr>
        <w:keepNext w:val="0"/>
        <w:keepLines w:val="0"/>
        <w:pageBreakBefore w:val="0"/>
        <w:widowControl w:val="0"/>
        <w:kinsoku/>
        <w:wordWrap/>
        <w:overflowPunct/>
        <w:topLinePunct w:val="0"/>
        <w:autoSpaceDE/>
        <w:autoSpaceDN/>
        <w:bidi w:val="0"/>
        <w:adjustRightInd/>
        <w:snapToGrid/>
        <w:spacing w:before="158" w:beforeLines="50" w:after="158" w:afterLines="50" w:line="460" w:lineRule="exact"/>
        <w:ind w:right="0" w:rightChars="0"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第五条 违约责任</w:t>
      </w:r>
    </w:p>
    <w:p w14:paraId="10C90B48">
      <w:pPr>
        <w:spacing w:line="460" w:lineRule="exact"/>
        <w:ind w:right="400" w:rightChars="2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甲、乙双方工作人员如违反本协议规定，由甲、乙双方依据有关规定严肃处理。如乙方违反本协议规定，甲方有权依据征集文件及相关规定，对乙方进行严肃处理。</w:t>
      </w:r>
    </w:p>
    <w:p w14:paraId="58769002">
      <w:pPr>
        <w:spacing w:line="460" w:lineRule="exact"/>
        <w:ind w:right="400" w:rightChars="2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乙方不廉洁、不诚信行为造成甲方经济损失或有损甲方形象和声誉的，由乙方予以赔偿。</w:t>
      </w:r>
    </w:p>
    <w:p w14:paraId="42281DC4">
      <w:pPr>
        <w:keepNext w:val="0"/>
        <w:keepLines w:val="0"/>
        <w:pageBreakBefore w:val="0"/>
        <w:widowControl w:val="0"/>
        <w:kinsoku/>
        <w:wordWrap/>
        <w:overflowPunct/>
        <w:topLinePunct w:val="0"/>
        <w:autoSpaceDE/>
        <w:autoSpaceDN/>
        <w:bidi w:val="0"/>
        <w:adjustRightInd/>
        <w:snapToGrid/>
        <w:spacing w:before="158" w:beforeLines="50" w:after="158" w:afterLines="50" w:line="460" w:lineRule="exact"/>
        <w:ind w:right="0" w:rightChars="0"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 xml:space="preserve">第六条 </w:t>
      </w:r>
      <w:r>
        <w:rPr>
          <w:rFonts w:hint="eastAsia" w:ascii="宋体" w:hAnsi="宋体" w:cs="宋体"/>
          <w:b/>
          <w:bCs/>
          <w:color w:val="auto"/>
          <w:sz w:val="24"/>
          <w:szCs w:val="24"/>
          <w:lang w:val="en-US" w:eastAsia="zh-CN"/>
        </w:rPr>
        <w:t xml:space="preserve">  </w:t>
      </w:r>
      <w:r>
        <w:rPr>
          <w:rFonts w:hint="eastAsia" w:ascii="宋体" w:hAnsi="宋体" w:eastAsia="宋体" w:cs="宋体"/>
          <w:color w:val="auto"/>
          <w:sz w:val="24"/>
          <w:szCs w:val="24"/>
        </w:rPr>
        <w:t>甲、乙双方监督检查部门应当认真履行职责，在监督检查、处理投诉和举报过程中发现存在本协议所禁止的行为时，可以向对方单位相关人员询问情况，必要时可以请求对方监督检查部门予以协助，对方应予积极配合。</w:t>
      </w:r>
    </w:p>
    <w:p w14:paraId="2BB190E2">
      <w:pPr>
        <w:keepNext w:val="0"/>
        <w:keepLines w:val="0"/>
        <w:pageBreakBefore w:val="0"/>
        <w:widowControl w:val="0"/>
        <w:kinsoku/>
        <w:wordWrap/>
        <w:overflowPunct/>
        <w:topLinePunct w:val="0"/>
        <w:autoSpaceDE/>
        <w:autoSpaceDN/>
        <w:bidi w:val="0"/>
        <w:adjustRightInd/>
        <w:snapToGrid/>
        <w:spacing w:before="158" w:beforeLines="50" w:after="158" w:afterLines="50" w:line="460" w:lineRule="exact"/>
        <w:ind w:right="0" w:rightChars="0"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第七条</w:t>
      </w:r>
      <w:r>
        <w:rPr>
          <w:rFonts w:hint="eastAsia" w:ascii="宋体" w:hAnsi="宋体" w:eastAsia="宋体" w:cs="宋体"/>
          <w:b/>
          <w:bCs/>
          <w:color w:val="auto"/>
          <w:sz w:val="24"/>
          <w:szCs w:val="24"/>
          <w:lang w:val="en-US" w:eastAsia="zh-CN"/>
        </w:rPr>
        <w:tab/>
      </w:r>
      <w:r>
        <w:rPr>
          <w:rFonts w:hint="eastAsia" w:ascii="宋体" w:hAnsi="宋体" w:eastAsia="宋体" w:cs="宋体"/>
          <w:b/>
          <w:bCs/>
          <w:color w:val="auto"/>
          <w:sz w:val="24"/>
          <w:szCs w:val="24"/>
          <w:lang w:val="en-US" w:eastAsia="zh-CN"/>
        </w:rPr>
        <w:t>本协议为框架协议附件，与协议一并签署。</w:t>
      </w:r>
    </w:p>
    <w:p w14:paraId="3E78FA7D">
      <w:pPr>
        <w:keepNext w:val="0"/>
        <w:keepLines w:val="0"/>
        <w:pageBreakBefore w:val="0"/>
        <w:widowControl w:val="0"/>
        <w:kinsoku/>
        <w:wordWrap/>
        <w:overflowPunct/>
        <w:topLinePunct w:val="0"/>
        <w:autoSpaceDE/>
        <w:autoSpaceDN/>
        <w:bidi w:val="0"/>
        <w:adjustRightInd/>
        <w:snapToGrid/>
        <w:spacing w:before="158" w:beforeLines="50" w:after="158" w:afterLines="50" w:line="460" w:lineRule="exact"/>
        <w:ind w:right="0" w:rightChars="0"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第八条</w:t>
      </w:r>
      <w:r>
        <w:rPr>
          <w:rFonts w:hint="eastAsia" w:ascii="宋体" w:hAnsi="宋体" w:eastAsia="宋体" w:cs="宋体"/>
          <w:b/>
          <w:bCs/>
          <w:color w:val="auto"/>
          <w:sz w:val="24"/>
          <w:szCs w:val="24"/>
          <w:lang w:val="en-US" w:eastAsia="zh-CN"/>
        </w:rPr>
        <w:tab/>
      </w:r>
      <w:r>
        <w:rPr>
          <w:rFonts w:hint="eastAsia" w:ascii="宋体" w:hAnsi="宋体" w:eastAsia="宋体" w:cs="宋体"/>
          <w:b/>
          <w:bCs/>
          <w:color w:val="auto"/>
          <w:sz w:val="24"/>
          <w:szCs w:val="24"/>
          <w:lang w:val="en-US" w:eastAsia="zh-CN"/>
        </w:rPr>
        <w:t>本协议由甲方负责解释。</w:t>
      </w:r>
    </w:p>
    <w:p w14:paraId="71FBD38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52" w:firstLineChars="200"/>
        <w:rPr>
          <w:rFonts w:hint="eastAsia" w:ascii="宋体" w:hAnsi="宋体" w:eastAsia="宋体" w:cs="宋体"/>
          <w:color w:val="auto"/>
          <w:spacing w:val="-7"/>
          <w:sz w:val="24"/>
          <w:szCs w:val="24"/>
        </w:rPr>
      </w:pPr>
      <w:r>
        <w:rPr>
          <w:rFonts w:hint="eastAsia" w:ascii="宋体" w:hAnsi="宋体" w:eastAsia="宋体" w:cs="宋体"/>
          <w:color w:val="auto"/>
          <w:spacing w:val="-7"/>
          <w:sz w:val="24"/>
          <w:szCs w:val="24"/>
        </w:rPr>
        <w:t xml:space="preserve">地址： </w:t>
      </w:r>
    </w:p>
    <w:p w14:paraId="02818E4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52" w:firstLineChars="200"/>
        <w:rPr>
          <w:rFonts w:hint="eastAsia" w:ascii="宋体" w:hAnsi="宋体" w:eastAsia="宋体" w:cs="宋体"/>
          <w:color w:val="auto"/>
          <w:spacing w:val="-7"/>
          <w:sz w:val="24"/>
          <w:szCs w:val="24"/>
        </w:rPr>
      </w:pPr>
      <w:r>
        <w:rPr>
          <w:rFonts w:hint="eastAsia" w:ascii="宋体" w:hAnsi="宋体" w:eastAsia="宋体" w:cs="宋体"/>
          <w:color w:val="auto"/>
          <w:spacing w:val="-7"/>
          <w:sz w:val="24"/>
          <w:szCs w:val="24"/>
        </w:rPr>
        <w:t xml:space="preserve">电话： </w:t>
      </w:r>
    </w:p>
    <w:p w14:paraId="2589AD2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52" w:firstLineChars="200"/>
        <w:rPr>
          <w:rFonts w:hint="eastAsia" w:ascii="宋体" w:hAnsi="宋体" w:eastAsia="宋体" w:cs="宋体"/>
          <w:color w:val="auto"/>
          <w:sz w:val="24"/>
          <w:szCs w:val="24"/>
        </w:rPr>
      </w:pPr>
      <w:r>
        <w:rPr>
          <w:rFonts w:hint="eastAsia" w:ascii="宋体" w:hAnsi="宋体" w:eastAsia="宋体" w:cs="宋体"/>
          <w:color w:val="auto"/>
          <w:spacing w:val="-7"/>
          <w:sz w:val="24"/>
          <w:szCs w:val="24"/>
        </w:rPr>
        <w:t>邮箱：</w:t>
      </w:r>
    </w:p>
    <w:p w14:paraId="0A052DAB">
      <w:pPr>
        <w:keepNext w:val="0"/>
        <w:keepLines w:val="0"/>
        <w:pageBreakBefore w:val="0"/>
        <w:widowControl w:val="0"/>
        <w:tabs>
          <w:tab w:val="left" w:pos="4194"/>
          <w:tab w:val="left" w:pos="4979"/>
          <w:tab w:val="left" w:pos="8875"/>
        </w:tabs>
        <w:kinsoku/>
        <w:wordWrap/>
        <w:overflowPunct/>
        <w:topLinePunct w:val="0"/>
        <w:autoSpaceDE/>
        <w:autoSpaceDN/>
        <w:bidi w:val="0"/>
        <w:adjustRightInd/>
        <w:snapToGrid/>
        <w:spacing w:line="460" w:lineRule="exact"/>
        <w:ind w:left="0" w:leftChars="0" w:right="0" w:righ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甲方（盖章）：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ab/>
      </w:r>
      <w:r>
        <w:rPr>
          <w:rFonts w:hint="eastAsia" w:ascii="宋体" w:hAnsi="宋体" w:eastAsia="宋体" w:cs="宋体"/>
          <w:color w:val="auto"/>
          <w:sz w:val="24"/>
          <w:szCs w:val="24"/>
        </w:rPr>
        <w:t xml:space="preserve">乙方（盖章）：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p w14:paraId="3E9526DA">
      <w:pPr>
        <w:keepNext w:val="0"/>
        <w:keepLines w:val="0"/>
        <w:pageBreakBefore w:val="0"/>
        <w:widowControl w:val="0"/>
        <w:tabs>
          <w:tab w:val="left" w:pos="4194"/>
          <w:tab w:val="left" w:pos="4979"/>
          <w:tab w:val="left" w:pos="7620"/>
          <w:tab w:val="left" w:pos="8875"/>
        </w:tabs>
        <w:kinsoku/>
        <w:wordWrap/>
        <w:overflowPunct/>
        <w:topLinePunct w:val="0"/>
        <w:autoSpaceDE/>
        <w:autoSpaceDN/>
        <w:bidi w:val="0"/>
        <w:adjustRightInd/>
        <w:snapToGrid/>
        <w:spacing w:line="460" w:lineRule="exact"/>
        <w:ind w:left="0" w:leftChars="0" w:right="0" w:righ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法定代表（委托）人：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ab/>
      </w:r>
      <w:r>
        <w:rPr>
          <w:rFonts w:hint="eastAsia" w:ascii="宋体" w:hAnsi="宋体" w:eastAsia="宋体" w:cs="宋体"/>
          <w:color w:val="auto"/>
          <w:sz w:val="24"/>
          <w:szCs w:val="24"/>
        </w:rPr>
        <w:t>法定代表（委托）人：</w:t>
      </w:r>
      <w:r>
        <w:rPr>
          <w:rFonts w:hint="eastAsia" w:ascii="宋体" w:hAnsi="宋体" w:eastAsia="宋体" w:cs="宋体"/>
          <w:color w:val="auto"/>
          <w:sz w:val="24"/>
          <w:szCs w:val="24"/>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p w14:paraId="772A8A5B">
      <w:pPr>
        <w:keepNext w:val="0"/>
        <w:keepLines w:val="0"/>
        <w:pageBreakBefore w:val="0"/>
        <w:widowControl w:val="0"/>
        <w:tabs>
          <w:tab w:val="left" w:pos="1498"/>
          <w:tab w:val="left" w:pos="2338"/>
          <w:tab w:val="left" w:pos="3179"/>
          <w:tab w:val="left" w:pos="4979"/>
          <w:tab w:val="left" w:pos="6179"/>
          <w:tab w:val="left" w:pos="7019"/>
          <w:tab w:val="left" w:pos="7860"/>
        </w:tabs>
        <w:kinsoku/>
        <w:wordWrap/>
        <w:overflowPunct/>
        <w:topLinePunct w:val="0"/>
        <w:autoSpaceDE/>
        <w:autoSpaceDN/>
        <w:bidi w:val="0"/>
        <w:adjustRightInd/>
        <w:snapToGrid/>
        <w:spacing w:line="460" w:lineRule="exact"/>
        <w:ind w:left="0" w:leftChars="0" w:right="0" w:rightChars="0" w:firstLine="480" w:firstLineChars="200"/>
        <w:rPr>
          <w:rFonts w:eastAsia="楷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rPr>
        <w:tab/>
      </w:r>
      <w:r>
        <w:rPr>
          <w:rFonts w:hint="eastAsia" w:ascii="宋体" w:hAnsi="宋体" w:eastAsia="宋体" w:cs="宋体"/>
          <w:color w:val="auto"/>
          <w:sz w:val="24"/>
          <w:szCs w:val="24"/>
        </w:rPr>
        <w:t>年</w:t>
      </w:r>
      <w:r>
        <w:rPr>
          <w:rFonts w:hint="eastAsia" w:ascii="宋体" w:hAnsi="宋体" w:eastAsia="宋体" w:cs="宋体"/>
          <w:color w:val="auto"/>
          <w:sz w:val="24"/>
          <w:szCs w:val="24"/>
        </w:rPr>
        <w:tab/>
      </w:r>
      <w:r>
        <w:rPr>
          <w:rFonts w:hint="eastAsia" w:ascii="宋体" w:hAnsi="宋体" w:eastAsia="宋体" w:cs="宋体"/>
          <w:color w:val="auto"/>
          <w:sz w:val="24"/>
          <w:szCs w:val="24"/>
        </w:rPr>
        <w:t>月</w:t>
      </w:r>
      <w:r>
        <w:rPr>
          <w:rFonts w:hint="eastAsia" w:ascii="宋体" w:hAnsi="宋体" w:eastAsia="宋体" w:cs="宋体"/>
          <w:color w:val="auto"/>
          <w:sz w:val="24"/>
          <w:szCs w:val="24"/>
        </w:rPr>
        <w:tab/>
      </w:r>
      <w:r>
        <w:rPr>
          <w:rFonts w:hint="eastAsia" w:ascii="宋体" w:hAnsi="宋体" w:eastAsia="宋体" w:cs="宋体"/>
          <w:color w:val="auto"/>
          <w:sz w:val="24"/>
          <w:szCs w:val="24"/>
        </w:rPr>
        <w:t>日</w:t>
      </w:r>
      <w:r>
        <w:rPr>
          <w:rFonts w:hint="eastAsia" w:ascii="宋体" w:hAnsi="宋体" w:eastAsia="宋体" w:cs="宋体"/>
          <w:color w:val="auto"/>
          <w:sz w:val="24"/>
          <w:szCs w:val="24"/>
        </w:rPr>
        <w:tab/>
      </w:r>
      <w:r>
        <w:rPr>
          <w:rFonts w:hint="eastAsia" w:ascii="宋体" w:hAnsi="宋体" w:eastAsia="宋体" w:cs="宋体"/>
          <w:color w:val="auto"/>
          <w:sz w:val="24"/>
          <w:szCs w:val="24"/>
        </w:rPr>
        <w:t>日 期：</w:t>
      </w:r>
      <w:r>
        <w:rPr>
          <w:rFonts w:hint="eastAsia" w:ascii="宋体" w:hAnsi="宋体" w:eastAsia="宋体" w:cs="宋体"/>
          <w:color w:val="auto"/>
          <w:sz w:val="24"/>
          <w:szCs w:val="24"/>
        </w:rPr>
        <w:tab/>
      </w:r>
      <w:r>
        <w:rPr>
          <w:rFonts w:hint="eastAsia" w:ascii="宋体" w:hAnsi="宋体" w:eastAsia="宋体" w:cs="宋体"/>
          <w:color w:val="auto"/>
          <w:sz w:val="24"/>
          <w:szCs w:val="24"/>
        </w:rPr>
        <w:t>年</w:t>
      </w:r>
      <w:r>
        <w:rPr>
          <w:rFonts w:hint="eastAsia" w:ascii="宋体" w:hAnsi="宋体" w:eastAsia="宋体" w:cs="宋体"/>
          <w:color w:val="auto"/>
          <w:sz w:val="24"/>
          <w:szCs w:val="24"/>
        </w:rPr>
        <w:tab/>
      </w:r>
      <w:r>
        <w:rPr>
          <w:rFonts w:hint="eastAsia" w:ascii="宋体" w:hAnsi="宋体" w:eastAsia="宋体" w:cs="宋体"/>
          <w:color w:val="auto"/>
          <w:sz w:val="24"/>
          <w:szCs w:val="24"/>
        </w:rPr>
        <w:t>月</w:t>
      </w:r>
      <w:r>
        <w:rPr>
          <w:rFonts w:eastAsia="楷体"/>
          <w:color w:val="auto"/>
          <w:sz w:val="24"/>
          <w:szCs w:val="24"/>
        </w:rPr>
        <w:tab/>
      </w:r>
    </w:p>
    <w:p w14:paraId="2B1F4D5E">
      <w:pPr>
        <w:spacing w:line="460" w:lineRule="exact"/>
        <w:ind w:right="400" w:rightChars="200"/>
        <w:rPr>
          <w:rFonts w:hint="eastAsia" w:eastAsia="楷体"/>
          <w:color w:val="auto"/>
          <w:spacing w:val="-21"/>
          <w:sz w:val="24"/>
          <w:szCs w:val="24"/>
          <w:lang w:eastAsia="zh-CN"/>
        </w:rPr>
      </w:pPr>
      <w:r>
        <w:rPr>
          <w:rFonts w:eastAsia="楷体"/>
          <w:color w:val="auto"/>
          <w:sz w:val="24"/>
          <w:szCs w:val="24"/>
        </w:rPr>
        <w:br w:type="page"/>
      </w:r>
      <w:r>
        <w:rPr>
          <w:rFonts w:ascii="Times New Roman" w:hAnsi="Times New Roman" w:eastAsia="楷体" w:cs="Times New Roman"/>
          <w:b/>
          <w:bCs/>
          <w:color w:val="auto"/>
          <w:spacing w:val="-21"/>
          <w:sz w:val="24"/>
          <w:szCs w:val="24"/>
        </w:rPr>
        <w:t>附件</w:t>
      </w:r>
      <w:r>
        <w:rPr>
          <w:rFonts w:hint="eastAsia" w:eastAsia="楷体" w:cs="Times New Roman"/>
          <w:b/>
          <w:bCs/>
          <w:color w:val="auto"/>
          <w:spacing w:val="-21"/>
          <w:sz w:val="24"/>
          <w:szCs w:val="24"/>
          <w:lang w:val="en-US" w:eastAsia="zh-CN"/>
        </w:rPr>
        <w:t>2</w:t>
      </w:r>
    </w:p>
    <w:p w14:paraId="31D5F798">
      <w:pPr>
        <w:spacing w:line="480" w:lineRule="exact"/>
        <w:jc w:val="center"/>
        <w:rPr>
          <w:rFonts w:hint="eastAsia" w:ascii="Times New Roman" w:hAnsi="Times New Roman" w:eastAsia="楷体" w:cs="Times New Roman"/>
          <w:b/>
          <w:color w:val="auto"/>
          <w:spacing w:val="8"/>
          <w:sz w:val="30"/>
          <w:szCs w:val="30"/>
          <w:lang w:val="en-US" w:eastAsia="zh-CN" w:bidi="ar-SA"/>
        </w:rPr>
      </w:pPr>
      <w:r>
        <w:rPr>
          <w:rFonts w:hint="eastAsia" w:ascii="Times New Roman" w:hAnsi="Times New Roman" w:eastAsia="楷体" w:cs="Times New Roman"/>
          <w:b/>
          <w:color w:val="auto"/>
          <w:spacing w:val="8"/>
          <w:sz w:val="30"/>
          <w:szCs w:val="30"/>
          <w:lang w:val="en-US" w:eastAsia="zh-CN" w:bidi="ar-SA"/>
        </w:rPr>
        <w:t>工程造价保密协议</w:t>
      </w:r>
    </w:p>
    <w:p w14:paraId="0737F72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34" w:firstLineChars="200"/>
        <w:rPr>
          <w:rFonts w:hint="eastAsia" w:ascii="Times New Roman" w:hAnsi="Times New Roman" w:eastAsia="楷体" w:cs="Times New Roman"/>
          <w:b/>
          <w:color w:val="auto"/>
          <w:spacing w:val="8"/>
          <w:sz w:val="30"/>
          <w:szCs w:val="30"/>
          <w:lang w:val="en-US" w:eastAsia="zh-CN" w:bidi="ar-SA"/>
        </w:rPr>
      </w:pPr>
    </w:p>
    <w:p w14:paraId="2C01FF06">
      <w:pPr>
        <w:pStyle w:val="57"/>
        <w:keepNext w:val="0"/>
        <w:keepLines w:val="0"/>
        <w:pageBreakBefore w:val="0"/>
        <w:widowControl w:val="0"/>
        <w:tabs>
          <w:tab w:val="left" w:pos="1383"/>
        </w:tabs>
        <w:kinsoku/>
        <w:wordWrap/>
        <w:overflowPunct/>
        <w:topLinePunct w:val="0"/>
        <w:autoSpaceDE/>
        <w:autoSpaceDN/>
        <w:bidi w:val="0"/>
        <w:adjustRightInd/>
        <w:snapToGrid/>
        <w:spacing w:before="0" w:after="0" w:line="440" w:lineRule="exact"/>
        <w:ind w:left="0" w:leftChars="0" w:right="0" w:rightChars="0" w:firstLine="480" w:firstLineChars="200"/>
        <w:jc w:val="left"/>
        <w:rPr>
          <w:rFonts w:hint="eastAsia" w:ascii="宋体" w:hAnsi="宋体" w:eastAsia="宋体" w:cs="宋体"/>
          <w:b w:val="0"/>
          <w:bCs/>
          <w:color w:val="auto"/>
          <w:szCs w:val="24"/>
          <w:lang w:val="en-US" w:eastAsia="zh-CN"/>
        </w:rPr>
      </w:pPr>
      <w:r>
        <w:rPr>
          <w:rFonts w:hint="eastAsia" w:ascii="宋体" w:hAnsi="宋体" w:eastAsia="宋体" w:cs="宋体"/>
          <w:b w:val="0"/>
          <w:bCs/>
          <w:color w:val="auto"/>
          <w:szCs w:val="24"/>
          <w:lang w:val="en-US" w:eastAsia="zh-CN"/>
        </w:rPr>
        <w:t>本保密协议（以下简称“协议”）由以下双方（以下简称“甲方”和“乙方”）在诚信与平等的基础上订立，旨在确保工程造价相关信息的保密。</w:t>
      </w:r>
    </w:p>
    <w:p w14:paraId="4878ACA9">
      <w:pPr>
        <w:pStyle w:val="57"/>
        <w:keepNext w:val="0"/>
        <w:keepLines w:val="0"/>
        <w:pageBreakBefore w:val="0"/>
        <w:widowControl w:val="0"/>
        <w:tabs>
          <w:tab w:val="left" w:pos="1383"/>
        </w:tabs>
        <w:kinsoku/>
        <w:wordWrap/>
        <w:overflowPunct/>
        <w:topLinePunct w:val="0"/>
        <w:autoSpaceDE/>
        <w:autoSpaceDN/>
        <w:bidi w:val="0"/>
        <w:adjustRightInd/>
        <w:snapToGrid/>
        <w:spacing w:before="0" w:after="0" w:line="440" w:lineRule="exact"/>
        <w:ind w:left="0" w:leftChars="0" w:right="0" w:rightChars="0" w:firstLine="482" w:firstLineChars="200"/>
        <w:jc w:val="left"/>
        <w:rPr>
          <w:rFonts w:hint="eastAsia" w:ascii="Times New Roman" w:hAnsi="Times New Roman" w:eastAsia="楷体" w:cs="Times New Roman"/>
          <w:b/>
          <w:color w:val="auto"/>
          <w:spacing w:val="8"/>
          <w:sz w:val="30"/>
          <w:szCs w:val="30"/>
          <w:lang w:val="en-US" w:eastAsia="zh-CN" w:bidi="ar-SA"/>
        </w:rPr>
      </w:pPr>
      <w:r>
        <w:rPr>
          <w:rFonts w:hint="eastAsia" w:ascii="宋体" w:hAnsi="宋体" w:eastAsia="宋体" w:cs="宋体"/>
          <w:b/>
          <w:color w:val="auto"/>
          <w:szCs w:val="24"/>
          <w:lang w:val="en-US" w:eastAsia="zh-CN"/>
        </w:rPr>
        <w:t>第一条 定义</w:t>
      </w:r>
    </w:p>
    <w:p w14:paraId="13F458C5">
      <w:pPr>
        <w:keepNext w:val="0"/>
        <w:keepLines w:val="0"/>
        <w:pageBreakBefore w:val="0"/>
        <w:widowControl w:val="0"/>
        <w:numPr>
          <w:ilvl w:val="0"/>
          <w:numId w:val="0"/>
        </w:numPr>
        <w:tabs>
          <w:tab w:val="left" w:pos="1389"/>
        </w:tabs>
        <w:kinsoku/>
        <w:wordWrap/>
        <w:overflowPunct/>
        <w:topLinePunct w:val="0"/>
        <w:autoSpaceDE/>
        <w:autoSpaceDN/>
        <w:bidi w:val="0"/>
        <w:adjustRightInd/>
        <w:snapToGrid/>
        <w:spacing w:line="440" w:lineRule="exact"/>
        <w:ind w:right="0" w:rightChars="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 工程造价：指涉及工程项目成本、费用估算、投标报价、结算以及其他与工程项目成本相关的商业秘密和技术数据。</w:t>
      </w:r>
    </w:p>
    <w:p w14:paraId="00B0048D">
      <w:pPr>
        <w:keepNext w:val="0"/>
        <w:keepLines w:val="0"/>
        <w:pageBreakBefore w:val="0"/>
        <w:widowControl w:val="0"/>
        <w:numPr>
          <w:ilvl w:val="0"/>
          <w:numId w:val="0"/>
        </w:numPr>
        <w:tabs>
          <w:tab w:val="left" w:pos="1389"/>
        </w:tabs>
        <w:kinsoku/>
        <w:wordWrap/>
        <w:overflowPunct/>
        <w:topLinePunct w:val="0"/>
        <w:autoSpaceDE/>
        <w:autoSpaceDN/>
        <w:bidi w:val="0"/>
        <w:adjustRightInd/>
        <w:snapToGrid/>
        <w:spacing w:line="440" w:lineRule="exact"/>
        <w:ind w:right="0" w:rightChars="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 保密信息：指根据本协议确定的任何关于工程造价的机密信息，包括但不限于数据、图纸、报价、合同、商业计划、商业秘密、技术信息以及结算信息等。</w:t>
      </w:r>
    </w:p>
    <w:p w14:paraId="2ACF861A">
      <w:pPr>
        <w:keepNext w:val="0"/>
        <w:keepLines w:val="0"/>
        <w:pageBreakBefore w:val="0"/>
        <w:widowControl w:val="0"/>
        <w:numPr>
          <w:ilvl w:val="0"/>
          <w:numId w:val="0"/>
        </w:numPr>
        <w:tabs>
          <w:tab w:val="left" w:pos="1389"/>
        </w:tabs>
        <w:kinsoku/>
        <w:wordWrap/>
        <w:overflowPunct/>
        <w:topLinePunct w:val="0"/>
        <w:autoSpaceDE/>
        <w:autoSpaceDN/>
        <w:bidi w:val="0"/>
        <w:adjustRightInd/>
        <w:snapToGrid/>
        <w:spacing w:line="440" w:lineRule="exact"/>
        <w:ind w:right="0" w:rightChars="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 披露方：指甲方向乙方披露保密信息的一方。</w:t>
      </w:r>
    </w:p>
    <w:p w14:paraId="57816B44">
      <w:pPr>
        <w:keepNext w:val="0"/>
        <w:keepLines w:val="0"/>
        <w:pageBreakBefore w:val="0"/>
        <w:widowControl w:val="0"/>
        <w:numPr>
          <w:ilvl w:val="0"/>
          <w:numId w:val="0"/>
        </w:numPr>
        <w:tabs>
          <w:tab w:val="left" w:pos="1389"/>
        </w:tabs>
        <w:kinsoku/>
        <w:wordWrap/>
        <w:overflowPunct/>
        <w:topLinePunct w:val="0"/>
        <w:autoSpaceDE/>
        <w:autoSpaceDN/>
        <w:bidi w:val="0"/>
        <w:adjustRightInd/>
        <w:snapToGrid/>
        <w:spacing w:line="440" w:lineRule="exact"/>
        <w:ind w:right="0" w:rightChars="0" w:firstLine="480" w:firstLineChars="200"/>
        <w:rPr>
          <w:rFonts w:hint="eastAsia" w:ascii="Times New Roman" w:hAnsi="Times New Roman" w:eastAsia="楷体" w:cs="Times New Roman"/>
          <w:b/>
          <w:color w:val="auto"/>
          <w:spacing w:val="8"/>
          <w:sz w:val="30"/>
          <w:szCs w:val="30"/>
          <w:lang w:val="en-US" w:eastAsia="zh-CN" w:bidi="ar-SA"/>
        </w:rPr>
      </w:pPr>
      <w:r>
        <w:rPr>
          <w:rFonts w:hint="eastAsia" w:ascii="宋体" w:hAnsi="宋体" w:eastAsia="宋体" w:cs="宋体"/>
          <w:color w:val="auto"/>
          <w:sz w:val="24"/>
          <w:szCs w:val="24"/>
          <w:lang w:val="en-US" w:eastAsia="zh-CN"/>
        </w:rPr>
        <w:t>1.4 接收方：指乙方接收、获取、掌握或了解甲方披露的保密信息的一方。</w:t>
      </w:r>
    </w:p>
    <w:p w14:paraId="523A717A">
      <w:pPr>
        <w:pStyle w:val="57"/>
        <w:keepNext w:val="0"/>
        <w:keepLines w:val="0"/>
        <w:pageBreakBefore w:val="0"/>
        <w:widowControl w:val="0"/>
        <w:tabs>
          <w:tab w:val="left" w:pos="1383"/>
        </w:tabs>
        <w:kinsoku/>
        <w:wordWrap/>
        <w:overflowPunct/>
        <w:topLinePunct w:val="0"/>
        <w:autoSpaceDE/>
        <w:autoSpaceDN/>
        <w:bidi w:val="0"/>
        <w:adjustRightInd/>
        <w:snapToGrid/>
        <w:spacing w:before="0" w:after="0" w:line="440" w:lineRule="exact"/>
        <w:ind w:left="0" w:leftChars="0" w:right="0" w:rightChars="0" w:firstLine="482" w:firstLineChars="200"/>
        <w:jc w:val="left"/>
        <w:rPr>
          <w:rFonts w:hint="eastAsia" w:ascii="Times New Roman" w:hAnsi="Times New Roman" w:eastAsia="楷体" w:cs="Times New Roman"/>
          <w:b/>
          <w:color w:val="auto"/>
          <w:spacing w:val="8"/>
          <w:sz w:val="30"/>
          <w:szCs w:val="30"/>
          <w:lang w:val="en-US" w:eastAsia="zh-CN" w:bidi="ar-SA"/>
        </w:rPr>
      </w:pPr>
      <w:r>
        <w:rPr>
          <w:rFonts w:hint="eastAsia" w:ascii="宋体" w:hAnsi="宋体" w:eastAsia="宋体" w:cs="宋体"/>
          <w:b/>
          <w:color w:val="auto"/>
          <w:szCs w:val="24"/>
          <w:lang w:val="en-US" w:eastAsia="zh-CN"/>
        </w:rPr>
        <w:t>第二条 保密义务</w:t>
      </w:r>
    </w:p>
    <w:p w14:paraId="61065E8C">
      <w:pPr>
        <w:keepNext w:val="0"/>
        <w:keepLines w:val="0"/>
        <w:pageBreakBefore w:val="0"/>
        <w:widowControl w:val="0"/>
        <w:numPr>
          <w:ilvl w:val="0"/>
          <w:numId w:val="0"/>
        </w:numPr>
        <w:tabs>
          <w:tab w:val="left" w:pos="1389"/>
        </w:tabs>
        <w:kinsoku/>
        <w:wordWrap/>
        <w:overflowPunct/>
        <w:topLinePunct w:val="0"/>
        <w:autoSpaceDE/>
        <w:autoSpaceDN/>
        <w:bidi w:val="0"/>
        <w:adjustRightInd/>
        <w:snapToGrid/>
        <w:spacing w:line="440" w:lineRule="exact"/>
        <w:ind w:right="0" w:rightChars="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 乙方保证对甲方的保密信息予以严格保密，未经甲方书面许可，不得泄露或向任何第三方披露、复制、传阅或使用。</w:t>
      </w:r>
    </w:p>
    <w:p w14:paraId="7DE41D54">
      <w:pPr>
        <w:keepNext w:val="0"/>
        <w:keepLines w:val="0"/>
        <w:pageBreakBefore w:val="0"/>
        <w:widowControl w:val="0"/>
        <w:numPr>
          <w:ilvl w:val="0"/>
          <w:numId w:val="0"/>
        </w:numPr>
        <w:tabs>
          <w:tab w:val="left" w:pos="1389"/>
        </w:tabs>
        <w:kinsoku/>
        <w:wordWrap/>
        <w:overflowPunct/>
        <w:topLinePunct w:val="0"/>
        <w:autoSpaceDE/>
        <w:autoSpaceDN/>
        <w:bidi w:val="0"/>
        <w:adjustRightInd/>
        <w:snapToGrid/>
        <w:spacing w:line="440" w:lineRule="exact"/>
        <w:ind w:right="0" w:rightChars="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 乙方应采取必要的措施，以防止保密信息洩露给未获得授权的人员。乙方承诺仅限其需要知悉的雇员和代表参与与工程造价相关的工作，并确保这些人员对保密信息的保密。</w:t>
      </w:r>
    </w:p>
    <w:p w14:paraId="143562BE">
      <w:pPr>
        <w:keepNext w:val="0"/>
        <w:keepLines w:val="0"/>
        <w:pageBreakBefore w:val="0"/>
        <w:widowControl w:val="0"/>
        <w:numPr>
          <w:ilvl w:val="0"/>
          <w:numId w:val="0"/>
        </w:numPr>
        <w:tabs>
          <w:tab w:val="left" w:pos="1389"/>
        </w:tabs>
        <w:kinsoku/>
        <w:wordWrap/>
        <w:overflowPunct/>
        <w:topLinePunct w:val="0"/>
        <w:autoSpaceDE/>
        <w:autoSpaceDN/>
        <w:bidi w:val="0"/>
        <w:adjustRightInd/>
        <w:snapToGrid/>
        <w:spacing w:line="440" w:lineRule="exact"/>
        <w:ind w:right="0" w:rightChars="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2.3 乙方不得利用保密信息谋取不当利益或给甲方造成损害，包括但不限于利用保密信息投标竞争。</w:t>
      </w:r>
    </w:p>
    <w:p w14:paraId="2C0A8116">
      <w:pPr>
        <w:keepNext w:val="0"/>
        <w:keepLines w:val="0"/>
        <w:pageBreakBefore w:val="0"/>
        <w:widowControl w:val="0"/>
        <w:numPr>
          <w:ilvl w:val="0"/>
          <w:numId w:val="0"/>
        </w:numPr>
        <w:tabs>
          <w:tab w:val="left" w:pos="1389"/>
        </w:tabs>
        <w:kinsoku/>
        <w:wordWrap/>
        <w:overflowPunct/>
        <w:topLinePunct w:val="0"/>
        <w:autoSpaceDE/>
        <w:autoSpaceDN/>
        <w:bidi w:val="0"/>
        <w:adjustRightInd/>
        <w:snapToGrid/>
        <w:spacing w:line="440" w:lineRule="exact"/>
        <w:ind w:right="0" w:rightChars="0" w:firstLine="480" w:firstLineChars="200"/>
        <w:rPr>
          <w:rFonts w:hint="eastAsia" w:ascii="Times New Roman" w:hAnsi="Times New Roman" w:eastAsia="楷体" w:cs="Times New Roman"/>
          <w:b/>
          <w:color w:val="auto"/>
          <w:spacing w:val="8"/>
          <w:sz w:val="30"/>
          <w:szCs w:val="30"/>
          <w:lang w:val="en-US" w:eastAsia="zh-CN" w:bidi="ar-SA"/>
        </w:rPr>
      </w:pPr>
      <w:r>
        <w:rPr>
          <w:rFonts w:hint="eastAsia" w:ascii="宋体" w:hAnsi="宋体" w:eastAsia="宋体" w:cs="宋体"/>
          <w:color w:val="auto"/>
          <w:sz w:val="24"/>
          <w:szCs w:val="24"/>
          <w:lang w:val="en-US" w:eastAsia="zh-CN"/>
        </w:rPr>
        <w:t>2.4 乙方应妥善保管所有获取的保密信息，确保其不被盗窃、篡改、损坏或丢失。</w:t>
      </w:r>
    </w:p>
    <w:p w14:paraId="66D466C0">
      <w:pPr>
        <w:pStyle w:val="57"/>
        <w:keepNext w:val="0"/>
        <w:keepLines w:val="0"/>
        <w:pageBreakBefore w:val="0"/>
        <w:widowControl w:val="0"/>
        <w:tabs>
          <w:tab w:val="left" w:pos="1383"/>
        </w:tabs>
        <w:kinsoku/>
        <w:wordWrap/>
        <w:overflowPunct/>
        <w:topLinePunct w:val="0"/>
        <w:autoSpaceDE/>
        <w:autoSpaceDN/>
        <w:bidi w:val="0"/>
        <w:adjustRightInd/>
        <w:snapToGrid/>
        <w:spacing w:before="0" w:after="0" w:line="440" w:lineRule="exact"/>
        <w:ind w:left="0" w:leftChars="0" w:right="0" w:rightChars="0" w:firstLine="482" w:firstLineChars="200"/>
        <w:jc w:val="left"/>
        <w:rPr>
          <w:rFonts w:hint="eastAsia" w:ascii="Times New Roman" w:hAnsi="Times New Roman" w:eastAsia="楷体" w:cs="Times New Roman"/>
          <w:b/>
          <w:color w:val="auto"/>
          <w:spacing w:val="8"/>
          <w:sz w:val="30"/>
          <w:szCs w:val="30"/>
          <w:lang w:val="en-US" w:eastAsia="zh-CN" w:bidi="ar-SA"/>
        </w:rPr>
      </w:pPr>
      <w:r>
        <w:rPr>
          <w:rFonts w:hint="eastAsia" w:ascii="宋体" w:hAnsi="宋体" w:eastAsia="宋体" w:cs="宋体"/>
          <w:b/>
          <w:color w:val="auto"/>
          <w:szCs w:val="24"/>
          <w:lang w:val="en-US" w:eastAsia="zh-CN"/>
        </w:rPr>
        <w:t>第三条 保密期限</w:t>
      </w:r>
    </w:p>
    <w:p w14:paraId="72B79398">
      <w:pPr>
        <w:keepNext w:val="0"/>
        <w:keepLines w:val="0"/>
        <w:pageBreakBefore w:val="0"/>
        <w:widowControl w:val="0"/>
        <w:numPr>
          <w:ilvl w:val="0"/>
          <w:numId w:val="0"/>
        </w:numPr>
        <w:tabs>
          <w:tab w:val="left" w:pos="1389"/>
        </w:tabs>
        <w:kinsoku/>
        <w:wordWrap/>
        <w:overflowPunct/>
        <w:topLinePunct w:val="0"/>
        <w:autoSpaceDE/>
        <w:autoSpaceDN/>
        <w:bidi w:val="0"/>
        <w:adjustRightInd/>
        <w:snapToGrid/>
        <w:spacing w:line="440" w:lineRule="exact"/>
        <w:ind w:right="0" w:rightChars="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 保密期限自协议签署之日起生效，并持续至以下情况发生后终止：</w:t>
      </w:r>
    </w:p>
    <w:p w14:paraId="7F867206">
      <w:pPr>
        <w:keepNext w:val="0"/>
        <w:keepLines w:val="0"/>
        <w:pageBreakBefore w:val="0"/>
        <w:widowControl w:val="0"/>
        <w:numPr>
          <w:ilvl w:val="0"/>
          <w:numId w:val="0"/>
        </w:numPr>
        <w:tabs>
          <w:tab w:val="left" w:pos="1389"/>
        </w:tabs>
        <w:kinsoku/>
        <w:wordWrap/>
        <w:overflowPunct/>
        <w:topLinePunct w:val="0"/>
        <w:autoSpaceDE/>
        <w:autoSpaceDN/>
        <w:bidi w:val="0"/>
        <w:adjustRightInd/>
        <w:snapToGrid/>
        <w:spacing w:line="440" w:lineRule="exact"/>
        <w:ind w:right="0" w:rightChars="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 经甲方书面同意解除保密义务；</w:t>
      </w:r>
    </w:p>
    <w:p w14:paraId="6EFC825B">
      <w:pPr>
        <w:keepNext w:val="0"/>
        <w:keepLines w:val="0"/>
        <w:pageBreakBefore w:val="0"/>
        <w:widowControl w:val="0"/>
        <w:numPr>
          <w:ilvl w:val="0"/>
          <w:numId w:val="0"/>
        </w:numPr>
        <w:tabs>
          <w:tab w:val="left" w:pos="1389"/>
        </w:tabs>
        <w:kinsoku/>
        <w:wordWrap/>
        <w:overflowPunct/>
        <w:topLinePunct w:val="0"/>
        <w:autoSpaceDE/>
        <w:autoSpaceDN/>
        <w:bidi w:val="0"/>
        <w:adjustRightInd/>
        <w:snapToGrid/>
        <w:spacing w:line="440" w:lineRule="exact"/>
        <w:ind w:right="0" w:rightChars="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 保密信息进入公共领域，未由乙方违约行为导致；</w:t>
      </w:r>
    </w:p>
    <w:p w14:paraId="6A87FDBE">
      <w:pPr>
        <w:keepNext w:val="0"/>
        <w:keepLines w:val="0"/>
        <w:pageBreakBefore w:val="0"/>
        <w:widowControl w:val="0"/>
        <w:numPr>
          <w:ilvl w:val="0"/>
          <w:numId w:val="0"/>
        </w:numPr>
        <w:tabs>
          <w:tab w:val="left" w:pos="1389"/>
        </w:tabs>
        <w:kinsoku/>
        <w:wordWrap/>
        <w:overflowPunct/>
        <w:topLinePunct w:val="0"/>
        <w:autoSpaceDE/>
        <w:autoSpaceDN/>
        <w:bidi w:val="0"/>
        <w:adjustRightInd/>
        <w:snapToGrid/>
        <w:spacing w:line="440" w:lineRule="exact"/>
        <w:ind w:right="0" w:rightChars="0" w:firstLine="480" w:firstLineChars="200"/>
        <w:rPr>
          <w:rFonts w:hint="eastAsia" w:ascii="Times New Roman" w:hAnsi="Times New Roman" w:eastAsia="楷体" w:cs="Times New Roman"/>
          <w:b/>
          <w:color w:val="auto"/>
          <w:spacing w:val="8"/>
          <w:sz w:val="30"/>
          <w:szCs w:val="30"/>
          <w:lang w:val="en-US" w:eastAsia="zh-CN" w:bidi="ar-SA"/>
        </w:rPr>
      </w:pPr>
      <w:r>
        <w:rPr>
          <w:rFonts w:hint="eastAsia" w:ascii="宋体" w:hAnsi="宋体" w:eastAsia="宋体" w:cs="宋体"/>
          <w:color w:val="auto"/>
          <w:sz w:val="24"/>
          <w:szCs w:val="24"/>
          <w:lang w:val="en-US" w:eastAsia="zh-CN"/>
        </w:rPr>
        <w:t>(3) 法律或行政法规要求披露保密信息的情况下，乙方经甲方书面同意披露；</w:t>
      </w:r>
    </w:p>
    <w:p w14:paraId="4EA74629">
      <w:pPr>
        <w:keepNext w:val="0"/>
        <w:keepLines w:val="0"/>
        <w:pageBreakBefore w:val="0"/>
        <w:widowControl w:val="0"/>
        <w:numPr>
          <w:ilvl w:val="0"/>
          <w:numId w:val="0"/>
        </w:numPr>
        <w:tabs>
          <w:tab w:val="left" w:pos="1389"/>
        </w:tabs>
        <w:kinsoku/>
        <w:wordWrap/>
        <w:overflowPunct/>
        <w:topLinePunct w:val="0"/>
        <w:autoSpaceDE/>
        <w:autoSpaceDN/>
        <w:bidi w:val="0"/>
        <w:adjustRightInd/>
        <w:snapToGrid/>
        <w:spacing w:line="440" w:lineRule="exact"/>
        <w:ind w:right="0" w:rightChars="0" w:firstLine="480" w:firstLineChars="200"/>
        <w:rPr>
          <w:rFonts w:hint="eastAsia" w:ascii="Times New Roman" w:hAnsi="Times New Roman" w:eastAsia="楷体" w:cs="Times New Roman"/>
          <w:b/>
          <w:color w:val="auto"/>
          <w:spacing w:val="8"/>
          <w:sz w:val="30"/>
          <w:szCs w:val="30"/>
          <w:lang w:val="en-US" w:eastAsia="zh-CN" w:bidi="ar-SA"/>
        </w:rPr>
      </w:pPr>
      <w:r>
        <w:rPr>
          <w:rFonts w:hint="eastAsia" w:ascii="宋体" w:hAnsi="宋体" w:eastAsia="宋体" w:cs="宋体"/>
          <w:color w:val="auto"/>
          <w:sz w:val="24"/>
          <w:szCs w:val="24"/>
          <w:lang w:val="en-US" w:eastAsia="zh-CN"/>
        </w:rPr>
        <w:t>(4) 根据本协议约定的情况终止。</w:t>
      </w:r>
    </w:p>
    <w:p w14:paraId="3DECCDB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 保密期限的终止不影响双方的其他约定继续有效。</w:t>
      </w:r>
    </w:p>
    <w:p w14:paraId="0B4E0B5F">
      <w:pPr>
        <w:pStyle w:val="57"/>
        <w:keepNext w:val="0"/>
        <w:keepLines w:val="0"/>
        <w:pageBreakBefore w:val="0"/>
        <w:widowControl w:val="0"/>
        <w:tabs>
          <w:tab w:val="left" w:pos="1383"/>
        </w:tabs>
        <w:kinsoku/>
        <w:wordWrap/>
        <w:overflowPunct/>
        <w:topLinePunct w:val="0"/>
        <w:autoSpaceDE/>
        <w:autoSpaceDN/>
        <w:bidi w:val="0"/>
        <w:adjustRightInd/>
        <w:snapToGrid/>
        <w:spacing w:before="0" w:after="0" w:line="440" w:lineRule="exact"/>
        <w:ind w:left="0" w:leftChars="0" w:right="0" w:rightChars="0" w:firstLine="482" w:firstLineChars="200"/>
        <w:jc w:val="left"/>
        <w:rPr>
          <w:rFonts w:hint="eastAsia" w:ascii="宋体" w:hAnsi="宋体" w:eastAsia="宋体" w:cs="宋体"/>
          <w:b/>
          <w:color w:val="auto"/>
          <w:szCs w:val="24"/>
          <w:lang w:val="en-US" w:eastAsia="zh-CN"/>
        </w:rPr>
      </w:pPr>
      <w:r>
        <w:rPr>
          <w:rFonts w:hint="eastAsia" w:ascii="宋体" w:hAnsi="宋体" w:eastAsia="宋体" w:cs="宋体"/>
          <w:b/>
          <w:color w:val="auto"/>
          <w:szCs w:val="24"/>
          <w:lang w:val="en-US" w:eastAsia="zh-CN"/>
        </w:rPr>
        <w:t>第四条 违约责任</w:t>
      </w:r>
    </w:p>
    <w:p w14:paraId="0888A7BB">
      <w:pPr>
        <w:keepNext w:val="0"/>
        <w:keepLines w:val="0"/>
        <w:pageBreakBefore w:val="0"/>
        <w:widowControl w:val="0"/>
        <w:numPr>
          <w:ilvl w:val="0"/>
          <w:numId w:val="0"/>
        </w:numPr>
        <w:tabs>
          <w:tab w:val="left" w:pos="1389"/>
        </w:tabs>
        <w:kinsoku/>
        <w:wordWrap/>
        <w:overflowPunct/>
        <w:topLinePunct w:val="0"/>
        <w:autoSpaceDE/>
        <w:autoSpaceDN/>
        <w:bidi w:val="0"/>
        <w:adjustRightInd/>
        <w:snapToGrid/>
        <w:spacing w:line="440" w:lineRule="exact"/>
        <w:ind w:right="0" w:rightChars="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 乙方违反本协议的保密义务，甲方有权采取合理的措施维护其合法权益，包括但不限于要求乙方承担相应的经济赔偿责任。</w:t>
      </w:r>
    </w:p>
    <w:p w14:paraId="7F9E51B1">
      <w:pPr>
        <w:keepNext w:val="0"/>
        <w:keepLines w:val="0"/>
        <w:pageBreakBefore w:val="0"/>
        <w:widowControl w:val="0"/>
        <w:numPr>
          <w:ilvl w:val="0"/>
          <w:numId w:val="0"/>
        </w:numPr>
        <w:tabs>
          <w:tab w:val="left" w:pos="1389"/>
        </w:tabs>
        <w:kinsoku/>
        <w:wordWrap/>
        <w:overflowPunct/>
        <w:topLinePunct w:val="0"/>
        <w:autoSpaceDE/>
        <w:autoSpaceDN/>
        <w:bidi w:val="0"/>
        <w:adjustRightInd/>
        <w:snapToGrid/>
        <w:spacing w:line="440" w:lineRule="exact"/>
        <w:ind w:right="0" w:rightChars="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 乙方承诺，如因其违反本协议而给甲方造成财政上的的损失，乙方将承担全部赔偿责任，并承担相应的民事或刑事责任。</w:t>
      </w:r>
    </w:p>
    <w:p w14:paraId="5D936DFD">
      <w:pPr>
        <w:pStyle w:val="57"/>
        <w:keepNext w:val="0"/>
        <w:keepLines w:val="0"/>
        <w:pageBreakBefore w:val="0"/>
        <w:widowControl w:val="0"/>
        <w:tabs>
          <w:tab w:val="left" w:pos="1383"/>
        </w:tabs>
        <w:kinsoku/>
        <w:wordWrap/>
        <w:overflowPunct/>
        <w:topLinePunct w:val="0"/>
        <w:autoSpaceDE/>
        <w:autoSpaceDN/>
        <w:bidi w:val="0"/>
        <w:adjustRightInd/>
        <w:snapToGrid/>
        <w:spacing w:before="0" w:after="0" w:line="440" w:lineRule="exact"/>
        <w:ind w:left="0" w:leftChars="0" w:right="0" w:rightChars="0" w:firstLine="482" w:firstLineChars="200"/>
        <w:jc w:val="left"/>
        <w:rPr>
          <w:rFonts w:hint="eastAsia" w:ascii="宋体" w:hAnsi="宋体" w:eastAsia="宋体" w:cs="宋体"/>
          <w:b/>
          <w:color w:val="auto"/>
          <w:szCs w:val="24"/>
          <w:lang w:val="en-US" w:eastAsia="zh-CN"/>
        </w:rPr>
      </w:pPr>
      <w:r>
        <w:rPr>
          <w:rFonts w:hint="eastAsia" w:ascii="宋体" w:hAnsi="宋体" w:eastAsia="宋体" w:cs="宋体"/>
          <w:b/>
          <w:color w:val="auto"/>
          <w:szCs w:val="24"/>
          <w:lang w:val="en-US" w:eastAsia="zh-CN"/>
        </w:rPr>
        <w:t>第五条 附加条款</w:t>
      </w:r>
    </w:p>
    <w:p w14:paraId="79497226">
      <w:pPr>
        <w:keepNext w:val="0"/>
        <w:keepLines w:val="0"/>
        <w:pageBreakBefore w:val="0"/>
        <w:widowControl w:val="0"/>
        <w:numPr>
          <w:ilvl w:val="0"/>
          <w:numId w:val="0"/>
        </w:numPr>
        <w:tabs>
          <w:tab w:val="left" w:pos="1389"/>
        </w:tabs>
        <w:kinsoku/>
        <w:wordWrap/>
        <w:overflowPunct/>
        <w:topLinePunct w:val="0"/>
        <w:autoSpaceDE/>
        <w:autoSpaceDN/>
        <w:bidi w:val="0"/>
        <w:adjustRightInd/>
        <w:snapToGrid/>
        <w:spacing w:line="440" w:lineRule="exact"/>
        <w:ind w:right="0" w:rightChars="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5.1 本协议的任何修改、补充均需以书面形式经双方协商一致后生效。</w:t>
      </w:r>
    </w:p>
    <w:p w14:paraId="176913A6">
      <w:pPr>
        <w:keepNext w:val="0"/>
        <w:keepLines w:val="0"/>
        <w:pageBreakBefore w:val="0"/>
        <w:widowControl w:val="0"/>
        <w:numPr>
          <w:ilvl w:val="0"/>
          <w:numId w:val="0"/>
        </w:numPr>
        <w:tabs>
          <w:tab w:val="left" w:pos="1389"/>
        </w:tabs>
        <w:kinsoku/>
        <w:wordWrap/>
        <w:overflowPunct/>
        <w:topLinePunct w:val="0"/>
        <w:autoSpaceDE/>
        <w:autoSpaceDN/>
        <w:bidi w:val="0"/>
        <w:adjustRightInd/>
        <w:snapToGrid/>
        <w:spacing w:line="440" w:lineRule="exact"/>
        <w:ind w:right="0" w:rightChars="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5.2 本协议的成立、生效、解释和履行均适用中华人民共和国法律，并受中华人民共和国法院的管辖。</w:t>
      </w:r>
    </w:p>
    <w:p w14:paraId="6665635B">
      <w:pPr>
        <w:keepNext w:val="0"/>
        <w:keepLines w:val="0"/>
        <w:pageBreakBefore w:val="0"/>
        <w:widowControl w:val="0"/>
        <w:numPr>
          <w:ilvl w:val="0"/>
          <w:numId w:val="0"/>
        </w:numPr>
        <w:tabs>
          <w:tab w:val="left" w:pos="1389"/>
        </w:tabs>
        <w:kinsoku/>
        <w:wordWrap/>
        <w:overflowPunct/>
        <w:topLinePunct w:val="0"/>
        <w:autoSpaceDE/>
        <w:autoSpaceDN/>
        <w:bidi w:val="0"/>
        <w:adjustRightInd/>
        <w:snapToGrid/>
        <w:spacing w:line="440" w:lineRule="exact"/>
        <w:ind w:right="0" w:rightChars="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5.3 本协议自甲方签署后立即生效，一式两份，甲乙双方各执一份。</w:t>
      </w:r>
    </w:p>
    <w:p w14:paraId="3501F81C">
      <w:pPr>
        <w:keepNext w:val="0"/>
        <w:keepLines w:val="0"/>
        <w:pageBreakBefore w:val="0"/>
        <w:widowControl w:val="0"/>
        <w:numPr>
          <w:ilvl w:val="0"/>
          <w:numId w:val="0"/>
        </w:numPr>
        <w:tabs>
          <w:tab w:val="left" w:pos="1389"/>
        </w:tabs>
        <w:kinsoku/>
        <w:wordWrap/>
        <w:overflowPunct/>
        <w:topLinePunct w:val="0"/>
        <w:autoSpaceDE/>
        <w:autoSpaceDN/>
        <w:bidi w:val="0"/>
        <w:adjustRightInd/>
        <w:snapToGrid/>
        <w:spacing w:line="440" w:lineRule="exact"/>
        <w:ind w:right="0" w:rightChars="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5.4 协议双方因本协议履行所发生的争议应通过友好协商解决。协商不成时，任何一方均可向有管辖权的法院提起诉讼。</w:t>
      </w:r>
    </w:p>
    <w:p w14:paraId="7A19D364">
      <w:pPr>
        <w:keepNext w:val="0"/>
        <w:keepLines w:val="0"/>
        <w:pageBreakBefore w:val="0"/>
        <w:widowControl w:val="0"/>
        <w:numPr>
          <w:ilvl w:val="0"/>
          <w:numId w:val="0"/>
        </w:numPr>
        <w:tabs>
          <w:tab w:val="left" w:pos="1389"/>
        </w:tabs>
        <w:kinsoku/>
        <w:wordWrap/>
        <w:overflowPunct/>
        <w:topLinePunct w:val="0"/>
        <w:autoSpaceDE/>
        <w:autoSpaceDN/>
        <w:bidi w:val="0"/>
        <w:adjustRightInd/>
        <w:snapToGrid/>
        <w:spacing w:line="440" w:lineRule="exact"/>
        <w:ind w:right="0" w:rightChars="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5.5 本协议自签署之日起生效，有效期</w:t>
      </w:r>
      <w:r>
        <w:rPr>
          <w:rFonts w:hint="eastAsia" w:ascii="宋体" w:hAnsi="宋体" w:cs="宋体"/>
          <w:color w:val="auto"/>
          <w:sz w:val="24"/>
          <w:szCs w:val="24"/>
          <w:lang w:val="en-US" w:eastAsia="zh-CN"/>
        </w:rPr>
        <w:t>两</w:t>
      </w:r>
      <w:r>
        <w:rPr>
          <w:rFonts w:hint="eastAsia" w:ascii="宋体" w:hAnsi="宋体" w:eastAsia="宋体" w:cs="宋体"/>
          <w:color w:val="auto"/>
          <w:sz w:val="24"/>
          <w:szCs w:val="24"/>
          <w:lang w:val="en-US" w:eastAsia="zh-CN"/>
        </w:rPr>
        <w:t>年。</w:t>
      </w:r>
    </w:p>
    <w:p w14:paraId="496C2610">
      <w:pPr>
        <w:keepNext w:val="0"/>
        <w:keepLines w:val="0"/>
        <w:pageBreakBefore w:val="0"/>
        <w:widowControl w:val="0"/>
        <w:numPr>
          <w:ilvl w:val="0"/>
          <w:numId w:val="0"/>
        </w:numPr>
        <w:tabs>
          <w:tab w:val="left" w:pos="1389"/>
        </w:tabs>
        <w:kinsoku/>
        <w:wordWrap/>
        <w:overflowPunct/>
        <w:topLinePunct w:val="0"/>
        <w:autoSpaceDE/>
        <w:autoSpaceDN/>
        <w:bidi w:val="0"/>
        <w:adjustRightInd/>
        <w:snapToGrid/>
        <w:spacing w:line="440" w:lineRule="exact"/>
        <w:ind w:right="0" w:rightChars="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5.6 本协议一经签署即取代双方之前的一切口头或书面约定和谈判。</w:t>
      </w:r>
    </w:p>
    <w:p w14:paraId="0D7404D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34" w:firstLineChars="200"/>
        <w:rPr>
          <w:rFonts w:hint="eastAsia" w:ascii="Times New Roman" w:hAnsi="Times New Roman" w:eastAsia="楷体" w:cs="Times New Roman"/>
          <w:b/>
          <w:color w:val="auto"/>
          <w:spacing w:val="8"/>
          <w:sz w:val="30"/>
          <w:szCs w:val="30"/>
          <w:lang w:val="en-US" w:eastAsia="zh-CN" w:bidi="ar-SA"/>
        </w:rPr>
      </w:pPr>
    </w:p>
    <w:p w14:paraId="200F132E">
      <w:pPr>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本合同于</w:t>
      </w:r>
      <w:r>
        <w:rPr>
          <w:rFonts w:hint="eastAsia" w:ascii="宋体" w:hAnsi="宋体" w:eastAsia="宋体" w:cs="宋体"/>
          <w:color w:val="auto"/>
          <w:sz w:val="24"/>
          <w:szCs w:val="24"/>
          <w:lang w:val="en-US" w:eastAsia="zh-CN"/>
        </w:rPr>
        <w:t>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日由上述甲、乙双方（授权代表）签署。</w:t>
      </w:r>
    </w:p>
    <w:p w14:paraId="3EE7622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rPr>
          <w:rFonts w:hint="eastAsia" w:ascii="宋体" w:hAnsi="宋体" w:eastAsia="宋体" w:cs="宋体"/>
          <w:color w:val="auto"/>
          <w:sz w:val="24"/>
          <w:szCs w:val="24"/>
        </w:rPr>
      </w:pPr>
    </w:p>
    <w:p w14:paraId="22C42BF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甲方盖章：                              乙方盖章：</w:t>
      </w:r>
    </w:p>
    <w:p w14:paraId="6C2EE12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rPr>
          <w:rFonts w:hint="eastAsia" w:ascii="宋体" w:hAnsi="宋体" w:eastAsia="宋体" w:cs="宋体"/>
          <w:color w:val="auto"/>
          <w:sz w:val="24"/>
          <w:szCs w:val="24"/>
        </w:rPr>
      </w:pPr>
    </w:p>
    <w:p w14:paraId="73FCFAC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代表签字：                              代表签字：</w:t>
      </w:r>
    </w:p>
    <w:p w14:paraId="15B56FF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                           年   月   日</w:t>
      </w:r>
    </w:p>
    <w:p w14:paraId="0C853CF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rPr>
          <w:rFonts w:hint="eastAsia" w:ascii="宋体" w:hAnsi="宋体" w:eastAsia="宋体" w:cs="宋体"/>
          <w:color w:val="auto"/>
          <w:sz w:val="24"/>
          <w:szCs w:val="24"/>
        </w:rPr>
      </w:pPr>
    </w:p>
    <w:p w14:paraId="756498E6">
      <w:pPr>
        <w:keepNext w:val="0"/>
        <w:keepLines w:val="0"/>
        <w:pageBreakBefore w:val="0"/>
        <w:widowControl w:val="0"/>
        <w:kinsoku/>
        <w:wordWrap/>
        <w:overflowPunct/>
        <w:topLinePunct w:val="0"/>
        <w:autoSpaceDE/>
        <w:autoSpaceDN/>
        <w:bidi w:val="0"/>
        <w:adjustRightInd/>
        <w:snapToGrid/>
        <w:ind w:left="0" w:leftChars="0" w:right="0" w:rightChars="0" w:firstLine="400" w:firstLineChars="200"/>
        <w:rPr>
          <w:rFonts w:hint="eastAsia" w:ascii="宋体" w:hAnsi="宋体" w:eastAsia="宋体" w:cs="宋体"/>
          <w:color w:val="auto"/>
        </w:rPr>
        <w:sectPr>
          <w:pgSz w:w="11905" w:h="16838"/>
          <w:pgMar w:top="1383" w:right="1293" w:bottom="1383" w:left="1463" w:header="794" w:footer="794" w:gutter="0"/>
          <w:cols w:space="0" w:num="1"/>
          <w:titlePg/>
          <w:rtlGutter w:val="0"/>
          <w:docGrid w:type="lines" w:linePitch="313" w:charSpace="0"/>
        </w:sectPr>
      </w:pPr>
    </w:p>
    <w:p w14:paraId="7AD62812">
      <w:pPr>
        <w:spacing w:line="480" w:lineRule="exact"/>
        <w:jc w:val="center"/>
        <w:rPr>
          <w:rFonts w:ascii="Times New Roman" w:hAnsi="Times New Roman" w:eastAsia="楷体" w:cs="Times New Roman"/>
          <w:b/>
          <w:color w:val="auto"/>
          <w:spacing w:val="8"/>
          <w:sz w:val="30"/>
          <w:szCs w:val="30"/>
          <w:lang w:val="en-US" w:eastAsia="zh-CN" w:bidi="ar-SA"/>
        </w:rPr>
      </w:pPr>
      <w:bookmarkStart w:id="15" w:name="_bookmark5"/>
      <w:bookmarkEnd w:id="15"/>
      <w:bookmarkStart w:id="16" w:name="_Toc25852"/>
      <w:r>
        <w:rPr>
          <w:rFonts w:ascii="Times New Roman" w:hAnsi="Times New Roman" w:eastAsia="楷体" w:cs="Times New Roman"/>
          <w:b/>
          <w:color w:val="auto"/>
          <w:spacing w:val="8"/>
          <w:sz w:val="30"/>
          <w:szCs w:val="30"/>
          <w:lang w:val="en-US" w:eastAsia="zh-CN" w:bidi="ar-SA"/>
        </w:rPr>
        <w:t xml:space="preserve">第六部分  </w:t>
      </w:r>
      <w:r>
        <w:rPr>
          <w:rFonts w:ascii="Times New Roman" w:hAnsi="Times New Roman" w:eastAsia="楷体" w:cs="Times New Roman"/>
          <w:b/>
          <w:color w:val="auto"/>
          <w:spacing w:val="8"/>
          <w:sz w:val="30"/>
          <w:szCs w:val="30"/>
          <w:lang w:val="en-US" w:eastAsia="zh-CN" w:bidi="ar-SA"/>
        </w:rPr>
        <w:tab/>
      </w:r>
      <w:r>
        <w:rPr>
          <w:rFonts w:ascii="Times New Roman" w:hAnsi="Times New Roman" w:eastAsia="楷体" w:cs="Times New Roman"/>
          <w:b/>
          <w:color w:val="auto"/>
          <w:spacing w:val="8"/>
          <w:sz w:val="30"/>
          <w:szCs w:val="30"/>
          <w:lang w:val="en-US" w:eastAsia="zh-CN" w:bidi="ar-SA"/>
        </w:rPr>
        <w:t>采购合同（格式）</w:t>
      </w:r>
      <w:bookmarkEnd w:id="16"/>
    </w:p>
    <w:p w14:paraId="3F5C6E68">
      <w:pPr>
        <w:keepNext w:val="0"/>
        <w:keepLines w:val="0"/>
        <w:pageBreakBefore w:val="0"/>
        <w:widowControl w:val="0"/>
        <w:kinsoku/>
        <w:wordWrap/>
        <w:overflowPunct/>
        <w:topLinePunct w:val="0"/>
        <w:autoSpaceDE/>
        <w:autoSpaceDN/>
        <w:bidi w:val="0"/>
        <w:adjustRightInd/>
        <w:snapToGrid/>
        <w:spacing w:before="158" w:beforeLines="50" w:after="158" w:afterLines="50" w:line="240" w:lineRule="auto"/>
        <w:ind w:right="0"/>
        <w:jc w:val="center"/>
        <w:rPr>
          <w:rFonts w:hint="eastAsia" w:ascii="宋体" w:hAnsi="宋体" w:eastAsia="宋体" w:cs="宋体"/>
          <w:color w:val="auto"/>
          <w:sz w:val="24"/>
          <w:szCs w:val="24"/>
        </w:rPr>
      </w:pPr>
      <w:r>
        <w:rPr>
          <w:rFonts w:hint="eastAsia" w:ascii="宋体" w:hAnsi="宋体" w:eastAsia="宋体" w:cs="宋体"/>
          <w:color w:val="auto"/>
          <w:sz w:val="24"/>
          <w:szCs w:val="24"/>
          <w:u w:val="single"/>
        </w:rPr>
        <w:t>（项目名称及编号）</w:t>
      </w:r>
      <w:r>
        <w:rPr>
          <w:rFonts w:hint="eastAsia" w:ascii="宋体" w:hAnsi="宋体" w:eastAsia="宋体" w:cs="宋体"/>
          <w:color w:val="auto"/>
          <w:sz w:val="24"/>
          <w:szCs w:val="24"/>
        </w:rPr>
        <w:t>项目评审服务合同</w:t>
      </w:r>
    </w:p>
    <w:p w14:paraId="6B7498A8">
      <w:pPr>
        <w:keepNext w:val="0"/>
        <w:keepLines w:val="0"/>
        <w:pageBreakBefore w:val="0"/>
        <w:widowControl w:val="0"/>
        <w:tabs>
          <w:tab w:val="left" w:pos="4674"/>
        </w:tabs>
        <w:kinsoku/>
        <w:wordWrap/>
        <w:overflowPunct/>
        <w:topLinePunct w:val="0"/>
        <w:autoSpaceDE/>
        <w:autoSpaceDN/>
        <w:bidi w:val="0"/>
        <w:adjustRightInd/>
        <w:snapToGrid/>
        <w:spacing w:line="440" w:lineRule="exact"/>
        <w:ind w:right="0" w:firstLine="480" w:firstLineChars="200"/>
        <w:rPr>
          <w:rFonts w:hint="eastAsia" w:ascii="宋体" w:hAnsi="宋体" w:eastAsia="宋体" w:cs="宋体"/>
          <w:color w:val="auto"/>
          <w:sz w:val="24"/>
          <w:szCs w:val="24"/>
        </w:rPr>
      </w:pPr>
    </w:p>
    <w:p w14:paraId="5C2F95C3">
      <w:pPr>
        <w:keepNext w:val="0"/>
        <w:keepLines w:val="0"/>
        <w:pageBreakBefore w:val="0"/>
        <w:widowControl w:val="0"/>
        <w:tabs>
          <w:tab w:val="left" w:pos="4674"/>
        </w:tabs>
        <w:kinsoku/>
        <w:wordWrap/>
        <w:overflowPunct/>
        <w:topLinePunct w:val="0"/>
        <w:autoSpaceDE/>
        <w:autoSpaceDN/>
        <w:bidi w:val="0"/>
        <w:adjustRightInd/>
        <w:snapToGrid/>
        <w:spacing w:line="440" w:lineRule="exact"/>
        <w:ind w:righ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合同编号：</w:t>
      </w:r>
    </w:p>
    <w:p w14:paraId="46BCBDD0">
      <w:pPr>
        <w:keepNext w:val="0"/>
        <w:keepLines w:val="0"/>
        <w:pageBreakBefore w:val="0"/>
        <w:widowControl w:val="0"/>
        <w:tabs>
          <w:tab w:val="left" w:pos="4674"/>
        </w:tabs>
        <w:kinsoku/>
        <w:wordWrap/>
        <w:overflowPunct/>
        <w:topLinePunct w:val="0"/>
        <w:autoSpaceDE/>
        <w:autoSpaceDN/>
        <w:bidi w:val="0"/>
        <w:adjustRightInd/>
        <w:snapToGrid/>
        <w:spacing w:line="440" w:lineRule="exact"/>
        <w:ind w:righ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采购人（甲方）</w:t>
      </w:r>
      <w:r>
        <w:rPr>
          <w:rFonts w:hint="eastAsia" w:ascii="宋体" w:hAnsi="宋体" w:eastAsia="宋体" w:cs="宋体"/>
          <w:color w:val="auto"/>
          <w:sz w:val="24"/>
          <w:szCs w:val="24"/>
          <w:u w:val="single"/>
          <w:lang w:eastAsia="zh-CN"/>
        </w:rPr>
        <w:t>巩留县财政局</w:t>
      </w:r>
      <w:r>
        <w:rPr>
          <w:rFonts w:hint="eastAsia" w:ascii="宋体" w:hAnsi="宋体" w:eastAsia="宋体" w:cs="宋体"/>
          <w:color w:val="auto"/>
          <w:sz w:val="24"/>
          <w:szCs w:val="24"/>
          <w:u w:val="single"/>
        </w:rPr>
        <w:tab/>
      </w:r>
    </w:p>
    <w:p w14:paraId="146E8766">
      <w:pPr>
        <w:keepNext w:val="0"/>
        <w:keepLines w:val="0"/>
        <w:pageBreakBefore w:val="0"/>
        <w:widowControl w:val="0"/>
        <w:tabs>
          <w:tab w:val="left" w:pos="4674"/>
        </w:tabs>
        <w:kinsoku/>
        <w:wordWrap/>
        <w:overflowPunct/>
        <w:topLinePunct w:val="0"/>
        <w:autoSpaceDE/>
        <w:autoSpaceDN/>
        <w:bidi w:val="0"/>
        <w:adjustRightInd/>
        <w:snapToGrid/>
        <w:spacing w:line="440" w:lineRule="exact"/>
        <w:ind w:right="0" w:firstLine="476" w:firstLineChars="200"/>
        <w:rPr>
          <w:rFonts w:hint="eastAsia" w:ascii="宋体" w:hAnsi="宋体" w:eastAsia="宋体" w:cs="宋体"/>
          <w:color w:val="auto"/>
          <w:sz w:val="24"/>
          <w:szCs w:val="24"/>
          <w:u w:val="single"/>
        </w:rPr>
      </w:pPr>
      <w:r>
        <w:rPr>
          <w:rFonts w:hint="eastAsia" w:ascii="宋体" w:hAnsi="宋体" w:eastAsia="宋体" w:cs="宋体"/>
          <w:color w:val="auto"/>
          <w:spacing w:val="-1"/>
          <w:sz w:val="24"/>
          <w:szCs w:val="24"/>
        </w:rPr>
        <w:t>成</w:t>
      </w:r>
      <w:r>
        <w:rPr>
          <w:rFonts w:hint="eastAsia" w:ascii="宋体" w:hAnsi="宋体" w:eastAsia="宋体" w:cs="宋体"/>
          <w:color w:val="auto"/>
          <w:sz w:val="24"/>
          <w:szCs w:val="24"/>
        </w:rPr>
        <w:t>交供应商（乙方）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p w14:paraId="24847DD2">
      <w:pPr>
        <w:keepNext w:val="0"/>
        <w:keepLines w:val="0"/>
        <w:pageBreakBefore w:val="0"/>
        <w:widowControl w:val="0"/>
        <w:tabs>
          <w:tab w:val="left" w:pos="4674"/>
        </w:tabs>
        <w:kinsoku/>
        <w:wordWrap/>
        <w:overflowPunct/>
        <w:topLinePunct w:val="0"/>
        <w:autoSpaceDE/>
        <w:autoSpaceDN/>
        <w:bidi w:val="0"/>
        <w:adjustRightInd/>
        <w:snapToGrid/>
        <w:spacing w:line="440" w:lineRule="exact"/>
        <w:ind w:right="0" w:firstLine="480" w:firstLineChars="200"/>
        <w:rPr>
          <w:rFonts w:hint="eastAsia" w:ascii="宋体" w:hAnsi="宋体" w:eastAsia="宋体" w:cs="宋体"/>
          <w:color w:val="auto"/>
          <w:spacing w:val="-1"/>
          <w:sz w:val="24"/>
          <w:szCs w:val="24"/>
          <w:u w:val="single"/>
        </w:rPr>
      </w:pPr>
      <w:r>
        <w:rPr>
          <w:rFonts w:hint="eastAsia" w:ascii="宋体" w:hAnsi="宋体" w:eastAsia="宋体" w:cs="宋体"/>
          <w:color w:val="auto"/>
          <w:sz w:val="24"/>
          <w:szCs w:val="24"/>
        </w:rPr>
        <w:t xml:space="preserve">签订地点 </w:t>
      </w:r>
      <w:r>
        <w:rPr>
          <w:rFonts w:hint="eastAsia" w:ascii="宋体" w:hAnsi="宋体" w:eastAsia="宋体" w:cs="宋体"/>
          <w:color w:val="auto"/>
          <w:spacing w:val="-1"/>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1"/>
          <w:sz w:val="24"/>
          <w:szCs w:val="24"/>
          <w:u w:val="single"/>
        </w:rPr>
        <w:t xml:space="preserve"> </w:t>
      </w:r>
    </w:p>
    <w:p w14:paraId="7818A2B5">
      <w:pPr>
        <w:keepNext w:val="0"/>
        <w:keepLines w:val="0"/>
        <w:pageBreakBefore w:val="0"/>
        <w:widowControl w:val="0"/>
        <w:tabs>
          <w:tab w:val="left" w:pos="4674"/>
        </w:tabs>
        <w:kinsoku/>
        <w:wordWrap/>
        <w:overflowPunct/>
        <w:topLinePunct w:val="0"/>
        <w:autoSpaceDE/>
        <w:autoSpaceDN/>
        <w:bidi w:val="0"/>
        <w:adjustRightInd/>
        <w:snapToGrid/>
        <w:spacing w:line="440" w:lineRule="exact"/>
        <w:ind w:right="0" w:firstLine="476" w:firstLineChars="200"/>
        <w:rPr>
          <w:rFonts w:eastAsia="楷体"/>
          <w:color w:val="auto"/>
          <w:sz w:val="24"/>
          <w:szCs w:val="24"/>
        </w:rPr>
      </w:pPr>
      <w:r>
        <w:rPr>
          <w:rFonts w:hint="eastAsia" w:ascii="宋体" w:hAnsi="宋体" w:eastAsia="宋体" w:cs="宋体"/>
          <w:color w:val="auto"/>
          <w:spacing w:val="-1"/>
          <w:sz w:val="24"/>
          <w:szCs w:val="24"/>
        </w:rPr>
        <w:t>签</w:t>
      </w:r>
      <w:r>
        <w:rPr>
          <w:rFonts w:hint="eastAsia" w:ascii="宋体" w:hAnsi="宋体" w:eastAsia="宋体" w:cs="宋体"/>
          <w:color w:val="auto"/>
          <w:sz w:val="24"/>
          <w:szCs w:val="24"/>
        </w:rPr>
        <w:t>订时间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p w14:paraId="42E0F7DB">
      <w:pPr>
        <w:pStyle w:val="11"/>
        <w:rPr>
          <w:rFonts w:eastAsia="楷体"/>
          <w:color w:val="auto"/>
          <w:sz w:val="24"/>
          <w:szCs w:val="24"/>
        </w:rPr>
      </w:pPr>
    </w:p>
    <w:p w14:paraId="5DFD2B13">
      <w:pPr>
        <w:spacing w:before="66" w:line="374" w:lineRule="auto"/>
        <w:ind w:right="686" w:firstLine="480"/>
        <w:rPr>
          <w:rFonts w:hint="eastAsia" w:ascii="宋体" w:hAnsi="宋体" w:eastAsia="宋体" w:cs="宋体"/>
          <w:color w:val="auto"/>
          <w:spacing w:val="-1"/>
          <w:sz w:val="24"/>
          <w:szCs w:val="24"/>
          <w:lang w:val="en-US" w:eastAsia="zh-CN" w:bidi="ar-SA"/>
        </w:rPr>
      </w:pPr>
      <w:r>
        <w:rPr>
          <w:rFonts w:hint="eastAsia" w:ascii="宋体" w:hAnsi="宋体" w:eastAsia="宋体" w:cs="宋体"/>
          <w:color w:val="auto"/>
          <w:spacing w:val="-1"/>
          <w:sz w:val="24"/>
          <w:szCs w:val="24"/>
          <w:lang w:val="en-US" w:eastAsia="zh-CN" w:bidi="ar-SA"/>
        </w:rPr>
        <w:t>根据《中华人民共和国政府采购法》等法律、法规规定，按照征集文件及框架协议规定条款和乙方响应文件及其承诺，甲乙双方签订本合同。</w:t>
      </w:r>
    </w:p>
    <w:p w14:paraId="5EC3BD38">
      <w:pPr>
        <w:pStyle w:val="57"/>
        <w:keepNext w:val="0"/>
        <w:keepLines w:val="0"/>
        <w:pageBreakBefore w:val="0"/>
        <w:widowControl w:val="0"/>
        <w:tabs>
          <w:tab w:val="left" w:pos="1383"/>
        </w:tabs>
        <w:kinsoku/>
        <w:wordWrap/>
        <w:overflowPunct/>
        <w:topLinePunct w:val="0"/>
        <w:autoSpaceDE/>
        <w:autoSpaceDN/>
        <w:bidi w:val="0"/>
        <w:adjustRightInd/>
        <w:snapToGrid/>
        <w:spacing w:before="0" w:after="0" w:line="440" w:lineRule="exact"/>
        <w:ind w:left="0" w:leftChars="0" w:right="0" w:rightChars="0" w:firstLine="482" w:firstLineChars="200"/>
        <w:jc w:val="left"/>
        <w:rPr>
          <w:rFonts w:hint="eastAsia" w:ascii="宋体" w:hAnsi="宋体" w:eastAsia="宋体" w:cs="宋体"/>
          <w:b/>
          <w:color w:val="auto"/>
          <w:szCs w:val="24"/>
          <w:lang w:val="en-US" w:eastAsia="zh-CN"/>
        </w:rPr>
      </w:pPr>
      <w:r>
        <w:rPr>
          <w:rFonts w:hint="eastAsia" w:ascii="宋体" w:hAnsi="宋体" w:eastAsia="宋体" w:cs="宋体"/>
          <w:b/>
          <w:color w:val="auto"/>
          <w:szCs w:val="24"/>
          <w:lang w:val="en-US" w:eastAsia="zh-CN"/>
        </w:rPr>
        <w:t>第一条</w:t>
      </w:r>
      <w:r>
        <w:rPr>
          <w:rFonts w:hint="eastAsia" w:ascii="宋体" w:hAnsi="宋体" w:eastAsia="宋体" w:cs="宋体"/>
          <w:b/>
          <w:color w:val="auto"/>
          <w:szCs w:val="24"/>
          <w:lang w:val="en-US" w:eastAsia="zh-CN"/>
        </w:rPr>
        <w:tab/>
      </w:r>
      <w:r>
        <w:rPr>
          <w:rFonts w:hint="eastAsia" w:ascii="宋体" w:hAnsi="宋体" w:eastAsia="宋体" w:cs="宋体"/>
          <w:b/>
          <w:color w:val="auto"/>
          <w:szCs w:val="24"/>
          <w:lang w:val="en-US" w:eastAsia="zh-CN"/>
        </w:rPr>
        <w:t>项目概况及服务范围</w:t>
      </w:r>
    </w:p>
    <w:p w14:paraId="23538D79">
      <w:pPr>
        <w:keepNext w:val="0"/>
        <w:keepLines w:val="0"/>
        <w:pageBreakBefore w:val="0"/>
        <w:widowControl w:val="0"/>
        <w:numPr>
          <w:ilvl w:val="0"/>
          <w:numId w:val="0"/>
        </w:numPr>
        <w:tabs>
          <w:tab w:val="left" w:pos="1020"/>
          <w:tab w:val="left" w:pos="8580"/>
        </w:tabs>
        <w:kinsoku/>
        <w:wordWrap/>
        <w:overflowPunct/>
        <w:topLinePunct w:val="0"/>
        <w:autoSpaceDE/>
        <w:autoSpaceDN/>
        <w:bidi w:val="0"/>
        <w:adjustRightInd/>
        <w:snapToGrid/>
        <w:spacing w:line="440" w:lineRule="exact"/>
        <w:ind w:right="0" w:rightChars="0" w:firstLine="476" w:firstLineChars="200"/>
        <w:rPr>
          <w:rFonts w:eastAsia="楷体"/>
          <w:color w:val="auto"/>
          <w:sz w:val="24"/>
          <w:szCs w:val="24"/>
        </w:rPr>
      </w:pPr>
      <w:r>
        <w:rPr>
          <w:rFonts w:hint="eastAsia" w:ascii="宋体" w:hAnsi="宋体" w:eastAsia="宋体" w:cs="宋体"/>
          <w:color w:val="auto"/>
          <w:spacing w:val="-1"/>
          <w:sz w:val="24"/>
          <w:szCs w:val="24"/>
          <w:lang w:val="en-US" w:eastAsia="zh-CN" w:bidi="ar-SA"/>
        </w:rPr>
        <w:t>1、项目名称编号：</w:t>
      </w:r>
      <w:r>
        <w:rPr>
          <w:rFonts w:eastAsia="楷体"/>
          <w:color w:val="auto"/>
          <w:sz w:val="24"/>
          <w:szCs w:val="24"/>
          <w:u w:val="single"/>
        </w:rPr>
        <w:t xml:space="preserve"> </w:t>
      </w:r>
      <w:r>
        <w:rPr>
          <w:rFonts w:eastAsia="楷体"/>
          <w:color w:val="auto"/>
          <w:sz w:val="24"/>
          <w:szCs w:val="24"/>
          <w:u w:val="single"/>
        </w:rPr>
        <w:tab/>
      </w:r>
      <w:r>
        <w:rPr>
          <w:rFonts w:eastAsia="楷体"/>
          <w:color w:val="auto"/>
          <w:sz w:val="24"/>
          <w:szCs w:val="24"/>
        </w:rPr>
        <w:t>；</w:t>
      </w:r>
    </w:p>
    <w:p w14:paraId="493E3019">
      <w:pPr>
        <w:keepNext w:val="0"/>
        <w:keepLines w:val="0"/>
        <w:pageBreakBefore w:val="0"/>
        <w:widowControl w:val="0"/>
        <w:numPr>
          <w:ilvl w:val="0"/>
          <w:numId w:val="0"/>
        </w:numPr>
        <w:tabs>
          <w:tab w:val="left" w:pos="1020"/>
          <w:tab w:val="left" w:pos="8580"/>
        </w:tabs>
        <w:kinsoku/>
        <w:wordWrap/>
        <w:overflowPunct/>
        <w:topLinePunct w:val="0"/>
        <w:autoSpaceDE/>
        <w:autoSpaceDN/>
        <w:bidi w:val="0"/>
        <w:adjustRightInd/>
        <w:snapToGrid/>
        <w:spacing w:line="440" w:lineRule="exact"/>
        <w:ind w:right="0" w:rightChars="0" w:firstLine="476" w:firstLineChars="200"/>
        <w:rPr>
          <w:rFonts w:eastAsia="楷体"/>
          <w:color w:val="auto"/>
          <w:sz w:val="24"/>
          <w:szCs w:val="24"/>
        </w:rPr>
      </w:pPr>
      <w:r>
        <w:rPr>
          <w:rFonts w:hint="eastAsia" w:ascii="宋体" w:hAnsi="宋体" w:eastAsia="宋体" w:cs="宋体"/>
          <w:color w:val="auto"/>
          <w:spacing w:val="-1"/>
          <w:sz w:val="24"/>
          <w:szCs w:val="24"/>
          <w:lang w:val="en-US" w:eastAsia="zh-CN" w:bidi="ar-SA"/>
        </w:rPr>
        <w:t>2、服务内容：</w:t>
      </w:r>
      <w:r>
        <w:rPr>
          <w:rFonts w:eastAsia="楷体"/>
          <w:color w:val="auto"/>
          <w:sz w:val="24"/>
          <w:szCs w:val="24"/>
          <w:u w:val="single"/>
        </w:rPr>
        <w:t xml:space="preserve"> </w:t>
      </w:r>
      <w:r>
        <w:rPr>
          <w:rFonts w:eastAsia="楷体"/>
          <w:color w:val="auto"/>
          <w:sz w:val="24"/>
          <w:szCs w:val="24"/>
          <w:u w:val="single"/>
        </w:rPr>
        <w:tab/>
      </w:r>
      <w:r>
        <w:rPr>
          <w:rFonts w:eastAsia="楷体"/>
          <w:color w:val="auto"/>
          <w:sz w:val="24"/>
          <w:szCs w:val="24"/>
        </w:rPr>
        <w:t>；</w:t>
      </w:r>
    </w:p>
    <w:p w14:paraId="77D680AF">
      <w:pPr>
        <w:keepNext w:val="0"/>
        <w:keepLines w:val="0"/>
        <w:pageBreakBefore w:val="0"/>
        <w:widowControl w:val="0"/>
        <w:numPr>
          <w:ilvl w:val="0"/>
          <w:numId w:val="0"/>
        </w:numPr>
        <w:tabs>
          <w:tab w:val="left" w:pos="1020"/>
          <w:tab w:val="left" w:pos="8580"/>
        </w:tabs>
        <w:kinsoku/>
        <w:wordWrap/>
        <w:overflowPunct/>
        <w:topLinePunct w:val="0"/>
        <w:autoSpaceDE/>
        <w:autoSpaceDN/>
        <w:bidi w:val="0"/>
        <w:adjustRightInd/>
        <w:snapToGrid/>
        <w:spacing w:line="440" w:lineRule="exact"/>
        <w:ind w:right="0" w:rightChars="0" w:firstLine="476" w:firstLineChars="200"/>
        <w:rPr>
          <w:rFonts w:eastAsia="楷体"/>
          <w:color w:val="auto"/>
          <w:sz w:val="24"/>
          <w:szCs w:val="24"/>
        </w:rPr>
      </w:pPr>
      <w:r>
        <w:rPr>
          <w:rFonts w:hint="eastAsia" w:ascii="宋体" w:hAnsi="宋体" w:eastAsia="宋体" w:cs="宋体"/>
          <w:color w:val="auto"/>
          <w:spacing w:val="-1"/>
          <w:sz w:val="24"/>
          <w:szCs w:val="24"/>
          <w:lang w:val="en-US" w:eastAsia="zh-CN" w:bidi="ar-SA"/>
        </w:rPr>
        <w:t>3、服务期：</w:t>
      </w:r>
      <w:r>
        <w:rPr>
          <w:rFonts w:eastAsia="楷体"/>
          <w:color w:val="auto"/>
          <w:sz w:val="24"/>
          <w:szCs w:val="24"/>
          <w:u w:val="single"/>
        </w:rPr>
        <w:t xml:space="preserve"> </w:t>
      </w:r>
      <w:r>
        <w:rPr>
          <w:rFonts w:eastAsia="楷体"/>
          <w:color w:val="auto"/>
          <w:sz w:val="24"/>
          <w:szCs w:val="24"/>
          <w:u w:val="single"/>
        </w:rPr>
        <w:tab/>
      </w:r>
      <w:r>
        <w:rPr>
          <w:rFonts w:eastAsia="楷体"/>
          <w:color w:val="auto"/>
          <w:sz w:val="24"/>
          <w:szCs w:val="24"/>
        </w:rPr>
        <w:t>；</w:t>
      </w:r>
    </w:p>
    <w:p w14:paraId="783D3179">
      <w:pPr>
        <w:keepNext w:val="0"/>
        <w:keepLines w:val="0"/>
        <w:pageBreakBefore w:val="0"/>
        <w:widowControl w:val="0"/>
        <w:numPr>
          <w:ilvl w:val="0"/>
          <w:numId w:val="0"/>
        </w:numPr>
        <w:tabs>
          <w:tab w:val="left" w:pos="1020"/>
          <w:tab w:val="left" w:pos="8580"/>
        </w:tabs>
        <w:kinsoku/>
        <w:wordWrap/>
        <w:overflowPunct/>
        <w:topLinePunct w:val="0"/>
        <w:autoSpaceDE/>
        <w:autoSpaceDN/>
        <w:bidi w:val="0"/>
        <w:adjustRightInd/>
        <w:snapToGrid/>
        <w:spacing w:line="440" w:lineRule="exact"/>
        <w:ind w:right="0" w:rightChars="0" w:firstLine="476" w:firstLineChars="200"/>
        <w:rPr>
          <w:rFonts w:eastAsia="楷体"/>
          <w:color w:val="auto"/>
          <w:sz w:val="24"/>
          <w:szCs w:val="24"/>
        </w:rPr>
      </w:pPr>
      <w:r>
        <w:rPr>
          <w:rFonts w:hint="eastAsia" w:ascii="宋体" w:hAnsi="宋体" w:eastAsia="宋体" w:cs="宋体"/>
          <w:color w:val="auto"/>
          <w:spacing w:val="-1"/>
          <w:sz w:val="24"/>
          <w:szCs w:val="24"/>
          <w:lang w:val="en-US" w:eastAsia="zh-CN" w:bidi="ar-SA"/>
        </w:rPr>
        <w:t>4、履行合同的地域范围：</w:t>
      </w:r>
      <w:r>
        <w:rPr>
          <w:rFonts w:eastAsia="楷体"/>
          <w:color w:val="auto"/>
          <w:sz w:val="24"/>
          <w:szCs w:val="24"/>
          <w:u w:val="single"/>
        </w:rPr>
        <w:t xml:space="preserve"> </w:t>
      </w:r>
      <w:r>
        <w:rPr>
          <w:rFonts w:eastAsia="楷体"/>
          <w:color w:val="auto"/>
          <w:sz w:val="24"/>
          <w:szCs w:val="24"/>
          <w:u w:val="single"/>
        </w:rPr>
        <w:tab/>
      </w:r>
      <w:r>
        <w:rPr>
          <w:rFonts w:eastAsia="楷体"/>
          <w:color w:val="auto"/>
          <w:sz w:val="24"/>
          <w:szCs w:val="24"/>
        </w:rPr>
        <w:t>；</w:t>
      </w:r>
    </w:p>
    <w:p w14:paraId="1CFB2318">
      <w:pPr>
        <w:pStyle w:val="57"/>
        <w:keepNext w:val="0"/>
        <w:keepLines w:val="0"/>
        <w:pageBreakBefore w:val="0"/>
        <w:widowControl w:val="0"/>
        <w:numPr>
          <w:ilvl w:val="0"/>
          <w:numId w:val="0"/>
        </w:numPr>
        <w:tabs>
          <w:tab w:val="left" w:pos="1020"/>
          <w:tab w:val="left" w:pos="1745"/>
        </w:tabs>
        <w:kinsoku/>
        <w:wordWrap/>
        <w:overflowPunct/>
        <w:topLinePunct w:val="0"/>
        <w:autoSpaceDE/>
        <w:autoSpaceDN/>
        <w:bidi w:val="0"/>
        <w:adjustRightInd/>
        <w:snapToGrid/>
        <w:spacing w:before="0" w:after="0" w:line="440" w:lineRule="exact"/>
        <w:ind w:left="-6" w:leftChars="0" w:right="0" w:rightChars="0" w:firstLine="476" w:firstLineChars="200"/>
        <w:rPr>
          <w:rFonts w:hint="eastAsia" w:ascii="宋体" w:hAnsi="宋体" w:eastAsia="宋体" w:cs="宋体"/>
          <w:b/>
          <w:color w:val="auto"/>
          <w:szCs w:val="24"/>
        </w:rPr>
      </w:pPr>
      <w:r>
        <w:rPr>
          <w:rFonts w:hint="eastAsia" w:ascii="宋体" w:hAnsi="宋体" w:eastAsia="宋体" w:cs="宋体"/>
          <w:color w:val="auto"/>
          <w:spacing w:val="-1"/>
          <w:sz w:val="24"/>
          <w:szCs w:val="24"/>
          <w:lang w:val="en-US" w:eastAsia="zh-CN" w:bidi="ar-SA"/>
        </w:rPr>
        <w:t>5、协议价格：</w:t>
      </w:r>
      <w:r>
        <w:rPr>
          <w:rFonts w:hint="eastAsia" w:ascii="宋体" w:hAnsi="宋体" w:eastAsia="宋体" w:cs="宋体"/>
          <w:color w:val="auto"/>
          <w:szCs w:val="24"/>
          <w:u w:val="single"/>
        </w:rPr>
        <w:t>按框架协议规定执行</w:t>
      </w:r>
      <w:r>
        <w:rPr>
          <w:rFonts w:hint="eastAsia" w:ascii="宋体" w:hAnsi="宋体" w:eastAsia="宋体" w:cs="宋体"/>
          <w:color w:val="auto"/>
          <w:spacing w:val="-16"/>
          <w:szCs w:val="24"/>
        </w:rPr>
        <w:t>。</w:t>
      </w:r>
    </w:p>
    <w:p w14:paraId="0C4804BA">
      <w:pPr>
        <w:pStyle w:val="57"/>
        <w:keepNext w:val="0"/>
        <w:keepLines w:val="0"/>
        <w:pageBreakBefore w:val="0"/>
        <w:widowControl w:val="0"/>
        <w:tabs>
          <w:tab w:val="left" w:pos="1383"/>
        </w:tabs>
        <w:kinsoku/>
        <w:wordWrap/>
        <w:overflowPunct/>
        <w:topLinePunct w:val="0"/>
        <w:autoSpaceDE/>
        <w:autoSpaceDN/>
        <w:bidi w:val="0"/>
        <w:adjustRightInd/>
        <w:snapToGrid/>
        <w:spacing w:before="0" w:after="0" w:line="440" w:lineRule="exact"/>
        <w:ind w:left="0" w:leftChars="0" w:right="0" w:rightChars="0" w:firstLine="482" w:firstLineChars="200"/>
        <w:jc w:val="left"/>
        <w:rPr>
          <w:rFonts w:hint="eastAsia" w:ascii="宋体" w:hAnsi="宋体" w:eastAsia="宋体" w:cs="宋体"/>
          <w:b/>
          <w:color w:val="auto"/>
          <w:szCs w:val="24"/>
          <w:lang w:val="en-US" w:eastAsia="zh-CN"/>
        </w:rPr>
      </w:pPr>
      <w:r>
        <w:rPr>
          <w:rFonts w:hint="eastAsia" w:ascii="宋体" w:hAnsi="宋体" w:eastAsia="宋体" w:cs="宋体"/>
          <w:b/>
          <w:color w:val="auto"/>
          <w:szCs w:val="24"/>
          <w:lang w:val="en-US" w:eastAsia="zh-CN"/>
        </w:rPr>
        <w:t>第二条</w:t>
      </w:r>
      <w:r>
        <w:rPr>
          <w:rFonts w:hint="eastAsia" w:ascii="宋体" w:hAnsi="宋体" w:eastAsia="宋体" w:cs="宋体"/>
          <w:b/>
          <w:color w:val="auto"/>
          <w:szCs w:val="24"/>
          <w:lang w:val="en-US" w:eastAsia="zh-CN"/>
        </w:rPr>
        <w:tab/>
      </w:r>
      <w:r>
        <w:rPr>
          <w:rFonts w:hint="eastAsia" w:ascii="宋体" w:hAnsi="宋体" w:eastAsia="宋体" w:cs="宋体"/>
          <w:b/>
          <w:color w:val="auto"/>
          <w:szCs w:val="24"/>
          <w:lang w:val="en-US" w:eastAsia="zh-CN"/>
        </w:rPr>
        <w:t>签订本合同据</w:t>
      </w:r>
    </w:p>
    <w:p w14:paraId="230B81A8">
      <w:pPr>
        <w:spacing w:before="66" w:line="374" w:lineRule="auto"/>
        <w:ind w:right="686" w:firstLine="480"/>
        <w:rPr>
          <w:rFonts w:hint="eastAsia" w:ascii="宋体" w:hAnsi="宋体" w:eastAsia="宋体" w:cs="宋体"/>
          <w:color w:val="auto"/>
          <w:spacing w:val="-1"/>
          <w:sz w:val="24"/>
          <w:szCs w:val="24"/>
          <w:lang w:val="en-US" w:eastAsia="zh-CN" w:bidi="ar-SA"/>
        </w:rPr>
      </w:pPr>
      <w:r>
        <w:rPr>
          <w:rFonts w:hint="eastAsia" w:ascii="宋体" w:hAnsi="宋体" w:eastAsia="宋体" w:cs="宋体"/>
          <w:color w:val="auto"/>
          <w:spacing w:val="-1"/>
          <w:sz w:val="24"/>
          <w:szCs w:val="24"/>
          <w:lang w:val="en-US" w:eastAsia="zh-CN" w:bidi="ar-SA"/>
        </w:rPr>
        <w:t>1.框架协议；2.采购征集文件；3.乙方提供的响应文件； 4.入围通知书。</w:t>
      </w:r>
    </w:p>
    <w:p w14:paraId="7074320B">
      <w:pPr>
        <w:pStyle w:val="57"/>
        <w:keepNext w:val="0"/>
        <w:keepLines w:val="0"/>
        <w:pageBreakBefore w:val="0"/>
        <w:widowControl w:val="0"/>
        <w:tabs>
          <w:tab w:val="left" w:pos="1383"/>
        </w:tabs>
        <w:kinsoku/>
        <w:wordWrap/>
        <w:overflowPunct/>
        <w:topLinePunct w:val="0"/>
        <w:autoSpaceDE/>
        <w:autoSpaceDN/>
        <w:bidi w:val="0"/>
        <w:adjustRightInd/>
        <w:snapToGrid/>
        <w:spacing w:before="0" w:after="0" w:line="440" w:lineRule="exact"/>
        <w:ind w:left="0" w:leftChars="0" w:right="0" w:rightChars="0" w:firstLine="482" w:firstLineChars="200"/>
        <w:jc w:val="left"/>
        <w:rPr>
          <w:rFonts w:hint="eastAsia" w:ascii="宋体" w:hAnsi="宋体" w:eastAsia="宋体" w:cs="宋体"/>
          <w:b/>
          <w:color w:val="auto"/>
          <w:szCs w:val="24"/>
          <w:lang w:val="en-US" w:eastAsia="zh-CN"/>
        </w:rPr>
      </w:pPr>
      <w:r>
        <w:rPr>
          <w:rFonts w:hint="eastAsia" w:ascii="宋体" w:hAnsi="宋体" w:eastAsia="宋体" w:cs="宋体"/>
          <w:b/>
          <w:color w:val="auto"/>
          <w:szCs w:val="24"/>
          <w:lang w:val="en-US" w:eastAsia="zh-CN"/>
        </w:rPr>
        <w:t>第三条 其他约定</w:t>
      </w:r>
    </w:p>
    <w:p w14:paraId="20BB3A15">
      <w:pPr>
        <w:keepNext w:val="0"/>
        <w:keepLines w:val="0"/>
        <w:pageBreakBefore w:val="0"/>
        <w:widowControl w:val="0"/>
        <w:kinsoku/>
        <w:wordWrap/>
        <w:overflowPunct/>
        <w:topLinePunct w:val="0"/>
        <w:autoSpaceDE/>
        <w:autoSpaceDN/>
        <w:bidi w:val="0"/>
        <w:adjustRightInd/>
        <w:snapToGrid/>
        <w:spacing w:line="440" w:lineRule="exact"/>
        <w:ind w:left="0" w:leftChars="0" w:firstLine="476" w:firstLineChars="200"/>
        <w:rPr>
          <w:rFonts w:hint="eastAsia" w:ascii="宋体" w:hAnsi="宋体" w:eastAsia="宋体" w:cs="宋体"/>
          <w:color w:val="auto"/>
          <w:spacing w:val="-1"/>
          <w:sz w:val="24"/>
          <w:szCs w:val="24"/>
          <w:lang w:val="en-US" w:eastAsia="zh-CN" w:bidi="ar-SA"/>
        </w:rPr>
      </w:pPr>
      <w:r>
        <w:rPr>
          <w:rFonts w:hint="eastAsia" w:ascii="宋体" w:hAnsi="宋体" w:eastAsia="宋体" w:cs="宋体"/>
          <w:color w:val="auto"/>
          <w:spacing w:val="-1"/>
          <w:sz w:val="24"/>
          <w:szCs w:val="24"/>
          <w:lang w:val="en-US" w:eastAsia="zh-CN" w:bidi="ar-SA"/>
        </w:rPr>
        <w:t>1、本合同基于甲乙双方签订的</w:t>
      </w:r>
      <w:r>
        <w:rPr>
          <w:rFonts w:hint="eastAsia" w:ascii="宋体" w:hAnsi="宋体" w:eastAsia="宋体" w:cs="宋体"/>
          <w:kern w:val="0"/>
          <w:sz w:val="24"/>
          <w:szCs w:val="24"/>
          <w:lang w:val="en-US" w:eastAsia="zh-CN" w:bidi="ar"/>
        </w:rPr>
        <w:t>巩留县财政局2025</w:t>
      </w:r>
      <w:r>
        <w:rPr>
          <w:rFonts w:hint="eastAsia" w:ascii="宋体" w:hAnsi="宋体" w:cs="宋体"/>
          <w:kern w:val="0"/>
          <w:sz w:val="24"/>
          <w:szCs w:val="24"/>
          <w:lang w:val="en-US" w:eastAsia="zh-CN" w:bidi="ar"/>
        </w:rPr>
        <w:t>-2026</w:t>
      </w:r>
      <w:r>
        <w:rPr>
          <w:rFonts w:hint="eastAsia" w:ascii="宋体" w:hAnsi="宋体" w:eastAsia="宋体" w:cs="宋体"/>
          <w:kern w:val="0"/>
          <w:sz w:val="24"/>
          <w:szCs w:val="24"/>
          <w:lang w:val="en-US" w:eastAsia="zh-CN" w:bidi="ar"/>
        </w:rPr>
        <w:t>年度政府投资项目工程造价咨询服务采购项目框架协议</w:t>
      </w:r>
      <w:r>
        <w:rPr>
          <w:rFonts w:hint="eastAsia" w:ascii="宋体" w:hAnsi="宋体" w:eastAsia="宋体" w:cs="宋体"/>
          <w:color w:val="auto"/>
          <w:spacing w:val="-1"/>
          <w:sz w:val="24"/>
          <w:szCs w:val="24"/>
          <w:lang w:val="en-US" w:eastAsia="zh-CN" w:bidi="ar-SA"/>
        </w:rPr>
        <w:t>单位采购项目框架协议授予。</w:t>
      </w:r>
    </w:p>
    <w:p w14:paraId="4279394D">
      <w:pPr>
        <w:keepNext w:val="0"/>
        <w:keepLines w:val="0"/>
        <w:pageBreakBefore w:val="0"/>
        <w:widowControl w:val="0"/>
        <w:kinsoku/>
        <w:wordWrap/>
        <w:overflowPunct/>
        <w:topLinePunct w:val="0"/>
        <w:autoSpaceDE/>
        <w:autoSpaceDN/>
        <w:bidi w:val="0"/>
        <w:adjustRightInd/>
        <w:snapToGrid/>
        <w:spacing w:line="440" w:lineRule="exact"/>
        <w:ind w:right="0" w:firstLine="476" w:firstLineChars="200"/>
        <w:rPr>
          <w:rFonts w:hint="eastAsia" w:ascii="宋体" w:hAnsi="宋体" w:eastAsia="宋体" w:cs="宋体"/>
          <w:color w:val="auto"/>
          <w:spacing w:val="-1"/>
          <w:sz w:val="24"/>
          <w:szCs w:val="24"/>
          <w:lang w:val="en-US" w:eastAsia="zh-CN" w:bidi="ar-SA"/>
        </w:rPr>
      </w:pPr>
      <w:r>
        <w:rPr>
          <w:rFonts w:hint="eastAsia" w:ascii="宋体" w:hAnsi="宋体" w:eastAsia="宋体" w:cs="宋体"/>
          <w:color w:val="auto"/>
          <w:spacing w:val="-1"/>
          <w:sz w:val="24"/>
          <w:szCs w:val="24"/>
          <w:lang w:val="en-US" w:eastAsia="zh-CN" w:bidi="ar-SA"/>
        </w:rPr>
        <w:t>2、本合同未尽事宜，遵照《中华人民共和国民法典》有关条文执行。</w:t>
      </w:r>
    </w:p>
    <w:p w14:paraId="4585B2B2">
      <w:pPr>
        <w:keepNext w:val="0"/>
        <w:keepLines w:val="0"/>
        <w:pageBreakBefore w:val="0"/>
        <w:widowControl w:val="0"/>
        <w:kinsoku/>
        <w:wordWrap/>
        <w:overflowPunct/>
        <w:topLinePunct w:val="0"/>
        <w:autoSpaceDE/>
        <w:autoSpaceDN/>
        <w:bidi w:val="0"/>
        <w:adjustRightInd/>
        <w:snapToGrid/>
        <w:spacing w:line="440" w:lineRule="exact"/>
        <w:ind w:right="0" w:firstLine="480"/>
        <w:rPr>
          <w:rFonts w:hint="eastAsia" w:ascii="宋体" w:hAnsi="宋体" w:eastAsia="宋体" w:cs="宋体"/>
          <w:color w:val="auto"/>
          <w:spacing w:val="-1"/>
          <w:sz w:val="24"/>
          <w:szCs w:val="24"/>
          <w:lang w:val="en-US" w:eastAsia="zh-CN" w:bidi="ar-SA"/>
        </w:rPr>
      </w:pPr>
      <w:r>
        <w:rPr>
          <w:rFonts w:hint="eastAsia" w:ascii="宋体" w:hAnsi="宋体" w:eastAsia="宋体" w:cs="宋体"/>
          <w:color w:val="auto"/>
          <w:spacing w:val="-1"/>
          <w:sz w:val="24"/>
          <w:szCs w:val="24"/>
          <w:lang w:val="en-US" w:eastAsia="zh-CN" w:bidi="ar-SA"/>
        </w:rPr>
        <w:t>3、合同执行中，如需修改或补充合同内容，由双方协商另签署书面修改或补充合同。但补充内容不得改变框架协议约定的合同实质性条款。</w:t>
      </w:r>
    </w:p>
    <w:p w14:paraId="71A81917">
      <w:pPr>
        <w:keepNext w:val="0"/>
        <w:keepLines w:val="0"/>
        <w:pageBreakBefore w:val="0"/>
        <w:widowControl w:val="0"/>
        <w:kinsoku/>
        <w:wordWrap/>
        <w:overflowPunct/>
        <w:topLinePunct w:val="0"/>
        <w:autoSpaceDE/>
        <w:autoSpaceDN/>
        <w:bidi w:val="0"/>
        <w:adjustRightInd/>
        <w:snapToGrid/>
        <w:spacing w:line="440" w:lineRule="exact"/>
        <w:ind w:right="0" w:firstLine="476" w:firstLineChars="200"/>
        <w:rPr>
          <w:rFonts w:hint="eastAsia" w:ascii="宋体" w:hAnsi="宋体" w:eastAsia="宋体" w:cs="宋体"/>
          <w:color w:val="auto"/>
          <w:spacing w:val="-1"/>
          <w:sz w:val="24"/>
          <w:szCs w:val="24"/>
          <w:lang w:val="en-US" w:eastAsia="zh-CN" w:bidi="ar-SA"/>
        </w:rPr>
      </w:pPr>
      <w:r>
        <w:rPr>
          <w:rFonts w:hint="eastAsia" w:ascii="宋体" w:hAnsi="宋体" w:eastAsia="宋体" w:cs="宋体"/>
          <w:color w:val="auto"/>
          <w:spacing w:val="-1"/>
          <w:sz w:val="24"/>
          <w:szCs w:val="24"/>
          <w:lang w:val="en-US" w:eastAsia="zh-CN" w:bidi="ar-SA"/>
        </w:rPr>
        <w:t>4、除《中华人民共和国政府采购法》第五十条规定的情形外，本合同一经签订，甲乙双方不得擅自变更、中止或终止。</w:t>
      </w:r>
    </w:p>
    <w:p w14:paraId="3C02EB1A">
      <w:pPr>
        <w:keepNext w:val="0"/>
        <w:keepLines w:val="0"/>
        <w:pageBreakBefore w:val="0"/>
        <w:widowControl w:val="0"/>
        <w:kinsoku/>
        <w:wordWrap/>
        <w:overflowPunct/>
        <w:topLinePunct w:val="0"/>
        <w:autoSpaceDE/>
        <w:autoSpaceDN/>
        <w:bidi w:val="0"/>
        <w:adjustRightInd/>
        <w:snapToGrid/>
        <w:spacing w:line="440" w:lineRule="exact"/>
        <w:ind w:right="0" w:firstLine="480"/>
        <w:rPr>
          <w:rFonts w:hint="eastAsia" w:ascii="宋体" w:hAnsi="宋体" w:eastAsia="宋体" w:cs="宋体"/>
          <w:color w:val="auto"/>
          <w:spacing w:val="-1"/>
          <w:sz w:val="24"/>
          <w:szCs w:val="24"/>
          <w:lang w:val="en-US" w:eastAsia="zh-CN" w:bidi="ar-SA"/>
        </w:rPr>
      </w:pPr>
      <w:r>
        <w:rPr>
          <w:rFonts w:hint="eastAsia" w:ascii="宋体" w:hAnsi="宋体" w:eastAsia="宋体" w:cs="宋体"/>
          <w:color w:val="auto"/>
          <w:spacing w:val="-1"/>
          <w:sz w:val="24"/>
          <w:szCs w:val="24"/>
          <w:lang w:val="en-US" w:eastAsia="zh-CN" w:bidi="ar-SA"/>
        </w:rPr>
        <w:t>5、未经甲方书面同意，乙方不得擅自转让其应履行的合同义务。</w:t>
      </w:r>
    </w:p>
    <w:p w14:paraId="7A68CF4D">
      <w:pPr>
        <w:tabs>
          <w:tab w:val="left" w:pos="1748"/>
          <w:tab w:val="left" w:pos="3426"/>
          <w:tab w:val="left" w:pos="5226"/>
        </w:tabs>
        <w:spacing w:before="173"/>
        <w:ind w:firstLine="482" w:firstLineChars="200"/>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bidi="ar-SA"/>
        </w:rPr>
        <w:t>第四条 合同</w:t>
      </w:r>
    </w:p>
    <w:p w14:paraId="2CE867CD">
      <w:pPr>
        <w:tabs>
          <w:tab w:val="left" w:pos="1748"/>
          <w:tab w:val="left" w:pos="3426"/>
          <w:tab w:val="left" w:pos="5226"/>
        </w:tabs>
        <w:spacing w:before="173"/>
        <w:ind w:firstLine="476" w:firstLineChars="200"/>
        <w:rPr>
          <w:rFonts w:hint="eastAsia" w:ascii="宋体" w:hAnsi="宋体" w:eastAsia="宋体" w:cs="宋体"/>
          <w:color w:val="auto"/>
          <w:spacing w:val="-1"/>
          <w:sz w:val="24"/>
          <w:szCs w:val="24"/>
          <w:lang w:val="en-US" w:eastAsia="zh-CN" w:bidi="ar-SA"/>
        </w:rPr>
      </w:pPr>
      <w:r>
        <w:rPr>
          <w:rFonts w:hint="eastAsia" w:ascii="宋体" w:hAnsi="宋体" w:eastAsia="宋体" w:cs="宋体"/>
          <w:color w:val="auto"/>
          <w:spacing w:val="-1"/>
          <w:sz w:val="24"/>
          <w:szCs w:val="24"/>
          <w:lang w:val="en-US" w:eastAsia="zh-CN" w:bidi="ar-SA"/>
        </w:rPr>
        <w:t>本合同一式四份，双方各执正本</w:t>
      </w:r>
      <w:r>
        <w:rPr>
          <w:rFonts w:hint="eastAsia" w:ascii="宋体" w:hAnsi="宋体" w:eastAsia="宋体" w:cs="宋体"/>
          <w:color w:val="auto"/>
          <w:spacing w:val="-1"/>
          <w:sz w:val="24"/>
          <w:szCs w:val="24"/>
          <w:u w:val="single"/>
          <w:lang w:val="en-US" w:eastAsia="zh-CN" w:bidi="ar-SA"/>
        </w:rPr>
        <w:t>壹</w:t>
      </w:r>
      <w:r>
        <w:rPr>
          <w:rFonts w:hint="eastAsia" w:ascii="宋体" w:hAnsi="宋体" w:eastAsia="宋体" w:cs="宋体"/>
          <w:color w:val="auto"/>
          <w:spacing w:val="-1"/>
          <w:sz w:val="24"/>
          <w:szCs w:val="24"/>
          <w:lang w:val="en-US" w:eastAsia="zh-CN" w:bidi="ar-SA"/>
        </w:rPr>
        <w:t>份，副本</w:t>
      </w:r>
      <w:r>
        <w:rPr>
          <w:rFonts w:hint="eastAsia" w:ascii="宋体" w:hAnsi="宋体" w:eastAsia="宋体" w:cs="宋体"/>
          <w:color w:val="auto"/>
          <w:spacing w:val="-1"/>
          <w:sz w:val="24"/>
          <w:szCs w:val="24"/>
          <w:u w:val="single"/>
          <w:lang w:val="en-US" w:eastAsia="zh-CN" w:bidi="ar-SA"/>
        </w:rPr>
        <w:t>壹</w:t>
      </w:r>
      <w:r>
        <w:rPr>
          <w:rFonts w:hint="eastAsia" w:ascii="宋体" w:hAnsi="宋体" w:eastAsia="宋体" w:cs="宋体"/>
          <w:color w:val="auto"/>
          <w:spacing w:val="-1"/>
          <w:sz w:val="24"/>
          <w:szCs w:val="24"/>
          <w:lang w:val="en-US" w:eastAsia="zh-CN" w:bidi="ar-SA"/>
        </w:rPr>
        <w:t>份，具有同等法律效力。</w:t>
      </w:r>
    </w:p>
    <w:p w14:paraId="36825442">
      <w:pPr>
        <w:keepNext w:val="0"/>
        <w:keepLines w:val="0"/>
        <w:pageBreakBefore w:val="0"/>
        <w:widowControl w:val="0"/>
        <w:kinsoku/>
        <w:wordWrap/>
        <w:overflowPunct/>
        <w:topLinePunct w:val="0"/>
        <w:autoSpaceDE/>
        <w:autoSpaceDN/>
        <w:bidi w:val="0"/>
        <w:adjustRightInd/>
        <w:snapToGrid/>
        <w:spacing w:line="440" w:lineRule="exact"/>
        <w:ind w:right="0" w:firstLine="480"/>
        <w:rPr>
          <w:rFonts w:hint="eastAsia" w:ascii="宋体" w:hAnsi="宋体" w:eastAsia="宋体" w:cs="宋体"/>
          <w:color w:val="auto"/>
          <w:spacing w:val="-1"/>
          <w:sz w:val="24"/>
          <w:szCs w:val="24"/>
          <w:lang w:val="en-US" w:eastAsia="zh-CN" w:bidi="ar-SA"/>
        </w:rPr>
      </w:pPr>
      <w:r>
        <w:rPr>
          <w:rFonts w:hint="eastAsia" w:ascii="宋体" w:hAnsi="宋体" w:eastAsia="宋体" w:cs="宋体"/>
          <w:color w:val="auto"/>
          <w:spacing w:val="-1"/>
          <w:sz w:val="24"/>
          <w:szCs w:val="24"/>
          <w:lang w:val="en-US" w:eastAsia="zh-CN" w:bidi="ar-SA"/>
        </w:rPr>
        <w:t>本合同经甲乙双方法定代表人或被授权代表签字并加盖单位公章后生效。</w:t>
      </w:r>
    </w:p>
    <w:tbl>
      <w:tblPr>
        <w:tblStyle w:val="30"/>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453"/>
        <w:gridCol w:w="4704"/>
      </w:tblGrid>
      <w:tr w14:paraId="71ED0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2431" w:type="pct"/>
          </w:tcPr>
          <w:p w14:paraId="74438DA4">
            <w:pPr>
              <w:pStyle w:val="59"/>
              <w:spacing w:before="144"/>
              <w:ind w:left="107"/>
              <w:rPr>
                <w:rFonts w:hint="eastAsia" w:ascii="宋体" w:hAnsi="宋体" w:eastAsia="宋体" w:cs="宋体"/>
                <w:color w:val="auto"/>
                <w:szCs w:val="24"/>
              </w:rPr>
            </w:pPr>
            <w:r>
              <w:rPr>
                <w:rFonts w:hint="eastAsia" w:ascii="宋体" w:hAnsi="宋体" w:eastAsia="宋体" w:cs="宋体"/>
                <w:color w:val="auto"/>
                <w:szCs w:val="24"/>
              </w:rPr>
              <w:t>甲方（</w:t>
            </w:r>
            <w:r>
              <w:rPr>
                <w:rFonts w:hint="eastAsia" w:ascii="宋体" w:hAnsi="宋体" w:eastAsia="宋体" w:cs="宋体"/>
                <w:color w:val="auto"/>
                <w:szCs w:val="24"/>
                <w:lang w:val="en-US"/>
              </w:rPr>
              <w:t>公</w:t>
            </w:r>
            <w:r>
              <w:rPr>
                <w:rFonts w:hint="eastAsia" w:ascii="宋体" w:hAnsi="宋体" w:eastAsia="宋体" w:cs="宋体"/>
                <w:color w:val="auto"/>
                <w:szCs w:val="24"/>
              </w:rPr>
              <w:t>章）</w:t>
            </w:r>
          </w:p>
          <w:p w14:paraId="53306413">
            <w:pPr>
              <w:pStyle w:val="59"/>
              <w:rPr>
                <w:rFonts w:hint="eastAsia" w:ascii="宋体" w:hAnsi="宋体" w:eastAsia="宋体" w:cs="宋体"/>
                <w:color w:val="auto"/>
                <w:szCs w:val="24"/>
              </w:rPr>
            </w:pPr>
          </w:p>
          <w:p w14:paraId="19BB856C">
            <w:pPr>
              <w:pStyle w:val="59"/>
              <w:spacing w:before="11"/>
              <w:rPr>
                <w:rFonts w:hint="eastAsia" w:ascii="宋体" w:hAnsi="宋体" w:eastAsia="宋体" w:cs="宋体"/>
                <w:color w:val="auto"/>
                <w:szCs w:val="24"/>
              </w:rPr>
            </w:pPr>
          </w:p>
          <w:p w14:paraId="4A0F3FA0">
            <w:pPr>
              <w:pStyle w:val="59"/>
              <w:tabs>
                <w:tab w:val="left" w:pos="3552"/>
                <w:tab w:val="left" w:pos="4272"/>
              </w:tabs>
              <w:ind w:left="2832"/>
              <w:rPr>
                <w:rFonts w:hint="eastAsia" w:ascii="宋体" w:hAnsi="宋体" w:eastAsia="宋体" w:cs="宋体"/>
                <w:color w:val="auto"/>
                <w:szCs w:val="24"/>
              </w:rPr>
            </w:pPr>
            <w:r>
              <w:rPr>
                <w:rFonts w:hint="eastAsia" w:ascii="宋体" w:hAnsi="宋体" w:eastAsia="宋体" w:cs="宋体"/>
                <w:color w:val="auto"/>
                <w:szCs w:val="24"/>
              </w:rPr>
              <w:t>年</w:t>
            </w:r>
            <w:r>
              <w:rPr>
                <w:rFonts w:hint="eastAsia" w:ascii="宋体" w:hAnsi="宋体" w:eastAsia="宋体" w:cs="宋体"/>
                <w:color w:val="auto"/>
                <w:szCs w:val="24"/>
              </w:rPr>
              <w:tab/>
            </w:r>
            <w:r>
              <w:rPr>
                <w:rFonts w:hint="eastAsia" w:ascii="宋体" w:hAnsi="宋体" w:eastAsia="宋体" w:cs="宋体"/>
                <w:color w:val="auto"/>
                <w:szCs w:val="24"/>
              </w:rPr>
              <w:t>月</w:t>
            </w:r>
            <w:r>
              <w:rPr>
                <w:rFonts w:hint="eastAsia" w:ascii="宋体" w:hAnsi="宋体" w:eastAsia="宋体" w:cs="宋体"/>
                <w:color w:val="auto"/>
                <w:szCs w:val="24"/>
              </w:rPr>
              <w:tab/>
            </w:r>
            <w:r>
              <w:rPr>
                <w:rFonts w:hint="eastAsia" w:ascii="宋体" w:hAnsi="宋体" w:eastAsia="宋体" w:cs="宋体"/>
                <w:color w:val="auto"/>
                <w:szCs w:val="24"/>
              </w:rPr>
              <w:t>日</w:t>
            </w:r>
          </w:p>
        </w:tc>
        <w:tc>
          <w:tcPr>
            <w:tcW w:w="2568" w:type="pct"/>
          </w:tcPr>
          <w:p w14:paraId="107B9274">
            <w:pPr>
              <w:pStyle w:val="59"/>
              <w:spacing w:before="144"/>
              <w:ind w:left="105"/>
              <w:rPr>
                <w:rFonts w:hint="eastAsia" w:ascii="宋体" w:hAnsi="宋体" w:eastAsia="宋体" w:cs="宋体"/>
                <w:color w:val="auto"/>
                <w:szCs w:val="24"/>
              </w:rPr>
            </w:pPr>
            <w:r>
              <w:rPr>
                <w:rFonts w:hint="eastAsia" w:ascii="宋体" w:hAnsi="宋体" w:eastAsia="宋体" w:cs="宋体"/>
                <w:color w:val="auto"/>
                <w:szCs w:val="24"/>
              </w:rPr>
              <w:t>乙方（</w:t>
            </w:r>
            <w:r>
              <w:rPr>
                <w:rFonts w:hint="eastAsia" w:ascii="宋体" w:hAnsi="宋体" w:eastAsia="宋体" w:cs="宋体"/>
                <w:color w:val="auto"/>
                <w:szCs w:val="24"/>
                <w:lang w:val="en-US"/>
              </w:rPr>
              <w:t>公</w:t>
            </w:r>
            <w:r>
              <w:rPr>
                <w:rFonts w:hint="eastAsia" w:ascii="宋体" w:hAnsi="宋体" w:eastAsia="宋体" w:cs="宋体"/>
                <w:color w:val="auto"/>
                <w:szCs w:val="24"/>
              </w:rPr>
              <w:t>章）</w:t>
            </w:r>
          </w:p>
          <w:p w14:paraId="49AEFD78">
            <w:pPr>
              <w:pStyle w:val="59"/>
              <w:rPr>
                <w:rFonts w:hint="eastAsia" w:ascii="宋体" w:hAnsi="宋体" w:eastAsia="宋体" w:cs="宋体"/>
                <w:color w:val="auto"/>
                <w:szCs w:val="24"/>
              </w:rPr>
            </w:pPr>
          </w:p>
          <w:p w14:paraId="6655C8BC">
            <w:pPr>
              <w:pStyle w:val="59"/>
              <w:spacing w:before="11"/>
              <w:rPr>
                <w:rFonts w:hint="eastAsia" w:ascii="宋体" w:hAnsi="宋体" w:eastAsia="宋体" w:cs="宋体"/>
                <w:color w:val="auto"/>
                <w:szCs w:val="24"/>
              </w:rPr>
            </w:pPr>
          </w:p>
          <w:p w14:paraId="6531FFA1">
            <w:pPr>
              <w:pStyle w:val="59"/>
              <w:tabs>
                <w:tab w:val="left" w:pos="3809"/>
                <w:tab w:val="left" w:pos="4529"/>
              </w:tabs>
              <w:ind w:left="3089"/>
              <w:rPr>
                <w:rFonts w:hint="eastAsia" w:ascii="宋体" w:hAnsi="宋体" w:eastAsia="宋体" w:cs="宋体"/>
                <w:color w:val="auto"/>
                <w:szCs w:val="24"/>
              </w:rPr>
            </w:pPr>
            <w:r>
              <w:rPr>
                <w:rFonts w:hint="eastAsia" w:ascii="宋体" w:hAnsi="宋体" w:eastAsia="宋体" w:cs="宋体"/>
                <w:color w:val="auto"/>
                <w:szCs w:val="24"/>
              </w:rPr>
              <w:t>年</w:t>
            </w:r>
            <w:r>
              <w:rPr>
                <w:rFonts w:hint="eastAsia" w:ascii="宋体" w:hAnsi="宋体" w:eastAsia="宋体" w:cs="宋体"/>
                <w:color w:val="auto"/>
                <w:szCs w:val="24"/>
              </w:rPr>
              <w:tab/>
            </w:r>
            <w:r>
              <w:rPr>
                <w:rFonts w:hint="eastAsia" w:ascii="宋体" w:hAnsi="宋体" w:eastAsia="宋体" w:cs="宋体"/>
                <w:color w:val="auto"/>
                <w:szCs w:val="24"/>
              </w:rPr>
              <w:t>月</w:t>
            </w:r>
            <w:r>
              <w:rPr>
                <w:rFonts w:hint="eastAsia" w:ascii="宋体" w:hAnsi="宋体" w:eastAsia="宋体" w:cs="宋体"/>
                <w:color w:val="auto"/>
                <w:szCs w:val="24"/>
              </w:rPr>
              <w:tab/>
            </w:r>
            <w:r>
              <w:rPr>
                <w:rFonts w:hint="eastAsia" w:ascii="宋体" w:hAnsi="宋体" w:eastAsia="宋体" w:cs="宋体"/>
                <w:color w:val="auto"/>
                <w:szCs w:val="24"/>
              </w:rPr>
              <w:t>日</w:t>
            </w:r>
          </w:p>
        </w:tc>
      </w:tr>
      <w:tr w14:paraId="35CA0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431" w:type="pct"/>
          </w:tcPr>
          <w:p w14:paraId="1534E8A1">
            <w:pPr>
              <w:pStyle w:val="59"/>
              <w:rPr>
                <w:rFonts w:hint="eastAsia" w:ascii="宋体" w:hAnsi="宋体" w:eastAsia="宋体" w:cs="宋体"/>
                <w:color w:val="auto"/>
                <w:szCs w:val="24"/>
              </w:rPr>
            </w:pPr>
          </w:p>
          <w:p w14:paraId="2EC04212">
            <w:pPr>
              <w:pStyle w:val="59"/>
              <w:spacing w:before="1"/>
              <w:rPr>
                <w:rFonts w:hint="eastAsia" w:ascii="宋体" w:hAnsi="宋体" w:eastAsia="宋体" w:cs="宋体"/>
                <w:color w:val="auto"/>
                <w:szCs w:val="24"/>
              </w:rPr>
            </w:pPr>
          </w:p>
          <w:p w14:paraId="55635F7E">
            <w:pPr>
              <w:pStyle w:val="59"/>
              <w:ind w:left="107"/>
              <w:rPr>
                <w:rFonts w:hint="eastAsia" w:ascii="宋体" w:hAnsi="宋体" w:eastAsia="宋体" w:cs="宋体"/>
                <w:color w:val="auto"/>
                <w:szCs w:val="24"/>
              </w:rPr>
            </w:pPr>
            <w:r>
              <w:rPr>
                <w:rFonts w:hint="eastAsia" w:ascii="宋体" w:hAnsi="宋体" w:eastAsia="宋体" w:cs="宋体"/>
                <w:color w:val="auto"/>
                <w:szCs w:val="24"/>
              </w:rPr>
              <w:t>法定代表人或委托代理人（</w:t>
            </w:r>
            <w:r>
              <w:rPr>
                <w:rFonts w:hint="eastAsia" w:ascii="宋体" w:hAnsi="宋体" w:eastAsia="宋体" w:cs="宋体"/>
                <w:color w:val="auto"/>
                <w:szCs w:val="24"/>
                <w:lang w:val="en-US"/>
              </w:rPr>
              <w:t>签字</w:t>
            </w:r>
            <w:r>
              <w:rPr>
                <w:rFonts w:hint="eastAsia" w:ascii="宋体" w:hAnsi="宋体" w:eastAsia="宋体" w:cs="宋体"/>
                <w:color w:val="auto"/>
                <w:szCs w:val="24"/>
              </w:rPr>
              <w:t>）：</w:t>
            </w:r>
          </w:p>
        </w:tc>
        <w:tc>
          <w:tcPr>
            <w:tcW w:w="2568" w:type="pct"/>
          </w:tcPr>
          <w:p w14:paraId="3EBC2310">
            <w:pPr>
              <w:pStyle w:val="59"/>
              <w:rPr>
                <w:rFonts w:hint="eastAsia" w:ascii="宋体" w:hAnsi="宋体" w:eastAsia="宋体" w:cs="宋体"/>
                <w:color w:val="auto"/>
                <w:szCs w:val="24"/>
              </w:rPr>
            </w:pPr>
          </w:p>
          <w:p w14:paraId="17368BA4">
            <w:pPr>
              <w:pStyle w:val="59"/>
              <w:spacing w:before="1"/>
              <w:rPr>
                <w:rFonts w:hint="eastAsia" w:ascii="宋体" w:hAnsi="宋体" w:eastAsia="宋体" w:cs="宋体"/>
                <w:color w:val="auto"/>
                <w:szCs w:val="24"/>
              </w:rPr>
            </w:pPr>
          </w:p>
          <w:p w14:paraId="290383DC">
            <w:pPr>
              <w:pStyle w:val="59"/>
              <w:ind w:left="105"/>
              <w:rPr>
                <w:rFonts w:hint="eastAsia" w:ascii="宋体" w:hAnsi="宋体" w:eastAsia="宋体" w:cs="宋体"/>
                <w:color w:val="auto"/>
                <w:szCs w:val="24"/>
              </w:rPr>
            </w:pPr>
            <w:r>
              <w:rPr>
                <w:rFonts w:hint="eastAsia" w:ascii="宋体" w:hAnsi="宋体" w:eastAsia="宋体" w:cs="宋体"/>
                <w:color w:val="auto"/>
                <w:szCs w:val="24"/>
              </w:rPr>
              <w:t>法定代表人或委托代理人（</w:t>
            </w:r>
            <w:r>
              <w:rPr>
                <w:rFonts w:hint="eastAsia" w:ascii="宋体" w:hAnsi="宋体" w:eastAsia="宋体" w:cs="宋体"/>
                <w:color w:val="auto"/>
                <w:szCs w:val="24"/>
                <w:lang w:val="en-US"/>
              </w:rPr>
              <w:t>签字</w:t>
            </w:r>
            <w:r>
              <w:rPr>
                <w:rFonts w:hint="eastAsia" w:ascii="宋体" w:hAnsi="宋体" w:eastAsia="宋体" w:cs="宋体"/>
                <w:color w:val="auto"/>
                <w:szCs w:val="24"/>
              </w:rPr>
              <w:t>）：</w:t>
            </w:r>
          </w:p>
        </w:tc>
      </w:tr>
    </w:tbl>
    <w:p w14:paraId="2724F156">
      <w:pPr>
        <w:spacing w:line="460" w:lineRule="exact"/>
        <w:ind w:firstLine="480" w:firstLineChars="200"/>
        <w:rPr>
          <w:rFonts w:eastAsia="楷体"/>
          <w:color w:val="auto"/>
          <w:sz w:val="24"/>
          <w:szCs w:val="24"/>
        </w:rPr>
      </w:pPr>
    </w:p>
    <w:p w14:paraId="7CCD6348">
      <w:pPr>
        <w:rPr>
          <w:rFonts w:eastAsia="楷体"/>
          <w:b/>
          <w:color w:val="auto"/>
          <w:szCs w:val="28"/>
        </w:rPr>
      </w:pPr>
    </w:p>
    <w:p w14:paraId="0781A6EE">
      <w:pPr>
        <w:pStyle w:val="24"/>
        <w:ind w:firstLine="0"/>
        <w:jc w:val="both"/>
        <w:rPr>
          <w:rFonts w:hint="eastAsia" w:ascii="宋体" w:hAnsi="宋体" w:eastAsia="宋体" w:cs="宋体"/>
          <w:b/>
          <w:color w:val="auto"/>
          <w:szCs w:val="28"/>
        </w:rPr>
        <w:sectPr>
          <w:footerReference r:id="rId12" w:type="default"/>
          <w:pgSz w:w="11905" w:h="16838"/>
          <w:pgMar w:top="1383" w:right="1293" w:bottom="1383" w:left="1463" w:header="1077" w:footer="794" w:gutter="0"/>
          <w:cols w:space="0" w:num="1"/>
          <w:titlePg/>
          <w:rtlGutter w:val="0"/>
          <w:docGrid w:type="lines" w:linePitch="313" w:charSpace="0"/>
        </w:sectPr>
      </w:pPr>
      <w:r>
        <w:rPr>
          <w:rFonts w:hint="eastAsia" w:ascii="宋体" w:hAnsi="宋体" w:eastAsia="宋体" w:cs="宋体"/>
          <w:b/>
          <w:color w:val="auto"/>
          <w:szCs w:val="28"/>
        </w:rPr>
        <w:t>本合同仅供参考，以后期签订合同为准！</w:t>
      </w:r>
    </w:p>
    <w:p w14:paraId="40976906">
      <w:pPr>
        <w:spacing w:line="480" w:lineRule="exact"/>
        <w:jc w:val="center"/>
        <w:rPr>
          <w:rFonts w:ascii="Times New Roman" w:hAnsi="Times New Roman" w:eastAsia="楷体" w:cs="Times New Roman"/>
          <w:b/>
          <w:color w:val="auto"/>
          <w:spacing w:val="8"/>
          <w:sz w:val="30"/>
          <w:szCs w:val="30"/>
          <w:lang w:val="en-US" w:eastAsia="zh-CN" w:bidi="ar-SA"/>
        </w:rPr>
      </w:pPr>
      <w:bookmarkStart w:id="17" w:name="_Toc25533"/>
      <w:r>
        <w:rPr>
          <w:rFonts w:ascii="Times New Roman" w:hAnsi="Times New Roman" w:eastAsia="楷体" w:cs="Times New Roman"/>
          <w:b/>
          <w:color w:val="auto"/>
          <w:spacing w:val="8"/>
          <w:sz w:val="30"/>
          <w:szCs w:val="30"/>
          <w:lang w:val="en-US" w:eastAsia="zh-CN" w:bidi="ar-SA"/>
        </w:rPr>
        <w:t>第七部分  征集响应文件格式</w:t>
      </w:r>
      <w:bookmarkEnd w:id="17"/>
    </w:p>
    <w:p w14:paraId="555244A9">
      <w:pPr>
        <w:pStyle w:val="24"/>
        <w:ind w:firstLine="0"/>
        <w:rPr>
          <w:rFonts w:ascii="Times New Roman" w:eastAsia="楷体"/>
          <w:color w:val="auto"/>
          <w:sz w:val="24"/>
        </w:rPr>
      </w:pPr>
    </w:p>
    <w:p w14:paraId="083EB18F">
      <w:pPr>
        <w:rPr>
          <w:rFonts w:eastAsia="楷体"/>
          <w:color w:val="auto"/>
        </w:rPr>
      </w:pPr>
    </w:p>
    <w:p w14:paraId="0CA8760F">
      <w:pPr>
        <w:jc w:val="right"/>
        <w:outlineLvl w:val="0"/>
        <w:rPr>
          <w:rFonts w:hint="default" w:ascii="宋体" w:hAnsi="宋体" w:eastAsia="宋体" w:cs="宋体"/>
          <w:b/>
          <w:sz w:val="24"/>
          <w:szCs w:val="24"/>
          <w:lang w:val="en-US"/>
        </w:rPr>
      </w:pPr>
      <w:r>
        <w:rPr>
          <w:rFonts w:hint="eastAsia" w:ascii="宋体" w:hAnsi="宋体" w:eastAsia="宋体" w:cs="宋体"/>
          <w:b/>
          <w:sz w:val="24"/>
          <w:szCs w:val="24"/>
        </w:rPr>
        <w:t>项目编号：</w:t>
      </w:r>
      <w:r>
        <w:rPr>
          <w:rFonts w:hint="eastAsia" w:ascii="宋体" w:hAnsi="宋体" w:cs="宋体"/>
          <w:b/>
          <w:sz w:val="24"/>
          <w:szCs w:val="24"/>
          <w:lang w:val="en-US" w:eastAsia="zh-CN"/>
        </w:rPr>
        <w:t>XJJB-2025-003</w:t>
      </w:r>
    </w:p>
    <w:p w14:paraId="1107F17D">
      <w:pPr>
        <w:pStyle w:val="53"/>
        <w:rPr>
          <w:rFonts w:ascii="Times New Roman" w:hAnsi="Times New Roman" w:eastAsia="楷体" w:cs="Times New Roman"/>
          <w:color w:val="auto"/>
        </w:rPr>
      </w:pPr>
    </w:p>
    <w:p w14:paraId="57DFD4FC">
      <w:pPr>
        <w:pStyle w:val="22"/>
        <w:spacing w:line="360" w:lineRule="auto"/>
        <w:ind w:left="0" w:leftChars="0" w:firstLine="0" w:firstLineChars="0"/>
        <w:rPr>
          <w:rFonts w:ascii="Times New Roman" w:eastAsia="楷体"/>
          <w:color w:val="auto"/>
        </w:rPr>
      </w:pPr>
    </w:p>
    <w:p w14:paraId="2E35AE95">
      <w:pPr>
        <w:spacing w:line="360" w:lineRule="auto"/>
        <w:jc w:val="center"/>
        <w:outlineLvl w:val="0"/>
        <w:rPr>
          <w:rFonts w:hint="default" w:ascii="宋体" w:hAnsi="宋体" w:eastAsia="宋体" w:cs="宋体"/>
          <w:b/>
          <w:bCs/>
          <w:color w:val="auto"/>
          <w:sz w:val="48"/>
          <w:szCs w:val="48"/>
          <w:lang w:val="en-US" w:eastAsia="zh-CN"/>
        </w:rPr>
      </w:pPr>
      <w:r>
        <w:rPr>
          <w:rFonts w:hint="eastAsia" w:ascii="宋体" w:hAnsi="宋体" w:eastAsia="宋体" w:cs="宋体"/>
          <w:b/>
          <w:bCs/>
          <w:color w:val="auto"/>
          <w:sz w:val="48"/>
          <w:szCs w:val="48"/>
          <w:lang w:val="en-US" w:eastAsia="zh-CN"/>
        </w:rPr>
        <w:t>巩留县财政局2025年度政府投资项目工程造价咨询服务采购项目框架协议</w:t>
      </w:r>
    </w:p>
    <w:p w14:paraId="266A84E0">
      <w:pPr>
        <w:jc w:val="center"/>
        <w:rPr>
          <w:rFonts w:eastAsia="楷体"/>
          <w:color w:val="auto"/>
          <w:sz w:val="84"/>
        </w:rPr>
      </w:pPr>
    </w:p>
    <w:p w14:paraId="05B9EF97">
      <w:pPr>
        <w:jc w:val="center"/>
        <w:rPr>
          <w:rFonts w:eastAsia="楷体"/>
          <w:color w:val="auto"/>
          <w:sz w:val="84"/>
        </w:rPr>
      </w:pPr>
    </w:p>
    <w:p w14:paraId="722DBF57">
      <w:pPr>
        <w:pStyle w:val="20"/>
      </w:pPr>
    </w:p>
    <w:p w14:paraId="78EC8D43">
      <w:pPr>
        <w:jc w:val="center"/>
        <w:rPr>
          <w:rFonts w:eastAsia="楷体"/>
          <w:b/>
          <w:bCs/>
          <w:color w:val="auto"/>
          <w:sz w:val="84"/>
        </w:rPr>
      </w:pPr>
      <w:r>
        <w:rPr>
          <w:rFonts w:eastAsia="楷体"/>
          <w:b/>
          <w:bCs/>
          <w:color w:val="auto"/>
          <w:sz w:val="84"/>
        </w:rPr>
        <w:t>响 应 文 件</w:t>
      </w:r>
    </w:p>
    <w:p w14:paraId="0474FB65">
      <w:pPr>
        <w:rPr>
          <w:rFonts w:eastAsia="楷体"/>
          <w:color w:val="auto"/>
          <w:sz w:val="24"/>
        </w:rPr>
      </w:pPr>
    </w:p>
    <w:p w14:paraId="438FEBF2">
      <w:pPr>
        <w:rPr>
          <w:rFonts w:eastAsia="楷体"/>
          <w:color w:val="auto"/>
          <w:sz w:val="24"/>
        </w:rPr>
      </w:pPr>
    </w:p>
    <w:p w14:paraId="4611EE66">
      <w:pPr>
        <w:rPr>
          <w:rFonts w:eastAsia="楷体"/>
          <w:color w:val="auto"/>
          <w:sz w:val="24"/>
        </w:rPr>
      </w:pPr>
    </w:p>
    <w:p w14:paraId="553A0B65">
      <w:pPr>
        <w:rPr>
          <w:rFonts w:eastAsia="楷体"/>
          <w:color w:val="auto"/>
          <w:sz w:val="24"/>
        </w:rPr>
      </w:pPr>
    </w:p>
    <w:p w14:paraId="0542C0BA">
      <w:pPr>
        <w:pStyle w:val="24"/>
        <w:ind w:firstLine="0"/>
        <w:rPr>
          <w:rFonts w:ascii="Times New Roman" w:eastAsia="楷体"/>
          <w:color w:val="auto"/>
          <w:sz w:val="24"/>
        </w:rPr>
      </w:pPr>
    </w:p>
    <w:p w14:paraId="7B2C8823">
      <w:pPr>
        <w:pStyle w:val="11"/>
        <w:rPr>
          <w:rFonts w:eastAsia="楷体"/>
          <w:color w:val="auto"/>
        </w:rPr>
      </w:pPr>
    </w:p>
    <w:p w14:paraId="35AA71F4">
      <w:pPr>
        <w:rPr>
          <w:rFonts w:eastAsia="楷体"/>
          <w:color w:val="auto"/>
        </w:rPr>
      </w:pPr>
    </w:p>
    <w:p w14:paraId="430FDB85">
      <w:pPr>
        <w:pStyle w:val="20"/>
        <w:rPr>
          <w:rFonts w:eastAsia="楷体"/>
          <w:color w:val="auto"/>
        </w:rPr>
      </w:pPr>
    </w:p>
    <w:p w14:paraId="61DA37A0">
      <w:pPr>
        <w:pStyle w:val="14"/>
        <w:rPr>
          <w:rFonts w:eastAsia="楷体"/>
          <w:color w:val="auto"/>
        </w:rPr>
      </w:pPr>
    </w:p>
    <w:p w14:paraId="40495E4B">
      <w:pPr>
        <w:rPr>
          <w:rFonts w:eastAsia="楷体"/>
          <w:color w:val="auto"/>
        </w:rPr>
      </w:pPr>
    </w:p>
    <w:p w14:paraId="7EE27816">
      <w:pPr>
        <w:pStyle w:val="20"/>
        <w:rPr>
          <w:rFonts w:eastAsia="楷体"/>
          <w:color w:val="auto"/>
        </w:rPr>
      </w:pPr>
    </w:p>
    <w:p w14:paraId="08DA9E00">
      <w:pPr>
        <w:pStyle w:val="14"/>
        <w:rPr>
          <w:rFonts w:eastAsia="楷体"/>
          <w:color w:val="auto"/>
        </w:rPr>
      </w:pPr>
    </w:p>
    <w:p w14:paraId="6CEAB280">
      <w:pPr>
        <w:rPr>
          <w:rFonts w:eastAsia="楷体"/>
          <w:color w:val="auto"/>
        </w:rPr>
      </w:pPr>
    </w:p>
    <w:p w14:paraId="466655CB">
      <w:pPr>
        <w:pStyle w:val="20"/>
      </w:pPr>
    </w:p>
    <w:p w14:paraId="34118FB3">
      <w:pPr>
        <w:rPr>
          <w:rFonts w:eastAsia="楷体"/>
          <w:color w:val="auto"/>
        </w:rPr>
      </w:pPr>
    </w:p>
    <w:p w14:paraId="45927D0D">
      <w:pPr>
        <w:rPr>
          <w:rFonts w:eastAsia="楷体"/>
          <w:color w:val="auto"/>
          <w:sz w:val="24"/>
        </w:rPr>
      </w:pPr>
    </w:p>
    <w:p w14:paraId="5AF77CE4">
      <w:pPr>
        <w:keepNext w:val="0"/>
        <w:keepLines w:val="0"/>
        <w:pageBreakBefore w:val="0"/>
        <w:widowControl w:val="0"/>
        <w:kinsoku/>
        <w:wordWrap/>
        <w:overflowPunct/>
        <w:topLinePunct w:val="0"/>
        <w:autoSpaceDE/>
        <w:autoSpaceDN/>
        <w:bidi w:val="0"/>
        <w:adjustRightInd/>
        <w:snapToGrid/>
        <w:spacing w:line="360" w:lineRule="auto"/>
        <w:ind w:firstLine="898" w:firstLineChars="300"/>
        <w:jc w:val="both"/>
        <w:rPr>
          <w:rFonts w:hint="eastAsia" w:ascii="宋体" w:hAnsi="宋体" w:eastAsia="宋体" w:cs="宋体"/>
          <w:b/>
          <w:bCs/>
          <w:color w:val="auto"/>
          <w:spacing w:val="-1"/>
          <w:sz w:val="30"/>
          <w:szCs w:val="30"/>
          <w:lang w:eastAsia="zh-CN"/>
        </w:rPr>
      </w:pPr>
      <w:r>
        <w:rPr>
          <w:rFonts w:hint="eastAsia" w:ascii="宋体" w:hAnsi="宋体" w:eastAsia="宋体" w:cs="宋体"/>
          <w:b/>
          <w:bCs/>
          <w:color w:val="auto"/>
          <w:spacing w:val="-1"/>
          <w:sz w:val="30"/>
          <w:szCs w:val="30"/>
          <w:lang w:val="en-US" w:eastAsia="zh-CN"/>
        </w:rPr>
        <w:t>征集对象</w:t>
      </w:r>
      <w:r>
        <w:rPr>
          <w:rFonts w:hint="eastAsia" w:ascii="宋体" w:hAnsi="宋体" w:eastAsia="宋体" w:cs="宋体"/>
          <w:b/>
          <w:bCs/>
          <w:color w:val="auto"/>
          <w:spacing w:val="-1"/>
          <w:sz w:val="30"/>
          <w:szCs w:val="30"/>
          <w:lang w:eastAsia="zh-CN"/>
        </w:rPr>
        <w:t>：</w:t>
      </w:r>
      <w:r>
        <w:rPr>
          <w:rFonts w:hint="eastAsia" w:ascii="宋体" w:hAnsi="宋体" w:eastAsia="宋体" w:cs="宋体"/>
          <w:b/>
          <w:bCs/>
          <w:color w:val="auto"/>
          <w:spacing w:val="-1"/>
          <w:sz w:val="30"/>
          <w:szCs w:val="30"/>
          <w:u w:val="single"/>
          <w:lang w:val="en-US" w:eastAsia="zh-CN"/>
        </w:rPr>
        <w:t xml:space="preserve">                    </w:t>
      </w:r>
      <w:r>
        <w:rPr>
          <w:rFonts w:hint="eastAsia" w:ascii="宋体" w:hAnsi="宋体" w:eastAsia="宋体" w:cs="宋体"/>
          <w:b/>
          <w:bCs/>
          <w:color w:val="auto"/>
          <w:spacing w:val="-1"/>
          <w:sz w:val="30"/>
          <w:szCs w:val="30"/>
          <w:lang w:eastAsia="zh-CN"/>
        </w:rPr>
        <w:t>（</w:t>
      </w:r>
      <w:r>
        <w:rPr>
          <w:rFonts w:hint="eastAsia" w:ascii="宋体" w:hAnsi="宋体" w:eastAsia="宋体" w:cs="宋体"/>
          <w:b/>
          <w:bCs/>
          <w:color w:val="auto"/>
          <w:spacing w:val="-1"/>
          <w:sz w:val="30"/>
          <w:szCs w:val="30"/>
          <w:lang w:val="en-US" w:eastAsia="zh-CN"/>
        </w:rPr>
        <w:t>盖章</w:t>
      </w:r>
      <w:r>
        <w:rPr>
          <w:rFonts w:hint="eastAsia" w:ascii="宋体" w:hAnsi="宋体" w:eastAsia="宋体" w:cs="宋体"/>
          <w:b/>
          <w:bCs/>
          <w:color w:val="auto"/>
          <w:spacing w:val="-1"/>
          <w:sz w:val="30"/>
          <w:szCs w:val="30"/>
          <w:lang w:eastAsia="zh-CN"/>
        </w:rPr>
        <w:t>）</w:t>
      </w:r>
    </w:p>
    <w:p w14:paraId="316C92F0">
      <w:pPr>
        <w:keepNext w:val="0"/>
        <w:keepLines w:val="0"/>
        <w:pageBreakBefore w:val="0"/>
        <w:widowControl w:val="0"/>
        <w:kinsoku/>
        <w:wordWrap/>
        <w:overflowPunct/>
        <w:topLinePunct w:val="0"/>
        <w:autoSpaceDE/>
        <w:autoSpaceDN/>
        <w:bidi w:val="0"/>
        <w:adjustRightInd/>
        <w:snapToGrid/>
        <w:spacing w:line="360" w:lineRule="auto"/>
        <w:ind w:firstLine="843" w:firstLineChars="300"/>
        <w:jc w:val="both"/>
        <w:rPr>
          <w:rFonts w:hint="eastAsia" w:ascii="宋体" w:hAnsi="宋体" w:cs="宋体"/>
          <w:b/>
          <w:color w:val="auto"/>
          <w:sz w:val="28"/>
          <w:szCs w:val="28"/>
        </w:rPr>
      </w:pPr>
      <w:r>
        <w:rPr>
          <w:rFonts w:hint="eastAsia" w:ascii="宋体" w:hAnsi="宋体" w:cs="宋体"/>
          <w:b/>
          <w:bCs/>
          <w:color w:val="auto"/>
          <w:kern w:val="0"/>
          <w:sz w:val="28"/>
          <w:szCs w:val="28"/>
        </w:rPr>
        <w:t>法定代表人或授权代表（签字或盖章）：</w:t>
      </w:r>
      <w:r>
        <w:rPr>
          <w:rFonts w:hint="eastAsia" w:ascii="宋体" w:hAnsi="宋体" w:cs="宋体"/>
          <w:b/>
          <w:color w:val="auto"/>
          <w:sz w:val="28"/>
          <w:szCs w:val="28"/>
        </w:rPr>
        <w:t>__________</w:t>
      </w:r>
    </w:p>
    <w:p w14:paraId="1D05E8AB">
      <w:pPr>
        <w:pStyle w:val="20"/>
        <w:rPr>
          <w:rFonts w:hint="default"/>
          <w:color w:val="auto"/>
          <w:lang w:val="en-US" w:eastAsia="zh-CN"/>
        </w:rPr>
      </w:pPr>
      <w:r>
        <w:rPr>
          <w:rFonts w:hint="eastAsia" w:ascii="宋体" w:hAnsi="宋体" w:eastAsia="宋体" w:cs="宋体"/>
          <w:b/>
          <w:bCs/>
          <w:color w:val="auto"/>
          <w:spacing w:val="-1"/>
          <w:sz w:val="30"/>
          <w:szCs w:val="30"/>
          <w:lang w:val="en-US" w:eastAsia="zh-CN"/>
        </w:rPr>
        <w:t xml:space="preserve">      </w:t>
      </w:r>
    </w:p>
    <w:p w14:paraId="5E6B2B4C">
      <w:pPr>
        <w:ind w:firstLine="898" w:firstLineChars="300"/>
        <w:jc w:val="both"/>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spacing w:val="-1"/>
          <w:sz w:val="30"/>
          <w:szCs w:val="30"/>
          <w:lang w:val="en-US" w:eastAsia="zh-CN"/>
        </w:rPr>
        <w:t xml:space="preserve">              日期：   年   月   日</w:t>
      </w:r>
    </w:p>
    <w:p w14:paraId="5C245CDB">
      <w:pPr>
        <w:spacing w:line="360" w:lineRule="auto"/>
        <w:jc w:val="center"/>
        <w:outlineLvl w:val="1"/>
        <w:rPr>
          <w:rFonts w:hint="eastAsia" w:ascii="宋体" w:hAnsi="宋体" w:eastAsia="宋体" w:cs="宋体"/>
          <w:color w:val="auto"/>
          <w:spacing w:val="8"/>
          <w:sz w:val="28"/>
        </w:rPr>
      </w:pPr>
    </w:p>
    <w:p w14:paraId="606E1A3D">
      <w:pPr>
        <w:spacing w:line="360" w:lineRule="auto"/>
        <w:jc w:val="center"/>
        <w:outlineLvl w:val="1"/>
        <w:rPr>
          <w:rFonts w:hint="eastAsia" w:ascii="宋体" w:hAnsi="宋体" w:eastAsia="宋体" w:cs="宋体"/>
          <w:color w:val="auto"/>
          <w:sz w:val="24"/>
          <w:u w:val="single"/>
        </w:rPr>
      </w:pPr>
      <w:r>
        <w:rPr>
          <w:rFonts w:hint="eastAsia" w:ascii="宋体" w:hAnsi="宋体" w:eastAsia="宋体" w:cs="宋体"/>
          <w:color w:val="auto"/>
          <w:spacing w:val="8"/>
          <w:sz w:val="32"/>
          <w:szCs w:val="32"/>
        </w:rPr>
        <w:t>1、</w:t>
      </w:r>
      <w:r>
        <w:rPr>
          <w:rFonts w:hint="eastAsia" w:ascii="宋体" w:hAnsi="宋体" w:eastAsia="宋体" w:cs="宋体"/>
          <w:b/>
          <w:color w:val="auto"/>
          <w:spacing w:val="12"/>
          <w:sz w:val="32"/>
          <w:szCs w:val="32"/>
        </w:rPr>
        <w:t>投  标  函</w:t>
      </w:r>
    </w:p>
    <w:p w14:paraId="29359DA7">
      <w:pPr>
        <w:spacing w:line="460" w:lineRule="exact"/>
        <w:rPr>
          <w:rFonts w:hint="eastAsia" w:ascii="宋体" w:hAnsi="宋体" w:eastAsia="宋体" w:cs="宋体"/>
          <w:color w:val="auto"/>
          <w:sz w:val="24"/>
        </w:rPr>
      </w:pPr>
      <w:r>
        <w:rPr>
          <w:rFonts w:hint="eastAsia" w:ascii="宋体" w:hAnsi="宋体" w:eastAsia="宋体" w:cs="宋体"/>
          <w:color w:val="auto"/>
          <w:sz w:val="24"/>
          <w:u w:val="single"/>
        </w:rPr>
        <w:t xml:space="preserve">（征集人）              </w:t>
      </w:r>
      <w:r>
        <w:rPr>
          <w:rFonts w:hint="eastAsia" w:ascii="宋体" w:hAnsi="宋体" w:eastAsia="宋体" w:cs="宋体"/>
          <w:color w:val="auto"/>
          <w:sz w:val="24"/>
        </w:rPr>
        <w:t>：</w:t>
      </w:r>
    </w:p>
    <w:p w14:paraId="77912128">
      <w:pPr>
        <w:adjustRightInd w:val="0"/>
        <w:spacing w:line="460" w:lineRule="exact"/>
        <w:ind w:firstLine="496" w:firstLineChars="207"/>
        <w:jc w:val="left"/>
        <w:rPr>
          <w:rFonts w:hint="eastAsia" w:ascii="宋体" w:hAnsi="宋体" w:eastAsia="宋体" w:cs="宋体"/>
          <w:color w:val="auto"/>
          <w:sz w:val="24"/>
          <w:szCs w:val="22"/>
        </w:rPr>
      </w:pPr>
      <w:r>
        <w:rPr>
          <w:rFonts w:hint="eastAsia" w:ascii="宋体" w:hAnsi="宋体" w:eastAsia="宋体" w:cs="宋体"/>
          <w:color w:val="auto"/>
          <w:sz w:val="24"/>
        </w:rPr>
        <w:t>我们收到贵方</w:t>
      </w:r>
      <w:r>
        <w:rPr>
          <w:rFonts w:hint="eastAsia" w:ascii="宋体" w:hAnsi="宋体" w:eastAsia="宋体" w:cs="宋体"/>
          <w:color w:val="auto"/>
          <w:sz w:val="24"/>
          <w:u w:val="single"/>
        </w:rPr>
        <w:t xml:space="preserve">               </w:t>
      </w:r>
      <w:r>
        <w:rPr>
          <w:rFonts w:hint="eastAsia" w:ascii="宋体" w:hAnsi="宋体" w:eastAsia="宋体" w:cs="宋体"/>
          <w:color w:val="auto"/>
          <w:sz w:val="24"/>
        </w:rPr>
        <w:t>征集文件（项目编号：</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），经详细研究，我们决定参加本项目的投标。</w:t>
      </w:r>
      <w:r>
        <w:rPr>
          <w:rFonts w:hint="eastAsia" w:ascii="宋体" w:hAnsi="宋体" w:eastAsia="宋体" w:cs="宋体"/>
          <w:color w:val="auto"/>
          <w:sz w:val="24"/>
          <w:szCs w:val="24"/>
          <w:lang w:val="zh-CN"/>
        </w:rPr>
        <w:t>正式授权下述签字人</w:t>
      </w:r>
      <w:r>
        <w:rPr>
          <w:rFonts w:hint="eastAsia" w:ascii="宋体" w:hAnsi="宋体" w:eastAsia="宋体" w:cs="宋体"/>
          <w:color w:val="auto"/>
          <w:sz w:val="24"/>
          <w:szCs w:val="24"/>
          <w:u w:val="single"/>
          <w:lang w:val="zh-CN"/>
        </w:rPr>
        <w:t xml:space="preserve">      （姓名和职务）</w:t>
      </w:r>
      <w:r>
        <w:rPr>
          <w:rFonts w:hint="eastAsia" w:ascii="宋体" w:hAnsi="宋体" w:eastAsia="宋体" w:cs="宋体"/>
          <w:color w:val="auto"/>
          <w:sz w:val="24"/>
          <w:u w:val="single"/>
        </w:rPr>
        <w:t xml:space="preserve"> </w:t>
      </w:r>
      <w:r>
        <w:rPr>
          <w:rFonts w:hint="eastAsia" w:ascii="宋体" w:hAnsi="宋体" w:eastAsia="宋体" w:cs="宋体"/>
          <w:color w:val="auto"/>
          <w:sz w:val="24"/>
        </w:rPr>
        <w:t>，全权代表</w:t>
      </w:r>
      <w:r>
        <w:rPr>
          <w:rFonts w:hint="eastAsia" w:ascii="宋体" w:hAnsi="宋体" w:eastAsia="宋体" w:cs="宋体"/>
          <w:color w:val="auto"/>
          <w:sz w:val="24"/>
          <w:u w:val="single"/>
        </w:rPr>
        <w:t xml:space="preserve">       （投标单位名称）</w:t>
      </w:r>
      <w:r>
        <w:rPr>
          <w:rFonts w:hint="eastAsia" w:ascii="宋体" w:hAnsi="宋体" w:eastAsia="宋体" w:cs="宋体"/>
          <w:color w:val="auto"/>
          <w:sz w:val="24"/>
          <w:szCs w:val="22"/>
        </w:rPr>
        <w:t>提交以下资料：</w:t>
      </w:r>
    </w:p>
    <w:p w14:paraId="026A494B">
      <w:pPr>
        <w:adjustRightInd w:val="0"/>
        <w:spacing w:line="460" w:lineRule="exact"/>
        <w:ind w:firstLine="496" w:firstLineChars="207"/>
        <w:jc w:val="left"/>
        <w:rPr>
          <w:rFonts w:hint="eastAsia" w:ascii="宋体" w:hAnsi="宋体" w:eastAsia="宋体" w:cs="宋体"/>
          <w:color w:val="auto"/>
          <w:sz w:val="24"/>
          <w:szCs w:val="22"/>
        </w:rPr>
      </w:pPr>
      <w:r>
        <w:rPr>
          <w:rFonts w:hint="eastAsia" w:ascii="宋体" w:hAnsi="宋体" w:eastAsia="宋体" w:cs="宋体"/>
          <w:color w:val="auto"/>
          <w:sz w:val="24"/>
          <w:szCs w:val="22"/>
        </w:rPr>
        <w:t>1、加密的电子征集响应文件（</w:t>
      </w:r>
      <w:r>
        <w:rPr>
          <w:rFonts w:hint="eastAsia" w:ascii="宋体" w:hAnsi="宋体" w:cs="宋体"/>
          <w:color w:val="auto"/>
          <w:sz w:val="24"/>
          <w:szCs w:val="22"/>
          <w:lang w:val="en-US" w:eastAsia="zh-CN"/>
        </w:rPr>
        <w:t>.</w:t>
      </w:r>
      <w:r>
        <w:rPr>
          <w:rFonts w:hint="eastAsia" w:ascii="宋体" w:hAnsi="宋体" w:eastAsia="宋体" w:cs="宋体"/>
          <w:color w:val="auto"/>
          <w:sz w:val="24"/>
          <w:szCs w:val="22"/>
        </w:rPr>
        <w:t>jmbs），应在文件领取开始时间至征集响应文件递交截止时间前通过“新疆政采云平台”上传，开标时须使用CA秘钥进行文件解密工作。</w:t>
      </w:r>
    </w:p>
    <w:p w14:paraId="03C7F080">
      <w:pPr>
        <w:keepNext w:val="0"/>
        <w:keepLines w:val="0"/>
        <w:pageBreakBefore w:val="0"/>
        <w:widowControl w:val="0"/>
        <w:kinsoku/>
        <w:wordWrap/>
        <w:overflowPunct/>
        <w:topLinePunct w:val="0"/>
        <w:autoSpaceDE/>
        <w:autoSpaceDN/>
        <w:bidi w:val="0"/>
        <w:adjustRightInd/>
        <w:snapToGrid/>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1）我方已详细阅读全部征集文件及有关附件，同意按照征集文件中规定的计费标准和计费方式，承接征集文件规定的内容提供咨询服务，合同履行期限为：</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成果</w:t>
      </w:r>
      <w:r>
        <w:rPr>
          <w:rFonts w:hint="eastAsia" w:ascii="宋体" w:hAnsi="宋体" w:eastAsia="宋体" w:cs="宋体"/>
          <w:color w:val="auto"/>
          <w:sz w:val="24"/>
        </w:rPr>
        <w:t>质量</w:t>
      </w:r>
      <w:r>
        <w:rPr>
          <w:rFonts w:hint="eastAsia" w:ascii="宋体" w:hAnsi="宋体" w:eastAsia="宋体" w:cs="宋体"/>
          <w:color w:val="auto"/>
          <w:sz w:val="24"/>
          <w:lang w:val="en-US" w:eastAsia="zh-CN"/>
        </w:rPr>
        <w:t>达到</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14:paraId="72E991D0">
      <w:pPr>
        <w:keepNext w:val="0"/>
        <w:keepLines w:val="0"/>
        <w:pageBreakBefore w:val="0"/>
        <w:widowControl w:val="0"/>
        <w:kinsoku/>
        <w:wordWrap/>
        <w:overflowPunct/>
        <w:topLinePunct w:val="0"/>
        <w:autoSpaceDE/>
        <w:autoSpaceDN/>
        <w:bidi w:val="0"/>
        <w:adjustRightInd/>
        <w:snapToGrid/>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eastAsia="zh-CN"/>
        </w:rPr>
        <w:t>）</w:t>
      </w:r>
      <w:r>
        <w:rPr>
          <w:rFonts w:hint="eastAsia" w:ascii="宋体" w:hAnsi="宋体" w:eastAsia="宋体" w:cs="宋体"/>
          <w:color w:val="auto"/>
          <w:sz w:val="24"/>
        </w:rPr>
        <w:t>愿意按照《中华人民共和国民法典》和《中华人民共和国政府采购法》及相关法律法规履行自己的责任和义务。</w:t>
      </w:r>
    </w:p>
    <w:p w14:paraId="50EA6D43">
      <w:pPr>
        <w:keepNext w:val="0"/>
        <w:keepLines w:val="0"/>
        <w:pageBreakBefore w:val="0"/>
        <w:widowControl w:val="0"/>
        <w:kinsoku/>
        <w:wordWrap/>
        <w:overflowPunct/>
        <w:topLinePunct w:val="0"/>
        <w:autoSpaceDE/>
        <w:autoSpaceDN/>
        <w:bidi w:val="0"/>
        <w:adjustRightInd/>
        <w:snapToGrid/>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lang w:eastAsia="zh-CN"/>
        </w:rPr>
        <w:t>）</w:t>
      </w:r>
      <w:r>
        <w:rPr>
          <w:rFonts w:hint="eastAsia" w:ascii="宋体" w:hAnsi="宋体" w:eastAsia="宋体" w:cs="宋体"/>
          <w:color w:val="auto"/>
          <w:sz w:val="24"/>
        </w:rPr>
        <w:t>如果我们投标书被接受，我们将履行征集文件中规定的每一项要求，按期、按质、按量完成任务。</w:t>
      </w:r>
    </w:p>
    <w:p w14:paraId="44D86D60">
      <w:pPr>
        <w:keepNext w:val="0"/>
        <w:keepLines w:val="0"/>
        <w:pageBreakBefore w:val="0"/>
        <w:widowControl w:val="0"/>
        <w:kinsoku/>
        <w:wordWrap/>
        <w:overflowPunct/>
        <w:topLinePunct w:val="0"/>
        <w:autoSpaceDE/>
        <w:autoSpaceDN/>
        <w:bidi w:val="0"/>
        <w:adjustRightInd/>
        <w:snapToGrid/>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eastAsia="zh-CN"/>
        </w:rPr>
        <w:t>）</w:t>
      </w:r>
      <w:r>
        <w:rPr>
          <w:rFonts w:hint="eastAsia" w:ascii="宋体" w:hAnsi="宋体" w:eastAsia="宋体" w:cs="宋体"/>
          <w:color w:val="auto"/>
          <w:sz w:val="24"/>
        </w:rPr>
        <w:t>我们愿意提供征集人在征集文件中要求的所有资料。</w:t>
      </w:r>
    </w:p>
    <w:p w14:paraId="795EAC28">
      <w:pPr>
        <w:keepNext w:val="0"/>
        <w:keepLines w:val="0"/>
        <w:pageBreakBefore w:val="0"/>
        <w:widowControl w:val="0"/>
        <w:kinsoku/>
        <w:wordWrap/>
        <w:overflowPunct/>
        <w:topLinePunct w:val="0"/>
        <w:autoSpaceDE/>
        <w:autoSpaceDN/>
        <w:bidi w:val="0"/>
        <w:adjustRightInd/>
        <w:snapToGrid/>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w:t>
      </w:r>
      <w:r>
        <w:rPr>
          <w:rFonts w:hint="eastAsia" w:ascii="宋体" w:hAnsi="宋体" w:eastAsia="宋体" w:cs="宋体"/>
          <w:color w:val="auto"/>
          <w:sz w:val="24"/>
          <w:lang w:eastAsia="zh-CN"/>
        </w:rPr>
        <w:t>）</w:t>
      </w:r>
      <w:r>
        <w:rPr>
          <w:rFonts w:hint="eastAsia" w:ascii="宋体" w:hAnsi="宋体" w:eastAsia="宋体" w:cs="宋体"/>
          <w:color w:val="auto"/>
          <w:sz w:val="24"/>
        </w:rPr>
        <w:t>我们同意按征集文件规定，遵守有关招投标的各项规定。</w:t>
      </w:r>
    </w:p>
    <w:p w14:paraId="5224D0A9">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rPr>
          <w:rFonts w:hint="eastAsia" w:ascii="宋体" w:hAnsi="宋体" w:eastAsia="宋体" w:cs="宋体"/>
          <w:bCs/>
          <w:color w:val="auto"/>
          <w:szCs w:val="24"/>
        </w:rPr>
      </w:pPr>
      <w:r>
        <w:rPr>
          <w:rFonts w:hint="eastAsia" w:ascii="宋体" w:hAnsi="宋体" w:eastAsia="宋体" w:cs="宋体"/>
          <w:color w:val="auto"/>
          <w:szCs w:val="22"/>
        </w:rPr>
        <w:t>6</w:t>
      </w:r>
      <w:r>
        <w:rPr>
          <w:rFonts w:hint="eastAsia" w:ascii="宋体" w:hAnsi="宋体" w:eastAsia="宋体" w:cs="宋体"/>
          <w:color w:val="auto"/>
          <w:szCs w:val="22"/>
          <w:lang w:eastAsia="zh-CN"/>
        </w:rPr>
        <w:t>）</w:t>
      </w:r>
      <w:r>
        <w:rPr>
          <w:rFonts w:hint="eastAsia" w:ascii="宋体" w:hAnsi="宋体" w:eastAsia="宋体" w:cs="宋体"/>
          <w:color w:val="auto"/>
          <w:szCs w:val="22"/>
        </w:rPr>
        <w:t>如果我方中标</w:t>
      </w:r>
      <w:r>
        <w:rPr>
          <w:rFonts w:hint="eastAsia" w:ascii="宋体" w:hAnsi="宋体" w:eastAsia="宋体" w:cs="宋体"/>
          <w:bCs/>
          <w:color w:val="auto"/>
          <w:szCs w:val="24"/>
        </w:rPr>
        <w:t>，同意按征集文件规定向代理机构缴纳代理服务费。</w:t>
      </w:r>
    </w:p>
    <w:p w14:paraId="6A12C725">
      <w:pPr>
        <w:keepNext w:val="0"/>
        <w:keepLines w:val="0"/>
        <w:pageBreakBefore w:val="0"/>
        <w:widowControl w:val="0"/>
        <w:kinsoku/>
        <w:wordWrap/>
        <w:overflowPunct/>
        <w:topLinePunct w:val="0"/>
        <w:autoSpaceDE/>
        <w:autoSpaceDN/>
        <w:bidi w:val="0"/>
        <w:adjustRightInd/>
        <w:snapToGrid/>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7</w:t>
      </w:r>
      <w:r>
        <w:rPr>
          <w:rFonts w:hint="eastAsia" w:ascii="宋体" w:hAnsi="宋体" w:eastAsia="宋体" w:cs="宋体"/>
          <w:color w:val="auto"/>
          <w:sz w:val="24"/>
          <w:lang w:eastAsia="zh-CN"/>
        </w:rPr>
        <w:t>）</w:t>
      </w:r>
      <w:r>
        <w:rPr>
          <w:rFonts w:hint="eastAsia" w:ascii="宋体" w:hAnsi="宋体" w:eastAsia="宋体" w:cs="宋体"/>
          <w:color w:val="auto"/>
          <w:sz w:val="24"/>
        </w:rPr>
        <w:t>我方的投标有效期为开标后</w:t>
      </w:r>
      <w:r>
        <w:rPr>
          <w:rFonts w:hint="eastAsia" w:ascii="宋体" w:hAnsi="宋体" w:eastAsia="宋体" w:cs="宋体"/>
          <w:color w:val="auto"/>
          <w:sz w:val="24"/>
          <w:u w:val="single"/>
        </w:rPr>
        <w:t xml:space="preserve">     </w:t>
      </w:r>
      <w:r>
        <w:rPr>
          <w:rFonts w:hint="eastAsia" w:ascii="宋体" w:hAnsi="宋体" w:eastAsia="宋体" w:cs="宋体"/>
          <w:color w:val="auto"/>
          <w:sz w:val="24"/>
        </w:rPr>
        <w:t>天。</w:t>
      </w:r>
    </w:p>
    <w:p w14:paraId="42D4ED64">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rPr>
      </w:pPr>
    </w:p>
    <w:p w14:paraId="70A8C030">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征集对象</w:t>
      </w:r>
      <w:r>
        <w:rPr>
          <w:rFonts w:hint="eastAsia" w:ascii="宋体" w:hAnsi="宋体" w:eastAsia="宋体" w:cs="宋体"/>
          <w:color w:val="auto"/>
          <w:sz w:val="24"/>
        </w:rPr>
        <w:t xml:space="preserve">：（单位公章）           </w:t>
      </w:r>
    </w:p>
    <w:p w14:paraId="740BE1CB">
      <w:pPr>
        <w:spacing w:line="360" w:lineRule="auto"/>
        <w:ind w:firstLine="240" w:firstLineChars="100"/>
        <w:rPr>
          <w:rFonts w:hint="eastAsia" w:ascii="宋体" w:hAnsi="宋体" w:eastAsia="宋体" w:cs="宋体"/>
          <w:color w:val="auto"/>
          <w:sz w:val="24"/>
        </w:rPr>
      </w:pPr>
    </w:p>
    <w:p w14:paraId="2BBE9013">
      <w:pPr>
        <w:spacing w:line="360" w:lineRule="auto"/>
        <w:ind w:firstLine="3840" w:firstLineChars="1600"/>
        <w:rPr>
          <w:rFonts w:hint="eastAsia" w:ascii="宋体" w:hAnsi="宋体" w:eastAsia="宋体" w:cs="宋体"/>
          <w:color w:val="auto"/>
          <w:sz w:val="24"/>
        </w:rPr>
      </w:pPr>
      <w:r>
        <w:rPr>
          <w:rFonts w:hint="eastAsia" w:ascii="宋体" w:hAnsi="宋体" w:eastAsia="宋体" w:cs="宋体"/>
          <w:color w:val="auto"/>
          <w:sz w:val="24"/>
        </w:rPr>
        <w:t>法定代表人或授权委托人：（签字或盖章）</w:t>
      </w:r>
    </w:p>
    <w:p w14:paraId="45775B3C">
      <w:pPr>
        <w:spacing w:line="360" w:lineRule="auto"/>
        <w:jc w:val="right"/>
        <w:rPr>
          <w:rFonts w:hint="eastAsia" w:ascii="宋体" w:hAnsi="宋体" w:eastAsia="宋体" w:cs="宋体"/>
          <w:color w:val="auto"/>
          <w:sz w:val="24"/>
        </w:rPr>
      </w:pPr>
    </w:p>
    <w:p w14:paraId="6164E561">
      <w:pPr>
        <w:spacing w:line="360" w:lineRule="auto"/>
        <w:ind w:right="480"/>
        <w:jc w:val="center"/>
        <w:rPr>
          <w:rFonts w:hint="eastAsia" w:ascii="宋体" w:hAnsi="宋体" w:eastAsia="宋体" w:cs="宋体"/>
          <w:color w:val="auto"/>
          <w:sz w:val="24"/>
        </w:rPr>
      </w:pPr>
      <w:r>
        <w:rPr>
          <w:rFonts w:hint="eastAsia" w:ascii="宋体" w:hAnsi="宋体" w:eastAsia="宋体" w:cs="宋体"/>
          <w:color w:val="auto"/>
          <w:sz w:val="24"/>
        </w:rPr>
        <w:t xml:space="preserve">                                                       年  月  日</w:t>
      </w:r>
    </w:p>
    <w:p w14:paraId="1949DC32">
      <w:pPr>
        <w:pStyle w:val="11"/>
        <w:ind w:firstLine="480" w:firstLineChars="200"/>
        <w:rPr>
          <w:rFonts w:hint="eastAsia" w:ascii="宋体" w:hAnsi="宋体" w:eastAsia="宋体" w:cs="宋体"/>
          <w:bCs/>
          <w:color w:val="auto"/>
          <w:sz w:val="24"/>
          <w:szCs w:val="24"/>
        </w:rPr>
      </w:pPr>
    </w:p>
    <w:p w14:paraId="13A6512F">
      <w:pPr>
        <w:pStyle w:val="11"/>
        <w:ind w:firstLine="480" w:firstLineChars="200"/>
        <w:rPr>
          <w:rFonts w:hint="eastAsia" w:ascii="宋体" w:hAnsi="宋体" w:eastAsia="宋体" w:cs="宋体"/>
          <w:b/>
          <w:color w:val="auto"/>
          <w:szCs w:val="28"/>
        </w:rPr>
      </w:pPr>
      <w:r>
        <w:rPr>
          <w:rFonts w:hint="eastAsia" w:ascii="宋体" w:hAnsi="宋体" w:eastAsia="宋体" w:cs="宋体"/>
          <w:bCs/>
          <w:color w:val="auto"/>
          <w:sz w:val="24"/>
          <w:szCs w:val="24"/>
        </w:rPr>
        <w:t>注：除可填报内容外，对本投标函的任何修改将被视为非实质性响应投标，在评标时将其视为投标无效。</w:t>
      </w:r>
    </w:p>
    <w:p w14:paraId="3FA0D6CB">
      <w:pPr>
        <w:spacing w:line="360" w:lineRule="auto"/>
        <w:jc w:val="center"/>
        <w:rPr>
          <w:rFonts w:hint="eastAsia" w:ascii="宋体" w:hAnsi="宋体" w:eastAsia="宋体" w:cs="宋体"/>
          <w:b/>
          <w:color w:val="auto"/>
          <w:spacing w:val="12"/>
          <w:sz w:val="30"/>
        </w:rPr>
      </w:pPr>
    </w:p>
    <w:p w14:paraId="3D5B15A3">
      <w:pPr>
        <w:pStyle w:val="28"/>
        <w:spacing w:line="360" w:lineRule="auto"/>
        <w:outlineLvl w:val="1"/>
        <w:rPr>
          <w:rFonts w:hint="eastAsia" w:ascii="宋体" w:hAnsi="宋体" w:eastAsia="宋体" w:cs="宋体"/>
          <w:color w:val="auto"/>
          <w:sz w:val="28"/>
          <w:szCs w:val="28"/>
        </w:rPr>
      </w:pPr>
    </w:p>
    <w:p w14:paraId="15D0EA39">
      <w:pPr>
        <w:spacing w:before="80" w:line="185" w:lineRule="auto"/>
        <w:ind w:firstLine="90"/>
        <w:jc w:val="center"/>
        <w:rPr>
          <w:rFonts w:hint="eastAsia" w:ascii="宋体" w:hAnsi="宋体" w:eastAsia="宋体" w:cs="宋体"/>
          <w:b/>
          <w:bCs/>
          <w:color w:val="auto"/>
          <w:sz w:val="32"/>
          <w:szCs w:val="32"/>
          <w:lang w:eastAsia="zh-CN"/>
        </w:rPr>
      </w:pPr>
    </w:p>
    <w:p w14:paraId="75CFA460">
      <w:pPr>
        <w:spacing w:before="80" w:line="185" w:lineRule="auto"/>
        <w:ind w:firstLine="90"/>
        <w:jc w:val="cente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eastAsia="zh-CN"/>
        </w:rPr>
        <w:t>（</w:t>
      </w:r>
      <w:r>
        <w:rPr>
          <w:rFonts w:hint="eastAsia" w:ascii="宋体" w:hAnsi="宋体" w:eastAsia="宋体" w:cs="宋体"/>
          <w:b/>
          <w:bCs/>
          <w:color w:val="auto"/>
          <w:sz w:val="32"/>
          <w:szCs w:val="32"/>
          <w:lang w:val="en-US" w:eastAsia="zh-CN"/>
        </w:rPr>
        <w:t>2</w:t>
      </w:r>
      <w:r>
        <w:rPr>
          <w:rFonts w:hint="eastAsia" w:ascii="宋体" w:hAnsi="宋体" w:eastAsia="宋体" w:cs="宋体"/>
          <w:b/>
          <w:bCs/>
          <w:color w:val="auto"/>
          <w:sz w:val="32"/>
          <w:szCs w:val="32"/>
          <w:lang w:eastAsia="zh-CN"/>
        </w:rPr>
        <w:t>）</w:t>
      </w:r>
      <w:r>
        <w:rPr>
          <w:rFonts w:hint="eastAsia" w:ascii="宋体" w:hAnsi="宋体" w:eastAsia="宋体" w:cs="宋体"/>
          <w:b/>
          <w:bCs/>
          <w:color w:val="auto"/>
          <w:sz w:val="32"/>
          <w:szCs w:val="32"/>
        </w:rPr>
        <w:t>投标保证金</w:t>
      </w:r>
      <w:r>
        <w:rPr>
          <w:rFonts w:hint="eastAsia" w:ascii="宋体" w:hAnsi="宋体" w:eastAsia="宋体" w:cs="宋体"/>
          <w:b/>
          <w:bCs/>
          <w:color w:val="auto"/>
          <w:sz w:val="32"/>
          <w:szCs w:val="32"/>
          <w:lang w:val="en-US" w:eastAsia="zh-CN"/>
        </w:rPr>
        <w:t>或保函</w:t>
      </w:r>
    </w:p>
    <w:p w14:paraId="31C6FB87">
      <w:pPr>
        <w:rPr>
          <w:color w:val="auto"/>
        </w:rPr>
      </w:pPr>
    </w:p>
    <w:p w14:paraId="6A7D3C7D">
      <w:pPr>
        <w:rPr>
          <w:color w:val="auto"/>
        </w:rPr>
      </w:pPr>
    </w:p>
    <w:p w14:paraId="4CB67910">
      <w:pPr>
        <w:rPr>
          <w:color w:val="auto"/>
        </w:rPr>
      </w:pPr>
    </w:p>
    <w:p w14:paraId="7EBCE659">
      <w:pPr>
        <w:spacing w:line="16" w:lineRule="exact"/>
        <w:rPr>
          <w:color w:val="auto"/>
        </w:rPr>
      </w:pPr>
    </w:p>
    <w:tbl>
      <w:tblPr>
        <w:tblStyle w:val="73"/>
        <w:tblW w:w="900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04"/>
      </w:tblGrid>
      <w:tr w14:paraId="647897C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619" w:hRule="atLeast"/>
        </w:trPr>
        <w:tc>
          <w:tcPr>
            <w:tcW w:w="9004" w:type="dxa"/>
            <w:noWrap w:val="0"/>
            <w:vAlign w:val="top"/>
          </w:tcPr>
          <w:p w14:paraId="5DDFCB78">
            <w:pPr>
              <w:spacing w:line="268" w:lineRule="auto"/>
              <w:rPr>
                <w:rFonts w:ascii="宋体"/>
                <w:color w:val="auto"/>
                <w:sz w:val="21"/>
              </w:rPr>
            </w:pPr>
          </w:p>
          <w:p w14:paraId="10B6FEE7">
            <w:pPr>
              <w:spacing w:line="268" w:lineRule="auto"/>
              <w:rPr>
                <w:rFonts w:ascii="宋体"/>
                <w:color w:val="auto"/>
                <w:sz w:val="21"/>
              </w:rPr>
            </w:pPr>
          </w:p>
          <w:p w14:paraId="1C6DAF1B">
            <w:pPr>
              <w:spacing w:line="268" w:lineRule="auto"/>
              <w:rPr>
                <w:rFonts w:ascii="宋体"/>
                <w:color w:val="auto"/>
                <w:sz w:val="21"/>
              </w:rPr>
            </w:pPr>
          </w:p>
          <w:p w14:paraId="2D14D456">
            <w:pPr>
              <w:spacing w:line="268" w:lineRule="auto"/>
              <w:rPr>
                <w:rFonts w:ascii="宋体"/>
                <w:color w:val="auto"/>
                <w:sz w:val="21"/>
              </w:rPr>
            </w:pPr>
          </w:p>
          <w:p w14:paraId="10FA3F00">
            <w:pPr>
              <w:spacing w:line="268" w:lineRule="auto"/>
              <w:rPr>
                <w:rFonts w:ascii="宋体"/>
                <w:color w:val="auto"/>
                <w:sz w:val="21"/>
              </w:rPr>
            </w:pPr>
          </w:p>
          <w:p w14:paraId="22AECF58">
            <w:pPr>
              <w:spacing w:line="269" w:lineRule="auto"/>
              <w:rPr>
                <w:rFonts w:ascii="宋体"/>
                <w:color w:val="auto"/>
                <w:sz w:val="21"/>
              </w:rPr>
            </w:pPr>
          </w:p>
          <w:p w14:paraId="37EC2811">
            <w:pPr>
              <w:spacing w:before="78" w:line="185" w:lineRule="auto"/>
              <w:ind w:firstLine="1887"/>
              <w:rPr>
                <w:rFonts w:ascii="宋体" w:hAnsi="宋体" w:eastAsia="宋体" w:cs="宋体"/>
                <w:color w:val="auto"/>
                <w:sz w:val="24"/>
                <w:szCs w:val="24"/>
              </w:rPr>
            </w:pPr>
            <w:r>
              <w:rPr>
                <w:rFonts w:ascii="宋体" w:hAnsi="宋体" w:eastAsia="宋体" w:cs="宋体"/>
                <w:color w:val="auto"/>
                <w:spacing w:val="-10"/>
                <w:sz w:val="24"/>
                <w:szCs w:val="24"/>
              </w:rPr>
              <w:t>附：</w:t>
            </w:r>
            <w:r>
              <w:rPr>
                <w:rFonts w:ascii="宋体" w:hAnsi="宋体" w:eastAsia="宋体" w:cs="宋体"/>
                <w:color w:val="auto"/>
                <w:spacing w:val="71"/>
                <w:sz w:val="24"/>
                <w:szCs w:val="24"/>
              </w:rPr>
              <w:t xml:space="preserve"> </w:t>
            </w:r>
            <w:r>
              <w:rPr>
                <w:rFonts w:ascii="宋体" w:hAnsi="宋体" w:eastAsia="宋体" w:cs="宋体"/>
                <w:color w:val="auto"/>
                <w:spacing w:val="-10"/>
                <w:sz w:val="24"/>
                <w:szCs w:val="24"/>
              </w:rPr>
              <w:t>提交银行转账凭证复印件或保函原件扫描件。</w:t>
            </w:r>
          </w:p>
        </w:tc>
      </w:tr>
    </w:tbl>
    <w:p w14:paraId="2EF69BED">
      <w:pPr>
        <w:spacing w:line="443" w:lineRule="auto"/>
        <w:rPr>
          <w:rFonts w:ascii="宋体"/>
          <w:color w:val="auto"/>
          <w:sz w:val="21"/>
        </w:rPr>
      </w:pPr>
    </w:p>
    <w:p w14:paraId="6CB87ECF">
      <w:pPr>
        <w:spacing w:line="270" w:lineRule="auto"/>
        <w:rPr>
          <w:rFonts w:ascii="宋体"/>
          <w:color w:val="auto"/>
          <w:sz w:val="21"/>
        </w:rPr>
      </w:pPr>
    </w:p>
    <w:p w14:paraId="30BFCE7E">
      <w:pPr>
        <w:spacing w:line="270" w:lineRule="auto"/>
        <w:rPr>
          <w:rFonts w:ascii="宋体"/>
          <w:color w:val="auto"/>
          <w:sz w:val="21"/>
        </w:rPr>
      </w:pPr>
    </w:p>
    <w:p w14:paraId="5EFEAE55">
      <w:pPr>
        <w:spacing w:line="252" w:lineRule="auto"/>
        <w:rPr>
          <w:rFonts w:ascii="宋体"/>
          <w:color w:val="auto"/>
          <w:sz w:val="21"/>
        </w:rPr>
      </w:pPr>
    </w:p>
    <w:p w14:paraId="7EDA36E7">
      <w:pPr>
        <w:spacing w:line="252" w:lineRule="auto"/>
        <w:rPr>
          <w:rFonts w:ascii="宋体"/>
          <w:color w:val="auto"/>
          <w:sz w:val="21"/>
        </w:rPr>
      </w:pPr>
    </w:p>
    <w:p w14:paraId="60DEC049">
      <w:pPr>
        <w:spacing w:line="252" w:lineRule="auto"/>
        <w:rPr>
          <w:rFonts w:ascii="宋体"/>
          <w:color w:val="auto"/>
          <w:sz w:val="21"/>
        </w:rPr>
      </w:pPr>
    </w:p>
    <w:p w14:paraId="3A6B7787">
      <w:pPr>
        <w:spacing w:line="252" w:lineRule="auto"/>
        <w:rPr>
          <w:rFonts w:ascii="宋体"/>
          <w:color w:val="auto"/>
          <w:sz w:val="21"/>
        </w:rPr>
      </w:pPr>
    </w:p>
    <w:p w14:paraId="3A6D5D7E">
      <w:pPr>
        <w:spacing w:line="252" w:lineRule="auto"/>
        <w:rPr>
          <w:rFonts w:ascii="宋体"/>
          <w:color w:val="auto"/>
          <w:sz w:val="21"/>
        </w:rPr>
      </w:pPr>
    </w:p>
    <w:p w14:paraId="07671FC0">
      <w:pPr>
        <w:spacing w:line="360" w:lineRule="auto"/>
        <w:rPr>
          <w:rFonts w:hint="eastAsia" w:ascii="宋体" w:hAnsi="宋体" w:cs="宋体"/>
          <w:color w:val="auto"/>
          <w:sz w:val="24"/>
        </w:rPr>
      </w:pPr>
    </w:p>
    <w:p w14:paraId="11B09394">
      <w:pPr>
        <w:spacing w:line="360" w:lineRule="auto"/>
        <w:jc w:val="center"/>
        <w:rPr>
          <w:rFonts w:hint="eastAsia" w:ascii="宋体" w:hAnsi="宋体" w:cs="宋体"/>
          <w:color w:val="auto"/>
          <w:sz w:val="24"/>
        </w:rPr>
      </w:pP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eastAsia="zh-CN"/>
        </w:rPr>
        <w:t>征集对象</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cs="宋体"/>
          <w:color w:val="auto"/>
          <w:sz w:val="24"/>
        </w:rPr>
        <w:t xml:space="preserve">（盖公章）                     </w:t>
      </w:r>
    </w:p>
    <w:p w14:paraId="2836382F">
      <w:pPr>
        <w:spacing w:line="360" w:lineRule="auto"/>
        <w:rPr>
          <w:rFonts w:hint="eastAsia" w:ascii="宋体" w:hAnsi="宋体" w:cs="宋体"/>
          <w:color w:val="auto"/>
          <w:sz w:val="24"/>
        </w:rPr>
      </w:pPr>
      <w:r>
        <w:rPr>
          <w:rFonts w:hint="eastAsia" w:ascii="宋体" w:hAnsi="宋体" w:cs="宋体"/>
          <w:color w:val="auto"/>
          <w:sz w:val="24"/>
        </w:rPr>
        <w:t xml:space="preserve">                                               日   期：   年  月  日</w:t>
      </w:r>
    </w:p>
    <w:p w14:paraId="4024108D">
      <w:pPr>
        <w:spacing w:line="253" w:lineRule="auto"/>
        <w:rPr>
          <w:rFonts w:ascii="宋体"/>
          <w:color w:val="auto"/>
          <w:sz w:val="21"/>
        </w:rPr>
      </w:pPr>
    </w:p>
    <w:p w14:paraId="2D644127">
      <w:pPr>
        <w:spacing w:line="253" w:lineRule="auto"/>
        <w:rPr>
          <w:rFonts w:ascii="宋体"/>
          <w:color w:val="auto"/>
          <w:sz w:val="21"/>
        </w:rPr>
      </w:pPr>
    </w:p>
    <w:p w14:paraId="4B5201F8">
      <w:pPr>
        <w:spacing w:line="253" w:lineRule="auto"/>
        <w:rPr>
          <w:rFonts w:ascii="宋体"/>
          <w:color w:val="auto"/>
          <w:sz w:val="21"/>
        </w:rPr>
      </w:pPr>
    </w:p>
    <w:p w14:paraId="32FA7C8C">
      <w:pPr>
        <w:spacing w:line="253" w:lineRule="auto"/>
        <w:rPr>
          <w:rFonts w:ascii="宋体"/>
          <w:color w:val="auto"/>
          <w:sz w:val="21"/>
        </w:rPr>
      </w:pPr>
    </w:p>
    <w:p w14:paraId="450B2AC4">
      <w:pPr>
        <w:spacing w:line="253" w:lineRule="auto"/>
        <w:rPr>
          <w:rFonts w:ascii="宋体"/>
          <w:color w:val="auto"/>
          <w:sz w:val="21"/>
        </w:rPr>
      </w:pPr>
    </w:p>
    <w:p w14:paraId="71DACC4D">
      <w:pPr>
        <w:spacing w:line="253" w:lineRule="auto"/>
        <w:rPr>
          <w:rFonts w:ascii="宋体"/>
          <w:color w:val="auto"/>
          <w:sz w:val="21"/>
        </w:rPr>
      </w:pPr>
    </w:p>
    <w:p w14:paraId="63B91EAC">
      <w:pPr>
        <w:spacing w:line="253" w:lineRule="auto"/>
        <w:rPr>
          <w:rFonts w:ascii="宋体"/>
          <w:color w:val="auto"/>
          <w:sz w:val="21"/>
        </w:rPr>
      </w:pPr>
    </w:p>
    <w:p w14:paraId="42A1D8B7">
      <w:pPr>
        <w:spacing w:line="253" w:lineRule="auto"/>
        <w:rPr>
          <w:rFonts w:ascii="宋体"/>
          <w:color w:val="auto"/>
          <w:sz w:val="21"/>
        </w:rPr>
      </w:pPr>
    </w:p>
    <w:p w14:paraId="63B84C30">
      <w:pPr>
        <w:spacing w:line="253" w:lineRule="auto"/>
        <w:rPr>
          <w:rFonts w:ascii="宋体"/>
          <w:color w:val="auto"/>
          <w:sz w:val="21"/>
        </w:rPr>
      </w:pPr>
    </w:p>
    <w:p w14:paraId="7E9891FD">
      <w:pPr>
        <w:pStyle w:val="20"/>
        <w:jc w:val="center"/>
        <w:rPr>
          <w:rFonts w:hint="eastAsia" w:ascii="宋体" w:hAnsi="宋体" w:cs="宋体"/>
          <w:b/>
          <w:bCs/>
          <w:color w:val="auto"/>
          <w:sz w:val="32"/>
          <w:szCs w:val="32"/>
          <w:lang w:val="zh-CN"/>
        </w:rPr>
      </w:pPr>
    </w:p>
    <w:p w14:paraId="61FE0583">
      <w:pPr>
        <w:pStyle w:val="20"/>
        <w:jc w:val="center"/>
        <w:rPr>
          <w:rFonts w:hint="eastAsia" w:ascii="宋体" w:hAnsi="宋体" w:cs="宋体"/>
          <w:b/>
          <w:bCs/>
          <w:color w:val="auto"/>
          <w:sz w:val="32"/>
          <w:szCs w:val="32"/>
          <w:lang w:val="zh-CN"/>
        </w:rPr>
      </w:pPr>
    </w:p>
    <w:p w14:paraId="19AA4B40">
      <w:pPr>
        <w:pStyle w:val="20"/>
        <w:jc w:val="center"/>
        <w:rPr>
          <w:rFonts w:hint="default" w:eastAsia="宋体"/>
          <w:color w:val="auto"/>
          <w:lang w:val="en-US" w:eastAsia="zh-CN"/>
        </w:rPr>
      </w:pPr>
      <w:r>
        <w:rPr>
          <w:rFonts w:hint="eastAsia" w:ascii="宋体" w:hAnsi="宋体" w:cs="宋体"/>
          <w:b/>
          <w:bCs/>
          <w:color w:val="auto"/>
          <w:sz w:val="32"/>
          <w:szCs w:val="32"/>
          <w:lang w:val="zh-CN"/>
        </w:rPr>
        <w:t>（</w:t>
      </w:r>
      <w:r>
        <w:rPr>
          <w:rFonts w:hint="eastAsia" w:ascii="宋体" w:hAnsi="宋体" w:cs="宋体"/>
          <w:b/>
          <w:bCs/>
          <w:color w:val="auto"/>
          <w:sz w:val="32"/>
          <w:szCs w:val="32"/>
          <w:lang w:val="en-US" w:eastAsia="zh-CN"/>
        </w:rPr>
        <w:t>3</w:t>
      </w:r>
      <w:r>
        <w:rPr>
          <w:rFonts w:hint="eastAsia" w:ascii="宋体" w:hAnsi="宋体" w:cs="宋体"/>
          <w:b/>
          <w:bCs/>
          <w:color w:val="auto"/>
          <w:sz w:val="32"/>
          <w:szCs w:val="32"/>
          <w:lang w:val="zh-CN"/>
        </w:rPr>
        <w:t>）法定代表人证明书</w:t>
      </w:r>
      <w:r>
        <w:rPr>
          <w:rFonts w:hint="eastAsia" w:ascii="宋体" w:hAnsi="宋体" w:eastAsia="宋体" w:cs="宋体"/>
          <w:b/>
          <w:bCs/>
          <w:color w:val="auto"/>
          <w:sz w:val="32"/>
          <w:szCs w:val="32"/>
          <w:lang w:val="en-US" w:eastAsia="zh-CN"/>
        </w:rPr>
        <w:t>及身份证</w:t>
      </w:r>
    </w:p>
    <w:p w14:paraId="61409789">
      <w:pPr>
        <w:pStyle w:val="20"/>
        <w:rPr>
          <w:rFonts w:ascii="宋体"/>
          <w:color w:val="auto"/>
          <w:sz w:val="21"/>
        </w:rPr>
      </w:pPr>
    </w:p>
    <w:p w14:paraId="6360C126">
      <w:pPr>
        <w:pStyle w:val="14"/>
        <w:rPr>
          <w:rFonts w:ascii="宋体"/>
          <w:color w:val="auto"/>
          <w:sz w:val="21"/>
        </w:rPr>
      </w:pPr>
    </w:p>
    <w:p w14:paraId="40FC012A">
      <w:pPr>
        <w:rPr>
          <w:rFonts w:hint="eastAsia" w:ascii="宋体" w:hAnsi="宋体" w:eastAsia="宋体" w:cs="宋体"/>
          <w:color w:val="auto"/>
          <w:sz w:val="24"/>
          <w:lang w:val="en-US" w:eastAsia="zh-CN"/>
        </w:rPr>
      </w:pPr>
      <w:r>
        <w:rPr>
          <w:rFonts w:hint="eastAsia" w:ascii="宋体" w:hAnsi="宋体" w:cs="宋体"/>
          <w:color w:val="auto"/>
          <w:sz w:val="24"/>
          <w:u w:val="none"/>
        </w:rPr>
        <w:t>致：</w:t>
      </w:r>
      <w:r>
        <w:rPr>
          <w:rFonts w:hint="eastAsia" w:ascii="宋体" w:hAnsi="宋体" w:eastAsia="宋体" w:cs="宋体"/>
          <w:color w:val="auto"/>
          <w:sz w:val="24"/>
          <w:u w:val="single"/>
          <w:lang w:val="en-US" w:eastAsia="zh-CN"/>
        </w:rPr>
        <w:t>巩留县财政局</w:t>
      </w:r>
      <w:r>
        <w:rPr>
          <w:rFonts w:hint="eastAsia" w:ascii="宋体" w:hAnsi="宋体" w:cs="宋体"/>
          <w:color w:val="auto"/>
          <w:sz w:val="24"/>
          <w:u w:val="none"/>
        </w:rPr>
        <w:t xml:space="preserve">  </w:t>
      </w:r>
    </w:p>
    <w:p w14:paraId="637AA903">
      <w:pPr>
        <w:pStyle w:val="20"/>
        <w:rPr>
          <w:rFonts w:hint="eastAsia"/>
          <w:color w:val="auto"/>
        </w:rPr>
      </w:pPr>
    </w:p>
    <w:p w14:paraId="5F8BBE28">
      <w:pPr>
        <w:spacing w:line="360" w:lineRule="auto"/>
        <w:ind w:firstLine="600" w:firstLineChars="250"/>
        <w:rPr>
          <w:rFonts w:hint="eastAsia" w:ascii="宋体" w:hAnsi="宋体" w:cs="宋体"/>
          <w:color w:val="auto"/>
        </w:rPr>
      </w:pPr>
      <w:r>
        <w:rPr>
          <w:rFonts w:hint="eastAsia" w:ascii="宋体" w:hAnsi="宋体" w:cs="宋体"/>
          <w:color w:val="auto"/>
          <w:sz w:val="24"/>
        </w:rPr>
        <w:t>姓名：</w:t>
      </w:r>
      <w:r>
        <w:rPr>
          <w:rFonts w:hint="eastAsia" w:ascii="宋体" w:hAnsi="宋体" w:cs="宋体"/>
          <w:color w:val="auto"/>
          <w:sz w:val="24"/>
          <w:u w:val="single"/>
        </w:rPr>
        <w:t xml:space="preserve">        </w:t>
      </w:r>
      <w:r>
        <w:rPr>
          <w:rFonts w:hint="eastAsia" w:ascii="宋体" w:hAnsi="宋体" w:cs="宋体"/>
          <w:color w:val="auto"/>
          <w:sz w:val="24"/>
        </w:rPr>
        <w:t xml:space="preserve"> 性别：</w:t>
      </w:r>
      <w:r>
        <w:rPr>
          <w:rFonts w:hint="eastAsia" w:ascii="宋体" w:hAnsi="宋体" w:cs="宋体"/>
          <w:color w:val="auto"/>
          <w:sz w:val="24"/>
          <w:u w:val="single"/>
        </w:rPr>
        <w:t xml:space="preserve">            </w:t>
      </w:r>
      <w:r>
        <w:rPr>
          <w:rFonts w:hint="eastAsia" w:ascii="宋体" w:hAnsi="宋体" w:cs="宋体"/>
          <w:color w:val="auto"/>
          <w:sz w:val="24"/>
        </w:rPr>
        <w:t xml:space="preserve"> 年龄：</w:t>
      </w:r>
      <w:r>
        <w:rPr>
          <w:rFonts w:hint="eastAsia" w:ascii="宋体" w:hAnsi="宋体" w:cs="宋体"/>
          <w:color w:val="auto"/>
          <w:sz w:val="24"/>
          <w:u w:val="single"/>
        </w:rPr>
        <w:t xml:space="preserve">          </w:t>
      </w:r>
      <w:r>
        <w:rPr>
          <w:rFonts w:hint="eastAsia" w:ascii="宋体" w:hAnsi="宋体" w:cs="宋体"/>
          <w:color w:val="auto"/>
          <w:sz w:val="24"/>
        </w:rPr>
        <w:t xml:space="preserve"> 职务：</w:t>
      </w:r>
      <w:r>
        <w:rPr>
          <w:rFonts w:hint="eastAsia" w:ascii="宋体" w:hAnsi="宋体" w:cs="宋体"/>
          <w:color w:val="auto"/>
          <w:sz w:val="24"/>
          <w:u w:val="single"/>
        </w:rPr>
        <w:t xml:space="preserve">             </w:t>
      </w:r>
      <w:r>
        <w:rPr>
          <w:rFonts w:hint="eastAsia" w:ascii="宋体" w:hAnsi="宋体" w:cs="宋体"/>
          <w:color w:val="auto"/>
          <w:sz w:val="24"/>
        </w:rPr>
        <w:t xml:space="preserve"> 身份证号码：</w:t>
      </w:r>
      <w:r>
        <w:rPr>
          <w:rFonts w:hint="eastAsia" w:ascii="宋体" w:hAnsi="宋体" w:cs="宋体"/>
          <w:color w:val="auto"/>
          <w:sz w:val="24"/>
          <w:u w:val="single"/>
        </w:rPr>
        <w:t xml:space="preserve">                       </w:t>
      </w:r>
      <w:r>
        <w:rPr>
          <w:rFonts w:hint="eastAsia" w:ascii="宋体" w:hAnsi="宋体" w:cs="宋体"/>
          <w:color w:val="auto"/>
          <w:sz w:val="24"/>
        </w:rPr>
        <w:t xml:space="preserve">系 </w:t>
      </w:r>
      <w:r>
        <w:rPr>
          <w:rFonts w:hint="eastAsia" w:ascii="宋体" w:hAnsi="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none"/>
          <w:lang w:eastAsia="zh-CN"/>
        </w:rPr>
        <w:t>（</w:t>
      </w:r>
      <w:r>
        <w:rPr>
          <w:rFonts w:hint="eastAsia" w:ascii="宋体" w:hAnsi="宋体" w:cs="宋体"/>
          <w:color w:val="auto"/>
          <w:sz w:val="24"/>
          <w:u w:val="none"/>
        </w:rPr>
        <w:t>投标</w:t>
      </w:r>
      <w:r>
        <w:rPr>
          <w:rFonts w:hint="eastAsia" w:ascii="宋体" w:hAnsi="宋体" w:eastAsia="宋体" w:cs="宋体"/>
          <w:color w:val="auto"/>
          <w:sz w:val="24"/>
          <w:u w:val="none"/>
          <w:lang w:val="en-US" w:eastAsia="zh-CN"/>
        </w:rPr>
        <w:t>企业</w:t>
      </w:r>
      <w:r>
        <w:rPr>
          <w:rFonts w:hint="eastAsia" w:ascii="宋体" w:hAnsi="宋体" w:eastAsia="宋体" w:cs="宋体"/>
          <w:color w:val="auto"/>
          <w:sz w:val="24"/>
          <w:u w:val="none"/>
          <w:lang w:eastAsia="zh-CN"/>
        </w:rPr>
        <w:t>）</w:t>
      </w:r>
      <w:r>
        <w:rPr>
          <w:rFonts w:hint="eastAsia" w:ascii="宋体" w:hAnsi="宋体" w:cs="宋体"/>
          <w:color w:val="auto"/>
          <w:sz w:val="24"/>
        </w:rPr>
        <w:t>的法定代表人/负责人。为</w:t>
      </w:r>
      <w:r>
        <w:rPr>
          <w:rFonts w:hint="eastAsia" w:ascii="宋体" w:hAnsi="宋体" w:cs="宋体"/>
          <w:color w:val="auto"/>
          <w:sz w:val="24"/>
          <w:u w:val="single"/>
        </w:rPr>
        <w:t>　　　</w:t>
      </w:r>
      <w:r>
        <w:rPr>
          <w:rFonts w:hint="eastAsia" w:ascii="宋体" w:hAnsi="宋体" w:cs="宋体"/>
          <w:color w:val="auto"/>
          <w:sz w:val="24"/>
          <w:u w:val="none"/>
        </w:rPr>
        <w:t>项目名称</w:t>
      </w:r>
      <w:r>
        <w:rPr>
          <w:rFonts w:hint="eastAsia" w:ascii="宋体" w:hAnsi="宋体" w:cs="宋体"/>
          <w:color w:val="auto"/>
          <w:sz w:val="24"/>
          <w:u w:val="single"/>
        </w:rPr>
        <w:t xml:space="preserve">           </w:t>
      </w:r>
      <w:r>
        <w:rPr>
          <w:rFonts w:hint="eastAsia" w:ascii="宋体" w:hAnsi="宋体" w:cs="宋体"/>
          <w:color w:val="auto"/>
          <w:sz w:val="24"/>
          <w:u w:val="none"/>
        </w:rPr>
        <w:t>（项目编号</w:t>
      </w:r>
      <w:r>
        <w:rPr>
          <w:rFonts w:hint="eastAsia" w:ascii="宋体" w:hAnsi="宋体" w:cs="宋体"/>
          <w:color w:val="auto"/>
          <w:sz w:val="24"/>
          <w:u w:val="single"/>
        </w:rPr>
        <w:t>：　　　</w:t>
      </w:r>
      <w:r>
        <w:rPr>
          <w:rFonts w:hint="eastAsia" w:ascii="宋体" w:hAnsi="宋体" w:cs="宋体"/>
          <w:color w:val="auto"/>
          <w:sz w:val="24"/>
        </w:rPr>
        <w:t>）项目签署报价文件、进行合同洽谈、签署合同和处理与之有关的一切事务</w:t>
      </w:r>
      <w:r>
        <w:rPr>
          <w:rFonts w:hint="eastAsia" w:ascii="宋体" w:hAnsi="宋体" w:cs="宋体"/>
          <w:color w:val="auto"/>
        </w:rPr>
        <w:t>。</w:t>
      </w:r>
    </w:p>
    <w:p w14:paraId="472FC0CD">
      <w:pPr>
        <w:pStyle w:val="4"/>
        <w:numPr>
          <w:ilvl w:val="0"/>
          <w:numId w:val="0"/>
        </w:numPr>
        <w:ind w:left="400"/>
        <w:outlineLvl w:val="9"/>
        <w:rPr>
          <w:rFonts w:hint="eastAsia"/>
          <w:color w:val="auto"/>
        </w:rPr>
      </w:pPr>
    </w:p>
    <w:tbl>
      <w:tblPr>
        <w:tblStyle w:val="30"/>
        <w:tblW w:w="4999"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8"/>
        <w:gridCol w:w="4606"/>
      </w:tblGrid>
      <w:tr w14:paraId="2EA79D40">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6" w:hRule="atLeast"/>
        </w:trPr>
        <w:tc>
          <w:tcPr>
            <w:tcW w:w="2519" w:type="pct"/>
            <w:tcBorders>
              <w:top w:val="single" w:color="auto" w:sz="4" w:space="0"/>
              <w:left w:val="single" w:color="auto" w:sz="4" w:space="0"/>
              <w:bottom w:val="single" w:color="auto" w:sz="4" w:space="0"/>
              <w:right w:val="single" w:color="auto" w:sz="4" w:space="0"/>
            </w:tcBorders>
            <w:noWrap w:val="0"/>
            <w:vAlign w:val="center"/>
          </w:tcPr>
          <w:p w14:paraId="0410E5AC">
            <w:pPr>
              <w:jc w:val="center"/>
              <w:rPr>
                <w:rFonts w:hint="eastAsia" w:ascii="宋体" w:hAnsi="宋体" w:cs="宋体"/>
                <w:color w:val="auto"/>
                <w:sz w:val="24"/>
              </w:rPr>
            </w:pPr>
            <w:r>
              <w:rPr>
                <w:rFonts w:hint="eastAsia" w:ascii="宋体" w:hAnsi="宋体" w:cs="宋体"/>
                <w:color w:val="auto"/>
                <w:sz w:val="24"/>
              </w:rPr>
              <w:t>法定代表人身份证(正面）</w:t>
            </w:r>
          </w:p>
        </w:tc>
        <w:tc>
          <w:tcPr>
            <w:tcW w:w="2480" w:type="pct"/>
            <w:tcBorders>
              <w:top w:val="single" w:color="auto" w:sz="4" w:space="0"/>
              <w:left w:val="single" w:color="auto" w:sz="4" w:space="0"/>
              <w:bottom w:val="single" w:color="auto" w:sz="4" w:space="0"/>
              <w:right w:val="single" w:color="auto" w:sz="4" w:space="0"/>
            </w:tcBorders>
            <w:noWrap w:val="0"/>
            <w:vAlign w:val="center"/>
          </w:tcPr>
          <w:p w14:paraId="0F39A95A">
            <w:pPr>
              <w:jc w:val="center"/>
              <w:rPr>
                <w:rFonts w:hint="eastAsia" w:ascii="宋体" w:hAnsi="宋体" w:cs="宋体"/>
                <w:color w:val="auto"/>
                <w:sz w:val="24"/>
              </w:rPr>
            </w:pPr>
            <w:r>
              <w:rPr>
                <w:rFonts w:hint="eastAsia" w:ascii="宋体" w:hAnsi="宋体" w:cs="宋体"/>
                <w:color w:val="auto"/>
                <w:sz w:val="24"/>
              </w:rPr>
              <w:t>法定代表人身份证(反面）</w:t>
            </w:r>
          </w:p>
        </w:tc>
      </w:tr>
    </w:tbl>
    <w:p w14:paraId="58B9765C">
      <w:pPr>
        <w:ind w:firstLine="240" w:firstLineChars="100"/>
        <w:rPr>
          <w:rFonts w:hint="eastAsia" w:ascii="宋体" w:hAnsi="宋体" w:cs="宋体"/>
          <w:color w:val="auto"/>
          <w:sz w:val="24"/>
        </w:rPr>
      </w:pPr>
    </w:p>
    <w:p w14:paraId="1D7C303C">
      <w:pPr>
        <w:ind w:firstLine="240" w:firstLineChars="100"/>
        <w:rPr>
          <w:rFonts w:hint="eastAsia" w:ascii="宋体" w:hAnsi="宋体" w:cs="宋体"/>
          <w:color w:val="auto"/>
          <w:sz w:val="24"/>
        </w:rPr>
      </w:pPr>
    </w:p>
    <w:p w14:paraId="26D9D85D">
      <w:pPr>
        <w:ind w:firstLine="240" w:firstLineChars="100"/>
        <w:rPr>
          <w:rFonts w:hint="eastAsia" w:ascii="宋体" w:hAnsi="宋体" w:cs="宋体"/>
          <w:color w:val="auto"/>
          <w:sz w:val="24"/>
        </w:rPr>
      </w:pPr>
      <w:r>
        <w:rPr>
          <w:rFonts w:hint="eastAsia" w:ascii="宋体" w:hAnsi="宋体" w:cs="宋体"/>
          <w:color w:val="auto"/>
          <w:sz w:val="24"/>
        </w:rPr>
        <w:t>特此证明。</w:t>
      </w:r>
    </w:p>
    <w:p w14:paraId="34C8909A">
      <w:pPr>
        <w:jc w:val="center"/>
        <w:rPr>
          <w:rFonts w:hint="eastAsia" w:ascii="宋体" w:hAnsi="宋体" w:cs="宋体"/>
          <w:color w:val="auto"/>
          <w:sz w:val="24"/>
        </w:rPr>
      </w:pPr>
    </w:p>
    <w:p w14:paraId="01291110">
      <w:pPr>
        <w:jc w:val="center"/>
        <w:rPr>
          <w:rFonts w:hint="eastAsia" w:ascii="宋体" w:hAnsi="宋体" w:cs="宋体"/>
          <w:color w:val="auto"/>
          <w:sz w:val="24"/>
        </w:rPr>
      </w:pPr>
    </w:p>
    <w:p w14:paraId="7A6C98F4">
      <w:pPr>
        <w:spacing w:line="360" w:lineRule="auto"/>
        <w:rPr>
          <w:rFonts w:hint="eastAsia" w:ascii="宋体" w:hAnsi="宋体" w:cs="宋体"/>
          <w:color w:val="auto"/>
          <w:sz w:val="24"/>
        </w:rPr>
      </w:pPr>
    </w:p>
    <w:p w14:paraId="288DA1D4">
      <w:pPr>
        <w:spacing w:line="360" w:lineRule="auto"/>
        <w:rPr>
          <w:rFonts w:hint="eastAsia" w:ascii="宋体" w:hAnsi="宋体" w:cs="宋体"/>
          <w:color w:val="auto"/>
          <w:sz w:val="24"/>
        </w:rPr>
      </w:pPr>
    </w:p>
    <w:p w14:paraId="43937CF1">
      <w:pPr>
        <w:spacing w:line="360" w:lineRule="auto"/>
        <w:jc w:val="center"/>
        <w:rPr>
          <w:rFonts w:hint="eastAsia" w:ascii="宋体" w:hAnsi="宋体" w:cs="宋体"/>
          <w:color w:val="auto"/>
          <w:sz w:val="24"/>
        </w:rPr>
      </w:pP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eastAsia="zh-CN"/>
        </w:rPr>
        <w:t>征集对象</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cs="宋体"/>
          <w:color w:val="auto"/>
          <w:sz w:val="24"/>
        </w:rPr>
        <w:t xml:space="preserve">（盖公章）                     </w:t>
      </w:r>
    </w:p>
    <w:p w14:paraId="05A51231">
      <w:pPr>
        <w:spacing w:line="360" w:lineRule="auto"/>
        <w:rPr>
          <w:rFonts w:hint="eastAsia" w:ascii="宋体" w:hAnsi="宋体" w:cs="宋体"/>
          <w:color w:val="auto"/>
          <w:sz w:val="24"/>
        </w:rPr>
      </w:pPr>
      <w:r>
        <w:rPr>
          <w:rFonts w:hint="eastAsia" w:ascii="宋体" w:hAnsi="宋体" w:cs="宋体"/>
          <w:color w:val="auto"/>
          <w:sz w:val="24"/>
        </w:rPr>
        <w:t xml:space="preserve">                                               日   期：   年  月  日</w:t>
      </w:r>
    </w:p>
    <w:p w14:paraId="037B2E5B">
      <w:pPr>
        <w:keepNext w:val="0"/>
        <w:keepLines w:val="0"/>
        <w:pageBreakBefore w:val="0"/>
        <w:widowControl w:val="0"/>
        <w:kinsoku/>
        <w:wordWrap/>
        <w:overflowPunct/>
        <w:topLinePunct w:val="0"/>
        <w:autoSpaceDE w:val="0"/>
        <w:autoSpaceDN w:val="0"/>
        <w:bidi w:val="0"/>
        <w:adjustRightInd w:val="0"/>
        <w:snapToGrid/>
        <w:spacing w:line="440" w:lineRule="exact"/>
        <w:rPr>
          <w:rFonts w:hint="eastAsia" w:ascii="宋体" w:hAnsi="宋体" w:cs="宋体"/>
          <w:b/>
          <w:bCs/>
          <w:color w:val="auto"/>
        </w:rPr>
      </w:pPr>
      <w:r>
        <w:rPr>
          <w:rFonts w:hint="eastAsia" w:ascii="宋体" w:hAnsi="宋体" w:cs="宋体"/>
          <w:b/>
          <w:bCs/>
          <w:color w:val="auto"/>
        </w:rPr>
        <w:t>注：</w:t>
      </w:r>
    </w:p>
    <w:p w14:paraId="1C562036">
      <w:pPr>
        <w:keepNext w:val="0"/>
        <w:keepLines w:val="0"/>
        <w:pageBreakBefore w:val="0"/>
        <w:widowControl w:val="0"/>
        <w:kinsoku/>
        <w:wordWrap/>
        <w:overflowPunct/>
        <w:topLinePunct w:val="0"/>
        <w:autoSpaceDE w:val="0"/>
        <w:autoSpaceDN w:val="0"/>
        <w:bidi w:val="0"/>
        <w:adjustRightInd w:val="0"/>
        <w:snapToGrid/>
        <w:spacing w:line="440" w:lineRule="exact"/>
        <w:rPr>
          <w:rFonts w:hint="eastAsia" w:ascii="宋体" w:hAnsi="宋体" w:cs="宋体"/>
          <w:b/>
          <w:bCs/>
          <w:color w:val="auto"/>
        </w:rPr>
      </w:pPr>
      <w:r>
        <w:rPr>
          <w:rFonts w:hint="eastAsia" w:ascii="宋体" w:hAnsi="宋体" w:cs="宋体"/>
          <w:b/>
          <w:bCs/>
          <w:color w:val="auto"/>
        </w:rPr>
        <w:t>1、本表格式不得更改，投标人只能按要求填报，否则将被视为无效投标。</w:t>
      </w:r>
    </w:p>
    <w:p w14:paraId="3BDF94AC">
      <w:pPr>
        <w:pStyle w:val="14"/>
        <w:rPr>
          <w:rFonts w:ascii="宋体"/>
          <w:color w:val="auto"/>
          <w:sz w:val="21"/>
        </w:rPr>
      </w:pPr>
    </w:p>
    <w:p w14:paraId="6B0BFA6B">
      <w:pPr>
        <w:spacing w:line="373" w:lineRule="auto"/>
        <w:rPr>
          <w:rFonts w:hint="eastAsia" w:ascii="宋体" w:hAnsi="宋体" w:eastAsia="宋体" w:cs="宋体"/>
          <w:b/>
          <w:bCs/>
          <w:color w:val="auto"/>
          <w:kern w:val="0"/>
          <w:sz w:val="24"/>
          <w:szCs w:val="24"/>
          <w:lang w:val="en-US" w:eastAsia="zh-CN" w:bidi="ar"/>
        </w:rPr>
      </w:pPr>
    </w:p>
    <w:p w14:paraId="07223C23">
      <w:pPr>
        <w:spacing w:line="440" w:lineRule="exact"/>
        <w:jc w:val="center"/>
        <w:outlineLvl w:val="0"/>
        <w:rPr>
          <w:rFonts w:hint="eastAsia" w:ascii="宋体" w:hAnsi="宋体" w:cs="宋体"/>
          <w:b/>
          <w:color w:val="auto"/>
          <w:sz w:val="32"/>
          <w:lang w:eastAsia="zh-CN"/>
        </w:rPr>
      </w:pPr>
    </w:p>
    <w:p w14:paraId="67CC45AD">
      <w:pPr>
        <w:spacing w:line="440" w:lineRule="exact"/>
        <w:jc w:val="center"/>
        <w:outlineLvl w:val="0"/>
        <w:rPr>
          <w:rFonts w:hint="eastAsia" w:ascii="宋体" w:hAnsi="宋体" w:cs="宋体"/>
          <w:b/>
          <w:color w:val="auto"/>
          <w:sz w:val="32"/>
          <w:lang w:eastAsia="zh-CN"/>
        </w:rPr>
      </w:pPr>
    </w:p>
    <w:p w14:paraId="722C9CB9">
      <w:pPr>
        <w:spacing w:line="440" w:lineRule="exact"/>
        <w:jc w:val="center"/>
        <w:outlineLvl w:val="0"/>
        <w:rPr>
          <w:rFonts w:hint="eastAsia" w:ascii="宋体" w:hAnsi="宋体" w:cs="宋体"/>
          <w:b/>
          <w:color w:val="auto"/>
          <w:sz w:val="32"/>
          <w:lang w:eastAsia="zh-CN"/>
        </w:rPr>
      </w:pPr>
    </w:p>
    <w:p w14:paraId="4A830DA8">
      <w:pPr>
        <w:spacing w:line="440" w:lineRule="exact"/>
        <w:jc w:val="center"/>
        <w:outlineLvl w:val="0"/>
        <w:rPr>
          <w:rFonts w:hint="eastAsia" w:ascii="宋体" w:hAnsi="宋体" w:cs="宋体"/>
          <w:b/>
          <w:color w:val="auto"/>
          <w:sz w:val="32"/>
        </w:rPr>
      </w:pPr>
      <w:r>
        <w:rPr>
          <w:rFonts w:hint="eastAsia" w:ascii="宋体" w:hAnsi="宋体" w:cs="宋体"/>
          <w:b/>
          <w:color w:val="auto"/>
          <w:sz w:val="32"/>
          <w:lang w:eastAsia="zh-CN"/>
        </w:rPr>
        <w:t>（</w:t>
      </w:r>
      <w:r>
        <w:rPr>
          <w:rFonts w:hint="eastAsia" w:ascii="宋体" w:hAnsi="宋体" w:cs="宋体"/>
          <w:b/>
          <w:color w:val="auto"/>
          <w:sz w:val="32"/>
          <w:lang w:val="en-US" w:eastAsia="zh-CN"/>
        </w:rPr>
        <w:t>4</w:t>
      </w:r>
      <w:r>
        <w:rPr>
          <w:rFonts w:hint="eastAsia" w:ascii="宋体" w:hAnsi="宋体" w:cs="宋体"/>
          <w:b/>
          <w:color w:val="auto"/>
          <w:sz w:val="32"/>
          <w:lang w:eastAsia="zh-CN"/>
        </w:rPr>
        <w:t>）</w:t>
      </w:r>
      <w:r>
        <w:rPr>
          <w:rFonts w:hint="eastAsia" w:ascii="宋体" w:hAnsi="宋体" w:cs="宋体"/>
          <w:b/>
          <w:color w:val="auto"/>
          <w:sz w:val="32"/>
        </w:rPr>
        <w:t>法定代表人授权委托书</w:t>
      </w:r>
    </w:p>
    <w:p w14:paraId="33B44F3A">
      <w:pPr>
        <w:pStyle w:val="20"/>
        <w:rPr>
          <w:rFonts w:hint="eastAsia"/>
          <w:color w:val="auto"/>
        </w:rPr>
      </w:pPr>
    </w:p>
    <w:p w14:paraId="022414B0">
      <w:pPr>
        <w:pStyle w:val="20"/>
        <w:rPr>
          <w:rFonts w:hint="eastAsia"/>
          <w:color w:val="auto"/>
        </w:rPr>
      </w:pPr>
    </w:p>
    <w:p w14:paraId="3E78D865">
      <w:pPr>
        <w:pStyle w:val="74"/>
        <w:rPr>
          <w:rFonts w:hint="eastAsia" w:hAnsi="宋体" w:cs="宋体"/>
          <w:color w:val="auto"/>
          <w:sz w:val="24"/>
        </w:rPr>
      </w:pPr>
      <w:bookmarkStart w:id="18" w:name="_Toc32119"/>
      <w:bookmarkStart w:id="19" w:name="_Toc22066"/>
      <w:r>
        <w:rPr>
          <w:rFonts w:hint="eastAsia" w:hAnsi="宋体" w:cs="宋体"/>
          <w:color w:val="auto"/>
          <w:sz w:val="24"/>
        </w:rPr>
        <w:t>致：</w:t>
      </w:r>
      <w:r>
        <w:rPr>
          <w:rFonts w:hint="eastAsia" w:hAnsi="宋体" w:cs="宋体"/>
          <w:color w:val="auto"/>
          <w:sz w:val="24"/>
          <w:u w:val="single"/>
        </w:rPr>
        <w:t xml:space="preserve"> </w:t>
      </w:r>
      <w:r>
        <w:rPr>
          <w:rFonts w:hint="eastAsia" w:ascii="宋体" w:hAnsi="宋体" w:eastAsia="宋体" w:cs="宋体"/>
          <w:color w:val="auto"/>
          <w:sz w:val="24"/>
          <w:u w:val="single"/>
          <w:lang w:val="en-US" w:eastAsia="zh-CN"/>
        </w:rPr>
        <w:t>巩留县财政局</w:t>
      </w:r>
      <w:r>
        <w:rPr>
          <w:rFonts w:hint="eastAsia" w:ascii="宋体" w:hAnsi="宋体" w:cs="宋体"/>
          <w:color w:val="auto"/>
          <w:sz w:val="24"/>
          <w:u w:val="single"/>
        </w:rPr>
        <w:t xml:space="preserve">  </w:t>
      </w:r>
      <w:r>
        <w:rPr>
          <w:rFonts w:hint="eastAsia" w:hAnsi="宋体" w:cs="宋体"/>
          <w:color w:val="auto"/>
          <w:sz w:val="24"/>
          <w:u w:val="single"/>
        </w:rPr>
        <w:t xml:space="preserve"> </w:t>
      </w:r>
      <w:r>
        <w:rPr>
          <w:rFonts w:hint="eastAsia" w:hAnsi="宋体" w:cs="宋体"/>
          <w:color w:val="auto"/>
          <w:sz w:val="24"/>
        </w:rPr>
        <w:t>：</w:t>
      </w:r>
      <w:bookmarkEnd w:id="18"/>
      <w:bookmarkEnd w:id="19"/>
    </w:p>
    <w:p w14:paraId="49ACB38A">
      <w:pPr>
        <w:pStyle w:val="14"/>
        <w:widowControl/>
        <w:snapToGrid w:val="0"/>
        <w:spacing w:line="400" w:lineRule="exact"/>
        <w:ind w:firstLine="480" w:firstLineChars="200"/>
        <w:jc w:val="left"/>
        <w:rPr>
          <w:rFonts w:hint="eastAsia" w:hAnsi="宋体" w:cs="宋体"/>
          <w:color w:val="auto"/>
          <w:sz w:val="24"/>
          <w:szCs w:val="24"/>
          <w:u w:val="single"/>
        </w:rPr>
      </w:pPr>
    </w:p>
    <w:p w14:paraId="0F2D9A17">
      <w:pPr>
        <w:pStyle w:val="14"/>
        <w:widowControl/>
        <w:snapToGrid w:val="0"/>
        <w:spacing w:line="400" w:lineRule="exact"/>
        <w:ind w:firstLine="480" w:firstLineChars="200"/>
        <w:jc w:val="left"/>
        <w:rPr>
          <w:rFonts w:hint="eastAsia" w:hAnsi="宋体" w:cs="宋体"/>
          <w:color w:val="auto"/>
          <w:sz w:val="24"/>
          <w:szCs w:val="24"/>
        </w:rPr>
      </w:pPr>
      <w:r>
        <w:rPr>
          <w:rFonts w:hint="eastAsia" w:hAnsi="宋体" w:cs="宋体"/>
          <w:color w:val="auto"/>
          <w:sz w:val="24"/>
          <w:szCs w:val="24"/>
        </w:rPr>
        <w:t>本人</w:t>
      </w:r>
      <w:r>
        <w:rPr>
          <w:rFonts w:hint="eastAsia" w:hAnsi="宋体" w:cs="宋体"/>
          <w:color w:val="auto"/>
          <w:sz w:val="24"/>
          <w:szCs w:val="24"/>
          <w:u w:val="single"/>
        </w:rPr>
        <w:t xml:space="preserve">  （ 姓名） </w:t>
      </w:r>
      <w:r>
        <w:rPr>
          <w:rFonts w:hint="eastAsia" w:hAnsi="宋体" w:cs="宋体"/>
          <w:color w:val="auto"/>
          <w:sz w:val="24"/>
          <w:szCs w:val="24"/>
        </w:rPr>
        <w:t xml:space="preserve">系 </w:t>
      </w:r>
      <w:r>
        <w:rPr>
          <w:rFonts w:hint="eastAsia" w:hAnsi="宋体" w:cs="宋体"/>
          <w:color w:val="auto"/>
          <w:sz w:val="24"/>
          <w:szCs w:val="24"/>
          <w:u w:val="single"/>
        </w:rPr>
        <w:t xml:space="preserve">      </w:t>
      </w:r>
      <w:r>
        <w:rPr>
          <w:rFonts w:hint="eastAsia" w:hAnsi="宋体" w:eastAsia="宋体" w:cs="宋体"/>
          <w:color w:val="auto"/>
          <w:sz w:val="24"/>
          <w:szCs w:val="24"/>
          <w:u w:val="single"/>
          <w:lang w:val="en-US" w:eastAsia="zh-CN"/>
        </w:rPr>
        <w:t xml:space="preserve">  </w:t>
      </w:r>
      <w:r>
        <w:rPr>
          <w:rFonts w:hint="eastAsia" w:hAnsi="宋体" w:cs="宋体"/>
          <w:color w:val="auto"/>
          <w:sz w:val="24"/>
          <w:szCs w:val="24"/>
          <w:u w:val="none"/>
        </w:rPr>
        <w:t>（投标企业全称）</w:t>
      </w:r>
      <w:r>
        <w:rPr>
          <w:rFonts w:hint="eastAsia" w:hAnsi="宋体" w:cs="宋体"/>
          <w:color w:val="auto"/>
          <w:sz w:val="24"/>
          <w:szCs w:val="24"/>
        </w:rPr>
        <w:t>加贵</w:t>
      </w:r>
      <w:r>
        <w:rPr>
          <w:rFonts w:hint="eastAsia" w:hAnsi="宋体" w:cs="宋体"/>
          <w:color w:val="auto"/>
          <w:sz w:val="24"/>
          <w:szCs w:val="24"/>
          <w:lang w:val="en-US" w:eastAsia="zh-CN"/>
        </w:rPr>
        <w:t>局</w:t>
      </w:r>
      <w:r>
        <w:rPr>
          <w:rFonts w:hint="eastAsia" w:hAnsi="宋体" w:cs="宋体"/>
          <w:color w:val="auto"/>
          <w:sz w:val="24"/>
          <w:szCs w:val="24"/>
        </w:rPr>
        <w:t xml:space="preserve">组织的  </w:t>
      </w:r>
      <w:r>
        <w:rPr>
          <w:rFonts w:hint="eastAsia" w:hAnsi="宋体" w:cs="宋体"/>
          <w:color w:val="auto"/>
          <w:sz w:val="24"/>
          <w:szCs w:val="24"/>
          <w:u w:val="single"/>
        </w:rPr>
        <w:t xml:space="preserve"> </w:t>
      </w:r>
      <w:r>
        <w:rPr>
          <w:rFonts w:hint="eastAsia" w:hAnsi="宋体" w:cs="宋体"/>
          <w:color w:val="auto"/>
          <w:sz w:val="24"/>
          <w:szCs w:val="24"/>
          <w:u w:val="single"/>
          <w:lang w:val="en-US" w:eastAsia="zh-CN"/>
        </w:rPr>
        <w:t xml:space="preserve">   </w:t>
      </w:r>
      <w:r>
        <w:rPr>
          <w:rFonts w:hint="eastAsia" w:hAnsi="宋体" w:cs="宋体"/>
          <w:color w:val="auto"/>
          <w:sz w:val="24"/>
          <w:szCs w:val="24"/>
          <w:u w:val="single"/>
        </w:rPr>
        <w:t xml:space="preserve"> </w:t>
      </w:r>
      <w:r>
        <w:rPr>
          <w:rFonts w:hint="eastAsia" w:hAnsi="宋体" w:cs="宋体"/>
          <w:color w:val="auto"/>
          <w:sz w:val="24"/>
          <w:szCs w:val="24"/>
          <w:u w:val="none"/>
        </w:rPr>
        <w:t>（项目名称）</w:t>
      </w:r>
      <w:r>
        <w:rPr>
          <w:rFonts w:hint="eastAsia" w:hAnsi="宋体" w:cs="宋体"/>
          <w:color w:val="auto"/>
          <w:sz w:val="24"/>
          <w:szCs w:val="24"/>
          <w:u w:val="single"/>
        </w:rPr>
        <w:t xml:space="preserve">         </w:t>
      </w:r>
      <w:r>
        <w:rPr>
          <w:rFonts w:hint="eastAsia" w:hAnsi="宋体" w:eastAsia="宋体" w:cs="宋体"/>
          <w:color w:val="auto"/>
          <w:sz w:val="24"/>
          <w:szCs w:val="24"/>
          <w:u w:val="single"/>
          <w:lang w:val="en-US" w:eastAsia="zh-CN"/>
        </w:rPr>
        <w:t xml:space="preserve"> </w:t>
      </w:r>
      <w:r>
        <w:rPr>
          <w:rFonts w:hint="eastAsia" w:hAnsi="宋体" w:cs="宋体"/>
          <w:color w:val="auto"/>
          <w:sz w:val="24"/>
          <w:szCs w:val="24"/>
          <w:u w:val="single"/>
        </w:rPr>
        <w:t xml:space="preserve">   （项目编号）：            </w:t>
      </w:r>
      <w:r>
        <w:rPr>
          <w:rFonts w:hint="eastAsia" w:hAnsi="宋体" w:cs="宋体"/>
          <w:color w:val="auto"/>
          <w:sz w:val="24"/>
          <w:szCs w:val="24"/>
        </w:rPr>
        <w:t>招标活动，全权代表本公司处理招标过程的一切事宜，包括但不限于：招标、谈判、签约等。投标企业代表在招标过程中所签署的一切文件和处理与之有关的一切事务，本公司均予以认可并对此承担责任。投标企业代表无转委托权。特此授权。</w:t>
      </w:r>
    </w:p>
    <w:p w14:paraId="476F53C7">
      <w:pPr>
        <w:pStyle w:val="14"/>
        <w:widowControl/>
        <w:snapToGrid w:val="0"/>
        <w:spacing w:line="400" w:lineRule="exact"/>
        <w:ind w:firstLine="480" w:firstLineChars="200"/>
        <w:jc w:val="left"/>
        <w:rPr>
          <w:rFonts w:hint="eastAsia" w:hAnsi="宋体" w:cs="宋体"/>
          <w:color w:val="auto"/>
          <w:szCs w:val="21"/>
        </w:rPr>
      </w:pPr>
      <w:r>
        <w:rPr>
          <w:rFonts w:hint="eastAsia" w:hAnsi="宋体" w:cs="宋体"/>
          <w:color w:val="auto"/>
          <w:sz w:val="24"/>
          <w:szCs w:val="24"/>
        </w:rPr>
        <w:t>本授权书自出具之日起生效。</w:t>
      </w:r>
    </w:p>
    <w:p w14:paraId="49B78E14">
      <w:pPr>
        <w:pStyle w:val="20"/>
        <w:rPr>
          <w:rFonts w:hint="eastAsia"/>
          <w:color w:val="auto"/>
        </w:rPr>
      </w:pPr>
    </w:p>
    <w:tbl>
      <w:tblPr>
        <w:tblStyle w:val="30"/>
        <w:tblW w:w="4999"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8"/>
        <w:gridCol w:w="4606"/>
      </w:tblGrid>
      <w:tr w14:paraId="2CF3ABC2">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2" w:hRule="atLeast"/>
        </w:trPr>
        <w:tc>
          <w:tcPr>
            <w:tcW w:w="2519" w:type="pct"/>
            <w:tcBorders>
              <w:top w:val="single" w:color="auto" w:sz="4" w:space="0"/>
              <w:left w:val="single" w:color="auto" w:sz="4" w:space="0"/>
              <w:bottom w:val="single" w:color="auto" w:sz="4" w:space="0"/>
              <w:right w:val="single" w:color="auto" w:sz="4" w:space="0"/>
            </w:tcBorders>
            <w:noWrap w:val="0"/>
            <w:vAlign w:val="center"/>
          </w:tcPr>
          <w:p w14:paraId="45BEA261">
            <w:pPr>
              <w:jc w:val="center"/>
              <w:rPr>
                <w:rFonts w:hint="eastAsia" w:ascii="宋体" w:hAnsi="宋体" w:cs="宋体"/>
                <w:color w:val="auto"/>
                <w:sz w:val="24"/>
              </w:rPr>
            </w:pPr>
            <w:r>
              <w:rPr>
                <w:rFonts w:hint="eastAsia" w:ascii="宋体" w:hAnsi="宋体" w:cs="宋体"/>
                <w:color w:val="auto"/>
                <w:sz w:val="24"/>
              </w:rPr>
              <w:t>法定代表人身份证(正面）</w:t>
            </w:r>
          </w:p>
        </w:tc>
        <w:tc>
          <w:tcPr>
            <w:tcW w:w="2480" w:type="pct"/>
            <w:tcBorders>
              <w:top w:val="single" w:color="auto" w:sz="4" w:space="0"/>
              <w:left w:val="single" w:color="auto" w:sz="4" w:space="0"/>
              <w:bottom w:val="single" w:color="auto" w:sz="4" w:space="0"/>
              <w:right w:val="single" w:color="auto" w:sz="4" w:space="0"/>
            </w:tcBorders>
            <w:noWrap w:val="0"/>
            <w:vAlign w:val="center"/>
          </w:tcPr>
          <w:p w14:paraId="491BB6DE">
            <w:pPr>
              <w:jc w:val="center"/>
              <w:rPr>
                <w:rFonts w:hint="eastAsia" w:ascii="宋体" w:hAnsi="宋体" w:cs="宋体"/>
                <w:color w:val="auto"/>
                <w:sz w:val="24"/>
              </w:rPr>
            </w:pPr>
            <w:r>
              <w:rPr>
                <w:rFonts w:hint="eastAsia" w:ascii="宋体" w:hAnsi="宋体" w:cs="宋体"/>
                <w:color w:val="auto"/>
                <w:sz w:val="24"/>
              </w:rPr>
              <w:t>法定代表人身份证(反面）</w:t>
            </w:r>
          </w:p>
        </w:tc>
      </w:tr>
    </w:tbl>
    <w:p w14:paraId="5CDADF94">
      <w:pPr>
        <w:widowControl/>
        <w:spacing w:line="400" w:lineRule="exact"/>
        <w:jc w:val="left"/>
        <w:rPr>
          <w:rFonts w:hint="eastAsia" w:ascii="宋体" w:hAnsi="宋体" w:cs="宋体"/>
          <w:color w:val="auto"/>
          <w:szCs w:val="21"/>
        </w:rPr>
      </w:pPr>
    </w:p>
    <w:tbl>
      <w:tblPr>
        <w:tblStyle w:val="30"/>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3"/>
        <w:gridCol w:w="4643"/>
      </w:tblGrid>
      <w:tr w14:paraId="7F88060B">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14:paraId="00786DE5">
            <w:pPr>
              <w:jc w:val="center"/>
              <w:rPr>
                <w:rFonts w:hint="eastAsia" w:ascii="宋体" w:hAnsi="宋体" w:cs="宋体"/>
                <w:color w:val="auto"/>
                <w:sz w:val="24"/>
              </w:rPr>
            </w:pPr>
            <w:r>
              <w:rPr>
                <w:rFonts w:hint="eastAsia" w:ascii="宋体" w:hAnsi="宋体" w:cs="宋体"/>
                <w:color w:val="auto"/>
                <w:sz w:val="24"/>
              </w:rPr>
              <w:t>授权委托人身份证(正面）</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3E832C1B">
            <w:pPr>
              <w:jc w:val="center"/>
              <w:rPr>
                <w:rFonts w:hint="eastAsia" w:ascii="宋体" w:hAnsi="宋体" w:cs="宋体"/>
                <w:color w:val="auto"/>
                <w:sz w:val="24"/>
              </w:rPr>
            </w:pPr>
            <w:r>
              <w:rPr>
                <w:rFonts w:hint="eastAsia" w:ascii="宋体" w:hAnsi="宋体" w:cs="宋体"/>
                <w:color w:val="auto"/>
                <w:sz w:val="24"/>
              </w:rPr>
              <w:t>授权委托人身份证(反面）</w:t>
            </w:r>
          </w:p>
        </w:tc>
      </w:tr>
    </w:tbl>
    <w:p w14:paraId="4B98A197">
      <w:pPr>
        <w:widowControl/>
        <w:spacing w:line="400" w:lineRule="exact"/>
        <w:jc w:val="left"/>
        <w:rPr>
          <w:rFonts w:hint="eastAsia" w:ascii="宋体" w:hAnsi="宋体" w:cs="宋体"/>
          <w:color w:val="auto"/>
          <w:szCs w:val="21"/>
        </w:rPr>
      </w:pPr>
      <w:r>
        <w:rPr>
          <w:rFonts w:hint="eastAsia" w:ascii="宋体" w:hAnsi="宋体" w:cs="宋体"/>
          <w:color w:val="auto"/>
          <w:szCs w:val="21"/>
        </w:rPr>
        <w:t xml:space="preserve">   </w:t>
      </w:r>
    </w:p>
    <w:p w14:paraId="0E60576C">
      <w:pPr>
        <w:widowControl/>
        <w:spacing w:line="400" w:lineRule="exact"/>
        <w:ind w:firstLine="3360" w:firstLineChars="1400"/>
        <w:jc w:val="left"/>
        <w:rPr>
          <w:rFonts w:hint="eastAsia" w:ascii="宋体" w:hAnsi="宋体" w:cs="宋体"/>
          <w:color w:val="auto"/>
          <w:sz w:val="24"/>
        </w:rPr>
      </w:pPr>
      <w:r>
        <w:rPr>
          <w:rFonts w:hint="eastAsia" w:ascii="宋体" w:hAnsi="宋体" w:eastAsia="宋体" w:cs="宋体"/>
          <w:color w:val="auto"/>
          <w:sz w:val="24"/>
          <w:lang w:val="en-US" w:eastAsia="zh-CN"/>
        </w:rPr>
        <w:t>征集对象</w:t>
      </w:r>
      <w:r>
        <w:rPr>
          <w:rFonts w:hint="eastAsia" w:ascii="宋体" w:hAnsi="宋体" w:cs="宋体"/>
          <w:color w:val="auto"/>
          <w:sz w:val="24"/>
        </w:rPr>
        <w:t>（加盖公章）：</w:t>
      </w:r>
      <w:r>
        <w:rPr>
          <w:rFonts w:hint="eastAsia" w:ascii="宋体" w:hAnsi="宋体" w:cs="宋体"/>
          <w:color w:val="auto"/>
          <w:sz w:val="24"/>
          <w:u w:val="single"/>
        </w:rPr>
        <w:t xml:space="preserve">                             </w:t>
      </w:r>
    </w:p>
    <w:p w14:paraId="48E682BD">
      <w:pPr>
        <w:widowControl/>
        <w:spacing w:line="400" w:lineRule="exact"/>
        <w:jc w:val="left"/>
        <w:rPr>
          <w:rFonts w:hint="eastAsia" w:ascii="宋体" w:hAnsi="宋体" w:cs="宋体"/>
          <w:color w:val="auto"/>
          <w:sz w:val="24"/>
        </w:rPr>
      </w:pPr>
      <w:r>
        <w:rPr>
          <w:rFonts w:hint="eastAsia" w:ascii="宋体" w:hAnsi="宋体" w:cs="宋体"/>
          <w:color w:val="auto"/>
          <w:sz w:val="24"/>
        </w:rPr>
        <w:t xml:space="preserve">                            法定代表人</w:t>
      </w:r>
      <w:r>
        <w:rPr>
          <w:rFonts w:hint="eastAsia" w:ascii="宋体" w:hAnsi="宋体" w:cs="宋体"/>
          <w:color w:val="auto"/>
          <w:sz w:val="24"/>
          <w:lang w:eastAsia="zh-CN"/>
        </w:rPr>
        <w:t>或</w:t>
      </w:r>
      <w:r>
        <w:rPr>
          <w:rFonts w:hint="eastAsia" w:ascii="宋体" w:hAnsi="宋体" w:cs="宋体"/>
          <w:color w:val="auto"/>
          <w:sz w:val="24"/>
        </w:rPr>
        <w:t>授权委托人（签字或盖章）：</w:t>
      </w:r>
      <w:r>
        <w:rPr>
          <w:rFonts w:hint="eastAsia" w:ascii="宋体" w:hAnsi="宋体" w:cs="宋体"/>
          <w:color w:val="auto"/>
          <w:sz w:val="24"/>
          <w:u w:val="single"/>
        </w:rPr>
        <w:t xml:space="preserve">                             </w:t>
      </w:r>
    </w:p>
    <w:p w14:paraId="1CAECD23">
      <w:pPr>
        <w:widowControl/>
        <w:spacing w:line="400" w:lineRule="exact"/>
        <w:ind w:firstLine="3360" w:firstLineChars="1400"/>
        <w:jc w:val="left"/>
        <w:rPr>
          <w:rFonts w:hint="eastAsia" w:ascii="宋体" w:hAnsi="宋体" w:cs="宋体"/>
          <w:color w:val="auto"/>
          <w:sz w:val="24"/>
        </w:rPr>
      </w:pPr>
      <w:r>
        <w:rPr>
          <w:rFonts w:hint="eastAsia" w:ascii="宋体" w:hAnsi="宋体" w:cs="宋体"/>
          <w:color w:val="auto"/>
          <w:sz w:val="24"/>
        </w:rPr>
        <w:t>日     期：      年    月     日</w:t>
      </w:r>
    </w:p>
    <w:p w14:paraId="62DCB933">
      <w:pPr>
        <w:widowControl/>
        <w:spacing w:line="400" w:lineRule="exact"/>
        <w:jc w:val="left"/>
        <w:rPr>
          <w:rFonts w:hint="eastAsia" w:ascii="宋体" w:hAnsi="宋体" w:cs="宋体"/>
          <w:b/>
          <w:color w:val="auto"/>
          <w:szCs w:val="21"/>
        </w:rPr>
      </w:pPr>
    </w:p>
    <w:p w14:paraId="7982D961">
      <w:pPr>
        <w:widowControl/>
        <w:spacing w:line="400" w:lineRule="exact"/>
        <w:jc w:val="left"/>
        <w:rPr>
          <w:rFonts w:hint="eastAsia" w:ascii="宋体" w:hAnsi="宋体" w:cs="宋体"/>
          <w:b/>
          <w:color w:val="auto"/>
          <w:szCs w:val="21"/>
        </w:rPr>
      </w:pPr>
      <w:r>
        <w:rPr>
          <w:rFonts w:hint="eastAsia" w:ascii="宋体" w:hAnsi="宋体" w:cs="宋体"/>
          <w:b/>
          <w:color w:val="auto"/>
          <w:szCs w:val="21"/>
        </w:rPr>
        <w:t>注：</w:t>
      </w:r>
    </w:p>
    <w:p w14:paraId="314EB435">
      <w:pPr>
        <w:widowControl/>
        <w:spacing w:line="400" w:lineRule="exact"/>
        <w:jc w:val="left"/>
        <w:rPr>
          <w:rFonts w:hint="eastAsia" w:ascii="宋体" w:hAnsi="宋体" w:cs="宋体"/>
          <w:b/>
          <w:color w:val="auto"/>
          <w:szCs w:val="21"/>
        </w:rPr>
      </w:pPr>
      <w:r>
        <w:rPr>
          <w:rFonts w:hint="eastAsia" w:ascii="宋体" w:hAnsi="宋体" w:cs="宋体"/>
          <w:b/>
          <w:color w:val="auto"/>
          <w:szCs w:val="21"/>
        </w:rPr>
        <w:t>1、本表格式不得更改，投标人只能按要求填报，否则将被视为无效投标。</w:t>
      </w:r>
    </w:p>
    <w:p w14:paraId="0FABE9F0">
      <w:pPr>
        <w:autoSpaceDE w:val="0"/>
        <w:autoSpaceDN w:val="0"/>
        <w:adjustRightInd w:val="0"/>
        <w:ind w:firstLine="2711" w:firstLineChars="900"/>
        <w:rPr>
          <w:rFonts w:ascii="宋体" w:hAnsi="宋体" w:cs="宋体"/>
          <w:b/>
          <w:bCs/>
          <w:color w:val="auto"/>
          <w:sz w:val="30"/>
          <w:szCs w:val="30"/>
        </w:rPr>
      </w:pPr>
    </w:p>
    <w:p w14:paraId="0C202F8B">
      <w:pPr>
        <w:pStyle w:val="20"/>
        <w:rPr>
          <w:rFonts w:ascii="宋体" w:hAnsi="宋体" w:cs="宋体"/>
          <w:b/>
          <w:bCs/>
          <w:color w:val="auto"/>
          <w:sz w:val="30"/>
          <w:szCs w:val="30"/>
        </w:rPr>
      </w:pPr>
    </w:p>
    <w:p w14:paraId="3ADB4811">
      <w:pPr>
        <w:pStyle w:val="14"/>
      </w:pPr>
    </w:p>
    <w:p w14:paraId="79AC41BE">
      <w:pPr>
        <w:rPr>
          <w:rFonts w:ascii="宋体"/>
          <w:color w:val="auto"/>
          <w:sz w:val="21"/>
        </w:rPr>
      </w:pPr>
    </w:p>
    <w:p w14:paraId="2157475C">
      <w:pPr>
        <w:pStyle w:val="20"/>
      </w:pPr>
    </w:p>
    <w:p w14:paraId="5DF71A3A">
      <w:pPr>
        <w:pStyle w:val="14"/>
        <w:numPr>
          <w:ilvl w:val="0"/>
          <w:numId w:val="0"/>
        </w:numPr>
        <w:jc w:val="center"/>
        <w:rPr>
          <w:rFonts w:hint="eastAsia" w:ascii="宋体" w:hAnsi="宋体" w:eastAsia="宋体" w:cs="宋体"/>
          <w:b/>
          <w:bCs/>
          <w:color w:val="auto"/>
          <w:sz w:val="30"/>
          <w:szCs w:val="30"/>
          <w:lang w:val="en-US" w:eastAsia="zh-CN"/>
        </w:rPr>
      </w:pPr>
      <w:r>
        <w:rPr>
          <w:rFonts w:hint="eastAsia" w:hAnsi="宋体" w:cs="宋体"/>
          <w:b/>
          <w:bCs/>
          <w:color w:val="auto"/>
          <w:sz w:val="30"/>
          <w:szCs w:val="30"/>
          <w:lang w:val="en-US" w:eastAsia="zh-CN"/>
        </w:rPr>
        <w:t>（5）技术</w:t>
      </w:r>
      <w:r>
        <w:rPr>
          <w:rFonts w:hint="eastAsia" w:ascii="宋体" w:hAnsi="宋体" w:eastAsia="宋体" w:cs="宋体"/>
          <w:b/>
          <w:bCs/>
          <w:color w:val="auto"/>
          <w:sz w:val="30"/>
          <w:szCs w:val="30"/>
          <w:lang w:val="en-US" w:eastAsia="zh-CN"/>
        </w:rPr>
        <w:t>负责人</w:t>
      </w:r>
      <w:r>
        <w:rPr>
          <w:rFonts w:hint="eastAsia" w:hAnsi="宋体" w:cs="宋体"/>
          <w:b/>
          <w:bCs/>
          <w:color w:val="auto"/>
          <w:sz w:val="30"/>
          <w:szCs w:val="30"/>
          <w:lang w:val="en-US" w:eastAsia="zh-CN"/>
        </w:rPr>
        <w:t>（可兼任项目负责人）</w:t>
      </w:r>
    </w:p>
    <w:p w14:paraId="5F537120">
      <w:pPr>
        <w:rPr>
          <w:rFonts w:hint="eastAsia"/>
          <w:lang w:val="en-US" w:eastAsia="zh-CN"/>
        </w:rPr>
      </w:pPr>
    </w:p>
    <w:p w14:paraId="5682CC23">
      <w:pPr>
        <w:pStyle w:val="20"/>
        <w:rPr>
          <w:rFonts w:hint="eastAsia"/>
          <w:lang w:val="en-US" w:eastAsia="zh-CN"/>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630"/>
        <w:gridCol w:w="957"/>
        <w:gridCol w:w="816"/>
        <w:gridCol w:w="1373"/>
        <w:gridCol w:w="29"/>
        <w:gridCol w:w="1636"/>
        <w:gridCol w:w="562"/>
        <w:gridCol w:w="2451"/>
      </w:tblGrid>
      <w:tr w14:paraId="7C460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884" w:type="dxa"/>
            <w:tcBorders>
              <w:top w:val="single" w:color="auto" w:sz="4" w:space="0"/>
              <w:left w:val="single" w:color="auto" w:sz="4" w:space="0"/>
              <w:bottom w:val="single" w:color="auto" w:sz="4" w:space="0"/>
              <w:right w:val="single" w:color="auto" w:sz="4" w:space="0"/>
            </w:tcBorders>
            <w:noWrap w:val="0"/>
            <w:vAlign w:val="center"/>
          </w:tcPr>
          <w:p w14:paraId="6E49B89F">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b/>
                <w:bCs/>
                <w:szCs w:val="21"/>
              </w:rPr>
            </w:pPr>
            <w:r>
              <w:rPr>
                <w:rFonts w:hint="eastAsia" w:ascii="宋体" w:hAnsi="宋体" w:eastAsia="宋体" w:cs="宋体"/>
                <w:b/>
                <w:bCs/>
                <w:szCs w:val="21"/>
              </w:rPr>
              <w:t>姓 名</w:t>
            </w:r>
          </w:p>
        </w:tc>
        <w:tc>
          <w:tcPr>
            <w:tcW w:w="1587" w:type="dxa"/>
            <w:gridSpan w:val="2"/>
            <w:tcBorders>
              <w:top w:val="single" w:color="auto" w:sz="4" w:space="0"/>
              <w:left w:val="single" w:color="auto" w:sz="4" w:space="0"/>
              <w:bottom w:val="single" w:color="auto" w:sz="4" w:space="0"/>
              <w:right w:val="single" w:color="auto" w:sz="4" w:space="0"/>
            </w:tcBorders>
            <w:noWrap w:val="0"/>
            <w:vAlign w:val="center"/>
          </w:tcPr>
          <w:p w14:paraId="3A63DE10">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c>
          <w:tcPr>
            <w:tcW w:w="816" w:type="dxa"/>
            <w:tcBorders>
              <w:top w:val="single" w:color="auto" w:sz="4" w:space="0"/>
              <w:left w:val="single" w:color="auto" w:sz="4" w:space="0"/>
              <w:bottom w:val="single" w:color="auto" w:sz="4" w:space="0"/>
              <w:right w:val="single" w:color="auto" w:sz="4" w:space="0"/>
            </w:tcBorders>
            <w:noWrap w:val="0"/>
            <w:vAlign w:val="center"/>
          </w:tcPr>
          <w:p w14:paraId="713493FB">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b/>
                <w:bCs/>
                <w:szCs w:val="21"/>
              </w:rPr>
            </w:pPr>
            <w:r>
              <w:rPr>
                <w:rFonts w:hint="eastAsia" w:ascii="宋体" w:hAnsi="宋体" w:eastAsia="宋体" w:cs="宋体"/>
                <w:b/>
                <w:bCs/>
                <w:szCs w:val="21"/>
              </w:rPr>
              <w:t>年龄</w:t>
            </w:r>
          </w:p>
        </w:tc>
        <w:tc>
          <w:tcPr>
            <w:tcW w:w="1402" w:type="dxa"/>
            <w:gridSpan w:val="2"/>
            <w:tcBorders>
              <w:top w:val="single" w:color="auto" w:sz="4" w:space="0"/>
              <w:left w:val="single" w:color="auto" w:sz="4" w:space="0"/>
              <w:bottom w:val="single" w:color="auto" w:sz="4" w:space="0"/>
              <w:right w:val="single" w:color="auto" w:sz="4" w:space="0"/>
            </w:tcBorders>
            <w:noWrap w:val="0"/>
            <w:vAlign w:val="center"/>
          </w:tcPr>
          <w:p w14:paraId="689D9B55">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c>
          <w:tcPr>
            <w:tcW w:w="2198" w:type="dxa"/>
            <w:gridSpan w:val="2"/>
            <w:tcBorders>
              <w:top w:val="single" w:color="auto" w:sz="4" w:space="0"/>
              <w:left w:val="single" w:color="auto" w:sz="4" w:space="0"/>
              <w:bottom w:val="single" w:color="auto" w:sz="4" w:space="0"/>
              <w:right w:val="single" w:color="auto" w:sz="4" w:space="0"/>
            </w:tcBorders>
            <w:noWrap w:val="0"/>
            <w:vAlign w:val="center"/>
          </w:tcPr>
          <w:p w14:paraId="28FB0131">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b/>
                <w:bCs/>
                <w:szCs w:val="21"/>
              </w:rPr>
            </w:pPr>
            <w:r>
              <w:rPr>
                <w:rFonts w:hint="eastAsia" w:ascii="宋体" w:hAnsi="宋体" w:eastAsia="宋体" w:cs="宋体"/>
                <w:b/>
                <w:bCs/>
                <w:szCs w:val="21"/>
              </w:rPr>
              <w:t>专业</w:t>
            </w:r>
          </w:p>
        </w:tc>
        <w:tc>
          <w:tcPr>
            <w:tcW w:w="2451" w:type="dxa"/>
            <w:tcBorders>
              <w:top w:val="single" w:color="auto" w:sz="4" w:space="0"/>
              <w:left w:val="single" w:color="auto" w:sz="4" w:space="0"/>
              <w:bottom w:val="single" w:color="auto" w:sz="4" w:space="0"/>
              <w:right w:val="single" w:color="auto" w:sz="4" w:space="0"/>
            </w:tcBorders>
            <w:noWrap w:val="0"/>
            <w:vAlign w:val="center"/>
          </w:tcPr>
          <w:p w14:paraId="4A6B7CE7">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r>
      <w:tr w14:paraId="79270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884" w:type="dxa"/>
            <w:tcBorders>
              <w:top w:val="single" w:color="auto" w:sz="4" w:space="0"/>
              <w:left w:val="single" w:color="auto" w:sz="4" w:space="0"/>
              <w:bottom w:val="single" w:color="auto" w:sz="4" w:space="0"/>
              <w:right w:val="single" w:color="auto" w:sz="4" w:space="0"/>
            </w:tcBorders>
            <w:noWrap w:val="0"/>
            <w:vAlign w:val="center"/>
          </w:tcPr>
          <w:p w14:paraId="1180F00A">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b/>
                <w:bCs/>
                <w:szCs w:val="21"/>
              </w:rPr>
            </w:pPr>
            <w:r>
              <w:rPr>
                <w:rFonts w:hint="eastAsia" w:ascii="宋体" w:hAnsi="宋体" w:eastAsia="宋体" w:cs="宋体"/>
                <w:b/>
                <w:bCs/>
                <w:szCs w:val="21"/>
              </w:rPr>
              <w:t>职 称</w:t>
            </w:r>
          </w:p>
        </w:tc>
        <w:tc>
          <w:tcPr>
            <w:tcW w:w="1587" w:type="dxa"/>
            <w:gridSpan w:val="2"/>
            <w:tcBorders>
              <w:top w:val="single" w:color="auto" w:sz="4" w:space="0"/>
              <w:left w:val="single" w:color="auto" w:sz="4" w:space="0"/>
              <w:bottom w:val="single" w:color="auto" w:sz="4" w:space="0"/>
              <w:right w:val="single" w:color="auto" w:sz="4" w:space="0"/>
            </w:tcBorders>
            <w:noWrap w:val="0"/>
            <w:vAlign w:val="center"/>
          </w:tcPr>
          <w:p w14:paraId="63D5F88D">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c>
          <w:tcPr>
            <w:tcW w:w="816" w:type="dxa"/>
            <w:tcBorders>
              <w:top w:val="single" w:color="auto" w:sz="4" w:space="0"/>
              <w:left w:val="single" w:color="auto" w:sz="4" w:space="0"/>
              <w:bottom w:val="single" w:color="auto" w:sz="4" w:space="0"/>
              <w:right w:val="single" w:color="auto" w:sz="4" w:space="0"/>
            </w:tcBorders>
            <w:noWrap w:val="0"/>
            <w:vAlign w:val="center"/>
          </w:tcPr>
          <w:p w14:paraId="1BB5BBD8">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b/>
                <w:bCs/>
                <w:szCs w:val="21"/>
              </w:rPr>
            </w:pPr>
            <w:r>
              <w:rPr>
                <w:rFonts w:hint="eastAsia" w:ascii="宋体" w:hAnsi="宋体" w:eastAsia="宋体" w:cs="宋体"/>
                <w:b/>
                <w:bCs/>
                <w:szCs w:val="21"/>
              </w:rPr>
              <w:t>职务</w:t>
            </w:r>
          </w:p>
        </w:tc>
        <w:tc>
          <w:tcPr>
            <w:tcW w:w="1402" w:type="dxa"/>
            <w:gridSpan w:val="2"/>
            <w:tcBorders>
              <w:top w:val="single" w:color="auto" w:sz="4" w:space="0"/>
              <w:left w:val="single" w:color="auto" w:sz="4" w:space="0"/>
              <w:bottom w:val="single" w:color="auto" w:sz="4" w:space="0"/>
              <w:right w:val="single" w:color="auto" w:sz="4" w:space="0"/>
            </w:tcBorders>
            <w:noWrap w:val="0"/>
            <w:vAlign w:val="center"/>
          </w:tcPr>
          <w:p w14:paraId="26C5BEFC">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c>
          <w:tcPr>
            <w:tcW w:w="2198" w:type="dxa"/>
            <w:gridSpan w:val="2"/>
            <w:tcBorders>
              <w:top w:val="single" w:color="auto" w:sz="4" w:space="0"/>
              <w:left w:val="single" w:color="auto" w:sz="4" w:space="0"/>
              <w:bottom w:val="single" w:color="auto" w:sz="4" w:space="0"/>
              <w:right w:val="single" w:color="auto" w:sz="4" w:space="0"/>
            </w:tcBorders>
            <w:noWrap w:val="0"/>
            <w:vAlign w:val="center"/>
          </w:tcPr>
          <w:p w14:paraId="709D9A10">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b/>
                <w:bCs/>
                <w:szCs w:val="21"/>
              </w:rPr>
            </w:pPr>
            <w:r>
              <w:rPr>
                <w:rFonts w:hint="eastAsia" w:ascii="宋体" w:hAnsi="宋体" w:eastAsia="宋体" w:cs="宋体"/>
                <w:b/>
                <w:bCs/>
                <w:szCs w:val="21"/>
              </w:rPr>
              <w:t>拟在本项目中担任的职务</w:t>
            </w:r>
          </w:p>
        </w:tc>
        <w:tc>
          <w:tcPr>
            <w:tcW w:w="2451" w:type="dxa"/>
            <w:tcBorders>
              <w:top w:val="single" w:color="auto" w:sz="4" w:space="0"/>
              <w:left w:val="single" w:color="auto" w:sz="4" w:space="0"/>
              <w:bottom w:val="single" w:color="auto" w:sz="4" w:space="0"/>
              <w:right w:val="single" w:color="auto" w:sz="4" w:space="0"/>
            </w:tcBorders>
            <w:noWrap w:val="0"/>
            <w:vAlign w:val="center"/>
          </w:tcPr>
          <w:p w14:paraId="62132CB7">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r>
      <w:tr w14:paraId="34370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2471" w:type="dxa"/>
            <w:gridSpan w:val="3"/>
            <w:tcBorders>
              <w:top w:val="single" w:color="auto" w:sz="4" w:space="0"/>
              <w:left w:val="single" w:color="auto" w:sz="4" w:space="0"/>
              <w:bottom w:val="single" w:color="auto" w:sz="4" w:space="0"/>
              <w:right w:val="single" w:color="auto" w:sz="4" w:space="0"/>
            </w:tcBorders>
            <w:noWrap w:val="0"/>
            <w:vAlign w:val="center"/>
          </w:tcPr>
          <w:p w14:paraId="74B06684">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b/>
                <w:bCs/>
                <w:szCs w:val="21"/>
              </w:rPr>
            </w:pPr>
            <w:r>
              <w:rPr>
                <w:rFonts w:hint="eastAsia" w:ascii="宋体" w:hAnsi="宋体" w:eastAsia="宋体" w:cs="宋体"/>
                <w:b/>
                <w:bCs/>
                <w:szCs w:val="21"/>
              </w:rPr>
              <w:t>毕业学校</w:t>
            </w:r>
          </w:p>
        </w:tc>
        <w:tc>
          <w:tcPr>
            <w:tcW w:w="2218" w:type="dxa"/>
            <w:gridSpan w:val="3"/>
            <w:tcBorders>
              <w:top w:val="single" w:color="auto" w:sz="4" w:space="0"/>
              <w:left w:val="single" w:color="auto" w:sz="4" w:space="0"/>
              <w:bottom w:val="single" w:color="auto" w:sz="4" w:space="0"/>
              <w:right w:val="single" w:color="auto" w:sz="4" w:space="0"/>
            </w:tcBorders>
            <w:noWrap w:val="0"/>
            <w:vAlign w:val="center"/>
          </w:tcPr>
          <w:p w14:paraId="50ABE301">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c>
          <w:tcPr>
            <w:tcW w:w="2198" w:type="dxa"/>
            <w:gridSpan w:val="2"/>
            <w:tcBorders>
              <w:top w:val="single" w:color="auto" w:sz="4" w:space="0"/>
              <w:left w:val="single" w:color="auto" w:sz="4" w:space="0"/>
              <w:bottom w:val="single" w:color="auto" w:sz="4" w:space="0"/>
              <w:right w:val="single" w:color="auto" w:sz="4" w:space="0"/>
            </w:tcBorders>
            <w:noWrap w:val="0"/>
            <w:vAlign w:val="center"/>
          </w:tcPr>
          <w:p w14:paraId="6FE6AEC5">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b/>
                <w:bCs/>
                <w:szCs w:val="21"/>
              </w:rPr>
            </w:pPr>
            <w:r>
              <w:rPr>
                <w:rFonts w:hint="eastAsia" w:ascii="宋体" w:hAnsi="宋体" w:eastAsia="宋体" w:cs="宋体"/>
                <w:b/>
                <w:bCs/>
                <w:szCs w:val="21"/>
              </w:rPr>
              <w:t>执业资格及证书编号</w:t>
            </w:r>
          </w:p>
        </w:tc>
        <w:tc>
          <w:tcPr>
            <w:tcW w:w="2451" w:type="dxa"/>
            <w:tcBorders>
              <w:top w:val="single" w:color="auto" w:sz="4" w:space="0"/>
              <w:left w:val="single" w:color="auto" w:sz="4" w:space="0"/>
              <w:bottom w:val="single" w:color="auto" w:sz="4" w:space="0"/>
              <w:right w:val="single" w:color="auto" w:sz="4" w:space="0"/>
            </w:tcBorders>
            <w:noWrap w:val="0"/>
            <w:vAlign w:val="center"/>
          </w:tcPr>
          <w:p w14:paraId="1E453704">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r>
      <w:tr w14:paraId="765B4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2471" w:type="dxa"/>
            <w:gridSpan w:val="3"/>
            <w:tcBorders>
              <w:top w:val="single" w:color="auto" w:sz="4" w:space="0"/>
              <w:left w:val="single" w:color="auto" w:sz="4" w:space="0"/>
              <w:bottom w:val="single" w:color="auto" w:sz="4" w:space="0"/>
              <w:right w:val="single" w:color="auto" w:sz="4" w:space="0"/>
            </w:tcBorders>
            <w:noWrap w:val="0"/>
            <w:vAlign w:val="center"/>
          </w:tcPr>
          <w:p w14:paraId="50E2A855">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b/>
                <w:bCs/>
                <w:szCs w:val="21"/>
              </w:rPr>
            </w:pPr>
            <w:r>
              <w:rPr>
                <w:rFonts w:hint="eastAsia" w:ascii="宋体" w:hAnsi="宋体" w:eastAsia="宋体" w:cs="宋体"/>
                <w:b/>
                <w:bCs/>
                <w:szCs w:val="21"/>
              </w:rPr>
              <w:t>办公电话</w:t>
            </w:r>
          </w:p>
        </w:tc>
        <w:tc>
          <w:tcPr>
            <w:tcW w:w="2218" w:type="dxa"/>
            <w:gridSpan w:val="3"/>
            <w:tcBorders>
              <w:top w:val="single" w:color="auto" w:sz="4" w:space="0"/>
              <w:left w:val="single" w:color="auto" w:sz="4" w:space="0"/>
              <w:bottom w:val="single" w:color="auto" w:sz="4" w:space="0"/>
              <w:right w:val="single" w:color="auto" w:sz="4" w:space="0"/>
            </w:tcBorders>
            <w:noWrap w:val="0"/>
            <w:vAlign w:val="center"/>
          </w:tcPr>
          <w:p w14:paraId="095D37AF">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c>
          <w:tcPr>
            <w:tcW w:w="2198" w:type="dxa"/>
            <w:gridSpan w:val="2"/>
            <w:tcBorders>
              <w:top w:val="single" w:color="auto" w:sz="4" w:space="0"/>
              <w:left w:val="single" w:color="auto" w:sz="4" w:space="0"/>
              <w:bottom w:val="single" w:color="auto" w:sz="4" w:space="0"/>
              <w:right w:val="single" w:color="auto" w:sz="4" w:space="0"/>
            </w:tcBorders>
            <w:noWrap w:val="0"/>
            <w:vAlign w:val="center"/>
          </w:tcPr>
          <w:p w14:paraId="1068614B">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b/>
                <w:bCs/>
                <w:szCs w:val="21"/>
              </w:rPr>
            </w:pPr>
            <w:r>
              <w:rPr>
                <w:rFonts w:hint="eastAsia" w:ascii="宋体" w:hAnsi="宋体" w:eastAsia="宋体" w:cs="宋体"/>
                <w:b/>
                <w:bCs/>
                <w:szCs w:val="21"/>
              </w:rPr>
              <w:t>手机号码</w:t>
            </w:r>
          </w:p>
        </w:tc>
        <w:tc>
          <w:tcPr>
            <w:tcW w:w="2451" w:type="dxa"/>
            <w:tcBorders>
              <w:top w:val="single" w:color="auto" w:sz="4" w:space="0"/>
              <w:left w:val="single" w:color="auto" w:sz="4" w:space="0"/>
              <w:bottom w:val="single" w:color="auto" w:sz="4" w:space="0"/>
              <w:right w:val="single" w:color="auto" w:sz="4" w:space="0"/>
            </w:tcBorders>
            <w:noWrap w:val="0"/>
            <w:vAlign w:val="center"/>
          </w:tcPr>
          <w:p w14:paraId="49B85ED8">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r>
      <w:tr w14:paraId="73C5C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2471" w:type="dxa"/>
            <w:gridSpan w:val="3"/>
            <w:tcBorders>
              <w:top w:val="single" w:color="auto" w:sz="4" w:space="0"/>
              <w:left w:val="single" w:color="auto" w:sz="4" w:space="0"/>
              <w:bottom w:val="single" w:color="auto" w:sz="4" w:space="0"/>
              <w:right w:val="single" w:color="auto" w:sz="4" w:space="0"/>
            </w:tcBorders>
            <w:noWrap w:val="0"/>
            <w:vAlign w:val="center"/>
          </w:tcPr>
          <w:p w14:paraId="6CAF7A40">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b/>
                <w:bCs/>
                <w:szCs w:val="21"/>
              </w:rPr>
            </w:pPr>
            <w:r>
              <w:rPr>
                <w:rFonts w:hint="eastAsia" w:ascii="宋体" w:hAnsi="宋体" w:eastAsia="宋体" w:cs="宋体"/>
                <w:b/>
                <w:bCs/>
                <w:szCs w:val="21"/>
              </w:rPr>
              <w:t>传真</w:t>
            </w:r>
          </w:p>
        </w:tc>
        <w:tc>
          <w:tcPr>
            <w:tcW w:w="2218" w:type="dxa"/>
            <w:gridSpan w:val="3"/>
            <w:tcBorders>
              <w:top w:val="single" w:color="auto" w:sz="4" w:space="0"/>
              <w:left w:val="single" w:color="auto" w:sz="4" w:space="0"/>
              <w:bottom w:val="single" w:color="auto" w:sz="4" w:space="0"/>
              <w:right w:val="single" w:color="auto" w:sz="4" w:space="0"/>
            </w:tcBorders>
            <w:noWrap w:val="0"/>
            <w:vAlign w:val="center"/>
          </w:tcPr>
          <w:p w14:paraId="21B3A119">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c>
          <w:tcPr>
            <w:tcW w:w="2198" w:type="dxa"/>
            <w:gridSpan w:val="2"/>
            <w:tcBorders>
              <w:top w:val="single" w:color="auto" w:sz="4" w:space="0"/>
              <w:left w:val="single" w:color="auto" w:sz="4" w:space="0"/>
              <w:bottom w:val="single" w:color="auto" w:sz="4" w:space="0"/>
              <w:right w:val="single" w:color="auto" w:sz="4" w:space="0"/>
            </w:tcBorders>
            <w:noWrap w:val="0"/>
            <w:vAlign w:val="center"/>
          </w:tcPr>
          <w:p w14:paraId="6DDB100D">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b/>
                <w:bCs/>
                <w:szCs w:val="21"/>
              </w:rPr>
            </w:pPr>
            <w:r>
              <w:rPr>
                <w:rFonts w:hint="eastAsia" w:ascii="宋体" w:hAnsi="宋体" w:eastAsia="宋体" w:cs="宋体"/>
                <w:b/>
                <w:bCs/>
                <w:szCs w:val="21"/>
              </w:rPr>
              <w:t>电子邮箱</w:t>
            </w:r>
          </w:p>
        </w:tc>
        <w:tc>
          <w:tcPr>
            <w:tcW w:w="2451" w:type="dxa"/>
            <w:tcBorders>
              <w:top w:val="single" w:color="auto" w:sz="4" w:space="0"/>
              <w:left w:val="single" w:color="auto" w:sz="4" w:space="0"/>
              <w:bottom w:val="single" w:color="auto" w:sz="4" w:space="0"/>
              <w:right w:val="single" w:color="auto" w:sz="4" w:space="0"/>
            </w:tcBorders>
            <w:noWrap w:val="0"/>
            <w:vAlign w:val="center"/>
          </w:tcPr>
          <w:p w14:paraId="0813055A">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r>
      <w:tr w14:paraId="2122F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9338" w:type="dxa"/>
            <w:gridSpan w:val="9"/>
            <w:tcBorders>
              <w:top w:val="single" w:color="auto" w:sz="4" w:space="0"/>
              <w:left w:val="single" w:color="auto" w:sz="4" w:space="0"/>
              <w:bottom w:val="single" w:color="auto" w:sz="4" w:space="0"/>
              <w:right w:val="single" w:color="auto" w:sz="4" w:space="0"/>
            </w:tcBorders>
            <w:noWrap w:val="0"/>
            <w:vAlign w:val="center"/>
          </w:tcPr>
          <w:p w14:paraId="34DC1A37">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r>
              <w:rPr>
                <w:rFonts w:hint="eastAsia" w:ascii="宋体" w:hAnsi="宋体" w:eastAsia="宋体" w:cs="宋体"/>
                <w:b/>
                <w:bCs/>
                <w:szCs w:val="21"/>
              </w:rPr>
              <w:t>经   历</w:t>
            </w:r>
          </w:p>
        </w:tc>
      </w:tr>
      <w:tr w14:paraId="5C29C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514" w:type="dxa"/>
            <w:gridSpan w:val="2"/>
            <w:tcBorders>
              <w:top w:val="single" w:color="auto" w:sz="4" w:space="0"/>
              <w:left w:val="single" w:color="auto" w:sz="4" w:space="0"/>
              <w:bottom w:val="single" w:color="auto" w:sz="4" w:space="0"/>
              <w:right w:val="single" w:color="auto" w:sz="4" w:space="0"/>
            </w:tcBorders>
            <w:noWrap w:val="0"/>
            <w:vAlign w:val="center"/>
          </w:tcPr>
          <w:p w14:paraId="59B1CD74">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b/>
                <w:bCs/>
                <w:szCs w:val="21"/>
              </w:rPr>
            </w:pPr>
            <w:r>
              <w:rPr>
                <w:rFonts w:hint="eastAsia" w:ascii="宋体" w:hAnsi="宋体" w:eastAsia="宋体" w:cs="宋体"/>
                <w:b/>
                <w:bCs/>
                <w:szCs w:val="21"/>
              </w:rPr>
              <w:t>年   月</w:t>
            </w:r>
          </w:p>
        </w:tc>
        <w:tc>
          <w:tcPr>
            <w:tcW w:w="3146" w:type="dxa"/>
            <w:gridSpan w:val="3"/>
            <w:tcBorders>
              <w:top w:val="single" w:color="auto" w:sz="4" w:space="0"/>
              <w:left w:val="single" w:color="auto" w:sz="4" w:space="0"/>
              <w:bottom w:val="single" w:color="auto" w:sz="4" w:space="0"/>
              <w:right w:val="single" w:color="auto" w:sz="4" w:space="0"/>
            </w:tcBorders>
            <w:noWrap w:val="0"/>
            <w:vAlign w:val="center"/>
          </w:tcPr>
          <w:p w14:paraId="60B237A5">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b/>
                <w:bCs/>
                <w:szCs w:val="21"/>
              </w:rPr>
            </w:pPr>
            <w:r>
              <w:rPr>
                <w:rFonts w:hint="eastAsia" w:ascii="宋体" w:hAnsi="宋体" w:eastAsia="宋体" w:cs="宋体"/>
                <w:b/>
                <w:bCs/>
                <w:szCs w:val="21"/>
              </w:rPr>
              <w:t>参加过类似项目和名称</w:t>
            </w:r>
          </w:p>
        </w:tc>
        <w:tc>
          <w:tcPr>
            <w:tcW w:w="1665" w:type="dxa"/>
            <w:gridSpan w:val="2"/>
            <w:tcBorders>
              <w:top w:val="single" w:color="auto" w:sz="4" w:space="0"/>
              <w:left w:val="single" w:color="auto" w:sz="4" w:space="0"/>
              <w:bottom w:val="single" w:color="auto" w:sz="4" w:space="0"/>
              <w:right w:val="single" w:color="auto" w:sz="4" w:space="0"/>
            </w:tcBorders>
            <w:noWrap w:val="0"/>
            <w:vAlign w:val="center"/>
          </w:tcPr>
          <w:p w14:paraId="2B1D96DA">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b/>
                <w:bCs/>
                <w:szCs w:val="21"/>
              </w:rPr>
            </w:pPr>
            <w:r>
              <w:rPr>
                <w:rFonts w:hint="eastAsia" w:ascii="宋体" w:hAnsi="宋体" w:eastAsia="宋体" w:cs="宋体"/>
                <w:b/>
                <w:bCs/>
                <w:szCs w:val="21"/>
              </w:rPr>
              <w:t>担任何职</w:t>
            </w:r>
          </w:p>
        </w:tc>
        <w:tc>
          <w:tcPr>
            <w:tcW w:w="3013" w:type="dxa"/>
            <w:gridSpan w:val="2"/>
            <w:tcBorders>
              <w:top w:val="single" w:color="auto" w:sz="4" w:space="0"/>
              <w:left w:val="single" w:color="auto" w:sz="4" w:space="0"/>
              <w:bottom w:val="single" w:color="auto" w:sz="4" w:space="0"/>
              <w:right w:val="single" w:color="auto" w:sz="4" w:space="0"/>
            </w:tcBorders>
            <w:noWrap w:val="0"/>
            <w:vAlign w:val="center"/>
          </w:tcPr>
          <w:p w14:paraId="75847C1E">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b/>
                <w:bCs/>
                <w:szCs w:val="21"/>
              </w:rPr>
            </w:pPr>
            <w:r>
              <w:rPr>
                <w:rFonts w:hint="eastAsia" w:ascii="宋体" w:hAnsi="宋体" w:eastAsia="宋体" w:cs="宋体"/>
                <w:b/>
                <w:bCs/>
                <w:szCs w:val="21"/>
              </w:rPr>
              <w:t>备注</w:t>
            </w:r>
          </w:p>
        </w:tc>
      </w:tr>
      <w:tr w14:paraId="18167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514" w:type="dxa"/>
            <w:gridSpan w:val="2"/>
            <w:tcBorders>
              <w:top w:val="single" w:color="auto" w:sz="4" w:space="0"/>
              <w:left w:val="single" w:color="auto" w:sz="4" w:space="0"/>
              <w:bottom w:val="single" w:color="auto" w:sz="4" w:space="0"/>
              <w:right w:val="single" w:color="auto" w:sz="4" w:space="0"/>
            </w:tcBorders>
            <w:noWrap w:val="0"/>
            <w:vAlign w:val="center"/>
          </w:tcPr>
          <w:p w14:paraId="7E3A461E">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c>
          <w:tcPr>
            <w:tcW w:w="3146" w:type="dxa"/>
            <w:gridSpan w:val="3"/>
            <w:tcBorders>
              <w:top w:val="single" w:color="auto" w:sz="4" w:space="0"/>
              <w:left w:val="single" w:color="auto" w:sz="4" w:space="0"/>
              <w:bottom w:val="single" w:color="auto" w:sz="4" w:space="0"/>
              <w:right w:val="single" w:color="auto" w:sz="4" w:space="0"/>
            </w:tcBorders>
            <w:noWrap w:val="0"/>
            <w:vAlign w:val="center"/>
          </w:tcPr>
          <w:p w14:paraId="66AC4254">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c>
          <w:tcPr>
            <w:tcW w:w="1665" w:type="dxa"/>
            <w:gridSpan w:val="2"/>
            <w:tcBorders>
              <w:top w:val="single" w:color="auto" w:sz="4" w:space="0"/>
              <w:left w:val="single" w:color="auto" w:sz="4" w:space="0"/>
              <w:bottom w:val="single" w:color="auto" w:sz="4" w:space="0"/>
              <w:right w:val="single" w:color="auto" w:sz="4" w:space="0"/>
            </w:tcBorders>
            <w:noWrap w:val="0"/>
            <w:vAlign w:val="center"/>
          </w:tcPr>
          <w:p w14:paraId="5EFED436">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c>
          <w:tcPr>
            <w:tcW w:w="3013" w:type="dxa"/>
            <w:gridSpan w:val="2"/>
            <w:tcBorders>
              <w:top w:val="single" w:color="auto" w:sz="4" w:space="0"/>
              <w:left w:val="single" w:color="auto" w:sz="4" w:space="0"/>
              <w:bottom w:val="single" w:color="auto" w:sz="4" w:space="0"/>
              <w:right w:val="single" w:color="auto" w:sz="4" w:space="0"/>
            </w:tcBorders>
            <w:noWrap w:val="0"/>
            <w:vAlign w:val="center"/>
          </w:tcPr>
          <w:p w14:paraId="6A6747B0">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r>
      <w:tr w14:paraId="49628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514" w:type="dxa"/>
            <w:gridSpan w:val="2"/>
            <w:tcBorders>
              <w:top w:val="single" w:color="auto" w:sz="4" w:space="0"/>
              <w:left w:val="single" w:color="auto" w:sz="4" w:space="0"/>
              <w:bottom w:val="single" w:color="auto" w:sz="4" w:space="0"/>
              <w:right w:val="single" w:color="auto" w:sz="4" w:space="0"/>
            </w:tcBorders>
            <w:noWrap w:val="0"/>
            <w:vAlign w:val="center"/>
          </w:tcPr>
          <w:p w14:paraId="23C471C8">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c>
          <w:tcPr>
            <w:tcW w:w="3146" w:type="dxa"/>
            <w:gridSpan w:val="3"/>
            <w:tcBorders>
              <w:top w:val="single" w:color="auto" w:sz="4" w:space="0"/>
              <w:left w:val="single" w:color="auto" w:sz="4" w:space="0"/>
              <w:bottom w:val="single" w:color="auto" w:sz="4" w:space="0"/>
              <w:right w:val="single" w:color="auto" w:sz="4" w:space="0"/>
            </w:tcBorders>
            <w:noWrap w:val="0"/>
            <w:vAlign w:val="center"/>
          </w:tcPr>
          <w:p w14:paraId="40C9ECB0">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c>
          <w:tcPr>
            <w:tcW w:w="1665" w:type="dxa"/>
            <w:gridSpan w:val="2"/>
            <w:tcBorders>
              <w:top w:val="single" w:color="auto" w:sz="4" w:space="0"/>
              <w:left w:val="single" w:color="auto" w:sz="4" w:space="0"/>
              <w:bottom w:val="single" w:color="auto" w:sz="4" w:space="0"/>
              <w:right w:val="single" w:color="auto" w:sz="4" w:space="0"/>
            </w:tcBorders>
            <w:noWrap w:val="0"/>
            <w:vAlign w:val="center"/>
          </w:tcPr>
          <w:p w14:paraId="7D304BB9">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c>
          <w:tcPr>
            <w:tcW w:w="3013" w:type="dxa"/>
            <w:gridSpan w:val="2"/>
            <w:tcBorders>
              <w:top w:val="single" w:color="auto" w:sz="4" w:space="0"/>
              <w:left w:val="single" w:color="auto" w:sz="4" w:space="0"/>
              <w:bottom w:val="single" w:color="auto" w:sz="4" w:space="0"/>
              <w:right w:val="single" w:color="auto" w:sz="4" w:space="0"/>
            </w:tcBorders>
            <w:noWrap w:val="0"/>
            <w:vAlign w:val="center"/>
          </w:tcPr>
          <w:p w14:paraId="07B6599E">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r>
      <w:tr w14:paraId="2FE43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514" w:type="dxa"/>
            <w:gridSpan w:val="2"/>
            <w:tcBorders>
              <w:top w:val="single" w:color="auto" w:sz="4" w:space="0"/>
              <w:left w:val="single" w:color="auto" w:sz="4" w:space="0"/>
              <w:bottom w:val="single" w:color="auto" w:sz="4" w:space="0"/>
              <w:right w:val="single" w:color="auto" w:sz="4" w:space="0"/>
            </w:tcBorders>
            <w:noWrap w:val="0"/>
            <w:vAlign w:val="center"/>
          </w:tcPr>
          <w:p w14:paraId="6AAC6B12">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c>
          <w:tcPr>
            <w:tcW w:w="3146" w:type="dxa"/>
            <w:gridSpan w:val="3"/>
            <w:tcBorders>
              <w:top w:val="single" w:color="auto" w:sz="4" w:space="0"/>
              <w:left w:val="single" w:color="auto" w:sz="4" w:space="0"/>
              <w:bottom w:val="single" w:color="auto" w:sz="4" w:space="0"/>
              <w:right w:val="single" w:color="auto" w:sz="4" w:space="0"/>
            </w:tcBorders>
            <w:noWrap w:val="0"/>
            <w:vAlign w:val="center"/>
          </w:tcPr>
          <w:p w14:paraId="4D41F786">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c>
          <w:tcPr>
            <w:tcW w:w="1665" w:type="dxa"/>
            <w:gridSpan w:val="2"/>
            <w:tcBorders>
              <w:top w:val="single" w:color="auto" w:sz="4" w:space="0"/>
              <w:left w:val="single" w:color="auto" w:sz="4" w:space="0"/>
              <w:bottom w:val="single" w:color="auto" w:sz="4" w:space="0"/>
              <w:right w:val="single" w:color="auto" w:sz="4" w:space="0"/>
            </w:tcBorders>
            <w:noWrap w:val="0"/>
            <w:vAlign w:val="center"/>
          </w:tcPr>
          <w:p w14:paraId="0A4A5DC9">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c>
          <w:tcPr>
            <w:tcW w:w="3013" w:type="dxa"/>
            <w:gridSpan w:val="2"/>
            <w:tcBorders>
              <w:top w:val="single" w:color="auto" w:sz="4" w:space="0"/>
              <w:left w:val="single" w:color="auto" w:sz="4" w:space="0"/>
              <w:bottom w:val="single" w:color="auto" w:sz="4" w:space="0"/>
              <w:right w:val="single" w:color="auto" w:sz="4" w:space="0"/>
            </w:tcBorders>
            <w:noWrap w:val="0"/>
            <w:vAlign w:val="center"/>
          </w:tcPr>
          <w:p w14:paraId="358D0771">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r>
      <w:tr w14:paraId="31685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514" w:type="dxa"/>
            <w:gridSpan w:val="2"/>
            <w:tcBorders>
              <w:top w:val="single" w:color="auto" w:sz="4" w:space="0"/>
              <w:left w:val="single" w:color="auto" w:sz="4" w:space="0"/>
              <w:bottom w:val="single" w:color="auto" w:sz="4" w:space="0"/>
              <w:right w:val="single" w:color="auto" w:sz="4" w:space="0"/>
            </w:tcBorders>
            <w:noWrap w:val="0"/>
            <w:vAlign w:val="center"/>
          </w:tcPr>
          <w:p w14:paraId="3AA04BDD">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c>
          <w:tcPr>
            <w:tcW w:w="3146" w:type="dxa"/>
            <w:gridSpan w:val="3"/>
            <w:tcBorders>
              <w:top w:val="single" w:color="auto" w:sz="4" w:space="0"/>
              <w:left w:val="single" w:color="auto" w:sz="4" w:space="0"/>
              <w:bottom w:val="single" w:color="auto" w:sz="4" w:space="0"/>
              <w:right w:val="single" w:color="auto" w:sz="4" w:space="0"/>
            </w:tcBorders>
            <w:noWrap w:val="0"/>
            <w:vAlign w:val="center"/>
          </w:tcPr>
          <w:p w14:paraId="224A0D02">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c>
          <w:tcPr>
            <w:tcW w:w="1665" w:type="dxa"/>
            <w:gridSpan w:val="2"/>
            <w:tcBorders>
              <w:top w:val="single" w:color="auto" w:sz="4" w:space="0"/>
              <w:left w:val="single" w:color="auto" w:sz="4" w:space="0"/>
              <w:bottom w:val="single" w:color="auto" w:sz="4" w:space="0"/>
              <w:right w:val="single" w:color="auto" w:sz="4" w:space="0"/>
            </w:tcBorders>
            <w:noWrap w:val="0"/>
            <w:vAlign w:val="center"/>
          </w:tcPr>
          <w:p w14:paraId="3E4AF28E">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c>
          <w:tcPr>
            <w:tcW w:w="3013" w:type="dxa"/>
            <w:gridSpan w:val="2"/>
            <w:tcBorders>
              <w:top w:val="single" w:color="auto" w:sz="4" w:space="0"/>
              <w:left w:val="single" w:color="auto" w:sz="4" w:space="0"/>
              <w:bottom w:val="single" w:color="auto" w:sz="4" w:space="0"/>
              <w:right w:val="single" w:color="auto" w:sz="4" w:space="0"/>
            </w:tcBorders>
            <w:noWrap w:val="0"/>
            <w:vAlign w:val="center"/>
          </w:tcPr>
          <w:p w14:paraId="0E076F52">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r>
      <w:tr w14:paraId="25158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514" w:type="dxa"/>
            <w:gridSpan w:val="2"/>
            <w:tcBorders>
              <w:top w:val="single" w:color="auto" w:sz="4" w:space="0"/>
              <w:left w:val="single" w:color="auto" w:sz="4" w:space="0"/>
              <w:bottom w:val="single" w:color="auto" w:sz="4" w:space="0"/>
              <w:right w:val="single" w:color="auto" w:sz="4" w:space="0"/>
            </w:tcBorders>
            <w:noWrap w:val="0"/>
            <w:vAlign w:val="center"/>
          </w:tcPr>
          <w:p w14:paraId="69A76E3B">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c>
          <w:tcPr>
            <w:tcW w:w="3146" w:type="dxa"/>
            <w:gridSpan w:val="3"/>
            <w:tcBorders>
              <w:top w:val="single" w:color="auto" w:sz="4" w:space="0"/>
              <w:left w:val="single" w:color="auto" w:sz="4" w:space="0"/>
              <w:bottom w:val="single" w:color="auto" w:sz="4" w:space="0"/>
              <w:right w:val="single" w:color="auto" w:sz="4" w:space="0"/>
            </w:tcBorders>
            <w:noWrap w:val="0"/>
            <w:vAlign w:val="center"/>
          </w:tcPr>
          <w:p w14:paraId="499AAF14">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c>
          <w:tcPr>
            <w:tcW w:w="1665" w:type="dxa"/>
            <w:gridSpan w:val="2"/>
            <w:tcBorders>
              <w:top w:val="single" w:color="auto" w:sz="4" w:space="0"/>
              <w:left w:val="single" w:color="auto" w:sz="4" w:space="0"/>
              <w:bottom w:val="single" w:color="auto" w:sz="4" w:space="0"/>
              <w:right w:val="single" w:color="auto" w:sz="4" w:space="0"/>
            </w:tcBorders>
            <w:noWrap w:val="0"/>
            <w:vAlign w:val="center"/>
          </w:tcPr>
          <w:p w14:paraId="1890319F">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c>
          <w:tcPr>
            <w:tcW w:w="3013" w:type="dxa"/>
            <w:gridSpan w:val="2"/>
            <w:tcBorders>
              <w:top w:val="single" w:color="auto" w:sz="4" w:space="0"/>
              <w:left w:val="single" w:color="auto" w:sz="4" w:space="0"/>
              <w:bottom w:val="single" w:color="auto" w:sz="4" w:space="0"/>
              <w:right w:val="single" w:color="auto" w:sz="4" w:space="0"/>
            </w:tcBorders>
            <w:noWrap w:val="0"/>
            <w:vAlign w:val="center"/>
          </w:tcPr>
          <w:p w14:paraId="6899B4F3">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r>
      <w:tr w14:paraId="0F5E2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514" w:type="dxa"/>
            <w:gridSpan w:val="2"/>
            <w:tcBorders>
              <w:top w:val="single" w:color="auto" w:sz="4" w:space="0"/>
              <w:left w:val="single" w:color="auto" w:sz="4" w:space="0"/>
              <w:bottom w:val="single" w:color="auto" w:sz="4" w:space="0"/>
              <w:right w:val="single" w:color="auto" w:sz="4" w:space="0"/>
            </w:tcBorders>
            <w:noWrap w:val="0"/>
            <w:vAlign w:val="center"/>
          </w:tcPr>
          <w:p w14:paraId="425259F5">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c>
          <w:tcPr>
            <w:tcW w:w="3146" w:type="dxa"/>
            <w:gridSpan w:val="3"/>
            <w:tcBorders>
              <w:top w:val="single" w:color="auto" w:sz="4" w:space="0"/>
              <w:left w:val="single" w:color="auto" w:sz="4" w:space="0"/>
              <w:bottom w:val="single" w:color="auto" w:sz="4" w:space="0"/>
              <w:right w:val="single" w:color="auto" w:sz="4" w:space="0"/>
            </w:tcBorders>
            <w:noWrap w:val="0"/>
            <w:vAlign w:val="center"/>
          </w:tcPr>
          <w:p w14:paraId="3A2FFE68">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c>
          <w:tcPr>
            <w:tcW w:w="1665" w:type="dxa"/>
            <w:gridSpan w:val="2"/>
            <w:tcBorders>
              <w:top w:val="single" w:color="auto" w:sz="4" w:space="0"/>
              <w:left w:val="single" w:color="auto" w:sz="4" w:space="0"/>
              <w:bottom w:val="single" w:color="auto" w:sz="4" w:space="0"/>
              <w:right w:val="single" w:color="auto" w:sz="4" w:space="0"/>
            </w:tcBorders>
            <w:noWrap w:val="0"/>
            <w:vAlign w:val="center"/>
          </w:tcPr>
          <w:p w14:paraId="6041AD29">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c>
          <w:tcPr>
            <w:tcW w:w="3013" w:type="dxa"/>
            <w:gridSpan w:val="2"/>
            <w:tcBorders>
              <w:top w:val="single" w:color="auto" w:sz="4" w:space="0"/>
              <w:left w:val="single" w:color="auto" w:sz="4" w:space="0"/>
              <w:bottom w:val="single" w:color="auto" w:sz="4" w:space="0"/>
              <w:right w:val="single" w:color="auto" w:sz="4" w:space="0"/>
            </w:tcBorders>
            <w:noWrap w:val="0"/>
            <w:vAlign w:val="center"/>
          </w:tcPr>
          <w:p w14:paraId="599DD7B5">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r>
      <w:tr w14:paraId="12859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514" w:type="dxa"/>
            <w:gridSpan w:val="2"/>
            <w:tcBorders>
              <w:top w:val="single" w:color="auto" w:sz="4" w:space="0"/>
              <w:left w:val="single" w:color="auto" w:sz="4" w:space="0"/>
              <w:bottom w:val="single" w:color="auto" w:sz="4" w:space="0"/>
              <w:right w:val="single" w:color="auto" w:sz="4" w:space="0"/>
            </w:tcBorders>
            <w:noWrap w:val="0"/>
            <w:vAlign w:val="center"/>
          </w:tcPr>
          <w:p w14:paraId="682A8702">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c>
          <w:tcPr>
            <w:tcW w:w="3146" w:type="dxa"/>
            <w:gridSpan w:val="3"/>
            <w:tcBorders>
              <w:top w:val="single" w:color="auto" w:sz="4" w:space="0"/>
              <w:left w:val="single" w:color="auto" w:sz="4" w:space="0"/>
              <w:bottom w:val="single" w:color="auto" w:sz="4" w:space="0"/>
              <w:right w:val="single" w:color="auto" w:sz="4" w:space="0"/>
            </w:tcBorders>
            <w:noWrap w:val="0"/>
            <w:vAlign w:val="center"/>
          </w:tcPr>
          <w:p w14:paraId="5E7DB3A5">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c>
          <w:tcPr>
            <w:tcW w:w="1665" w:type="dxa"/>
            <w:gridSpan w:val="2"/>
            <w:tcBorders>
              <w:top w:val="single" w:color="auto" w:sz="4" w:space="0"/>
              <w:left w:val="single" w:color="auto" w:sz="4" w:space="0"/>
              <w:bottom w:val="single" w:color="auto" w:sz="4" w:space="0"/>
              <w:right w:val="single" w:color="auto" w:sz="4" w:space="0"/>
            </w:tcBorders>
            <w:noWrap w:val="0"/>
            <w:vAlign w:val="center"/>
          </w:tcPr>
          <w:p w14:paraId="63D1789D">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c>
          <w:tcPr>
            <w:tcW w:w="3013" w:type="dxa"/>
            <w:gridSpan w:val="2"/>
            <w:tcBorders>
              <w:top w:val="single" w:color="auto" w:sz="4" w:space="0"/>
              <w:left w:val="single" w:color="auto" w:sz="4" w:space="0"/>
              <w:bottom w:val="single" w:color="auto" w:sz="4" w:space="0"/>
              <w:right w:val="single" w:color="auto" w:sz="4" w:space="0"/>
            </w:tcBorders>
            <w:noWrap w:val="0"/>
            <w:vAlign w:val="center"/>
          </w:tcPr>
          <w:p w14:paraId="35DD4A00">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r>
      <w:tr w14:paraId="01613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514" w:type="dxa"/>
            <w:gridSpan w:val="2"/>
            <w:tcBorders>
              <w:top w:val="single" w:color="auto" w:sz="4" w:space="0"/>
              <w:left w:val="single" w:color="auto" w:sz="4" w:space="0"/>
              <w:bottom w:val="single" w:color="auto" w:sz="4" w:space="0"/>
              <w:right w:val="single" w:color="auto" w:sz="4" w:space="0"/>
            </w:tcBorders>
            <w:noWrap w:val="0"/>
            <w:vAlign w:val="center"/>
          </w:tcPr>
          <w:p w14:paraId="1C63FDA6">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c>
          <w:tcPr>
            <w:tcW w:w="3146" w:type="dxa"/>
            <w:gridSpan w:val="3"/>
            <w:tcBorders>
              <w:top w:val="single" w:color="auto" w:sz="4" w:space="0"/>
              <w:left w:val="single" w:color="auto" w:sz="4" w:space="0"/>
              <w:bottom w:val="single" w:color="auto" w:sz="4" w:space="0"/>
              <w:right w:val="single" w:color="auto" w:sz="4" w:space="0"/>
            </w:tcBorders>
            <w:noWrap w:val="0"/>
            <w:vAlign w:val="center"/>
          </w:tcPr>
          <w:p w14:paraId="437C8962">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c>
          <w:tcPr>
            <w:tcW w:w="1665" w:type="dxa"/>
            <w:gridSpan w:val="2"/>
            <w:tcBorders>
              <w:top w:val="single" w:color="auto" w:sz="4" w:space="0"/>
              <w:left w:val="single" w:color="auto" w:sz="4" w:space="0"/>
              <w:bottom w:val="single" w:color="auto" w:sz="4" w:space="0"/>
              <w:right w:val="single" w:color="auto" w:sz="4" w:space="0"/>
            </w:tcBorders>
            <w:noWrap w:val="0"/>
            <w:vAlign w:val="center"/>
          </w:tcPr>
          <w:p w14:paraId="0DADED19">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c>
          <w:tcPr>
            <w:tcW w:w="3013" w:type="dxa"/>
            <w:gridSpan w:val="2"/>
            <w:tcBorders>
              <w:top w:val="single" w:color="auto" w:sz="4" w:space="0"/>
              <w:left w:val="single" w:color="auto" w:sz="4" w:space="0"/>
              <w:bottom w:val="single" w:color="auto" w:sz="4" w:space="0"/>
              <w:right w:val="single" w:color="auto" w:sz="4" w:space="0"/>
            </w:tcBorders>
            <w:noWrap w:val="0"/>
            <w:vAlign w:val="center"/>
          </w:tcPr>
          <w:p w14:paraId="42C6C9DA">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r>
      <w:tr w14:paraId="4E581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514" w:type="dxa"/>
            <w:gridSpan w:val="2"/>
            <w:tcBorders>
              <w:top w:val="single" w:color="auto" w:sz="4" w:space="0"/>
              <w:left w:val="single" w:color="auto" w:sz="4" w:space="0"/>
              <w:bottom w:val="single" w:color="auto" w:sz="4" w:space="0"/>
              <w:right w:val="single" w:color="auto" w:sz="4" w:space="0"/>
            </w:tcBorders>
            <w:noWrap w:val="0"/>
            <w:vAlign w:val="center"/>
          </w:tcPr>
          <w:p w14:paraId="23D8BED1">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c>
          <w:tcPr>
            <w:tcW w:w="3146" w:type="dxa"/>
            <w:gridSpan w:val="3"/>
            <w:tcBorders>
              <w:top w:val="single" w:color="auto" w:sz="4" w:space="0"/>
              <w:left w:val="single" w:color="auto" w:sz="4" w:space="0"/>
              <w:bottom w:val="single" w:color="auto" w:sz="4" w:space="0"/>
              <w:right w:val="single" w:color="auto" w:sz="4" w:space="0"/>
            </w:tcBorders>
            <w:noWrap w:val="0"/>
            <w:vAlign w:val="center"/>
          </w:tcPr>
          <w:p w14:paraId="3E4B39F1">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c>
          <w:tcPr>
            <w:tcW w:w="1665" w:type="dxa"/>
            <w:gridSpan w:val="2"/>
            <w:tcBorders>
              <w:top w:val="single" w:color="auto" w:sz="4" w:space="0"/>
              <w:left w:val="single" w:color="auto" w:sz="4" w:space="0"/>
              <w:bottom w:val="single" w:color="auto" w:sz="4" w:space="0"/>
              <w:right w:val="single" w:color="auto" w:sz="4" w:space="0"/>
            </w:tcBorders>
            <w:noWrap w:val="0"/>
            <w:vAlign w:val="center"/>
          </w:tcPr>
          <w:p w14:paraId="6544DEE1">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c>
          <w:tcPr>
            <w:tcW w:w="3013" w:type="dxa"/>
            <w:gridSpan w:val="2"/>
            <w:tcBorders>
              <w:top w:val="single" w:color="auto" w:sz="4" w:space="0"/>
              <w:left w:val="single" w:color="auto" w:sz="4" w:space="0"/>
              <w:bottom w:val="single" w:color="auto" w:sz="4" w:space="0"/>
              <w:right w:val="single" w:color="auto" w:sz="4" w:space="0"/>
            </w:tcBorders>
            <w:noWrap w:val="0"/>
            <w:vAlign w:val="center"/>
          </w:tcPr>
          <w:p w14:paraId="7C7D1F2C">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r>
      <w:tr w14:paraId="2A734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514" w:type="dxa"/>
            <w:gridSpan w:val="2"/>
            <w:tcBorders>
              <w:top w:val="single" w:color="auto" w:sz="4" w:space="0"/>
              <w:left w:val="single" w:color="auto" w:sz="4" w:space="0"/>
              <w:bottom w:val="single" w:color="auto" w:sz="4" w:space="0"/>
              <w:right w:val="single" w:color="auto" w:sz="4" w:space="0"/>
            </w:tcBorders>
            <w:noWrap w:val="0"/>
            <w:vAlign w:val="center"/>
          </w:tcPr>
          <w:p w14:paraId="6C165BE7">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c>
          <w:tcPr>
            <w:tcW w:w="3146" w:type="dxa"/>
            <w:gridSpan w:val="3"/>
            <w:tcBorders>
              <w:top w:val="single" w:color="auto" w:sz="4" w:space="0"/>
              <w:left w:val="single" w:color="auto" w:sz="4" w:space="0"/>
              <w:bottom w:val="single" w:color="auto" w:sz="4" w:space="0"/>
              <w:right w:val="single" w:color="auto" w:sz="4" w:space="0"/>
            </w:tcBorders>
            <w:noWrap w:val="0"/>
            <w:vAlign w:val="center"/>
          </w:tcPr>
          <w:p w14:paraId="2A0DB0CF">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c>
          <w:tcPr>
            <w:tcW w:w="1665" w:type="dxa"/>
            <w:gridSpan w:val="2"/>
            <w:tcBorders>
              <w:top w:val="single" w:color="auto" w:sz="4" w:space="0"/>
              <w:left w:val="single" w:color="auto" w:sz="4" w:space="0"/>
              <w:bottom w:val="single" w:color="auto" w:sz="4" w:space="0"/>
              <w:right w:val="single" w:color="auto" w:sz="4" w:space="0"/>
            </w:tcBorders>
            <w:noWrap w:val="0"/>
            <w:vAlign w:val="center"/>
          </w:tcPr>
          <w:p w14:paraId="4B8E5F80">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c>
          <w:tcPr>
            <w:tcW w:w="3013" w:type="dxa"/>
            <w:gridSpan w:val="2"/>
            <w:tcBorders>
              <w:top w:val="single" w:color="auto" w:sz="4" w:space="0"/>
              <w:left w:val="single" w:color="auto" w:sz="4" w:space="0"/>
              <w:bottom w:val="single" w:color="auto" w:sz="4" w:space="0"/>
              <w:right w:val="single" w:color="auto" w:sz="4" w:space="0"/>
            </w:tcBorders>
            <w:noWrap w:val="0"/>
            <w:vAlign w:val="center"/>
          </w:tcPr>
          <w:p w14:paraId="29152959">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r>
    </w:tbl>
    <w:p w14:paraId="644F8E8D">
      <w:pPr>
        <w:pStyle w:val="14"/>
        <w:numPr>
          <w:ilvl w:val="0"/>
          <w:numId w:val="0"/>
        </w:numPr>
        <w:spacing w:line="360" w:lineRule="auto"/>
        <w:jc w:val="both"/>
        <w:rPr>
          <w:rFonts w:hint="eastAsia" w:ascii="宋体" w:hAnsi="宋体" w:eastAsia="宋体" w:cs="宋体"/>
          <w:b w:val="0"/>
          <w:bCs w:val="0"/>
          <w:color w:val="auto"/>
          <w:sz w:val="24"/>
          <w:szCs w:val="24"/>
          <w:lang w:val="en-US" w:eastAsia="zh-CN"/>
        </w:rPr>
      </w:pPr>
    </w:p>
    <w:p w14:paraId="2884978D">
      <w:pPr>
        <w:pStyle w:val="14"/>
        <w:numPr>
          <w:ilvl w:val="0"/>
          <w:numId w:val="0"/>
        </w:numPr>
        <w:spacing w:line="360" w:lineRule="auto"/>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投标人拟派技术负责人(可兼任项目负责人)须具有有效期内的国家注册一级造价师资格证书原件扫描件加盖投标企业公章。</w:t>
      </w:r>
    </w:p>
    <w:p w14:paraId="6A519D47">
      <w:pPr>
        <w:pStyle w:val="14"/>
        <w:numPr>
          <w:ilvl w:val="0"/>
          <w:numId w:val="0"/>
        </w:numPr>
        <w:jc w:val="both"/>
        <w:rPr>
          <w:rFonts w:hint="eastAsia" w:ascii="宋体" w:hAnsi="宋体" w:eastAsia="宋体" w:cs="宋体"/>
          <w:b/>
          <w:bCs/>
          <w:color w:val="auto"/>
          <w:sz w:val="30"/>
          <w:szCs w:val="30"/>
          <w:lang w:val="en-US" w:eastAsia="zh-CN"/>
        </w:rPr>
      </w:pPr>
    </w:p>
    <w:p w14:paraId="058F2BE7">
      <w:pPr>
        <w:pStyle w:val="14"/>
        <w:numPr>
          <w:ilvl w:val="0"/>
          <w:numId w:val="0"/>
        </w:numPr>
        <w:jc w:val="both"/>
        <w:rPr>
          <w:rFonts w:hint="eastAsia" w:ascii="宋体" w:hAnsi="宋体" w:eastAsia="宋体" w:cs="宋体"/>
          <w:b/>
          <w:bCs/>
          <w:color w:val="auto"/>
          <w:sz w:val="30"/>
          <w:szCs w:val="30"/>
          <w:lang w:val="en-US" w:eastAsia="zh-CN"/>
        </w:rPr>
      </w:pPr>
    </w:p>
    <w:p w14:paraId="55DB52A8">
      <w:pPr>
        <w:pStyle w:val="14"/>
        <w:numPr>
          <w:ilvl w:val="0"/>
          <w:numId w:val="0"/>
        </w:numPr>
        <w:jc w:val="both"/>
        <w:rPr>
          <w:rFonts w:hint="eastAsia" w:ascii="宋体" w:hAnsi="宋体" w:eastAsia="宋体" w:cs="宋体"/>
          <w:b/>
          <w:bCs/>
          <w:color w:val="auto"/>
          <w:sz w:val="30"/>
          <w:szCs w:val="30"/>
          <w:lang w:val="en-US" w:eastAsia="zh-CN"/>
        </w:rPr>
      </w:pPr>
    </w:p>
    <w:p w14:paraId="5354580E">
      <w:pPr>
        <w:pStyle w:val="14"/>
        <w:numPr>
          <w:ilvl w:val="0"/>
          <w:numId w:val="0"/>
        </w:numPr>
        <w:jc w:val="both"/>
        <w:rPr>
          <w:rFonts w:hint="eastAsia" w:ascii="宋体" w:hAnsi="宋体" w:eastAsia="宋体" w:cs="宋体"/>
          <w:b/>
          <w:bCs/>
          <w:color w:val="auto"/>
          <w:sz w:val="30"/>
          <w:szCs w:val="30"/>
          <w:lang w:val="en-US" w:eastAsia="zh-CN"/>
        </w:rPr>
      </w:pPr>
    </w:p>
    <w:p w14:paraId="4E06A2B7">
      <w:pPr>
        <w:pStyle w:val="14"/>
        <w:numPr>
          <w:ilvl w:val="0"/>
          <w:numId w:val="0"/>
        </w:numPr>
        <w:jc w:val="both"/>
        <w:rPr>
          <w:rFonts w:hint="eastAsia" w:ascii="宋体" w:hAnsi="宋体" w:eastAsia="宋体" w:cs="宋体"/>
          <w:b/>
          <w:bCs/>
          <w:color w:val="auto"/>
          <w:sz w:val="30"/>
          <w:szCs w:val="30"/>
          <w:lang w:val="en-US" w:eastAsia="zh-CN"/>
        </w:rPr>
      </w:pPr>
    </w:p>
    <w:p w14:paraId="0AB63C04">
      <w:pPr>
        <w:pStyle w:val="14"/>
        <w:numPr>
          <w:ilvl w:val="0"/>
          <w:numId w:val="0"/>
        </w:numPr>
        <w:jc w:val="both"/>
        <w:rPr>
          <w:rFonts w:hint="eastAsia" w:ascii="宋体" w:hAnsi="宋体" w:eastAsia="宋体" w:cs="宋体"/>
          <w:b/>
          <w:bCs/>
          <w:color w:val="auto"/>
          <w:sz w:val="30"/>
          <w:szCs w:val="30"/>
          <w:lang w:val="en-US" w:eastAsia="zh-CN"/>
        </w:rPr>
      </w:pPr>
    </w:p>
    <w:p w14:paraId="138A323E">
      <w:pPr>
        <w:pStyle w:val="14"/>
        <w:numPr>
          <w:ilvl w:val="0"/>
          <w:numId w:val="0"/>
        </w:numPr>
        <w:jc w:val="both"/>
        <w:rPr>
          <w:rFonts w:hint="eastAsia" w:ascii="宋体" w:hAnsi="宋体" w:eastAsia="宋体" w:cs="宋体"/>
          <w:b/>
          <w:bCs/>
          <w:color w:val="auto"/>
          <w:sz w:val="30"/>
          <w:szCs w:val="30"/>
          <w:lang w:val="en-US" w:eastAsia="zh-CN"/>
        </w:rPr>
      </w:pPr>
    </w:p>
    <w:p w14:paraId="372390EF">
      <w:pPr>
        <w:pStyle w:val="14"/>
        <w:numPr>
          <w:ilvl w:val="0"/>
          <w:numId w:val="0"/>
        </w:numPr>
        <w:jc w:val="both"/>
        <w:rPr>
          <w:rFonts w:hint="eastAsia" w:ascii="宋体" w:hAnsi="宋体" w:eastAsia="宋体" w:cs="宋体"/>
          <w:b/>
          <w:bCs/>
          <w:color w:val="auto"/>
          <w:sz w:val="30"/>
          <w:szCs w:val="30"/>
          <w:lang w:val="en-US" w:eastAsia="zh-CN"/>
        </w:rPr>
      </w:pPr>
    </w:p>
    <w:p w14:paraId="782E9035">
      <w:pPr>
        <w:pStyle w:val="14"/>
        <w:numPr>
          <w:ilvl w:val="0"/>
          <w:numId w:val="0"/>
        </w:numPr>
        <w:jc w:val="both"/>
        <w:rPr>
          <w:rFonts w:hint="eastAsia" w:ascii="宋体" w:hAnsi="宋体" w:eastAsia="宋体" w:cs="宋体"/>
          <w:b/>
          <w:bCs/>
          <w:color w:val="auto"/>
          <w:sz w:val="30"/>
          <w:szCs w:val="30"/>
          <w:lang w:val="en-US" w:eastAsia="zh-CN"/>
        </w:rPr>
      </w:pPr>
    </w:p>
    <w:p w14:paraId="18314FF1">
      <w:pPr>
        <w:pStyle w:val="14"/>
        <w:numPr>
          <w:ilvl w:val="0"/>
          <w:numId w:val="0"/>
        </w:numPr>
        <w:ind w:left="3570" w:leftChars="0"/>
        <w:jc w:val="both"/>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（5-1）项目负责人</w:t>
      </w:r>
    </w:p>
    <w:p w14:paraId="5C841BAE">
      <w:pPr>
        <w:jc w:val="center"/>
        <w:rPr>
          <w:rFonts w:hint="eastAsia"/>
          <w:b/>
          <w:bCs/>
          <w:color w:val="auto"/>
          <w:sz w:val="24"/>
          <w:szCs w:val="24"/>
          <w:lang w:val="en-US" w:eastAsia="zh-CN"/>
        </w:rPr>
      </w:pPr>
      <w:r>
        <w:rPr>
          <w:rFonts w:hint="eastAsia"/>
          <w:b/>
          <w:bCs/>
          <w:color w:val="auto"/>
          <w:sz w:val="24"/>
          <w:szCs w:val="24"/>
          <w:lang w:val="en-US" w:eastAsia="zh-CN"/>
        </w:rPr>
        <w:t>投标人拟派技术负责人和项目负责人不为同一人时，可填写此表</w:t>
      </w:r>
    </w:p>
    <w:p w14:paraId="0BA48F21">
      <w:pPr>
        <w:pStyle w:val="20"/>
        <w:rPr>
          <w:rFonts w:hint="eastAsia"/>
          <w:lang w:val="en-US" w:eastAsia="zh-CN"/>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630"/>
        <w:gridCol w:w="957"/>
        <w:gridCol w:w="816"/>
        <w:gridCol w:w="1373"/>
        <w:gridCol w:w="29"/>
        <w:gridCol w:w="1636"/>
        <w:gridCol w:w="562"/>
        <w:gridCol w:w="2451"/>
      </w:tblGrid>
      <w:tr w14:paraId="0E1A8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884" w:type="dxa"/>
            <w:tcBorders>
              <w:top w:val="single" w:color="auto" w:sz="4" w:space="0"/>
              <w:left w:val="single" w:color="auto" w:sz="4" w:space="0"/>
              <w:bottom w:val="single" w:color="auto" w:sz="4" w:space="0"/>
              <w:right w:val="single" w:color="auto" w:sz="4" w:space="0"/>
            </w:tcBorders>
            <w:noWrap w:val="0"/>
            <w:vAlign w:val="center"/>
          </w:tcPr>
          <w:p w14:paraId="4717FC15">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b/>
                <w:bCs/>
                <w:szCs w:val="21"/>
              </w:rPr>
            </w:pPr>
            <w:r>
              <w:rPr>
                <w:rFonts w:hint="eastAsia" w:ascii="宋体" w:hAnsi="宋体" w:eastAsia="宋体" w:cs="宋体"/>
                <w:b/>
                <w:bCs/>
                <w:szCs w:val="21"/>
              </w:rPr>
              <w:t>姓 名</w:t>
            </w:r>
          </w:p>
        </w:tc>
        <w:tc>
          <w:tcPr>
            <w:tcW w:w="1587" w:type="dxa"/>
            <w:gridSpan w:val="2"/>
            <w:tcBorders>
              <w:top w:val="single" w:color="auto" w:sz="4" w:space="0"/>
              <w:left w:val="single" w:color="auto" w:sz="4" w:space="0"/>
              <w:bottom w:val="single" w:color="auto" w:sz="4" w:space="0"/>
              <w:right w:val="single" w:color="auto" w:sz="4" w:space="0"/>
            </w:tcBorders>
            <w:noWrap w:val="0"/>
            <w:vAlign w:val="center"/>
          </w:tcPr>
          <w:p w14:paraId="3C19C092">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c>
          <w:tcPr>
            <w:tcW w:w="816" w:type="dxa"/>
            <w:tcBorders>
              <w:top w:val="single" w:color="auto" w:sz="4" w:space="0"/>
              <w:left w:val="single" w:color="auto" w:sz="4" w:space="0"/>
              <w:bottom w:val="single" w:color="auto" w:sz="4" w:space="0"/>
              <w:right w:val="single" w:color="auto" w:sz="4" w:space="0"/>
            </w:tcBorders>
            <w:noWrap w:val="0"/>
            <w:vAlign w:val="center"/>
          </w:tcPr>
          <w:p w14:paraId="6DAC7A83">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b/>
                <w:bCs/>
                <w:szCs w:val="21"/>
              </w:rPr>
            </w:pPr>
            <w:r>
              <w:rPr>
                <w:rFonts w:hint="eastAsia" w:ascii="宋体" w:hAnsi="宋体" w:eastAsia="宋体" w:cs="宋体"/>
                <w:b/>
                <w:bCs/>
                <w:szCs w:val="21"/>
              </w:rPr>
              <w:t>年龄</w:t>
            </w:r>
          </w:p>
        </w:tc>
        <w:tc>
          <w:tcPr>
            <w:tcW w:w="1402" w:type="dxa"/>
            <w:gridSpan w:val="2"/>
            <w:tcBorders>
              <w:top w:val="single" w:color="auto" w:sz="4" w:space="0"/>
              <w:left w:val="single" w:color="auto" w:sz="4" w:space="0"/>
              <w:bottom w:val="single" w:color="auto" w:sz="4" w:space="0"/>
              <w:right w:val="single" w:color="auto" w:sz="4" w:space="0"/>
            </w:tcBorders>
            <w:noWrap w:val="0"/>
            <w:vAlign w:val="center"/>
          </w:tcPr>
          <w:p w14:paraId="6E8C923A">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c>
          <w:tcPr>
            <w:tcW w:w="2198" w:type="dxa"/>
            <w:gridSpan w:val="2"/>
            <w:tcBorders>
              <w:top w:val="single" w:color="auto" w:sz="4" w:space="0"/>
              <w:left w:val="single" w:color="auto" w:sz="4" w:space="0"/>
              <w:bottom w:val="single" w:color="auto" w:sz="4" w:space="0"/>
              <w:right w:val="single" w:color="auto" w:sz="4" w:space="0"/>
            </w:tcBorders>
            <w:noWrap w:val="0"/>
            <w:vAlign w:val="center"/>
          </w:tcPr>
          <w:p w14:paraId="7CF418C9">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b/>
                <w:bCs/>
                <w:szCs w:val="21"/>
              </w:rPr>
            </w:pPr>
            <w:r>
              <w:rPr>
                <w:rFonts w:hint="eastAsia" w:ascii="宋体" w:hAnsi="宋体" w:eastAsia="宋体" w:cs="宋体"/>
                <w:b/>
                <w:bCs/>
                <w:szCs w:val="21"/>
              </w:rPr>
              <w:t>专业</w:t>
            </w:r>
          </w:p>
        </w:tc>
        <w:tc>
          <w:tcPr>
            <w:tcW w:w="2451" w:type="dxa"/>
            <w:tcBorders>
              <w:top w:val="single" w:color="auto" w:sz="4" w:space="0"/>
              <w:left w:val="single" w:color="auto" w:sz="4" w:space="0"/>
              <w:bottom w:val="single" w:color="auto" w:sz="4" w:space="0"/>
              <w:right w:val="single" w:color="auto" w:sz="4" w:space="0"/>
            </w:tcBorders>
            <w:noWrap w:val="0"/>
            <w:vAlign w:val="center"/>
          </w:tcPr>
          <w:p w14:paraId="7170E2D5">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r>
      <w:tr w14:paraId="26AE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884" w:type="dxa"/>
            <w:tcBorders>
              <w:top w:val="single" w:color="auto" w:sz="4" w:space="0"/>
              <w:left w:val="single" w:color="auto" w:sz="4" w:space="0"/>
              <w:bottom w:val="single" w:color="auto" w:sz="4" w:space="0"/>
              <w:right w:val="single" w:color="auto" w:sz="4" w:space="0"/>
            </w:tcBorders>
            <w:noWrap w:val="0"/>
            <w:vAlign w:val="center"/>
          </w:tcPr>
          <w:p w14:paraId="0A2727B1">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b/>
                <w:bCs/>
                <w:szCs w:val="21"/>
              </w:rPr>
            </w:pPr>
            <w:r>
              <w:rPr>
                <w:rFonts w:hint="eastAsia" w:ascii="宋体" w:hAnsi="宋体" w:eastAsia="宋体" w:cs="宋体"/>
                <w:b/>
                <w:bCs/>
                <w:szCs w:val="21"/>
              </w:rPr>
              <w:t>职 称</w:t>
            </w:r>
          </w:p>
        </w:tc>
        <w:tc>
          <w:tcPr>
            <w:tcW w:w="1587" w:type="dxa"/>
            <w:gridSpan w:val="2"/>
            <w:tcBorders>
              <w:top w:val="single" w:color="auto" w:sz="4" w:space="0"/>
              <w:left w:val="single" w:color="auto" w:sz="4" w:space="0"/>
              <w:bottom w:val="single" w:color="auto" w:sz="4" w:space="0"/>
              <w:right w:val="single" w:color="auto" w:sz="4" w:space="0"/>
            </w:tcBorders>
            <w:noWrap w:val="0"/>
            <w:vAlign w:val="center"/>
          </w:tcPr>
          <w:p w14:paraId="77BA808A">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c>
          <w:tcPr>
            <w:tcW w:w="816" w:type="dxa"/>
            <w:tcBorders>
              <w:top w:val="single" w:color="auto" w:sz="4" w:space="0"/>
              <w:left w:val="single" w:color="auto" w:sz="4" w:space="0"/>
              <w:bottom w:val="single" w:color="auto" w:sz="4" w:space="0"/>
              <w:right w:val="single" w:color="auto" w:sz="4" w:space="0"/>
            </w:tcBorders>
            <w:noWrap w:val="0"/>
            <w:vAlign w:val="center"/>
          </w:tcPr>
          <w:p w14:paraId="2553EF34">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b/>
                <w:bCs/>
                <w:szCs w:val="21"/>
              </w:rPr>
            </w:pPr>
            <w:r>
              <w:rPr>
                <w:rFonts w:hint="eastAsia" w:ascii="宋体" w:hAnsi="宋体" w:eastAsia="宋体" w:cs="宋体"/>
                <w:b/>
                <w:bCs/>
                <w:szCs w:val="21"/>
              </w:rPr>
              <w:t>职务</w:t>
            </w:r>
          </w:p>
        </w:tc>
        <w:tc>
          <w:tcPr>
            <w:tcW w:w="1402" w:type="dxa"/>
            <w:gridSpan w:val="2"/>
            <w:tcBorders>
              <w:top w:val="single" w:color="auto" w:sz="4" w:space="0"/>
              <w:left w:val="single" w:color="auto" w:sz="4" w:space="0"/>
              <w:bottom w:val="single" w:color="auto" w:sz="4" w:space="0"/>
              <w:right w:val="single" w:color="auto" w:sz="4" w:space="0"/>
            </w:tcBorders>
            <w:noWrap w:val="0"/>
            <w:vAlign w:val="center"/>
          </w:tcPr>
          <w:p w14:paraId="06531CB0">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c>
          <w:tcPr>
            <w:tcW w:w="2198" w:type="dxa"/>
            <w:gridSpan w:val="2"/>
            <w:tcBorders>
              <w:top w:val="single" w:color="auto" w:sz="4" w:space="0"/>
              <w:left w:val="single" w:color="auto" w:sz="4" w:space="0"/>
              <w:bottom w:val="single" w:color="auto" w:sz="4" w:space="0"/>
              <w:right w:val="single" w:color="auto" w:sz="4" w:space="0"/>
            </w:tcBorders>
            <w:noWrap w:val="0"/>
            <w:vAlign w:val="center"/>
          </w:tcPr>
          <w:p w14:paraId="0808D0B4">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b/>
                <w:bCs/>
                <w:szCs w:val="21"/>
              </w:rPr>
            </w:pPr>
            <w:r>
              <w:rPr>
                <w:rFonts w:hint="eastAsia" w:ascii="宋体" w:hAnsi="宋体" w:eastAsia="宋体" w:cs="宋体"/>
                <w:b/>
                <w:bCs/>
                <w:szCs w:val="21"/>
              </w:rPr>
              <w:t>拟在本项目中担任的职务</w:t>
            </w:r>
          </w:p>
        </w:tc>
        <w:tc>
          <w:tcPr>
            <w:tcW w:w="2451" w:type="dxa"/>
            <w:tcBorders>
              <w:top w:val="single" w:color="auto" w:sz="4" w:space="0"/>
              <w:left w:val="single" w:color="auto" w:sz="4" w:space="0"/>
              <w:bottom w:val="single" w:color="auto" w:sz="4" w:space="0"/>
              <w:right w:val="single" w:color="auto" w:sz="4" w:space="0"/>
            </w:tcBorders>
            <w:noWrap w:val="0"/>
            <w:vAlign w:val="center"/>
          </w:tcPr>
          <w:p w14:paraId="01FE64C2">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r>
      <w:tr w14:paraId="3C092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2471" w:type="dxa"/>
            <w:gridSpan w:val="3"/>
            <w:tcBorders>
              <w:top w:val="single" w:color="auto" w:sz="4" w:space="0"/>
              <w:left w:val="single" w:color="auto" w:sz="4" w:space="0"/>
              <w:bottom w:val="single" w:color="auto" w:sz="4" w:space="0"/>
              <w:right w:val="single" w:color="auto" w:sz="4" w:space="0"/>
            </w:tcBorders>
            <w:noWrap w:val="0"/>
            <w:vAlign w:val="center"/>
          </w:tcPr>
          <w:p w14:paraId="2FAADB84">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b/>
                <w:bCs/>
                <w:szCs w:val="21"/>
              </w:rPr>
            </w:pPr>
            <w:r>
              <w:rPr>
                <w:rFonts w:hint="eastAsia" w:ascii="宋体" w:hAnsi="宋体" w:eastAsia="宋体" w:cs="宋体"/>
                <w:b/>
                <w:bCs/>
                <w:szCs w:val="21"/>
              </w:rPr>
              <w:t>毕业学校</w:t>
            </w:r>
          </w:p>
        </w:tc>
        <w:tc>
          <w:tcPr>
            <w:tcW w:w="2218" w:type="dxa"/>
            <w:gridSpan w:val="3"/>
            <w:tcBorders>
              <w:top w:val="single" w:color="auto" w:sz="4" w:space="0"/>
              <w:left w:val="single" w:color="auto" w:sz="4" w:space="0"/>
              <w:bottom w:val="single" w:color="auto" w:sz="4" w:space="0"/>
              <w:right w:val="single" w:color="auto" w:sz="4" w:space="0"/>
            </w:tcBorders>
            <w:noWrap w:val="0"/>
            <w:vAlign w:val="center"/>
          </w:tcPr>
          <w:p w14:paraId="1122F232">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c>
          <w:tcPr>
            <w:tcW w:w="2198" w:type="dxa"/>
            <w:gridSpan w:val="2"/>
            <w:tcBorders>
              <w:top w:val="single" w:color="auto" w:sz="4" w:space="0"/>
              <w:left w:val="single" w:color="auto" w:sz="4" w:space="0"/>
              <w:bottom w:val="single" w:color="auto" w:sz="4" w:space="0"/>
              <w:right w:val="single" w:color="auto" w:sz="4" w:space="0"/>
            </w:tcBorders>
            <w:noWrap w:val="0"/>
            <w:vAlign w:val="center"/>
          </w:tcPr>
          <w:p w14:paraId="463987C5">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b/>
                <w:bCs/>
                <w:szCs w:val="21"/>
              </w:rPr>
            </w:pPr>
            <w:r>
              <w:rPr>
                <w:rFonts w:hint="eastAsia" w:ascii="宋体" w:hAnsi="宋体" w:eastAsia="宋体" w:cs="宋体"/>
                <w:b/>
                <w:bCs/>
                <w:szCs w:val="21"/>
              </w:rPr>
              <w:t>执业资格及证书编号</w:t>
            </w:r>
          </w:p>
        </w:tc>
        <w:tc>
          <w:tcPr>
            <w:tcW w:w="2451" w:type="dxa"/>
            <w:tcBorders>
              <w:top w:val="single" w:color="auto" w:sz="4" w:space="0"/>
              <w:left w:val="single" w:color="auto" w:sz="4" w:space="0"/>
              <w:bottom w:val="single" w:color="auto" w:sz="4" w:space="0"/>
              <w:right w:val="single" w:color="auto" w:sz="4" w:space="0"/>
            </w:tcBorders>
            <w:noWrap w:val="0"/>
            <w:vAlign w:val="center"/>
          </w:tcPr>
          <w:p w14:paraId="0F7CF77E">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r>
      <w:tr w14:paraId="74897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2471" w:type="dxa"/>
            <w:gridSpan w:val="3"/>
            <w:tcBorders>
              <w:top w:val="single" w:color="auto" w:sz="4" w:space="0"/>
              <w:left w:val="single" w:color="auto" w:sz="4" w:space="0"/>
              <w:bottom w:val="single" w:color="auto" w:sz="4" w:space="0"/>
              <w:right w:val="single" w:color="auto" w:sz="4" w:space="0"/>
            </w:tcBorders>
            <w:noWrap w:val="0"/>
            <w:vAlign w:val="center"/>
          </w:tcPr>
          <w:p w14:paraId="3346302E">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b/>
                <w:bCs/>
                <w:szCs w:val="21"/>
              </w:rPr>
            </w:pPr>
            <w:r>
              <w:rPr>
                <w:rFonts w:hint="eastAsia" w:ascii="宋体" w:hAnsi="宋体" w:eastAsia="宋体" w:cs="宋体"/>
                <w:b/>
                <w:bCs/>
                <w:szCs w:val="21"/>
              </w:rPr>
              <w:t>办公电话</w:t>
            </w:r>
          </w:p>
        </w:tc>
        <w:tc>
          <w:tcPr>
            <w:tcW w:w="2218" w:type="dxa"/>
            <w:gridSpan w:val="3"/>
            <w:tcBorders>
              <w:top w:val="single" w:color="auto" w:sz="4" w:space="0"/>
              <w:left w:val="single" w:color="auto" w:sz="4" w:space="0"/>
              <w:bottom w:val="single" w:color="auto" w:sz="4" w:space="0"/>
              <w:right w:val="single" w:color="auto" w:sz="4" w:space="0"/>
            </w:tcBorders>
            <w:noWrap w:val="0"/>
            <w:vAlign w:val="center"/>
          </w:tcPr>
          <w:p w14:paraId="689A3640">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c>
          <w:tcPr>
            <w:tcW w:w="2198" w:type="dxa"/>
            <w:gridSpan w:val="2"/>
            <w:tcBorders>
              <w:top w:val="single" w:color="auto" w:sz="4" w:space="0"/>
              <w:left w:val="single" w:color="auto" w:sz="4" w:space="0"/>
              <w:bottom w:val="single" w:color="auto" w:sz="4" w:space="0"/>
              <w:right w:val="single" w:color="auto" w:sz="4" w:space="0"/>
            </w:tcBorders>
            <w:noWrap w:val="0"/>
            <w:vAlign w:val="center"/>
          </w:tcPr>
          <w:p w14:paraId="23672B9F">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b/>
                <w:bCs/>
                <w:szCs w:val="21"/>
              </w:rPr>
            </w:pPr>
            <w:r>
              <w:rPr>
                <w:rFonts w:hint="eastAsia" w:ascii="宋体" w:hAnsi="宋体" w:eastAsia="宋体" w:cs="宋体"/>
                <w:b/>
                <w:bCs/>
                <w:szCs w:val="21"/>
              </w:rPr>
              <w:t>手机号码</w:t>
            </w:r>
          </w:p>
        </w:tc>
        <w:tc>
          <w:tcPr>
            <w:tcW w:w="2451" w:type="dxa"/>
            <w:tcBorders>
              <w:top w:val="single" w:color="auto" w:sz="4" w:space="0"/>
              <w:left w:val="single" w:color="auto" w:sz="4" w:space="0"/>
              <w:bottom w:val="single" w:color="auto" w:sz="4" w:space="0"/>
              <w:right w:val="single" w:color="auto" w:sz="4" w:space="0"/>
            </w:tcBorders>
            <w:noWrap w:val="0"/>
            <w:vAlign w:val="center"/>
          </w:tcPr>
          <w:p w14:paraId="4C48353F">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r>
      <w:tr w14:paraId="142FD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2471" w:type="dxa"/>
            <w:gridSpan w:val="3"/>
            <w:tcBorders>
              <w:top w:val="single" w:color="auto" w:sz="4" w:space="0"/>
              <w:left w:val="single" w:color="auto" w:sz="4" w:space="0"/>
              <w:bottom w:val="single" w:color="auto" w:sz="4" w:space="0"/>
              <w:right w:val="single" w:color="auto" w:sz="4" w:space="0"/>
            </w:tcBorders>
            <w:noWrap w:val="0"/>
            <w:vAlign w:val="center"/>
          </w:tcPr>
          <w:p w14:paraId="5B907C05">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b/>
                <w:bCs/>
                <w:szCs w:val="21"/>
              </w:rPr>
            </w:pPr>
            <w:r>
              <w:rPr>
                <w:rFonts w:hint="eastAsia" w:ascii="宋体" w:hAnsi="宋体" w:eastAsia="宋体" w:cs="宋体"/>
                <w:b/>
                <w:bCs/>
                <w:szCs w:val="21"/>
              </w:rPr>
              <w:t>传真</w:t>
            </w:r>
          </w:p>
        </w:tc>
        <w:tc>
          <w:tcPr>
            <w:tcW w:w="2218" w:type="dxa"/>
            <w:gridSpan w:val="3"/>
            <w:tcBorders>
              <w:top w:val="single" w:color="auto" w:sz="4" w:space="0"/>
              <w:left w:val="single" w:color="auto" w:sz="4" w:space="0"/>
              <w:bottom w:val="single" w:color="auto" w:sz="4" w:space="0"/>
              <w:right w:val="single" w:color="auto" w:sz="4" w:space="0"/>
            </w:tcBorders>
            <w:noWrap w:val="0"/>
            <w:vAlign w:val="center"/>
          </w:tcPr>
          <w:p w14:paraId="60753722">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c>
          <w:tcPr>
            <w:tcW w:w="2198" w:type="dxa"/>
            <w:gridSpan w:val="2"/>
            <w:tcBorders>
              <w:top w:val="single" w:color="auto" w:sz="4" w:space="0"/>
              <w:left w:val="single" w:color="auto" w:sz="4" w:space="0"/>
              <w:bottom w:val="single" w:color="auto" w:sz="4" w:space="0"/>
              <w:right w:val="single" w:color="auto" w:sz="4" w:space="0"/>
            </w:tcBorders>
            <w:noWrap w:val="0"/>
            <w:vAlign w:val="center"/>
          </w:tcPr>
          <w:p w14:paraId="54DE44AC">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b/>
                <w:bCs/>
                <w:szCs w:val="21"/>
              </w:rPr>
            </w:pPr>
            <w:r>
              <w:rPr>
                <w:rFonts w:hint="eastAsia" w:ascii="宋体" w:hAnsi="宋体" w:eastAsia="宋体" w:cs="宋体"/>
                <w:b/>
                <w:bCs/>
                <w:szCs w:val="21"/>
              </w:rPr>
              <w:t>电子邮箱</w:t>
            </w:r>
          </w:p>
        </w:tc>
        <w:tc>
          <w:tcPr>
            <w:tcW w:w="2451" w:type="dxa"/>
            <w:tcBorders>
              <w:top w:val="single" w:color="auto" w:sz="4" w:space="0"/>
              <w:left w:val="single" w:color="auto" w:sz="4" w:space="0"/>
              <w:bottom w:val="single" w:color="auto" w:sz="4" w:space="0"/>
              <w:right w:val="single" w:color="auto" w:sz="4" w:space="0"/>
            </w:tcBorders>
            <w:noWrap w:val="0"/>
            <w:vAlign w:val="center"/>
          </w:tcPr>
          <w:p w14:paraId="1DD45A26">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r>
      <w:tr w14:paraId="65559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9338" w:type="dxa"/>
            <w:gridSpan w:val="9"/>
            <w:tcBorders>
              <w:top w:val="single" w:color="auto" w:sz="4" w:space="0"/>
              <w:left w:val="single" w:color="auto" w:sz="4" w:space="0"/>
              <w:bottom w:val="single" w:color="auto" w:sz="4" w:space="0"/>
              <w:right w:val="single" w:color="auto" w:sz="4" w:space="0"/>
            </w:tcBorders>
            <w:noWrap w:val="0"/>
            <w:vAlign w:val="center"/>
          </w:tcPr>
          <w:p w14:paraId="4CEEBFD4">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r>
              <w:rPr>
                <w:rFonts w:hint="eastAsia" w:ascii="宋体" w:hAnsi="宋体" w:eastAsia="宋体" w:cs="宋体"/>
                <w:b/>
                <w:bCs/>
                <w:szCs w:val="21"/>
              </w:rPr>
              <w:t>经   历</w:t>
            </w:r>
          </w:p>
        </w:tc>
      </w:tr>
      <w:tr w14:paraId="741B1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514" w:type="dxa"/>
            <w:gridSpan w:val="2"/>
            <w:tcBorders>
              <w:top w:val="single" w:color="auto" w:sz="4" w:space="0"/>
              <w:left w:val="single" w:color="auto" w:sz="4" w:space="0"/>
              <w:bottom w:val="single" w:color="auto" w:sz="4" w:space="0"/>
              <w:right w:val="single" w:color="auto" w:sz="4" w:space="0"/>
            </w:tcBorders>
            <w:noWrap w:val="0"/>
            <w:vAlign w:val="center"/>
          </w:tcPr>
          <w:p w14:paraId="239F3517">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b/>
                <w:bCs/>
                <w:szCs w:val="21"/>
              </w:rPr>
            </w:pPr>
            <w:r>
              <w:rPr>
                <w:rFonts w:hint="eastAsia" w:ascii="宋体" w:hAnsi="宋体" w:eastAsia="宋体" w:cs="宋体"/>
                <w:b/>
                <w:bCs/>
                <w:szCs w:val="21"/>
              </w:rPr>
              <w:t>年   月</w:t>
            </w:r>
          </w:p>
        </w:tc>
        <w:tc>
          <w:tcPr>
            <w:tcW w:w="3146" w:type="dxa"/>
            <w:gridSpan w:val="3"/>
            <w:tcBorders>
              <w:top w:val="single" w:color="auto" w:sz="4" w:space="0"/>
              <w:left w:val="single" w:color="auto" w:sz="4" w:space="0"/>
              <w:bottom w:val="single" w:color="auto" w:sz="4" w:space="0"/>
              <w:right w:val="single" w:color="auto" w:sz="4" w:space="0"/>
            </w:tcBorders>
            <w:noWrap w:val="0"/>
            <w:vAlign w:val="center"/>
          </w:tcPr>
          <w:p w14:paraId="2AF38A61">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b/>
                <w:bCs/>
                <w:szCs w:val="21"/>
              </w:rPr>
            </w:pPr>
            <w:r>
              <w:rPr>
                <w:rFonts w:hint="eastAsia" w:ascii="宋体" w:hAnsi="宋体" w:eastAsia="宋体" w:cs="宋体"/>
                <w:b/>
                <w:bCs/>
                <w:szCs w:val="21"/>
              </w:rPr>
              <w:t>参加过类似项目和名称</w:t>
            </w:r>
          </w:p>
        </w:tc>
        <w:tc>
          <w:tcPr>
            <w:tcW w:w="1665" w:type="dxa"/>
            <w:gridSpan w:val="2"/>
            <w:tcBorders>
              <w:top w:val="single" w:color="auto" w:sz="4" w:space="0"/>
              <w:left w:val="single" w:color="auto" w:sz="4" w:space="0"/>
              <w:bottom w:val="single" w:color="auto" w:sz="4" w:space="0"/>
              <w:right w:val="single" w:color="auto" w:sz="4" w:space="0"/>
            </w:tcBorders>
            <w:noWrap w:val="0"/>
            <w:vAlign w:val="center"/>
          </w:tcPr>
          <w:p w14:paraId="3A86C7F2">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b/>
                <w:bCs/>
                <w:szCs w:val="21"/>
              </w:rPr>
            </w:pPr>
            <w:r>
              <w:rPr>
                <w:rFonts w:hint="eastAsia" w:ascii="宋体" w:hAnsi="宋体" w:eastAsia="宋体" w:cs="宋体"/>
                <w:b/>
                <w:bCs/>
                <w:szCs w:val="21"/>
              </w:rPr>
              <w:t>担任何职</w:t>
            </w:r>
          </w:p>
        </w:tc>
        <w:tc>
          <w:tcPr>
            <w:tcW w:w="3013" w:type="dxa"/>
            <w:gridSpan w:val="2"/>
            <w:tcBorders>
              <w:top w:val="single" w:color="auto" w:sz="4" w:space="0"/>
              <w:left w:val="single" w:color="auto" w:sz="4" w:space="0"/>
              <w:bottom w:val="single" w:color="auto" w:sz="4" w:space="0"/>
              <w:right w:val="single" w:color="auto" w:sz="4" w:space="0"/>
            </w:tcBorders>
            <w:noWrap w:val="0"/>
            <w:vAlign w:val="center"/>
          </w:tcPr>
          <w:p w14:paraId="7D61B2B4">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b/>
                <w:bCs/>
                <w:szCs w:val="21"/>
              </w:rPr>
            </w:pPr>
            <w:r>
              <w:rPr>
                <w:rFonts w:hint="eastAsia" w:ascii="宋体" w:hAnsi="宋体" w:eastAsia="宋体" w:cs="宋体"/>
                <w:b/>
                <w:bCs/>
                <w:szCs w:val="21"/>
              </w:rPr>
              <w:t>备注</w:t>
            </w:r>
          </w:p>
        </w:tc>
      </w:tr>
      <w:tr w14:paraId="2C73C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514" w:type="dxa"/>
            <w:gridSpan w:val="2"/>
            <w:tcBorders>
              <w:top w:val="single" w:color="auto" w:sz="4" w:space="0"/>
              <w:left w:val="single" w:color="auto" w:sz="4" w:space="0"/>
              <w:bottom w:val="single" w:color="auto" w:sz="4" w:space="0"/>
              <w:right w:val="single" w:color="auto" w:sz="4" w:space="0"/>
            </w:tcBorders>
            <w:noWrap w:val="0"/>
            <w:vAlign w:val="center"/>
          </w:tcPr>
          <w:p w14:paraId="5779B88E">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c>
          <w:tcPr>
            <w:tcW w:w="3146" w:type="dxa"/>
            <w:gridSpan w:val="3"/>
            <w:tcBorders>
              <w:top w:val="single" w:color="auto" w:sz="4" w:space="0"/>
              <w:left w:val="single" w:color="auto" w:sz="4" w:space="0"/>
              <w:bottom w:val="single" w:color="auto" w:sz="4" w:space="0"/>
              <w:right w:val="single" w:color="auto" w:sz="4" w:space="0"/>
            </w:tcBorders>
            <w:noWrap w:val="0"/>
            <w:vAlign w:val="center"/>
          </w:tcPr>
          <w:p w14:paraId="47A5DCEE">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c>
          <w:tcPr>
            <w:tcW w:w="1665" w:type="dxa"/>
            <w:gridSpan w:val="2"/>
            <w:tcBorders>
              <w:top w:val="single" w:color="auto" w:sz="4" w:space="0"/>
              <w:left w:val="single" w:color="auto" w:sz="4" w:space="0"/>
              <w:bottom w:val="single" w:color="auto" w:sz="4" w:space="0"/>
              <w:right w:val="single" w:color="auto" w:sz="4" w:space="0"/>
            </w:tcBorders>
            <w:noWrap w:val="0"/>
            <w:vAlign w:val="center"/>
          </w:tcPr>
          <w:p w14:paraId="166A445F">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c>
          <w:tcPr>
            <w:tcW w:w="3013" w:type="dxa"/>
            <w:gridSpan w:val="2"/>
            <w:tcBorders>
              <w:top w:val="single" w:color="auto" w:sz="4" w:space="0"/>
              <w:left w:val="single" w:color="auto" w:sz="4" w:space="0"/>
              <w:bottom w:val="single" w:color="auto" w:sz="4" w:space="0"/>
              <w:right w:val="single" w:color="auto" w:sz="4" w:space="0"/>
            </w:tcBorders>
            <w:noWrap w:val="0"/>
            <w:vAlign w:val="center"/>
          </w:tcPr>
          <w:p w14:paraId="0D416DA1">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r>
      <w:tr w14:paraId="2D2C2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514" w:type="dxa"/>
            <w:gridSpan w:val="2"/>
            <w:tcBorders>
              <w:top w:val="single" w:color="auto" w:sz="4" w:space="0"/>
              <w:left w:val="single" w:color="auto" w:sz="4" w:space="0"/>
              <w:bottom w:val="single" w:color="auto" w:sz="4" w:space="0"/>
              <w:right w:val="single" w:color="auto" w:sz="4" w:space="0"/>
            </w:tcBorders>
            <w:noWrap w:val="0"/>
            <w:vAlign w:val="center"/>
          </w:tcPr>
          <w:p w14:paraId="166D7833">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c>
          <w:tcPr>
            <w:tcW w:w="3146" w:type="dxa"/>
            <w:gridSpan w:val="3"/>
            <w:tcBorders>
              <w:top w:val="single" w:color="auto" w:sz="4" w:space="0"/>
              <w:left w:val="single" w:color="auto" w:sz="4" w:space="0"/>
              <w:bottom w:val="single" w:color="auto" w:sz="4" w:space="0"/>
              <w:right w:val="single" w:color="auto" w:sz="4" w:space="0"/>
            </w:tcBorders>
            <w:noWrap w:val="0"/>
            <w:vAlign w:val="center"/>
          </w:tcPr>
          <w:p w14:paraId="7AFBFB13">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c>
          <w:tcPr>
            <w:tcW w:w="1665" w:type="dxa"/>
            <w:gridSpan w:val="2"/>
            <w:tcBorders>
              <w:top w:val="single" w:color="auto" w:sz="4" w:space="0"/>
              <w:left w:val="single" w:color="auto" w:sz="4" w:space="0"/>
              <w:bottom w:val="single" w:color="auto" w:sz="4" w:space="0"/>
              <w:right w:val="single" w:color="auto" w:sz="4" w:space="0"/>
            </w:tcBorders>
            <w:noWrap w:val="0"/>
            <w:vAlign w:val="center"/>
          </w:tcPr>
          <w:p w14:paraId="625199F3">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c>
          <w:tcPr>
            <w:tcW w:w="3013" w:type="dxa"/>
            <w:gridSpan w:val="2"/>
            <w:tcBorders>
              <w:top w:val="single" w:color="auto" w:sz="4" w:space="0"/>
              <w:left w:val="single" w:color="auto" w:sz="4" w:space="0"/>
              <w:bottom w:val="single" w:color="auto" w:sz="4" w:space="0"/>
              <w:right w:val="single" w:color="auto" w:sz="4" w:space="0"/>
            </w:tcBorders>
            <w:noWrap w:val="0"/>
            <w:vAlign w:val="center"/>
          </w:tcPr>
          <w:p w14:paraId="74671486">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r>
      <w:tr w14:paraId="451E4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514" w:type="dxa"/>
            <w:gridSpan w:val="2"/>
            <w:tcBorders>
              <w:top w:val="single" w:color="auto" w:sz="4" w:space="0"/>
              <w:left w:val="single" w:color="auto" w:sz="4" w:space="0"/>
              <w:bottom w:val="single" w:color="auto" w:sz="4" w:space="0"/>
              <w:right w:val="single" w:color="auto" w:sz="4" w:space="0"/>
            </w:tcBorders>
            <w:noWrap w:val="0"/>
            <w:vAlign w:val="center"/>
          </w:tcPr>
          <w:p w14:paraId="5363C747">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c>
          <w:tcPr>
            <w:tcW w:w="3146" w:type="dxa"/>
            <w:gridSpan w:val="3"/>
            <w:tcBorders>
              <w:top w:val="single" w:color="auto" w:sz="4" w:space="0"/>
              <w:left w:val="single" w:color="auto" w:sz="4" w:space="0"/>
              <w:bottom w:val="single" w:color="auto" w:sz="4" w:space="0"/>
              <w:right w:val="single" w:color="auto" w:sz="4" w:space="0"/>
            </w:tcBorders>
            <w:noWrap w:val="0"/>
            <w:vAlign w:val="center"/>
          </w:tcPr>
          <w:p w14:paraId="3B2322BB">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c>
          <w:tcPr>
            <w:tcW w:w="1665" w:type="dxa"/>
            <w:gridSpan w:val="2"/>
            <w:tcBorders>
              <w:top w:val="single" w:color="auto" w:sz="4" w:space="0"/>
              <w:left w:val="single" w:color="auto" w:sz="4" w:space="0"/>
              <w:bottom w:val="single" w:color="auto" w:sz="4" w:space="0"/>
              <w:right w:val="single" w:color="auto" w:sz="4" w:space="0"/>
            </w:tcBorders>
            <w:noWrap w:val="0"/>
            <w:vAlign w:val="center"/>
          </w:tcPr>
          <w:p w14:paraId="55BC251F">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c>
          <w:tcPr>
            <w:tcW w:w="3013" w:type="dxa"/>
            <w:gridSpan w:val="2"/>
            <w:tcBorders>
              <w:top w:val="single" w:color="auto" w:sz="4" w:space="0"/>
              <w:left w:val="single" w:color="auto" w:sz="4" w:space="0"/>
              <w:bottom w:val="single" w:color="auto" w:sz="4" w:space="0"/>
              <w:right w:val="single" w:color="auto" w:sz="4" w:space="0"/>
            </w:tcBorders>
            <w:noWrap w:val="0"/>
            <w:vAlign w:val="center"/>
          </w:tcPr>
          <w:p w14:paraId="77BDAB95">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r>
      <w:tr w14:paraId="3D444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514" w:type="dxa"/>
            <w:gridSpan w:val="2"/>
            <w:tcBorders>
              <w:top w:val="single" w:color="auto" w:sz="4" w:space="0"/>
              <w:left w:val="single" w:color="auto" w:sz="4" w:space="0"/>
              <w:bottom w:val="single" w:color="auto" w:sz="4" w:space="0"/>
              <w:right w:val="single" w:color="auto" w:sz="4" w:space="0"/>
            </w:tcBorders>
            <w:noWrap w:val="0"/>
            <w:vAlign w:val="center"/>
          </w:tcPr>
          <w:p w14:paraId="764ED942">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c>
          <w:tcPr>
            <w:tcW w:w="3146" w:type="dxa"/>
            <w:gridSpan w:val="3"/>
            <w:tcBorders>
              <w:top w:val="single" w:color="auto" w:sz="4" w:space="0"/>
              <w:left w:val="single" w:color="auto" w:sz="4" w:space="0"/>
              <w:bottom w:val="single" w:color="auto" w:sz="4" w:space="0"/>
              <w:right w:val="single" w:color="auto" w:sz="4" w:space="0"/>
            </w:tcBorders>
            <w:noWrap w:val="0"/>
            <w:vAlign w:val="center"/>
          </w:tcPr>
          <w:p w14:paraId="177113DD">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c>
          <w:tcPr>
            <w:tcW w:w="1665" w:type="dxa"/>
            <w:gridSpan w:val="2"/>
            <w:tcBorders>
              <w:top w:val="single" w:color="auto" w:sz="4" w:space="0"/>
              <w:left w:val="single" w:color="auto" w:sz="4" w:space="0"/>
              <w:bottom w:val="single" w:color="auto" w:sz="4" w:space="0"/>
              <w:right w:val="single" w:color="auto" w:sz="4" w:space="0"/>
            </w:tcBorders>
            <w:noWrap w:val="0"/>
            <w:vAlign w:val="center"/>
          </w:tcPr>
          <w:p w14:paraId="6B2D9917">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c>
          <w:tcPr>
            <w:tcW w:w="3013" w:type="dxa"/>
            <w:gridSpan w:val="2"/>
            <w:tcBorders>
              <w:top w:val="single" w:color="auto" w:sz="4" w:space="0"/>
              <w:left w:val="single" w:color="auto" w:sz="4" w:space="0"/>
              <w:bottom w:val="single" w:color="auto" w:sz="4" w:space="0"/>
              <w:right w:val="single" w:color="auto" w:sz="4" w:space="0"/>
            </w:tcBorders>
            <w:noWrap w:val="0"/>
            <w:vAlign w:val="center"/>
          </w:tcPr>
          <w:p w14:paraId="225F8989">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r>
      <w:tr w14:paraId="737BD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514" w:type="dxa"/>
            <w:gridSpan w:val="2"/>
            <w:tcBorders>
              <w:top w:val="single" w:color="auto" w:sz="4" w:space="0"/>
              <w:left w:val="single" w:color="auto" w:sz="4" w:space="0"/>
              <w:bottom w:val="single" w:color="auto" w:sz="4" w:space="0"/>
              <w:right w:val="single" w:color="auto" w:sz="4" w:space="0"/>
            </w:tcBorders>
            <w:noWrap w:val="0"/>
            <w:vAlign w:val="center"/>
          </w:tcPr>
          <w:p w14:paraId="66E985BD">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c>
          <w:tcPr>
            <w:tcW w:w="3146" w:type="dxa"/>
            <w:gridSpan w:val="3"/>
            <w:tcBorders>
              <w:top w:val="single" w:color="auto" w:sz="4" w:space="0"/>
              <w:left w:val="single" w:color="auto" w:sz="4" w:space="0"/>
              <w:bottom w:val="single" w:color="auto" w:sz="4" w:space="0"/>
              <w:right w:val="single" w:color="auto" w:sz="4" w:space="0"/>
            </w:tcBorders>
            <w:noWrap w:val="0"/>
            <w:vAlign w:val="center"/>
          </w:tcPr>
          <w:p w14:paraId="61E20172">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c>
          <w:tcPr>
            <w:tcW w:w="1665" w:type="dxa"/>
            <w:gridSpan w:val="2"/>
            <w:tcBorders>
              <w:top w:val="single" w:color="auto" w:sz="4" w:space="0"/>
              <w:left w:val="single" w:color="auto" w:sz="4" w:space="0"/>
              <w:bottom w:val="single" w:color="auto" w:sz="4" w:space="0"/>
              <w:right w:val="single" w:color="auto" w:sz="4" w:space="0"/>
            </w:tcBorders>
            <w:noWrap w:val="0"/>
            <w:vAlign w:val="center"/>
          </w:tcPr>
          <w:p w14:paraId="48EFD9F2">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c>
          <w:tcPr>
            <w:tcW w:w="3013" w:type="dxa"/>
            <w:gridSpan w:val="2"/>
            <w:tcBorders>
              <w:top w:val="single" w:color="auto" w:sz="4" w:space="0"/>
              <w:left w:val="single" w:color="auto" w:sz="4" w:space="0"/>
              <w:bottom w:val="single" w:color="auto" w:sz="4" w:space="0"/>
              <w:right w:val="single" w:color="auto" w:sz="4" w:space="0"/>
            </w:tcBorders>
            <w:noWrap w:val="0"/>
            <w:vAlign w:val="center"/>
          </w:tcPr>
          <w:p w14:paraId="490F26BF">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r>
      <w:tr w14:paraId="3C822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514" w:type="dxa"/>
            <w:gridSpan w:val="2"/>
            <w:tcBorders>
              <w:top w:val="single" w:color="auto" w:sz="4" w:space="0"/>
              <w:left w:val="single" w:color="auto" w:sz="4" w:space="0"/>
              <w:bottom w:val="single" w:color="auto" w:sz="4" w:space="0"/>
              <w:right w:val="single" w:color="auto" w:sz="4" w:space="0"/>
            </w:tcBorders>
            <w:noWrap w:val="0"/>
            <w:vAlign w:val="center"/>
          </w:tcPr>
          <w:p w14:paraId="79B17550">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c>
          <w:tcPr>
            <w:tcW w:w="3146" w:type="dxa"/>
            <w:gridSpan w:val="3"/>
            <w:tcBorders>
              <w:top w:val="single" w:color="auto" w:sz="4" w:space="0"/>
              <w:left w:val="single" w:color="auto" w:sz="4" w:space="0"/>
              <w:bottom w:val="single" w:color="auto" w:sz="4" w:space="0"/>
              <w:right w:val="single" w:color="auto" w:sz="4" w:space="0"/>
            </w:tcBorders>
            <w:noWrap w:val="0"/>
            <w:vAlign w:val="center"/>
          </w:tcPr>
          <w:p w14:paraId="13F32717">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c>
          <w:tcPr>
            <w:tcW w:w="1665" w:type="dxa"/>
            <w:gridSpan w:val="2"/>
            <w:tcBorders>
              <w:top w:val="single" w:color="auto" w:sz="4" w:space="0"/>
              <w:left w:val="single" w:color="auto" w:sz="4" w:space="0"/>
              <w:bottom w:val="single" w:color="auto" w:sz="4" w:space="0"/>
              <w:right w:val="single" w:color="auto" w:sz="4" w:space="0"/>
            </w:tcBorders>
            <w:noWrap w:val="0"/>
            <w:vAlign w:val="center"/>
          </w:tcPr>
          <w:p w14:paraId="68F19960">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c>
          <w:tcPr>
            <w:tcW w:w="3013" w:type="dxa"/>
            <w:gridSpan w:val="2"/>
            <w:tcBorders>
              <w:top w:val="single" w:color="auto" w:sz="4" w:space="0"/>
              <w:left w:val="single" w:color="auto" w:sz="4" w:space="0"/>
              <w:bottom w:val="single" w:color="auto" w:sz="4" w:space="0"/>
              <w:right w:val="single" w:color="auto" w:sz="4" w:space="0"/>
            </w:tcBorders>
            <w:noWrap w:val="0"/>
            <w:vAlign w:val="center"/>
          </w:tcPr>
          <w:p w14:paraId="16A223AF">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r>
      <w:tr w14:paraId="6D33E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514" w:type="dxa"/>
            <w:gridSpan w:val="2"/>
            <w:tcBorders>
              <w:top w:val="single" w:color="auto" w:sz="4" w:space="0"/>
              <w:left w:val="single" w:color="auto" w:sz="4" w:space="0"/>
              <w:bottom w:val="single" w:color="auto" w:sz="4" w:space="0"/>
              <w:right w:val="single" w:color="auto" w:sz="4" w:space="0"/>
            </w:tcBorders>
            <w:noWrap w:val="0"/>
            <w:vAlign w:val="center"/>
          </w:tcPr>
          <w:p w14:paraId="3FEE4CA5">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c>
          <w:tcPr>
            <w:tcW w:w="3146" w:type="dxa"/>
            <w:gridSpan w:val="3"/>
            <w:tcBorders>
              <w:top w:val="single" w:color="auto" w:sz="4" w:space="0"/>
              <w:left w:val="single" w:color="auto" w:sz="4" w:space="0"/>
              <w:bottom w:val="single" w:color="auto" w:sz="4" w:space="0"/>
              <w:right w:val="single" w:color="auto" w:sz="4" w:space="0"/>
            </w:tcBorders>
            <w:noWrap w:val="0"/>
            <w:vAlign w:val="center"/>
          </w:tcPr>
          <w:p w14:paraId="4D85674C">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c>
          <w:tcPr>
            <w:tcW w:w="1665" w:type="dxa"/>
            <w:gridSpan w:val="2"/>
            <w:tcBorders>
              <w:top w:val="single" w:color="auto" w:sz="4" w:space="0"/>
              <w:left w:val="single" w:color="auto" w:sz="4" w:space="0"/>
              <w:bottom w:val="single" w:color="auto" w:sz="4" w:space="0"/>
              <w:right w:val="single" w:color="auto" w:sz="4" w:space="0"/>
            </w:tcBorders>
            <w:noWrap w:val="0"/>
            <w:vAlign w:val="center"/>
          </w:tcPr>
          <w:p w14:paraId="5E10D9A8">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c>
          <w:tcPr>
            <w:tcW w:w="3013" w:type="dxa"/>
            <w:gridSpan w:val="2"/>
            <w:tcBorders>
              <w:top w:val="single" w:color="auto" w:sz="4" w:space="0"/>
              <w:left w:val="single" w:color="auto" w:sz="4" w:space="0"/>
              <w:bottom w:val="single" w:color="auto" w:sz="4" w:space="0"/>
              <w:right w:val="single" w:color="auto" w:sz="4" w:space="0"/>
            </w:tcBorders>
            <w:noWrap w:val="0"/>
            <w:vAlign w:val="center"/>
          </w:tcPr>
          <w:p w14:paraId="1C7A4206">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r>
      <w:tr w14:paraId="006E5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514" w:type="dxa"/>
            <w:gridSpan w:val="2"/>
            <w:tcBorders>
              <w:top w:val="single" w:color="auto" w:sz="4" w:space="0"/>
              <w:left w:val="single" w:color="auto" w:sz="4" w:space="0"/>
              <w:bottom w:val="single" w:color="auto" w:sz="4" w:space="0"/>
              <w:right w:val="single" w:color="auto" w:sz="4" w:space="0"/>
            </w:tcBorders>
            <w:noWrap w:val="0"/>
            <w:vAlign w:val="center"/>
          </w:tcPr>
          <w:p w14:paraId="02E2D411">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c>
          <w:tcPr>
            <w:tcW w:w="3146" w:type="dxa"/>
            <w:gridSpan w:val="3"/>
            <w:tcBorders>
              <w:top w:val="single" w:color="auto" w:sz="4" w:space="0"/>
              <w:left w:val="single" w:color="auto" w:sz="4" w:space="0"/>
              <w:bottom w:val="single" w:color="auto" w:sz="4" w:space="0"/>
              <w:right w:val="single" w:color="auto" w:sz="4" w:space="0"/>
            </w:tcBorders>
            <w:noWrap w:val="0"/>
            <w:vAlign w:val="center"/>
          </w:tcPr>
          <w:p w14:paraId="77DF3420">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c>
          <w:tcPr>
            <w:tcW w:w="1665" w:type="dxa"/>
            <w:gridSpan w:val="2"/>
            <w:tcBorders>
              <w:top w:val="single" w:color="auto" w:sz="4" w:space="0"/>
              <w:left w:val="single" w:color="auto" w:sz="4" w:space="0"/>
              <w:bottom w:val="single" w:color="auto" w:sz="4" w:space="0"/>
              <w:right w:val="single" w:color="auto" w:sz="4" w:space="0"/>
            </w:tcBorders>
            <w:noWrap w:val="0"/>
            <w:vAlign w:val="center"/>
          </w:tcPr>
          <w:p w14:paraId="0E6DF743">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c>
          <w:tcPr>
            <w:tcW w:w="3013" w:type="dxa"/>
            <w:gridSpan w:val="2"/>
            <w:tcBorders>
              <w:top w:val="single" w:color="auto" w:sz="4" w:space="0"/>
              <w:left w:val="single" w:color="auto" w:sz="4" w:space="0"/>
              <w:bottom w:val="single" w:color="auto" w:sz="4" w:space="0"/>
              <w:right w:val="single" w:color="auto" w:sz="4" w:space="0"/>
            </w:tcBorders>
            <w:noWrap w:val="0"/>
            <w:vAlign w:val="center"/>
          </w:tcPr>
          <w:p w14:paraId="4F0F4D88">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r>
      <w:tr w14:paraId="01BD3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514" w:type="dxa"/>
            <w:gridSpan w:val="2"/>
            <w:tcBorders>
              <w:top w:val="single" w:color="auto" w:sz="4" w:space="0"/>
              <w:left w:val="single" w:color="auto" w:sz="4" w:space="0"/>
              <w:bottom w:val="single" w:color="auto" w:sz="4" w:space="0"/>
              <w:right w:val="single" w:color="auto" w:sz="4" w:space="0"/>
            </w:tcBorders>
            <w:noWrap w:val="0"/>
            <w:vAlign w:val="center"/>
          </w:tcPr>
          <w:p w14:paraId="6910E3D1">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c>
          <w:tcPr>
            <w:tcW w:w="3146" w:type="dxa"/>
            <w:gridSpan w:val="3"/>
            <w:tcBorders>
              <w:top w:val="single" w:color="auto" w:sz="4" w:space="0"/>
              <w:left w:val="single" w:color="auto" w:sz="4" w:space="0"/>
              <w:bottom w:val="single" w:color="auto" w:sz="4" w:space="0"/>
              <w:right w:val="single" w:color="auto" w:sz="4" w:space="0"/>
            </w:tcBorders>
            <w:noWrap w:val="0"/>
            <w:vAlign w:val="center"/>
          </w:tcPr>
          <w:p w14:paraId="74366F08">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c>
          <w:tcPr>
            <w:tcW w:w="1665" w:type="dxa"/>
            <w:gridSpan w:val="2"/>
            <w:tcBorders>
              <w:top w:val="single" w:color="auto" w:sz="4" w:space="0"/>
              <w:left w:val="single" w:color="auto" w:sz="4" w:space="0"/>
              <w:bottom w:val="single" w:color="auto" w:sz="4" w:space="0"/>
              <w:right w:val="single" w:color="auto" w:sz="4" w:space="0"/>
            </w:tcBorders>
            <w:noWrap w:val="0"/>
            <w:vAlign w:val="center"/>
          </w:tcPr>
          <w:p w14:paraId="0F89257D">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c>
          <w:tcPr>
            <w:tcW w:w="3013" w:type="dxa"/>
            <w:gridSpan w:val="2"/>
            <w:tcBorders>
              <w:top w:val="single" w:color="auto" w:sz="4" w:space="0"/>
              <w:left w:val="single" w:color="auto" w:sz="4" w:space="0"/>
              <w:bottom w:val="single" w:color="auto" w:sz="4" w:space="0"/>
              <w:right w:val="single" w:color="auto" w:sz="4" w:space="0"/>
            </w:tcBorders>
            <w:noWrap w:val="0"/>
            <w:vAlign w:val="center"/>
          </w:tcPr>
          <w:p w14:paraId="67621D56">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r>
      <w:tr w14:paraId="62845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514" w:type="dxa"/>
            <w:gridSpan w:val="2"/>
            <w:tcBorders>
              <w:top w:val="single" w:color="auto" w:sz="4" w:space="0"/>
              <w:left w:val="single" w:color="auto" w:sz="4" w:space="0"/>
              <w:bottom w:val="single" w:color="auto" w:sz="4" w:space="0"/>
              <w:right w:val="single" w:color="auto" w:sz="4" w:space="0"/>
            </w:tcBorders>
            <w:noWrap w:val="0"/>
            <w:vAlign w:val="center"/>
          </w:tcPr>
          <w:p w14:paraId="3F60ECAB">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c>
          <w:tcPr>
            <w:tcW w:w="3146" w:type="dxa"/>
            <w:gridSpan w:val="3"/>
            <w:tcBorders>
              <w:top w:val="single" w:color="auto" w:sz="4" w:space="0"/>
              <w:left w:val="single" w:color="auto" w:sz="4" w:space="0"/>
              <w:bottom w:val="single" w:color="auto" w:sz="4" w:space="0"/>
              <w:right w:val="single" w:color="auto" w:sz="4" w:space="0"/>
            </w:tcBorders>
            <w:noWrap w:val="0"/>
            <w:vAlign w:val="center"/>
          </w:tcPr>
          <w:p w14:paraId="1EF7AC5F">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c>
          <w:tcPr>
            <w:tcW w:w="1665" w:type="dxa"/>
            <w:gridSpan w:val="2"/>
            <w:tcBorders>
              <w:top w:val="single" w:color="auto" w:sz="4" w:space="0"/>
              <w:left w:val="single" w:color="auto" w:sz="4" w:space="0"/>
              <w:bottom w:val="single" w:color="auto" w:sz="4" w:space="0"/>
              <w:right w:val="single" w:color="auto" w:sz="4" w:space="0"/>
            </w:tcBorders>
            <w:noWrap w:val="0"/>
            <w:vAlign w:val="center"/>
          </w:tcPr>
          <w:p w14:paraId="57A5D76B">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c>
          <w:tcPr>
            <w:tcW w:w="3013" w:type="dxa"/>
            <w:gridSpan w:val="2"/>
            <w:tcBorders>
              <w:top w:val="single" w:color="auto" w:sz="4" w:space="0"/>
              <w:left w:val="single" w:color="auto" w:sz="4" w:space="0"/>
              <w:bottom w:val="single" w:color="auto" w:sz="4" w:space="0"/>
              <w:right w:val="single" w:color="auto" w:sz="4" w:space="0"/>
            </w:tcBorders>
            <w:noWrap w:val="0"/>
            <w:vAlign w:val="center"/>
          </w:tcPr>
          <w:p w14:paraId="18C13B47">
            <w:pPr>
              <w:keepNext w:val="0"/>
              <w:keepLines w:val="0"/>
              <w:pageBreakBefore w:val="0"/>
              <w:widowControl w:val="0"/>
              <w:tabs>
                <w:tab w:val="left" w:pos="180"/>
              </w:tabs>
              <w:kinsoku/>
              <w:wordWrap/>
              <w:overflowPunct/>
              <w:topLinePunct w:val="0"/>
              <w:autoSpaceDE/>
              <w:autoSpaceDN/>
              <w:bidi w:val="0"/>
              <w:adjustRightInd/>
              <w:snapToGrid w:val="0"/>
              <w:spacing w:line="240" w:lineRule="auto"/>
              <w:jc w:val="center"/>
              <w:rPr>
                <w:rFonts w:hint="eastAsia" w:ascii="宋体" w:hAnsi="宋体" w:eastAsia="宋体" w:cs="宋体"/>
                <w:szCs w:val="21"/>
              </w:rPr>
            </w:pPr>
          </w:p>
        </w:tc>
      </w:tr>
    </w:tbl>
    <w:p w14:paraId="6C8030EC">
      <w:pPr>
        <w:pStyle w:val="14"/>
        <w:numPr>
          <w:ilvl w:val="0"/>
          <w:numId w:val="0"/>
        </w:numPr>
        <w:jc w:val="both"/>
        <w:rPr>
          <w:rFonts w:hint="eastAsia" w:ascii="宋体" w:hAnsi="宋体" w:eastAsia="宋体" w:cs="Times New Roman"/>
          <w:color w:val="auto"/>
          <w:sz w:val="24"/>
          <w:lang w:val="en-US" w:eastAsia="zh-CN" w:bidi="ar-SA"/>
        </w:rPr>
      </w:pPr>
    </w:p>
    <w:p w14:paraId="531CB43C">
      <w:pPr>
        <w:pStyle w:val="14"/>
        <w:numPr>
          <w:ilvl w:val="0"/>
          <w:numId w:val="0"/>
        </w:numPr>
        <w:jc w:val="both"/>
        <w:rPr>
          <w:rFonts w:hint="eastAsia" w:ascii="宋体" w:hAnsi="宋体" w:eastAsia="宋体" w:cs="Times New Roman"/>
          <w:color w:val="auto"/>
          <w:sz w:val="24"/>
          <w:lang w:val="en-US" w:eastAsia="zh-CN" w:bidi="ar-SA"/>
        </w:rPr>
      </w:pPr>
      <w:r>
        <w:rPr>
          <w:rFonts w:hint="eastAsia" w:ascii="宋体" w:hAnsi="宋体" w:eastAsia="宋体" w:cs="Times New Roman"/>
          <w:color w:val="auto"/>
          <w:sz w:val="24"/>
          <w:lang w:val="en-US" w:eastAsia="zh-CN" w:bidi="ar-SA"/>
        </w:rPr>
        <w:t>项目负责人须具有有效期内的国家注册一级造价师资格证书原件扫描件加盖投标企业公章。</w:t>
      </w:r>
    </w:p>
    <w:p w14:paraId="72347108">
      <w:pPr>
        <w:pStyle w:val="14"/>
        <w:numPr>
          <w:ilvl w:val="0"/>
          <w:numId w:val="0"/>
        </w:numPr>
        <w:jc w:val="center"/>
        <w:rPr>
          <w:rFonts w:hint="eastAsia" w:ascii="宋体" w:hAnsi="宋体" w:eastAsia="宋体" w:cs="宋体"/>
          <w:b/>
          <w:bCs/>
          <w:color w:val="auto"/>
          <w:sz w:val="30"/>
          <w:szCs w:val="30"/>
          <w:lang w:val="en-US" w:eastAsia="zh-CN"/>
        </w:rPr>
      </w:pPr>
    </w:p>
    <w:p w14:paraId="77280912">
      <w:pPr>
        <w:pStyle w:val="14"/>
        <w:numPr>
          <w:ilvl w:val="0"/>
          <w:numId w:val="0"/>
        </w:numPr>
        <w:jc w:val="center"/>
        <w:rPr>
          <w:rFonts w:hint="eastAsia" w:ascii="宋体" w:hAnsi="宋体" w:eastAsia="宋体" w:cs="宋体"/>
          <w:b/>
          <w:bCs/>
          <w:color w:val="auto"/>
          <w:sz w:val="30"/>
          <w:szCs w:val="30"/>
          <w:lang w:val="en-US" w:eastAsia="zh-CN"/>
        </w:rPr>
      </w:pPr>
    </w:p>
    <w:p w14:paraId="4701C928">
      <w:pPr>
        <w:pStyle w:val="14"/>
        <w:numPr>
          <w:ilvl w:val="0"/>
          <w:numId w:val="0"/>
        </w:numPr>
        <w:jc w:val="center"/>
        <w:rPr>
          <w:rFonts w:hint="eastAsia" w:ascii="宋体" w:hAnsi="宋体" w:eastAsia="宋体" w:cs="宋体"/>
          <w:b/>
          <w:bCs/>
          <w:color w:val="auto"/>
          <w:sz w:val="30"/>
          <w:szCs w:val="30"/>
          <w:lang w:val="en-US" w:eastAsia="zh-CN"/>
        </w:rPr>
      </w:pPr>
    </w:p>
    <w:p w14:paraId="6DF78B8F">
      <w:pPr>
        <w:pStyle w:val="14"/>
        <w:numPr>
          <w:ilvl w:val="0"/>
          <w:numId w:val="0"/>
        </w:numPr>
        <w:jc w:val="center"/>
        <w:rPr>
          <w:rFonts w:hint="eastAsia" w:ascii="宋体" w:hAnsi="宋体" w:eastAsia="宋体" w:cs="宋体"/>
          <w:b/>
          <w:bCs/>
          <w:color w:val="auto"/>
          <w:sz w:val="30"/>
          <w:szCs w:val="30"/>
          <w:lang w:val="en-US" w:eastAsia="zh-CN"/>
        </w:rPr>
      </w:pPr>
    </w:p>
    <w:p w14:paraId="0DE37746">
      <w:pPr>
        <w:pStyle w:val="14"/>
        <w:numPr>
          <w:ilvl w:val="0"/>
          <w:numId w:val="0"/>
        </w:numPr>
        <w:jc w:val="center"/>
        <w:rPr>
          <w:rFonts w:hint="eastAsia" w:ascii="宋体" w:hAnsi="宋体" w:eastAsia="宋体" w:cs="宋体"/>
          <w:b/>
          <w:bCs/>
          <w:color w:val="auto"/>
          <w:sz w:val="30"/>
          <w:szCs w:val="30"/>
          <w:lang w:val="en-US" w:eastAsia="zh-CN"/>
        </w:rPr>
      </w:pPr>
    </w:p>
    <w:p w14:paraId="3AD9D974">
      <w:pPr>
        <w:pStyle w:val="14"/>
        <w:numPr>
          <w:ilvl w:val="0"/>
          <w:numId w:val="0"/>
        </w:numPr>
        <w:jc w:val="center"/>
        <w:rPr>
          <w:rFonts w:hint="eastAsia" w:ascii="宋体" w:hAnsi="宋体" w:eastAsia="宋体" w:cs="宋体"/>
          <w:b/>
          <w:bCs/>
          <w:color w:val="auto"/>
          <w:sz w:val="30"/>
          <w:szCs w:val="30"/>
          <w:lang w:val="en-US" w:eastAsia="zh-CN"/>
        </w:rPr>
      </w:pPr>
    </w:p>
    <w:p w14:paraId="2EB649C5">
      <w:pPr>
        <w:pStyle w:val="14"/>
        <w:numPr>
          <w:ilvl w:val="0"/>
          <w:numId w:val="0"/>
        </w:numPr>
        <w:jc w:val="center"/>
        <w:rPr>
          <w:rFonts w:hint="eastAsia" w:ascii="宋体" w:hAnsi="宋体" w:eastAsia="宋体" w:cs="宋体"/>
          <w:b/>
          <w:bCs/>
          <w:color w:val="auto"/>
          <w:sz w:val="30"/>
          <w:szCs w:val="30"/>
          <w:lang w:val="en-US" w:eastAsia="zh-CN"/>
        </w:rPr>
      </w:pPr>
    </w:p>
    <w:p w14:paraId="6EC13739">
      <w:pPr>
        <w:pStyle w:val="14"/>
        <w:numPr>
          <w:ilvl w:val="0"/>
          <w:numId w:val="0"/>
        </w:numPr>
        <w:jc w:val="center"/>
        <w:rPr>
          <w:rFonts w:hint="eastAsia" w:ascii="宋体" w:hAnsi="宋体" w:eastAsia="宋体" w:cs="宋体"/>
          <w:b/>
          <w:bCs/>
          <w:color w:val="auto"/>
          <w:sz w:val="30"/>
          <w:szCs w:val="30"/>
          <w:lang w:val="en-US" w:eastAsia="zh-CN"/>
        </w:rPr>
      </w:pPr>
    </w:p>
    <w:p w14:paraId="27A2E056">
      <w:pPr>
        <w:pStyle w:val="14"/>
        <w:numPr>
          <w:ilvl w:val="0"/>
          <w:numId w:val="0"/>
        </w:numPr>
        <w:jc w:val="center"/>
        <w:rPr>
          <w:rFonts w:hint="eastAsia" w:ascii="宋体" w:hAnsi="宋体" w:eastAsia="宋体" w:cs="宋体"/>
          <w:b/>
          <w:bCs/>
          <w:color w:val="auto"/>
          <w:sz w:val="30"/>
          <w:szCs w:val="30"/>
          <w:lang w:val="en-US" w:eastAsia="zh-CN"/>
        </w:rPr>
      </w:pPr>
    </w:p>
    <w:p w14:paraId="16367BF9">
      <w:pPr>
        <w:pStyle w:val="14"/>
        <w:numPr>
          <w:ilvl w:val="0"/>
          <w:numId w:val="0"/>
        </w:numPr>
        <w:jc w:val="center"/>
        <w:rPr>
          <w:rFonts w:hint="eastAsia" w:ascii="宋体" w:hAnsi="宋体" w:eastAsia="宋体" w:cs="宋体"/>
          <w:b/>
          <w:bCs/>
          <w:color w:val="auto"/>
          <w:sz w:val="30"/>
          <w:szCs w:val="30"/>
          <w:lang w:val="en-US" w:eastAsia="zh-CN"/>
        </w:rPr>
      </w:pPr>
    </w:p>
    <w:p w14:paraId="722924C0">
      <w:pPr>
        <w:pStyle w:val="14"/>
        <w:numPr>
          <w:ilvl w:val="0"/>
          <w:numId w:val="0"/>
        </w:numPr>
        <w:jc w:val="center"/>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（6）报价响应表</w:t>
      </w:r>
    </w:p>
    <w:p w14:paraId="1E00DD96">
      <w:pPr>
        <w:rPr>
          <w:rFonts w:ascii="宋体"/>
          <w:color w:val="auto"/>
          <w:sz w:val="21"/>
        </w:rPr>
      </w:pPr>
    </w:p>
    <w:p w14:paraId="332F9BAC">
      <w:pPr>
        <w:spacing w:line="360" w:lineRule="auto"/>
        <w:rPr>
          <w:rFonts w:hint="eastAsia" w:ascii="宋体" w:hAnsi="宋体"/>
          <w:color w:val="auto"/>
          <w:sz w:val="24"/>
        </w:rPr>
      </w:pPr>
      <w:r>
        <w:rPr>
          <w:rFonts w:hint="eastAsia" w:ascii="宋体" w:hAnsi="宋体"/>
          <w:color w:val="auto"/>
          <w:sz w:val="24"/>
        </w:rPr>
        <w:t>项目名称：</w:t>
      </w:r>
    </w:p>
    <w:p w14:paraId="18D489B2">
      <w:pPr>
        <w:pStyle w:val="20"/>
        <w:rPr>
          <w:rFonts w:ascii="宋体"/>
          <w:color w:val="auto"/>
          <w:sz w:val="21"/>
        </w:rPr>
      </w:pPr>
      <w:r>
        <w:rPr>
          <w:rFonts w:hint="eastAsia" w:ascii="宋体" w:hAnsi="宋体"/>
          <w:color w:val="auto"/>
          <w:sz w:val="24"/>
        </w:rPr>
        <w:t>项目编号：</w:t>
      </w:r>
    </w:p>
    <w:tbl>
      <w:tblPr>
        <w:tblStyle w:val="30"/>
        <w:tblpPr w:leftFromText="180" w:rightFromText="180" w:vertAnchor="text" w:horzAnchor="page" w:tblpX="1492" w:tblpY="319"/>
        <w:tblOverlap w:val="never"/>
        <w:tblW w:w="4996"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3"/>
        <w:gridCol w:w="4998"/>
        <w:gridCol w:w="3448"/>
      </w:tblGrid>
      <w:tr w14:paraId="55A8EB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67" w:hRule="atLeast"/>
        </w:trPr>
        <w:tc>
          <w:tcPr>
            <w:tcW w:w="449" w:type="pct"/>
            <w:noWrap w:val="0"/>
            <w:vAlign w:val="center"/>
          </w:tcPr>
          <w:p w14:paraId="13D02D90">
            <w:pPr>
              <w:spacing w:line="240" w:lineRule="auto"/>
              <w:jc w:val="center"/>
              <w:rPr>
                <w:b/>
                <w:bCs/>
              </w:rPr>
            </w:pPr>
            <w:r>
              <w:rPr>
                <w:b/>
                <w:bCs/>
              </w:rPr>
              <w:t>序号</w:t>
            </w:r>
          </w:p>
        </w:tc>
        <w:tc>
          <w:tcPr>
            <w:tcW w:w="2692" w:type="pct"/>
            <w:noWrap w:val="0"/>
            <w:vAlign w:val="center"/>
          </w:tcPr>
          <w:p w14:paraId="7FCBCDAF">
            <w:pPr>
              <w:spacing w:line="240" w:lineRule="auto"/>
              <w:jc w:val="center"/>
              <w:rPr>
                <w:rFonts w:hint="default" w:eastAsia="宋体"/>
                <w:b/>
                <w:bCs/>
                <w:lang w:val="en-US" w:eastAsia="zh-CN"/>
              </w:rPr>
            </w:pPr>
            <w:r>
              <w:rPr>
                <w:rFonts w:hint="eastAsia"/>
                <w:b/>
                <w:bCs/>
                <w:lang w:val="en-US" w:eastAsia="zh-CN"/>
              </w:rPr>
              <w:t>咨询费报价约定</w:t>
            </w:r>
          </w:p>
        </w:tc>
        <w:tc>
          <w:tcPr>
            <w:tcW w:w="1857" w:type="pct"/>
            <w:noWrap w:val="0"/>
            <w:vAlign w:val="center"/>
          </w:tcPr>
          <w:p w14:paraId="5E323F9F">
            <w:pPr>
              <w:spacing w:line="240" w:lineRule="auto"/>
              <w:jc w:val="center"/>
              <w:rPr>
                <w:rFonts w:hint="eastAsia" w:eastAsia="宋体"/>
                <w:b/>
                <w:bCs/>
                <w:lang w:eastAsia="zh-CN"/>
              </w:rPr>
            </w:pPr>
            <w:r>
              <w:rPr>
                <w:rFonts w:hint="eastAsia"/>
                <w:b/>
                <w:bCs/>
                <w:lang w:val="en-US" w:eastAsia="zh-CN"/>
              </w:rPr>
              <w:t>报价响应</w:t>
            </w:r>
          </w:p>
        </w:tc>
      </w:tr>
      <w:tr w14:paraId="583C87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16" w:hRule="atLeast"/>
        </w:trPr>
        <w:tc>
          <w:tcPr>
            <w:tcW w:w="449" w:type="pct"/>
            <w:noWrap w:val="0"/>
            <w:vAlign w:val="center"/>
          </w:tcPr>
          <w:p w14:paraId="602EC6F2">
            <w:pPr>
              <w:spacing w:line="240" w:lineRule="auto"/>
              <w:jc w:val="center"/>
              <w:rPr>
                <w:rFonts w:hint="default" w:eastAsia="宋体"/>
                <w:lang w:val="en-US" w:eastAsia="zh-CN"/>
              </w:rPr>
            </w:pPr>
            <w:r>
              <w:rPr>
                <w:rFonts w:hint="eastAsia"/>
                <w:lang w:val="en-US" w:eastAsia="zh-CN"/>
              </w:rPr>
              <w:t>1</w:t>
            </w:r>
          </w:p>
        </w:tc>
        <w:tc>
          <w:tcPr>
            <w:tcW w:w="2692" w:type="pct"/>
            <w:noWrap w:val="0"/>
            <w:vAlign w:val="center"/>
          </w:tcPr>
          <w:p w14:paraId="2D383364">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本项目响应报价执行固定让利，参加投标则视为同意采购需求和合同条款中对造价咨询服务的酬金和计</w:t>
            </w:r>
            <w:r>
              <w:rPr>
                <w:rFonts w:hint="eastAsia" w:ascii="宋体" w:hAnsi="宋体" w:eastAsia="宋体" w:cs="宋体"/>
                <w:color w:val="auto"/>
                <w:sz w:val="21"/>
                <w:szCs w:val="21"/>
                <w:lang w:val="en-US" w:eastAsia="zh-CN" w:bidi="ar-SA"/>
              </w:rPr>
              <w:t>取方式条款的认同，即：</w:t>
            </w:r>
          </w:p>
          <w:p w14:paraId="7BF41E3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0" w:rightChars="0"/>
              <w:textAlignment w:val="baseline"/>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工程类项目预算评审、竣工结算评审项目的委托评审服务费，以审定金额为基准，以新疆计划委员会、自治区建设厅《关于下达新疆维吾尔自治区工程造价咨询服务收费管理规定的通知》（新计价房﹝2002﹞866号）所列示标准的基础上按优惠率40％（即:打6折）确定付费金额。咨询费不足1000元的按1000元确定结算服务费。</w:t>
            </w:r>
          </w:p>
          <w:p w14:paraId="2CB9226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0" w:rightChars="0"/>
              <w:textAlignment w:val="baseline"/>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 xml:space="preserve">2、工程类项目预算抽审，以审定金额为基准，对于预算抽审项目按照五个档（100万元-500万元， 500万元-1000万元，1000万元-5000万元，5000万元-1亿元，1 亿元以上，）进行付费，复审公司只需要出具复审意见，复审意见反馈给初审公司，初审公司对其进行修改完善并出具最终的定案报告。付费标准如下： </w:t>
            </w:r>
          </w:p>
          <w:p w14:paraId="0C55A762">
            <w:pPr>
              <w:spacing w:line="240" w:lineRule="auto"/>
              <w:jc w:val="left"/>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 xml:space="preserve">（一）100 万元-500 万元：  1000 元/项目 </w:t>
            </w:r>
          </w:p>
          <w:p w14:paraId="3B42F462">
            <w:pPr>
              <w:spacing w:line="240" w:lineRule="auto"/>
              <w:jc w:val="left"/>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 xml:space="preserve">（二）500 万元-1000 万元： 2000 元/项目 </w:t>
            </w:r>
          </w:p>
          <w:p w14:paraId="11CDD023">
            <w:pPr>
              <w:spacing w:line="240" w:lineRule="auto"/>
              <w:jc w:val="left"/>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 xml:space="preserve">（三）1000 万元-5000 万元：3000 元/项目 </w:t>
            </w:r>
          </w:p>
          <w:p w14:paraId="1E2369D7">
            <w:pPr>
              <w:spacing w:line="240" w:lineRule="auto"/>
              <w:jc w:val="left"/>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 xml:space="preserve">（四）5000 万元-1 亿元：   4000 元/项目 </w:t>
            </w:r>
          </w:p>
          <w:p w14:paraId="6D44999F">
            <w:pPr>
              <w:spacing w:line="240" w:lineRule="auto"/>
              <w:jc w:val="left"/>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（五）1 亿元以上：         5000 元/项目</w:t>
            </w:r>
          </w:p>
          <w:p w14:paraId="0BF7FAA0">
            <w:pPr>
              <w:numPr>
                <w:ilvl w:val="0"/>
                <w:numId w:val="0"/>
              </w:numPr>
              <w:spacing w:line="240" w:lineRule="auto"/>
              <w:jc w:val="left"/>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3、工程类项目竣工结算复审，对于项目单位采用全过程跟踪评审的项目进行竣工结算复审，以审定金额为基准。复审公司只需要出具复审意见，复审意见反馈给初审公司，初审公司对其进行修改完善并出具最终的定案报告。付费标准如下：</w:t>
            </w:r>
          </w:p>
          <w:p w14:paraId="54A57619">
            <w:pPr>
              <w:numPr>
                <w:ilvl w:val="0"/>
                <w:numId w:val="0"/>
              </w:numPr>
              <w:spacing w:line="240" w:lineRule="auto"/>
              <w:ind w:firstLine="420" w:firstLineChars="200"/>
              <w:jc w:val="left"/>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2000万（含）以上项目：按照审定金额的0.5</w:t>
            </w:r>
            <w:r>
              <w:rPr>
                <w:rFonts w:hint="default" w:ascii="宋体" w:hAnsi="宋体" w:eastAsia="宋体" w:cs="宋体"/>
                <w:color w:val="auto"/>
                <w:sz w:val="21"/>
                <w:szCs w:val="21"/>
                <w:lang w:val="en-US" w:eastAsia="zh-CN" w:bidi="ar-SA"/>
              </w:rPr>
              <w:t>‰</w:t>
            </w:r>
            <w:r>
              <w:rPr>
                <w:rFonts w:hint="eastAsia" w:ascii="宋体" w:hAnsi="宋体" w:eastAsia="宋体" w:cs="宋体"/>
                <w:color w:val="auto"/>
                <w:sz w:val="21"/>
                <w:szCs w:val="21"/>
                <w:lang w:val="en-US" w:eastAsia="zh-CN" w:bidi="ar-SA"/>
              </w:rPr>
              <w:t>为基础费用+核减额的1.5%；</w:t>
            </w:r>
          </w:p>
          <w:p w14:paraId="1539D65B">
            <w:pPr>
              <w:numPr>
                <w:ilvl w:val="0"/>
                <w:numId w:val="0"/>
              </w:numPr>
              <w:spacing w:line="240" w:lineRule="auto"/>
              <w:ind w:firstLine="420" w:firstLineChars="200"/>
              <w:jc w:val="left"/>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2000万以下的项目：按照审定金额的0.5</w:t>
            </w:r>
            <w:r>
              <w:rPr>
                <w:rFonts w:hint="default" w:ascii="宋体" w:hAnsi="宋体" w:eastAsia="宋体" w:cs="宋体"/>
                <w:color w:val="auto"/>
                <w:sz w:val="21"/>
                <w:szCs w:val="21"/>
                <w:lang w:val="en-US" w:eastAsia="zh-CN" w:bidi="ar-SA"/>
              </w:rPr>
              <w:t>‰</w:t>
            </w:r>
            <w:r>
              <w:rPr>
                <w:rFonts w:hint="eastAsia" w:ascii="宋体" w:hAnsi="宋体" w:eastAsia="宋体" w:cs="宋体"/>
                <w:color w:val="auto"/>
                <w:sz w:val="21"/>
                <w:szCs w:val="21"/>
                <w:lang w:val="en-US" w:eastAsia="zh-CN" w:bidi="ar-SA"/>
              </w:rPr>
              <w:t>为基础费用+按照核减额的2%组成计取。</w:t>
            </w:r>
          </w:p>
          <w:p w14:paraId="4E5D5451">
            <w:pPr>
              <w:numPr>
                <w:ilvl w:val="0"/>
                <w:numId w:val="0"/>
              </w:numPr>
              <w:spacing w:line="240" w:lineRule="auto"/>
              <w:rPr>
                <w:sz w:val="24"/>
                <w:szCs w:val="24"/>
              </w:rPr>
            </w:pPr>
            <w:r>
              <w:rPr>
                <w:rFonts w:hint="eastAsia" w:ascii="宋体" w:hAnsi="宋体" w:eastAsia="宋体" w:cs="宋体"/>
                <w:color w:val="auto"/>
                <w:sz w:val="21"/>
                <w:szCs w:val="21"/>
                <w:lang w:val="en-US" w:eastAsia="zh-CN" w:bidi="ar-SA"/>
              </w:rPr>
              <w:t>4、其它各项咨询服务按照补充协议相关内容执行</w:t>
            </w:r>
            <w:r>
              <w:rPr>
                <w:rFonts w:hint="eastAsia" w:ascii="宋体" w:hAnsi="宋体" w:eastAsia="宋体" w:cs="宋体"/>
                <w:color w:val="FF0000"/>
                <w:sz w:val="21"/>
                <w:szCs w:val="21"/>
                <w:lang w:val="en-US" w:eastAsia="zh-CN" w:bidi="ar-SA"/>
              </w:rPr>
              <w:t>。</w:t>
            </w:r>
          </w:p>
        </w:tc>
        <w:tc>
          <w:tcPr>
            <w:tcW w:w="1857" w:type="pct"/>
            <w:noWrap w:val="0"/>
            <w:vAlign w:val="center"/>
          </w:tcPr>
          <w:p w14:paraId="7A682BEA">
            <w:pPr>
              <w:spacing w:line="240" w:lineRule="auto"/>
            </w:pPr>
          </w:p>
        </w:tc>
      </w:tr>
    </w:tbl>
    <w:p w14:paraId="4330327F">
      <w:pPr>
        <w:pStyle w:val="20"/>
        <w:rPr>
          <w:rFonts w:ascii="宋体"/>
          <w:color w:val="auto"/>
          <w:sz w:val="21"/>
        </w:rPr>
      </w:pPr>
    </w:p>
    <w:p w14:paraId="30D2EC52">
      <w:pPr>
        <w:pStyle w:val="14"/>
        <w:rPr>
          <w:rFonts w:hint="eastAsia" w:ascii="宋体"/>
          <w:b/>
          <w:bCs/>
          <w:color w:val="auto"/>
          <w:sz w:val="24"/>
          <w:szCs w:val="24"/>
        </w:rPr>
      </w:pPr>
    </w:p>
    <w:p w14:paraId="7D1A4093">
      <w:pPr>
        <w:pStyle w:val="14"/>
        <w:rPr>
          <w:rFonts w:ascii="宋体"/>
          <w:b/>
          <w:bCs/>
          <w:color w:val="auto"/>
          <w:sz w:val="24"/>
          <w:szCs w:val="24"/>
        </w:rPr>
      </w:pPr>
      <w:r>
        <w:rPr>
          <w:rFonts w:hint="eastAsia" w:ascii="宋体"/>
          <w:b/>
          <w:bCs/>
          <w:color w:val="auto"/>
          <w:sz w:val="24"/>
          <w:szCs w:val="24"/>
        </w:rPr>
        <w:t>提示:1:报价响应应完全按照咨询费报价约定响应。</w:t>
      </w:r>
    </w:p>
    <w:p w14:paraId="5F23E3EC">
      <w:pPr>
        <w:spacing w:line="241" w:lineRule="auto"/>
        <w:rPr>
          <w:rFonts w:ascii="宋体"/>
          <w:color w:val="auto"/>
          <w:sz w:val="21"/>
        </w:rPr>
      </w:pPr>
    </w:p>
    <w:p w14:paraId="0BBB39DB">
      <w:pPr>
        <w:spacing w:line="373" w:lineRule="auto"/>
        <w:rPr>
          <w:rFonts w:ascii="宋体"/>
          <w:color w:val="auto"/>
          <w:sz w:val="21"/>
        </w:rPr>
      </w:pPr>
    </w:p>
    <w:p w14:paraId="4D5D693A">
      <w:pPr>
        <w:widowControl/>
        <w:spacing w:line="360" w:lineRule="auto"/>
        <w:ind w:firstLine="4800" w:firstLineChars="2000"/>
        <w:jc w:val="both"/>
        <w:rPr>
          <w:rFonts w:hint="eastAsia" w:ascii="宋体" w:hAnsi="宋体" w:cs="宋体"/>
          <w:color w:val="auto"/>
          <w:sz w:val="24"/>
        </w:rPr>
      </w:pPr>
      <w:r>
        <w:rPr>
          <w:rFonts w:hint="eastAsia" w:ascii="宋体" w:hAnsi="宋体" w:eastAsia="宋体" w:cs="宋体"/>
          <w:color w:val="auto"/>
          <w:sz w:val="24"/>
          <w:lang w:val="en-US" w:eastAsia="zh-CN"/>
        </w:rPr>
        <w:t>征集对象</w:t>
      </w:r>
      <w:r>
        <w:rPr>
          <w:rFonts w:hint="eastAsia" w:ascii="宋体" w:hAnsi="宋体" w:cs="宋体"/>
          <w:color w:val="auto"/>
          <w:sz w:val="24"/>
        </w:rPr>
        <w:t>（加盖公章）：</w:t>
      </w:r>
      <w:r>
        <w:rPr>
          <w:rFonts w:hint="eastAsia" w:ascii="宋体" w:hAnsi="宋体" w:cs="宋体"/>
          <w:color w:val="auto"/>
          <w:sz w:val="24"/>
          <w:u w:val="single"/>
        </w:rPr>
        <w:t xml:space="preserve">                             </w:t>
      </w:r>
    </w:p>
    <w:p w14:paraId="62CC0CE3">
      <w:pPr>
        <w:widowControl/>
        <w:spacing w:line="360" w:lineRule="auto"/>
        <w:ind w:firstLine="4800" w:firstLineChars="2000"/>
        <w:jc w:val="both"/>
        <w:rPr>
          <w:rFonts w:hint="eastAsia" w:ascii="宋体" w:hAnsi="宋体" w:cs="宋体"/>
          <w:color w:val="auto"/>
          <w:sz w:val="24"/>
        </w:rPr>
      </w:pPr>
      <w:r>
        <w:rPr>
          <w:rFonts w:hint="eastAsia" w:ascii="宋体" w:hAnsi="宋体" w:cs="宋体"/>
          <w:color w:val="auto"/>
          <w:sz w:val="24"/>
        </w:rPr>
        <w:t>法定代表人</w:t>
      </w:r>
      <w:r>
        <w:rPr>
          <w:rFonts w:hint="eastAsia" w:ascii="宋体" w:hAnsi="宋体" w:cs="宋体"/>
          <w:color w:val="auto"/>
          <w:sz w:val="24"/>
          <w:lang w:eastAsia="zh-CN"/>
        </w:rPr>
        <w:t>或</w:t>
      </w:r>
      <w:r>
        <w:rPr>
          <w:rFonts w:hint="eastAsia" w:ascii="宋体" w:hAnsi="宋体" w:cs="宋体"/>
          <w:color w:val="auto"/>
          <w:sz w:val="24"/>
        </w:rPr>
        <w:t>授权委托人（签字或盖章）：</w:t>
      </w:r>
      <w:r>
        <w:rPr>
          <w:rFonts w:hint="eastAsia" w:ascii="宋体" w:hAnsi="宋体" w:cs="宋体"/>
          <w:color w:val="auto"/>
          <w:sz w:val="24"/>
          <w:u w:val="single"/>
        </w:rPr>
        <w:t xml:space="preserve">                </w:t>
      </w:r>
    </w:p>
    <w:p w14:paraId="51FF6A2B">
      <w:pPr>
        <w:widowControl/>
        <w:spacing w:line="360" w:lineRule="auto"/>
        <w:ind w:firstLine="4800" w:firstLineChars="2000"/>
        <w:jc w:val="both"/>
        <w:rPr>
          <w:rFonts w:hint="eastAsia" w:ascii="宋体" w:hAnsi="宋体" w:eastAsia="Arial" w:cs="宋体"/>
          <w:b/>
          <w:bCs/>
          <w:color w:val="auto"/>
          <w:sz w:val="30"/>
          <w:szCs w:val="30"/>
          <w:lang w:eastAsia="zh-CN"/>
        </w:rPr>
      </w:pPr>
      <w:r>
        <w:rPr>
          <w:rFonts w:hint="eastAsia" w:ascii="宋体" w:hAnsi="宋体" w:cs="宋体"/>
          <w:color w:val="auto"/>
          <w:sz w:val="24"/>
        </w:rPr>
        <w:t>日     期：      年    月     日</w:t>
      </w:r>
    </w:p>
    <w:p w14:paraId="132F6075">
      <w:pPr>
        <w:pStyle w:val="14"/>
        <w:numPr>
          <w:ilvl w:val="0"/>
          <w:numId w:val="0"/>
        </w:numPr>
        <w:jc w:val="center"/>
        <w:rPr>
          <w:rFonts w:hint="eastAsia" w:ascii="宋体" w:hAnsi="宋体" w:eastAsia="Arial" w:cs="宋体"/>
          <w:b/>
          <w:bCs/>
          <w:color w:val="auto"/>
          <w:sz w:val="30"/>
          <w:szCs w:val="30"/>
          <w:lang w:eastAsia="zh-CN"/>
        </w:rPr>
      </w:pPr>
      <w:r>
        <w:rPr>
          <w:rFonts w:hint="eastAsia" w:ascii="宋体" w:hAnsi="宋体" w:eastAsia="Arial" w:cs="宋体"/>
          <w:b/>
          <w:bCs/>
          <w:color w:val="auto"/>
          <w:sz w:val="30"/>
          <w:szCs w:val="30"/>
          <w:lang w:eastAsia="zh-CN"/>
        </w:rPr>
        <w:t>（</w:t>
      </w:r>
      <w:r>
        <w:rPr>
          <w:rFonts w:hint="eastAsia" w:ascii="宋体" w:hAnsi="宋体" w:eastAsia="Arial" w:cs="宋体"/>
          <w:b/>
          <w:bCs/>
          <w:color w:val="auto"/>
          <w:sz w:val="30"/>
          <w:szCs w:val="30"/>
          <w:lang w:val="en-US" w:eastAsia="zh-CN"/>
        </w:rPr>
        <w:t>7</w:t>
      </w:r>
      <w:r>
        <w:rPr>
          <w:rFonts w:hint="eastAsia" w:ascii="宋体" w:hAnsi="宋体" w:eastAsia="Arial" w:cs="宋体"/>
          <w:b/>
          <w:bCs/>
          <w:color w:val="auto"/>
          <w:sz w:val="30"/>
          <w:szCs w:val="30"/>
          <w:lang w:eastAsia="zh-CN"/>
        </w:rPr>
        <w:t>）供应商基本情况</w:t>
      </w:r>
    </w:p>
    <w:p w14:paraId="474624E9">
      <w:pPr>
        <w:pStyle w:val="20"/>
        <w:rPr>
          <w:rFonts w:hint="eastAsia"/>
          <w:lang w:eastAsia="zh-CN"/>
        </w:rPr>
      </w:pPr>
    </w:p>
    <w:p w14:paraId="6084896B">
      <w:pPr>
        <w:pStyle w:val="20"/>
        <w:rPr>
          <w:rFonts w:hint="eastAsia"/>
          <w:lang w:eastAsia="zh-CN"/>
        </w:rPr>
      </w:pPr>
    </w:p>
    <w:tbl>
      <w:tblPr>
        <w:tblStyle w:val="30"/>
        <w:tblW w:w="52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2"/>
        <w:gridCol w:w="962"/>
        <w:gridCol w:w="962"/>
        <w:gridCol w:w="950"/>
        <w:gridCol w:w="151"/>
        <w:gridCol w:w="822"/>
        <w:gridCol w:w="942"/>
        <w:gridCol w:w="706"/>
        <w:gridCol w:w="1837"/>
      </w:tblGrid>
      <w:tr w14:paraId="0DB18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210" w:type="pct"/>
            <w:tcBorders>
              <w:top w:val="single" w:color="auto" w:sz="4" w:space="0"/>
              <w:left w:val="single" w:color="auto" w:sz="4" w:space="0"/>
              <w:bottom w:val="single" w:color="auto" w:sz="4" w:space="0"/>
              <w:right w:val="single" w:color="auto" w:sz="4" w:space="0"/>
            </w:tcBorders>
            <w:noWrap w:val="0"/>
            <w:vAlign w:val="center"/>
          </w:tcPr>
          <w:p w14:paraId="6CA2622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szCs w:val="21"/>
              </w:rPr>
            </w:pPr>
            <w:r>
              <w:rPr>
                <w:rFonts w:hint="eastAsia" w:ascii="宋体" w:hAnsi="宋体" w:eastAsia="宋体" w:cs="宋体"/>
                <w:bCs/>
                <w:szCs w:val="21"/>
              </w:rPr>
              <w:t>单位名称</w:t>
            </w:r>
          </w:p>
          <w:p w14:paraId="61A794B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szCs w:val="21"/>
              </w:rPr>
            </w:pPr>
            <w:r>
              <w:rPr>
                <w:rFonts w:hint="eastAsia" w:ascii="宋体" w:hAnsi="宋体" w:eastAsia="宋体" w:cs="宋体"/>
                <w:bCs/>
                <w:szCs w:val="21"/>
              </w:rPr>
              <w:t>（盖章）</w:t>
            </w:r>
          </w:p>
        </w:tc>
        <w:tc>
          <w:tcPr>
            <w:tcW w:w="1563" w:type="pct"/>
            <w:gridSpan w:val="4"/>
            <w:tcBorders>
              <w:top w:val="single" w:color="auto" w:sz="4" w:space="0"/>
              <w:left w:val="single" w:color="auto" w:sz="4" w:space="0"/>
              <w:bottom w:val="single" w:color="auto" w:sz="4" w:space="0"/>
              <w:right w:val="single" w:color="auto" w:sz="4" w:space="0"/>
            </w:tcBorders>
            <w:noWrap w:val="0"/>
            <w:vAlign w:val="center"/>
          </w:tcPr>
          <w:p w14:paraId="1BEC8C8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szCs w:val="21"/>
              </w:rPr>
            </w:pPr>
          </w:p>
        </w:tc>
        <w:tc>
          <w:tcPr>
            <w:tcW w:w="912" w:type="pct"/>
            <w:gridSpan w:val="2"/>
            <w:tcBorders>
              <w:top w:val="single" w:color="auto" w:sz="4" w:space="0"/>
              <w:left w:val="single" w:color="auto" w:sz="4" w:space="0"/>
              <w:bottom w:val="single" w:color="auto" w:sz="4" w:space="0"/>
              <w:right w:val="single" w:color="auto" w:sz="4" w:space="0"/>
            </w:tcBorders>
            <w:noWrap w:val="0"/>
            <w:vAlign w:val="center"/>
          </w:tcPr>
          <w:p w14:paraId="124F787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szCs w:val="21"/>
              </w:rPr>
            </w:pPr>
            <w:r>
              <w:rPr>
                <w:rFonts w:hint="eastAsia" w:ascii="宋体" w:hAnsi="宋体" w:eastAsia="宋体" w:cs="宋体"/>
                <w:bCs/>
                <w:szCs w:val="21"/>
              </w:rPr>
              <w:t>单位地址</w:t>
            </w:r>
          </w:p>
        </w:tc>
        <w:tc>
          <w:tcPr>
            <w:tcW w:w="1313" w:type="pct"/>
            <w:gridSpan w:val="2"/>
            <w:tcBorders>
              <w:top w:val="single" w:color="auto" w:sz="4" w:space="0"/>
              <w:left w:val="single" w:color="auto" w:sz="4" w:space="0"/>
              <w:bottom w:val="single" w:color="auto" w:sz="4" w:space="0"/>
              <w:right w:val="single" w:color="auto" w:sz="4" w:space="0"/>
            </w:tcBorders>
            <w:noWrap w:val="0"/>
            <w:vAlign w:val="center"/>
          </w:tcPr>
          <w:p w14:paraId="2FB8DBD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szCs w:val="21"/>
              </w:rPr>
            </w:pPr>
          </w:p>
        </w:tc>
      </w:tr>
      <w:tr w14:paraId="0750C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210" w:type="pct"/>
            <w:tcBorders>
              <w:top w:val="single" w:color="auto" w:sz="4" w:space="0"/>
              <w:left w:val="single" w:color="auto" w:sz="4" w:space="0"/>
              <w:bottom w:val="single" w:color="auto" w:sz="4" w:space="0"/>
              <w:right w:val="single" w:color="auto" w:sz="4" w:space="0"/>
            </w:tcBorders>
            <w:noWrap w:val="0"/>
            <w:vAlign w:val="center"/>
          </w:tcPr>
          <w:p w14:paraId="36C5B77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szCs w:val="21"/>
              </w:rPr>
            </w:pPr>
            <w:r>
              <w:rPr>
                <w:rFonts w:hint="eastAsia" w:ascii="宋体" w:hAnsi="宋体" w:eastAsia="宋体" w:cs="宋体"/>
                <w:bCs/>
                <w:szCs w:val="21"/>
              </w:rPr>
              <w:t>成立时间</w:t>
            </w:r>
          </w:p>
        </w:tc>
        <w:tc>
          <w:tcPr>
            <w:tcW w:w="1563" w:type="pct"/>
            <w:gridSpan w:val="4"/>
            <w:tcBorders>
              <w:top w:val="single" w:color="auto" w:sz="4" w:space="0"/>
              <w:left w:val="single" w:color="auto" w:sz="4" w:space="0"/>
              <w:bottom w:val="single" w:color="auto" w:sz="4" w:space="0"/>
              <w:right w:val="single" w:color="auto" w:sz="4" w:space="0"/>
            </w:tcBorders>
            <w:noWrap w:val="0"/>
            <w:vAlign w:val="center"/>
          </w:tcPr>
          <w:p w14:paraId="4875D1D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szCs w:val="21"/>
              </w:rPr>
            </w:pPr>
          </w:p>
        </w:tc>
        <w:tc>
          <w:tcPr>
            <w:tcW w:w="912" w:type="pct"/>
            <w:gridSpan w:val="2"/>
            <w:tcBorders>
              <w:top w:val="single" w:color="auto" w:sz="4" w:space="0"/>
              <w:left w:val="single" w:color="auto" w:sz="4" w:space="0"/>
              <w:bottom w:val="single" w:color="auto" w:sz="4" w:space="0"/>
              <w:right w:val="single" w:color="auto" w:sz="4" w:space="0"/>
            </w:tcBorders>
            <w:noWrap w:val="0"/>
            <w:vAlign w:val="center"/>
          </w:tcPr>
          <w:p w14:paraId="5C82302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szCs w:val="21"/>
              </w:rPr>
            </w:pPr>
            <w:r>
              <w:rPr>
                <w:rFonts w:hint="eastAsia" w:ascii="宋体" w:hAnsi="宋体" w:eastAsia="宋体" w:cs="宋体"/>
                <w:bCs/>
                <w:szCs w:val="21"/>
              </w:rPr>
              <w:t>办公面积</w:t>
            </w:r>
          </w:p>
          <w:p w14:paraId="6102543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szCs w:val="21"/>
              </w:rPr>
            </w:pPr>
            <w:r>
              <w:rPr>
                <w:rFonts w:hint="eastAsia" w:ascii="宋体" w:hAnsi="宋体" w:eastAsia="宋体" w:cs="宋体"/>
                <w:bCs/>
                <w:szCs w:val="21"/>
              </w:rPr>
              <w:t>（m</w:t>
            </w:r>
            <w:r>
              <w:rPr>
                <w:rFonts w:hint="eastAsia" w:ascii="宋体" w:hAnsi="宋体" w:eastAsia="宋体" w:cs="宋体"/>
                <w:bCs/>
                <w:szCs w:val="21"/>
                <w:vertAlign w:val="superscript"/>
              </w:rPr>
              <w:t>2</w:t>
            </w:r>
            <w:r>
              <w:rPr>
                <w:rFonts w:hint="eastAsia" w:ascii="宋体" w:hAnsi="宋体" w:eastAsia="宋体" w:cs="宋体"/>
                <w:bCs/>
                <w:szCs w:val="21"/>
              </w:rPr>
              <w:t>）</w:t>
            </w:r>
          </w:p>
        </w:tc>
        <w:tc>
          <w:tcPr>
            <w:tcW w:w="1313" w:type="pct"/>
            <w:gridSpan w:val="2"/>
            <w:tcBorders>
              <w:top w:val="single" w:color="auto" w:sz="4" w:space="0"/>
              <w:left w:val="single" w:color="auto" w:sz="4" w:space="0"/>
              <w:bottom w:val="single" w:color="auto" w:sz="4" w:space="0"/>
              <w:right w:val="single" w:color="auto" w:sz="4" w:space="0"/>
            </w:tcBorders>
            <w:noWrap w:val="0"/>
            <w:vAlign w:val="center"/>
          </w:tcPr>
          <w:p w14:paraId="0120D00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szCs w:val="21"/>
              </w:rPr>
            </w:pPr>
          </w:p>
        </w:tc>
      </w:tr>
      <w:tr w14:paraId="2D376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210" w:type="pct"/>
            <w:tcBorders>
              <w:top w:val="single" w:color="auto" w:sz="4" w:space="0"/>
              <w:left w:val="single" w:color="auto" w:sz="4" w:space="0"/>
              <w:bottom w:val="single" w:color="auto" w:sz="4" w:space="0"/>
              <w:right w:val="single" w:color="auto" w:sz="4" w:space="0"/>
            </w:tcBorders>
            <w:noWrap w:val="0"/>
            <w:vAlign w:val="center"/>
          </w:tcPr>
          <w:p w14:paraId="6ED2918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szCs w:val="21"/>
              </w:rPr>
            </w:pPr>
            <w:r>
              <w:rPr>
                <w:rFonts w:hint="eastAsia" w:ascii="宋体" w:hAnsi="宋体" w:eastAsia="宋体" w:cs="宋体"/>
                <w:bCs/>
                <w:szCs w:val="21"/>
              </w:rPr>
              <w:t>注册资金</w:t>
            </w:r>
          </w:p>
          <w:p w14:paraId="5EDF61F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szCs w:val="21"/>
              </w:rPr>
            </w:pPr>
            <w:r>
              <w:rPr>
                <w:rFonts w:hint="eastAsia" w:ascii="宋体" w:hAnsi="宋体" w:eastAsia="宋体" w:cs="宋体"/>
                <w:bCs/>
                <w:szCs w:val="21"/>
              </w:rPr>
              <w:t>（万元）</w:t>
            </w:r>
          </w:p>
        </w:tc>
        <w:tc>
          <w:tcPr>
            <w:tcW w:w="1563" w:type="pct"/>
            <w:gridSpan w:val="4"/>
            <w:tcBorders>
              <w:top w:val="single" w:color="auto" w:sz="4" w:space="0"/>
              <w:left w:val="single" w:color="auto" w:sz="4" w:space="0"/>
              <w:bottom w:val="single" w:color="auto" w:sz="4" w:space="0"/>
              <w:right w:val="single" w:color="auto" w:sz="4" w:space="0"/>
            </w:tcBorders>
            <w:noWrap w:val="0"/>
            <w:vAlign w:val="center"/>
          </w:tcPr>
          <w:p w14:paraId="171C69F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szCs w:val="21"/>
              </w:rPr>
            </w:pPr>
          </w:p>
        </w:tc>
        <w:tc>
          <w:tcPr>
            <w:tcW w:w="912" w:type="pct"/>
            <w:gridSpan w:val="2"/>
            <w:tcBorders>
              <w:top w:val="single" w:color="auto" w:sz="4" w:space="0"/>
              <w:left w:val="single" w:color="auto" w:sz="4" w:space="0"/>
              <w:bottom w:val="single" w:color="auto" w:sz="4" w:space="0"/>
              <w:right w:val="single" w:color="auto" w:sz="4" w:space="0"/>
            </w:tcBorders>
            <w:noWrap w:val="0"/>
            <w:vAlign w:val="center"/>
          </w:tcPr>
          <w:p w14:paraId="7E526EF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szCs w:val="21"/>
              </w:rPr>
            </w:pPr>
            <w:r>
              <w:rPr>
                <w:rFonts w:hint="eastAsia" w:ascii="宋体" w:hAnsi="宋体" w:eastAsia="宋体" w:cs="宋体"/>
                <w:bCs/>
                <w:szCs w:val="21"/>
              </w:rPr>
              <w:t>固定资产</w:t>
            </w:r>
          </w:p>
          <w:p w14:paraId="2F22B08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szCs w:val="21"/>
              </w:rPr>
            </w:pPr>
            <w:r>
              <w:rPr>
                <w:rFonts w:hint="eastAsia" w:ascii="宋体" w:hAnsi="宋体" w:eastAsia="宋体" w:cs="宋体"/>
                <w:bCs/>
                <w:szCs w:val="21"/>
              </w:rPr>
              <w:t>（万元）</w:t>
            </w:r>
          </w:p>
        </w:tc>
        <w:tc>
          <w:tcPr>
            <w:tcW w:w="1313" w:type="pct"/>
            <w:gridSpan w:val="2"/>
            <w:tcBorders>
              <w:top w:val="single" w:color="auto" w:sz="4" w:space="0"/>
              <w:left w:val="single" w:color="auto" w:sz="4" w:space="0"/>
              <w:bottom w:val="single" w:color="auto" w:sz="4" w:space="0"/>
              <w:right w:val="single" w:color="auto" w:sz="4" w:space="0"/>
            </w:tcBorders>
            <w:noWrap w:val="0"/>
            <w:vAlign w:val="center"/>
          </w:tcPr>
          <w:p w14:paraId="01319F5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szCs w:val="21"/>
              </w:rPr>
            </w:pPr>
          </w:p>
        </w:tc>
      </w:tr>
      <w:tr w14:paraId="2B2DE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210" w:type="pct"/>
            <w:tcBorders>
              <w:top w:val="single" w:color="auto" w:sz="4" w:space="0"/>
              <w:left w:val="single" w:color="auto" w:sz="4" w:space="0"/>
              <w:bottom w:val="single" w:color="auto" w:sz="4" w:space="0"/>
              <w:right w:val="single" w:color="auto" w:sz="4" w:space="0"/>
            </w:tcBorders>
            <w:noWrap w:val="0"/>
            <w:vAlign w:val="center"/>
          </w:tcPr>
          <w:p w14:paraId="2FF2090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szCs w:val="21"/>
              </w:rPr>
            </w:pPr>
            <w:r>
              <w:rPr>
                <w:rFonts w:hint="eastAsia" w:ascii="宋体" w:hAnsi="宋体" w:eastAsia="宋体" w:cs="宋体"/>
                <w:bCs/>
                <w:szCs w:val="21"/>
              </w:rPr>
              <w:t>行政负责人</w:t>
            </w:r>
          </w:p>
        </w:tc>
        <w:tc>
          <w:tcPr>
            <w:tcW w:w="1563" w:type="pct"/>
            <w:gridSpan w:val="4"/>
            <w:tcBorders>
              <w:top w:val="single" w:color="auto" w:sz="4" w:space="0"/>
              <w:left w:val="single" w:color="auto" w:sz="4" w:space="0"/>
              <w:bottom w:val="single" w:color="auto" w:sz="4" w:space="0"/>
              <w:right w:val="single" w:color="auto" w:sz="4" w:space="0"/>
            </w:tcBorders>
            <w:noWrap w:val="0"/>
            <w:vAlign w:val="center"/>
          </w:tcPr>
          <w:p w14:paraId="7F87FF9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szCs w:val="21"/>
              </w:rPr>
            </w:pPr>
          </w:p>
        </w:tc>
        <w:tc>
          <w:tcPr>
            <w:tcW w:w="912" w:type="pct"/>
            <w:gridSpan w:val="2"/>
            <w:tcBorders>
              <w:top w:val="single" w:color="auto" w:sz="4" w:space="0"/>
              <w:left w:val="single" w:color="auto" w:sz="4" w:space="0"/>
              <w:bottom w:val="single" w:color="auto" w:sz="4" w:space="0"/>
              <w:right w:val="single" w:color="auto" w:sz="4" w:space="0"/>
            </w:tcBorders>
            <w:noWrap w:val="0"/>
            <w:vAlign w:val="center"/>
          </w:tcPr>
          <w:p w14:paraId="0BF8DCC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szCs w:val="21"/>
              </w:rPr>
            </w:pPr>
            <w:r>
              <w:rPr>
                <w:rFonts w:hint="eastAsia" w:ascii="宋体" w:hAnsi="宋体" w:eastAsia="宋体" w:cs="宋体"/>
                <w:bCs/>
                <w:szCs w:val="21"/>
              </w:rPr>
              <w:t>技术负责人</w:t>
            </w:r>
          </w:p>
        </w:tc>
        <w:tc>
          <w:tcPr>
            <w:tcW w:w="1313" w:type="pct"/>
            <w:gridSpan w:val="2"/>
            <w:tcBorders>
              <w:top w:val="single" w:color="auto" w:sz="4" w:space="0"/>
              <w:left w:val="single" w:color="auto" w:sz="4" w:space="0"/>
              <w:bottom w:val="single" w:color="auto" w:sz="4" w:space="0"/>
              <w:right w:val="single" w:color="auto" w:sz="4" w:space="0"/>
            </w:tcBorders>
            <w:noWrap w:val="0"/>
            <w:vAlign w:val="center"/>
          </w:tcPr>
          <w:p w14:paraId="6F76968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szCs w:val="21"/>
              </w:rPr>
            </w:pPr>
          </w:p>
        </w:tc>
      </w:tr>
      <w:tr w14:paraId="7724C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210" w:type="pct"/>
            <w:vMerge w:val="restart"/>
            <w:tcBorders>
              <w:top w:val="single" w:color="auto" w:sz="4" w:space="0"/>
              <w:left w:val="single" w:color="auto" w:sz="4" w:space="0"/>
              <w:bottom w:val="single" w:color="auto" w:sz="4" w:space="0"/>
              <w:right w:val="single" w:color="auto" w:sz="4" w:space="0"/>
            </w:tcBorders>
            <w:noWrap w:val="0"/>
            <w:vAlign w:val="center"/>
          </w:tcPr>
          <w:p w14:paraId="3E3483C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szCs w:val="21"/>
              </w:rPr>
            </w:pPr>
            <w:r>
              <w:rPr>
                <w:rFonts w:hint="eastAsia" w:ascii="宋体" w:hAnsi="宋体" w:eastAsia="宋体" w:cs="宋体"/>
                <w:bCs/>
                <w:szCs w:val="21"/>
              </w:rPr>
              <w:t>从事工程造价资质情况</w:t>
            </w:r>
          </w:p>
        </w:tc>
        <w:tc>
          <w:tcPr>
            <w:tcW w:w="994" w:type="pct"/>
            <w:gridSpan w:val="2"/>
            <w:tcBorders>
              <w:top w:val="single" w:color="auto" w:sz="4" w:space="0"/>
              <w:left w:val="single" w:color="auto" w:sz="4" w:space="0"/>
              <w:bottom w:val="single" w:color="auto" w:sz="4" w:space="0"/>
              <w:right w:val="single" w:color="auto" w:sz="4" w:space="0"/>
            </w:tcBorders>
            <w:noWrap w:val="0"/>
            <w:vAlign w:val="center"/>
          </w:tcPr>
          <w:p w14:paraId="022A770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szCs w:val="21"/>
              </w:rPr>
            </w:pPr>
            <w:r>
              <w:rPr>
                <w:rFonts w:hint="eastAsia" w:ascii="宋体" w:hAnsi="宋体" w:eastAsia="宋体" w:cs="宋体"/>
                <w:bCs/>
                <w:szCs w:val="21"/>
              </w:rPr>
              <w:t>资质名称</w:t>
            </w:r>
          </w:p>
        </w:tc>
        <w:tc>
          <w:tcPr>
            <w:tcW w:w="994" w:type="pct"/>
            <w:gridSpan w:val="3"/>
            <w:tcBorders>
              <w:top w:val="single" w:color="auto" w:sz="4" w:space="0"/>
              <w:left w:val="single" w:color="auto" w:sz="4" w:space="0"/>
              <w:bottom w:val="single" w:color="auto" w:sz="4" w:space="0"/>
              <w:right w:val="single" w:color="auto" w:sz="4" w:space="0"/>
            </w:tcBorders>
            <w:noWrap w:val="0"/>
            <w:vAlign w:val="center"/>
          </w:tcPr>
          <w:p w14:paraId="51F29D5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szCs w:val="21"/>
              </w:rPr>
            </w:pPr>
            <w:r>
              <w:rPr>
                <w:rFonts w:hint="eastAsia" w:ascii="宋体" w:hAnsi="宋体" w:eastAsia="宋体" w:cs="宋体"/>
                <w:bCs/>
                <w:szCs w:val="21"/>
              </w:rPr>
              <w:t>颁发部门</w:t>
            </w:r>
          </w:p>
        </w:tc>
        <w:tc>
          <w:tcPr>
            <w:tcW w:w="852" w:type="pct"/>
            <w:gridSpan w:val="2"/>
            <w:tcBorders>
              <w:top w:val="single" w:color="auto" w:sz="4" w:space="0"/>
              <w:left w:val="single" w:color="auto" w:sz="4" w:space="0"/>
              <w:bottom w:val="single" w:color="auto" w:sz="4" w:space="0"/>
              <w:right w:val="single" w:color="auto" w:sz="4" w:space="0"/>
            </w:tcBorders>
            <w:noWrap w:val="0"/>
            <w:vAlign w:val="center"/>
          </w:tcPr>
          <w:p w14:paraId="633A531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szCs w:val="21"/>
              </w:rPr>
            </w:pPr>
            <w:r>
              <w:rPr>
                <w:rFonts w:hint="eastAsia" w:ascii="宋体" w:hAnsi="宋体" w:eastAsia="宋体" w:cs="宋体"/>
                <w:bCs/>
                <w:szCs w:val="21"/>
              </w:rPr>
              <w:t>资质等级</w:t>
            </w:r>
          </w:p>
        </w:tc>
        <w:tc>
          <w:tcPr>
            <w:tcW w:w="948" w:type="pct"/>
            <w:tcBorders>
              <w:top w:val="single" w:color="auto" w:sz="4" w:space="0"/>
              <w:left w:val="single" w:color="auto" w:sz="4" w:space="0"/>
              <w:bottom w:val="single" w:color="auto" w:sz="4" w:space="0"/>
              <w:right w:val="single" w:color="auto" w:sz="4" w:space="0"/>
            </w:tcBorders>
            <w:noWrap w:val="0"/>
            <w:vAlign w:val="center"/>
          </w:tcPr>
          <w:p w14:paraId="2B92DBF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szCs w:val="21"/>
              </w:rPr>
            </w:pPr>
            <w:r>
              <w:rPr>
                <w:rFonts w:hint="eastAsia" w:ascii="宋体" w:hAnsi="宋体" w:eastAsia="宋体" w:cs="宋体"/>
                <w:bCs/>
                <w:szCs w:val="21"/>
              </w:rPr>
              <w:t>颁发时间</w:t>
            </w:r>
          </w:p>
        </w:tc>
      </w:tr>
      <w:tr w14:paraId="71F3F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10" w:type="pct"/>
            <w:vMerge w:val="continue"/>
            <w:tcBorders>
              <w:top w:val="single" w:color="auto" w:sz="4" w:space="0"/>
              <w:left w:val="single" w:color="auto" w:sz="4" w:space="0"/>
              <w:bottom w:val="single" w:color="auto" w:sz="4" w:space="0"/>
              <w:right w:val="single" w:color="auto" w:sz="4" w:space="0"/>
            </w:tcBorders>
            <w:noWrap w:val="0"/>
            <w:vAlign w:val="center"/>
          </w:tcPr>
          <w:p w14:paraId="043C9F6E">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Cs/>
                <w:szCs w:val="21"/>
              </w:rPr>
            </w:pPr>
          </w:p>
        </w:tc>
        <w:tc>
          <w:tcPr>
            <w:tcW w:w="994" w:type="pct"/>
            <w:gridSpan w:val="2"/>
            <w:tcBorders>
              <w:top w:val="single" w:color="auto" w:sz="4" w:space="0"/>
              <w:left w:val="single" w:color="auto" w:sz="4" w:space="0"/>
              <w:bottom w:val="single" w:color="auto" w:sz="4" w:space="0"/>
              <w:right w:val="single" w:color="auto" w:sz="4" w:space="0"/>
            </w:tcBorders>
            <w:noWrap w:val="0"/>
            <w:vAlign w:val="center"/>
          </w:tcPr>
          <w:p w14:paraId="6FD64D4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szCs w:val="21"/>
              </w:rPr>
            </w:pPr>
          </w:p>
        </w:tc>
        <w:tc>
          <w:tcPr>
            <w:tcW w:w="994" w:type="pct"/>
            <w:gridSpan w:val="3"/>
            <w:tcBorders>
              <w:top w:val="single" w:color="auto" w:sz="4" w:space="0"/>
              <w:left w:val="single" w:color="auto" w:sz="4" w:space="0"/>
              <w:bottom w:val="single" w:color="auto" w:sz="4" w:space="0"/>
              <w:right w:val="single" w:color="auto" w:sz="4" w:space="0"/>
            </w:tcBorders>
            <w:noWrap w:val="0"/>
            <w:vAlign w:val="center"/>
          </w:tcPr>
          <w:p w14:paraId="10EE1BA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szCs w:val="21"/>
              </w:rPr>
            </w:pPr>
          </w:p>
        </w:tc>
        <w:tc>
          <w:tcPr>
            <w:tcW w:w="852" w:type="pct"/>
            <w:gridSpan w:val="2"/>
            <w:tcBorders>
              <w:top w:val="single" w:color="auto" w:sz="4" w:space="0"/>
              <w:left w:val="single" w:color="auto" w:sz="4" w:space="0"/>
              <w:bottom w:val="single" w:color="auto" w:sz="4" w:space="0"/>
              <w:right w:val="single" w:color="auto" w:sz="4" w:space="0"/>
            </w:tcBorders>
            <w:noWrap w:val="0"/>
            <w:vAlign w:val="center"/>
          </w:tcPr>
          <w:p w14:paraId="583F4AD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szCs w:val="21"/>
              </w:rPr>
            </w:pPr>
          </w:p>
        </w:tc>
        <w:tc>
          <w:tcPr>
            <w:tcW w:w="948" w:type="pct"/>
            <w:tcBorders>
              <w:top w:val="single" w:color="auto" w:sz="4" w:space="0"/>
              <w:left w:val="single" w:color="auto" w:sz="4" w:space="0"/>
              <w:bottom w:val="single" w:color="auto" w:sz="4" w:space="0"/>
              <w:right w:val="single" w:color="auto" w:sz="4" w:space="0"/>
            </w:tcBorders>
            <w:noWrap w:val="0"/>
            <w:vAlign w:val="center"/>
          </w:tcPr>
          <w:p w14:paraId="6D426BE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szCs w:val="21"/>
              </w:rPr>
            </w:pPr>
          </w:p>
        </w:tc>
      </w:tr>
      <w:tr w14:paraId="517A0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1210" w:type="pct"/>
            <w:vMerge w:val="restart"/>
            <w:tcBorders>
              <w:top w:val="single" w:color="auto" w:sz="4" w:space="0"/>
              <w:left w:val="single" w:color="auto" w:sz="4" w:space="0"/>
              <w:bottom w:val="single" w:color="auto" w:sz="4" w:space="0"/>
              <w:right w:val="single" w:color="auto" w:sz="4" w:space="0"/>
            </w:tcBorders>
            <w:noWrap w:val="0"/>
            <w:vAlign w:val="center"/>
          </w:tcPr>
          <w:p w14:paraId="020F080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szCs w:val="21"/>
              </w:rPr>
            </w:pPr>
            <w:r>
              <w:rPr>
                <w:rFonts w:hint="eastAsia" w:ascii="宋体" w:hAnsi="宋体" w:eastAsia="宋体" w:cs="宋体"/>
                <w:bCs/>
                <w:szCs w:val="21"/>
              </w:rPr>
              <w:t>从事工程造价的</w:t>
            </w:r>
            <w:r>
              <w:rPr>
                <w:rFonts w:hint="eastAsia" w:ascii="宋体" w:hAnsi="宋体" w:eastAsia="宋体" w:cs="宋体"/>
                <w:bCs/>
                <w:szCs w:val="21"/>
                <w:lang w:val="en-US" w:eastAsia="zh-CN"/>
              </w:rPr>
              <w:t xml:space="preserve"> </w:t>
            </w:r>
            <w:r>
              <w:rPr>
                <w:rFonts w:hint="eastAsia" w:ascii="宋体" w:hAnsi="宋体" w:eastAsia="宋体" w:cs="宋体"/>
                <w:bCs/>
                <w:szCs w:val="21"/>
              </w:rPr>
              <w:t>人数（人）</w:t>
            </w:r>
          </w:p>
        </w:tc>
        <w:tc>
          <w:tcPr>
            <w:tcW w:w="3789" w:type="pct"/>
            <w:gridSpan w:val="8"/>
            <w:tcBorders>
              <w:top w:val="single" w:color="auto" w:sz="4" w:space="0"/>
              <w:left w:val="single" w:color="auto" w:sz="4" w:space="0"/>
              <w:bottom w:val="single" w:color="auto" w:sz="4" w:space="0"/>
              <w:right w:val="single" w:color="auto" w:sz="4" w:space="0"/>
            </w:tcBorders>
            <w:noWrap w:val="0"/>
            <w:vAlign w:val="center"/>
          </w:tcPr>
          <w:p w14:paraId="47F0DF2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szCs w:val="21"/>
              </w:rPr>
            </w:pPr>
            <w:r>
              <w:rPr>
                <w:rFonts w:hint="eastAsia" w:ascii="宋体" w:hAnsi="宋体" w:eastAsia="宋体" w:cs="宋体"/>
                <w:bCs/>
                <w:szCs w:val="21"/>
              </w:rPr>
              <w:t>其中</w:t>
            </w:r>
          </w:p>
        </w:tc>
      </w:tr>
      <w:tr w14:paraId="66781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210" w:type="pct"/>
            <w:vMerge w:val="continue"/>
            <w:tcBorders>
              <w:top w:val="single" w:color="auto" w:sz="4" w:space="0"/>
              <w:left w:val="single" w:color="auto" w:sz="4" w:space="0"/>
              <w:bottom w:val="single" w:color="auto" w:sz="4" w:space="0"/>
              <w:right w:val="single" w:color="auto" w:sz="4" w:space="0"/>
            </w:tcBorders>
            <w:noWrap w:val="0"/>
            <w:vAlign w:val="center"/>
          </w:tcPr>
          <w:p w14:paraId="25D7A1AC">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Cs/>
                <w:szCs w:val="21"/>
              </w:rPr>
            </w:pPr>
          </w:p>
        </w:tc>
        <w:tc>
          <w:tcPr>
            <w:tcW w:w="1988" w:type="pct"/>
            <w:gridSpan w:val="5"/>
            <w:tcBorders>
              <w:top w:val="single" w:color="auto" w:sz="4" w:space="0"/>
              <w:left w:val="single" w:color="auto" w:sz="4" w:space="0"/>
              <w:bottom w:val="single" w:color="auto" w:sz="4" w:space="0"/>
              <w:right w:val="single" w:color="auto" w:sz="4" w:space="0"/>
            </w:tcBorders>
            <w:noWrap w:val="0"/>
            <w:vAlign w:val="center"/>
          </w:tcPr>
          <w:p w14:paraId="2B6604C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szCs w:val="21"/>
              </w:rPr>
            </w:pPr>
            <w:r>
              <w:rPr>
                <w:rFonts w:hint="eastAsia" w:ascii="宋体" w:hAnsi="宋体" w:eastAsia="宋体" w:cs="宋体"/>
                <w:bCs/>
                <w:szCs w:val="21"/>
              </w:rPr>
              <w:t>职称等级（人）</w:t>
            </w:r>
          </w:p>
        </w:tc>
        <w:tc>
          <w:tcPr>
            <w:tcW w:w="1800" w:type="pct"/>
            <w:gridSpan w:val="3"/>
            <w:tcBorders>
              <w:top w:val="single" w:color="auto" w:sz="4" w:space="0"/>
              <w:left w:val="single" w:color="auto" w:sz="4" w:space="0"/>
              <w:bottom w:val="single" w:color="auto" w:sz="4" w:space="0"/>
              <w:right w:val="single" w:color="auto" w:sz="4" w:space="0"/>
            </w:tcBorders>
            <w:noWrap w:val="0"/>
            <w:vAlign w:val="center"/>
          </w:tcPr>
          <w:p w14:paraId="45EF6B2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szCs w:val="21"/>
              </w:rPr>
            </w:pPr>
            <w:r>
              <w:rPr>
                <w:rFonts w:hint="eastAsia" w:ascii="宋体" w:hAnsi="宋体" w:eastAsia="宋体" w:cs="宋体"/>
                <w:bCs/>
                <w:szCs w:val="21"/>
              </w:rPr>
              <w:t>执业资格（人）</w:t>
            </w:r>
          </w:p>
        </w:tc>
      </w:tr>
      <w:tr w14:paraId="4747A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210" w:type="pct"/>
            <w:vMerge w:val="continue"/>
            <w:tcBorders>
              <w:top w:val="single" w:color="auto" w:sz="4" w:space="0"/>
              <w:left w:val="single" w:color="auto" w:sz="4" w:space="0"/>
              <w:bottom w:val="single" w:color="auto" w:sz="4" w:space="0"/>
              <w:right w:val="single" w:color="auto" w:sz="4" w:space="0"/>
            </w:tcBorders>
            <w:noWrap w:val="0"/>
            <w:vAlign w:val="center"/>
          </w:tcPr>
          <w:p w14:paraId="146D593F">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Cs/>
                <w:szCs w:val="21"/>
              </w:rPr>
            </w:pPr>
          </w:p>
        </w:tc>
        <w:tc>
          <w:tcPr>
            <w:tcW w:w="497" w:type="pct"/>
            <w:tcBorders>
              <w:top w:val="single" w:color="auto" w:sz="4" w:space="0"/>
              <w:left w:val="single" w:color="auto" w:sz="4" w:space="0"/>
              <w:bottom w:val="single" w:color="auto" w:sz="4" w:space="0"/>
              <w:right w:val="single" w:color="auto" w:sz="4" w:space="0"/>
            </w:tcBorders>
            <w:noWrap w:val="0"/>
            <w:vAlign w:val="center"/>
          </w:tcPr>
          <w:p w14:paraId="48A96D6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szCs w:val="21"/>
              </w:rPr>
            </w:pPr>
            <w:r>
              <w:rPr>
                <w:rFonts w:hint="eastAsia" w:ascii="宋体" w:hAnsi="宋体" w:eastAsia="宋体" w:cs="宋体"/>
                <w:bCs/>
                <w:szCs w:val="21"/>
              </w:rPr>
              <w:t>高级</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73EC30E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szCs w:val="21"/>
              </w:rPr>
            </w:pPr>
            <w:r>
              <w:rPr>
                <w:rFonts w:hint="eastAsia" w:ascii="宋体" w:hAnsi="宋体" w:eastAsia="宋体" w:cs="宋体"/>
                <w:bCs/>
                <w:szCs w:val="21"/>
              </w:rPr>
              <w:t>中级</w:t>
            </w:r>
          </w:p>
        </w:tc>
        <w:tc>
          <w:tcPr>
            <w:tcW w:w="491" w:type="pct"/>
            <w:tcBorders>
              <w:top w:val="single" w:color="auto" w:sz="4" w:space="0"/>
              <w:left w:val="single" w:color="auto" w:sz="4" w:space="0"/>
              <w:bottom w:val="single" w:color="auto" w:sz="4" w:space="0"/>
              <w:right w:val="single" w:color="auto" w:sz="4" w:space="0"/>
            </w:tcBorders>
            <w:noWrap w:val="0"/>
            <w:vAlign w:val="center"/>
          </w:tcPr>
          <w:p w14:paraId="42DEB90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szCs w:val="21"/>
              </w:rPr>
            </w:pPr>
            <w:r>
              <w:rPr>
                <w:rFonts w:hint="eastAsia" w:ascii="宋体" w:hAnsi="宋体" w:eastAsia="宋体" w:cs="宋体"/>
                <w:bCs/>
                <w:szCs w:val="21"/>
              </w:rPr>
              <w:t>初级</w:t>
            </w:r>
          </w:p>
        </w:tc>
        <w:tc>
          <w:tcPr>
            <w:tcW w:w="502" w:type="pct"/>
            <w:gridSpan w:val="2"/>
            <w:tcBorders>
              <w:top w:val="single" w:color="auto" w:sz="4" w:space="0"/>
              <w:left w:val="single" w:color="auto" w:sz="4" w:space="0"/>
              <w:bottom w:val="single" w:color="auto" w:sz="4" w:space="0"/>
              <w:right w:val="single" w:color="auto" w:sz="4" w:space="0"/>
            </w:tcBorders>
            <w:noWrap w:val="0"/>
            <w:vAlign w:val="center"/>
          </w:tcPr>
          <w:p w14:paraId="33FE5B5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szCs w:val="21"/>
              </w:rPr>
            </w:pPr>
            <w:r>
              <w:rPr>
                <w:rFonts w:hint="eastAsia" w:ascii="宋体" w:hAnsi="宋体" w:eastAsia="宋体" w:cs="宋体"/>
                <w:bCs/>
                <w:szCs w:val="21"/>
              </w:rPr>
              <w:t>合计</w:t>
            </w:r>
          </w:p>
        </w:tc>
        <w:tc>
          <w:tcPr>
            <w:tcW w:w="1800" w:type="pct"/>
            <w:gridSpan w:val="3"/>
            <w:tcBorders>
              <w:top w:val="single" w:color="auto" w:sz="4" w:space="0"/>
              <w:left w:val="single" w:color="auto" w:sz="4" w:space="0"/>
              <w:bottom w:val="single" w:color="auto" w:sz="4" w:space="0"/>
              <w:right w:val="single" w:color="auto" w:sz="4" w:space="0"/>
            </w:tcBorders>
            <w:noWrap w:val="0"/>
            <w:vAlign w:val="center"/>
          </w:tcPr>
          <w:p w14:paraId="5C9BCB3C">
            <w:pPr>
              <w:keepNext w:val="0"/>
              <w:keepLines w:val="0"/>
              <w:pageBreakBefore w:val="0"/>
              <w:kinsoku/>
              <w:wordWrap/>
              <w:overflowPunct/>
              <w:topLinePunct w:val="0"/>
              <w:autoSpaceDE/>
              <w:autoSpaceDN/>
              <w:bidi w:val="0"/>
              <w:adjustRightInd/>
              <w:snapToGrid/>
              <w:spacing w:line="240" w:lineRule="auto"/>
              <w:ind w:firstLine="240" w:firstLineChars="100"/>
              <w:rPr>
                <w:rFonts w:hint="eastAsia" w:ascii="宋体" w:hAnsi="宋体" w:eastAsia="宋体" w:cs="宋体"/>
                <w:bCs/>
                <w:color w:val="FF0000"/>
                <w:szCs w:val="21"/>
              </w:rPr>
            </w:pPr>
            <w:r>
              <w:rPr>
                <w:rFonts w:hint="eastAsia" w:ascii="宋体" w:hAnsi="宋体" w:eastAsia="宋体" w:cs="宋体"/>
                <w:b w:val="0"/>
                <w:bCs w:val="0"/>
                <w:color w:val="auto"/>
                <w:sz w:val="24"/>
              </w:rPr>
              <w:t>本项目相关注册类证书</w:t>
            </w:r>
          </w:p>
        </w:tc>
      </w:tr>
      <w:tr w14:paraId="36C0C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210" w:type="pct"/>
            <w:vMerge w:val="continue"/>
            <w:tcBorders>
              <w:top w:val="single" w:color="auto" w:sz="4" w:space="0"/>
              <w:left w:val="single" w:color="auto" w:sz="4" w:space="0"/>
              <w:bottom w:val="single" w:color="auto" w:sz="4" w:space="0"/>
              <w:right w:val="single" w:color="auto" w:sz="4" w:space="0"/>
            </w:tcBorders>
            <w:noWrap w:val="0"/>
            <w:vAlign w:val="center"/>
          </w:tcPr>
          <w:p w14:paraId="592EDF15">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Cs/>
                <w:szCs w:val="21"/>
              </w:rPr>
            </w:pPr>
          </w:p>
        </w:tc>
        <w:tc>
          <w:tcPr>
            <w:tcW w:w="497" w:type="pct"/>
            <w:tcBorders>
              <w:top w:val="single" w:color="auto" w:sz="4" w:space="0"/>
              <w:left w:val="single" w:color="auto" w:sz="4" w:space="0"/>
              <w:bottom w:val="single" w:color="auto" w:sz="4" w:space="0"/>
              <w:right w:val="single" w:color="auto" w:sz="4" w:space="0"/>
            </w:tcBorders>
            <w:noWrap w:val="0"/>
            <w:vAlign w:val="center"/>
          </w:tcPr>
          <w:p w14:paraId="2781126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szCs w:val="21"/>
              </w:rPr>
            </w:pPr>
          </w:p>
        </w:tc>
        <w:tc>
          <w:tcPr>
            <w:tcW w:w="497" w:type="pct"/>
            <w:tcBorders>
              <w:top w:val="single" w:color="auto" w:sz="4" w:space="0"/>
              <w:left w:val="single" w:color="auto" w:sz="4" w:space="0"/>
              <w:bottom w:val="single" w:color="auto" w:sz="4" w:space="0"/>
              <w:right w:val="single" w:color="auto" w:sz="4" w:space="0"/>
            </w:tcBorders>
            <w:noWrap w:val="0"/>
            <w:vAlign w:val="center"/>
          </w:tcPr>
          <w:p w14:paraId="7D4E79F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szCs w:val="21"/>
              </w:rPr>
            </w:pPr>
          </w:p>
        </w:tc>
        <w:tc>
          <w:tcPr>
            <w:tcW w:w="491" w:type="pct"/>
            <w:tcBorders>
              <w:top w:val="single" w:color="auto" w:sz="4" w:space="0"/>
              <w:left w:val="single" w:color="auto" w:sz="4" w:space="0"/>
              <w:bottom w:val="single" w:color="auto" w:sz="4" w:space="0"/>
              <w:right w:val="single" w:color="auto" w:sz="4" w:space="0"/>
            </w:tcBorders>
            <w:noWrap w:val="0"/>
            <w:vAlign w:val="center"/>
          </w:tcPr>
          <w:p w14:paraId="3C39217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szCs w:val="21"/>
              </w:rPr>
            </w:pPr>
          </w:p>
        </w:tc>
        <w:tc>
          <w:tcPr>
            <w:tcW w:w="502" w:type="pct"/>
            <w:gridSpan w:val="2"/>
            <w:tcBorders>
              <w:top w:val="single" w:color="auto" w:sz="4" w:space="0"/>
              <w:left w:val="single" w:color="auto" w:sz="4" w:space="0"/>
              <w:bottom w:val="single" w:color="auto" w:sz="4" w:space="0"/>
              <w:right w:val="single" w:color="auto" w:sz="4" w:space="0"/>
            </w:tcBorders>
            <w:noWrap w:val="0"/>
            <w:vAlign w:val="center"/>
          </w:tcPr>
          <w:p w14:paraId="6A96C7A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szCs w:val="21"/>
              </w:rPr>
            </w:pPr>
          </w:p>
        </w:tc>
        <w:tc>
          <w:tcPr>
            <w:tcW w:w="1800" w:type="pct"/>
            <w:gridSpan w:val="3"/>
            <w:tcBorders>
              <w:top w:val="single" w:color="auto" w:sz="4" w:space="0"/>
              <w:left w:val="single" w:color="auto" w:sz="4" w:space="0"/>
              <w:bottom w:val="single" w:color="auto" w:sz="4" w:space="0"/>
              <w:right w:val="single" w:color="auto" w:sz="4" w:space="0"/>
            </w:tcBorders>
            <w:noWrap w:val="0"/>
            <w:vAlign w:val="center"/>
          </w:tcPr>
          <w:p w14:paraId="0E87582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szCs w:val="21"/>
              </w:rPr>
            </w:pPr>
          </w:p>
        </w:tc>
      </w:tr>
      <w:tr w14:paraId="380F5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210" w:type="pct"/>
            <w:vMerge w:val="restart"/>
            <w:tcBorders>
              <w:top w:val="single" w:color="auto" w:sz="4" w:space="0"/>
              <w:left w:val="single" w:color="auto" w:sz="4" w:space="0"/>
              <w:bottom w:val="single" w:color="auto" w:sz="4" w:space="0"/>
              <w:right w:val="single" w:color="auto" w:sz="4" w:space="0"/>
            </w:tcBorders>
            <w:noWrap w:val="0"/>
            <w:vAlign w:val="center"/>
          </w:tcPr>
          <w:p w14:paraId="72EE675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szCs w:val="21"/>
              </w:rPr>
            </w:pPr>
            <w:r>
              <w:rPr>
                <w:rFonts w:hint="eastAsia" w:ascii="宋体" w:hAnsi="宋体" w:eastAsia="宋体" w:cs="宋体"/>
                <w:bCs/>
                <w:szCs w:val="21"/>
              </w:rPr>
              <w:t>近三年承接工程造价业务量及业务收入</w:t>
            </w:r>
          </w:p>
        </w:tc>
        <w:tc>
          <w:tcPr>
            <w:tcW w:w="994" w:type="pct"/>
            <w:gridSpan w:val="2"/>
            <w:tcBorders>
              <w:top w:val="single" w:color="auto" w:sz="4" w:space="0"/>
              <w:left w:val="single" w:color="auto" w:sz="4" w:space="0"/>
              <w:bottom w:val="single" w:color="auto" w:sz="4" w:space="0"/>
              <w:right w:val="single" w:color="auto" w:sz="4" w:space="0"/>
            </w:tcBorders>
            <w:noWrap w:val="0"/>
            <w:vAlign w:val="center"/>
          </w:tcPr>
          <w:p w14:paraId="75BD3F8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szCs w:val="21"/>
              </w:rPr>
            </w:pPr>
            <w:r>
              <w:rPr>
                <w:rFonts w:hint="eastAsia" w:ascii="宋体" w:hAnsi="宋体" w:eastAsia="宋体" w:cs="宋体"/>
                <w:bCs/>
                <w:szCs w:val="21"/>
              </w:rPr>
              <w:t>年份</w:t>
            </w:r>
          </w:p>
        </w:tc>
        <w:tc>
          <w:tcPr>
            <w:tcW w:w="994" w:type="pct"/>
            <w:gridSpan w:val="3"/>
            <w:tcBorders>
              <w:top w:val="single" w:color="auto" w:sz="4" w:space="0"/>
              <w:left w:val="single" w:color="auto" w:sz="4" w:space="0"/>
              <w:bottom w:val="single" w:color="auto" w:sz="4" w:space="0"/>
              <w:right w:val="single" w:color="auto" w:sz="4" w:space="0"/>
            </w:tcBorders>
            <w:noWrap w:val="0"/>
            <w:vAlign w:val="center"/>
          </w:tcPr>
          <w:p w14:paraId="390B822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szCs w:val="21"/>
              </w:rPr>
            </w:pPr>
            <w:r>
              <w:rPr>
                <w:rFonts w:hint="eastAsia" w:ascii="宋体" w:hAnsi="宋体" w:eastAsia="宋体" w:cs="宋体"/>
                <w:bCs/>
                <w:szCs w:val="21"/>
                <w:lang w:eastAsia="zh-CN"/>
              </w:rPr>
              <w:t>以承接工程造价业务总金额</w:t>
            </w:r>
            <w:r>
              <w:rPr>
                <w:rFonts w:hint="eastAsia" w:ascii="宋体" w:hAnsi="宋体" w:eastAsia="宋体" w:cs="宋体"/>
                <w:bCs/>
                <w:szCs w:val="21"/>
              </w:rPr>
              <w:t>（亿元）</w:t>
            </w:r>
          </w:p>
        </w:tc>
        <w:tc>
          <w:tcPr>
            <w:tcW w:w="852" w:type="pct"/>
            <w:gridSpan w:val="2"/>
            <w:tcBorders>
              <w:top w:val="single" w:color="auto" w:sz="4" w:space="0"/>
              <w:left w:val="single" w:color="auto" w:sz="4" w:space="0"/>
              <w:bottom w:val="single" w:color="auto" w:sz="4" w:space="0"/>
              <w:right w:val="single" w:color="auto" w:sz="4" w:space="0"/>
            </w:tcBorders>
            <w:noWrap w:val="0"/>
            <w:vAlign w:val="center"/>
          </w:tcPr>
          <w:p w14:paraId="17CFE04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szCs w:val="21"/>
              </w:rPr>
            </w:pPr>
            <w:r>
              <w:rPr>
                <w:rFonts w:hint="eastAsia" w:ascii="宋体" w:hAnsi="宋体" w:eastAsia="宋体" w:cs="宋体"/>
                <w:bCs/>
                <w:szCs w:val="21"/>
              </w:rPr>
              <w:t>业务收入</w:t>
            </w:r>
          </w:p>
          <w:p w14:paraId="73D8BE6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szCs w:val="21"/>
              </w:rPr>
            </w:pPr>
            <w:r>
              <w:rPr>
                <w:rFonts w:hint="eastAsia" w:ascii="宋体" w:hAnsi="宋体" w:eastAsia="宋体" w:cs="宋体"/>
                <w:bCs/>
                <w:szCs w:val="21"/>
              </w:rPr>
              <w:t>（万元）</w:t>
            </w:r>
          </w:p>
        </w:tc>
        <w:tc>
          <w:tcPr>
            <w:tcW w:w="948" w:type="pct"/>
            <w:tcBorders>
              <w:top w:val="single" w:color="auto" w:sz="4" w:space="0"/>
              <w:left w:val="single" w:color="auto" w:sz="4" w:space="0"/>
              <w:bottom w:val="single" w:color="auto" w:sz="4" w:space="0"/>
              <w:right w:val="single" w:color="auto" w:sz="4" w:space="0"/>
            </w:tcBorders>
            <w:noWrap w:val="0"/>
            <w:vAlign w:val="center"/>
          </w:tcPr>
          <w:p w14:paraId="53DFB95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szCs w:val="21"/>
              </w:rPr>
            </w:pPr>
            <w:r>
              <w:rPr>
                <w:rFonts w:hint="eastAsia" w:ascii="宋体" w:hAnsi="宋体" w:eastAsia="宋体" w:cs="宋体"/>
                <w:bCs/>
                <w:szCs w:val="21"/>
              </w:rPr>
              <w:t>纳税金额</w:t>
            </w:r>
          </w:p>
          <w:p w14:paraId="57EE11E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szCs w:val="21"/>
              </w:rPr>
            </w:pPr>
            <w:r>
              <w:rPr>
                <w:rFonts w:hint="eastAsia" w:ascii="宋体" w:hAnsi="宋体" w:eastAsia="宋体" w:cs="宋体"/>
                <w:bCs/>
                <w:szCs w:val="21"/>
              </w:rPr>
              <w:t>（万元）</w:t>
            </w:r>
          </w:p>
        </w:tc>
      </w:tr>
      <w:tr w14:paraId="22651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210" w:type="pct"/>
            <w:vMerge w:val="continue"/>
            <w:tcBorders>
              <w:top w:val="single" w:color="auto" w:sz="4" w:space="0"/>
              <w:left w:val="single" w:color="auto" w:sz="4" w:space="0"/>
              <w:bottom w:val="single" w:color="auto" w:sz="4" w:space="0"/>
              <w:right w:val="single" w:color="auto" w:sz="4" w:space="0"/>
            </w:tcBorders>
            <w:noWrap w:val="0"/>
            <w:vAlign w:val="center"/>
          </w:tcPr>
          <w:p w14:paraId="677A1B4A">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Cs/>
                <w:szCs w:val="21"/>
              </w:rPr>
            </w:pPr>
          </w:p>
        </w:tc>
        <w:tc>
          <w:tcPr>
            <w:tcW w:w="994" w:type="pct"/>
            <w:gridSpan w:val="2"/>
            <w:tcBorders>
              <w:top w:val="single" w:color="auto" w:sz="4" w:space="0"/>
              <w:left w:val="single" w:color="auto" w:sz="4" w:space="0"/>
              <w:bottom w:val="single" w:color="auto" w:sz="4" w:space="0"/>
              <w:right w:val="single" w:color="auto" w:sz="4" w:space="0"/>
            </w:tcBorders>
            <w:noWrap w:val="0"/>
            <w:vAlign w:val="center"/>
          </w:tcPr>
          <w:p w14:paraId="3B72A3E6">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202</w:t>
            </w:r>
            <w:r>
              <w:rPr>
                <w:rFonts w:hint="eastAsia" w:ascii="宋体" w:hAnsi="宋体" w:cs="宋体"/>
                <w:bCs/>
                <w:szCs w:val="21"/>
                <w:lang w:val="en-US" w:eastAsia="zh-CN"/>
              </w:rPr>
              <w:t>4</w:t>
            </w:r>
          </w:p>
        </w:tc>
        <w:tc>
          <w:tcPr>
            <w:tcW w:w="994" w:type="pct"/>
            <w:gridSpan w:val="3"/>
            <w:tcBorders>
              <w:top w:val="single" w:color="auto" w:sz="4" w:space="0"/>
              <w:left w:val="single" w:color="auto" w:sz="4" w:space="0"/>
              <w:bottom w:val="single" w:color="auto" w:sz="4" w:space="0"/>
              <w:right w:val="single" w:color="auto" w:sz="4" w:space="0"/>
            </w:tcBorders>
            <w:noWrap w:val="0"/>
            <w:vAlign w:val="center"/>
          </w:tcPr>
          <w:p w14:paraId="4391CAB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szCs w:val="21"/>
              </w:rPr>
            </w:pPr>
          </w:p>
        </w:tc>
        <w:tc>
          <w:tcPr>
            <w:tcW w:w="852" w:type="pct"/>
            <w:gridSpan w:val="2"/>
            <w:tcBorders>
              <w:top w:val="single" w:color="auto" w:sz="4" w:space="0"/>
              <w:left w:val="single" w:color="auto" w:sz="4" w:space="0"/>
              <w:bottom w:val="single" w:color="auto" w:sz="4" w:space="0"/>
              <w:right w:val="single" w:color="auto" w:sz="4" w:space="0"/>
            </w:tcBorders>
            <w:noWrap w:val="0"/>
            <w:vAlign w:val="center"/>
          </w:tcPr>
          <w:p w14:paraId="745FAC5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szCs w:val="21"/>
              </w:rPr>
            </w:pPr>
          </w:p>
        </w:tc>
        <w:tc>
          <w:tcPr>
            <w:tcW w:w="948" w:type="pct"/>
            <w:tcBorders>
              <w:top w:val="single" w:color="auto" w:sz="4" w:space="0"/>
              <w:left w:val="single" w:color="auto" w:sz="4" w:space="0"/>
              <w:bottom w:val="single" w:color="auto" w:sz="4" w:space="0"/>
              <w:right w:val="single" w:color="auto" w:sz="4" w:space="0"/>
            </w:tcBorders>
            <w:noWrap w:val="0"/>
            <w:vAlign w:val="center"/>
          </w:tcPr>
          <w:p w14:paraId="1622725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szCs w:val="21"/>
              </w:rPr>
            </w:pPr>
          </w:p>
        </w:tc>
      </w:tr>
      <w:tr w14:paraId="0A480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210" w:type="pct"/>
            <w:vMerge w:val="continue"/>
            <w:tcBorders>
              <w:top w:val="single" w:color="auto" w:sz="4" w:space="0"/>
              <w:left w:val="single" w:color="auto" w:sz="4" w:space="0"/>
              <w:bottom w:val="single" w:color="auto" w:sz="4" w:space="0"/>
              <w:right w:val="single" w:color="auto" w:sz="4" w:space="0"/>
            </w:tcBorders>
            <w:noWrap w:val="0"/>
            <w:vAlign w:val="center"/>
          </w:tcPr>
          <w:p w14:paraId="62FC4788">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Cs/>
                <w:szCs w:val="21"/>
              </w:rPr>
            </w:pPr>
          </w:p>
        </w:tc>
        <w:tc>
          <w:tcPr>
            <w:tcW w:w="994" w:type="pct"/>
            <w:gridSpan w:val="2"/>
            <w:tcBorders>
              <w:top w:val="single" w:color="auto" w:sz="4" w:space="0"/>
              <w:left w:val="single" w:color="auto" w:sz="4" w:space="0"/>
              <w:bottom w:val="single" w:color="auto" w:sz="4" w:space="0"/>
              <w:right w:val="single" w:color="auto" w:sz="4" w:space="0"/>
            </w:tcBorders>
            <w:noWrap w:val="0"/>
            <w:vAlign w:val="center"/>
          </w:tcPr>
          <w:p w14:paraId="17C639BB">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20</w:t>
            </w:r>
            <w:r>
              <w:rPr>
                <w:rFonts w:hint="eastAsia" w:ascii="宋体" w:hAnsi="宋体" w:cs="宋体"/>
                <w:bCs/>
                <w:szCs w:val="21"/>
                <w:lang w:val="en-US" w:eastAsia="zh-CN"/>
              </w:rPr>
              <w:t>23</w:t>
            </w:r>
          </w:p>
        </w:tc>
        <w:tc>
          <w:tcPr>
            <w:tcW w:w="994" w:type="pct"/>
            <w:gridSpan w:val="3"/>
            <w:tcBorders>
              <w:top w:val="single" w:color="auto" w:sz="4" w:space="0"/>
              <w:left w:val="single" w:color="auto" w:sz="4" w:space="0"/>
              <w:bottom w:val="single" w:color="auto" w:sz="4" w:space="0"/>
              <w:right w:val="single" w:color="auto" w:sz="4" w:space="0"/>
            </w:tcBorders>
            <w:noWrap w:val="0"/>
            <w:vAlign w:val="center"/>
          </w:tcPr>
          <w:p w14:paraId="085440F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szCs w:val="21"/>
              </w:rPr>
            </w:pPr>
          </w:p>
        </w:tc>
        <w:tc>
          <w:tcPr>
            <w:tcW w:w="852" w:type="pct"/>
            <w:gridSpan w:val="2"/>
            <w:tcBorders>
              <w:top w:val="single" w:color="auto" w:sz="4" w:space="0"/>
              <w:left w:val="single" w:color="auto" w:sz="4" w:space="0"/>
              <w:bottom w:val="single" w:color="auto" w:sz="4" w:space="0"/>
              <w:right w:val="single" w:color="auto" w:sz="4" w:space="0"/>
            </w:tcBorders>
            <w:noWrap w:val="0"/>
            <w:vAlign w:val="center"/>
          </w:tcPr>
          <w:p w14:paraId="6FA7339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szCs w:val="21"/>
              </w:rPr>
            </w:pPr>
          </w:p>
        </w:tc>
        <w:tc>
          <w:tcPr>
            <w:tcW w:w="948" w:type="pct"/>
            <w:tcBorders>
              <w:top w:val="single" w:color="auto" w:sz="4" w:space="0"/>
              <w:left w:val="single" w:color="auto" w:sz="4" w:space="0"/>
              <w:bottom w:val="single" w:color="auto" w:sz="4" w:space="0"/>
              <w:right w:val="single" w:color="auto" w:sz="4" w:space="0"/>
            </w:tcBorders>
            <w:noWrap w:val="0"/>
            <w:vAlign w:val="center"/>
          </w:tcPr>
          <w:p w14:paraId="7CBF0C0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szCs w:val="21"/>
              </w:rPr>
            </w:pPr>
          </w:p>
        </w:tc>
      </w:tr>
      <w:tr w14:paraId="5E022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210" w:type="pct"/>
            <w:vMerge w:val="continue"/>
            <w:tcBorders>
              <w:top w:val="single" w:color="auto" w:sz="4" w:space="0"/>
              <w:left w:val="single" w:color="auto" w:sz="4" w:space="0"/>
              <w:bottom w:val="single" w:color="auto" w:sz="4" w:space="0"/>
              <w:right w:val="single" w:color="auto" w:sz="4" w:space="0"/>
            </w:tcBorders>
            <w:noWrap w:val="0"/>
            <w:vAlign w:val="center"/>
          </w:tcPr>
          <w:p w14:paraId="0FE1968D">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Cs/>
                <w:szCs w:val="21"/>
              </w:rPr>
            </w:pPr>
          </w:p>
        </w:tc>
        <w:tc>
          <w:tcPr>
            <w:tcW w:w="994" w:type="pct"/>
            <w:gridSpan w:val="2"/>
            <w:tcBorders>
              <w:top w:val="single" w:color="auto" w:sz="4" w:space="0"/>
              <w:left w:val="single" w:color="auto" w:sz="4" w:space="0"/>
              <w:bottom w:val="single" w:color="auto" w:sz="4" w:space="0"/>
              <w:right w:val="single" w:color="auto" w:sz="4" w:space="0"/>
            </w:tcBorders>
            <w:noWrap w:val="0"/>
            <w:vAlign w:val="center"/>
          </w:tcPr>
          <w:p w14:paraId="00032B59">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202</w:t>
            </w:r>
            <w:r>
              <w:rPr>
                <w:rFonts w:hint="eastAsia" w:ascii="宋体" w:hAnsi="宋体" w:cs="宋体"/>
                <w:bCs/>
                <w:szCs w:val="21"/>
                <w:lang w:val="en-US" w:eastAsia="zh-CN"/>
              </w:rPr>
              <w:t>2</w:t>
            </w:r>
          </w:p>
        </w:tc>
        <w:tc>
          <w:tcPr>
            <w:tcW w:w="994" w:type="pct"/>
            <w:gridSpan w:val="3"/>
            <w:tcBorders>
              <w:top w:val="single" w:color="auto" w:sz="4" w:space="0"/>
              <w:left w:val="single" w:color="auto" w:sz="4" w:space="0"/>
              <w:bottom w:val="single" w:color="auto" w:sz="4" w:space="0"/>
              <w:right w:val="single" w:color="auto" w:sz="4" w:space="0"/>
            </w:tcBorders>
            <w:noWrap w:val="0"/>
            <w:vAlign w:val="center"/>
          </w:tcPr>
          <w:p w14:paraId="6A87C4D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szCs w:val="21"/>
              </w:rPr>
            </w:pPr>
          </w:p>
        </w:tc>
        <w:tc>
          <w:tcPr>
            <w:tcW w:w="852" w:type="pct"/>
            <w:gridSpan w:val="2"/>
            <w:tcBorders>
              <w:top w:val="single" w:color="auto" w:sz="4" w:space="0"/>
              <w:left w:val="single" w:color="auto" w:sz="4" w:space="0"/>
              <w:bottom w:val="single" w:color="auto" w:sz="4" w:space="0"/>
              <w:right w:val="single" w:color="auto" w:sz="4" w:space="0"/>
            </w:tcBorders>
            <w:noWrap w:val="0"/>
            <w:vAlign w:val="center"/>
          </w:tcPr>
          <w:p w14:paraId="7EE6CC0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szCs w:val="21"/>
              </w:rPr>
            </w:pPr>
          </w:p>
        </w:tc>
        <w:tc>
          <w:tcPr>
            <w:tcW w:w="948" w:type="pct"/>
            <w:tcBorders>
              <w:top w:val="single" w:color="auto" w:sz="4" w:space="0"/>
              <w:left w:val="single" w:color="auto" w:sz="4" w:space="0"/>
              <w:bottom w:val="single" w:color="auto" w:sz="4" w:space="0"/>
              <w:right w:val="single" w:color="auto" w:sz="4" w:space="0"/>
            </w:tcBorders>
            <w:noWrap w:val="0"/>
            <w:vAlign w:val="center"/>
          </w:tcPr>
          <w:p w14:paraId="41AED03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szCs w:val="21"/>
              </w:rPr>
            </w:pPr>
          </w:p>
        </w:tc>
      </w:tr>
      <w:tr w14:paraId="5AC0C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1210" w:type="pct"/>
            <w:tcBorders>
              <w:top w:val="single" w:color="auto" w:sz="4" w:space="0"/>
              <w:left w:val="single" w:color="auto" w:sz="4" w:space="0"/>
              <w:bottom w:val="single" w:color="auto" w:sz="4" w:space="0"/>
              <w:right w:val="single" w:color="auto" w:sz="4" w:space="0"/>
            </w:tcBorders>
            <w:noWrap w:val="0"/>
            <w:vAlign w:val="center"/>
          </w:tcPr>
          <w:p w14:paraId="00B26B2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szCs w:val="21"/>
              </w:rPr>
            </w:pPr>
            <w:r>
              <w:rPr>
                <w:rFonts w:hint="eastAsia" w:ascii="宋体" w:hAnsi="宋体" w:eastAsia="宋体" w:cs="宋体"/>
                <w:bCs/>
                <w:szCs w:val="21"/>
              </w:rPr>
              <w:t>其他有竞争力的说明</w:t>
            </w:r>
          </w:p>
        </w:tc>
        <w:tc>
          <w:tcPr>
            <w:tcW w:w="3789" w:type="pct"/>
            <w:gridSpan w:val="8"/>
            <w:tcBorders>
              <w:top w:val="single" w:color="auto" w:sz="4" w:space="0"/>
              <w:left w:val="single" w:color="auto" w:sz="4" w:space="0"/>
              <w:bottom w:val="single" w:color="auto" w:sz="4" w:space="0"/>
              <w:right w:val="single" w:color="auto" w:sz="4" w:space="0"/>
            </w:tcBorders>
            <w:noWrap w:val="0"/>
            <w:vAlign w:val="center"/>
          </w:tcPr>
          <w:p w14:paraId="33501EF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szCs w:val="21"/>
              </w:rPr>
            </w:pPr>
          </w:p>
        </w:tc>
      </w:tr>
    </w:tbl>
    <w:p w14:paraId="0A0597A2">
      <w:pPr>
        <w:keepNext w:val="0"/>
        <w:keepLines w:val="0"/>
        <w:pageBreakBefore w:val="0"/>
        <w:widowControl/>
        <w:numPr>
          <w:ilvl w:val="0"/>
          <w:numId w:val="0"/>
        </w:numPr>
        <w:tabs>
          <w:tab w:val="left" w:pos="450"/>
        </w:tabs>
        <w:kinsoku w:val="0"/>
        <w:wordWrap/>
        <w:overflowPunct/>
        <w:topLinePunct w:val="0"/>
        <w:autoSpaceDE w:val="0"/>
        <w:autoSpaceDN w:val="0"/>
        <w:bidi w:val="0"/>
        <w:adjustRightInd w:val="0"/>
        <w:snapToGrid w:val="0"/>
        <w:spacing w:line="360" w:lineRule="auto"/>
        <w:ind w:right="0" w:rightChars="0"/>
        <w:jc w:val="both"/>
        <w:rPr>
          <w:rFonts w:hint="default" w:ascii="宋体" w:hAnsi="宋体" w:eastAsia="Arial" w:cs="宋体"/>
          <w:b/>
          <w:bCs/>
          <w:color w:val="auto"/>
          <w:kern w:val="2"/>
          <w:sz w:val="24"/>
          <w:szCs w:val="24"/>
          <w:lang w:val="en-US" w:eastAsia="zh-CN" w:bidi="ar-SA"/>
        </w:rPr>
      </w:pPr>
      <w:r>
        <w:rPr>
          <w:rFonts w:hint="eastAsia" w:ascii="宋体" w:hAnsi="宋体" w:eastAsia="Arial" w:cs="宋体"/>
          <w:b/>
          <w:bCs/>
          <w:color w:val="auto"/>
          <w:kern w:val="2"/>
          <w:sz w:val="24"/>
          <w:szCs w:val="24"/>
          <w:lang w:val="en-US" w:eastAsia="zh-CN" w:bidi="ar-SA"/>
        </w:rPr>
        <w:t>后附：</w:t>
      </w:r>
    </w:p>
    <w:p w14:paraId="19D6728C">
      <w:pPr>
        <w:keepNext w:val="0"/>
        <w:keepLines w:val="0"/>
        <w:pageBreakBefore w:val="0"/>
        <w:widowControl/>
        <w:numPr>
          <w:ilvl w:val="0"/>
          <w:numId w:val="6"/>
        </w:numPr>
        <w:tabs>
          <w:tab w:val="left" w:pos="450"/>
        </w:tabs>
        <w:kinsoku w:val="0"/>
        <w:wordWrap/>
        <w:overflowPunct/>
        <w:topLinePunct w:val="0"/>
        <w:autoSpaceDE w:val="0"/>
        <w:autoSpaceDN w:val="0"/>
        <w:bidi w:val="0"/>
        <w:adjustRightInd w:val="0"/>
        <w:snapToGrid w:val="0"/>
        <w:spacing w:line="360" w:lineRule="auto"/>
        <w:ind w:right="0" w:rightChars="0"/>
        <w:jc w:val="both"/>
        <w:rPr>
          <w:rFonts w:hint="eastAsia" w:ascii="宋体" w:hAnsi="宋体" w:eastAsia="Arial" w:cs="宋体"/>
          <w:b/>
          <w:bCs/>
          <w:color w:val="auto"/>
          <w:kern w:val="2"/>
          <w:sz w:val="24"/>
          <w:szCs w:val="24"/>
          <w:lang w:val="en-US" w:eastAsia="zh-CN" w:bidi="ar-SA"/>
        </w:rPr>
      </w:pPr>
      <w:r>
        <w:rPr>
          <w:rFonts w:hint="eastAsia" w:ascii="宋体" w:hAnsi="宋体" w:eastAsia="Arial" w:cs="宋体"/>
          <w:b/>
          <w:bCs/>
          <w:color w:val="auto"/>
          <w:kern w:val="2"/>
          <w:sz w:val="24"/>
          <w:szCs w:val="24"/>
          <w:lang w:val="en-US" w:eastAsia="zh-CN" w:bidi="ar-SA"/>
        </w:rPr>
        <w:t>营业执照副本原件扫描件并加盖投标企业公章</w:t>
      </w:r>
    </w:p>
    <w:p w14:paraId="787DBE70">
      <w:pPr>
        <w:keepNext w:val="0"/>
        <w:keepLines w:val="0"/>
        <w:pageBreakBefore w:val="0"/>
        <w:widowControl/>
        <w:numPr>
          <w:ilvl w:val="0"/>
          <w:numId w:val="6"/>
        </w:numPr>
        <w:tabs>
          <w:tab w:val="left" w:pos="450"/>
        </w:tabs>
        <w:kinsoku w:val="0"/>
        <w:wordWrap/>
        <w:overflowPunct/>
        <w:topLinePunct w:val="0"/>
        <w:autoSpaceDE w:val="0"/>
        <w:autoSpaceDN w:val="0"/>
        <w:bidi w:val="0"/>
        <w:adjustRightInd w:val="0"/>
        <w:snapToGrid w:val="0"/>
        <w:spacing w:line="360" w:lineRule="auto"/>
        <w:ind w:right="0" w:rightChars="0"/>
        <w:jc w:val="both"/>
        <w:rPr>
          <w:rFonts w:hint="eastAsia" w:ascii="宋体" w:hAnsi="宋体" w:eastAsia="Arial" w:cs="宋体"/>
          <w:b/>
          <w:bCs/>
          <w:color w:val="auto"/>
          <w:kern w:val="2"/>
          <w:sz w:val="24"/>
          <w:szCs w:val="24"/>
          <w:lang w:val="en-US" w:eastAsia="zh-CN" w:bidi="ar-SA"/>
        </w:rPr>
      </w:pPr>
      <w:r>
        <w:rPr>
          <w:rFonts w:hint="eastAsia" w:ascii="宋体" w:hAnsi="宋体" w:eastAsia="Arial" w:cs="宋体"/>
          <w:b/>
          <w:bCs/>
          <w:color w:val="auto"/>
          <w:kern w:val="2"/>
          <w:sz w:val="24"/>
          <w:szCs w:val="24"/>
          <w:lang w:val="en-US" w:eastAsia="zh-CN" w:bidi="ar-SA"/>
        </w:rPr>
        <w:t>社保机构出具的投标企业缴纳参加本次采购活动近6个月内任意一个月的社会保障资金证明原件扫描件并加盖投标企业公章。</w:t>
      </w:r>
    </w:p>
    <w:p w14:paraId="7F05ADB2">
      <w:pPr>
        <w:keepNext w:val="0"/>
        <w:keepLines w:val="0"/>
        <w:pageBreakBefore w:val="0"/>
        <w:widowControl/>
        <w:numPr>
          <w:ilvl w:val="0"/>
          <w:numId w:val="6"/>
        </w:numPr>
        <w:tabs>
          <w:tab w:val="left" w:pos="450"/>
        </w:tabs>
        <w:kinsoku w:val="0"/>
        <w:wordWrap/>
        <w:overflowPunct/>
        <w:topLinePunct w:val="0"/>
        <w:autoSpaceDE w:val="0"/>
        <w:autoSpaceDN w:val="0"/>
        <w:bidi w:val="0"/>
        <w:adjustRightInd w:val="0"/>
        <w:snapToGrid w:val="0"/>
        <w:spacing w:line="360" w:lineRule="auto"/>
        <w:ind w:right="0" w:rightChars="0"/>
        <w:jc w:val="both"/>
        <w:rPr>
          <w:rFonts w:hint="eastAsia" w:ascii="宋体" w:hAnsi="宋体" w:eastAsia="Arial" w:cs="宋体"/>
          <w:b/>
          <w:bCs/>
          <w:color w:val="auto"/>
          <w:kern w:val="2"/>
          <w:sz w:val="24"/>
          <w:szCs w:val="24"/>
          <w:lang w:val="en-US" w:eastAsia="zh-CN" w:bidi="ar-SA"/>
        </w:rPr>
      </w:pPr>
      <w:r>
        <w:rPr>
          <w:rFonts w:hint="eastAsia" w:ascii="宋体" w:hAnsi="宋体" w:eastAsia="Arial" w:cs="宋体"/>
          <w:b/>
          <w:bCs/>
          <w:color w:val="auto"/>
          <w:kern w:val="2"/>
          <w:sz w:val="24"/>
          <w:szCs w:val="24"/>
          <w:lang w:val="en-US" w:eastAsia="zh-CN" w:bidi="ar-SA"/>
        </w:rPr>
        <w:t>税务机关出具的参加本次采购活动近6个月内任意一个月的投标人依法纳税凭证原件扫描件并加盖投标企业公章。</w:t>
      </w:r>
    </w:p>
    <w:p w14:paraId="3D8B9C31">
      <w:pPr>
        <w:keepNext w:val="0"/>
        <w:keepLines w:val="0"/>
        <w:pageBreakBefore w:val="0"/>
        <w:widowControl/>
        <w:numPr>
          <w:ilvl w:val="0"/>
          <w:numId w:val="6"/>
        </w:numPr>
        <w:tabs>
          <w:tab w:val="left" w:pos="450"/>
        </w:tabs>
        <w:kinsoku w:val="0"/>
        <w:wordWrap/>
        <w:overflowPunct/>
        <w:topLinePunct w:val="0"/>
        <w:autoSpaceDE w:val="0"/>
        <w:autoSpaceDN w:val="0"/>
        <w:bidi w:val="0"/>
        <w:adjustRightInd w:val="0"/>
        <w:snapToGrid w:val="0"/>
        <w:spacing w:line="360" w:lineRule="auto"/>
        <w:ind w:right="0" w:rightChars="0"/>
        <w:jc w:val="both"/>
        <w:rPr>
          <w:rFonts w:hint="eastAsia" w:ascii="宋体" w:hAnsi="宋体" w:eastAsia="Arial" w:cs="宋体"/>
          <w:b/>
          <w:bCs/>
          <w:color w:val="auto"/>
          <w:kern w:val="2"/>
          <w:sz w:val="28"/>
          <w:szCs w:val="28"/>
          <w:lang w:val="en-US" w:eastAsia="zh-CN" w:bidi="ar-SA"/>
        </w:rPr>
      </w:pPr>
      <w:r>
        <w:rPr>
          <w:rFonts w:hint="eastAsia" w:ascii="宋体" w:hAnsi="宋体" w:eastAsia="Arial" w:cs="宋体"/>
          <w:b/>
          <w:bCs/>
          <w:color w:val="auto"/>
          <w:kern w:val="2"/>
          <w:sz w:val="24"/>
          <w:szCs w:val="24"/>
          <w:lang w:val="en-US" w:eastAsia="zh-CN" w:bidi="ar-SA"/>
        </w:rPr>
        <w:t>供应商提供会计师事务所出具的2023年财务审计报告原件扫描件（成立时间至提交投标文件截止时间不足一年的可提供成立后任意时段的资产负债表），或其开标前三个月内基本存款账户开户银行出具的资信证明原件扫描件；</w:t>
      </w:r>
    </w:p>
    <w:p w14:paraId="47D33827">
      <w:pPr>
        <w:keepNext w:val="0"/>
        <w:keepLines w:val="0"/>
        <w:pageBreakBefore w:val="0"/>
        <w:widowControl/>
        <w:numPr>
          <w:ilvl w:val="0"/>
          <w:numId w:val="7"/>
        </w:numPr>
        <w:kinsoku w:val="0"/>
        <w:wordWrap/>
        <w:overflowPunct/>
        <w:topLinePunct w:val="0"/>
        <w:autoSpaceDE w:val="0"/>
        <w:autoSpaceDN w:val="0"/>
        <w:bidi w:val="0"/>
        <w:adjustRightInd w:val="0"/>
        <w:snapToGrid w:val="0"/>
        <w:spacing w:line="360" w:lineRule="auto"/>
        <w:ind w:left="210" w:leftChars="0" w:right="0" w:rightChars="0" w:firstLineChars="0"/>
        <w:jc w:val="center"/>
        <w:rPr>
          <w:rFonts w:hint="eastAsia" w:ascii="宋体" w:hAnsi="宋体" w:eastAsia="Arial" w:cs="宋体"/>
          <w:b/>
          <w:bCs/>
          <w:color w:val="auto"/>
          <w:kern w:val="2"/>
          <w:sz w:val="28"/>
          <w:szCs w:val="28"/>
          <w:lang w:val="en-US" w:eastAsia="zh-CN" w:bidi="ar-SA"/>
        </w:rPr>
      </w:pPr>
      <w:r>
        <w:rPr>
          <w:rFonts w:hint="eastAsia" w:ascii="宋体" w:hAnsi="宋体" w:eastAsia="Arial" w:cs="宋体"/>
          <w:b/>
          <w:bCs/>
          <w:color w:val="auto"/>
          <w:kern w:val="2"/>
          <w:sz w:val="28"/>
          <w:szCs w:val="28"/>
          <w:lang w:val="en-US" w:eastAsia="zh-CN" w:bidi="ar-SA"/>
        </w:rPr>
        <w:t>供应商拟投入本项目技术服务团队人员情况表和相关的资格类证书</w:t>
      </w:r>
    </w:p>
    <w:p w14:paraId="3AE761DF">
      <w:pPr>
        <w:pStyle w:val="20"/>
        <w:numPr>
          <w:ilvl w:val="0"/>
          <w:numId w:val="0"/>
        </w:numPr>
        <w:rPr>
          <w:rFonts w:hint="default"/>
          <w:lang w:val="en-US" w:eastAsia="zh-CN"/>
        </w:rPr>
      </w:pPr>
    </w:p>
    <w:tbl>
      <w:tblPr>
        <w:tblStyle w:val="73"/>
        <w:tblW w:w="503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30"/>
        <w:gridCol w:w="864"/>
        <w:gridCol w:w="901"/>
        <w:gridCol w:w="955"/>
        <w:gridCol w:w="1031"/>
        <w:gridCol w:w="1113"/>
        <w:gridCol w:w="944"/>
        <w:gridCol w:w="1031"/>
        <w:gridCol w:w="1078"/>
      </w:tblGrid>
      <w:tr w14:paraId="063684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672" w:type="pct"/>
            <w:vMerge w:val="restart"/>
            <w:tcBorders>
              <w:bottom w:val="nil"/>
            </w:tcBorders>
            <w:noWrap w:val="0"/>
            <w:vAlign w:val="center"/>
          </w:tcPr>
          <w:p w14:paraId="5670E811">
            <w:pPr>
              <w:keepNext w:val="0"/>
              <w:keepLines w:val="0"/>
              <w:pageBreakBefore w:val="0"/>
              <w:widowControl w:val="0"/>
              <w:kinsoku/>
              <w:wordWrap/>
              <w:overflowPunct/>
              <w:topLinePunct w:val="0"/>
              <w:autoSpaceDE/>
              <w:autoSpaceDN/>
              <w:bidi w:val="0"/>
              <w:adjustRightInd/>
              <w:snapToGrid/>
              <w:spacing w:line="240" w:lineRule="auto"/>
              <w:ind w:firstLine="196"/>
              <w:rPr>
                <w:rFonts w:ascii="宋体" w:hAnsi="宋体" w:eastAsia="宋体" w:cs="宋体"/>
                <w:b/>
                <w:bCs/>
                <w:color w:val="auto"/>
                <w:sz w:val="24"/>
                <w:szCs w:val="24"/>
              </w:rPr>
            </w:pPr>
            <w:r>
              <w:rPr>
                <w:rFonts w:ascii="宋体" w:hAnsi="宋体" w:eastAsia="宋体" w:cs="宋体"/>
                <w:b/>
                <w:bCs/>
                <w:color w:val="auto"/>
                <w:spacing w:val="-5"/>
                <w:sz w:val="24"/>
                <w:szCs w:val="24"/>
              </w:rPr>
              <w:t>类别</w:t>
            </w:r>
          </w:p>
        </w:tc>
        <w:tc>
          <w:tcPr>
            <w:tcW w:w="472" w:type="pct"/>
            <w:vMerge w:val="restart"/>
            <w:tcBorders>
              <w:bottom w:val="nil"/>
            </w:tcBorders>
            <w:noWrap w:val="0"/>
            <w:vAlign w:val="center"/>
          </w:tcPr>
          <w:p w14:paraId="16E3DD9B">
            <w:pPr>
              <w:keepNext w:val="0"/>
              <w:keepLines w:val="0"/>
              <w:pageBreakBefore w:val="0"/>
              <w:widowControl w:val="0"/>
              <w:kinsoku/>
              <w:wordWrap/>
              <w:overflowPunct/>
              <w:topLinePunct w:val="0"/>
              <w:autoSpaceDE/>
              <w:autoSpaceDN/>
              <w:bidi w:val="0"/>
              <w:adjustRightInd/>
              <w:snapToGrid/>
              <w:spacing w:line="240" w:lineRule="auto"/>
              <w:ind w:firstLine="270"/>
              <w:rPr>
                <w:rFonts w:ascii="宋体" w:hAnsi="宋体" w:eastAsia="宋体" w:cs="宋体"/>
                <w:b/>
                <w:bCs/>
                <w:color w:val="auto"/>
                <w:sz w:val="24"/>
                <w:szCs w:val="24"/>
              </w:rPr>
            </w:pPr>
            <w:r>
              <w:rPr>
                <w:rFonts w:ascii="宋体" w:hAnsi="宋体" w:eastAsia="宋体" w:cs="宋体"/>
                <w:b/>
                <w:bCs/>
                <w:color w:val="auto"/>
                <w:spacing w:val="-6"/>
                <w:sz w:val="24"/>
                <w:szCs w:val="24"/>
              </w:rPr>
              <w:t>职务</w:t>
            </w:r>
          </w:p>
        </w:tc>
        <w:tc>
          <w:tcPr>
            <w:tcW w:w="492" w:type="pct"/>
            <w:vMerge w:val="restart"/>
            <w:tcBorders>
              <w:bottom w:val="nil"/>
            </w:tcBorders>
            <w:noWrap w:val="0"/>
            <w:vAlign w:val="center"/>
          </w:tcPr>
          <w:p w14:paraId="0300A176">
            <w:pPr>
              <w:keepNext w:val="0"/>
              <w:keepLines w:val="0"/>
              <w:pageBreakBefore w:val="0"/>
              <w:widowControl w:val="0"/>
              <w:kinsoku/>
              <w:wordWrap/>
              <w:overflowPunct/>
              <w:topLinePunct w:val="0"/>
              <w:autoSpaceDE/>
              <w:autoSpaceDN/>
              <w:bidi w:val="0"/>
              <w:adjustRightInd/>
              <w:snapToGrid/>
              <w:spacing w:line="240" w:lineRule="auto"/>
              <w:ind w:firstLine="269"/>
              <w:rPr>
                <w:rFonts w:ascii="宋体" w:hAnsi="宋体" w:eastAsia="宋体" w:cs="宋体"/>
                <w:b/>
                <w:bCs/>
                <w:color w:val="auto"/>
                <w:sz w:val="24"/>
                <w:szCs w:val="24"/>
              </w:rPr>
            </w:pPr>
            <w:r>
              <w:rPr>
                <w:rFonts w:ascii="宋体" w:hAnsi="宋体" w:eastAsia="宋体" w:cs="宋体"/>
                <w:b/>
                <w:bCs/>
                <w:color w:val="auto"/>
                <w:spacing w:val="-5"/>
                <w:sz w:val="24"/>
                <w:szCs w:val="24"/>
              </w:rPr>
              <w:t>姓名</w:t>
            </w:r>
          </w:p>
        </w:tc>
        <w:tc>
          <w:tcPr>
            <w:tcW w:w="522" w:type="pct"/>
            <w:vMerge w:val="restart"/>
            <w:tcBorders>
              <w:bottom w:val="nil"/>
            </w:tcBorders>
            <w:noWrap w:val="0"/>
            <w:vAlign w:val="center"/>
          </w:tcPr>
          <w:p w14:paraId="3B1BD649">
            <w:pPr>
              <w:keepNext w:val="0"/>
              <w:keepLines w:val="0"/>
              <w:pageBreakBefore w:val="0"/>
              <w:widowControl w:val="0"/>
              <w:kinsoku/>
              <w:wordWrap/>
              <w:overflowPunct/>
              <w:topLinePunct w:val="0"/>
              <w:autoSpaceDE/>
              <w:autoSpaceDN/>
              <w:bidi w:val="0"/>
              <w:adjustRightInd/>
              <w:snapToGrid/>
              <w:spacing w:line="240" w:lineRule="auto"/>
              <w:ind w:firstLine="271"/>
              <w:rPr>
                <w:rFonts w:ascii="宋体" w:hAnsi="宋体" w:eastAsia="宋体" w:cs="宋体"/>
                <w:b/>
                <w:bCs/>
                <w:color w:val="auto"/>
                <w:sz w:val="24"/>
                <w:szCs w:val="24"/>
              </w:rPr>
            </w:pPr>
            <w:r>
              <w:rPr>
                <w:rFonts w:ascii="宋体" w:hAnsi="宋体" w:eastAsia="宋体" w:cs="宋体"/>
                <w:b/>
                <w:bCs/>
                <w:color w:val="auto"/>
                <w:spacing w:val="-6"/>
                <w:sz w:val="24"/>
                <w:szCs w:val="24"/>
              </w:rPr>
              <w:t>职称</w:t>
            </w:r>
          </w:p>
        </w:tc>
        <w:tc>
          <w:tcPr>
            <w:tcW w:w="563" w:type="pct"/>
            <w:vMerge w:val="restart"/>
            <w:tcBorders>
              <w:bottom w:val="nil"/>
            </w:tcBorders>
            <w:noWrap w:val="0"/>
            <w:vAlign w:val="center"/>
          </w:tcPr>
          <w:p w14:paraId="79D1887C">
            <w:pPr>
              <w:keepNext w:val="0"/>
              <w:keepLines w:val="0"/>
              <w:pageBreakBefore w:val="0"/>
              <w:widowControl w:val="0"/>
              <w:kinsoku/>
              <w:wordWrap/>
              <w:overflowPunct/>
              <w:topLinePunct w:val="0"/>
              <w:autoSpaceDE/>
              <w:autoSpaceDN/>
              <w:bidi w:val="0"/>
              <w:adjustRightInd/>
              <w:snapToGrid/>
              <w:spacing w:line="240" w:lineRule="auto"/>
              <w:ind w:firstLine="157"/>
              <w:rPr>
                <w:rFonts w:ascii="宋体" w:hAnsi="宋体" w:eastAsia="宋体" w:cs="宋体"/>
                <w:b/>
                <w:bCs/>
                <w:color w:val="auto"/>
                <w:sz w:val="24"/>
                <w:szCs w:val="24"/>
              </w:rPr>
            </w:pPr>
            <w:r>
              <w:rPr>
                <w:rFonts w:ascii="宋体" w:hAnsi="宋体" w:eastAsia="宋体" w:cs="宋体"/>
                <w:b/>
                <w:bCs/>
                <w:color w:val="auto"/>
                <w:spacing w:val="-6"/>
                <w:sz w:val="24"/>
                <w:szCs w:val="24"/>
              </w:rPr>
              <w:t>常住地</w:t>
            </w:r>
          </w:p>
        </w:tc>
        <w:tc>
          <w:tcPr>
            <w:tcW w:w="2276" w:type="pct"/>
            <w:gridSpan w:val="4"/>
            <w:noWrap w:val="0"/>
            <w:vAlign w:val="center"/>
          </w:tcPr>
          <w:p w14:paraId="4D472D50">
            <w:pPr>
              <w:keepNext w:val="0"/>
              <w:keepLines w:val="0"/>
              <w:pageBreakBefore w:val="0"/>
              <w:widowControl w:val="0"/>
              <w:kinsoku/>
              <w:wordWrap/>
              <w:overflowPunct/>
              <w:topLinePunct w:val="0"/>
              <w:autoSpaceDE/>
              <w:autoSpaceDN/>
              <w:bidi w:val="0"/>
              <w:adjustRightInd/>
              <w:snapToGrid/>
              <w:spacing w:line="240" w:lineRule="auto"/>
              <w:ind w:firstLine="835"/>
              <w:rPr>
                <w:rFonts w:ascii="宋体" w:hAnsi="宋体" w:eastAsia="宋体" w:cs="宋体"/>
                <w:b/>
                <w:bCs/>
                <w:color w:val="auto"/>
                <w:sz w:val="24"/>
                <w:szCs w:val="24"/>
              </w:rPr>
            </w:pPr>
            <w:r>
              <w:rPr>
                <w:rFonts w:ascii="宋体" w:hAnsi="宋体" w:eastAsia="宋体" w:cs="宋体"/>
                <w:b/>
                <w:bCs/>
                <w:color w:val="auto"/>
                <w:spacing w:val="-2"/>
                <w:sz w:val="24"/>
                <w:szCs w:val="24"/>
              </w:rPr>
              <w:t>资格证明（附复印件）</w:t>
            </w:r>
          </w:p>
        </w:tc>
      </w:tr>
      <w:tr w14:paraId="0C33B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672" w:type="pct"/>
            <w:vMerge w:val="continue"/>
            <w:tcBorders>
              <w:top w:val="nil"/>
              <w:bottom w:val="single" w:color="auto" w:sz="4" w:space="0"/>
            </w:tcBorders>
            <w:noWrap w:val="0"/>
            <w:vAlign w:val="center"/>
          </w:tcPr>
          <w:p w14:paraId="050BEC03">
            <w:pPr>
              <w:keepNext w:val="0"/>
              <w:keepLines w:val="0"/>
              <w:pageBreakBefore w:val="0"/>
              <w:widowControl w:val="0"/>
              <w:kinsoku/>
              <w:wordWrap/>
              <w:overflowPunct/>
              <w:topLinePunct w:val="0"/>
              <w:autoSpaceDE/>
              <w:autoSpaceDN/>
              <w:bidi w:val="0"/>
              <w:adjustRightInd/>
              <w:snapToGrid/>
              <w:spacing w:line="240" w:lineRule="auto"/>
              <w:rPr>
                <w:rFonts w:ascii="宋体"/>
                <w:b/>
                <w:bCs/>
                <w:color w:val="auto"/>
                <w:sz w:val="21"/>
              </w:rPr>
            </w:pPr>
          </w:p>
        </w:tc>
        <w:tc>
          <w:tcPr>
            <w:tcW w:w="472" w:type="pct"/>
            <w:vMerge w:val="continue"/>
            <w:tcBorders>
              <w:top w:val="nil"/>
              <w:bottom w:val="single" w:color="auto" w:sz="4" w:space="0"/>
            </w:tcBorders>
            <w:noWrap w:val="0"/>
            <w:vAlign w:val="center"/>
          </w:tcPr>
          <w:p w14:paraId="024B1ED0">
            <w:pPr>
              <w:keepNext w:val="0"/>
              <w:keepLines w:val="0"/>
              <w:pageBreakBefore w:val="0"/>
              <w:widowControl w:val="0"/>
              <w:kinsoku/>
              <w:wordWrap/>
              <w:overflowPunct/>
              <w:topLinePunct w:val="0"/>
              <w:autoSpaceDE/>
              <w:autoSpaceDN/>
              <w:bidi w:val="0"/>
              <w:adjustRightInd/>
              <w:snapToGrid/>
              <w:spacing w:line="240" w:lineRule="auto"/>
              <w:rPr>
                <w:rFonts w:ascii="宋体"/>
                <w:b/>
                <w:bCs/>
                <w:color w:val="auto"/>
                <w:sz w:val="21"/>
              </w:rPr>
            </w:pPr>
          </w:p>
        </w:tc>
        <w:tc>
          <w:tcPr>
            <w:tcW w:w="492" w:type="pct"/>
            <w:vMerge w:val="continue"/>
            <w:tcBorders>
              <w:top w:val="nil"/>
            </w:tcBorders>
            <w:noWrap w:val="0"/>
            <w:vAlign w:val="center"/>
          </w:tcPr>
          <w:p w14:paraId="7D7F86B3">
            <w:pPr>
              <w:keepNext w:val="0"/>
              <w:keepLines w:val="0"/>
              <w:pageBreakBefore w:val="0"/>
              <w:widowControl w:val="0"/>
              <w:kinsoku/>
              <w:wordWrap/>
              <w:overflowPunct/>
              <w:topLinePunct w:val="0"/>
              <w:autoSpaceDE/>
              <w:autoSpaceDN/>
              <w:bidi w:val="0"/>
              <w:adjustRightInd/>
              <w:snapToGrid/>
              <w:spacing w:line="240" w:lineRule="auto"/>
              <w:rPr>
                <w:rFonts w:ascii="宋体"/>
                <w:b/>
                <w:bCs/>
                <w:color w:val="auto"/>
                <w:sz w:val="21"/>
              </w:rPr>
            </w:pPr>
          </w:p>
        </w:tc>
        <w:tc>
          <w:tcPr>
            <w:tcW w:w="522" w:type="pct"/>
            <w:vMerge w:val="continue"/>
            <w:tcBorders>
              <w:top w:val="nil"/>
            </w:tcBorders>
            <w:noWrap w:val="0"/>
            <w:vAlign w:val="center"/>
          </w:tcPr>
          <w:p w14:paraId="24188368">
            <w:pPr>
              <w:keepNext w:val="0"/>
              <w:keepLines w:val="0"/>
              <w:pageBreakBefore w:val="0"/>
              <w:widowControl w:val="0"/>
              <w:kinsoku/>
              <w:wordWrap/>
              <w:overflowPunct/>
              <w:topLinePunct w:val="0"/>
              <w:autoSpaceDE/>
              <w:autoSpaceDN/>
              <w:bidi w:val="0"/>
              <w:adjustRightInd/>
              <w:snapToGrid/>
              <w:spacing w:line="240" w:lineRule="auto"/>
              <w:rPr>
                <w:rFonts w:ascii="宋体"/>
                <w:b/>
                <w:bCs/>
                <w:color w:val="auto"/>
                <w:sz w:val="21"/>
              </w:rPr>
            </w:pPr>
          </w:p>
        </w:tc>
        <w:tc>
          <w:tcPr>
            <w:tcW w:w="563" w:type="pct"/>
            <w:vMerge w:val="continue"/>
            <w:tcBorders>
              <w:top w:val="nil"/>
            </w:tcBorders>
            <w:noWrap w:val="0"/>
            <w:vAlign w:val="center"/>
          </w:tcPr>
          <w:p w14:paraId="50F70DAD">
            <w:pPr>
              <w:keepNext w:val="0"/>
              <w:keepLines w:val="0"/>
              <w:pageBreakBefore w:val="0"/>
              <w:widowControl w:val="0"/>
              <w:kinsoku/>
              <w:wordWrap/>
              <w:overflowPunct/>
              <w:topLinePunct w:val="0"/>
              <w:autoSpaceDE/>
              <w:autoSpaceDN/>
              <w:bidi w:val="0"/>
              <w:adjustRightInd/>
              <w:snapToGrid/>
              <w:spacing w:line="240" w:lineRule="auto"/>
              <w:rPr>
                <w:rFonts w:ascii="宋体"/>
                <w:b/>
                <w:bCs/>
                <w:color w:val="auto"/>
                <w:sz w:val="21"/>
              </w:rPr>
            </w:pPr>
          </w:p>
        </w:tc>
        <w:tc>
          <w:tcPr>
            <w:tcW w:w="608" w:type="pct"/>
            <w:noWrap w:val="0"/>
            <w:vAlign w:val="center"/>
          </w:tcPr>
          <w:p w14:paraId="120EDCB5">
            <w:pPr>
              <w:keepNext w:val="0"/>
              <w:keepLines w:val="0"/>
              <w:pageBreakBefore w:val="0"/>
              <w:widowControl w:val="0"/>
              <w:kinsoku/>
              <w:wordWrap/>
              <w:overflowPunct/>
              <w:topLinePunct w:val="0"/>
              <w:autoSpaceDE/>
              <w:autoSpaceDN/>
              <w:bidi w:val="0"/>
              <w:adjustRightInd/>
              <w:snapToGrid/>
              <w:spacing w:line="240" w:lineRule="auto"/>
              <w:jc w:val="center"/>
              <w:rPr>
                <w:rFonts w:ascii="宋体" w:hAnsi="宋体" w:eastAsia="宋体" w:cs="宋体"/>
                <w:b/>
                <w:bCs/>
                <w:color w:val="auto"/>
                <w:sz w:val="24"/>
                <w:szCs w:val="24"/>
              </w:rPr>
            </w:pPr>
            <w:r>
              <w:rPr>
                <w:rFonts w:hint="eastAsia" w:ascii="宋体" w:hAnsi="宋体" w:eastAsia="宋体" w:cs="宋体"/>
                <w:b/>
                <w:bCs/>
                <w:color w:val="auto"/>
                <w:spacing w:val="-7"/>
                <w:sz w:val="24"/>
                <w:szCs w:val="24"/>
                <w:lang w:eastAsia="zh-CN"/>
              </w:rPr>
              <w:t>证件</w:t>
            </w:r>
            <w:r>
              <w:rPr>
                <w:rFonts w:ascii="宋体" w:hAnsi="宋体" w:eastAsia="宋体" w:cs="宋体"/>
                <w:b/>
                <w:bCs/>
                <w:color w:val="auto"/>
                <w:spacing w:val="-7"/>
                <w:sz w:val="24"/>
                <w:szCs w:val="24"/>
              </w:rPr>
              <w:t>名称</w:t>
            </w:r>
          </w:p>
        </w:tc>
        <w:tc>
          <w:tcPr>
            <w:tcW w:w="516" w:type="pct"/>
            <w:noWrap w:val="0"/>
            <w:vAlign w:val="center"/>
          </w:tcPr>
          <w:p w14:paraId="086B2D1F">
            <w:pPr>
              <w:keepNext w:val="0"/>
              <w:keepLines w:val="0"/>
              <w:pageBreakBefore w:val="0"/>
              <w:widowControl w:val="0"/>
              <w:kinsoku/>
              <w:wordWrap/>
              <w:overflowPunct/>
              <w:topLinePunct w:val="0"/>
              <w:autoSpaceDE/>
              <w:autoSpaceDN/>
              <w:bidi w:val="0"/>
              <w:adjustRightInd/>
              <w:snapToGrid/>
              <w:spacing w:line="240" w:lineRule="auto"/>
              <w:ind w:firstLine="276"/>
              <w:jc w:val="center"/>
              <w:rPr>
                <w:rFonts w:ascii="宋体" w:hAnsi="宋体" w:eastAsia="宋体" w:cs="宋体"/>
                <w:b/>
                <w:bCs/>
                <w:color w:val="auto"/>
                <w:sz w:val="24"/>
                <w:szCs w:val="24"/>
              </w:rPr>
            </w:pPr>
            <w:r>
              <w:rPr>
                <w:rFonts w:ascii="宋体" w:hAnsi="宋体" w:eastAsia="宋体" w:cs="宋体"/>
                <w:b/>
                <w:bCs/>
                <w:color w:val="auto"/>
                <w:spacing w:val="-7"/>
                <w:sz w:val="24"/>
                <w:szCs w:val="24"/>
              </w:rPr>
              <w:t>级别</w:t>
            </w:r>
          </w:p>
        </w:tc>
        <w:tc>
          <w:tcPr>
            <w:tcW w:w="563" w:type="pct"/>
            <w:noWrap w:val="0"/>
            <w:vAlign w:val="center"/>
          </w:tcPr>
          <w:p w14:paraId="2C3129CA">
            <w:pPr>
              <w:keepNext w:val="0"/>
              <w:keepLines w:val="0"/>
              <w:pageBreakBefore w:val="0"/>
              <w:widowControl w:val="0"/>
              <w:kinsoku/>
              <w:wordWrap/>
              <w:overflowPunct/>
              <w:topLinePunct w:val="0"/>
              <w:autoSpaceDE/>
              <w:autoSpaceDN/>
              <w:bidi w:val="0"/>
              <w:adjustRightInd/>
              <w:snapToGrid/>
              <w:spacing w:line="240" w:lineRule="auto"/>
              <w:ind w:firstLine="273"/>
              <w:jc w:val="center"/>
              <w:rPr>
                <w:rFonts w:ascii="宋体" w:hAnsi="宋体" w:eastAsia="宋体" w:cs="宋体"/>
                <w:b/>
                <w:bCs/>
                <w:color w:val="auto"/>
                <w:sz w:val="24"/>
                <w:szCs w:val="24"/>
              </w:rPr>
            </w:pPr>
            <w:r>
              <w:rPr>
                <w:rFonts w:ascii="宋体" w:hAnsi="宋体" w:eastAsia="宋体" w:cs="宋体"/>
                <w:b/>
                <w:bCs/>
                <w:color w:val="auto"/>
                <w:spacing w:val="-5"/>
                <w:sz w:val="24"/>
                <w:szCs w:val="24"/>
              </w:rPr>
              <w:t>证号</w:t>
            </w:r>
          </w:p>
        </w:tc>
        <w:tc>
          <w:tcPr>
            <w:tcW w:w="588" w:type="pct"/>
            <w:noWrap w:val="0"/>
            <w:vAlign w:val="center"/>
          </w:tcPr>
          <w:p w14:paraId="1E13B2BF">
            <w:pPr>
              <w:keepNext w:val="0"/>
              <w:keepLines w:val="0"/>
              <w:pageBreakBefore w:val="0"/>
              <w:widowControl w:val="0"/>
              <w:kinsoku/>
              <w:wordWrap/>
              <w:overflowPunct/>
              <w:topLinePunct w:val="0"/>
              <w:autoSpaceDE/>
              <w:autoSpaceDN/>
              <w:bidi w:val="0"/>
              <w:adjustRightInd/>
              <w:snapToGrid/>
              <w:spacing w:line="240" w:lineRule="auto"/>
              <w:ind w:firstLine="274"/>
              <w:jc w:val="center"/>
              <w:rPr>
                <w:rFonts w:ascii="宋体" w:hAnsi="宋体" w:eastAsia="宋体" w:cs="宋体"/>
                <w:b/>
                <w:bCs/>
                <w:color w:val="auto"/>
                <w:sz w:val="24"/>
                <w:szCs w:val="24"/>
              </w:rPr>
            </w:pPr>
            <w:r>
              <w:rPr>
                <w:rFonts w:ascii="宋体" w:hAnsi="宋体" w:eastAsia="宋体" w:cs="宋体"/>
                <w:b/>
                <w:bCs/>
                <w:color w:val="auto"/>
                <w:spacing w:val="-6"/>
                <w:sz w:val="24"/>
                <w:szCs w:val="24"/>
              </w:rPr>
              <w:t>专业</w:t>
            </w:r>
          </w:p>
        </w:tc>
      </w:tr>
      <w:tr w14:paraId="3A40DF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672" w:type="pct"/>
            <w:vMerge w:val="restart"/>
            <w:tcBorders>
              <w:top w:val="single" w:color="auto" w:sz="4" w:space="0"/>
              <w:left w:val="single" w:color="auto" w:sz="4" w:space="0"/>
              <w:right w:val="single" w:color="auto" w:sz="4" w:space="0"/>
            </w:tcBorders>
            <w:noWrap w:val="0"/>
            <w:vAlign w:val="center"/>
          </w:tcPr>
          <w:p w14:paraId="5B6B679E">
            <w:pPr>
              <w:spacing w:line="204" w:lineRule="auto"/>
              <w:jc w:val="center"/>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项目负责人</w:t>
            </w:r>
          </w:p>
        </w:tc>
        <w:tc>
          <w:tcPr>
            <w:tcW w:w="472" w:type="pct"/>
            <w:tcBorders>
              <w:top w:val="single" w:color="auto" w:sz="4" w:space="0"/>
              <w:left w:val="single" w:color="auto" w:sz="4" w:space="0"/>
              <w:bottom w:val="single" w:color="auto" w:sz="4" w:space="0"/>
              <w:right w:val="single" w:color="auto" w:sz="4" w:space="0"/>
            </w:tcBorders>
            <w:noWrap w:val="0"/>
            <w:vAlign w:val="center"/>
          </w:tcPr>
          <w:p w14:paraId="2CB9A675">
            <w:pPr>
              <w:rPr>
                <w:rFonts w:ascii="宋体"/>
                <w:color w:val="auto"/>
                <w:sz w:val="21"/>
              </w:rPr>
            </w:pPr>
          </w:p>
        </w:tc>
        <w:tc>
          <w:tcPr>
            <w:tcW w:w="492" w:type="pct"/>
            <w:tcBorders>
              <w:left w:val="single" w:color="auto" w:sz="4" w:space="0"/>
            </w:tcBorders>
            <w:noWrap w:val="0"/>
            <w:vAlign w:val="center"/>
          </w:tcPr>
          <w:p w14:paraId="66871788">
            <w:pPr>
              <w:rPr>
                <w:rFonts w:ascii="宋体"/>
                <w:color w:val="auto"/>
                <w:sz w:val="21"/>
              </w:rPr>
            </w:pPr>
          </w:p>
        </w:tc>
        <w:tc>
          <w:tcPr>
            <w:tcW w:w="522" w:type="pct"/>
            <w:noWrap w:val="0"/>
            <w:vAlign w:val="center"/>
          </w:tcPr>
          <w:p w14:paraId="71C290AA">
            <w:pPr>
              <w:rPr>
                <w:rFonts w:ascii="宋体"/>
                <w:color w:val="auto"/>
                <w:sz w:val="21"/>
              </w:rPr>
            </w:pPr>
          </w:p>
        </w:tc>
        <w:tc>
          <w:tcPr>
            <w:tcW w:w="563" w:type="pct"/>
            <w:noWrap w:val="0"/>
            <w:vAlign w:val="center"/>
          </w:tcPr>
          <w:p w14:paraId="1AAF5760">
            <w:pPr>
              <w:rPr>
                <w:rFonts w:ascii="宋体"/>
                <w:color w:val="auto"/>
                <w:sz w:val="21"/>
              </w:rPr>
            </w:pPr>
          </w:p>
        </w:tc>
        <w:tc>
          <w:tcPr>
            <w:tcW w:w="608" w:type="pct"/>
            <w:noWrap w:val="0"/>
            <w:vAlign w:val="center"/>
          </w:tcPr>
          <w:p w14:paraId="352333A9">
            <w:pPr>
              <w:rPr>
                <w:rFonts w:ascii="宋体"/>
                <w:color w:val="auto"/>
                <w:sz w:val="21"/>
              </w:rPr>
            </w:pPr>
          </w:p>
        </w:tc>
        <w:tc>
          <w:tcPr>
            <w:tcW w:w="516" w:type="pct"/>
            <w:noWrap w:val="0"/>
            <w:vAlign w:val="center"/>
          </w:tcPr>
          <w:p w14:paraId="49E925AB">
            <w:pPr>
              <w:rPr>
                <w:rFonts w:ascii="宋体"/>
                <w:color w:val="auto"/>
                <w:sz w:val="21"/>
              </w:rPr>
            </w:pPr>
          </w:p>
        </w:tc>
        <w:tc>
          <w:tcPr>
            <w:tcW w:w="563" w:type="pct"/>
            <w:noWrap w:val="0"/>
            <w:vAlign w:val="center"/>
          </w:tcPr>
          <w:p w14:paraId="101C68D2">
            <w:pPr>
              <w:rPr>
                <w:rFonts w:ascii="宋体"/>
                <w:color w:val="auto"/>
                <w:sz w:val="21"/>
              </w:rPr>
            </w:pPr>
          </w:p>
        </w:tc>
        <w:tc>
          <w:tcPr>
            <w:tcW w:w="588" w:type="pct"/>
            <w:noWrap w:val="0"/>
            <w:vAlign w:val="center"/>
          </w:tcPr>
          <w:p w14:paraId="130A7D20">
            <w:pPr>
              <w:rPr>
                <w:rFonts w:ascii="宋体"/>
                <w:color w:val="auto"/>
                <w:sz w:val="21"/>
              </w:rPr>
            </w:pPr>
          </w:p>
        </w:tc>
      </w:tr>
      <w:tr w14:paraId="4DF8B9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672" w:type="pct"/>
            <w:vMerge w:val="continue"/>
            <w:tcBorders>
              <w:left w:val="single" w:color="auto" w:sz="4" w:space="0"/>
              <w:bottom w:val="single" w:color="auto" w:sz="4" w:space="0"/>
              <w:right w:val="single" w:color="auto" w:sz="4" w:space="0"/>
            </w:tcBorders>
            <w:noWrap w:val="0"/>
            <w:vAlign w:val="center"/>
          </w:tcPr>
          <w:p w14:paraId="0E823E2B">
            <w:pPr>
              <w:spacing w:line="204" w:lineRule="auto"/>
              <w:jc w:val="center"/>
              <w:rPr>
                <w:rFonts w:hint="eastAsia" w:ascii="宋体" w:hAnsi="宋体" w:eastAsia="宋体" w:cs="宋体"/>
                <w:spacing w:val="-1"/>
                <w:sz w:val="21"/>
                <w:szCs w:val="21"/>
                <w:lang w:val="en-US" w:eastAsia="zh-CN"/>
              </w:rPr>
            </w:pPr>
          </w:p>
        </w:tc>
        <w:tc>
          <w:tcPr>
            <w:tcW w:w="472" w:type="pct"/>
            <w:tcBorders>
              <w:top w:val="single" w:color="auto" w:sz="4" w:space="0"/>
              <w:left w:val="single" w:color="auto" w:sz="4" w:space="0"/>
              <w:bottom w:val="single" w:color="auto" w:sz="4" w:space="0"/>
              <w:right w:val="single" w:color="auto" w:sz="4" w:space="0"/>
            </w:tcBorders>
            <w:noWrap w:val="0"/>
            <w:vAlign w:val="center"/>
          </w:tcPr>
          <w:p w14:paraId="3C3CEE13">
            <w:pPr>
              <w:rPr>
                <w:rFonts w:ascii="宋体"/>
                <w:color w:val="auto"/>
                <w:sz w:val="21"/>
              </w:rPr>
            </w:pPr>
          </w:p>
        </w:tc>
        <w:tc>
          <w:tcPr>
            <w:tcW w:w="492" w:type="pct"/>
            <w:tcBorders>
              <w:left w:val="single" w:color="auto" w:sz="4" w:space="0"/>
            </w:tcBorders>
            <w:noWrap w:val="0"/>
            <w:vAlign w:val="center"/>
          </w:tcPr>
          <w:p w14:paraId="068310EE">
            <w:pPr>
              <w:rPr>
                <w:rFonts w:ascii="宋体"/>
                <w:color w:val="auto"/>
                <w:sz w:val="21"/>
              </w:rPr>
            </w:pPr>
          </w:p>
        </w:tc>
        <w:tc>
          <w:tcPr>
            <w:tcW w:w="522" w:type="pct"/>
            <w:noWrap w:val="0"/>
            <w:vAlign w:val="center"/>
          </w:tcPr>
          <w:p w14:paraId="2EB31700">
            <w:pPr>
              <w:rPr>
                <w:rFonts w:ascii="宋体"/>
                <w:color w:val="auto"/>
                <w:sz w:val="21"/>
              </w:rPr>
            </w:pPr>
          </w:p>
        </w:tc>
        <w:tc>
          <w:tcPr>
            <w:tcW w:w="563" w:type="pct"/>
            <w:noWrap w:val="0"/>
            <w:vAlign w:val="center"/>
          </w:tcPr>
          <w:p w14:paraId="436CDC0F">
            <w:pPr>
              <w:rPr>
                <w:rFonts w:ascii="宋体"/>
                <w:color w:val="auto"/>
                <w:sz w:val="21"/>
              </w:rPr>
            </w:pPr>
          </w:p>
        </w:tc>
        <w:tc>
          <w:tcPr>
            <w:tcW w:w="608" w:type="pct"/>
            <w:noWrap w:val="0"/>
            <w:vAlign w:val="center"/>
          </w:tcPr>
          <w:p w14:paraId="44546F61">
            <w:pPr>
              <w:rPr>
                <w:rFonts w:ascii="宋体"/>
                <w:color w:val="auto"/>
                <w:sz w:val="21"/>
              </w:rPr>
            </w:pPr>
          </w:p>
        </w:tc>
        <w:tc>
          <w:tcPr>
            <w:tcW w:w="516" w:type="pct"/>
            <w:noWrap w:val="0"/>
            <w:vAlign w:val="center"/>
          </w:tcPr>
          <w:p w14:paraId="3C3C9D84">
            <w:pPr>
              <w:rPr>
                <w:rFonts w:ascii="宋体"/>
                <w:color w:val="auto"/>
                <w:sz w:val="21"/>
              </w:rPr>
            </w:pPr>
          </w:p>
        </w:tc>
        <w:tc>
          <w:tcPr>
            <w:tcW w:w="563" w:type="pct"/>
            <w:noWrap w:val="0"/>
            <w:vAlign w:val="center"/>
          </w:tcPr>
          <w:p w14:paraId="7A14CD5F">
            <w:pPr>
              <w:rPr>
                <w:rFonts w:ascii="宋体"/>
                <w:color w:val="auto"/>
                <w:sz w:val="21"/>
              </w:rPr>
            </w:pPr>
          </w:p>
        </w:tc>
        <w:tc>
          <w:tcPr>
            <w:tcW w:w="588" w:type="pct"/>
            <w:noWrap w:val="0"/>
            <w:vAlign w:val="center"/>
          </w:tcPr>
          <w:p w14:paraId="6D515E7B">
            <w:pPr>
              <w:rPr>
                <w:rFonts w:ascii="宋体"/>
                <w:color w:val="auto"/>
                <w:sz w:val="21"/>
              </w:rPr>
            </w:pPr>
          </w:p>
        </w:tc>
      </w:tr>
      <w:tr w14:paraId="2EE36A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672" w:type="pct"/>
            <w:vMerge w:val="restart"/>
            <w:tcBorders>
              <w:top w:val="single" w:color="auto" w:sz="4" w:space="0"/>
              <w:bottom w:val="nil"/>
            </w:tcBorders>
            <w:noWrap w:val="0"/>
            <w:vAlign w:val="center"/>
          </w:tcPr>
          <w:p w14:paraId="0AA6F931">
            <w:pPr>
              <w:spacing w:line="204" w:lineRule="auto"/>
              <w:jc w:val="center"/>
              <w:rPr>
                <w:rFonts w:hint="default"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土木建筑专业造价人员</w:t>
            </w:r>
          </w:p>
        </w:tc>
        <w:tc>
          <w:tcPr>
            <w:tcW w:w="472" w:type="pct"/>
            <w:tcBorders>
              <w:top w:val="single" w:color="auto" w:sz="4" w:space="0"/>
            </w:tcBorders>
            <w:noWrap w:val="0"/>
            <w:vAlign w:val="center"/>
          </w:tcPr>
          <w:p w14:paraId="2B3E0B7B">
            <w:pPr>
              <w:rPr>
                <w:rFonts w:ascii="宋体"/>
                <w:color w:val="auto"/>
                <w:sz w:val="21"/>
              </w:rPr>
            </w:pPr>
          </w:p>
        </w:tc>
        <w:tc>
          <w:tcPr>
            <w:tcW w:w="492" w:type="pct"/>
            <w:noWrap w:val="0"/>
            <w:vAlign w:val="center"/>
          </w:tcPr>
          <w:p w14:paraId="5ADBB353">
            <w:pPr>
              <w:rPr>
                <w:rFonts w:ascii="宋体"/>
                <w:color w:val="auto"/>
                <w:sz w:val="21"/>
              </w:rPr>
            </w:pPr>
          </w:p>
        </w:tc>
        <w:tc>
          <w:tcPr>
            <w:tcW w:w="522" w:type="pct"/>
            <w:noWrap w:val="0"/>
            <w:vAlign w:val="center"/>
          </w:tcPr>
          <w:p w14:paraId="6A80DD10">
            <w:pPr>
              <w:rPr>
                <w:rFonts w:ascii="宋体"/>
                <w:color w:val="auto"/>
                <w:sz w:val="21"/>
              </w:rPr>
            </w:pPr>
          </w:p>
        </w:tc>
        <w:tc>
          <w:tcPr>
            <w:tcW w:w="563" w:type="pct"/>
            <w:noWrap w:val="0"/>
            <w:vAlign w:val="center"/>
          </w:tcPr>
          <w:p w14:paraId="30149701">
            <w:pPr>
              <w:rPr>
                <w:rFonts w:ascii="宋体"/>
                <w:color w:val="auto"/>
                <w:sz w:val="21"/>
              </w:rPr>
            </w:pPr>
          </w:p>
        </w:tc>
        <w:tc>
          <w:tcPr>
            <w:tcW w:w="608" w:type="pct"/>
            <w:noWrap w:val="0"/>
            <w:vAlign w:val="center"/>
          </w:tcPr>
          <w:p w14:paraId="7EDB6B09">
            <w:pPr>
              <w:rPr>
                <w:rFonts w:ascii="宋体"/>
                <w:color w:val="auto"/>
                <w:sz w:val="21"/>
              </w:rPr>
            </w:pPr>
          </w:p>
        </w:tc>
        <w:tc>
          <w:tcPr>
            <w:tcW w:w="516" w:type="pct"/>
            <w:noWrap w:val="0"/>
            <w:vAlign w:val="center"/>
          </w:tcPr>
          <w:p w14:paraId="6A3F946B">
            <w:pPr>
              <w:rPr>
                <w:rFonts w:ascii="宋体"/>
                <w:color w:val="auto"/>
                <w:sz w:val="21"/>
              </w:rPr>
            </w:pPr>
          </w:p>
        </w:tc>
        <w:tc>
          <w:tcPr>
            <w:tcW w:w="563" w:type="pct"/>
            <w:noWrap w:val="0"/>
            <w:vAlign w:val="center"/>
          </w:tcPr>
          <w:p w14:paraId="37586853">
            <w:pPr>
              <w:rPr>
                <w:rFonts w:ascii="宋体"/>
                <w:color w:val="auto"/>
                <w:sz w:val="21"/>
              </w:rPr>
            </w:pPr>
          </w:p>
        </w:tc>
        <w:tc>
          <w:tcPr>
            <w:tcW w:w="588" w:type="pct"/>
            <w:noWrap w:val="0"/>
            <w:vAlign w:val="center"/>
          </w:tcPr>
          <w:p w14:paraId="0838F91B">
            <w:pPr>
              <w:rPr>
                <w:rFonts w:ascii="宋体"/>
                <w:color w:val="auto"/>
                <w:sz w:val="21"/>
              </w:rPr>
            </w:pPr>
          </w:p>
        </w:tc>
      </w:tr>
      <w:tr w14:paraId="07AE90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672" w:type="pct"/>
            <w:vMerge w:val="continue"/>
            <w:tcBorders>
              <w:top w:val="nil"/>
              <w:bottom w:val="nil"/>
            </w:tcBorders>
            <w:noWrap w:val="0"/>
            <w:vAlign w:val="center"/>
          </w:tcPr>
          <w:p w14:paraId="3146C770">
            <w:pPr>
              <w:jc w:val="center"/>
              <w:rPr>
                <w:rFonts w:ascii="宋体"/>
                <w:color w:val="auto"/>
                <w:sz w:val="21"/>
              </w:rPr>
            </w:pPr>
          </w:p>
        </w:tc>
        <w:tc>
          <w:tcPr>
            <w:tcW w:w="472" w:type="pct"/>
            <w:noWrap w:val="0"/>
            <w:vAlign w:val="center"/>
          </w:tcPr>
          <w:p w14:paraId="55F924DD">
            <w:pPr>
              <w:rPr>
                <w:rFonts w:ascii="宋体"/>
                <w:color w:val="auto"/>
                <w:sz w:val="21"/>
              </w:rPr>
            </w:pPr>
          </w:p>
        </w:tc>
        <w:tc>
          <w:tcPr>
            <w:tcW w:w="492" w:type="pct"/>
            <w:noWrap w:val="0"/>
            <w:vAlign w:val="center"/>
          </w:tcPr>
          <w:p w14:paraId="7308EE57">
            <w:pPr>
              <w:rPr>
                <w:rFonts w:ascii="宋体"/>
                <w:color w:val="auto"/>
                <w:sz w:val="21"/>
              </w:rPr>
            </w:pPr>
          </w:p>
        </w:tc>
        <w:tc>
          <w:tcPr>
            <w:tcW w:w="522" w:type="pct"/>
            <w:noWrap w:val="0"/>
            <w:vAlign w:val="center"/>
          </w:tcPr>
          <w:p w14:paraId="4FC35FFF">
            <w:pPr>
              <w:rPr>
                <w:rFonts w:ascii="宋体"/>
                <w:color w:val="auto"/>
                <w:sz w:val="21"/>
              </w:rPr>
            </w:pPr>
          </w:p>
        </w:tc>
        <w:tc>
          <w:tcPr>
            <w:tcW w:w="563" w:type="pct"/>
            <w:noWrap w:val="0"/>
            <w:vAlign w:val="center"/>
          </w:tcPr>
          <w:p w14:paraId="654E9C41">
            <w:pPr>
              <w:rPr>
                <w:rFonts w:ascii="宋体"/>
                <w:color w:val="auto"/>
                <w:sz w:val="21"/>
              </w:rPr>
            </w:pPr>
          </w:p>
        </w:tc>
        <w:tc>
          <w:tcPr>
            <w:tcW w:w="608" w:type="pct"/>
            <w:noWrap w:val="0"/>
            <w:vAlign w:val="center"/>
          </w:tcPr>
          <w:p w14:paraId="72364B4E">
            <w:pPr>
              <w:rPr>
                <w:rFonts w:ascii="宋体"/>
                <w:color w:val="auto"/>
                <w:sz w:val="21"/>
              </w:rPr>
            </w:pPr>
          </w:p>
        </w:tc>
        <w:tc>
          <w:tcPr>
            <w:tcW w:w="516" w:type="pct"/>
            <w:noWrap w:val="0"/>
            <w:vAlign w:val="center"/>
          </w:tcPr>
          <w:p w14:paraId="4FE36C0C">
            <w:pPr>
              <w:rPr>
                <w:rFonts w:ascii="宋体"/>
                <w:color w:val="auto"/>
                <w:sz w:val="21"/>
              </w:rPr>
            </w:pPr>
          </w:p>
        </w:tc>
        <w:tc>
          <w:tcPr>
            <w:tcW w:w="563" w:type="pct"/>
            <w:noWrap w:val="0"/>
            <w:vAlign w:val="center"/>
          </w:tcPr>
          <w:p w14:paraId="5E08BE0E">
            <w:pPr>
              <w:rPr>
                <w:rFonts w:ascii="宋体"/>
                <w:color w:val="auto"/>
                <w:sz w:val="21"/>
              </w:rPr>
            </w:pPr>
          </w:p>
        </w:tc>
        <w:tc>
          <w:tcPr>
            <w:tcW w:w="588" w:type="pct"/>
            <w:noWrap w:val="0"/>
            <w:vAlign w:val="center"/>
          </w:tcPr>
          <w:p w14:paraId="3E0F03B7">
            <w:pPr>
              <w:rPr>
                <w:rFonts w:ascii="宋体"/>
                <w:color w:val="auto"/>
                <w:sz w:val="21"/>
              </w:rPr>
            </w:pPr>
          </w:p>
        </w:tc>
      </w:tr>
      <w:tr w14:paraId="7CCF5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672" w:type="pct"/>
            <w:vMerge w:val="continue"/>
            <w:tcBorders>
              <w:top w:val="nil"/>
              <w:bottom w:val="single" w:color="auto" w:sz="4" w:space="0"/>
            </w:tcBorders>
            <w:noWrap w:val="0"/>
            <w:vAlign w:val="center"/>
          </w:tcPr>
          <w:p w14:paraId="13B256C4">
            <w:pPr>
              <w:jc w:val="center"/>
              <w:rPr>
                <w:rFonts w:ascii="宋体"/>
                <w:color w:val="auto"/>
                <w:sz w:val="21"/>
              </w:rPr>
            </w:pPr>
          </w:p>
        </w:tc>
        <w:tc>
          <w:tcPr>
            <w:tcW w:w="472" w:type="pct"/>
            <w:tcBorders>
              <w:bottom w:val="single" w:color="auto" w:sz="4" w:space="0"/>
            </w:tcBorders>
            <w:noWrap w:val="0"/>
            <w:vAlign w:val="center"/>
          </w:tcPr>
          <w:p w14:paraId="69D9D074">
            <w:pPr>
              <w:rPr>
                <w:rFonts w:ascii="宋体"/>
                <w:color w:val="auto"/>
                <w:sz w:val="21"/>
              </w:rPr>
            </w:pPr>
          </w:p>
        </w:tc>
        <w:tc>
          <w:tcPr>
            <w:tcW w:w="492" w:type="pct"/>
            <w:tcBorders>
              <w:bottom w:val="single" w:color="auto" w:sz="4" w:space="0"/>
            </w:tcBorders>
            <w:noWrap w:val="0"/>
            <w:vAlign w:val="center"/>
          </w:tcPr>
          <w:p w14:paraId="670B40EA">
            <w:pPr>
              <w:rPr>
                <w:rFonts w:ascii="宋体"/>
                <w:color w:val="auto"/>
                <w:sz w:val="21"/>
              </w:rPr>
            </w:pPr>
          </w:p>
        </w:tc>
        <w:tc>
          <w:tcPr>
            <w:tcW w:w="522" w:type="pct"/>
            <w:tcBorders>
              <w:bottom w:val="single" w:color="auto" w:sz="4" w:space="0"/>
            </w:tcBorders>
            <w:noWrap w:val="0"/>
            <w:vAlign w:val="center"/>
          </w:tcPr>
          <w:p w14:paraId="7280882F">
            <w:pPr>
              <w:rPr>
                <w:rFonts w:ascii="宋体"/>
                <w:color w:val="auto"/>
                <w:sz w:val="21"/>
              </w:rPr>
            </w:pPr>
          </w:p>
        </w:tc>
        <w:tc>
          <w:tcPr>
            <w:tcW w:w="563" w:type="pct"/>
            <w:tcBorders>
              <w:bottom w:val="single" w:color="auto" w:sz="4" w:space="0"/>
            </w:tcBorders>
            <w:noWrap w:val="0"/>
            <w:vAlign w:val="center"/>
          </w:tcPr>
          <w:p w14:paraId="6AF50257">
            <w:pPr>
              <w:rPr>
                <w:rFonts w:ascii="宋体"/>
                <w:color w:val="auto"/>
                <w:sz w:val="21"/>
              </w:rPr>
            </w:pPr>
          </w:p>
        </w:tc>
        <w:tc>
          <w:tcPr>
            <w:tcW w:w="608" w:type="pct"/>
            <w:noWrap w:val="0"/>
            <w:vAlign w:val="center"/>
          </w:tcPr>
          <w:p w14:paraId="316D56C7">
            <w:pPr>
              <w:rPr>
                <w:rFonts w:ascii="宋体"/>
                <w:color w:val="auto"/>
                <w:sz w:val="21"/>
              </w:rPr>
            </w:pPr>
          </w:p>
        </w:tc>
        <w:tc>
          <w:tcPr>
            <w:tcW w:w="516" w:type="pct"/>
            <w:noWrap w:val="0"/>
            <w:vAlign w:val="center"/>
          </w:tcPr>
          <w:p w14:paraId="7633CC3F">
            <w:pPr>
              <w:rPr>
                <w:rFonts w:ascii="宋体"/>
                <w:color w:val="auto"/>
                <w:sz w:val="21"/>
              </w:rPr>
            </w:pPr>
          </w:p>
        </w:tc>
        <w:tc>
          <w:tcPr>
            <w:tcW w:w="563" w:type="pct"/>
            <w:noWrap w:val="0"/>
            <w:vAlign w:val="center"/>
          </w:tcPr>
          <w:p w14:paraId="4DD1846E">
            <w:pPr>
              <w:rPr>
                <w:rFonts w:ascii="宋体"/>
                <w:color w:val="auto"/>
                <w:sz w:val="21"/>
              </w:rPr>
            </w:pPr>
          </w:p>
        </w:tc>
        <w:tc>
          <w:tcPr>
            <w:tcW w:w="588" w:type="pct"/>
            <w:noWrap w:val="0"/>
            <w:vAlign w:val="center"/>
          </w:tcPr>
          <w:p w14:paraId="341A300E">
            <w:pPr>
              <w:rPr>
                <w:rFonts w:ascii="宋体"/>
                <w:color w:val="auto"/>
                <w:sz w:val="21"/>
              </w:rPr>
            </w:pPr>
          </w:p>
        </w:tc>
      </w:tr>
      <w:tr w14:paraId="02A94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672" w:type="pct"/>
            <w:vMerge w:val="restart"/>
            <w:tcBorders>
              <w:top w:val="single" w:color="auto" w:sz="4" w:space="0"/>
              <w:left w:val="single" w:color="auto" w:sz="4" w:space="0"/>
              <w:bottom w:val="single" w:color="auto" w:sz="4" w:space="0"/>
              <w:right w:val="single" w:color="auto" w:sz="4" w:space="0"/>
            </w:tcBorders>
            <w:noWrap w:val="0"/>
            <w:vAlign w:val="center"/>
          </w:tcPr>
          <w:p w14:paraId="5A920AFA">
            <w:pPr>
              <w:spacing w:before="193" w:line="185" w:lineRule="auto"/>
              <w:jc w:val="center"/>
              <w:rPr>
                <w:rFonts w:ascii="宋体" w:hAnsi="宋体" w:eastAsia="宋体" w:cs="宋体"/>
                <w:color w:val="auto"/>
                <w:sz w:val="24"/>
                <w:szCs w:val="24"/>
              </w:rPr>
            </w:pPr>
            <w:r>
              <w:rPr>
                <w:rFonts w:hint="eastAsia" w:ascii="宋体" w:hAnsi="宋体" w:eastAsia="宋体" w:cs="宋体"/>
                <w:spacing w:val="-1"/>
                <w:sz w:val="21"/>
                <w:szCs w:val="21"/>
                <w:lang w:val="en-US" w:eastAsia="zh-CN"/>
              </w:rPr>
              <w:t>交通运输专业造价人员</w:t>
            </w:r>
          </w:p>
        </w:tc>
        <w:tc>
          <w:tcPr>
            <w:tcW w:w="472" w:type="pct"/>
            <w:tcBorders>
              <w:top w:val="single" w:color="auto" w:sz="4" w:space="0"/>
              <w:left w:val="single" w:color="auto" w:sz="4" w:space="0"/>
              <w:bottom w:val="single" w:color="auto" w:sz="4" w:space="0"/>
              <w:right w:val="single" w:color="auto" w:sz="4" w:space="0"/>
            </w:tcBorders>
            <w:noWrap w:val="0"/>
            <w:vAlign w:val="center"/>
          </w:tcPr>
          <w:p w14:paraId="0798EBC8">
            <w:pPr>
              <w:rPr>
                <w:rFonts w:ascii="宋体"/>
                <w:color w:val="auto"/>
                <w:sz w:val="21"/>
              </w:rPr>
            </w:pPr>
          </w:p>
        </w:tc>
        <w:tc>
          <w:tcPr>
            <w:tcW w:w="492" w:type="pct"/>
            <w:tcBorders>
              <w:top w:val="single" w:color="auto" w:sz="4" w:space="0"/>
              <w:left w:val="single" w:color="auto" w:sz="4" w:space="0"/>
              <w:bottom w:val="single" w:color="auto" w:sz="4" w:space="0"/>
              <w:right w:val="single" w:color="auto" w:sz="4" w:space="0"/>
            </w:tcBorders>
            <w:noWrap w:val="0"/>
            <w:vAlign w:val="center"/>
          </w:tcPr>
          <w:p w14:paraId="0B8390D3">
            <w:pPr>
              <w:rPr>
                <w:rFonts w:ascii="宋体"/>
                <w:color w:val="auto"/>
                <w:sz w:val="21"/>
              </w:rPr>
            </w:pPr>
          </w:p>
        </w:tc>
        <w:tc>
          <w:tcPr>
            <w:tcW w:w="522" w:type="pct"/>
            <w:tcBorders>
              <w:top w:val="single" w:color="auto" w:sz="4" w:space="0"/>
              <w:left w:val="single" w:color="auto" w:sz="4" w:space="0"/>
              <w:bottom w:val="single" w:color="auto" w:sz="4" w:space="0"/>
              <w:right w:val="single" w:color="auto" w:sz="4" w:space="0"/>
            </w:tcBorders>
            <w:noWrap w:val="0"/>
            <w:vAlign w:val="center"/>
          </w:tcPr>
          <w:p w14:paraId="07F73A4E">
            <w:pPr>
              <w:rPr>
                <w:rFonts w:ascii="宋体"/>
                <w:color w:val="auto"/>
                <w:sz w:val="21"/>
              </w:rPr>
            </w:pPr>
          </w:p>
        </w:tc>
        <w:tc>
          <w:tcPr>
            <w:tcW w:w="563" w:type="pct"/>
            <w:tcBorders>
              <w:top w:val="single" w:color="auto" w:sz="4" w:space="0"/>
              <w:left w:val="single" w:color="auto" w:sz="4" w:space="0"/>
              <w:bottom w:val="single" w:color="auto" w:sz="4" w:space="0"/>
              <w:right w:val="single" w:color="auto" w:sz="4" w:space="0"/>
            </w:tcBorders>
            <w:noWrap w:val="0"/>
            <w:vAlign w:val="center"/>
          </w:tcPr>
          <w:p w14:paraId="6A0458E5">
            <w:pPr>
              <w:rPr>
                <w:rFonts w:ascii="宋体"/>
                <w:color w:val="auto"/>
                <w:sz w:val="21"/>
              </w:rPr>
            </w:pPr>
          </w:p>
        </w:tc>
        <w:tc>
          <w:tcPr>
            <w:tcW w:w="608" w:type="pct"/>
            <w:tcBorders>
              <w:left w:val="single" w:color="auto" w:sz="4" w:space="0"/>
            </w:tcBorders>
            <w:noWrap w:val="0"/>
            <w:vAlign w:val="center"/>
          </w:tcPr>
          <w:p w14:paraId="6E010A63">
            <w:pPr>
              <w:rPr>
                <w:rFonts w:ascii="宋体"/>
                <w:color w:val="auto"/>
                <w:sz w:val="21"/>
              </w:rPr>
            </w:pPr>
          </w:p>
        </w:tc>
        <w:tc>
          <w:tcPr>
            <w:tcW w:w="516" w:type="pct"/>
            <w:noWrap w:val="0"/>
            <w:vAlign w:val="center"/>
          </w:tcPr>
          <w:p w14:paraId="077EE318">
            <w:pPr>
              <w:rPr>
                <w:rFonts w:ascii="宋体"/>
                <w:color w:val="auto"/>
                <w:sz w:val="21"/>
              </w:rPr>
            </w:pPr>
          </w:p>
        </w:tc>
        <w:tc>
          <w:tcPr>
            <w:tcW w:w="563" w:type="pct"/>
            <w:noWrap w:val="0"/>
            <w:vAlign w:val="center"/>
          </w:tcPr>
          <w:p w14:paraId="4C972F08">
            <w:pPr>
              <w:rPr>
                <w:rFonts w:ascii="宋体"/>
                <w:color w:val="auto"/>
                <w:sz w:val="21"/>
              </w:rPr>
            </w:pPr>
          </w:p>
        </w:tc>
        <w:tc>
          <w:tcPr>
            <w:tcW w:w="588" w:type="pct"/>
            <w:noWrap w:val="0"/>
            <w:vAlign w:val="center"/>
          </w:tcPr>
          <w:p w14:paraId="78A17718">
            <w:pPr>
              <w:rPr>
                <w:rFonts w:ascii="宋体"/>
                <w:color w:val="auto"/>
                <w:sz w:val="21"/>
              </w:rPr>
            </w:pPr>
          </w:p>
        </w:tc>
      </w:tr>
      <w:tr w14:paraId="63176A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672" w:type="pct"/>
            <w:vMerge w:val="continue"/>
            <w:tcBorders>
              <w:top w:val="single" w:color="auto" w:sz="4" w:space="0"/>
              <w:left w:val="single" w:color="auto" w:sz="4" w:space="0"/>
              <w:bottom w:val="single" w:color="auto" w:sz="4" w:space="0"/>
              <w:right w:val="single" w:color="auto" w:sz="4" w:space="0"/>
            </w:tcBorders>
            <w:noWrap w:val="0"/>
            <w:vAlign w:val="center"/>
          </w:tcPr>
          <w:p w14:paraId="076BC6D0">
            <w:pPr>
              <w:rPr>
                <w:rFonts w:ascii="宋体"/>
                <w:color w:val="auto"/>
                <w:sz w:val="21"/>
              </w:rPr>
            </w:pPr>
          </w:p>
        </w:tc>
        <w:tc>
          <w:tcPr>
            <w:tcW w:w="472" w:type="pct"/>
            <w:tcBorders>
              <w:top w:val="single" w:color="auto" w:sz="4" w:space="0"/>
              <w:left w:val="single" w:color="auto" w:sz="4" w:space="0"/>
              <w:bottom w:val="single" w:color="auto" w:sz="4" w:space="0"/>
              <w:right w:val="single" w:color="auto" w:sz="4" w:space="0"/>
            </w:tcBorders>
            <w:noWrap w:val="0"/>
            <w:vAlign w:val="center"/>
          </w:tcPr>
          <w:p w14:paraId="757F5E9B">
            <w:pPr>
              <w:rPr>
                <w:rFonts w:ascii="宋体"/>
                <w:color w:val="auto"/>
                <w:sz w:val="21"/>
              </w:rPr>
            </w:pPr>
          </w:p>
        </w:tc>
        <w:tc>
          <w:tcPr>
            <w:tcW w:w="492" w:type="pct"/>
            <w:tcBorders>
              <w:top w:val="single" w:color="auto" w:sz="4" w:space="0"/>
              <w:left w:val="single" w:color="auto" w:sz="4" w:space="0"/>
              <w:bottom w:val="single" w:color="auto" w:sz="4" w:space="0"/>
              <w:right w:val="single" w:color="auto" w:sz="4" w:space="0"/>
            </w:tcBorders>
            <w:noWrap w:val="0"/>
            <w:vAlign w:val="center"/>
          </w:tcPr>
          <w:p w14:paraId="0D97E82A">
            <w:pPr>
              <w:rPr>
                <w:rFonts w:ascii="宋体"/>
                <w:color w:val="auto"/>
                <w:sz w:val="21"/>
              </w:rPr>
            </w:pPr>
          </w:p>
        </w:tc>
        <w:tc>
          <w:tcPr>
            <w:tcW w:w="522" w:type="pct"/>
            <w:tcBorders>
              <w:top w:val="single" w:color="auto" w:sz="4" w:space="0"/>
              <w:left w:val="single" w:color="auto" w:sz="4" w:space="0"/>
              <w:bottom w:val="single" w:color="auto" w:sz="4" w:space="0"/>
              <w:right w:val="single" w:color="auto" w:sz="4" w:space="0"/>
            </w:tcBorders>
            <w:noWrap w:val="0"/>
            <w:vAlign w:val="center"/>
          </w:tcPr>
          <w:p w14:paraId="13230AAE">
            <w:pPr>
              <w:rPr>
                <w:rFonts w:ascii="宋体"/>
                <w:color w:val="auto"/>
                <w:sz w:val="21"/>
              </w:rPr>
            </w:pPr>
          </w:p>
        </w:tc>
        <w:tc>
          <w:tcPr>
            <w:tcW w:w="563" w:type="pct"/>
            <w:tcBorders>
              <w:top w:val="single" w:color="auto" w:sz="4" w:space="0"/>
              <w:left w:val="single" w:color="auto" w:sz="4" w:space="0"/>
              <w:bottom w:val="single" w:color="auto" w:sz="4" w:space="0"/>
              <w:right w:val="single" w:color="auto" w:sz="4" w:space="0"/>
            </w:tcBorders>
            <w:noWrap w:val="0"/>
            <w:vAlign w:val="center"/>
          </w:tcPr>
          <w:p w14:paraId="1393E6C7">
            <w:pPr>
              <w:rPr>
                <w:rFonts w:ascii="宋体"/>
                <w:color w:val="auto"/>
                <w:sz w:val="21"/>
              </w:rPr>
            </w:pPr>
          </w:p>
        </w:tc>
        <w:tc>
          <w:tcPr>
            <w:tcW w:w="608" w:type="pct"/>
            <w:tcBorders>
              <w:left w:val="single" w:color="auto" w:sz="4" w:space="0"/>
            </w:tcBorders>
            <w:noWrap w:val="0"/>
            <w:vAlign w:val="center"/>
          </w:tcPr>
          <w:p w14:paraId="2255E1BA">
            <w:pPr>
              <w:rPr>
                <w:rFonts w:ascii="宋体"/>
                <w:color w:val="auto"/>
                <w:sz w:val="21"/>
              </w:rPr>
            </w:pPr>
          </w:p>
        </w:tc>
        <w:tc>
          <w:tcPr>
            <w:tcW w:w="516" w:type="pct"/>
            <w:noWrap w:val="0"/>
            <w:vAlign w:val="center"/>
          </w:tcPr>
          <w:p w14:paraId="1A383A31">
            <w:pPr>
              <w:rPr>
                <w:rFonts w:ascii="宋体"/>
                <w:color w:val="auto"/>
                <w:sz w:val="21"/>
              </w:rPr>
            </w:pPr>
          </w:p>
        </w:tc>
        <w:tc>
          <w:tcPr>
            <w:tcW w:w="563" w:type="pct"/>
            <w:noWrap w:val="0"/>
            <w:vAlign w:val="center"/>
          </w:tcPr>
          <w:p w14:paraId="05B8C084">
            <w:pPr>
              <w:rPr>
                <w:rFonts w:ascii="宋体"/>
                <w:color w:val="auto"/>
                <w:sz w:val="21"/>
              </w:rPr>
            </w:pPr>
          </w:p>
        </w:tc>
        <w:tc>
          <w:tcPr>
            <w:tcW w:w="588" w:type="pct"/>
            <w:noWrap w:val="0"/>
            <w:vAlign w:val="center"/>
          </w:tcPr>
          <w:p w14:paraId="3841A9B1">
            <w:pPr>
              <w:rPr>
                <w:rFonts w:ascii="宋体"/>
                <w:color w:val="auto"/>
                <w:sz w:val="21"/>
              </w:rPr>
            </w:pPr>
          </w:p>
        </w:tc>
      </w:tr>
      <w:tr w14:paraId="07A2D5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672" w:type="pct"/>
            <w:vMerge w:val="continue"/>
            <w:tcBorders>
              <w:top w:val="single" w:color="auto" w:sz="4" w:space="0"/>
              <w:left w:val="single" w:color="auto" w:sz="4" w:space="0"/>
              <w:bottom w:val="single" w:color="auto" w:sz="4" w:space="0"/>
              <w:right w:val="single" w:color="auto" w:sz="4" w:space="0"/>
            </w:tcBorders>
            <w:noWrap w:val="0"/>
            <w:vAlign w:val="center"/>
          </w:tcPr>
          <w:p w14:paraId="7B956BF5">
            <w:pPr>
              <w:rPr>
                <w:rFonts w:ascii="宋体"/>
                <w:color w:val="auto"/>
                <w:sz w:val="21"/>
              </w:rPr>
            </w:pPr>
          </w:p>
        </w:tc>
        <w:tc>
          <w:tcPr>
            <w:tcW w:w="472" w:type="pct"/>
            <w:tcBorders>
              <w:top w:val="single" w:color="auto" w:sz="4" w:space="0"/>
              <w:left w:val="single" w:color="auto" w:sz="4" w:space="0"/>
              <w:bottom w:val="single" w:color="auto" w:sz="4" w:space="0"/>
              <w:right w:val="single" w:color="auto" w:sz="4" w:space="0"/>
            </w:tcBorders>
            <w:noWrap w:val="0"/>
            <w:vAlign w:val="center"/>
          </w:tcPr>
          <w:p w14:paraId="27CA2164">
            <w:pPr>
              <w:rPr>
                <w:rFonts w:ascii="宋体"/>
                <w:color w:val="auto"/>
                <w:sz w:val="21"/>
              </w:rPr>
            </w:pPr>
          </w:p>
        </w:tc>
        <w:tc>
          <w:tcPr>
            <w:tcW w:w="492" w:type="pct"/>
            <w:tcBorders>
              <w:top w:val="single" w:color="auto" w:sz="4" w:space="0"/>
              <w:left w:val="single" w:color="auto" w:sz="4" w:space="0"/>
              <w:bottom w:val="single" w:color="auto" w:sz="4" w:space="0"/>
              <w:right w:val="single" w:color="auto" w:sz="4" w:space="0"/>
            </w:tcBorders>
            <w:noWrap w:val="0"/>
            <w:vAlign w:val="center"/>
          </w:tcPr>
          <w:p w14:paraId="289B95C0">
            <w:pPr>
              <w:rPr>
                <w:rFonts w:ascii="宋体"/>
                <w:color w:val="auto"/>
                <w:sz w:val="21"/>
              </w:rPr>
            </w:pPr>
          </w:p>
        </w:tc>
        <w:tc>
          <w:tcPr>
            <w:tcW w:w="522" w:type="pct"/>
            <w:tcBorders>
              <w:top w:val="single" w:color="auto" w:sz="4" w:space="0"/>
              <w:left w:val="single" w:color="auto" w:sz="4" w:space="0"/>
              <w:bottom w:val="single" w:color="auto" w:sz="4" w:space="0"/>
              <w:right w:val="single" w:color="auto" w:sz="4" w:space="0"/>
            </w:tcBorders>
            <w:noWrap w:val="0"/>
            <w:vAlign w:val="center"/>
          </w:tcPr>
          <w:p w14:paraId="5117E794">
            <w:pPr>
              <w:rPr>
                <w:rFonts w:ascii="宋体"/>
                <w:color w:val="auto"/>
                <w:sz w:val="21"/>
              </w:rPr>
            </w:pPr>
          </w:p>
        </w:tc>
        <w:tc>
          <w:tcPr>
            <w:tcW w:w="563" w:type="pct"/>
            <w:tcBorders>
              <w:top w:val="single" w:color="auto" w:sz="4" w:space="0"/>
              <w:left w:val="single" w:color="auto" w:sz="4" w:space="0"/>
              <w:bottom w:val="single" w:color="auto" w:sz="4" w:space="0"/>
              <w:right w:val="single" w:color="auto" w:sz="4" w:space="0"/>
            </w:tcBorders>
            <w:noWrap w:val="0"/>
            <w:vAlign w:val="center"/>
          </w:tcPr>
          <w:p w14:paraId="7F50B48C">
            <w:pPr>
              <w:rPr>
                <w:rFonts w:ascii="宋体"/>
                <w:color w:val="auto"/>
                <w:sz w:val="21"/>
              </w:rPr>
            </w:pPr>
          </w:p>
        </w:tc>
        <w:tc>
          <w:tcPr>
            <w:tcW w:w="608" w:type="pct"/>
            <w:tcBorders>
              <w:left w:val="single" w:color="auto" w:sz="4" w:space="0"/>
            </w:tcBorders>
            <w:noWrap w:val="0"/>
            <w:vAlign w:val="center"/>
          </w:tcPr>
          <w:p w14:paraId="3EFCDB4B">
            <w:pPr>
              <w:rPr>
                <w:rFonts w:ascii="宋体"/>
                <w:color w:val="auto"/>
                <w:sz w:val="21"/>
              </w:rPr>
            </w:pPr>
          </w:p>
        </w:tc>
        <w:tc>
          <w:tcPr>
            <w:tcW w:w="516" w:type="pct"/>
            <w:noWrap w:val="0"/>
            <w:vAlign w:val="center"/>
          </w:tcPr>
          <w:p w14:paraId="63A53EAB">
            <w:pPr>
              <w:rPr>
                <w:rFonts w:ascii="宋体"/>
                <w:color w:val="auto"/>
                <w:sz w:val="21"/>
              </w:rPr>
            </w:pPr>
          </w:p>
        </w:tc>
        <w:tc>
          <w:tcPr>
            <w:tcW w:w="563" w:type="pct"/>
            <w:noWrap w:val="0"/>
            <w:vAlign w:val="center"/>
          </w:tcPr>
          <w:p w14:paraId="1EEAC989">
            <w:pPr>
              <w:rPr>
                <w:rFonts w:ascii="宋体"/>
                <w:color w:val="auto"/>
                <w:sz w:val="21"/>
              </w:rPr>
            </w:pPr>
          </w:p>
        </w:tc>
        <w:tc>
          <w:tcPr>
            <w:tcW w:w="588" w:type="pct"/>
            <w:noWrap w:val="0"/>
            <w:vAlign w:val="center"/>
          </w:tcPr>
          <w:p w14:paraId="71E5B71F">
            <w:pPr>
              <w:rPr>
                <w:rFonts w:ascii="宋体"/>
                <w:color w:val="auto"/>
                <w:sz w:val="21"/>
              </w:rPr>
            </w:pPr>
          </w:p>
        </w:tc>
      </w:tr>
      <w:tr w14:paraId="39FF0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672" w:type="pct"/>
            <w:vMerge w:val="restart"/>
            <w:tcBorders>
              <w:top w:val="single" w:color="auto" w:sz="4" w:space="0"/>
              <w:left w:val="single" w:color="auto" w:sz="4" w:space="0"/>
              <w:bottom w:val="single" w:color="auto" w:sz="4" w:space="0"/>
              <w:right w:val="single" w:color="auto" w:sz="4" w:space="0"/>
            </w:tcBorders>
            <w:noWrap w:val="0"/>
            <w:vAlign w:val="center"/>
          </w:tcPr>
          <w:p w14:paraId="730785CB">
            <w:pPr>
              <w:spacing w:before="193" w:line="185" w:lineRule="auto"/>
              <w:jc w:val="center"/>
              <w:rPr>
                <w:rFonts w:hint="default"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水利工程专业造价人员</w:t>
            </w:r>
          </w:p>
          <w:p w14:paraId="66C0D328">
            <w:pPr>
              <w:pStyle w:val="20"/>
              <w:jc w:val="center"/>
            </w:pPr>
          </w:p>
        </w:tc>
        <w:tc>
          <w:tcPr>
            <w:tcW w:w="472" w:type="pct"/>
            <w:tcBorders>
              <w:top w:val="single" w:color="auto" w:sz="4" w:space="0"/>
              <w:left w:val="single" w:color="auto" w:sz="4" w:space="0"/>
            </w:tcBorders>
            <w:noWrap w:val="0"/>
            <w:vAlign w:val="center"/>
          </w:tcPr>
          <w:p w14:paraId="5AF2DBCD">
            <w:pPr>
              <w:rPr>
                <w:rFonts w:ascii="宋体"/>
                <w:color w:val="auto"/>
                <w:sz w:val="21"/>
              </w:rPr>
            </w:pPr>
          </w:p>
        </w:tc>
        <w:tc>
          <w:tcPr>
            <w:tcW w:w="492" w:type="pct"/>
            <w:tcBorders>
              <w:top w:val="single" w:color="auto" w:sz="4" w:space="0"/>
            </w:tcBorders>
            <w:noWrap w:val="0"/>
            <w:vAlign w:val="center"/>
          </w:tcPr>
          <w:p w14:paraId="235F5FA4">
            <w:pPr>
              <w:rPr>
                <w:rFonts w:ascii="宋体"/>
                <w:color w:val="auto"/>
                <w:sz w:val="21"/>
              </w:rPr>
            </w:pPr>
          </w:p>
        </w:tc>
        <w:tc>
          <w:tcPr>
            <w:tcW w:w="522" w:type="pct"/>
            <w:tcBorders>
              <w:top w:val="single" w:color="auto" w:sz="4" w:space="0"/>
            </w:tcBorders>
            <w:noWrap w:val="0"/>
            <w:vAlign w:val="center"/>
          </w:tcPr>
          <w:p w14:paraId="6A566DA2">
            <w:pPr>
              <w:rPr>
                <w:rFonts w:ascii="宋体"/>
                <w:color w:val="auto"/>
                <w:sz w:val="21"/>
              </w:rPr>
            </w:pPr>
          </w:p>
        </w:tc>
        <w:tc>
          <w:tcPr>
            <w:tcW w:w="563" w:type="pct"/>
            <w:tcBorders>
              <w:top w:val="single" w:color="auto" w:sz="4" w:space="0"/>
            </w:tcBorders>
            <w:noWrap w:val="0"/>
            <w:vAlign w:val="center"/>
          </w:tcPr>
          <w:p w14:paraId="6A914AE2">
            <w:pPr>
              <w:rPr>
                <w:rFonts w:ascii="宋体"/>
                <w:color w:val="auto"/>
                <w:sz w:val="21"/>
              </w:rPr>
            </w:pPr>
          </w:p>
        </w:tc>
        <w:tc>
          <w:tcPr>
            <w:tcW w:w="608" w:type="pct"/>
            <w:noWrap w:val="0"/>
            <w:vAlign w:val="center"/>
          </w:tcPr>
          <w:p w14:paraId="43782EF6">
            <w:pPr>
              <w:rPr>
                <w:rFonts w:ascii="宋体"/>
                <w:color w:val="auto"/>
                <w:sz w:val="21"/>
              </w:rPr>
            </w:pPr>
          </w:p>
        </w:tc>
        <w:tc>
          <w:tcPr>
            <w:tcW w:w="516" w:type="pct"/>
            <w:noWrap w:val="0"/>
            <w:vAlign w:val="center"/>
          </w:tcPr>
          <w:p w14:paraId="6BB85C56">
            <w:pPr>
              <w:rPr>
                <w:rFonts w:ascii="宋体"/>
                <w:color w:val="auto"/>
                <w:sz w:val="21"/>
              </w:rPr>
            </w:pPr>
          </w:p>
        </w:tc>
        <w:tc>
          <w:tcPr>
            <w:tcW w:w="563" w:type="pct"/>
            <w:noWrap w:val="0"/>
            <w:vAlign w:val="center"/>
          </w:tcPr>
          <w:p w14:paraId="2BF6894E">
            <w:pPr>
              <w:rPr>
                <w:rFonts w:ascii="宋体"/>
                <w:color w:val="auto"/>
                <w:sz w:val="21"/>
              </w:rPr>
            </w:pPr>
          </w:p>
        </w:tc>
        <w:tc>
          <w:tcPr>
            <w:tcW w:w="588" w:type="pct"/>
            <w:noWrap w:val="0"/>
            <w:vAlign w:val="center"/>
          </w:tcPr>
          <w:p w14:paraId="34E9B15C">
            <w:pPr>
              <w:rPr>
                <w:rFonts w:ascii="宋体"/>
                <w:color w:val="auto"/>
                <w:sz w:val="21"/>
              </w:rPr>
            </w:pPr>
          </w:p>
        </w:tc>
      </w:tr>
      <w:tr w14:paraId="0534F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672" w:type="pct"/>
            <w:vMerge w:val="continue"/>
            <w:tcBorders>
              <w:top w:val="single" w:color="auto" w:sz="4" w:space="0"/>
              <w:left w:val="single" w:color="auto" w:sz="4" w:space="0"/>
              <w:bottom w:val="single" w:color="auto" w:sz="4" w:space="0"/>
              <w:right w:val="single" w:color="auto" w:sz="4" w:space="0"/>
            </w:tcBorders>
            <w:noWrap w:val="0"/>
            <w:vAlign w:val="center"/>
          </w:tcPr>
          <w:p w14:paraId="2CE15249">
            <w:pPr>
              <w:pStyle w:val="20"/>
              <w:jc w:val="center"/>
            </w:pPr>
          </w:p>
        </w:tc>
        <w:tc>
          <w:tcPr>
            <w:tcW w:w="472" w:type="pct"/>
            <w:tcBorders>
              <w:left w:val="single" w:color="auto" w:sz="4" w:space="0"/>
            </w:tcBorders>
            <w:noWrap w:val="0"/>
            <w:vAlign w:val="center"/>
          </w:tcPr>
          <w:p w14:paraId="7611F758">
            <w:pPr>
              <w:rPr>
                <w:rFonts w:ascii="宋体"/>
                <w:color w:val="auto"/>
                <w:sz w:val="21"/>
              </w:rPr>
            </w:pPr>
          </w:p>
        </w:tc>
        <w:tc>
          <w:tcPr>
            <w:tcW w:w="492" w:type="pct"/>
            <w:noWrap w:val="0"/>
            <w:vAlign w:val="center"/>
          </w:tcPr>
          <w:p w14:paraId="508CC538">
            <w:pPr>
              <w:rPr>
                <w:rFonts w:ascii="宋体"/>
                <w:color w:val="auto"/>
                <w:sz w:val="21"/>
              </w:rPr>
            </w:pPr>
          </w:p>
        </w:tc>
        <w:tc>
          <w:tcPr>
            <w:tcW w:w="522" w:type="pct"/>
            <w:noWrap w:val="0"/>
            <w:vAlign w:val="center"/>
          </w:tcPr>
          <w:p w14:paraId="58552FBE">
            <w:pPr>
              <w:rPr>
                <w:rFonts w:ascii="宋体"/>
                <w:color w:val="auto"/>
                <w:sz w:val="21"/>
              </w:rPr>
            </w:pPr>
          </w:p>
        </w:tc>
        <w:tc>
          <w:tcPr>
            <w:tcW w:w="563" w:type="pct"/>
            <w:noWrap w:val="0"/>
            <w:vAlign w:val="center"/>
          </w:tcPr>
          <w:p w14:paraId="1EF361E5">
            <w:pPr>
              <w:rPr>
                <w:rFonts w:ascii="宋体"/>
                <w:color w:val="auto"/>
                <w:sz w:val="21"/>
              </w:rPr>
            </w:pPr>
          </w:p>
        </w:tc>
        <w:tc>
          <w:tcPr>
            <w:tcW w:w="608" w:type="pct"/>
            <w:noWrap w:val="0"/>
            <w:vAlign w:val="center"/>
          </w:tcPr>
          <w:p w14:paraId="6BBC3497">
            <w:pPr>
              <w:rPr>
                <w:rFonts w:ascii="宋体"/>
                <w:color w:val="auto"/>
                <w:sz w:val="21"/>
              </w:rPr>
            </w:pPr>
          </w:p>
        </w:tc>
        <w:tc>
          <w:tcPr>
            <w:tcW w:w="516" w:type="pct"/>
            <w:noWrap w:val="0"/>
            <w:vAlign w:val="center"/>
          </w:tcPr>
          <w:p w14:paraId="374B0784">
            <w:pPr>
              <w:rPr>
                <w:rFonts w:ascii="宋体"/>
                <w:color w:val="auto"/>
                <w:sz w:val="21"/>
              </w:rPr>
            </w:pPr>
          </w:p>
        </w:tc>
        <w:tc>
          <w:tcPr>
            <w:tcW w:w="563" w:type="pct"/>
            <w:noWrap w:val="0"/>
            <w:vAlign w:val="center"/>
          </w:tcPr>
          <w:p w14:paraId="60059B81">
            <w:pPr>
              <w:rPr>
                <w:rFonts w:ascii="宋体"/>
                <w:color w:val="auto"/>
                <w:sz w:val="21"/>
              </w:rPr>
            </w:pPr>
          </w:p>
        </w:tc>
        <w:tc>
          <w:tcPr>
            <w:tcW w:w="588" w:type="pct"/>
            <w:noWrap w:val="0"/>
            <w:vAlign w:val="center"/>
          </w:tcPr>
          <w:p w14:paraId="6A297FA5">
            <w:pPr>
              <w:rPr>
                <w:rFonts w:ascii="宋体"/>
                <w:color w:val="auto"/>
                <w:sz w:val="21"/>
              </w:rPr>
            </w:pPr>
          </w:p>
        </w:tc>
      </w:tr>
      <w:tr w14:paraId="71E338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672" w:type="pct"/>
            <w:vMerge w:val="continue"/>
            <w:tcBorders>
              <w:top w:val="single" w:color="auto" w:sz="4" w:space="0"/>
              <w:left w:val="single" w:color="auto" w:sz="4" w:space="0"/>
              <w:bottom w:val="single" w:color="auto" w:sz="4" w:space="0"/>
              <w:right w:val="single" w:color="auto" w:sz="4" w:space="0"/>
            </w:tcBorders>
            <w:noWrap w:val="0"/>
            <w:vAlign w:val="center"/>
          </w:tcPr>
          <w:p w14:paraId="7450C5CF">
            <w:pPr>
              <w:jc w:val="center"/>
              <w:rPr>
                <w:rFonts w:ascii="宋体"/>
                <w:color w:val="auto"/>
                <w:sz w:val="21"/>
              </w:rPr>
            </w:pPr>
          </w:p>
        </w:tc>
        <w:tc>
          <w:tcPr>
            <w:tcW w:w="472" w:type="pct"/>
            <w:tcBorders>
              <w:left w:val="single" w:color="auto" w:sz="4" w:space="0"/>
            </w:tcBorders>
            <w:noWrap w:val="0"/>
            <w:vAlign w:val="center"/>
          </w:tcPr>
          <w:p w14:paraId="19795C36">
            <w:pPr>
              <w:rPr>
                <w:rFonts w:ascii="宋体"/>
                <w:color w:val="auto"/>
                <w:sz w:val="21"/>
              </w:rPr>
            </w:pPr>
          </w:p>
        </w:tc>
        <w:tc>
          <w:tcPr>
            <w:tcW w:w="492" w:type="pct"/>
            <w:noWrap w:val="0"/>
            <w:vAlign w:val="center"/>
          </w:tcPr>
          <w:p w14:paraId="17A4892B">
            <w:pPr>
              <w:rPr>
                <w:rFonts w:ascii="宋体"/>
                <w:color w:val="auto"/>
                <w:sz w:val="21"/>
              </w:rPr>
            </w:pPr>
          </w:p>
        </w:tc>
        <w:tc>
          <w:tcPr>
            <w:tcW w:w="522" w:type="pct"/>
            <w:noWrap w:val="0"/>
            <w:vAlign w:val="center"/>
          </w:tcPr>
          <w:p w14:paraId="1E3A66B2">
            <w:pPr>
              <w:rPr>
                <w:rFonts w:ascii="宋体"/>
                <w:color w:val="auto"/>
                <w:sz w:val="21"/>
              </w:rPr>
            </w:pPr>
          </w:p>
        </w:tc>
        <w:tc>
          <w:tcPr>
            <w:tcW w:w="563" w:type="pct"/>
            <w:noWrap w:val="0"/>
            <w:vAlign w:val="center"/>
          </w:tcPr>
          <w:p w14:paraId="0D3C965E">
            <w:pPr>
              <w:rPr>
                <w:rFonts w:ascii="宋体"/>
                <w:color w:val="auto"/>
                <w:sz w:val="21"/>
              </w:rPr>
            </w:pPr>
          </w:p>
        </w:tc>
        <w:tc>
          <w:tcPr>
            <w:tcW w:w="608" w:type="pct"/>
            <w:noWrap w:val="0"/>
            <w:vAlign w:val="center"/>
          </w:tcPr>
          <w:p w14:paraId="4C28EA22">
            <w:pPr>
              <w:rPr>
                <w:rFonts w:ascii="宋体"/>
                <w:color w:val="auto"/>
                <w:sz w:val="21"/>
              </w:rPr>
            </w:pPr>
          </w:p>
        </w:tc>
        <w:tc>
          <w:tcPr>
            <w:tcW w:w="516" w:type="pct"/>
            <w:noWrap w:val="0"/>
            <w:vAlign w:val="center"/>
          </w:tcPr>
          <w:p w14:paraId="4FD2317B">
            <w:pPr>
              <w:rPr>
                <w:rFonts w:ascii="宋体"/>
                <w:color w:val="auto"/>
                <w:sz w:val="21"/>
              </w:rPr>
            </w:pPr>
          </w:p>
        </w:tc>
        <w:tc>
          <w:tcPr>
            <w:tcW w:w="563" w:type="pct"/>
            <w:noWrap w:val="0"/>
            <w:vAlign w:val="center"/>
          </w:tcPr>
          <w:p w14:paraId="3C825552">
            <w:pPr>
              <w:rPr>
                <w:rFonts w:ascii="宋体"/>
                <w:color w:val="auto"/>
                <w:sz w:val="21"/>
              </w:rPr>
            </w:pPr>
          </w:p>
        </w:tc>
        <w:tc>
          <w:tcPr>
            <w:tcW w:w="588" w:type="pct"/>
            <w:noWrap w:val="0"/>
            <w:vAlign w:val="center"/>
          </w:tcPr>
          <w:p w14:paraId="6793D1D9">
            <w:pPr>
              <w:rPr>
                <w:rFonts w:ascii="宋体"/>
                <w:color w:val="auto"/>
                <w:sz w:val="21"/>
              </w:rPr>
            </w:pPr>
          </w:p>
        </w:tc>
      </w:tr>
      <w:tr w14:paraId="09B19A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672" w:type="pct"/>
            <w:vMerge w:val="restart"/>
            <w:tcBorders>
              <w:top w:val="single" w:color="auto" w:sz="4" w:space="0"/>
              <w:left w:val="single" w:color="auto" w:sz="4" w:space="0"/>
              <w:bottom w:val="single" w:color="auto" w:sz="4" w:space="0"/>
              <w:right w:val="single" w:color="auto" w:sz="4" w:space="0"/>
            </w:tcBorders>
            <w:noWrap w:val="0"/>
            <w:vAlign w:val="center"/>
          </w:tcPr>
          <w:p w14:paraId="49DBF5DA">
            <w:pPr>
              <w:jc w:val="center"/>
              <w:rPr>
                <w:rFonts w:ascii="宋体"/>
                <w:color w:val="auto"/>
                <w:sz w:val="21"/>
              </w:rPr>
            </w:pPr>
            <w:r>
              <w:rPr>
                <w:rFonts w:hint="eastAsia" w:ascii="宋体" w:hAnsi="宋体" w:eastAsia="宋体" w:cs="宋体"/>
                <w:spacing w:val="-1"/>
                <w:sz w:val="21"/>
                <w:szCs w:val="21"/>
                <w:lang w:val="en-US" w:eastAsia="zh-CN"/>
              </w:rPr>
              <w:t>安装专业造价人员</w:t>
            </w:r>
          </w:p>
        </w:tc>
        <w:tc>
          <w:tcPr>
            <w:tcW w:w="472" w:type="pct"/>
            <w:tcBorders>
              <w:left w:val="single" w:color="auto" w:sz="4" w:space="0"/>
            </w:tcBorders>
            <w:noWrap w:val="0"/>
            <w:vAlign w:val="center"/>
          </w:tcPr>
          <w:p w14:paraId="51CAB72C">
            <w:pPr>
              <w:rPr>
                <w:rFonts w:ascii="宋体"/>
                <w:color w:val="auto"/>
                <w:sz w:val="21"/>
              </w:rPr>
            </w:pPr>
          </w:p>
        </w:tc>
        <w:tc>
          <w:tcPr>
            <w:tcW w:w="492" w:type="pct"/>
            <w:noWrap w:val="0"/>
            <w:vAlign w:val="center"/>
          </w:tcPr>
          <w:p w14:paraId="736332A6">
            <w:pPr>
              <w:rPr>
                <w:rFonts w:ascii="宋体"/>
                <w:color w:val="auto"/>
                <w:sz w:val="21"/>
              </w:rPr>
            </w:pPr>
          </w:p>
        </w:tc>
        <w:tc>
          <w:tcPr>
            <w:tcW w:w="522" w:type="pct"/>
            <w:noWrap w:val="0"/>
            <w:vAlign w:val="center"/>
          </w:tcPr>
          <w:p w14:paraId="0BB21CC3">
            <w:pPr>
              <w:rPr>
                <w:rFonts w:ascii="宋体"/>
                <w:color w:val="auto"/>
                <w:sz w:val="21"/>
              </w:rPr>
            </w:pPr>
          </w:p>
        </w:tc>
        <w:tc>
          <w:tcPr>
            <w:tcW w:w="563" w:type="pct"/>
            <w:noWrap w:val="0"/>
            <w:vAlign w:val="center"/>
          </w:tcPr>
          <w:p w14:paraId="6D99F2A0">
            <w:pPr>
              <w:rPr>
                <w:rFonts w:ascii="宋体"/>
                <w:color w:val="auto"/>
                <w:sz w:val="21"/>
              </w:rPr>
            </w:pPr>
          </w:p>
        </w:tc>
        <w:tc>
          <w:tcPr>
            <w:tcW w:w="608" w:type="pct"/>
            <w:noWrap w:val="0"/>
            <w:vAlign w:val="center"/>
          </w:tcPr>
          <w:p w14:paraId="43CF1754">
            <w:pPr>
              <w:rPr>
                <w:rFonts w:ascii="宋体"/>
                <w:color w:val="auto"/>
                <w:sz w:val="21"/>
              </w:rPr>
            </w:pPr>
          </w:p>
        </w:tc>
        <w:tc>
          <w:tcPr>
            <w:tcW w:w="516" w:type="pct"/>
            <w:noWrap w:val="0"/>
            <w:vAlign w:val="center"/>
          </w:tcPr>
          <w:p w14:paraId="095B407F">
            <w:pPr>
              <w:rPr>
                <w:rFonts w:ascii="宋体"/>
                <w:color w:val="auto"/>
                <w:sz w:val="21"/>
              </w:rPr>
            </w:pPr>
          </w:p>
        </w:tc>
        <w:tc>
          <w:tcPr>
            <w:tcW w:w="563" w:type="pct"/>
            <w:noWrap w:val="0"/>
            <w:vAlign w:val="center"/>
          </w:tcPr>
          <w:p w14:paraId="572E4F39">
            <w:pPr>
              <w:rPr>
                <w:rFonts w:ascii="宋体"/>
                <w:color w:val="auto"/>
                <w:sz w:val="21"/>
              </w:rPr>
            </w:pPr>
          </w:p>
        </w:tc>
        <w:tc>
          <w:tcPr>
            <w:tcW w:w="588" w:type="pct"/>
            <w:noWrap w:val="0"/>
            <w:vAlign w:val="center"/>
          </w:tcPr>
          <w:p w14:paraId="12826144">
            <w:pPr>
              <w:rPr>
                <w:rFonts w:ascii="宋体"/>
                <w:color w:val="auto"/>
                <w:sz w:val="21"/>
              </w:rPr>
            </w:pPr>
          </w:p>
        </w:tc>
      </w:tr>
      <w:tr w14:paraId="1FD8CD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672" w:type="pct"/>
            <w:vMerge w:val="continue"/>
            <w:tcBorders>
              <w:top w:val="single" w:color="auto" w:sz="4" w:space="0"/>
              <w:left w:val="single" w:color="auto" w:sz="4" w:space="0"/>
              <w:bottom w:val="single" w:color="auto" w:sz="4" w:space="0"/>
              <w:right w:val="single" w:color="auto" w:sz="4" w:space="0"/>
            </w:tcBorders>
            <w:noWrap w:val="0"/>
            <w:vAlign w:val="center"/>
          </w:tcPr>
          <w:p w14:paraId="494FC448">
            <w:pPr>
              <w:jc w:val="center"/>
              <w:rPr>
                <w:rFonts w:ascii="宋体"/>
                <w:color w:val="auto"/>
                <w:sz w:val="21"/>
              </w:rPr>
            </w:pPr>
          </w:p>
        </w:tc>
        <w:tc>
          <w:tcPr>
            <w:tcW w:w="472" w:type="pct"/>
            <w:tcBorders>
              <w:left w:val="single" w:color="auto" w:sz="4" w:space="0"/>
            </w:tcBorders>
            <w:noWrap w:val="0"/>
            <w:vAlign w:val="center"/>
          </w:tcPr>
          <w:p w14:paraId="1D74FFD5">
            <w:pPr>
              <w:rPr>
                <w:rFonts w:ascii="宋体"/>
                <w:color w:val="auto"/>
                <w:sz w:val="21"/>
              </w:rPr>
            </w:pPr>
          </w:p>
        </w:tc>
        <w:tc>
          <w:tcPr>
            <w:tcW w:w="492" w:type="pct"/>
            <w:noWrap w:val="0"/>
            <w:vAlign w:val="center"/>
          </w:tcPr>
          <w:p w14:paraId="62FA8E72">
            <w:pPr>
              <w:rPr>
                <w:rFonts w:ascii="宋体"/>
                <w:color w:val="auto"/>
                <w:sz w:val="21"/>
              </w:rPr>
            </w:pPr>
          </w:p>
        </w:tc>
        <w:tc>
          <w:tcPr>
            <w:tcW w:w="522" w:type="pct"/>
            <w:noWrap w:val="0"/>
            <w:vAlign w:val="center"/>
          </w:tcPr>
          <w:p w14:paraId="76C79FE4">
            <w:pPr>
              <w:rPr>
                <w:rFonts w:ascii="宋体"/>
                <w:color w:val="auto"/>
                <w:sz w:val="21"/>
              </w:rPr>
            </w:pPr>
          </w:p>
        </w:tc>
        <w:tc>
          <w:tcPr>
            <w:tcW w:w="563" w:type="pct"/>
            <w:noWrap w:val="0"/>
            <w:vAlign w:val="center"/>
          </w:tcPr>
          <w:p w14:paraId="6C478406">
            <w:pPr>
              <w:rPr>
                <w:rFonts w:ascii="宋体"/>
                <w:color w:val="auto"/>
                <w:sz w:val="21"/>
              </w:rPr>
            </w:pPr>
          </w:p>
        </w:tc>
        <w:tc>
          <w:tcPr>
            <w:tcW w:w="608" w:type="pct"/>
            <w:noWrap w:val="0"/>
            <w:vAlign w:val="center"/>
          </w:tcPr>
          <w:p w14:paraId="56180CEB">
            <w:pPr>
              <w:rPr>
                <w:rFonts w:ascii="宋体"/>
                <w:color w:val="auto"/>
                <w:sz w:val="21"/>
              </w:rPr>
            </w:pPr>
          </w:p>
        </w:tc>
        <w:tc>
          <w:tcPr>
            <w:tcW w:w="516" w:type="pct"/>
            <w:noWrap w:val="0"/>
            <w:vAlign w:val="center"/>
          </w:tcPr>
          <w:p w14:paraId="46653FD5">
            <w:pPr>
              <w:rPr>
                <w:rFonts w:ascii="宋体"/>
                <w:color w:val="auto"/>
                <w:sz w:val="21"/>
              </w:rPr>
            </w:pPr>
          </w:p>
        </w:tc>
        <w:tc>
          <w:tcPr>
            <w:tcW w:w="563" w:type="pct"/>
            <w:noWrap w:val="0"/>
            <w:vAlign w:val="center"/>
          </w:tcPr>
          <w:p w14:paraId="15FB3F7F">
            <w:pPr>
              <w:rPr>
                <w:rFonts w:ascii="宋体"/>
                <w:color w:val="auto"/>
                <w:sz w:val="21"/>
              </w:rPr>
            </w:pPr>
          </w:p>
        </w:tc>
        <w:tc>
          <w:tcPr>
            <w:tcW w:w="588" w:type="pct"/>
            <w:noWrap w:val="0"/>
            <w:vAlign w:val="center"/>
          </w:tcPr>
          <w:p w14:paraId="1A3CE3F0">
            <w:pPr>
              <w:rPr>
                <w:rFonts w:ascii="宋体"/>
                <w:color w:val="auto"/>
                <w:sz w:val="21"/>
              </w:rPr>
            </w:pPr>
          </w:p>
        </w:tc>
      </w:tr>
      <w:tr w14:paraId="59604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672" w:type="pct"/>
            <w:vMerge w:val="continue"/>
            <w:tcBorders>
              <w:top w:val="single" w:color="auto" w:sz="4" w:space="0"/>
              <w:left w:val="single" w:color="auto" w:sz="4" w:space="0"/>
              <w:bottom w:val="single" w:color="auto" w:sz="4" w:space="0"/>
              <w:right w:val="single" w:color="auto" w:sz="4" w:space="0"/>
            </w:tcBorders>
            <w:noWrap w:val="0"/>
            <w:vAlign w:val="center"/>
          </w:tcPr>
          <w:p w14:paraId="24573DC9">
            <w:pPr>
              <w:jc w:val="center"/>
              <w:rPr>
                <w:rFonts w:ascii="宋体"/>
                <w:color w:val="auto"/>
                <w:sz w:val="21"/>
              </w:rPr>
            </w:pPr>
          </w:p>
        </w:tc>
        <w:tc>
          <w:tcPr>
            <w:tcW w:w="472" w:type="pct"/>
            <w:tcBorders>
              <w:left w:val="single" w:color="auto" w:sz="4" w:space="0"/>
            </w:tcBorders>
            <w:noWrap w:val="0"/>
            <w:vAlign w:val="center"/>
          </w:tcPr>
          <w:p w14:paraId="66DDF528">
            <w:pPr>
              <w:rPr>
                <w:rFonts w:ascii="宋体"/>
                <w:color w:val="auto"/>
                <w:sz w:val="21"/>
              </w:rPr>
            </w:pPr>
          </w:p>
        </w:tc>
        <w:tc>
          <w:tcPr>
            <w:tcW w:w="492" w:type="pct"/>
            <w:noWrap w:val="0"/>
            <w:vAlign w:val="center"/>
          </w:tcPr>
          <w:p w14:paraId="2102E42D">
            <w:pPr>
              <w:rPr>
                <w:rFonts w:ascii="宋体"/>
                <w:color w:val="auto"/>
                <w:sz w:val="21"/>
              </w:rPr>
            </w:pPr>
          </w:p>
        </w:tc>
        <w:tc>
          <w:tcPr>
            <w:tcW w:w="522" w:type="pct"/>
            <w:noWrap w:val="0"/>
            <w:vAlign w:val="center"/>
          </w:tcPr>
          <w:p w14:paraId="3944C584">
            <w:pPr>
              <w:rPr>
                <w:rFonts w:ascii="宋体"/>
                <w:color w:val="auto"/>
                <w:sz w:val="21"/>
              </w:rPr>
            </w:pPr>
          </w:p>
        </w:tc>
        <w:tc>
          <w:tcPr>
            <w:tcW w:w="563" w:type="pct"/>
            <w:noWrap w:val="0"/>
            <w:vAlign w:val="center"/>
          </w:tcPr>
          <w:p w14:paraId="200E7479">
            <w:pPr>
              <w:rPr>
                <w:rFonts w:ascii="宋体"/>
                <w:color w:val="auto"/>
                <w:sz w:val="21"/>
              </w:rPr>
            </w:pPr>
          </w:p>
        </w:tc>
        <w:tc>
          <w:tcPr>
            <w:tcW w:w="608" w:type="pct"/>
            <w:noWrap w:val="0"/>
            <w:vAlign w:val="center"/>
          </w:tcPr>
          <w:p w14:paraId="24CF6119">
            <w:pPr>
              <w:rPr>
                <w:rFonts w:ascii="宋体"/>
                <w:color w:val="auto"/>
                <w:sz w:val="21"/>
              </w:rPr>
            </w:pPr>
          </w:p>
        </w:tc>
        <w:tc>
          <w:tcPr>
            <w:tcW w:w="516" w:type="pct"/>
            <w:noWrap w:val="0"/>
            <w:vAlign w:val="center"/>
          </w:tcPr>
          <w:p w14:paraId="5530E310">
            <w:pPr>
              <w:rPr>
                <w:rFonts w:ascii="宋体"/>
                <w:color w:val="auto"/>
                <w:sz w:val="21"/>
              </w:rPr>
            </w:pPr>
          </w:p>
        </w:tc>
        <w:tc>
          <w:tcPr>
            <w:tcW w:w="563" w:type="pct"/>
            <w:noWrap w:val="0"/>
            <w:vAlign w:val="center"/>
          </w:tcPr>
          <w:p w14:paraId="660B65B8">
            <w:pPr>
              <w:rPr>
                <w:rFonts w:ascii="宋体"/>
                <w:color w:val="auto"/>
                <w:sz w:val="21"/>
              </w:rPr>
            </w:pPr>
          </w:p>
        </w:tc>
        <w:tc>
          <w:tcPr>
            <w:tcW w:w="588" w:type="pct"/>
            <w:noWrap w:val="0"/>
            <w:vAlign w:val="center"/>
          </w:tcPr>
          <w:p w14:paraId="703655D2">
            <w:pPr>
              <w:rPr>
                <w:rFonts w:ascii="宋体"/>
                <w:color w:val="auto"/>
                <w:sz w:val="21"/>
              </w:rPr>
            </w:pPr>
          </w:p>
        </w:tc>
      </w:tr>
      <w:tr w14:paraId="7E23A1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672" w:type="pct"/>
            <w:tcBorders>
              <w:top w:val="single" w:color="auto" w:sz="4" w:space="0"/>
              <w:left w:val="single" w:color="auto" w:sz="4" w:space="0"/>
              <w:bottom w:val="single" w:color="auto" w:sz="4" w:space="0"/>
              <w:right w:val="single" w:color="auto" w:sz="4" w:space="0"/>
            </w:tcBorders>
            <w:noWrap w:val="0"/>
            <w:vAlign w:val="center"/>
          </w:tcPr>
          <w:p w14:paraId="4BAFAAF3">
            <w:pPr>
              <w:jc w:val="center"/>
              <w:rPr>
                <w:rFonts w:hint="default" w:ascii="宋体" w:eastAsia="宋体"/>
                <w:color w:val="auto"/>
                <w:sz w:val="21"/>
                <w:lang w:val="en-US" w:eastAsia="zh-CN"/>
              </w:rPr>
            </w:pPr>
            <w:r>
              <w:rPr>
                <w:rFonts w:hint="eastAsia" w:ascii="宋体"/>
                <w:color w:val="auto"/>
                <w:sz w:val="21"/>
                <w:lang w:val="en-US" w:eastAsia="zh-CN"/>
              </w:rPr>
              <w:t>......</w:t>
            </w:r>
          </w:p>
        </w:tc>
        <w:tc>
          <w:tcPr>
            <w:tcW w:w="472" w:type="pct"/>
            <w:tcBorders>
              <w:left w:val="single" w:color="auto" w:sz="4" w:space="0"/>
            </w:tcBorders>
            <w:noWrap w:val="0"/>
            <w:vAlign w:val="center"/>
          </w:tcPr>
          <w:p w14:paraId="4E018D88">
            <w:pPr>
              <w:rPr>
                <w:rFonts w:ascii="宋体"/>
                <w:color w:val="auto"/>
                <w:sz w:val="21"/>
              </w:rPr>
            </w:pPr>
          </w:p>
        </w:tc>
        <w:tc>
          <w:tcPr>
            <w:tcW w:w="492" w:type="pct"/>
            <w:noWrap w:val="0"/>
            <w:vAlign w:val="center"/>
          </w:tcPr>
          <w:p w14:paraId="30C8A50E">
            <w:pPr>
              <w:rPr>
                <w:rFonts w:ascii="宋体"/>
                <w:color w:val="auto"/>
                <w:sz w:val="21"/>
              </w:rPr>
            </w:pPr>
          </w:p>
        </w:tc>
        <w:tc>
          <w:tcPr>
            <w:tcW w:w="522" w:type="pct"/>
            <w:noWrap w:val="0"/>
            <w:vAlign w:val="center"/>
          </w:tcPr>
          <w:p w14:paraId="3EAAD861">
            <w:pPr>
              <w:rPr>
                <w:rFonts w:ascii="宋体"/>
                <w:color w:val="auto"/>
                <w:sz w:val="21"/>
              </w:rPr>
            </w:pPr>
          </w:p>
        </w:tc>
        <w:tc>
          <w:tcPr>
            <w:tcW w:w="563" w:type="pct"/>
            <w:noWrap w:val="0"/>
            <w:vAlign w:val="center"/>
          </w:tcPr>
          <w:p w14:paraId="77EB3585">
            <w:pPr>
              <w:rPr>
                <w:rFonts w:ascii="宋体"/>
                <w:color w:val="auto"/>
                <w:sz w:val="21"/>
              </w:rPr>
            </w:pPr>
          </w:p>
        </w:tc>
        <w:tc>
          <w:tcPr>
            <w:tcW w:w="608" w:type="pct"/>
            <w:noWrap w:val="0"/>
            <w:vAlign w:val="center"/>
          </w:tcPr>
          <w:p w14:paraId="7AB847ED">
            <w:pPr>
              <w:rPr>
                <w:rFonts w:ascii="宋体"/>
                <w:color w:val="auto"/>
                <w:sz w:val="21"/>
              </w:rPr>
            </w:pPr>
          </w:p>
        </w:tc>
        <w:tc>
          <w:tcPr>
            <w:tcW w:w="516" w:type="pct"/>
            <w:noWrap w:val="0"/>
            <w:vAlign w:val="center"/>
          </w:tcPr>
          <w:p w14:paraId="13023992">
            <w:pPr>
              <w:rPr>
                <w:rFonts w:ascii="宋体"/>
                <w:color w:val="auto"/>
                <w:sz w:val="21"/>
              </w:rPr>
            </w:pPr>
          </w:p>
        </w:tc>
        <w:tc>
          <w:tcPr>
            <w:tcW w:w="563" w:type="pct"/>
            <w:noWrap w:val="0"/>
            <w:vAlign w:val="center"/>
          </w:tcPr>
          <w:p w14:paraId="41F1D80F">
            <w:pPr>
              <w:rPr>
                <w:rFonts w:ascii="宋体"/>
                <w:color w:val="auto"/>
                <w:sz w:val="21"/>
              </w:rPr>
            </w:pPr>
          </w:p>
        </w:tc>
        <w:tc>
          <w:tcPr>
            <w:tcW w:w="588" w:type="pct"/>
            <w:noWrap w:val="0"/>
            <w:vAlign w:val="center"/>
          </w:tcPr>
          <w:p w14:paraId="1A47D233">
            <w:pPr>
              <w:rPr>
                <w:rFonts w:ascii="宋体"/>
                <w:color w:val="auto"/>
                <w:sz w:val="21"/>
              </w:rPr>
            </w:pPr>
          </w:p>
        </w:tc>
      </w:tr>
      <w:tr w14:paraId="395B7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672" w:type="pct"/>
            <w:tcBorders>
              <w:top w:val="single" w:color="auto" w:sz="4" w:space="0"/>
              <w:left w:val="single" w:color="auto" w:sz="4" w:space="0"/>
              <w:bottom w:val="single" w:color="auto" w:sz="4" w:space="0"/>
              <w:right w:val="single" w:color="auto" w:sz="4" w:space="0"/>
            </w:tcBorders>
            <w:noWrap w:val="0"/>
            <w:vAlign w:val="center"/>
          </w:tcPr>
          <w:p w14:paraId="408B8A86">
            <w:pPr>
              <w:rPr>
                <w:rFonts w:ascii="宋体"/>
                <w:color w:val="auto"/>
                <w:sz w:val="21"/>
              </w:rPr>
            </w:pPr>
          </w:p>
        </w:tc>
        <w:tc>
          <w:tcPr>
            <w:tcW w:w="472" w:type="pct"/>
            <w:tcBorders>
              <w:left w:val="single" w:color="auto" w:sz="4" w:space="0"/>
            </w:tcBorders>
            <w:noWrap w:val="0"/>
            <w:vAlign w:val="center"/>
          </w:tcPr>
          <w:p w14:paraId="0B7EF49F">
            <w:pPr>
              <w:rPr>
                <w:rFonts w:ascii="宋体"/>
                <w:color w:val="auto"/>
                <w:sz w:val="21"/>
              </w:rPr>
            </w:pPr>
          </w:p>
        </w:tc>
        <w:tc>
          <w:tcPr>
            <w:tcW w:w="492" w:type="pct"/>
            <w:noWrap w:val="0"/>
            <w:vAlign w:val="center"/>
          </w:tcPr>
          <w:p w14:paraId="2DC87D1A">
            <w:pPr>
              <w:rPr>
                <w:rFonts w:ascii="宋体"/>
                <w:color w:val="auto"/>
                <w:sz w:val="21"/>
              </w:rPr>
            </w:pPr>
          </w:p>
        </w:tc>
        <w:tc>
          <w:tcPr>
            <w:tcW w:w="522" w:type="pct"/>
            <w:noWrap w:val="0"/>
            <w:vAlign w:val="center"/>
          </w:tcPr>
          <w:p w14:paraId="32AC3DEA">
            <w:pPr>
              <w:rPr>
                <w:rFonts w:ascii="宋体"/>
                <w:color w:val="auto"/>
                <w:sz w:val="21"/>
              </w:rPr>
            </w:pPr>
          </w:p>
        </w:tc>
        <w:tc>
          <w:tcPr>
            <w:tcW w:w="563" w:type="pct"/>
            <w:noWrap w:val="0"/>
            <w:vAlign w:val="center"/>
          </w:tcPr>
          <w:p w14:paraId="2961F5FC">
            <w:pPr>
              <w:rPr>
                <w:rFonts w:ascii="宋体"/>
                <w:color w:val="auto"/>
                <w:sz w:val="21"/>
              </w:rPr>
            </w:pPr>
          </w:p>
        </w:tc>
        <w:tc>
          <w:tcPr>
            <w:tcW w:w="608" w:type="pct"/>
            <w:noWrap w:val="0"/>
            <w:vAlign w:val="center"/>
          </w:tcPr>
          <w:p w14:paraId="545F40D9">
            <w:pPr>
              <w:rPr>
                <w:rFonts w:ascii="宋体"/>
                <w:color w:val="auto"/>
                <w:sz w:val="21"/>
              </w:rPr>
            </w:pPr>
          </w:p>
        </w:tc>
        <w:tc>
          <w:tcPr>
            <w:tcW w:w="516" w:type="pct"/>
            <w:noWrap w:val="0"/>
            <w:vAlign w:val="center"/>
          </w:tcPr>
          <w:p w14:paraId="1CE9D932">
            <w:pPr>
              <w:rPr>
                <w:rFonts w:ascii="宋体"/>
                <w:color w:val="auto"/>
                <w:sz w:val="21"/>
              </w:rPr>
            </w:pPr>
          </w:p>
        </w:tc>
        <w:tc>
          <w:tcPr>
            <w:tcW w:w="563" w:type="pct"/>
            <w:noWrap w:val="0"/>
            <w:vAlign w:val="center"/>
          </w:tcPr>
          <w:p w14:paraId="325E9871">
            <w:pPr>
              <w:rPr>
                <w:rFonts w:ascii="宋体"/>
                <w:color w:val="auto"/>
                <w:sz w:val="21"/>
              </w:rPr>
            </w:pPr>
          </w:p>
        </w:tc>
        <w:tc>
          <w:tcPr>
            <w:tcW w:w="588" w:type="pct"/>
            <w:noWrap w:val="0"/>
            <w:vAlign w:val="center"/>
          </w:tcPr>
          <w:p w14:paraId="0479405F">
            <w:pPr>
              <w:rPr>
                <w:rFonts w:ascii="宋体"/>
                <w:color w:val="auto"/>
                <w:sz w:val="21"/>
              </w:rPr>
            </w:pPr>
          </w:p>
        </w:tc>
      </w:tr>
    </w:tbl>
    <w:p w14:paraId="43711C5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rPr>
          <w:rFonts w:hint="eastAsia" w:ascii="宋体" w:hAnsi="宋体" w:eastAsia="宋体" w:cs="宋体"/>
          <w:color w:val="auto"/>
          <w:kern w:val="0"/>
          <w:sz w:val="24"/>
          <w:lang w:val="en-US" w:eastAsia="zh-CN"/>
        </w:rPr>
      </w:pPr>
    </w:p>
    <w:p w14:paraId="1E62595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jc w:val="both"/>
        <w:rPr>
          <w:rFonts w:hint="default" w:ascii="宋体" w:hAnsi="宋体" w:eastAsia="Arial" w:cs="宋体"/>
          <w:b/>
          <w:bCs/>
          <w:color w:val="auto"/>
          <w:kern w:val="2"/>
          <w:sz w:val="24"/>
          <w:szCs w:val="24"/>
          <w:lang w:val="en-US" w:eastAsia="zh-CN" w:bidi="ar-SA"/>
        </w:rPr>
      </w:pPr>
      <w:r>
        <w:rPr>
          <w:rFonts w:hint="eastAsia" w:ascii="宋体" w:hAnsi="宋体" w:eastAsia="Arial" w:cs="宋体"/>
          <w:b/>
          <w:bCs/>
          <w:color w:val="auto"/>
          <w:kern w:val="2"/>
          <w:sz w:val="24"/>
          <w:szCs w:val="24"/>
          <w:lang w:val="en-US" w:eastAsia="zh-CN" w:bidi="ar-SA"/>
        </w:rPr>
        <w:t>后附人员资格证明文件的原件扫描件并加盖投标企业公章，包含但不限于身份证、职称证、执业资格证等</w:t>
      </w:r>
    </w:p>
    <w:p w14:paraId="2E2A6DB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rPr>
          <w:rFonts w:hint="eastAsia" w:ascii="宋体" w:hAnsi="宋体" w:eastAsia="宋体" w:cs="宋体"/>
          <w:color w:val="auto"/>
          <w:kern w:val="0"/>
          <w:sz w:val="24"/>
          <w:lang w:val="en-US" w:eastAsia="zh-CN"/>
        </w:rPr>
      </w:pPr>
    </w:p>
    <w:p w14:paraId="4BD72C72">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rPr>
          <w:rFonts w:hint="eastAsia" w:ascii="宋体" w:hAnsi="宋体" w:eastAsia="宋体" w:cs="宋体"/>
          <w:color w:val="auto"/>
          <w:kern w:val="0"/>
          <w:sz w:val="24"/>
          <w:lang w:val="en-US" w:eastAsia="zh-CN"/>
        </w:rPr>
      </w:pPr>
    </w:p>
    <w:p w14:paraId="70295912">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rPr>
          <w:rFonts w:hint="eastAsia" w:ascii="宋体" w:hAnsi="宋体" w:eastAsia="宋体" w:cs="宋体"/>
          <w:color w:val="auto"/>
          <w:kern w:val="0"/>
          <w:sz w:val="24"/>
          <w:lang w:val="en-US" w:eastAsia="zh-CN"/>
        </w:rPr>
      </w:pPr>
    </w:p>
    <w:p w14:paraId="0CE3A1E2">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rPr>
          <w:rFonts w:hint="eastAsia" w:ascii="宋体" w:hAnsi="宋体" w:eastAsia="宋体" w:cs="宋体"/>
          <w:color w:val="auto"/>
          <w:kern w:val="0"/>
          <w:sz w:val="24"/>
          <w:lang w:val="en-US" w:eastAsia="zh-CN"/>
        </w:rPr>
      </w:pPr>
    </w:p>
    <w:p w14:paraId="7A089D8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rPr>
          <w:rFonts w:hint="eastAsia" w:ascii="宋体" w:hAnsi="宋体" w:eastAsia="宋体" w:cs="宋体"/>
          <w:color w:val="auto"/>
          <w:kern w:val="0"/>
          <w:sz w:val="24"/>
          <w:lang w:val="en-US" w:eastAsia="zh-CN"/>
        </w:rPr>
      </w:pPr>
    </w:p>
    <w:p w14:paraId="04CB46CF">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rPr>
          <w:rFonts w:hint="eastAsia" w:ascii="宋体" w:hAnsi="宋体" w:eastAsia="宋体" w:cs="宋体"/>
          <w:color w:val="auto"/>
          <w:kern w:val="0"/>
          <w:sz w:val="24"/>
          <w:lang w:val="en-US" w:eastAsia="zh-CN"/>
        </w:rPr>
      </w:pPr>
    </w:p>
    <w:p w14:paraId="55C8CC7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jc w:val="center"/>
        <w:rPr>
          <w:rFonts w:hint="eastAsia" w:ascii="宋体" w:hAnsi="宋体" w:eastAsia="Arial" w:cs="宋体"/>
          <w:b/>
          <w:bCs/>
          <w:color w:val="auto"/>
          <w:kern w:val="2"/>
          <w:sz w:val="28"/>
          <w:szCs w:val="28"/>
          <w:lang w:val="en-US" w:eastAsia="zh-CN" w:bidi="ar-SA"/>
        </w:rPr>
      </w:pPr>
      <w:r>
        <w:rPr>
          <w:rFonts w:hint="eastAsia" w:ascii="宋体" w:hAnsi="宋体" w:eastAsia="Arial" w:cs="宋体"/>
          <w:b/>
          <w:bCs/>
          <w:color w:val="auto"/>
          <w:kern w:val="2"/>
          <w:sz w:val="28"/>
          <w:szCs w:val="28"/>
          <w:lang w:val="en-US" w:eastAsia="zh-CN" w:bidi="ar-SA"/>
        </w:rPr>
        <w:t>(13）供应商在伊犁州行政区域办公场所的详细说明及产权证明文件</w:t>
      </w:r>
    </w:p>
    <w:p w14:paraId="3CF2F147">
      <w:pPr>
        <w:spacing w:line="272" w:lineRule="auto"/>
        <w:jc w:val="both"/>
        <w:rPr>
          <w:rFonts w:hint="eastAsia" w:ascii="宋体" w:hAnsi="宋体" w:eastAsia="宋体" w:cs="宋体"/>
          <w:b/>
          <w:bCs/>
          <w:color w:val="auto"/>
          <w:kern w:val="0"/>
          <w:sz w:val="31"/>
          <w:szCs w:val="31"/>
          <w:lang w:val="en-US" w:eastAsia="zh-CN" w:bidi="ar"/>
        </w:rPr>
      </w:pPr>
    </w:p>
    <w:p w14:paraId="0CC18BCC">
      <w:pPr>
        <w:pStyle w:val="20"/>
        <w:rPr>
          <w:color w:val="auto"/>
        </w:rPr>
      </w:pPr>
    </w:p>
    <w:p w14:paraId="2786A08B">
      <w:pPr>
        <w:rPr>
          <w:rFonts w:ascii="宋体"/>
          <w:color w:val="auto"/>
          <w:sz w:val="21"/>
        </w:rPr>
      </w:pPr>
    </w:p>
    <w:p w14:paraId="2C9081BE">
      <w:pPr>
        <w:rPr>
          <w:color w:val="auto"/>
        </w:rPr>
      </w:pPr>
    </w:p>
    <w:p w14:paraId="1687F925">
      <w:pPr>
        <w:pStyle w:val="20"/>
        <w:rPr>
          <w:color w:val="auto"/>
        </w:rPr>
      </w:pPr>
    </w:p>
    <w:p w14:paraId="6CF51532">
      <w:pPr>
        <w:pStyle w:val="14"/>
        <w:rPr>
          <w:color w:val="auto"/>
        </w:rPr>
      </w:pPr>
    </w:p>
    <w:p w14:paraId="5F957AB1">
      <w:pPr>
        <w:rPr>
          <w:color w:val="auto"/>
        </w:rPr>
      </w:pPr>
    </w:p>
    <w:p w14:paraId="00BF5900">
      <w:pPr>
        <w:pStyle w:val="20"/>
        <w:spacing w:line="360" w:lineRule="auto"/>
        <w:jc w:val="center"/>
        <w:rPr>
          <w:rFonts w:hint="eastAsia" w:ascii="宋体" w:hAnsi="宋体" w:eastAsia="Arial" w:cs="宋体"/>
          <w:b/>
          <w:bCs/>
          <w:color w:val="auto"/>
          <w:kern w:val="2"/>
          <w:sz w:val="28"/>
          <w:szCs w:val="28"/>
          <w:lang w:val="en-US" w:eastAsia="zh-CN" w:bidi="ar-SA"/>
        </w:rPr>
      </w:pPr>
    </w:p>
    <w:p w14:paraId="70140050">
      <w:pPr>
        <w:pStyle w:val="20"/>
        <w:spacing w:line="360" w:lineRule="auto"/>
        <w:jc w:val="center"/>
        <w:rPr>
          <w:rFonts w:hint="eastAsia" w:ascii="宋体" w:hAnsi="宋体" w:eastAsia="Arial" w:cs="宋体"/>
          <w:b/>
          <w:bCs/>
          <w:color w:val="auto"/>
          <w:kern w:val="2"/>
          <w:sz w:val="28"/>
          <w:szCs w:val="28"/>
          <w:lang w:val="en-US" w:eastAsia="zh-CN" w:bidi="ar-SA"/>
        </w:rPr>
      </w:pPr>
    </w:p>
    <w:p w14:paraId="5D97B318">
      <w:pPr>
        <w:pStyle w:val="20"/>
        <w:spacing w:line="360" w:lineRule="auto"/>
        <w:jc w:val="center"/>
        <w:rPr>
          <w:rFonts w:hint="eastAsia" w:ascii="宋体" w:hAnsi="宋体" w:eastAsia="Arial" w:cs="宋体"/>
          <w:b/>
          <w:bCs/>
          <w:color w:val="auto"/>
          <w:kern w:val="2"/>
          <w:sz w:val="28"/>
          <w:szCs w:val="28"/>
          <w:lang w:val="en-US" w:eastAsia="zh-CN" w:bidi="ar-SA"/>
        </w:rPr>
      </w:pPr>
    </w:p>
    <w:p w14:paraId="0D556BF5">
      <w:pPr>
        <w:pStyle w:val="20"/>
        <w:spacing w:line="360" w:lineRule="auto"/>
        <w:jc w:val="center"/>
        <w:rPr>
          <w:rFonts w:hint="eastAsia" w:ascii="宋体" w:hAnsi="宋体" w:eastAsia="Arial" w:cs="宋体"/>
          <w:b/>
          <w:bCs/>
          <w:color w:val="auto"/>
          <w:kern w:val="2"/>
          <w:sz w:val="28"/>
          <w:szCs w:val="28"/>
          <w:lang w:val="en-US" w:eastAsia="zh-CN" w:bidi="ar-SA"/>
        </w:rPr>
      </w:pPr>
    </w:p>
    <w:p w14:paraId="2E85D1B4">
      <w:pPr>
        <w:pStyle w:val="20"/>
        <w:spacing w:line="360" w:lineRule="auto"/>
        <w:jc w:val="center"/>
        <w:rPr>
          <w:rFonts w:hint="eastAsia" w:ascii="宋体" w:hAnsi="宋体" w:eastAsia="Arial" w:cs="宋体"/>
          <w:b/>
          <w:bCs/>
          <w:color w:val="auto"/>
          <w:kern w:val="2"/>
          <w:sz w:val="28"/>
          <w:szCs w:val="28"/>
          <w:lang w:val="en-US" w:eastAsia="zh-CN" w:bidi="ar-SA"/>
        </w:rPr>
      </w:pPr>
    </w:p>
    <w:p w14:paraId="24110425">
      <w:pPr>
        <w:pStyle w:val="20"/>
        <w:spacing w:line="360" w:lineRule="auto"/>
        <w:jc w:val="center"/>
        <w:rPr>
          <w:rFonts w:hint="eastAsia" w:ascii="宋体" w:hAnsi="宋体" w:eastAsia="Arial" w:cs="宋体"/>
          <w:b/>
          <w:bCs/>
          <w:color w:val="auto"/>
          <w:kern w:val="2"/>
          <w:sz w:val="28"/>
          <w:szCs w:val="28"/>
          <w:lang w:val="en-US" w:eastAsia="zh-CN" w:bidi="ar-SA"/>
        </w:rPr>
      </w:pPr>
    </w:p>
    <w:p w14:paraId="3246FEE9">
      <w:pPr>
        <w:pStyle w:val="20"/>
        <w:spacing w:line="360" w:lineRule="auto"/>
        <w:jc w:val="center"/>
        <w:rPr>
          <w:rFonts w:hint="eastAsia" w:ascii="宋体" w:hAnsi="宋体" w:eastAsia="Arial" w:cs="宋体"/>
          <w:b/>
          <w:bCs/>
          <w:color w:val="auto"/>
          <w:kern w:val="2"/>
          <w:sz w:val="28"/>
          <w:szCs w:val="28"/>
          <w:lang w:val="en-US" w:eastAsia="zh-CN" w:bidi="ar-SA"/>
        </w:rPr>
      </w:pPr>
    </w:p>
    <w:p w14:paraId="2B46AC7C">
      <w:pPr>
        <w:pStyle w:val="20"/>
        <w:spacing w:line="360" w:lineRule="auto"/>
        <w:jc w:val="center"/>
        <w:rPr>
          <w:rFonts w:hint="eastAsia" w:ascii="宋体" w:hAnsi="宋体" w:eastAsia="Arial" w:cs="宋体"/>
          <w:b/>
          <w:bCs/>
          <w:color w:val="auto"/>
          <w:kern w:val="2"/>
          <w:sz w:val="28"/>
          <w:szCs w:val="28"/>
          <w:lang w:val="en-US" w:eastAsia="zh-CN" w:bidi="ar-SA"/>
        </w:rPr>
      </w:pPr>
    </w:p>
    <w:p w14:paraId="1904D2A8">
      <w:pPr>
        <w:pStyle w:val="20"/>
        <w:spacing w:line="360" w:lineRule="auto"/>
        <w:jc w:val="center"/>
        <w:rPr>
          <w:rFonts w:hint="eastAsia" w:ascii="宋体" w:hAnsi="宋体" w:eastAsia="Arial" w:cs="宋体"/>
          <w:b/>
          <w:bCs/>
          <w:color w:val="auto"/>
          <w:kern w:val="2"/>
          <w:sz w:val="28"/>
          <w:szCs w:val="28"/>
          <w:lang w:val="en-US" w:eastAsia="zh-CN" w:bidi="ar-SA"/>
        </w:rPr>
      </w:pPr>
    </w:p>
    <w:p w14:paraId="3FD062E5">
      <w:pPr>
        <w:pStyle w:val="20"/>
        <w:spacing w:line="360" w:lineRule="auto"/>
        <w:jc w:val="center"/>
        <w:rPr>
          <w:rFonts w:hint="eastAsia" w:ascii="宋体" w:hAnsi="宋体" w:eastAsia="Arial" w:cs="宋体"/>
          <w:b/>
          <w:bCs/>
          <w:color w:val="auto"/>
          <w:kern w:val="2"/>
          <w:sz w:val="28"/>
          <w:szCs w:val="28"/>
          <w:lang w:val="en-US" w:eastAsia="zh-CN" w:bidi="ar-SA"/>
        </w:rPr>
      </w:pPr>
    </w:p>
    <w:p w14:paraId="35189407">
      <w:pPr>
        <w:pStyle w:val="20"/>
        <w:spacing w:line="360" w:lineRule="auto"/>
        <w:jc w:val="center"/>
        <w:rPr>
          <w:rFonts w:hint="eastAsia" w:ascii="宋体" w:hAnsi="宋体" w:eastAsia="Arial" w:cs="宋体"/>
          <w:b/>
          <w:bCs/>
          <w:color w:val="auto"/>
          <w:kern w:val="2"/>
          <w:sz w:val="28"/>
          <w:szCs w:val="28"/>
          <w:lang w:val="en-US" w:eastAsia="zh-CN" w:bidi="ar-SA"/>
        </w:rPr>
      </w:pPr>
    </w:p>
    <w:p w14:paraId="72B2DE99">
      <w:pPr>
        <w:pStyle w:val="20"/>
        <w:spacing w:line="360" w:lineRule="auto"/>
        <w:jc w:val="center"/>
        <w:rPr>
          <w:rFonts w:hint="eastAsia" w:ascii="宋体" w:hAnsi="宋体" w:eastAsia="Arial" w:cs="宋体"/>
          <w:b/>
          <w:bCs/>
          <w:color w:val="auto"/>
          <w:kern w:val="2"/>
          <w:sz w:val="28"/>
          <w:szCs w:val="28"/>
          <w:lang w:val="en-US" w:eastAsia="zh-CN" w:bidi="ar-SA"/>
        </w:rPr>
      </w:pPr>
    </w:p>
    <w:p w14:paraId="020DCA35">
      <w:pPr>
        <w:pStyle w:val="20"/>
        <w:spacing w:line="360" w:lineRule="auto"/>
        <w:jc w:val="center"/>
        <w:rPr>
          <w:rFonts w:hint="eastAsia" w:ascii="宋体" w:hAnsi="宋体" w:eastAsia="Arial" w:cs="宋体"/>
          <w:b/>
          <w:bCs/>
          <w:color w:val="auto"/>
          <w:kern w:val="2"/>
          <w:sz w:val="28"/>
          <w:szCs w:val="28"/>
          <w:lang w:val="en-US" w:eastAsia="zh-CN" w:bidi="ar-SA"/>
        </w:rPr>
      </w:pPr>
    </w:p>
    <w:p w14:paraId="695EABEC">
      <w:pPr>
        <w:pStyle w:val="20"/>
        <w:spacing w:line="360" w:lineRule="auto"/>
        <w:jc w:val="center"/>
        <w:rPr>
          <w:rFonts w:hint="eastAsia" w:ascii="宋体" w:hAnsi="宋体" w:eastAsia="Arial" w:cs="宋体"/>
          <w:b/>
          <w:bCs/>
          <w:color w:val="auto"/>
          <w:kern w:val="2"/>
          <w:sz w:val="28"/>
          <w:szCs w:val="28"/>
          <w:lang w:val="en-US" w:eastAsia="zh-CN" w:bidi="ar-SA"/>
        </w:rPr>
      </w:pPr>
    </w:p>
    <w:p w14:paraId="33DD8755">
      <w:pPr>
        <w:pStyle w:val="20"/>
        <w:spacing w:line="360" w:lineRule="auto"/>
        <w:jc w:val="center"/>
        <w:rPr>
          <w:rFonts w:hint="eastAsia" w:ascii="宋体" w:hAnsi="宋体" w:eastAsia="Arial" w:cs="宋体"/>
          <w:b/>
          <w:bCs/>
          <w:color w:val="auto"/>
          <w:kern w:val="2"/>
          <w:sz w:val="28"/>
          <w:szCs w:val="28"/>
          <w:lang w:val="en-US" w:eastAsia="zh-CN" w:bidi="ar-SA"/>
        </w:rPr>
      </w:pPr>
    </w:p>
    <w:p w14:paraId="46E3CE44">
      <w:pPr>
        <w:pStyle w:val="20"/>
        <w:spacing w:line="360" w:lineRule="auto"/>
        <w:jc w:val="center"/>
        <w:rPr>
          <w:rFonts w:hint="eastAsia" w:ascii="宋体" w:hAnsi="宋体" w:eastAsia="Arial" w:cs="宋体"/>
          <w:b/>
          <w:bCs/>
          <w:color w:val="auto"/>
          <w:kern w:val="2"/>
          <w:sz w:val="28"/>
          <w:szCs w:val="28"/>
          <w:lang w:val="en-US" w:eastAsia="zh-CN" w:bidi="ar-SA"/>
        </w:rPr>
      </w:pPr>
    </w:p>
    <w:p w14:paraId="4823DC3F">
      <w:pPr>
        <w:pStyle w:val="20"/>
        <w:spacing w:line="360" w:lineRule="auto"/>
        <w:jc w:val="center"/>
        <w:rPr>
          <w:rFonts w:hint="eastAsia" w:ascii="宋体" w:hAnsi="宋体" w:eastAsia="Arial" w:cs="宋体"/>
          <w:b/>
          <w:bCs/>
          <w:color w:val="auto"/>
          <w:kern w:val="2"/>
          <w:sz w:val="28"/>
          <w:szCs w:val="28"/>
          <w:lang w:val="en-US" w:eastAsia="zh-CN" w:bidi="ar-SA"/>
        </w:rPr>
      </w:pPr>
    </w:p>
    <w:p w14:paraId="385B74F1">
      <w:pPr>
        <w:pStyle w:val="20"/>
        <w:spacing w:line="360" w:lineRule="auto"/>
        <w:jc w:val="center"/>
        <w:rPr>
          <w:rFonts w:hint="eastAsia" w:ascii="宋体" w:hAnsi="宋体" w:eastAsia="Arial" w:cs="宋体"/>
          <w:b/>
          <w:bCs/>
          <w:color w:val="auto"/>
          <w:kern w:val="2"/>
          <w:sz w:val="28"/>
          <w:szCs w:val="28"/>
          <w:lang w:val="en-US" w:eastAsia="zh-CN" w:bidi="ar-SA"/>
        </w:rPr>
      </w:pPr>
    </w:p>
    <w:p w14:paraId="1B7F06BD">
      <w:pPr>
        <w:pStyle w:val="20"/>
        <w:spacing w:line="360" w:lineRule="auto"/>
        <w:jc w:val="center"/>
        <w:rPr>
          <w:rFonts w:hint="eastAsia" w:ascii="宋体" w:hAnsi="宋体" w:eastAsia="Arial" w:cs="宋体"/>
          <w:b/>
          <w:bCs/>
          <w:color w:val="auto"/>
          <w:kern w:val="2"/>
          <w:sz w:val="28"/>
          <w:szCs w:val="28"/>
          <w:lang w:val="en-US" w:eastAsia="zh-CN" w:bidi="ar-SA"/>
        </w:rPr>
      </w:pPr>
    </w:p>
    <w:p w14:paraId="60EAAA82">
      <w:pPr>
        <w:pStyle w:val="20"/>
        <w:spacing w:line="360" w:lineRule="auto"/>
        <w:jc w:val="center"/>
        <w:rPr>
          <w:rFonts w:hint="eastAsia" w:ascii="宋体" w:hAnsi="宋体" w:eastAsia="Arial" w:cs="宋体"/>
          <w:b/>
          <w:bCs/>
          <w:color w:val="auto"/>
          <w:kern w:val="2"/>
          <w:sz w:val="28"/>
          <w:szCs w:val="28"/>
          <w:lang w:val="en-US" w:eastAsia="zh-CN" w:bidi="ar-SA"/>
        </w:rPr>
      </w:pPr>
    </w:p>
    <w:p w14:paraId="6214A40E">
      <w:pPr>
        <w:pStyle w:val="20"/>
        <w:spacing w:line="360" w:lineRule="auto"/>
        <w:jc w:val="center"/>
        <w:rPr>
          <w:rFonts w:hint="eastAsia" w:ascii="宋体" w:hAnsi="宋体" w:eastAsia="Arial" w:cs="宋体"/>
          <w:b/>
          <w:bCs/>
          <w:color w:val="auto"/>
          <w:kern w:val="2"/>
          <w:sz w:val="28"/>
          <w:szCs w:val="28"/>
          <w:lang w:val="en-US" w:eastAsia="zh-CN" w:bidi="ar-SA"/>
        </w:rPr>
      </w:pPr>
    </w:p>
    <w:p w14:paraId="4C10DF9B">
      <w:pPr>
        <w:pStyle w:val="20"/>
        <w:spacing w:line="360" w:lineRule="auto"/>
        <w:jc w:val="center"/>
        <w:rPr>
          <w:rFonts w:hint="eastAsia" w:ascii="宋体" w:hAnsi="宋体" w:eastAsia="Arial" w:cs="宋体"/>
          <w:b/>
          <w:bCs/>
          <w:color w:val="auto"/>
          <w:kern w:val="2"/>
          <w:sz w:val="28"/>
          <w:szCs w:val="28"/>
          <w:lang w:val="en-US" w:eastAsia="zh-CN" w:bidi="ar-SA"/>
        </w:rPr>
        <w:sectPr>
          <w:footerReference r:id="rId13" w:type="default"/>
          <w:pgSz w:w="11911" w:h="16849"/>
          <w:pgMar w:top="1423" w:right="1361" w:bottom="1355" w:left="1480" w:header="1077" w:footer="1140" w:gutter="0"/>
          <w:pgNumType w:fmt="decimal"/>
          <w:cols w:space="720" w:num="1"/>
          <w:rtlGutter w:val="0"/>
          <w:docGrid w:linePitch="0" w:charSpace="0"/>
        </w:sectPr>
      </w:pPr>
      <w:r>
        <w:rPr>
          <w:rFonts w:hint="eastAsia" w:ascii="宋体" w:hAnsi="宋体" w:eastAsia="Arial" w:cs="宋体"/>
          <w:b/>
          <w:bCs/>
          <w:color w:val="auto"/>
          <w:kern w:val="2"/>
          <w:sz w:val="28"/>
          <w:szCs w:val="28"/>
          <w:lang w:val="en-US" w:eastAsia="zh-CN" w:bidi="ar-SA"/>
        </w:rPr>
        <w:t>(14)供应商拟投入的办公设备及各类专业工程正版造价软件的清单和购买证明(包括锁号)</w:t>
      </w:r>
    </w:p>
    <w:p w14:paraId="7013ED9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jc w:val="center"/>
        <w:rPr>
          <w:rFonts w:hint="eastAsia" w:ascii="宋体" w:hAnsi="宋体" w:eastAsia="Arial" w:cs="宋体"/>
          <w:b/>
          <w:bCs/>
          <w:color w:val="auto"/>
          <w:kern w:val="2"/>
          <w:sz w:val="28"/>
          <w:szCs w:val="28"/>
          <w:lang w:val="en-US" w:eastAsia="zh-CN" w:bidi="ar-SA"/>
        </w:rPr>
      </w:pPr>
      <w:r>
        <w:rPr>
          <w:rFonts w:hint="eastAsia" w:ascii="宋体" w:hAnsi="宋体" w:eastAsia="Arial" w:cs="宋体"/>
          <w:b/>
          <w:bCs/>
          <w:color w:val="auto"/>
          <w:kern w:val="2"/>
          <w:sz w:val="28"/>
          <w:szCs w:val="28"/>
          <w:lang w:val="en-US" w:eastAsia="zh-CN" w:bidi="ar-SA"/>
        </w:rPr>
        <w:t>（15）投标服务偏离表</w:t>
      </w:r>
    </w:p>
    <w:p w14:paraId="683EC87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jc w:val="both"/>
        <w:rPr>
          <w:rFonts w:hint="eastAsia" w:ascii="宋体" w:hAnsi="宋体" w:eastAsia="Arial" w:cs="宋体"/>
          <w:b/>
          <w:bCs/>
          <w:color w:val="auto"/>
          <w:w w:val="90"/>
          <w:kern w:val="2"/>
          <w:sz w:val="24"/>
          <w:szCs w:val="24"/>
          <w:lang w:val="en-US" w:eastAsia="zh-CN" w:bidi="ar-SA"/>
        </w:rPr>
      </w:pPr>
      <w:r>
        <w:rPr>
          <w:rFonts w:hint="eastAsia" w:ascii="宋体" w:hAnsi="宋体" w:eastAsia="Arial" w:cs="宋体"/>
          <w:b/>
          <w:bCs/>
          <w:color w:val="auto"/>
          <w:kern w:val="2"/>
          <w:sz w:val="24"/>
          <w:szCs w:val="24"/>
          <w:lang w:val="en-US" w:eastAsia="zh-CN" w:bidi="ar-SA"/>
        </w:rPr>
        <w:t>项目名称：</w:t>
      </w:r>
    </w:p>
    <w:p w14:paraId="67C3C1C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jc w:val="left"/>
        <w:rPr>
          <w:rFonts w:hint="eastAsia" w:ascii="宋体" w:hAnsi="宋体" w:eastAsia="Arial" w:cs="宋体"/>
          <w:b/>
          <w:bCs/>
          <w:color w:val="auto"/>
          <w:kern w:val="2"/>
          <w:sz w:val="24"/>
          <w:szCs w:val="24"/>
          <w:lang w:val="en-US" w:eastAsia="zh-CN" w:bidi="ar-SA"/>
        </w:rPr>
      </w:pPr>
      <w:r>
        <w:rPr>
          <w:rFonts w:hint="eastAsia" w:ascii="宋体" w:hAnsi="宋体" w:eastAsia="Arial" w:cs="宋体"/>
          <w:b/>
          <w:bCs/>
          <w:color w:val="auto"/>
          <w:kern w:val="2"/>
          <w:sz w:val="24"/>
          <w:szCs w:val="24"/>
          <w:lang w:val="en-US" w:eastAsia="zh-CN" w:bidi="ar-SA"/>
        </w:rPr>
        <w:t>项目编号：</w:t>
      </w:r>
    </w:p>
    <w:p w14:paraId="11777F94">
      <w:pPr>
        <w:spacing w:line="191" w:lineRule="exact"/>
        <w:rPr>
          <w:color w:val="auto"/>
        </w:rPr>
      </w:pPr>
    </w:p>
    <w:tbl>
      <w:tblPr>
        <w:tblStyle w:val="73"/>
        <w:tblW w:w="5083"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90"/>
        <w:gridCol w:w="5687"/>
        <w:gridCol w:w="5211"/>
        <w:gridCol w:w="1506"/>
        <w:gridCol w:w="1217"/>
      </w:tblGrid>
      <w:tr w14:paraId="38C41F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241" w:type="pct"/>
            <w:noWrap w:val="0"/>
            <w:vAlign w:val="center"/>
          </w:tcPr>
          <w:p w14:paraId="279976A8">
            <w:pPr>
              <w:spacing w:before="78" w:line="185" w:lineRule="auto"/>
              <w:jc w:val="center"/>
              <w:rPr>
                <w:rFonts w:ascii="宋体" w:hAnsi="宋体" w:eastAsia="宋体" w:cs="宋体"/>
                <w:b/>
                <w:bCs/>
                <w:color w:val="auto"/>
                <w:sz w:val="24"/>
                <w:szCs w:val="24"/>
              </w:rPr>
            </w:pPr>
            <w:r>
              <w:rPr>
                <w:rFonts w:ascii="宋体" w:hAnsi="宋体" w:eastAsia="宋体" w:cs="宋体"/>
                <w:b/>
                <w:bCs/>
                <w:color w:val="auto"/>
                <w:spacing w:val="-5"/>
                <w:sz w:val="24"/>
                <w:szCs w:val="24"/>
              </w:rPr>
              <w:t>序号</w:t>
            </w:r>
          </w:p>
        </w:tc>
        <w:tc>
          <w:tcPr>
            <w:tcW w:w="1986" w:type="pct"/>
            <w:noWrap w:val="0"/>
            <w:vAlign w:val="center"/>
          </w:tcPr>
          <w:p w14:paraId="53ECC1E9">
            <w:pPr>
              <w:keepNext w:val="0"/>
              <w:keepLines w:val="0"/>
              <w:pageBreakBefore w:val="0"/>
              <w:widowControl/>
              <w:kinsoku w:val="0"/>
              <w:wordWrap/>
              <w:overflowPunct/>
              <w:topLinePunct w:val="0"/>
              <w:autoSpaceDE w:val="0"/>
              <w:autoSpaceDN w:val="0"/>
              <w:bidi w:val="0"/>
              <w:adjustRightInd w:val="0"/>
              <w:snapToGrid w:val="0"/>
              <w:spacing w:before="78" w:line="240" w:lineRule="auto"/>
              <w:ind w:right="108"/>
              <w:jc w:val="center"/>
              <w:rPr>
                <w:rFonts w:ascii="宋体" w:hAnsi="宋体" w:eastAsia="宋体" w:cs="宋体"/>
                <w:b/>
                <w:bCs/>
                <w:color w:val="auto"/>
                <w:sz w:val="24"/>
                <w:szCs w:val="24"/>
              </w:rPr>
            </w:pPr>
            <w:r>
              <w:rPr>
                <w:rFonts w:ascii="宋体" w:hAnsi="宋体" w:eastAsia="宋体" w:cs="宋体"/>
                <w:b/>
                <w:bCs/>
                <w:color w:val="auto"/>
                <w:spacing w:val="-2"/>
                <w:sz w:val="24"/>
                <w:szCs w:val="24"/>
              </w:rPr>
              <w:t>征集文件要求参</w:t>
            </w:r>
            <w:r>
              <w:rPr>
                <w:rFonts w:ascii="宋体" w:hAnsi="宋体" w:eastAsia="宋体" w:cs="宋体"/>
                <w:b/>
                <w:bCs/>
                <w:color w:val="auto"/>
                <w:sz w:val="24"/>
                <w:szCs w:val="24"/>
              </w:rPr>
              <w:t>数</w:t>
            </w:r>
          </w:p>
        </w:tc>
        <w:tc>
          <w:tcPr>
            <w:tcW w:w="1820" w:type="pct"/>
            <w:noWrap w:val="0"/>
            <w:vAlign w:val="center"/>
          </w:tcPr>
          <w:p w14:paraId="42B226A0">
            <w:pPr>
              <w:keepNext w:val="0"/>
              <w:keepLines w:val="0"/>
              <w:pageBreakBefore w:val="0"/>
              <w:widowControl/>
              <w:kinsoku w:val="0"/>
              <w:wordWrap/>
              <w:overflowPunct/>
              <w:topLinePunct w:val="0"/>
              <w:autoSpaceDE w:val="0"/>
              <w:autoSpaceDN w:val="0"/>
              <w:bidi w:val="0"/>
              <w:adjustRightInd w:val="0"/>
              <w:snapToGrid w:val="0"/>
              <w:spacing w:before="78" w:line="240" w:lineRule="auto"/>
              <w:ind w:right="55"/>
              <w:jc w:val="center"/>
              <w:rPr>
                <w:rFonts w:ascii="宋体" w:hAnsi="宋体" w:eastAsia="宋体" w:cs="宋体"/>
                <w:b/>
                <w:bCs/>
                <w:color w:val="auto"/>
                <w:sz w:val="24"/>
                <w:szCs w:val="24"/>
              </w:rPr>
            </w:pPr>
            <w:r>
              <w:rPr>
                <w:rFonts w:ascii="宋体" w:hAnsi="宋体" w:eastAsia="宋体" w:cs="宋体"/>
                <w:b/>
                <w:bCs/>
                <w:color w:val="auto"/>
                <w:spacing w:val="-2"/>
                <w:sz w:val="24"/>
                <w:szCs w:val="24"/>
              </w:rPr>
              <w:t>投标服务实际参</w:t>
            </w:r>
            <w:r>
              <w:rPr>
                <w:rFonts w:ascii="宋体" w:hAnsi="宋体" w:eastAsia="宋体" w:cs="宋体"/>
                <w:b/>
                <w:bCs/>
                <w:color w:val="auto"/>
                <w:sz w:val="24"/>
                <w:szCs w:val="24"/>
              </w:rPr>
              <w:t>数</w:t>
            </w:r>
          </w:p>
        </w:tc>
        <w:tc>
          <w:tcPr>
            <w:tcW w:w="526" w:type="pct"/>
            <w:noWrap w:val="0"/>
            <w:vAlign w:val="center"/>
          </w:tcPr>
          <w:p w14:paraId="0B82F504">
            <w:pPr>
              <w:keepNext w:val="0"/>
              <w:keepLines w:val="0"/>
              <w:pageBreakBefore w:val="0"/>
              <w:widowControl/>
              <w:kinsoku w:val="0"/>
              <w:wordWrap/>
              <w:overflowPunct/>
              <w:topLinePunct w:val="0"/>
              <w:autoSpaceDE w:val="0"/>
              <w:autoSpaceDN w:val="0"/>
              <w:bidi w:val="0"/>
              <w:adjustRightInd w:val="0"/>
              <w:snapToGrid w:val="0"/>
              <w:spacing w:before="78" w:line="240" w:lineRule="auto"/>
              <w:jc w:val="center"/>
              <w:rPr>
                <w:rFonts w:ascii="宋体" w:hAnsi="宋体" w:eastAsia="宋体" w:cs="宋体"/>
                <w:b/>
                <w:bCs/>
                <w:color w:val="auto"/>
                <w:sz w:val="24"/>
                <w:szCs w:val="24"/>
              </w:rPr>
            </w:pPr>
            <w:r>
              <w:rPr>
                <w:rFonts w:ascii="宋体" w:hAnsi="宋体" w:eastAsia="宋体" w:cs="宋体"/>
                <w:b/>
                <w:bCs/>
                <w:color w:val="auto"/>
                <w:spacing w:val="-3"/>
                <w:sz w:val="24"/>
                <w:szCs w:val="24"/>
              </w:rPr>
              <w:t>偏离情况</w:t>
            </w:r>
          </w:p>
        </w:tc>
        <w:tc>
          <w:tcPr>
            <w:tcW w:w="425" w:type="pct"/>
            <w:noWrap w:val="0"/>
            <w:vAlign w:val="center"/>
          </w:tcPr>
          <w:p w14:paraId="4F1B1FC0">
            <w:pPr>
              <w:keepNext w:val="0"/>
              <w:keepLines w:val="0"/>
              <w:pageBreakBefore w:val="0"/>
              <w:widowControl/>
              <w:kinsoku w:val="0"/>
              <w:wordWrap/>
              <w:overflowPunct/>
              <w:topLinePunct w:val="0"/>
              <w:autoSpaceDE w:val="0"/>
              <w:autoSpaceDN w:val="0"/>
              <w:bidi w:val="0"/>
              <w:adjustRightInd w:val="0"/>
              <w:snapToGrid w:val="0"/>
              <w:spacing w:before="213" w:line="200" w:lineRule="exact"/>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pacing w:val="-3"/>
                <w:sz w:val="24"/>
                <w:szCs w:val="24"/>
                <w:lang w:val="en-US" w:eastAsia="zh-CN"/>
              </w:rPr>
              <w:t>说明</w:t>
            </w:r>
          </w:p>
        </w:tc>
      </w:tr>
      <w:tr w14:paraId="5783B7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241" w:type="pct"/>
            <w:noWrap w:val="0"/>
            <w:vAlign w:val="center"/>
          </w:tcPr>
          <w:p w14:paraId="03C34285">
            <w:pPr>
              <w:jc w:val="center"/>
              <w:rPr>
                <w:rFonts w:hint="eastAsia" w:ascii="宋体" w:eastAsia="宋体"/>
                <w:color w:val="auto"/>
                <w:sz w:val="21"/>
                <w:lang w:val="en-US" w:eastAsia="zh-CN"/>
              </w:rPr>
            </w:pPr>
            <w:r>
              <w:rPr>
                <w:rFonts w:hint="eastAsia" w:ascii="宋体" w:eastAsia="宋体"/>
                <w:color w:val="auto"/>
                <w:sz w:val="21"/>
                <w:lang w:val="en-US" w:eastAsia="zh-CN"/>
              </w:rPr>
              <w:t>1</w:t>
            </w:r>
          </w:p>
        </w:tc>
        <w:tc>
          <w:tcPr>
            <w:tcW w:w="1986" w:type="pct"/>
            <w:noWrap w:val="0"/>
            <w:vAlign w:val="center"/>
          </w:tcPr>
          <w:p w14:paraId="15FF345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00" w:lineRule="exact"/>
              <w:ind w:left="105" w:right="0" w:rightChars="0" w:hanging="105" w:hangingChars="5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(1)供应商对服务项目需分别具有相应业务资质及主营范围。</w:t>
            </w:r>
          </w:p>
          <w:p w14:paraId="1FF844D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00" w:lineRule="exact"/>
              <w:ind w:left="105" w:right="0" w:rightChars="0" w:hanging="105" w:hangingChars="50"/>
              <w:rPr>
                <w:rFonts w:ascii="宋体"/>
                <w:color w:val="auto"/>
                <w:sz w:val="21"/>
              </w:rPr>
            </w:pPr>
            <w:r>
              <w:rPr>
                <w:rFonts w:hint="eastAsia" w:ascii="宋体" w:hAnsi="宋体" w:eastAsia="宋体" w:cs="宋体"/>
                <w:b w:val="0"/>
                <w:bCs w:val="0"/>
                <w:color w:val="auto"/>
                <w:sz w:val="21"/>
                <w:szCs w:val="21"/>
                <w:lang w:val="en-US" w:eastAsia="zh-CN"/>
              </w:rPr>
              <w:t>(2)供应商应具备固定专职技术人员、设备等。</w:t>
            </w:r>
          </w:p>
        </w:tc>
        <w:tc>
          <w:tcPr>
            <w:tcW w:w="1820" w:type="pct"/>
            <w:noWrap w:val="0"/>
            <w:vAlign w:val="center"/>
          </w:tcPr>
          <w:p w14:paraId="70303C2C">
            <w:pPr>
              <w:rPr>
                <w:rFonts w:ascii="宋体"/>
                <w:color w:val="auto"/>
                <w:sz w:val="21"/>
                <w:highlight w:val="cyan"/>
              </w:rPr>
            </w:pPr>
          </w:p>
        </w:tc>
        <w:tc>
          <w:tcPr>
            <w:tcW w:w="526" w:type="pct"/>
            <w:noWrap w:val="0"/>
            <w:vAlign w:val="center"/>
          </w:tcPr>
          <w:p w14:paraId="5003DECD">
            <w:pPr>
              <w:rPr>
                <w:rFonts w:ascii="宋体"/>
                <w:color w:val="auto"/>
                <w:sz w:val="21"/>
                <w:highlight w:val="cyan"/>
              </w:rPr>
            </w:pPr>
          </w:p>
        </w:tc>
        <w:tc>
          <w:tcPr>
            <w:tcW w:w="425" w:type="pct"/>
            <w:noWrap w:val="0"/>
            <w:vAlign w:val="center"/>
          </w:tcPr>
          <w:p w14:paraId="6164B71E">
            <w:pPr>
              <w:rPr>
                <w:rFonts w:ascii="宋体"/>
                <w:color w:val="auto"/>
                <w:sz w:val="21"/>
                <w:highlight w:val="cyan"/>
              </w:rPr>
            </w:pPr>
          </w:p>
        </w:tc>
      </w:tr>
      <w:tr w14:paraId="739DC7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241" w:type="pct"/>
            <w:noWrap w:val="0"/>
            <w:vAlign w:val="center"/>
          </w:tcPr>
          <w:p w14:paraId="383F45A3">
            <w:pPr>
              <w:jc w:val="center"/>
              <w:rPr>
                <w:rFonts w:hint="eastAsia" w:ascii="宋体" w:eastAsia="宋体"/>
                <w:color w:val="auto"/>
                <w:sz w:val="21"/>
                <w:lang w:val="en-US" w:eastAsia="zh-CN"/>
              </w:rPr>
            </w:pPr>
            <w:r>
              <w:rPr>
                <w:rFonts w:hint="eastAsia" w:ascii="宋体" w:eastAsia="宋体"/>
                <w:color w:val="auto"/>
                <w:sz w:val="21"/>
                <w:lang w:val="en-US" w:eastAsia="zh-CN"/>
              </w:rPr>
              <w:t>2</w:t>
            </w:r>
          </w:p>
        </w:tc>
        <w:tc>
          <w:tcPr>
            <w:tcW w:w="1986" w:type="pct"/>
            <w:noWrap w:val="0"/>
            <w:vAlign w:val="center"/>
          </w:tcPr>
          <w:p w14:paraId="1A2854C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00" w:lineRule="exact"/>
              <w:ind w:left="0" w:right="0" w:rightChars="0" w:firstLine="105" w:firstLineChars="5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1.供应商应具备以下限时办结的能力:供应商须在本地具有快速响应服务能力，自接到采购委托人通知后</w:t>
            </w:r>
            <w:r>
              <w:rPr>
                <w:rFonts w:hint="eastAsia" w:ascii="宋体" w:hAnsi="宋体" w:cs="宋体"/>
                <w:b w:val="0"/>
                <w:bCs w:val="0"/>
                <w:color w:val="auto"/>
                <w:sz w:val="21"/>
                <w:szCs w:val="21"/>
                <w:lang w:val="en-US" w:eastAsia="zh-CN"/>
              </w:rPr>
              <w:t>1</w:t>
            </w:r>
            <w:r>
              <w:rPr>
                <w:rFonts w:hint="eastAsia" w:ascii="宋体" w:hAnsi="宋体" w:eastAsia="宋体" w:cs="宋体"/>
                <w:b w:val="0"/>
                <w:bCs w:val="0"/>
                <w:color w:val="auto"/>
                <w:sz w:val="21"/>
                <w:szCs w:val="21"/>
                <w:lang w:val="en-US" w:eastAsia="zh-CN"/>
              </w:rPr>
              <w:t>小时内响应，并按要求到达指定项目现场开展工作。响应方式包含但不限于电话响应、即时通讯工具响应(微信、QQ、钉钉)、电子邮件响应、在线会议响应(如腾讯会议、Zoom等)以及到现场响应。</w:t>
            </w:r>
          </w:p>
          <w:p w14:paraId="5F4B3CE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00" w:lineRule="exact"/>
              <w:ind w:left="0" w:right="0" w:rightChars="0" w:firstLine="105" w:firstLineChars="50"/>
              <w:rPr>
                <w:rFonts w:ascii="宋体"/>
                <w:color w:val="auto"/>
                <w:sz w:val="21"/>
              </w:rPr>
            </w:pPr>
            <w:r>
              <w:rPr>
                <w:rFonts w:hint="eastAsia" w:ascii="宋体" w:hAnsi="宋体" w:eastAsia="宋体" w:cs="宋体"/>
                <w:b w:val="0"/>
                <w:bCs w:val="0"/>
                <w:color w:val="auto"/>
                <w:sz w:val="21"/>
                <w:szCs w:val="21"/>
                <w:lang w:val="en-US" w:eastAsia="zh-CN"/>
              </w:rPr>
              <w:t>2.项目评审审核限时办结制度:供应商与采购人签订项目合同后，应严格遵守项目评审时限要求，合理安排人员在合同规定的时间内完成工作，并向采购人提交合同规定的成果文件及电子文档，且提交的成果文件必须完成其内部审核程序。3.因客观原因，需提前完成评审工作的项目，评审时限按项目委托时议定的时限执行。</w:t>
            </w:r>
          </w:p>
        </w:tc>
        <w:tc>
          <w:tcPr>
            <w:tcW w:w="1820" w:type="pct"/>
            <w:noWrap w:val="0"/>
            <w:vAlign w:val="center"/>
          </w:tcPr>
          <w:p w14:paraId="075DCDC9">
            <w:pPr>
              <w:rPr>
                <w:rFonts w:ascii="宋体"/>
                <w:color w:val="auto"/>
                <w:sz w:val="21"/>
                <w:highlight w:val="cyan"/>
              </w:rPr>
            </w:pPr>
          </w:p>
        </w:tc>
        <w:tc>
          <w:tcPr>
            <w:tcW w:w="526" w:type="pct"/>
            <w:noWrap w:val="0"/>
            <w:vAlign w:val="center"/>
          </w:tcPr>
          <w:p w14:paraId="661C6337">
            <w:pPr>
              <w:rPr>
                <w:rFonts w:ascii="宋体"/>
                <w:color w:val="auto"/>
                <w:sz w:val="21"/>
                <w:highlight w:val="cyan"/>
              </w:rPr>
            </w:pPr>
          </w:p>
        </w:tc>
        <w:tc>
          <w:tcPr>
            <w:tcW w:w="425" w:type="pct"/>
            <w:noWrap w:val="0"/>
            <w:vAlign w:val="center"/>
          </w:tcPr>
          <w:p w14:paraId="77E1F63D">
            <w:pPr>
              <w:rPr>
                <w:rFonts w:ascii="宋体"/>
                <w:color w:val="auto"/>
                <w:sz w:val="21"/>
                <w:highlight w:val="cyan"/>
              </w:rPr>
            </w:pPr>
          </w:p>
        </w:tc>
      </w:tr>
      <w:tr w14:paraId="3A966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241" w:type="pct"/>
            <w:noWrap w:val="0"/>
            <w:vAlign w:val="center"/>
          </w:tcPr>
          <w:p w14:paraId="383A3D02">
            <w:pPr>
              <w:jc w:val="center"/>
              <w:rPr>
                <w:rFonts w:hint="eastAsia" w:ascii="宋体" w:eastAsia="宋体"/>
                <w:color w:val="auto"/>
                <w:sz w:val="21"/>
                <w:lang w:val="en-US" w:eastAsia="zh-CN"/>
              </w:rPr>
            </w:pPr>
            <w:r>
              <w:rPr>
                <w:rFonts w:hint="eastAsia" w:ascii="宋体" w:eastAsia="宋体"/>
                <w:color w:val="auto"/>
                <w:sz w:val="21"/>
                <w:lang w:val="en-US" w:eastAsia="zh-CN"/>
              </w:rPr>
              <w:t>3</w:t>
            </w:r>
          </w:p>
        </w:tc>
        <w:tc>
          <w:tcPr>
            <w:tcW w:w="1986" w:type="pct"/>
            <w:noWrap w:val="0"/>
            <w:vAlign w:val="center"/>
          </w:tcPr>
          <w:p w14:paraId="0E359C7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00" w:lineRule="exact"/>
              <w:ind w:left="0" w:right="0" w:rightChars="0" w:firstLine="105" w:firstLineChars="5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1.供应商要严格遵守国家的法律、法规和有关规章制度，严格尊守行为准则和职业道德，按现行的财政项目评审操作规程及质量控制规定开展工作。</w:t>
            </w:r>
          </w:p>
          <w:p w14:paraId="59DBCA4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00" w:lineRule="exact"/>
              <w:ind w:left="0" w:right="0" w:rightChars="0" w:firstLine="105" w:firstLineChars="5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供应商对成果文件应实行内部“三级复核”制度。应依照相关依据发表专业意见出具成果文件，并对成果的真实性、完整性准确性负责，成果文件除加盖编制人、复核人造价师执业印章外，还应由编制人复核人、项目负责人和技术负责人亲笔签名正实成果文件经相关人审核。3.各类评审报告编制标准:评审内容完整、数据准确、依据充分;评审结论定性客观、定量准确、依据充分;核增核减原因定性准确、条理清晰，披露评审问题有理有据、分析透彻:提出评审建议措施具体、针对性强。</w:t>
            </w:r>
          </w:p>
          <w:p w14:paraId="1156200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00" w:lineRule="exact"/>
              <w:ind w:left="0" w:right="0" w:rightChars="0" w:firstLine="105" w:firstLineChars="5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4.采购人将对供应商提交的评审意见和评审结论必要时可进行复审，复审结果因供应商造成严重质量问题的，采购人不支付该项目的评审费用，供应商必须承担由此造成的全部经济和法律责任。</w:t>
            </w:r>
          </w:p>
          <w:p w14:paraId="726F6EB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00" w:lineRule="exact"/>
              <w:ind w:right="0" w:rightChars="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5.供应商应同意采购人在必要时有另择其他中介机构对已审定的工程结算进行复审的权利，若误差率大于3%，咨询人须接受如下处罚:(1)若 3%&lt;误差率&lt;5%时，由咨询人支付复审费用的20%；(2)若5%&lt;误差率&lt;8%时，除由咨询人支付全部复审费用外，应收回已支付的50%中介服务费用的；(3)若误差率&gt;8%时，除由咨询人支付全部复审费用外，委托人应收回已支付的100%中介服务费用，取消其受托资格，并视情节轻重追究相应责任。</w:t>
            </w:r>
          </w:p>
          <w:p w14:paraId="0F23FB0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00" w:lineRule="exact"/>
              <w:ind w:left="0" w:right="0" w:rightChars="0" w:firstLine="105" w:firstLineChars="5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供应商递交的评审意见和评审结论经采购人、建设单位确认后，在后续工作过程中若由造价管理机构或其他审计单位发现审核结果存在严重错误(如漏项、漏计单价、由于小数点等原因造成工程量或单价误差较大、各表格之间的对应数据不一致等问题)，供应商必须承担由此造成的全部经济和法律责任，并接受行业主管部门相关责任的处罚。</w:t>
            </w:r>
          </w:p>
          <w:p w14:paraId="276AA4F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00" w:lineRule="exact"/>
              <w:ind w:left="0" w:right="0" w:rightChars="0" w:firstLine="105" w:firstLineChars="50"/>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lang w:val="en-US" w:eastAsia="zh-CN"/>
              </w:rPr>
              <w:t>7.因客观原因导致已审核的项目需要重新审核的，供应商须无条件配合并重新进行审核、出具审核成果，采购人不再另行支付供应商相关费用，供应商需充分考虑该因素进行响应。</w:t>
            </w:r>
          </w:p>
        </w:tc>
        <w:tc>
          <w:tcPr>
            <w:tcW w:w="1820" w:type="pct"/>
            <w:noWrap w:val="0"/>
            <w:vAlign w:val="center"/>
          </w:tcPr>
          <w:p w14:paraId="7354A204">
            <w:pPr>
              <w:ind w:firstLine="420" w:firstLineChars="200"/>
              <w:rPr>
                <w:rFonts w:hint="eastAsia" w:ascii="宋体" w:hAnsi="宋体" w:eastAsia="宋体" w:cs="宋体"/>
                <w:color w:val="auto"/>
                <w:sz w:val="21"/>
                <w:szCs w:val="21"/>
                <w:lang w:val="en-US" w:eastAsia="zh-CN"/>
              </w:rPr>
            </w:pPr>
          </w:p>
        </w:tc>
        <w:tc>
          <w:tcPr>
            <w:tcW w:w="526" w:type="pct"/>
            <w:noWrap w:val="0"/>
            <w:vAlign w:val="center"/>
          </w:tcPr>
          <w:p w14:paraId="52822869">
            <w:pPr>
              <w:rPr>
                <w:rFonts w:ascii="宋体"/>
                <w:color w:val="auto"/>
                <w:sz w:val="21"/>
                <w:highlight w:val="cyan"/>
              </w:rPr>
            </w:pPr>
          </w:p>
        </w:tc>
        <w:tc>
          <w:tcPr>
            <w:tcW w:w="425" w:type="pct"/>
            <w:noWrap w:val="0"/>
            <w:vAlign w:val="center"/>
          </w:tcPr>
          <w:p w14:paraId="4F0D1CA1">
            <w:pPr>
              <w:rPr>
                <w:rFonts w:ascii="宋体"/>
                <w:color w:val="auto"/>
                <w:sz w:val="21"/>
                <w:highlight w:val="cyan"/>
              </w:rPr>
            </w:pPr>
          </w:p>
        </w:tc>
      </w:tr>
      <w:tr w14:paraId="5EF053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241" w:type="pct"/>
            <w:noWrap w:val="0"/>
            <w:vAlign w:val="center"/>
          </w:tcPr>
          <w:p w14:paraId="5245717E">
            <w:pPr>
              <w:jc w:val="center"/>
              <w:rPr>
                <w:rFonts w:hint="eastAsia" w:ascii="宋体" w:eastAsia="宋体"/>
                <w:color w:val="auto"/>
                <w:sz w:val="21"/>
                <w:lang w:val="en-US" w:eastAsia="zh-CN"/>
              </w:rPr>
            </w:pPr>
            <w:r>
              <w:rPr>
                <w:rFonts w:hint="eastAsia" w:ascii="宋体" w:eastAsia="宋体"/>
                <w:color w:val="auto"/>
                <w:sz w:val="21"/>
                <w:lang w:val="en-US" w:eastAsia="zh-CN"/>
              </w:rPr>
              <w:t>4</w:t>
            </w:r>
          </w:p>
        </w:tc>
        <w:tc>
          <w:tcPr>
            <w:tcW w:w="1986" w:type="pct"/>
            <w:noWrap w:val="0"/>
            <w:vAlign w:val="center"/>
          </w:tcPr>
          <w:p w14:paraId="3F187FB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00" w:lineRule="exact"/>
              <w:ind w:left="0" w:right="0" w:rightChars="0" w:firstLine="105" w:firstLineChars="50"/>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lang w:val="en-US" w:eastAsia="zh-CN"/>
              </w:rPr>
              <w:t>1.采购人对项目委托后供应商应指派至少两名评审人员进点开展评审工作，并根据项目金额确定的评审时限提交工作成果。</w:t>
            </w:r>
          </w:p>
        </w:tc>
        <w:tc>
          <w:tcPr>
            <w:tcW w:w="1820" w:type="pct"/>
            <w:noWrap w:val="0"/>
            <w:vAlign w:val="center"/>
          </w:tcPr>
          <w:p w14:paraId="0132A72D">
            <w:pPr>
              <w:rPr>
                <w:rFonts w:ascii="宋体"/>
                <w:color w:val="auto"/>
                <w:sz w:val="21"/>
                <w:highlight w:val="cyan"/>
              </w:rPr>
            </w:pPr>
          </w:p>
        </w:tc>
        <w:tc>
          <w:tcPr>
            <w:tcW w:w="526" w:type="pct"/>
            <w:noWrap w:val="0"/>
            <w:vAlign w:val="center"/>
          </w:tcPr>
          <w:p w14:paraId="6952C829">
            <w:pPr>
              <w:rPr>
                <w:rFonts w:ascii="宋体"/>
                <w:color w:val="auto"/>
                <w:sz w:val="21"/>
                <w:highlight w:val="cyan"/>
              </w:rPr>
            </w:pPr>
          </w:p>
        </w:tc>
        <w:tc>
          <w:tcPr>
            <w:tcW w:w="425" w:type="pct"/>
            <w:noWrap w:val="0"/>
            <w:vAlign w:val="center"/>
          </w:tcPr>
          <w:p w14:paraId="312B9A03">
            <w:pPr>
              <w:rPr>
                <w:rFonts w:ascii="宋体"/>
                <w:color w:val="auto"/>
                <w:sz w:val="21"/>
                <w:highlight w:val="cyan"/>
              </w:rPr>
            </w:pPr>
          </w:p>
        </w:tc>
      </w:tr>
      <w:tr w14:paraId="43187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241" w:type="pct"/>
            <w:noWrap w:val="0"/>
            <w:vAlign w:val="center"/>
          </w:tcPr>
          <w:p w14:paraId="06FB7C7A">
            <w:pPr>
              <w:jc w:val="center"/>
              <w:rPr>
                <w:rFonts w:hint="eastAsia" w:ascii="宋体" w:eastAsia="宋体"/>
                <w:color w:val="auto"/>
                <w:sz w:val="21"/>
                <w:lang w:val="en-US" w:eastAsia="zh-CN"/>
              </w:rPr>
            </w:pPr>
            <w:r>
              <w:rPr>
                <w:rFonts w:hint="eastAsia" w:ascii="宋体" w:eastAsia="宋体"/>
                <w:color w:val="auto"/>
                <w:sz w:val="21"/>
                <w:lang w:val="en-US" w:eastAsia="zh-CN"/>
              </w:rPr>
              <w:t>5</w:t>
            </w:r>
          </w:p>
        </w:tc>
        <w:tc>
          <w:tcPr>
            <w:tcW w:w="1986" w:type="pct"/>
            <w:noWrap w:val="0"/>
            <w:vAlign w:val="center"/>
          </w:tcPr>
          <w:p w14:paraId="2C8B571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00" w:lineRule="exact"/>
              <w:ind w:left="0" w:right="0" w:rightChars="0" w:firstLine="105" w:firstLineChars="5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 xml:space="preserve">供应商派一名项目技术负责人（可兼项目负责人）与采购人及相关单位进行有效沟通，随时向采购人汇报工作，跟进项目进度，确保审核质量并承担相应责任，组织相关评审工作，能够就评审中的重大技术问题、重大争议与纠纷提出处理建议，按规定提交采购人要求的各项意见和审核报告。      </w:t>
            </w:r>
          </w:p>
          <w:p w14:paraId="2413E50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00" w:lineRule="exact"/>
              <w:ind w:left="0" w:right="0" w:rightChars="0" w:firstLine="105" w:firstLineChars="5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2.项目评审人员要求</w:t>
            </w:r>
          </w:p>
          <w:p w14:paraId="622B8B5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00" w:lineRule="exact"/>
              <w:ind w:left="0" w:right="0" w:rightChars="0" w:firstLine="105" w:firstLineChars="5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 xml:space="preserve">①成交供应商应配合委托人收集评审资料，接受委托人对评审业务的监督及管理， </w:t>
            </w:r>
          </w:p>
          <w:p w14:paraId="0878E52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00" w:lineRule="exact"/>
              <w:ind w:left="0" w:right="0" w:rightChars="0" w:firstLine="105" w:firstLineChars="5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 xml:space="preserve">项目技术负责人（可兼项目负责人）1 名，须持有国家注册一级造价工程师证书，并人员固定，各专业造价人员配备合理，满足编制和审核的要求（填写与投标人员一致的人员姓名及联系方式，附资质证明材料）： </w:t>
            </w:r>
          </w:p>
          <w:p w14:paraId="5AB8F3B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00" w:lineRule="exact"/>
              <w:ind w:left="0" w:right="0" w:rightChars="0" w:firstLine="105" w:firstLineChars="5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供应商应根据采购人工作需要，至少派两名沟通能力强，熟悉政府评审工作流程，具备岗位匹配专业技术的本单位专职工作人员参与评审、技术探讨和提供日常咨询业务。原则上评审人员在合同期内不予更换，如需更换，须经采购人审核同意。如不能按要求派驻评审人员，采购人有权不向其委托评审项目（响应文件中应提供派驻评审人员名单及执业资格资料）。</w:t>
            </w:r>
          </w:p>
          <w:p w14:paraId="17F6166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00" w:lineRule="exact"/>
              <w:ind w:left="0" w:right="0" w:rightChars="0" w:firstLine="105" w:firstLineChars="50"/>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lang w:val="en-US" w:eastAsia="zh-CN"/>
              </w:rPr>
              <w:t>②如果供应商需要更换项目负责人或评审人员时，需提前2个月向采购人提出申请并得到采购人的同意。采购人认为供应商实际投入的评审人员不足以满足任务需要或认为评审人员不称职时，可向供应商发出要求增加或更换评审人员的通知,供应商应及时增加或更换符合采购人需求的评审人员，由此产生的费用由供应商自行承担。</w:t>
            </w:r>
          </w:p>
        </w:tc>
        <w:tc>
          <w:tcPr>
            <w:tcW w:w="1820" w:type="pct"/>
            <w:noWrap w:val="0"/>
            <w:vAlign w:val="center"/>
          </w:tcPr>
          <w:p w14:paraId="00CC3F6E">
            <w:pPr>
              <w:rPr>
                <w:rFonts w:ascii="宋体"/>
                <w:color w:val="auto"/>
                <w:sz w:val="21"/>
                <w:highlight w:val="cyan"/>
              </w:rPr>
            </w:pPr>
          </w:p>
        </w:tc>
        <w:tc>
          <w:tcPr>
            <w:tcW w:w="526" w:type="pct"/>
            <w:noWrap w:val="0"/>
            <w:vAlign w:val="center"/>
          </w:tcPr>
          <w:p w14:paraId="01863AF1">
            <w:pPr>
              <w:rPr>
                <w:rFonts w:ascii="宋体"/>
                <w:color w:val="auto"/>
                <w:sz w:val="21"/>
                <w:highlight w:val="cyan"/>
              </w:rPr>
            </w:pPr>
          </w:p>
        </w:tc>
        <w:tc>
          <w:tcPr>
            <w:tcW w:w="425" w:type="pct"/>
            <w:noWrap w:val="0"/>
            <w:vAlign w:val="center"/>
          </w:tcPr>
          <w:p w14:paraId="2C9C2BAB">
            <w:pPr>
              <w:rPr>
                <w:rFonts w:ascii="宋体"/>
                <w:color w:val="auto"/>
                <w:sz w:val="21"/>
                <w:highlight w:val="cyan"/>
              </w:rPr>
            </w:pPr>
          </w:p>
        </w:tc>
      </w:tr>
      <w:tr w14:paraId="388CB1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241" w:type="pct"/>
            <w:noWrap w:val="0"/>
            <w:vAlign w:val="center"/>
          </w:tcPr>
          <w:p w14:paraId="11514F7B">
            <w:pPr>
              <w:jc w:val="center"/>
              <w:rPr>
                <w:rFonts w:hint="eastAsia" w:ascii="宋体" w:eastAsia="宋体"/>
                <w:color w:val="auto"/>
                <w:sz w:val="21"/>
                <w:lang w:val="en-US" w:eastAsia="zh-CN"/>
              </w:rPr>
            </w:pPr>
            <w:r>
              <w:rPr>
                <w:rFonts w:hint="eastAsia" w:ascii="宋体" w:eastAsia="宋体"/>
                <w:color w:val="auto"/>
                <w:sz w:val="21"/>
                <w:lang w:val="en-US" w:eastAsia="zh-CN"/>
              </w:rPr>
              <w:t>6</w:t>
            </w:r>
          </w:p>
        </w:tc>
        <w:tc>
          <w:tcPr>
            <w:tcW w:w="1986" w:type="pct"/>
            <w:noWrap w:val="0"/>
            <w:vAlign w:val="center"/>
          </w:tcPr>
          <w:p w14:paraId="712B871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00" w:lineRule="exact"/>
              <w:ind w:left="0" w:right="0" w:rightChars="0" w:firstLine="105" w:firstLineChars="50"/>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lang w:val="en-US" w:eastAsia="zh-CN"/>
              </w:rPr>
              <w:t>如果供应商需要更换项目负责人或评审人员时，需提前</w:t>
            </w:r>
            <w:r>
              <w:rPr>
                <w:rFonts w:hint="eastAsia" w:ascii="宋体" w:hAnsi="宋体" w:cs="宋体"/>
                <w:b w:val="0"/>
                <w:bCs w:val="0"/>
                <w:color w:val="auto"/>
                <w:sz w:val="21"/>
                <w:szCs w:val="21"/>
                <w:lang w:val="en-US" w:eastAsia="zh-CN"/>
              </w:rPr>
              <w:t>2</w:t>
            </w:r>
            <w:r>
              <w:rPr>
                <w:rFonts w:hint="eastAsia" w:ascii="宋体" w:hAnsi="宋体" w:eastAsia="宋体" w:cs="宋体"/>
                <w:b w:val="0"/>
                <w:bCs w:val="0"/>
                <w:color w:val="auto"/>
                <w:sz w:val="21"/>
                <w:szCs w:val="21"/>
                <w:lang w:val="en-US" w:eastAsia="zh-CN"/>
              </w:rPr>
              <w:t>个月向采购人提出申请并得到采购人的同意。采购人认为供应商实际投入的评审人员不足以满足任务需要或认为评审人员不称职时，可向供应商发出要求增加或更换评审人员的通知,供应商应及时增加或更换符合采购人需求的评审人员，由此产生的费用由供应商自行承担。</w:t>
            </w:r>
          </w:p>
        </w:tc>
        <w:tc>
          <w:tcPr>
            <w:tcW w:w="1820" w:type="pct"/>
            <w:noWrap w:val="0"/>
            <w:vAlign w:val="center"/>
          </w:tcPr>
          <w:p w14:paraId="1551B522">
            <w:pPr>
              <w:rPr>
                <w:rFonts w:ascii="宋体"/>
                <w:color w:val="auto"/>
                <w:sz w:val="21"/>
                <w:highlight w:val="cyan"/>
              </w:rPr>
            </w:pPr>
          </w:p>
        </w:tc>
        <w:tc>
          <w:tcPr>
            <w:tcW w:w="526" w:type="pct"/>
            <w:noWrap w:val="0"/>
            <w:vAlign w:val="center"/>
          </w:tcPr>
          <w:p w14:paraId="34B60F72">
            <w:pPr>
              <w:rPr>
                <w:rFonts w:ascii="宋体"/>
                <w:color w:val="auto"/>
                <w:sz w:val="21"/>
                <w:highlight w:val="cyan"/>
              </w:rPr>
            </w:pPr>
          </w:p>
        </w:tc>
        <w:tc>
          <w:tcPr>
            <w:tcW w:w="425" w:type="pct"/>
            <w:noWrap w:val="0"/>
            <w:vAlign w:val="center"/>
          </w:tcPr>
          <w:p w14:paraId="602CD478">
            <w:pPr>
              <w:rPr>
                <w:rFonts w:ascii="宋体"/>
                <w:color w:val="auto"/>
                <w:sz w:val="21"/>
                <w:highlight w:val="cyan"/>
              </w:rPr>
            </w:pPr>
          </w:p>
        </w:tc>
      </w:tr>
    </w:tbl>
    <w:p w14:paraId="41A8E6B2">
      <w:pPr>
        <w:spacing w:before="78" w:line="185" w:lineRule="auto"/>
        <w:ind w:firstLine="3444" w:firstLineChars="1400"/>
        <w:jc w:val="both"/>
        <w:rPr>
          <w:rFonts w:ascii="宋体" w:hAnsi="宋体" w:eastAsia="宋体" w:cs="宋体"/>
          <w:color w:val="auto"/>
          <w:sz w:val="24"/>
          <w:szCs w:val="24"/>
        </w:rPr>
      </w:pPr>
      <w:r>
        <w:rPr>
          <w:rFonts w:hint="eastAsia" w:ascii="宋体" w:hAnsi="宋体" w:eastAsia="宋体" w:cs="宋体"/>
          <w:color w:val="auto"/>
          <w:spacing w:val="3"/>
          <w:sz w:val="24"/>
          <w:szCs w:val="24"/>
          <w:lang w:val="en-US" w:eastAsia="zh-CN"/>
        </w:rPr>
        <w:t>征集对象</w:t>
      </w:r>
      <w:r>
        <w:rPr>
          <w:rFonts w:ascii="宋体" w:hAnsi="宋体" w:eastAsia="宋体" w:cs="宋体"/>
          <w:color w:val="auto"/>
          <w:spacing w:val="-68"/>
          <w:sz w:val="24"/>
          <w:szCs w:val="24"/>
        </w:rPr>
        <w:t>：</w:t>
      </w:r>
      <w:r>
        <w:rPr>
          <w:rFonts w:hint="eastAsia" w:ascii="宋体" w:hAnsi="宋体" w:eastAsia="宋体" w:cs="宋体"/>
          <w:color w:val="auto"/>
          <w:spacing w:val="3"/>
          <w:sz w:val="24"/>
          <w:szCs w:val="24"/>
          <w:lang w:val="en-US" w:eastAsia="zh-CN"/>
        </w:rPr>
        <w:t xml:space="preserve"> </w:t>
      </w:r>
      <w:r>
        <w:rPr>
          <w:rFonts w:hint="eastAsia" w:ascii="宋体" w:hAnsi="宋体" w:eastAsia="宋体" w:cs="宋体"/>
          <w:color w:val="auto"/>
          <w:spacing w:val="3"/>
          <w:sz w:val="24"/>
          <w:szCs w:val="24"/>
          <w:u w:val="single"/>
          <w:lang w:val="en-US" w:eastAsia="zh-CN"/>
        </w:rPr>
        <w:t xml:space="preserve">            </w:t>
      </w:r>
      <w:r>
        <w:rPr>
          <w:rFonts w:ascii="宋体" w:hAnsi="宋体" w:eastAsia="宋体" w:cs="宋体"/>
          <w:color w:val="auto"/>
          <w:spacing w:val="3"/>
          <w:sz w:val="24"/>
          <w:szCs w:val="24"/>
        </w:rPr>
        <w:t>（盖章</w:t>
      </w:r>
      <w:r>
        <w:rPr>
          <w:rFonts w:ascii="宋体" w:hAnsi="宋体" w:eastAsia="宋体" w:cs="宋体"/>
          <w:color w:val="auto"/>
          <w:spacing w:val="-68"/>
          <w:sz w:val="24"/>
          <w:szCs w:val="24"/>
        </w:rPr>
        <w:t>）</w:t>
      </w:r>
    </w:p>
    <w:p w14:paraId="517211A6">
      <w:pPr>
        <w:spacing w:before="262" w:line="185" w:lineRule="auto"/>
        <w:ind w:firstLine="3388" w:firstLineChars="1400"/>
        <w:rPr>
          <w:rFonts w:ascii="宋体" w:hAnsi="宋体" w:eastAsia="宋体" w:cs="宋体"/>
          <w:color w:val="auto"/>
          <w:sz w:val="24"/>
          <w:szCs w:val="24"/>
        </w:rPr>
      </w:pPr>
      <w:r>
        <w:rPr>
          <w:rFonts w:ascii="宋体" w:hAnsi="宋体" w:eastAsia="宋体" w:cs="宋体"/>
          <w:color w:val="auto"/>
          <w:spacing w:val="1"/>
          <w:sz w:val="24"/>
          <w:szCs w:val="24"/>
        </w:rPr>
        <w:t>法定代表人或被授权人（签字或印章</w:t>
      </w:r>
      <w:r>
        <w:rPr>
          <w:rFonts w:ascii="宋体" w:hAnsi="宋体" w:eastAsia="宋体" w:cs="宋体"/>
          <w:color w:val="auto"/>
          <w:spacing w:val="-64"/>
          <w:sz w:val="24"/>
          <w:szCs w:val="24"/>
        </w:rPr>
        <w:t>）</w:t>
      </w:r>
      <w:r>
        <w:rPr>
          <w:rFonts w:ascii="宋体" w:hAnsi="宋体" w:eastAsia="宋体" w:cs="宋体"/>
          <w:color w:val="auto"/>
          <w:spacing w:val="-19"/>
          <w:sz w:val="24"/>
          <w:szCs w:val="24"/>
        </w:rPr>
        <w:t xml:space="preserve"> </w:t>
      </w:r>
      <w:r>
        <w:rPr>
          <w:rFonts w:ascii="宋体" w:hAnsi="宋体" w:eastAsia="宋体" w:cs="宋体"/>
          <w:color w:val="auto"/>
          <w:spacing w:val="-64"/>
          <w:sz w:val="24"/>
          <w:szCs w:val="24"/>
        </w:rPr>
        <w:t>：</w:t>
      </w:r>
    </w:p>
    <w:p w14:paraId="2194A6CA">
      <w:pPr>
        <w:spacing w:before="227" w:line="185" w:lineRule="auto"/>
        <w:ind w:firstLine="3552" w:firstLineChars="1600"/>
        <w:rPr>
          <w:rFonts w:ascii="宋体" w:hAnsi="宋体" w:eastAsia="宋体" w:cs="宋体"/>
          <w:color w:val="auto"/>
          <w:sz w:val="24"/>
          <w:szCs w:val="24"/>
        </w:rPr>
      </w:pPr>
      <w:r>
        <w:rPr>
          <w:rFonts w:ascii="宋体" w:hAnsi="宋体" w:eastAsia="宋体" w:cs="宋体"/>
          <w:color w:val="auto"/>
          <w:spacing w:val="-9"/>
          <w:sz w:val="24"/>
          <w:szCs w:val="24"/>
        </w:rPr>
        <w:t>年</w:t>
      </w:r>
      <w:r>
        <w:rPr>
          <w:rFonts w:ascii="宋体" w:hAnsi="宋体" w:eastAsia="宋体" w:cs="宋体"/>
          <w:color w:val="auto"/>
          <w:spacing w:val="4"/>
          <w:sz w:val="24"/>
          <w:szCs w:val="24"/>
        </w:rPr>
        <w:t xml:space="preserve">    </w:t>
      </w:r>
      <w:r>
        <w:rPr>
          <w:rFonts w:ascii="宋体" w:hAnsi="宋体" w:eastAsia="宋体" w:cs="宋体"/>
          <w:color w:val="auto"/>
          <w:spacing w:val="-9"/>
          <w:sz w:val="24"/>
          <w:szCs w:val="24"/>
        </w:rPr>
        <w:t>月</w:t>
      </w:r>
      <w:r>
        <w:rPr>
          <w:rFonts w:ascii="宋体" w:hAnsi="宋体" w:eastAsia="宋体" w:cs="宋体"/>
          <w:color w:val="auto"/>
          <w:spacing w:val="12"/>
          <w:sz w:val="24"/>
          <w:szCs w:val="24"/>
        </w:rPr>
        <w:t xml:space="preserve">    </w:t>
      </w:r>
      <w:r>
        <w:rPr>
          <w:rFonts w:ascii="宋体" w:hAnsi="宋体" w:eastAsia="宋体" w:cs="宋体"/>
          <w:color w:val="auto"/>
          <w:spacing w:val="-9"/>
          <w:sz w:val="24"/>
          <w:szCs w:val="24"/>
        </w:rPr>
        <w:t>日</w:t>
      </w:r>
    </w:p>
    <w:p w14:paraId="7762A9F6">
      <w:pPr>
        <w:sectPr>
          <w:footerReference r:id="rId14" w:type="default"/>
          <w:type w:val="continuous"/>
          <w:pgSz w:w="16849" w:h="11911" w:orient="landscape"/>
          <w:pgMar w:top="1480" w:right="1423" w:bottom="1361" w:left="1355" w:header="1077" w:footer="1140" w:gutter="0"/>
          <w:pgNumType w:fmt="decimal"/>
          <w:cols w:space="720" w:num="1"/>
          <w:rtlGutter w:val="0"/>
          <w:docGrid w:linePitch="1" w:charSpace="0"/>
        </w:sectPr>
      </w:pPr>
    </w:p>
    <w:p w14:paraId="4F4225ED">
      <w:pPr>
        <w:pStyle w:val="20"/>
      </w:pPr>
    </w:p>
    <w:p w14:paraId="7442D13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jc w:val="center"/>
        <w:rPr>
          <w:rFonts w:hint="eastAsia" w:ascii="宋体" w:hAnsi="宋体" w:eastAsia="Arial" w:cs="宋体"/>
          <w:b/>
          <w:bCs/>
          <w:color w:val="auto"/>
          <w:kern w:val="2"/>
          <w:sz w:val="28"/>
          <w:szCs w:val="28"/>
          <w:lang w:val="en-US" w:eastAsia="zh-CN" w:bidi="ar-SA"/>
        </w:rPr>
      </w:pPr>
      <w:r>
        <w:rPr>
          <w:rFonts w:hint="eastAsia" w:ascii="宋体" w:hAnsi="宋体" w:eastAsia="Arial" w:cs="宋体"/>
          <w:b/>
          <w:bCs/>
          <w:color w:val="auto"/>
          <w:kern w:val="2"/>
          <w:sz w:val="28"/>
          <w:szCs w:val="28"/>
          <w:lang w:val="en-US" w:eastAsia="zh-CN" w:bidi="ar-SA"/>
        </w:rPr>
        <w:t>（16）商务条款偏差表</w:t>
      </w:r>
    </w:p>
    <w:p w14:paraId="69161BD3">
      <w:pPr>
        <w:pStyle w:val="20"/>
        <w:numPr>
          <w:ilvl w:val="0"/>
          <w:numId w:val="0"/>
        </w:numPr>
        <w:rPr>
          <w:rFonts w:hint="eastAsia"/>
          <w:lang w:val="en-US" w:eastAsia="zh-CN"/>
        </w:rPr>
      </w:pPr>
    </w:p>
    <w:tbl>
      <w:tblPr>
        <w:tblStyle w:val="30"/>
        <w:tblW w:w="50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
        <w:gridCol w:w="4148"/>
        <w:gridCol w:w="2629"/>
        <w:gridCol w:w="1024"/>
        <w:gridCol w:w="1024"/>
      </w:tblGrid>
      <w:tr w14:paraId="05DDC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91" w:type="pct"/>
            <w:noWrap w:val="0"/>
            <w:vAlign w:val="center"/>
          </w:tcPr>
          <w:p w14:paraId="4962B0E5">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序号</w:t>
            </w:r>
          </w:p>
        </w:tc>
        <w:tc>
          <w:tcPr>
            <w:tcW w:w="2212" w:type="pct"/>
            <w:noWrap w:val="0"/>
            <w:vAlign w:val="center"/>
          </w:tcPr>
          <w:p w14:paraId="222D1350">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招标文件内容</w:t>
            </w:r>
          </w:p>
        </w:tc>
        <w:tc>
          <w:tcPr>
            <w:tcW w:w="1402" w:type="pct"/>
            <w:noWrap w:val="0"/>
            <w:vAlign w:val="center"/>
          </w:tcPr>
          <w:p w14:paraId="6EC965FB">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响应文件</w:t>
            </w:r>
            <w:r>
              <w:rPr>
                <w:rFonts w:hint="eastAsia" w:ascii="宋体" w:hAnsi="宋体" w:eastAsia="宋体" w:cs="宋体"/>
                <w:b/>
                <w:bCs/>
                <w:color w:val="auto"/>
                <w:sz w:val="24"/>
                <w:szCs w:val="24"/>
              </w:rPr>
              <w:t>内容</w:t>
            </w:r>
          </w:p>
        </w:tc>
        <w:tc>
          <w:tcPr>
            <w:tcW w:w="546" w:type="pct"/>
            <w:noWrap w:val="0"/>
            <w:vAlign w:val="center"/>
          </w:tcPr>
          <w:p w14:paraId="14E829BF">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偏差</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内容</w:t>
            </w:r>
          </w:p>
        </w:tc>
        <w:tc>
          <w:tcPr>
            <w:tcW w:w="546" w:type="pct"/>
            <w:noWrap w:val="0"/>
            <w:vAlign w:val="center"/>
          </w:tcPr>
          <w:p w14:paraId="4315DDCC">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说明</w:t>
            </w:r>
          </w:p>
        </w:tc>
      </w:tr>
      <w:tr w14:paraId="07551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91" w:type="pct"/>
            <w:noWrap w:val="0"/>
            <w:vAlign w:val="center"/>
          </w:tcPr>
          <w:p w14:paraId="67F35E6C">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default" w:hAnsi="宋体" w:eastAsia="宋体" w:cs="宋体"/>
                <w:color w:val="auto"/>
                <w:sz w:val="24"/>
                <w:lang w:val="en-US" w:eastAsia="zh-CN"/>
              </w:rPr>
            </w:pPr>
            <w:r>
              <w:rPr>
                <w:rFonts w:hint="eastAsia" w:hAnsi="宋体" w:eastAsia="宋体" w:cs="宋体"/>
                <w:color w:val="auto"/>
                <w:sz w:val="24"/>
                <w:lang w:val="en-US" w:eastAsia="zh-CN"/>
              </w:rPr>
              <w:t>1</w:t>
            </w:r>
          </w:p>
        </w:tc>
        <w:tc>
          <w:tcPr>
            <w:tcW w:w="2212" w:type="pct"/>
            <w:noWrap w:val="0"/>
            <w:vAlign w:val="center"/>
          </w:tcPr>
          <w:p w14:paraId="59B3CB9D">
            <w:pPr>
              <w:rPr>
                <w:rFonts w:hint="eastAsia" w:ascii="宋体" w:hAnsi="Times New Roman" w:eastAsia="宋体" w:cs="Times New Roman"/>
                <w:color w:val="auto"/>
                <w:sz w:val="21"/>
                <w:lang w:val="en-US" w:eastAsia="zh-CN"/>
              </w:rPr>
            </w:pPr>
            <w:r>
              <w:rPr>
                <w:rFonts w:hint="eastAsia" w:ascii="宋体" w:hAnsi="Times New Roman" w:eastAsia="宋体" w:cs="Times New Roman"/>
                <w:color w:val="auto"/>
                <w:sz w:val="21"/>
                <w:lang w:val="en-US" w:eastAsia="zh-CN"/>
              </w:rPr>
              <w:t>投标有效期90 天</w:t>
            </w:r>
          </w:p>
        </w:tc>
        <w:tc>
          <w:tcPr>
            <w:tcW w:w="1402" w:type="pct"/>
            <w:noWrap w:val="0"/>
            <w:vAlign w:val="center"/>
          </w:tcPr>
          <w:p w14:paraId="3BFC2DCA">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hAnsi="宋体" w:cs="宋体"/>
                <w:color w:val="auto"/>
                <w:sz w:val="24"/>
              </w:rPr>
            </w:pPr>
          </w:p>
        </w:tc>
        <w:tc>
          <w:tcPr>
            <w:tcW w:w="546" w:type="pct"/>
            <w:noWrap w:val="0"/>
            <w:vAlign w:val="center"/>
          </w:tcPr>
          <w:p w14:paraId="40667598">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hAnsi="宋体" w:cs="宋体"/>
                <w:color w:val="auto"/>
                <w:sz w:val="24"/>
              </w:rPr>
            </w:pPr>
          </w:p>
        </w:tc>
        <w:tc>
          <w:tcPr>
            <w:tcW w:w="546" w:type="pct"/>
            <w:noWrap w:val="0"/>
            <w:vAlign w:val="center"/>
          </w:tcPr>
          <w:p w14:paraId="670068B4">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hAnsi="宋体" w:cs="宋体"/>
                <w:color w:val="auto"/>
                <w:sz w:val="24"/>
              </w:rPr>
            </w:pPr>
          </w:p>
        </w:tc>
      </w:tr>
      <w:tr w14:paraId="2BA55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91" w:type="pct"/>
            <w:noWrap w:val="0"/>
            <w:vAlign w:val="center"/>
          </w:tcPr>
          <w:p w14:paraId="16C0EE8C">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default" w:hAnsi="宋体" w:eastAsia="宋体" w:cs="宋体"/>
                <w:color w:val="auto"/>
                <w:sz w:val="24"/>
                <w:lang w:val="en-US" w:eastAsia="zh-CN"/>
              </w:rPr>
            </w:pPr>
            <w:r>
              <w:rPr>
                <w:rFonts w:hint="eastAsia" w:hAnsi="宋体" w:eastAsia="宋体" w:cs="宋体"/>
                <w:color w:val="auto"/>
                <w:sz w:val="24"/>
                <w:lang w:val="en-US" w:eastAsia="zh-CN"/>
              </w:rPr>
              <w:t>2</w:t>
            </w:r>
          </w:p>
        </w:tc>
        <w:tc>
          <w:tcPr>
            <w:tcW w:w="2212" w:type="pct"/>
            <w:noWrap w:val="0"/>
            <w:vAlign w:val="center"/>
          </w:tcPr>
          <w:p w14:paraId="440CE542">
            <w:pPr>
              <w:rPr>
                <w:rFonts w:hint="default" w:ascii="宋体" w:hAnsi="Times New Roman" w:eastAsia="宋体" w:cs="Times New Roman"/>
                <w:color w:val="auto"/>
                <w:sz w:val="21"/>
                <w:lang w:val="en-US" w:eastAsia="zh-CN"/>
              </w:rPr>
            </w:pPr>
            <w:r>
              <w:rPr>
                <w:rFonts w:hint="eastAsia" w:ascii="宋体" w:hAnsi="Times New Roman" w:eastAsia="宋体" w:cs="Times New Roman"/>
                <w:color w:val="auto"/>
                <w:sz w:val="21"/>
                <w:lang w:val="en-US" w:eastAsia="zh-CN"/>
              </w:rPr>
              <w:t xml:space="preserve">投标保证金或保函 </w:t>
            </w:r>
          </w:p>
        </w:tc>
        <w:tc>
          <w:tcPr>
            <w:tcW w:w="1402" w:type="pct"/>
            <w:noWrap w:val="0"/>
            <w:vAlign w:val="center"/>
          </w:tcPr>
          <w:p w14:paraId="4CACCA46">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hAnsi="宋体" w:cs="宋体"/>
                <w:color w:val="auto"/>
                <w:sz w:val="24"/>
              </w:rPr>
            </w:pPr>
          </w:p>
        </w:tc>
        <w:tc>
          <w:tcPr>
            <w:tcW w:w="546" w:type="pct"/>
            <w:noWrap w:val="0"/>
            <w:vAlign w:val="center"/>
          </w:tcPr>
          <w:p w14:paraId="42A5667B">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hAnsi="宋体" w:cs="宋体"/>
                <w:color w:val="auto"/>
                <w:sz w:val="24"/>
              </w:rPr>
            </w:pPr>
          </w:p>
        </w:tc>
        <w:tc>
          <w:tcPr>
            <w:tcW w:w="546" w:type="pct"/>
            <w:noWrap w:val="0"/>
            <w:vAlign w:val="center"/>
          </w:tcPr>
          <w:p w14:paraId="38509F6D">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hAnsi="宋体" w:cs="宋体"/>
                <w:color w:val="auto"/>
                <w:sz w:val="24"/>
              </w:rPr>
            </w:pPr>
          </w:p>
        </w:tc>
      </w:tr>
      <w:tr w14:paraId="18A89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291" w:type="pct"/>
            <w:noWrap w:val="0"/>
            <w:vAlign w:val="center"/>
          </w:tcPr>
          <w:p w14:paraId="1650A47D">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hAnsi="宋体" w:eastAsia="宋体" w:cs="宋体"/>
                <w:color w:val="auto"/>
                <w:sz w:val="24"/>
                <w:lang w:val="en-US" w:eastAsia="zh-CN"/>
              </w:rPr>
            </w:pPr>
            <w:r>
              <w:rPr>
                <w:rFonts w:hint="eastAsia" w:hAnsi="宋体" w:cs="宋体"/>
                <w:color w:val="auto"/>
                <w:sz w:val="24"/>
                <w:lang w:val="en-US" w:eastAsia="zh-CN"/>
              </w:rPr>
              <w:t>3</w:t>
            </w:r>
          </w:p>
        </w:tc>
        <w:tc>
          <w:tcPr>
            <w:tcW w:w="2212" w:type="pct"/>
            <w:noWrap w:val="0"/>
            <w:vAlign w:val="center"/>
          </w:tcPr>
          <w:p w14:paraId="1BA79A32">
            <w:pPr>
              <w:keepNext w:val="0"/>
              <w:keepLines w:val="0"/>
              <w:pageBreakBefore w:val="0"/>
              <w:widowControl/>
              <w:kinsoku w:val="0"/>
              <w:wordWrap/>
              <w:overflowPunct/>
              <w:topLinePunct w:val="0"/>
              <w:autoSpaceDE w:val="0"/>
              <w:autoSpaceDN w:val="0"/>
              <w:bidi w:val="0"/>
              <w:adjustRightInd w:val="0"/>
              <w:snapToGrid w:val="0"/>
              <w:spacing w:line="240" w:lineRule="auto"/>
              <w:jc w:val="left"/>
              <w:rPr>
                <w:rFonts w:hint="eastAsia" w:hAnsi="宋体" w:cs="宋体"/>
                <w:color w:val="auto"/>
                <w:sz w:val="24"/>
              </w:rPr>
            </w:pPr>
            <w:r>
              <w:rPr>
                <w:rFonts w:hint="eastAsia" w:ascii="宋体" w:hAnsi="Times New Roman" w:eastAsia="宋体" w:cs="Times New Roman"/>
                <w:color w:val="auto"/>
                <w:sz w:val="21"/>
                <w:lang w:val="en-US" w:eastAsia="zh-CN"/>
              </w:rPr>
              <w:t>供应商提供会计师事务所出具的2023年财务审计报告原件扫描件（成立时间至提交投标文件截止时间不足一年的可提供成立后任意时段的资产负债表），或其开标前三个月内基本存款账户开户银行出具的资信证明原件扫描件；</w:t>
            </w:r>
          </w:p>
        </w:tc>
        <w:tc>
          <w:tcPr>
            <w:tcW w:w="1402" w:type="pct"/>
            <w:noWrap w:val="0"/>
            <w:vAlign w:val="center"/>
          </w:tcPr>
          <w:p w14:paraId="5C46B472">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hAnsi="宋体" w:cs="宋体"/>
                <w:color w:val="auto"/>
                <w:sz w:val="24"/>
              </w:rPr>
            </w:pPr>
          </w:p>
        </w:tc>
        <w:tc>
          <w:tcPr>
            <w:tcW w:w="546" w:type="pct"/>
            <w:noWrap w:val="0"/>
            <w:vAlign w:val="center"/>
          </w:tcPr>
          <w:p w14:paraId="0052F3CE">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hAnsi="宋体" w:cs="宋体"/>
                <w:color w:val="auto"/>
                <w:sz w:val="24"/>
              </w:rPr>
            </w:pPr>
          </w:p>
        </w:tc>
        <w:tc>
          <w:tcPr>
            <w:tcW w:w="546" w:type="pct"/>
            <w:noWrap w:val="0"/>
            <w:vAlign w:val="center"/>
          </w:tcPr>
          <w:p w14:paraId="6B8EDE2D">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hAnsi="宋体" w:cs="宋体"/>
                <w:color w:val="auto"/>
                <w:sz w:val="24"/>
              </w:rPr>
            </w:pPr>
          </w:p>
        </w:tc>
      </w:tr>
      <w:tr w14:paraId="04D0E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91" w:type="pct"/>
            <w:noWrap w:val="0"/>
            <w:vAlign w:val="center"/>
          </w:tcPr>
          <w:p w14:paraId="17558088">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default" w:hAnsi="宋体" w:eastAsia="宋体" w:cs="宋体"/>
                <w:color w:val="auto"/>
                <w:sz w:val="24"/>
                <w:lang w:val="en-US" w:eastAsia="zh-CN"/>
              </w:rPr>
            </w:pPr>
            <w:r>
              <w:rPr>
                <w:rFonts w:hint="eastAsia" w:hAnsi="宋体" w:cs="宋体"/>
                <w:color w:val="auto"/>
                <w:sz w:val="24"/>
                <w:lang w:val="en-US" w:eastAsia="zh-CN"/>
              </w:rPr>
              <w:t>4</w:t>
            </w:r>
          </w:p>
        </w:tc>
        <w:tc>
          <w:tcPr>
            <w:tcW w:w="2212" w:type="pct"/>
            <w:noWrap w:val="0"/>
            <w:vAlign w:val="center"/>
          </w:tcPr>
          <w:p w14:paraId="4747B74A">
            <w:pPr>
              <w:keepNext w:val="0"/>
              <w:keepLines w:val="0"/>
              <w:pageBreakBefore w:val="0"/>
              <w:widowControl/>
              <w:kinsoku w:val="0"/>
              <w:wordWrap/>
              <w:overflowPunct/>
              <w:topLinePunct w:val="0"/>
              <w:autoSpaceDE w:val="0"/>
              <w:autoSpaceDN w:val="0"/>
              <w:bidi w:val="0"/>
              <w:adjustRightInd w:val="0"/>
              <w:snapToGrid w:val="0"/>
              <w:spacing w:line="240" w:lineRule="auto"/>
              <w:jc w:val="left"/>
              <w:rPr>
                <w:rFonts w:hint="default" w:ascii="宋体" w:hAnsi="Times New Roman" w:eastAsia="宋体" w:cs="Times New Roman"/>
                <w:color w:val="auto"/>
                <w:sz w:val="21"/>
                <w:lang w:val="en-US" w:eastAsia="zh-CN"/>
              </w:rPr>
            </w:pPr>
            <w:r>
              <w:rPr>
                <w:rFonts w:hint="eastAsia" w:ascii="宋体" w:hAnsi="Times New Roman" w:eastAsia="宋体" w:cs="Times New Roman"/>
                <w:color w:val="auto"/>
                <w:sz w:val="21"/>
                <w:lang w:val="en-US" w:eastAsia="zh-CN"/>
              </w:rPr>
              <w:t>供应商应按照《中华人民共和国保守国家秘密法》、《中华人民共和国国家安全法》等安全保密相关规定，存储、保管和清理评审数据电子版和纸质版资料。不得将相关数据信息资料外泄给不相关人员，包括供应商内部不相关人员，不得泄露采购人及所承接项目的任何商业机密，不得未经采购人同意擅自对外公开评审结论。</w:t>
            </w:r>
          </w:p>
        </w:tc>
        <w:tc>
          <w:tcPr>
            <w:tcW w:w="1402" w:type="pct"/>
            <w:noWrap w:val="0"/>
            <w:vAlign w:val="center"/>
          </w:tcPr>
          <w:p w14:paraId="7E9C9F1C">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hAnsi="宋体" w:cs="宋体"/>
                <w:color w:val="auto"/>
                <w:sz w:val="24"/>
              </w:rPr>
            </w:pPr>
          </w:p>
        </w:tc>
        <w:tc>
          <w:tcPr>
            <w:tcW w:w="546" w:type="pct"/>
            <w:noWrap w:val="0"/>
            <w:vAlign w:val="center"/>
          </w:tcPr>
          <w:p w14:paraId="35D601B1">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hAnsi="宋体" w:cs="宋体"/>
                <w:color w:val="auto"/>
                <w:sz w:val="24"/>
              </w:rPr>
            </w:pPr>
          </w:p>
        </w:tc>
        <w:tc>
          <w:tcPr>
            <w:tcW w:w="546" w:type="pct"/>
            <w:noWrap w:val="0"/>
            <w:vAlign w:val="center"/>
          </w:tcPr>
          <w:p w14:paraId="358E3952">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hAnsi="宋体" w:cs="宋体"/>
                <w:color w:val="auto"/>
                <w:sz w:val="24"/>
              </w:rPr>
            </w:pPr>
          </w:p>
        </w:tc>
      </w:tr>
      <w:tr w14:paraId="7AC2A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91" w:type="pct"/>
            <w:noWrap w:val="0"/>
            <w:vAlign w:val="center"/>
          </w:tcPr>
          <w:p w14:paraId="5F1954CC">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default" w:hAnsi="宋体" w:eastAsia="宋体" w:cs="宋体"/>
                <w:color w:val="auto"/>
                <w:sz w:val="24"/>
                <w:lang w:val="en-US" w:eastAsia="zh-CN"/>
              </w:rPr>
            </w:pPr>
            <w:r>
              <w:rPr>
                <w:rFonts w:hint="eastAsia" w:hAnsi="宋体" w:cs="宋体"/>
                <w:color w:val="auto"/>
                <w:sz w:val="24"/>
                <w:lang w:val="en-US" w:eastAsia="zh-CN"/>
              </w:rPr>
              <w:t>5</w:t>
            </w:r>
          </w:p>
        </w:tc>
        <w:tc>
          <w:tcPr>
            <w:tcW w:w="2212" w:type="pct"/>
            <w:noWrap w:val="0"/>
            <w:vAlign w:val="center"/>
          </w:tcPr>
          <w:p w14:paraId="3BC8DF46">
            <w:pPr>
              <w:keepNext w:val="0"/>
              <w:keepLines w:val="0"/>
              <w:pageBreakBefore w:val="0"/>
              <w:widowControl/>
              <w:kinsoku w:val="0"/>
              <w:wordWrap/>
              <w:overflowPunct/>
              <w:topLinePunct w:val="0"/>
              <w:autoSpaceDE w:val="0"/>
              <w:autoSpaceDN w:val="0"/>
              <w:bidi w:val="0"/>
              <w:adjustRightInd w:val="0"/>
              <w:snapToGrid w:val="0"/>
              <w:spacing w:line="240" w:lineRule="auto"/>
              <w:jc w:val="left"/>
              <w:rPr>
                <w:rFonts w:hint="default" w:ascii="宋体" w:hAnsi="Times New Roman" w:eastAsia="宋体" w:cs="Times New Roman"/>
                <w:color w:val="auto"/>
                <w:sz w:val="21"/>
                <w:lang w:val="en-US" w:eastAsia="zh-CN"/>
              </w:rPr>
            </w:pPr>
            <w:r>
              <w:rPr>
                <w:rFonts w:hint="eastAsia" w:ascii="宋体" w:hAnsi="Times New Roman" w:eastAsia="宋体" w:cs="Times New Roman"/>
                <w:color w:val="auto"/>
                <w:sz w:val="21"/>
                <w:lang w:val="en-US" w:eastAsia="zh-CN"/>
              </w:rPr>
              <w:t>评审人员应严格遵守廉洁自律的有关规定，坚决抵制各种可能影响客观公正评审的商业贿赂，坚决不搞人情评审，避免和杜绝吃拿卡要的不良行为。如因评审人员原因出现违规违纪行为，应及时处理并承担相应法律责任，一经发现，采购人将有权终止协议并报相关部门备案，且不能参与后续年度采购事项，采购人有权追究其相关责任。</w:t>
            </w:r>
          </w:p>
        </w:tc>
        <w:tc>
          <w:tcPr>
            <w:tcW w:w="1402" w:type="pct"/>
            <w:noWrap w:val="0"/>
            <w:vAlign w:val="center"/>
          </w:tcPr>
          <w:p w14:paraId="5D23B22A">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hAnsi="宋体" w:cs="宋体"/>
                <w:color w:val="auto"/>
                <w:sz w:val="24"/>
              </w:rPr>
            </w:pPr>
          </w:p>
        </w:tc>
        <w:tc>
          <w:tcPr>
            <w:tcW w:w="546" w:type="pct"/>
            <w:noWrap w:val="0"/>
            <w:vAlign w:val="center"/>
          </w:tcPr>
          <w:p w14:paraId="2C184BC7">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hAnsi="宋体" w:cs="宋体"/>
                <w:color w:val="auto"/>
                <w:sz w:val="24"/>
              </w:rPr>
            </w:pPr>
          </w:p>
        </w:tc>
        <w:tc>
          <w:tcPr>
            <w:tcW w:w="546" w:type="pct"/>
            <w:noWrap w:val="0"/>
            <w:vAlign w:val="center"/>
          </w:tcPr>
          <w:p w14:paraId="7FA7F138">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hAnsi="宋体" w:cs="宋体"/>
                <w:color w:val="auto"/>
                <w:sz w:val="24"/>
              </w:rPr>
            </w:pPr>
          </w:p>
        </w:tc>
      </w:tr>
      <w:tr w14:paraId="09768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91" w:type="pct"/>
            <w:noWrap w:val="0"/>
            <w:vAlign w:val="center"/>
          </w:tcPr>
          <w:p w14:paraId="1E806045">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default" w:hAnsi="宋体" w:eastAsia="宋体" w:cs="宋体"/>
                <w:color w:val="auto"/>
                <w:sz w:val="24"/>
                <w:lang w:val="en-US" w:eastAsia="zh-CN"/>
              </w:rPr>
            </w:pPr>
            <w:r>
              <w:rPr>
                <w:rFonts w:hint="eastAsia" w:hAnsi="宋体" w:cs="宋体"/>
                <w:color w:val="auto"/>
                <w:sz w:val="24"/>
                <w:lang w:val="en-US" w:eastAsia="zh-CN"/>
              </w:rPr>
              <w:t>6</w:t>
            </w:r>
          </w:p>
        </w:tc>
        <w:tc>
          <w:tcPr>
            <w:tcW w:w="2212" w:type="pct"/>
            <w:noWrap w:val="0"/>
            <w:vAlign w:val="center"/>
          </w:tcPr>
          <w:p w14:paraId="5694D64D">
            <w:pPr>
              <w:keepNext w:val="0"/>
              <w:keepLines w:val="0"/>
              <w:pageBreakBefore w:val="0"/>
              <w:widowControl/>
              <w:kinsoku w:val="0"/>
              <w:wordWrap/>
              <w:overflowPunct/>
              <w:topLinePunct w:val="0"/>
              <w:autoSpaceDE w:val="0"/>
              <w:autoSpaceDN w:val="0"/>
              <w:bidi w:val="0"/>
              <w:adjustRightInd w:val="0"/>
              <w:snapToGrid w:val="0"/>
              <w:spacing w:line="240" w:lineRule="auto"/>
              <w:jc w:val="left"/>
              <w:rPr>
                <w:rFonts w:hint="eastAsia" w:ascii="宋体" w:hAnsi="Times New Roman" w:eastAsia="宋体" w:cs="Times New Roman"/>
                <w:color w:val="auto"/>
                <w:sz w:val="21"/>
                <w:lang w:val="en-US" w:eastAsia="zh-CN"/>
              </w:rPr>
            </w:pPr>
            <w:r>
              <w:rPr>
                <w:rFonts w:hint="eastAsia" w:ascii="宋体" w:hAnsi="Times New Roman" w:eastAsia="宋体" w:cs="Times New Roman"/>
                <w:color w:val="auto"/>
                <w:sz w:val="21"/>
                <w:lang w:val="en-US" w:eastAsia="zh-CN"/>
              </w:rPr>
              <w:t>供应商自觉遵守回避原则：供应商及其专业技术人员必须严格遵守回避原则，确保在参与相关项目时不会同时涉足投标预算的编制和工程结算编制（无论是受项目单位委托还是施工方委托）。一旦发现有任何违反此规定的行为，供应商应立即主动向采购人提交书面报告，并自觉回避相关活动。若供应商违反前述规定，一经查实，采购人有权立即终止与其的协议，并将此情况上报至相关部门备案。此外，该供应商将被禁止参与后续年度的采购事项，以示惩戒。</w:t>
            </w:r>
          </w:p>
        </w:tc>
        <w:tc>
          <w:tcPr>
            <w:tcW w:w="1402" w:type="pct"/>
            <w:noWrap w:val="0"/>
            <w:vAlign w:val="center"/>
          </w:tcPr>
          <w:p w14:paraId="012E92C4">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hAnsi="宋体" w:cs="宋体"/>
                <w:color w:val="auto"/>
                <w:sz w:val="24"/>
              </w:rPr>
            </w:pPr>
          </w:p>
        </w:tc>
        <w:tc>
          <w:tcPr>
            <w:tcW w:w="546" w:type="pct"/>
            <w:noWrap w:val="0"/>
            <w:vAlign w:val="center"/>
          </w:tcPr>
          <w:p w14:paraId="45C53362">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hAnsi="宋体" w:cs="宋体"/>
                <w:color w:val="auto"/>
                <w:sz w:val="24"/>
              </w:rPr>
            </w:pPr>
          </w:p>
        </w:tc>
        <w:tc>
          <w:tcPr>
            <w:tcW w:w="546" w:type="pct"/>
            <w:noWrap w:val="0"/>
            <w:vAlign w:val="center"/>
          </w:tcPr>
          <w:p w14:paraId="355C74B1">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hAnsi="宋体" w:cs="宋体"/>
                <w:color w:val="auto"/>
                <w:sz w:val="24"/>
              </w:rPr>
            </w:pPr>
          </w:p>
        </w:tc>
      </w:tr>
      <w:tr w14:paraId="632CF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91" w:type="pct"/>
            <w:noWrap w:val="0"/>
            <w:vAlign w:val="center"/>
          </w:tcPr>
          <w:p w14:paraId="03F24070">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default" w:hAnsi="宋体" w:eastAsia="宋体" w:cs="宋体"/>
                <w:color w:val="auto"/>
                <w:sz w:val="24"/>
                <w:lang w:val="en-US" w:eastAsia="zh-CN"/>
              </w:rPr>
            </w:pPr>
            <w:r>
              <w:rPr>
                <w:rFonts w:hint="eastAsia" w:hAnsi="宋体" w:cs="宋体"/>
                <w:color w:val="auto"/>
                <w:sz w:val="24"/>
                <w:lang w:val="en-US" w:eastAsia="zh-CN"/>
              </w:rPr>
              <w:t>7</w:t>
            </w:r>
          </w:p>
        </w:tc>
        <w:tc>
          <w:tcPr>
            <w:tcW w:w="2212" w:type="pct"/>
            <w:noWrap w:val="0"/>
            <w:vAlign w:val="center"/>
          </w:tcPr>
          <w:p w14:paraId="0C82E1BA">
            <w:pPr>
              <w:keepNext w:val="0"/>
              <w:keepLines w:val="0"/>
              <w:pageBreakBefore w:val="0"/>
              <w:widowControl/>
              <w:kinsoku w:val="0"/>
              <w:wordWrap/>
              <w:overflowPunct/>
              <w:topLinePunct w:val="0"/>
              <w:autoSpaceDE w:val="0"/>
              <w:autoSpaceDN w:val="0"/>
              <w:bidi w:val="0"/>
              <w:adjustRightInd w:val="0"/>
              <w:snapToGrid w:val="0"/>
              <w:spacing w:line="240" w:lineRule="auto"/>
              <w:jc w:val="left"/>
              <w:rPr>
                <w:rFonts w:hint="eastAsia" w:ascii="宋体" w:hAnsi="Times New Roman" w:eastAsia="宋体" w:cs="Times New Roman"/>
                <w:color w:val="auto"/>
                <w:sz w:val="21"/>
                <w:lang w:val="en-US" w:eastAsia="zh-CN"/>
              </w:rPr>
            </w:pPr>
            <w:r>
              <w:rPr>
                <w:rFonts w:hint="eastAsia" w:ascii="宋体" w:hAnsi="Times New Roman" w:eastAsia="宋体" w:cs="Times New Roman"/>
                <w:color w:val="auto"/>
                <w:sz w:val="21"/>
                <w:lang w:val="en-US" w:eastAsia="zh-CN"/>
              </w:rPr>
              <w:t>评审人员在项目评审中，应该恪守客观公正、实事求是的原则，确保评审工作的真实完整和准确性，保证评审质量。</w:t>
            </w:r>
          </w:p>
        </w:tc>
        <w:tc>
          <w:tcPr>
            <w:tcW w:w="1402" w:type="pct"/>
            <w:noWrap w:val="0"/>
            <w:vAlign w:val="center"/>
          </w:tcPr>
          <w:p w14:paraId="3341AF68">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hAnsi="宋体" w:cs="宋体"/>
                <w:color w:val="auto"/>
                <w:sz w:val="24"/>
              </w:rPr>
            </w:pPr>
          </w:p>
        </w:tc>
        <w:tc>
          <w:tcPr>
            <w:tcW w:w="546" w:type="pct"/>
            <w:noWrap w:val="0"/>
            <w:vAlign w:val="center"/>
          </w:tcPr>
          <w:p w14:paraId="5A4447BC">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hAnsi="宋体" w:cs="宋体"/>
                <w:color w:val="auto"/>
                <w:sz w:val="24"/>
              </w:rPr>
            </w:pPr>
          </w:p>
        </w:tc>
        <w:tc>
          <w:tcPr>
            <w:tcW w:w="546" w:type="pct"/>
            <w:noWrap w:val="0"/>
            <w:vAlign w:val="center"/>
          </w:tcPr>
          <w:p w14:paraId="5B8A11A9">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hAnsi="宋体" w:cs="宋体"/>
                <w:color w:val="auto"/>
                <w:sz w:val="24"/>
              </w:rPr>
            </w:pPr>
          </w:p>
        </w:tc>
      </w:tr>
    </w:tbl>
    <w:p w14:paraId="06C3426A">
      <w:pPr>
        <w:spacing w:before="78" w:line="185" w:lineRule="auto"/>
        <w:jc w:val="center"/>
        <w:rPr>
          <w:rFonts w:ascii="宋体" w:hAnsi="宋体" w:eastAsia="宋体" w:cs="宋体"/>
          <w:color w:val="auto"/>
          <w:sz w:val="24"/>
          <w:szCs w:val="24"/>
        </w:rPr>
      </w:pPr>
      <w:r>
        <w:rPr>
          <w:rFonts w:hint="eastAsia" w:ascii="宋体" w:hAnsi="宋体" w:cs="宋体"/>
          <w:color w:val="auto"/>
          <w:spacing w:val="3"/>
          <w:sz w:val="24"/>
          <w:szCs w:val="24"/>
          <w:lang w:val="en-US" w:eastAsia="zh-CN"/>
        </w:rPr>
        <w:t xml:space="preserve">        </w:t>
      </w:r>
      <w:r>
        <w:rPr>
          <w:rFonts w:hint="eastAsia" w:ascii="宋体" w:hAnsi="宋体" w:eastAsia="宋体" w:cs="宋体"/>
          <w:color w:val="auto"/>
          <w:spacing w:val="3"/>
          <w:sz w:val="24"/>
          <w:szCs w:val="24"/>
          <w:lang w:val="en-US" w:eastAsia="zh-CN"/>
        </w:rPr>
        <w:t>征集对象</w:t>
      </w:r>
      <w:r>
        <w:rPr>
          <w:rFonts w:ascii="宋体" w:hAnsi="宋体" w:eastAsia="宋体" w:cs="宋体"/>
          <w:color w:val="auto"/>
          <w:spacing w:val="-68"/>
          <w:sz w:val="24"/>
          <w:szCs w:val="24"/>
        </w:rPr>
        <w:t>：</w:t>
      </w:r>
      <w:r>
        <w:rPr>
          <w:rFonts w:hint="eastAsia" w:ascii="宋体" w:hAnsi="宋体" w:eastAsia="宋体" w:cs="宋体"/>
          <w:color w:val="auto"/>
          <w:spacing w:val="3"/>
          <w:sz w:val="24"/>
          <w:szCs w:val="24"/>
          <w:lang w:val="en-US" w:eastAsia="zh-CN"/>
        </w:rPr>
        <w:t xml:space="preserve"> </w:t>
      </w:r>
      <w:r>
        <w:rPr>
          <w:rFonts w:hint="eastAsia" w:ascii="宋体" w:hAnsi="宋体" w:eastAsia="宋体" w:cs="宋体"/>
          <w:color w:val="auto"/>
          <w:spacing w:val="3"/>
          <w:sz w:val="24"/>
          <w:szCs w:val="24"/>
          <w:u w:val="single"/>
          <w:lang w:val="en-US" w:eastAsia="zh-CN"/>
        </w:rPr>
        <w:t xml:space="preserve">            </w:t>
      </w:r>
      <w:r>
        <w:rPr>
          <w:rFonts w:ascii="宋体" w:hAnsi="宋体" w:eastAsia="宋体" w:cs="宋体"/>
          <w:color w:val="auto"/>
          <w:spacing w:val="3"/>
          <w:sz w:val="24"/>
          <w:szCs w:val="24"/>
        </w:rPr>
        <w:t>（盖章</w:t>
      </w:r>
      <w:r>
        <w:rPr>
          <w:rFonts w:ascii="宋体" w:hAnsi="宋体" w:eastAsia="宋体" w:cs="宋体"/>
          <w:color w:val="auto"/>
          <w:spacing w:val="-68"/>
          <w:sz w:val="24"/>
          <w:szCs w:val="24"/>
        </w:rPr>
        <w:t>）</w:t>
      </w:r>
    </w:p>
    <w:p w14:paraId="1CA29407">
      <w:pPr>
        <w:spacing w:before="262" w:line="185" w:lineRule="auto"/>
        <w:ind w:firstLine="3388" w:firstLineChars="1400"/>
        <w:rPr>
          <w:rFonts w:ascii="宋体" w:hAnsi="宋体" w:eastAsia="宋体" w:cs="宋体"/>
          <w:color w:val="auto"/>
          <w:sz w:val="24"/>
          <w:szCs w:val="24"/>
        </w:rPr>
      </w:pPr>
      <w:r>
        <w:rPr>
          <w:rFonts w:ascii="宋体" w:hAnsi="宋体" w:eastAsia="宋体" w:cs="宋体"/>
          <w:color w:val="auto"/>
          <w:spacing w:val="1"/>
          <w:sz w:val="24"/>
          <w:szCs w:val="24"/>
        </w:rPr>
        <w:t>法定代表人或被授权人（签字或印章</w:t>
      </w:r>
      <w:r>
        <w:rPr>
          <w:rFonts w:ascii="宋体" w:hAnsi="宋体" w:eastAsia="宋体" w:cs="宋体"/>
          <w:color w:val="auto"/>
          <w:spacing w:val="-64"/>
          <w:sz w:val="24"/>
          <w:szCs w:val="24"/>
        </w:rPr>
        <w:t>）</w:t>
      </w:r>
      <w:r>
        <w:rPr>
          <w:rFonts w:ascii="宋体" w:hAnsi="宋体" w:eastAsia="宋体" w:cs="宋体"/>
          <w:color w:val="auto"/>
          <w:spacing w:val="-19"/>
          <w:sz w:val="24"/>
          <w:szCs w:val="24"/>
        </w:rPr>
        <w:t xml:space="preserve"> </w:t>
      </w:r>
      <w:r>
        <w:rPr>
          <w:rFonts w:ascii="宋体" w:hAnsi="宋体" w:eastAsia="宋体" w:cs="宋体"/>
          <w:color w:val="auto"/>
          <w:spacing w:val="-64"/>
          <w:sz w:val="24"/>
          <w:szCs w:val="24"/>
        </w:rPr>
        <w:t>：</w:t>
      </w:r>
    </w:p>
    <w:p w14:paraId="2F080C92">
      <w:pPr>
        <w:spacing w:before="227" w:line="185" w:lineRule="auto"/>
        <w:ind w:firstLine="3552" w:firstLineChars="1600"/>
        <w:rPr>
          <w:rFonts w:hint="eastAsia"/>
          <w:lang w:val="en-US" w:eastAsia="zh-CN"/>
        </w:rPr>
      </w:pPr>
      <w:r>
        <w:rPr>
          <w:rFonts w:ascii="宋体" w:hAnsi="宋体" w:eastAsia="宋体" w:cs="宋体"/>
          <w:color w:val="auto"/>
          <w:spacing w:val="-9"/>
          <w:sz w:val="24"/>
          <w:szCs w:val="24"/>
        </w:rPr>
        <w:t>年</w:t>
      </w:r>
      <w:r>
        <w:rPr>
          <w:rFonts w:ascii="宋体" w:hAnsi="宋体" w:eastAsia="宋体" w:cs="宋体"/>
          <w:color w:val="auto"/>
          <w:spacing w:val="4"/>
          <w:sz w:val="24"/>
          <w:szCs w:val="24"/>
        </w:rPr>
        <w:t xml:space="preserve">    </w:t>
      </w:r>
      <w:r>
        <w:rPr>
          <w:rFonts w:ascii="宋体" w:hAnsi="宋体" w:eastAsia="宋体" w:cs="宋体"/>
          <w:color w:val="auto"/>
          <w:spacing w:val="-9"/>
          <w:sz w:val="24"/>
          <w:szCs w:val="24"/>
        </w:rPr>
        <w:t>月</w:t>
      </w:r>
      <w:r>
        <w:rPr>
          <w:rFonts w:ascii="宋体" w:hAnsi="宋体" w:eastAsia="宋体" w:cs="宋体"/>
          <w:color w:val="auto"/>
          <w:spacing w:val="12"/>
          <w:sz w:val="24"/>
          <w:szCs w:val="24"/>
        </w:rPr>
        <w:t xml:space="preserve">    </w:t>
      </w:r>
      <w:r>
        <w:rPr>
          <w:rFonts w:ascii="宋体" w:hAnsi="宋体" w:eastAsia="宋体" w:cs="宋体"/>
          <w:color w:val="auto"/>
          <w:spacing w:val="-9"/>
          <w:sz w:val="24"/>
          <w:szCs w:val="24"/>
        </w:rPr>
        <w:t>日</w:t>
      </w:r>
    </w:p>
    <w:p w14:paraId="68FB8873">
      <w:pPr>
        <w:pStyle w:val="14"/>
        <w:rPr>
          <w:rFonts w:hint="eastAsia"/>
          <w:lang w:val="en-US" w:eastAsia="zh-CN"/>
        </w:rPr>
      </w:pPr>
    </w:p>
    <w:p w14:paraId="01E861A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jc w:val="center"/>
        <w:rPr>
          <w:rFonts w:hint="eastAsia" w:ascii="宋体" w:hAnsi="宋体" w:eastAsia="Arial" w:cs="宋体"/>
          <w:b/>
          <w:bCs/>
          <w:color w:val="auto"/>
          <w:kern w:val="2"/>
          <w:sz w:val="28"/>
          <w:szCs w:val="28"/>
          <w:lang w:val="en-US" w:eastAsia="zh-CN" w:bidi="ar-SA"/>
        </w:rPr>
      </w:pPr>
      <w:r>
        <w:rPr>
          <w:rFonts w:hint="eastAsia" w:ascii="宋体" w:hAnsi="宋体" w:eastAsia="Arial" w:cs="宋体"/>
          <w:b/>
          <w:bCs/>
          <w:color w:val="auto"/>
          <w:kern w:val="2"/>
          <w:sz w:val="28"/>
          <w:szCs w:val="28"/>
          <w:lang w:val="en-US" w:eastAsia="zh-CN" w:bidi="ar-SA"/>
        </w:rPr>
        <w:t>（17）近三年已完成类似财政委托编制清单限价或委托结算审核等</w:t>
      </w:r>
    </w:p>
    <w:p w14:paraId="0399718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3922" w:firstLineChars="1400"/>
        <w:jc w:val="both"/>
        <w:rPr>
          <w:rFonts w:hint="eastAsia" w:ascii="宋体" w:hAnsi="宋体" w:eastAsia="Arial" w:cs="宋体"/>
          <w:b/>
          <w:bCs/>
          <w:color w:val="auto"/>
          <w:kern w:val="2"/>
          <w:sz w:val="28"/>
          <w:szCs w:val="28"/>
          <w:lang w:val="en-US" w:eastAsia="zh-CN" w:bidi="ar-SA"/>
        </w:rPr>
      </w:pPr>
      <w:r>
        <w:rPr>
          <w:rFonts w:hint="eastAsia" w:ascii="宋体" w:hAnsi="宋体" w:eastAsia="Arial" w:cs="宋体"/>
          <w:b/>
          <w:bCs/>
          <w:color w:val="auto"/>
          <w:kern w:val="2"/>
          <w:sz w:val="28"/>
          <w:szCs w:val="28"/>
          <w:lang w:val="en-US" w:eastAsia="zh-CN" w:bidi="ar-SA"/>
        </w:rPr>
        <w:t>项目一览表</w:t>
      </w: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2773"/>
        <w:gridCol w:w="1590"/>
        <w:gridCol w:w="1970"/>
        <w:gridCol w:w="1950"/>
      </w:tblGrid>
      <w:tr w14:paraId="7AE9D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38" w:type="pct"/>
            <w:noWrap w:val="0"/>
            <w:vAlign w:val="center"/>
          </w:tcPr>
          <w:p w14:paraId="0C2FB5FA">
            <w:pPr>
              <w:autoSpaceDE w:val="0"/>
              <w:autoSpaceDN w:val="0"/>
              <w:adjustRightInd w:val="0"/>
              <w:jc w:val="center"/>
              <w:rPr>
                <w:rFonts w:hint="eastAsia" w:ascii="宋体" w:hAnsi="宋体" w:cs="宋体"/>
                <w:b/>
                <w:bCs/>
                <w:color w:val="auto"/>
                <w:lang w:val="zh-CN"/>
              </w:rPr>
            </w:pPr>
            <w:r>
              <w:rPr>
                <w:rFonts w:hint="eastAsia" w:ascii="宋体" w:hAnsi="宋体" w:cs="宋体"/>
                <w:b/>
                <w:bCs/>
                <w:color w:val="auto"/>
                <w:lang w:val="zh-CN"/>
              </w:rPr>
              <w:t>序号</w:t>
            </w:r>
          </w:p>
        </w:tc>
        <w:tc>
          <w:tcPr>
            <w:tcW w:w="1493" w:type="pct"/>
            <w:noWrap w:val="0"/>
            <w:vAlign w:val="center"/>
          </w:tcPr>
          <w:p w14:paraId="20644FB7">
            <w:pPr>
              <w:autoSpaceDE w:val="0"/>
              <w:autoSpaceDN w:val="0"/>
              <w:adjustRightInd w:val="0"/>
              <w:jc w:val="center"/>
              <w:rPr>
                <w:rFonts w:ascii="宋体" w:hAnsi="宋体" w:cs="宋体"/>
                <w:b/>
                <w:bCs/>
                <w:color w:val="auto"/>
              </w:rPr>
            </w:pPr>
            <w:r>
              <w:rPr>
                <w:rFonts w:hint="eastAsia" w:ascii="宋体" w:hAnsi="宋体" w:cs="宋体"/>
                <w:b/>
                <w:bCs/>
                <w:color w:val="auto"/>
              </w:rPr>
              <w:t>项目名称</w:t>
            </w:r>
          </w:p>
        </w:tc>
        <w:tc>
          <w:tcPr>
            <w:tcW w:w="856" w:type="pct"/>
            <w:noWrap w:val="0"/>
            <w:vAlign w:val="center"/>
          </w:tcPr>
          <w:p w14:paraId="0ACFF166">
            <w:pPr>
              <w:autoSpaceDE w:val="0"/>
              <w:autoSpaceDN w:val="0"/>
              <w:adjustRightInd w:val="0"/>
              <w:jc w:val="center"/>
              <w:rPr>
                <w:rFonts w:ascii="宋体" w:hAnsi="宋体" w:cs="宋体"/>
                <w:b/>
                <w:bCs/>
                <w:color w:val="auto"/>
              </w:rPr>
            </w:pPr>
            <w:r>
              <w:rPr>
                <w:rFonts w:hint="eastAsia" w:ascii="宋体" w:hAnsi="宋体" w:cs="宋体"/>
                <w:b/>
                <w:bCs/>
                <w:color w:val="auto"/>
              </w:rPr>
              <w:t>业主名称</w:t>
            </w:r>
          </w:p>
        </w:tc>
        <w:tc>
          <w:tcPr>
            <w:tcW w:w="1061" w:type="pct"/>
            <w:noWrap w:val="0"/>
            <w:vAlign w:val="center"/>
          </w:tcPr>
          <w:p w14:paraId="72FC463A">
            <w:pPr>
              <w:autoSpaceDE w:val="0"/>
              <w:autoSpaceDN w:val="0"/>
              <w:adjustRightInd w:val="0"/>
              <w:jc w:val="center"/>
              <w:rPr>
                <w:rFonts w:hint="eastAsia" w:ascii="宋体" w:hAnsi="宋体" w:eastAsia="宋体" w:cs="宋体"/>
                <w:b/>
                <w:bCs/>
                <w:color w:val="auto"/>
                <w:lang w:eastAsia="zh-CN"/>
              </w:rPr>
            </w:pPr>
            <w:r>
              <w:rPr>
                <w:rFonts w:hint="eastAsia" w:ascii="宋体" w:hAnsi="宋体" w:eastAsia="宋体" w:cs="宋体"/>
                <w:b/>
                <w:bCs/>
                <w:color w:val="auto"/>
                <w:lang w:eastAsia="zh-CN"/>
              </w:rPr>
              <w:t>合同金额</w:t>
            </w:r>
          </w:p>
        </w:tc>
        <w:tc>
          <w:tcPr>
            <w:tcW w:w="1050" w:type="pct"/>
            <w:noWrap w:val="0"/>
            <w:vAlign w:val="center"/>
          </w:tcPr>
          <w:p w14:paraId="401C3266">
            <w:pPr>
              <w:autoSpaceDE w:val="0"/>
              <w:autoSpaceDN w:val="0"/>
              <w:adjustRightInd w:val="0"/>
              <w:jc w:val="center"/>
              <w:rPr>
                <w:rFonts w:hint="eastAsia" w:ascii="宋体" w:hAnsi="宋体" w:cs="宋体"/>
                <w:b/>
                <w:bCs/>
                <w:color w:val="auto"/>
                <w:lang w:val="zh-CN"/>
              </w:rPr>
            </w:pPr>
            <w:r>
              <w:rPr>
                <w:rFonts w:hint="eastAsia" w:ascii="宋体" w:hAnsi="宋体" w:cs="宋体"/>
                <w:b/>
                <w:bCs/>
                <w:color w:val="auto"/>
                <w:lang w:val="zh-CN"/>
              </w:rPr>
              <w:t>备注</w:t>
            </w:r>
          </w:p>
        </w:tc>
      </w:tr>
      <w:tr w14:paraId="2692F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538" w:type="pct"/>
            <w:noWrap w:val="0"/>
            <w:vAlign w:val="center"/>
          </w:tcPr>
          <w:p w14:paraId="3EF6943B">
            <w:pPr>
              <w:autoSpaceDE w:val="0"/>
              <w:autoSpaceDN w:val="0"/>
              <w:adjustRightInd w:val="0"/>
              <w:jc w:val="center"/>
              <w:rPr>
                <w:rFonts w:hint="eastAsia" w:ascii="宋体" w:hAnsi="宋体" w:cs="宋体"/>
                <w:b/>
                <w:bCs/>
                <w:color w:val="auto"/>
                <w:lang w:val="zh-CN"/>
              </w:rPr>
            </w:pPr>
          </w:p>
        </w:tc>
        <w:tc>
          <w:tcPr>
            <w:tcW w:w="1493" w:type="pct"/>
            <w:noWrap w:val="0"/>
            <w:vAlign w:val="center"/>
          </w:tcPr>
          <w:p w14:paraId="46593C8F">
            <w:pPr>
              <w:autoSpaceDE w:val="0"/>
              <w:autoSpaceDN w:val="0"/>
              <w:adjustRightInd w:val="0"/>
              <w:jc w:val="center"/>
              <w:rPr>
                <w:rFonts w:hint="eastAsia" w:ascii="宋体" w:hAnsi="宋体" w:cs="宋体"/>
                <w:b/>
                <w:bCs/>
                <w:color w:val="auto"/>
                <w:lang w:val="zh-CN"/>
              </w:rPr>
            </w:pPr>
          </w:p>
        </w:tc>
        <w:tc>
          <w:tcPr>
            <w:tcW w:w="856" w:type="pct"/>
            <w:noWrap w:val="0"/>
            <w:vAlign w:val="center"/>
          </w:tcPr>
          <w:p w14:paraId="5E0008F5">
            <w:pPr>
              <w:autoSpaceDE w:val="0"/>
              <w:autoSpaceDN w:val="0"/>
              <w:adjustRightInd w:val="0"/>
              <w:jc w:val="center"/>
              <w:rPr>
                <w:rFonts w:hint="eastAsia" w:ascii="宋体" w:hAnsi="宋体" w:cs="宋体"/>
                <w:b/>
                <w:bCs/>
                <w:color w:val="auto"/>
                <w:lang w:val="zh-CN"/>
              </w:rPr>
            </w:pPr>
          </w:p>
        </w:tc>
        <w:tc>
          <w:tcPr>
            <w:tcW w:w="1061" w:type="pct"/>
            <w:noWrap w:val="0"/>
            <w:vAlign w:val="center"/>
          </w:tcPr>
          <w:p w14:paraId="4F7F49AE">
            <w:pPr>
              <w:autoSpaceDE w:val="0"/>
              <w:autoSpaceDN w:val="0"/>
              <w:adjustRightInd w:val="0"/>
              <w:jc w:val="center"/>
              <w:rPr>
                <w:rFonts w:hint="eastAsia" w:ascii="宋体" w:hAnsi="宋体" w:cs="宋体"/>
                <w:b/>
                <w:bCs/>
                <w:color w:val="auto"/>
                <w:lang w:val="zh-CN"/>
              </w:rPr>
            </w:pPr>
          </w:p>
        </w:tc>
        <w:tc>
          <w:tcPr>
            <w:tcW w:w="1050" w:type="pct"/>
            <w:noWrap w:val="0"/>
            <w:vAlign w:val="center"/>
          </w:tcPr>
          <w:p w14:paraId="174CC108">
            <w:pPr>
              <w:autoSpaceDE w:val="0"/>
              <w:autoSpaceDN w:val="0"/>
              <w:adjustRightInd w:val="0"/>
              <w:jc w:val="center"/>
              <w:rPr>
                <w:rFonts w:hint="eastAsia" w:ascii="宋体" w:hAnsi="宋体" w:cs="宋体"/>
                <w:b/>
                <w:bCs/>
                <w:color w:val="auto"/>
                <w:lang w:val="zh-CN"/>
              </w:rPr>
            </w:pPr>
          </w:p>
        </w:tc>
      </w:tr>
      <w:tr w14:paraId="3B006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538" w:type="pct"/>
            <w:noWrap w:val="0"/>
            <w:vAlign w:val="center"/>
          </w:tcPr>
          <w:p w14:paraId="102D5705">
            <w:pPr>
              <w:autoSpaceDE w:val="0"/>
              <w:autoSpaceDN w:val="0"/>
              <w:adjustRightInd w:val="0"/>
              <w:jc w:val="center"/>
              <w:rPr>
                <w:rFonts w:hint="eastAsia" w:ascii="宋体" w:hAnsi="宋体" w:cs="宋体"/>
                <w:b/>
                <w:bCs/>
                <w:color w:val="auto"/>
                <w:lang w:val="zh-CN"/>
              </w:rPr>
            </w:pPr>
          </w:p>
        </w:tc>
        <w:tc>
          <w:tcPr>
            <w:tcW w:w="1493" w:type="pct"/>
            <w:noWrap w:val="0"/>
            <w:vAlign w:val="center"/>
          </w:tcPr>
          <w:p w14:paraId="0D7D3A7A">
            <w:pPr>
              <w:autoSpaceDE w:val="0"/>
              <w:autoSpaceDN w:val="0"/>
              <w:adjustRightInd w:val="0"/>
              <w:jc w:val="center"/>
              <w:rPr>
                <w:rFonts w:hint="eastAsia" w:ascii="宋体" w:hAnsi="宋体" w:cs="宋体"/>
                <w:b/>
                <w:bCs/>
                <w:color w:val="auto"/>
                <w:lang w:val="zh-CN"/>
              </w:rPr>
            </w:pPr>
          </w:p>
        </w:tc>
        <w:tc>
          <w:tcPr>
            <w:tcW w:w="856" w:type="pct"/>
            <w:noWrap w:val="0"/>
            <w:vAlign w:val="center"/>
          </w:tcPr>
          <w:p w14:paraId="4CCB0500">
            <w:pPr>
              <w:autoSpaceDE w:val="0"/>
              <w:autoSpaceDN w:val="0"/>
              <w:adjustRightInd w:val="0"/>
              <w:jc w:val="center"/>
              <w:rPr>
                <w:rFonts w:hint="eastAsia" w:ascii="宋体" w:hAnsi="宋体" w:cs="宋体"/>
                <w:b/>
                <w:bCs/>
                <w:color w:val="auto"/>
                <w:lang w:val="zh-CN"/>
              </w:rPr>
            </w:pPr>
          </w:p>
        </w:tc>
        <w:tc>
          <w:tcPr>
            <w:tcW w:w="1061" w:type="pct"/>
            <w:noWrap w:val="0"/>
            <w:vAlign w:val="center"/>
          </w:tcPr>
          <w:p w14:paraId="34FE2ADC">
            <w:pPr>
              <w:autoSpaceDE w:val="0"/>
              <w:autoSpaceDN w:val="0"/>
              <w:adjustRightInd w:val="0"/>
              <w:jc w:val="center"/>
              <w:rPr>
                <w:rFonts w:hint="eastAsia" w:ascii="宋体" w:hAnsi="宋体" w:cs="宋体"/>
                <w:b/>
                <w:bCs/>
                <w:color w:val="auto"/>
                <w:lang w:val="zh-CN"/>
              </w:rPr>
            </w:pPr>
          </w:p>
        </w:tc>
        <w:tc>
          <w:tcPr>
            <w:tcW w:w="1050" w:type="pct"/>
            <w:noWrap w:val="0"/>
            <w:vAlign w:val="center"/>
          </w:tcPr>
          <w:p w14:paraId="4630F86E">
            <w:pPr>
              <w:autoSpaceDE w:val="0"/>
              <w:autoSpaceDN w:val="0"/>
              <w:adjustRightInd w:val="0"/>
              <w:jc w:val="center"/>
              <w:rPr>
                <w:rFonts w:hint="eastAsia" w:ascii="宋体" w:hAnsi="宋体" w:cs="宋体"/>
                <w:b/>
                <w:bCs/>
                <w:color w:val="auto"/>
                <w:lang w:val="zh-CN"/>
              </w:rPr>
            </w:pPr>
          </w:p>
        </w:tc>
      </w:tr>
      <w:tr w14:paraId="3ADF7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538" w:type="pct"/>
            <w:noWrap w:val="0"/>
            <w:vAlign w:val="center"/>
          </w:tcPr>
          <w:p w14:paraId="12C8A96C">
            <w:pPr>
              <w:autoSpaceDE w:val="0"/>
              <w:autoSpaceDN w:val="0"/>
              <w:adjustRightInd w:val="0"/>
              <w:jc w:val="center"/>
              <w:rPr>
                <w:rFonts w:hint="eastAsia" w:ascii="宋体" w:hAnsi="宋体" w:cs="宋体"/>
                <w:b/>
                <w:bCs/>
                <w:color w:val="auto"/>
                <w:lang w:val="zh-CN"/>
              </w:rPr>
            </w:pPr>
          </w:p>
        </w:tc>
        <w:tc>
          <w:tcPr>
            <w:tcW w:w="1493" w:type="pct"/>
            <w:noWrap w:val="0"/>
            <w:vAlign w:val="center"/>
          </w:tcPr>
          <w:p w14:paraId="5AECB80F">
            <w:pPr>
              <w:autoSpaceDE w:val="0"/>
              <w:autoSpaceDN w:val="0"/>
              <w:adjustRightInd w:val="0"/>
              <w:jc w:val="center"/>
              <w:rPr>
                <w:rFonts w:hint="eastAsia" w:ascii="宋体" w:hAnsi="宋体" w:cs="宋体"/>
                <w:b/>
                <w:bCs/>
                <w:color w:val="auto"/>
                <w:lang w:val="zh-CN"/>
              </w:rPr>
            </w:pPr>
          </w:p>
        </w:tc>
        <w:tc>
          <w:tcPr>
            <w:tcW w:w="856" w:type="pct"/>
            <w:noWrap w:val="0"/>
            <w:vAlign w:val="center"/>
          </w:tcPr>
          <w:p w14:paraId="5D34B828">
            <w:pPr>
              <w:autoSpaceDE w:val="0"/>
              <w:autoSpaceDN w:val="0"/>
              <w:adjustRightInd w:val="0"/>
              <w:jc w:val="center"/>
              <w:rPr>
                <w:rFonts w:hint="eastAsia" w:ascii="宋体" w:hAnsi="宋体" w:cs="宋体"/>
                <w:b/>
                <w:bCs/>
                <w:color w:val="auto"/>
                <w:lang w:val="zh-CN"/>
              </w:rPr>
            </w:pPr>
          </w:p>
        </w:tc>
        <w:tc>
          <w:tcPr>
            <w:tcW w:w="1061" w:type="pct"/>
            <w:noWrap w:val="0"/>
            <w:vAlign w:val="center"/>
          </w:tcPr>
          <w:p w14:paraId="1715A911">
            <w:pPr>
              <w:autoSpaceDE w:val="0"/>
              <w:autoSpaceDN w:val="0"/>
              <w:adjustRightInd w:val="0"/>
              <w:jc w:val="center"/>
              <w:rPr>
                <w:rFonts w:hint="eastAsia" w:ascii="宋体" w:hAnsi="宋体" w:cs="宋体"/>
                <w:b/>
                <w:bCs/>
                <w:color w:val="auto"/>
                <w:lang w:val="zh-CN"/>
              </w:rPr>
            </w:pPr>
          </w:p>
        </w:tc>
        <w:tc>
          <w:tcPr>
            <w:tcW w:w="1050" w:type="pct"/>
            <w:noWrap w:val="0"/>
            <w:vAlign w:val="center"/>
          </w:tcPr>
          <w:p w14:paraId="2F33731E">
            <w:pPr>
              <w:autoSpaceDE w:val="0"/>
              <w:autoSpaceDN w:val="0"/>
              <w:adjustRightInd w:val="0"/>
              <w:jc w:val="center"/>
              <w:rPr>
                <w:rFonts w:hint="eastAsia" w:ascii="宋体" w:hAnsi="宋体" w:cs="宋体"/>
                <w:b/>
                <w:bCs/>
                <w:color w:val="auto"/>
                <w:lang w:val="zh-CN"/>
              </w:rPr>
            </w:pPr>
          </w:p>
        </w:tc>
      </w:tr>
      <w:tr w14:paraId="4534D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538" w:type="pct"/>
            <w:noWrap w:val="0"/>
            <w:vAlign w:val="center"/>
          </w:tcPr>
          <w:p w14:paraId="4AC9E8E7">
            <w:pPr>
              <w:autoSpaceDE w:val="0"/>
              <w:autoSpaceDN w:val="0"/>
              <w:adjustRightInd w:val="0"/>
              <w:jc w:val="center"/>
              <w:rPr>
                <w:rFonts w:hint="eastAsia" w:ascii="宋体" w:hAnsi="宋体" w:cs="宋体"/>
                <w:b/>
                <w:bCs/>
                <w:color w:val="auto"/>
                <w:lang w:val="zh-CN"/>
              </w:rPr>
            </w:pPr>
          </w:p>
        </w:tc>
        <w:tc>
          <w:tcPr>
            <w:tcW w:w="1493" w:type="pct"/>
            <w:noWrap w:val="0"/>
            <w:vAlign w:val="center"/>
          </w:tcPr>
          <w:p w14:paraId="2CCED82F">
            <w:pPr>
              <w:autoSpaceDE w:val="0"/>
              <w:autoSpaceDN w:val="0"/>
              <w:adjustRightInd w:val="0"/>
              <w:jc w:val="center"/>
              <w:rPr>
                <w:rFonts w:hint="eastAsia" w:ascii="宋体" w:hAnsi="宋体" w:cs="宋体"/>
                <w:b/>
                <w:bCs/>
                <w:color w:val="auto"/>
                <w:lang w:val="zh-CN"/>
              </w:rPr>
            </w:pPr>
          </w:p>
        </w:tc>
        <w:tc>
          <w:tcPr>
            <w:tcW w:w="856" w:type="pct"/>
            <w:noWrap w:val="0"/>
            <w:vAlign w:val="center"/>
          </w:tcPr>
          <w:p w14:paraId="7D141C81">
            <w:pPr>
              <w:autoSpaceDE w:val="0"/>
              <w:autoSpaceDN w:val="0"/>
              <w:adjustRightInd w:val="0"/>
              <w:jc w:val="center"/>
              <w:rPr>
                <w:rFonts w:hint="eastAsia" w:ascii="宋体" w:hAnsi="宋体" w:cs="宋体"/>
                <w:b/>
                <w:bCs/>
                <w:color w:val="auto"/>
                <w:lang w:val="zh-CN"/>
              </w:rPr>
            </w:pPr>
          </w:p>
        </w:tc>
        <w:tc>
          <w:tcPr>
            <w:tcW w:w="1061" w:type="pct"/>
            <w:noWrap w:val="0"/>
            <w:vAlign w:val="center"/>
          </w:tcPr>
          <w:p w14:paraId="1A40E06F">
            <w:pPr>
              <w:autoSpaceDE w:val="0"/>
              <w:autoSpaceDN w:val="0"/>
              <w:adjustRightInd w:val="0"/>
              <w:jc w:val="center"/>
              <w:rPr>
                <w:rFonts w:hint="eastAsia" w:ascii="宋体" w:hAnsi="宋体" w:cs="宋体"/>
                <w:b/>
                <w:bCs/>
                <w:color w:val="auto"/>
                <w:lang w:val="zh-CN"/>
              </w:rPr>
            </w:pPr>
          </w:p>
        </w:tc>
        <w:tc>
          <w:tcPr>
            <w:tcW w:w="1050" w:type="pct"/>
            <w:noWrap w:val="0"/>
            <w:vAlign w:val="center"/>
          </w:tcPr>
          <w:p w14:paraId="58F08234">
            <w:pPr>
              <w:autoSpaceDE w:val="0"/>
              <w:autoSpaceDN w:val="0"/>
              <w:adjustRightInd w:val="0"/>
              <w:jc w:val="center"/>
              <w:rPr>
                <w:rFonts w:hint="eastAsia" w:ascii="宋体" w:hAnsi="宋体" w:cs="宋体"/>
                <w:b/>
                <w:bCs/>
                <w:color w:val="auto"/>
                <w:lang w:val="zh-CN"/>
              </w:rPr>
            </w:pPr>
          </w:p>
        </w:tc>
      </w:tr>
      <w:tr w14:paraId="5FF0B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538" w:type="pct"/>
            <w:noWrap w:val="0"/>
            <w:vAlign w:val="center"/>
          </w:tcPr>
          <w:p w14:paraId="423F290C">
            <w:pPr>
              <w:autoSpaceDE w:val="0"/>
              <w:autoSpaceDN w:val="0"/>
              <w:adjustRightInd w:val="0"/>
              <w:jc w:val="center"/>
              <w:rPr>
                <w:rFonts w:hint="eastAsia" w:ascii="宋体" w:hAnsi="宋体" w:cs="宋体"/>
                <w:b/>
                <w:bCs/>
                <w:color w:val="auto"/>
                <w:lang w:val="zh-CN"/>
              </w:rPr>
            </w:pPr>
          </w:p>
        </w:tc>
        <w:tc>
          <w:tcPr>
            <w:tcW w:w="1493" w:type="pct"/>
            <w:noWrap w:val="0"/>
            <w:vAlign w:val="center"/>
          </w:tcPr>
          <w:p w14:paraId="2BEEE661">
            <w:pPr>
              <w:autoSpaceDE w:val="0"/>
              <w:autoSpaceDN w:val="0"/>
              <w:adjustRightInd w:val="0"/>
              <w:jc w:val="center"/>
              <w:rPr>
                <w:rFonts w:hint="eastAsia" w:ascii="宋体" w:hAnsi="宋体" w:cs="宋体"/>
                <w:b/>
                <w:bCs/>
                <w:color w:val="auto"/>
                <w:lang w:val="zh-CN"/>
              </w:rPr>
            </w:pPr>
          </w:p>
        </w:tc>
        <w:tc>
          <w:tcPr>
            <w:tcW w:w="856" w:type="pct"/>
            <w:noWrap w:val="0"/>
            <w:vAlign w:val="center"/>
          </w:tcPr>
          <w:p w14:paraId="297A609B">
            <w:pPr>
              <w:autoSpaceDE w:val="0"/>
              <w:autoSpaceDN w:val="0"/>
              <w:adjustRightInd w:val="0"/>
              <w:jc w:val="center"/>
              <w:rPr>
                <w:rFonts w:hint="eastAsia" w:ascii="宋体" w:hAnsi="宋体" w:cs="宋体"/>
                <w:b/>
                <w:bCs/>
                <w:color w:val="auto"/>
                <w:lang w:val="zh-CN"/>
              </w:rPr>
            </w:pPr>
          </w:p>
        </w:tc>
        <w:tc>
          <w:tcPr>
            <w:tcW w:w="1061" w:type="pct"/>
            <w:noWrap w:val="0"/>
            <w:vAlign w:val="center"/>
          </w:tcPr>
          <w:p w14:paraId="712381A2">
            <w:pPr>
              <w:autoSpaceDE w:val="0"/>
              <w:autoSpaceDN w:val="0"/>
              <w:adjustRightInd w:val="0"/>
              <w:jc w:val="center"/>
              <w:rPr>
                <w:rFonts w:hint="eastAsia" w:ascii="宋体" w:hAnsi="宋体" w:cs="宋体"/>
                <w:b/>
                <w:bCs/>
                <w:color w:val="auto"/>
                <w:lang w:val="zh-CN"/>
              </w:rPr>
            </w:pPr>
          </w:p>
        </w:tc>
        <w:tc>
          <w:tcPr>
            <w:tcW w:w="1050" w:type="pct"/>
            <w:noWrap w:val="0"/>
            <w:vAlign w:val="center"/>
          </w:tcPr>
          <w:p w14:paraId="7E6A95B8">
            <w:pPr>
              <w:autoSpaceDE w:val="0"/>
              <w:autoSpaceDN w:val="0"/>
              <w:adjustRightInd w:val="0"/>
              <w:jc w:val="center"/>
              <w:rPr>
                <w:rFonts w:hint="eastAsia" w:ascii="宋体" w:hAnsi="宋体" w:cs="宋体"/>
                <w:b/>
                <w:bCs/>
                <w:color w:val="auto"/>
                <w:lang w:val="zh-CN"/>
              </w:rPr>
            </w:pPr>
          </w:p>
        </w:tc>
      </w:tr>
      <w:tr w14:paraId="0F490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538" w:type="pct"/>
            <w:noWrap w:val="0"/>
            <w:vAlign w:val="center"/>
          </w:tcPr>
          <w:p w14:paraId="47470668">
            <w:pPr>
              <w:autoSpaceDE w:val="0"/>
              <w:autoSpaceDN w:val="0"/>
              <w:adjustRightInd w:val="0"/>
              <w:jc w:val="center"/>
              <w:rPr>
                <w:rFonts w:hint="eastAsia" w:ascii="宋体" w:hAnsi="宋体" w:cs="宋体"/>
                <w:b/>
                <w:bCs/>
                <w:color w:val="auto"/>
                <w:lang w:val="zh-CN"/>
              </w:rPr>
            </w:pPr>
          </w:p>
        </w:tc>
        <w:tc>
          <w:tcPr>
            <w:tcW w:w="1493" w:type="pct"/>
            <w:noWrap w:val="0"/>
            <w:vAlign w:val="center"/>
          </w:tcPr>
          <w:p w14:paraId="52C3ADCD">
            <w:pPr>
              <w:autoSpaceDE w:val="0"/>
              <w:autoSpaceDN w:val="0"/>
              <w:adjustRightInd w:val="0"/>
              <w:jc w:val="center"/>
              <w:rPr>
                <w:rFonts w:hint="eastAsia" w:ascii="宋体" w:hAnsi="宋体" w:cs="宋体"/>
                <w:b/>
                <w:bCs/>
                <w:color w:val="auto"/>
                <w:lang w:val="zh-CN"/>
              </w:rPr>
            </w:pPr>
          </w:p>
        </w:tc>
        <w:tc>
          <w:tcPr>
            <w:tcW w:w="856" w:type="pct"/>
            <w:noWrap w:val="0"/>
            <w:vAlign w:val="center"/>
          </w:tcPr>
          <w:p w14:paraId="35807850">
            <w:pPr>
              <w:autoSpaceDE w:val="0"/>
              <w:autoSpaceDN w:val="0"/>
              <w:adjustRightInd w:val="0"/>
              <w:jc w:val="center"/>
              <w:rPr>
                <w:rFonts w:hint="eastAsia" w:ascii="宋体" w:hAnsi="宋体" w:cs="宋体"/>
                <w:b/>
                <w:bCs/>
                <w:color w:val="auto"/>
                <w:lang w:val="zh-CN"/>
              </w:rPr>
            </w:pPr>
          </w:p>
        </w:tc>
        <w:tc>
          <w:tcPr>
            <w:tcW w:w="1061" w:type="pct"/>
            <w:noWrap w:val="0"/>
            <w:vAlign w:val="center"/>
          </w:tcPr>
          <w:p w14:paraId="19F25DE1">
            <w:pPr>
              <w:autoSpaceDE w:val="0"/>
              <w:autoSpaceDN w:val="0"/>
              <w:adjustRightInd w:val="0"/>
              <w:jc w:val="center"/>
              <w:rPr>
                <w:rFonts w:hint="eastAsia" w:ascii="宋体" w:hAnsi="宋体" w:cs="宋体"/>
                <w:b/>
                <w:bCs/>
                <w:color w:val="auto"/>
                <w:lang w:val="zh-CN"/>
              </w:rPr>
            </w:pPr>
          </w:p>
        </w:tc>
        <w:tc>
          <w:tcPr>
            <w:tcW w:w="1050" w:type="pct"/>
            <w:noWrap w:val="0"/>
            <w:vAlign w:val="center"/>
          </w:tcPr>
          <w:p w14:paraId="56AE4D2A">
            <w:pPr>
              <w:autoSpaceDE w:val="0"/>
              <w:autoSpaceDN w:val="0"/>
              <w:adjustRightInd w:val="0"/>
              <w:jc w:val="center"/>
              <w:rPr>
                <w:rFonts w:hint="eastAsia" w:ascii="宋体" w:hAnsi="宋体" w:cs="宋体"/>
                <w:b/>
                <w:bCs/>
                <w:color w:val="auto"/>
                <w:lang w:val="zh-CN"/>
              </w:rPr>
            </w:pPr>
          </w:p>
        </w:tc>
      </w:tr>
      <w:tr w14:paraId="62673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538" w:type="pct"/>
            <w:noWrap w:val="0"/>
            <w:vAlign w:val="center"/>
          </w:tcPr>
          <w:p w14:paraId="74D02E2E">
            <w:pPr>
              <w:autoSpaceDE w:val="0"/>
              <w:autoSpaceDN w:val="0"/>
              <w:adjustRightInd w:val="0"/>
              <w:jc w:val="center"/>
              <w:rPr>
                <w:rFonts w:hint="eastAsia" w:ascii="宋体" w:hAnsi="宋体" w:cs="宋体"/>
                <w:b/>
                <w:bCs/>
                <w:color w:val="auto"/>
                <w:lang w:val="zh-CN"/>
              </w:rPr>
            </w:pPr>
          </w:p>
        </w:tc>
        <w:tc>
          <w:tcPr>
            <w:tcW w:w="1493" w:type="pct"/>
            <w:noWrap w:val="0"/>
            <w:vAlign w:val="center"/>
          </w:tcPr>
          <w:p w14:paraId="7BC5E0F9">
            <w:pPr>
              <w:autoSpaceDE w:val="0"/>
              <w:autoSpaceDN w:val="0"/>
              <w:adjustRightInd w:val="0"/>
              <w:jc w:val="center"/>
              <w:rPr>
                <w:rFonts w:hint="eastAsia" w:ascii="宋体" w:hAnsi="宋体" w:cs="宋体"/>
                <w:b/>
                <w:bCs/>
                <w:color w:val="auto"/>
                <w:lang w:val="zh-CN"/>
              </w:rPr>
            </w:pPr>
          </w:p>
        </w:tc>
        <w:tc>
          <w:tcPr>
            <w:tcW w:w="856" w:type="pct"/>
            <w:noWrap w:val="0"/>
            <w:vAlign w:val="center"/>
          </w:tcPr>
          <w:p w14:paraId="12D28CDD">
            <w:pPr>
              <w:autoSpaceDE w:val="0"/>
              <w:autoSpaceDN w:val="0"/>
              <w:adjustRightInd w:val="0"/>
              <w:jc w:val="center"/>
              <w:rPr>
                <w:rFonts w:hint="eastAsia" w:ascii="宋体" w:hAnsi="宋体" w:cs="宋体"/>
                <w:b/>
                <w:bCs/>
                <w:color w:val="auto"/>
                <w:lang w:val="zh-CN"/>
              </w:rPr>
            </w:pPr>
          </w:p>
        </w:tc>
        <w:tc>
          <w:tcPr>
            <w:tcW w:w="1061" w:type="pct"/>
            <w:noWrap w:val="0"/>
            <w:vAlign w:val="center"/>
          </w:tcPr>
          <w:p w14:paraId="3CCCFBA0">
            <w:pPr>
              <w:autoSpaceDE w:val="0"/>
              <w:autoSpaceDN w:val="0"/>
              <w:adjustRightInd w:val="0"/>
              <w:jc w:val="center"/>
              <w:rPr>
                <w:rFonts w:hint="eastAsia" w:ascii="宋体" w:hAnsi="宋体" w:cs="宋体"/>
                <w:b/>
                <w:bCs/>
                <w:color w:val="auto"/>
                <w:lang w:val="zh-CN"/>
              </w:rPr>
            </w:pPr>
          </w:p>
        </w:tc>
        <w:tc>
          <w:tcPr>
            <w:tcW w:w="1050" w:type="pct"/>
            <w:noWrap w:val="0"/>
            <w:vAlign w:val="center"/>
          </w:tcPr>
          <w:p w14:paraId="08FC7908">
            <w:pPr>
              <w:autoSpaceDE w:val="0"/>
              <w:autoSpaceDN w:val="0"/>
              <w:adjustRightInd w:val="0"/>
              <w:jc w:val="center"/>
              <w:rPr>
                <w:rFonts w:hint="eastAsia" w:ascii="宋体" w:hAnsi="宋体" w:cs="宋体"/>
                <w:b/>
                <w:bCs/>
                <w:color w:val="auto"/>
                <w:lang w:val="zh-CN"/>
              </w:rPr>
            </w:pPr>
          </w:p>
        </w:tc>
      </w:tr>
      <w:tr w14:paraId="49403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538" w:type="pct"/>
            <w:noWrap w:val="0"/>
            <w:vAlign w:val="center"/>
          </w:tcPr>
          <w:p w14:paraId="7167890A">
            <w:pPr>
              <w:autoSpaceDE w:val="0"/>
              <w:autoSpaceDN w:val="0"/>
              <w:adjustRightInd w:val="0"/>
              <w:jc w:val="center"/>
              <w:rPr>
                <w:rFonts w:hint="eastAsia" w:ascii="宋体" w:hAnsi="宋体" w:cs="宋体"/>
                <w:b/>
                <w:bCs/>
                <w:color w:val="auto"/>
                <w:lang w:val="zh-CN"/>
              </w:rPr>
            </w:pPr>
          </w:p>
        </w:tc>
        <w:tc>
          <w:tcPr>
            <w:tcW w:w="1493" w:type="pct"/>
            <w:noWrap w:val="0"/>
            <w:vAlign w:val="center"/>
          </w:tcPr>
          <w:p w14:paraId="2987900F">
            <w:pPr>
              <w:autoSpaceDE w:val="0"/>
              <w:autoSpaceDN w:val="0"/>
              <w:adjustRightInd w:val="0"/>
              <w:jc w:val="center"/>
              <w:rPr>
                <w:rFonts w:hint="eastAsia" w:ascii="宋体" w:hAnsi="宋体" w:cs="宋体"/>
                <w:b/>
                <w:bCs/>
                <w:color w:val="auto"/>
                <w:lang w:val="zh-CN"/>
              </w:rPr>
            </w:pPr>
          </w:p>
        </w:tc>
        <w:tc>
          <w:tcPr>
            <w:tcW w:w="856" w:type="pct"/>
            <w:noWrap w:val="0"/>
            <w:vAlign w:val="center"/>
          </w:tcPr>
          <w:p w14:paraId="74A87A2D">
            <w:pPr>
              <w:autoSpaceDE w:val="0"/>
              <w:autoSpaceDN w:val="0"/>
              <w:adjustRightInd w:val="0"/>
              <w:jc w:val="center"/>
              <w:rPr>
                <w:rFonts w:hint="eastAsia" w:ascii="宋体" w:hAnsi="宋体" w:cs="宋体"/>
                <w:b/>
                <w:bCs/>
                <w:color w:val="auto"/>
                <w:lang w:val="zh-CN"/>
              </w:rPr>
            </w:pPr>
          </w:p>
        </w:tc>
        <w:tc>
          <w:tcPr>
            <w:tcW w:w="1061" w:type="pct"/>
            <w:noWrap w:val="0"/>
            <w:vAlign w:val="center"/>
          </w:tcPr>
          <w:p w14:paraId="646F0175">
            <w:pPr>
              <w:autoSpaceDE w:val="0"/>
              <w:autoSpaceDN w:val="0"/>
              <w:adjustRightInd w:val="0"/>
              <w:jc w:val="center"/>
              <w:rPr>
                <w:rFonts w:hint="eastAsia" w:ascii="宋体" w:hAnsi="宋体" w:cs="宋体"/>
                <w:b/>
                <w:bCs/>
                <w:color w:val="auto"/>
                <w:lang w:val="zh-CN"/>
              </w:rPr>
            </w:pPr>
          </w:p>
        </w:tc>
        <w:tc>
          <w:tcPr>
            <w:tcW w:w="1050" w:type="pct"/>
            <w:noWrap w:val="0"/>
            <w:vAlign w:val="center"/>
          </w:tcPr>
          <w:p w14:paraId="14CE9A69">
            <w:pPr>
              <w:autoSpaceDE w:val="0"/>
              <w:autoSpaceDN w:val="0"/>
              <w:adjustRightInd w:val="0"/>
              <w:jc w:val="center"/>
              <w:rPr>
                <w:rFonts w:hint="eastAsia" w:ascii="宋体" w:hAnsi="宋体" w:cs="宋体"/>
                <w:b/>
                <w:bCs/>
                <w:color w:val="auto"/>
                <w:lang w:val="zh-CN"/>
              </w:rPr>
            </w:pPr>
          </w:p>
        </w:tc>
      </w:tr>
    </w:tbl>
    <w:p w14:paraId="26E407EF">
      <w:pPr>
        <w:rPr>
          <w:rFonts w:hint="eastAsia"/>
          <w:color w:val="auto"/>
        </w:rPr>
      </w:pPr>
    </w:p>
    <w:p w14:paraId="72676789">
      <w:pPr>
        <w:spacing w:line="272" w:lineRule="auto"/>
        <w:rPr>
          <w:rFonts w:ascii="宋体"/>
          <w:color w:val="auto"/>
          <w:sz w:val="21"/>
        </w:rPr>
      </w:pPr>
    </w:p>
    <w:p w14:paraId="137A8832">
      <w:pPr>
        <w:spacing w:before="78" w:line="185" w:lineRule="auto"/>
        <w:ind w:firstLine="29"/>
        <w:rPr>
          <w:rFonts w:hint="eastAsia" w:ascii="宋体" w:hAnsi="宋体" w:eastAsia="宋体" w:cs="宋体"/>
          <w:color w:val="auto"/>
          <w:spacing w:val="3"/>
          <w:sz w:val="24"/>
          <w:szCs w:val="24"/>
          <w:lang w:val="en-US" w:eastAsia="zh-CN"/>
        </w:rPr>
      </w:pPr>
    </w:p>
    <w:p w14:paraId="07A722C4">
      <w:pPr>
        <w:spacing w:before="78" w:line="185" w:lineRule="auto"/>
        <w:ind w:firstLine="29"/>
        <w:rPr>
          <w:rFonts w:hint="eastAsia" w:ascii="宋体" w:hAnsi="宋体" w:eastAsia="宋体" w:cs="宋体"/>
          <w:color w:val="auto"/>
          <w:spacing w:val="3"/>
          <w:sz w:val="24"/>
          <w:szCs w:val="24"/>
          <w:lang w:val="en-US" w:eastAsia="zh-CN"/>
        </w:rPr>
      </w:pPr>
    </w:p>
    <w:p w14:paraId="58EC0B8D">
      <w:pPr>
        <w:spacing w:before="78" w:line="185" w:lineRule="auto"/>
        <w:ind w:firstLine="29"/>
        <w:rPr>
          <w:rFonts w:hint="eastAsia" w:ascii="宋体" w:hAnsi="宋体" w:eastAsia="宋体" w:cs="宋体"/>
          <w:color w:val="auto"/>
          <w:spacing w:val="3"/>
          <w:sz w:val="24"/>
          <w:szCs w:val="24"/>
          <w:lang w:val="en-US" w:eastAsia="zh-CN"/>
        </w:rPr>
      </w:pPr>
    </w:p>
    <w:p w14:paraId="47C2DE06">
      <w:pPr>
        <w:spacing w:before="78" w:line="185" w:lineRule="auto"/>
        <w:ind w:firstLine="29"/>
        <w:rPr>
          <w:rFonts w:ascii="宋体" w:hAnsi="宋体" w:eastAsia="宋体" w:cs="宋体"/>
          <w:color w:val="auto"/>
          <w:sz w:val="24"/>
          <w:szCs w:val="24"/>
        </w:rPr>
      </w:pPr>
      <w:r>
        <w:rPr>
          <w:rFonts w:hint="eastAsia" w:ascii="宋体" w:hAnsi="宋体" w:eastAsia="宋体" w:cs="宋体"/>
          <w:color w:val="auto"/>
          <w:spacing w:val="3"/>
          <w:sz w:val="24"/>
          <w:szCs w:val="24"/>
          <w:lang w:val="en-US" w:eastAsia="zh-CN"/>
        </w:rPr>
        <w:t>征集对象</w:t>
      </w:r>
      <w:r>
        <w:rPr>
          <w:rFonts w:ascii="宋体" w:hAnsi="宋体" w:eastAsia="宋体" w:cs="宋体"/>
          <w:color w:val="auto"/>
          <w:spacing w:val="-68"/>
          <w:sz w:val="24"/>
          <w:szCs w:val="24"/>
        </w:rPr>
        <w:t>：</w:t>
      </w:r>
      <w:r>
        <w:rPr>
          <w:rFonts w:hint="eastAsia" w:ascii="宋体" w:hAnsi="宋体" w:eastAsia="宋体" w:cs="宋体"/>
          <w:color w:val="auto"/>
          <w:spacing w:val="3"/>
          <w:sz w:val="24"/>
          <w:szCs w:val="24"/>
          <w:lang w:val="en-US" w:eastAsia="zh-CN"/>
        </w:rPr>
        <w:t xml:space="preserve"> </w:t>
      </w:r>
      <w:r>
        <w:rPr>
          <w:rFonts w:hint="eastAsia" w:ascii="宋体" w:hAnsi="宋体" w:eastAsia="宋体" w:cs="宋体"/>
          <w:color w:val="auto"/>
          <w:spacing w:val="3"/>
          <w:sz w:val="24"/>
          <w:szCs w:val="24"/>
          <w:u w:val="single"/>
          <w:lang w:val="en-US" w:eastAsia="zh-CN"/>
        </w:rPr>
        <w:t xml:space="preserve">            </w:t>
      </w:r>
      <w:r>
        <w:rPr>
          <w:rFonts w:ascii="宋体" w:hAnsi="宋体" w:eastAsia="宋体" w:cs="宋体"/>
          <w:color w:val="auto"/>
          <w:spacing w:val="3"/>
          <w:sz w:val="24"/>
          <w:szCs w:val="24"/>
        </w:rPr>
        <w:t>（盖章</w:t>
      </w:r>
      <w:r>
        <w:rPr>
          <w:rFonts w:ascii="宋体" w:hAnsi="宋体" w:eastAsia="宋体" w:cs="宋体"/>
          <w:color w:val="auto"/>
          <w:spacing w:val="-68"/>
          <w:sz w:val="24"/>
          <w:szCs w:val="24"/>
        </w:rPr>
        <w:t>）</w:t>
      </w:r>
      <w:r>
        <w:rPr>
          <w:rFonts w:ascii="宋体" w:hAnsi="宋体" w:eastAsia="宋体" w:cs="宋体"/>
          <w:color w:val="auto"/>
          <w:spacing w:val="-18"/>
          <w:sz w:val="24"/>
          <w:szCs w:val="24"/>
        </w:rPr>
        <w:t xml:space="preserve"> </w:t>
      </w:r>
    </w:p>
    <w:p w14:paraId="15A19A4A">
      <w:pPr>
        <w:spacing w:before="262" w:line="185" w:lineRule="auto"/>
        <w:ind w:firstLine="30"/>
        <w:rPr>
          <w:rFonts w:ascii="宋体" w:hAnsi="宋体" w:eastAsia="宋体" w:cs="宋体"/>
          <w:color w:val="auto"/>
          <w:sz w:val="24"/>
          <w:szCs w:val="24"/>
        </w:rPr>
      </w:pPr>
      <w:r>
        <w:rPr>
          <w:rFonts w:ascii="宋体" w:hAnsi="宋体" w:eastAsia="宋体" w:cs="宋体"/>
          <w:color w:val="auto"/>
          <w:spacing w:val="1"/>
          <w:sz w:val="24"/>
          <w:szCs w:val="24"/>
        </w:rPr>
        <w:t>法定代表人或被授权人（签字或印章</w:t>
      </w:r>
      <w:r>
        <w:rPr>
          <w:rFonts w:ascii="宋体" w:hAnsi="宋体" w:eastAsia="宋体" w:cs="宋体"/>
          <w:color w:val="auto"/>
          <w:spacing w:val="-64"/>
          <w:sz w:val="24"/>
          <w:szCs w:val="24"/>
        </w:rPr>
        <w:t>）</w:t>
      </w:r>
      <w:r>
        <w:rPr>
          <w:rFonts w:ascii="宋体" w:hAnsi="宋体" w:eastAsia="宋体" w:cs="宋体"/>
          <w:color w:val="auto"/>
          <w:spacing w:val="-19"/>
          <w:sz w:val="24"/>
          <w:szCs w:val="24"/>
        </w:rPr>
        <w:t xml:space="preserve"> </w:t>
      </w:r>
      <w:r>
        <w:rPr>
          <w:rFonts w:ascii="宋体" w:hAnsi="宋体" w:eastAsia="宋体" w:cs="宋体"/>
          <w:color w:val="auto"/>
          <w:spacing w:val="-64"/>
          <w:sz w:val="24"/>
          <w:szCs w:val="24"/>
        </w:rPr>
        <w:t>：</w:t>
      </w:r>
    </w:p>
    <w:p w14:paraId="0F281689">
      <w:pPr>
        <w:spacing w:before="227" w:line="185" w:lineRule="auto"/>
        <w:rPr>
          <w:rFonts w:ascii="宋体" w:hAnsi="宋体" w:eastAsia="宋体" w:cs="宋体"/>
          <w:color w:val="auto"/>
          <w:sz w:val="24"/>
          <w:szCs w:val="24"/>
        </w:rPr>
      </w:pPr>
      <w:r>
        <w:rPr>
          <w:rFonts w:ascii="宋体" w:hAnsi="宋体" w:eastAsia="宋体" w:cs="宋体"/>
          <w:color w:val="auto"/>
          <w:spacing w:val="-9"/>
          <w:sz w:val="24"/>
          <w:szCs w:val="24"/>
        </w:rPr>
        <w:t>年</w:t>
      </w:r>
      <w:r>
        <w:rPr>
          <w:rFonts w:ascii="宋体" w:hAnsi="宋体" w:eastAsia="宋体" w:cs="宋体"/>
          <w:color w:val="auto"/>
          <w:spacing w:val="4"/>
          <w:sz w:val="24"/>
          <w:szCs w:val="24"/>
        </w:rPr>
        <w:t xml:space="preserve">    </w:t>
      </w:r>
      <w:r>
        <w:rPr>
          <w:rFonts w:ascii="宋体" w:hAnsi="宋体" w:eastAsia="宋体" w:cs="宋体"/>
          <w:color w:val="auto"/>
          <w:spacing w:val="-9"/>
          <w:sz w:val="24"/>
          <w:szCs w:val="24"/>
        </w:rPr>
        <w:t>月</w:t>
      </w:r>
      <w:r>
        <w:rPr>
          <w:rFonts w:ascii="宋体" w:hAnsi="宋体" w:eastAsia="宋体" w:cs="宋体"/>
          <w:color w:val="auto"/>
          <w:spacing w:val="12"/>
          <w:sz w:val="24"/>
          <w:szCs w:val="24"/>
        </w:rPr>
        <w:t xml:space="preserve">    </w:t>
      </w:r>
      <w:r>
        <w:rPr>
          <w:rFonts w:ascii="宋体" w:hAnsi="宋体" w:eastAsia="宋体" w:cs="宋体"/>
          <w:color w:val="auto"/>
          <w:spacing w:val="-9"/>
          <w:sz w:val="24"/>
          <w:szCs w:val="24"/>
        </w:rPr>
        <w:t>日</w:t>
      </w:r>
    </w:p>
    <w:p w14:paraId="142C17D2">
      <w:pPr>
        <w:spacing w:line="273" w:lineRule="auto"/>
        <w:rPr>
          <w:rFonts w:hint="eastAsia" w:ascii="宋体" w:eastAsia="宋体"/>
          <w:color w:val="auto"/>
          <w:sz w:val="21"/>
          <w:lang w:val="en-US" w:eastAsia="zh-CN"/>
        </w:rPr>
      </w:pPr>
    </w:p>
    <w:p w14:paraId="07CBDA91">
      <w:pPr>
        <w:spacing w:line="273" w:lineRule="auto"/>
        <w:rPr>
          <w:rFonts w:hint="eastAsia" w:ascii="宋体" w:eastAsia="宋体"/>
          <w:color w:val="auto"/>
          <w:sz w:val="21"/>
          <w:lang w:val="en-US" w:eastAsia="zh-CN"/>
        </w:rPr>
      </w:pPr>
    </w:p>
    <w:p w14:paraId="4D002776">
      <w:pPr>
        <w:spacing w:line="273" w:lineRule="auto"/>
        <w:rPr>
          <w:rFonts w:hint="eastAsia" w:ascii="宋体" w:eastAsia="宋体"/>
          <w:color w:val="auto"/>
          <w:sz w:val="21"/>
          <w:lang w:val="en-US" w:eastAsia="zh-CN"/>
        </w:rPr>
      </w:pPr>
    </w:p>
    <w:p w14:paraId="79291422">
      <w:pPr>
        <w:spacing w:line="273" w:lineRule="auto"/>
        <w:rPr>
          <w:rFonts w:hint="default" w:ascii="宋体" w:eastAsia="宋体"/>
          <w:b/>
          <w:bCs/>
          <w:color w:val="auto"/>
          <w:sz w:val="21"/>
          <w:lang w:val="en-US" w:eastAsia="zh-CN"/>
        </w:rPr>
      </w:pPr>
      <w:r>
        <w:rPr>
          <w:rFonts w:hint="eastAsia" w:ascii="宋体" w:eastAsia="宋体"/>
          <w:b/>
          <w:bCs/>
          <w:color w:val="auto"/>
          <w:sz w:val="21"/>
          <w:lang w:val="en-US" w:eastAsia="zh-CN"/>
        </w:rPr>
        <w:t>供应商提供的业绩证明材料为合同复印件或结算审核确认书或中标通知书，日期应在征集文件要求的时限内，提供资料应当清晰、完整且有效，并加盖公章。</w:t>
      </w:r>
    </w:p>
    <w:p w14:paraId="59112176">
      <w:pPr>
        <w:spacing w:before="104" w:line="185" w:lineRule="auto"/>
        <w:ind w:firstLine="150"/>
        <w:rPr>
          <w:rFonts w:ascii="宋体" w:hAnsi="宋体" w:eastAsia="宋体" w:cs="宋体"/>
          <w:color w:val="auto"/>
          <w:spacing w:val="-15"/>
          <w:sz w:val="32"/>
          <w:szCs w:val="32"/>
        </w:rPr>
      </w:pPr>
    </w:p>
    <w:p w14:paraId="499467C6">
      <w:pPr>
        <w:spacing w:before="104" w:line="185" w:lineRule="auto"/>
        <w:outlineLvl w:val="0"/>
        <w:rPr>
          <w:rFonts w:ascii="宋体" w:hAnsi="宋体" w:eastAsia="宋体" w:cs="宋体"/>
          <w:b/>
          <w:bCs/>
          <w:color w:val="auto"/>
          <w:spacing w:val="-2"/>
          <w:sz w:val="32"/>
          <w:szCs w:val="32"/>
        </w:rPr>
      </w:pPr>
    </w:p>
    <w:p w14:paraId="6425D76E">
      <w:pPr>
        <w:keepNext w:val="0"/>
        <w:keepLines w:val="0"/>
        <w:pageBreakBefore w:val="0"/>
        <w:widowControl w:val="0"/>
        <w:kinsoku/>
        <w:wordWrap/>
        <w:overflowPunct/>
        <w:topLinePunct w:val="0"/>
        <w:autoSpaceDE/>
        <w:autoSpaceDN/>
        <w:bidi w:val="0"/>
        <w:adjustRightInd/>
        <w:snapToGrid/>
        <w:spacing w:line="240" w:lineRule="auto"/>
        <w:jc w:val="center"/>
        <w:outlineLvl w:val="0"/>
        <w:rPr>
          <w:rFonts w:ascii="宋体" w:hAnsi="宋体" w:eastAsia="宋体" w:cs="宋体"/>
          <w:b/>
          <w:bCs/>
          <w:color w:val="auto"/>
          <w:sz w:val="28"/>
          <w:szCs w:val="28"/>
        </w:rPr>
      </w:pPr>
      <w:r>
        <w:rPr>
          <w:rFonts w:hint="eastAsia" w:ascii="宋体" w:hAnsi="宋体" w:eastAsia="宋体" w:cs="宋体"/>
          <w:b/>
          <w:bCs/>
          <w:color w:val="auto"/>
          <w:spacing w:val="-1"/>
          <w:sz w:val="28"/>
          <w:szCs w:val="28"/>
          <w:lang w:eastAsia="zh-CN"/>
        </w:rPr>
        <w:t>（</w:t>
      </w:r>
      <w:r>
        <w:rPr>
          <w:rFonts w:hint="eastAsia" w:ascii="宋体" w:hAnsi="宋体" w:eastAsia="宋体" w:cs="宋体"/>
          <w:b/>
          <w:bCs/>
          <w:color w:val="auto"/>
          <w:spacing w:val="-1"/>
          <w:sz w:val="28"/>
          <w:szCs w:val="28"/>
          <w:lang w:val="en-US" w:eastAsia="zh-CN"/>
        </w:rPr>
        <w:t>1</w:t>
      </w:r>
      <w:r>
        <w:rPr>
          <w:rFonts w:hint="eastAsia" w:ascii="宋体" w:hAnsi="宋体" w:cs="宋体"/>
          <w:b/>
          <w:bCs/>
          <w:color w:val="auto"/>
          <w:spacing w:val="-1"/>
          <w:sz w:val="28"/>
          <w:szCs w:val="28"/>
          <w:lang w:val="en-US" w:eastAsia="zh-CN"/>
        </w:rPr>
        <w:t>8</w:t>
      </w:r>
      <w:r>
        <w:rPr>
          <w:rFonts w:hint="eastAsia" w:ascii="宋体" w:hAnsi="宋体" w:eastAsia="宋体" w:cs="宋体"/>
          <w:b/>
          <w:bCs/>
          <w:color w:val="auto"/>
          <w:spacing w:val="-1"/>
          <w:sz w:val="28"/>
          <w:szCs w:val="28"/>
          <w:lang w:eastAsia="zh-CN"/>
        </w:rPr>
        <w:t>）</w:t>
      </w:r>
      <w:r>
        <w:rPr>
          <w:rFonts w:ascii="宋体" w:hAnsi="宋体" w:eastAsia="宋体" w:cs="宋体"/>
          <w:b/>
          <w:bCs/>
          <w:color w:val="auto"/>
          <w:spacing w:val="-1"/>
          <w:sz w:val="28"/>
          <w:szCs w:val="28"/>
        </w:rPr>
        <w:t>没有重大违法记录的书面声明书</w:t>
      </w:r>
    </w:p>
    <w:p w14:paraId="3CE3AD24">
      <w:pPr>
        <w:rPr>
          <w:color w:val="auto"/>
        </w:rPr>
      </w:pPr>
    </w:p>
    <w:p w14:paraId="09A707CE">
      <w:pPr>
        <w:spacing w:before="78" w:line="185" w:lineRule="auto"/>
        <w:rPr>
          <w:rFonts w:ascii="宋体" w:hAnsi="宋体" w:eastAsia="宋体" w:cs="宋体"/>
          <w:color w:val="auto"/>
          <w:spacing w:val="-12"/>
          <w:sz w:val="24"/>
          <w:szCs w:val="24"/>
        </w:rPr>
      </w:pPr>
      <w:bookmarkStart w:id="20" w:name="_bookmark43"/>
      <w:bookmarkEnd w:id="20"/>
      <w:bookmarkStart w:id="21" w:name="_bookmark42"/>
      <w:bookmarkEnd w:id="21"/>
    </w:p>
    <w:p w14:paraId="3AAF19D8">
      <w:pPr>
        <w:spacing w:before="78" w:line="185" w:lineRule="auto"/>
        <w:rPr>
          <w:rFonts w:hint="eastAsia" w:ascii="宋体" w:hAnsi="宋体" w:eastAsia="宋体" w:cs="宋体"/>
          <w:color w:val="auto"/>
          <w:spacing w:val="-12"/>
          <w:sz w:val="24"/>
          <w:szCs w:val="24"/>
          <w:lang w:eastAsia="zh-CN"/>
        </w:rPr>
      </w:pPr>
      <w:r>
        <w:rPr>
          <w:rFonts w:ascii="宋体" w:hAnsi="宋体" w:eastAsia="宋体" w:cs="宋体"/>
          <w:color w:val="auto"/>
          <w:spacing w:val="-12"/>
          <w:sz w:val="24"/>
          <w:szCs w:val="24"/>
        </w:rPr>
        <w:t>致：</w:t>
      </w:r>
      <w:r>
        <w:rPr>
          <w:rFonts w:hint="eastAsia" w:ascii="宋体" w:hAnsi="宋体" w:cs="宋体"/>
          <w:color w:val="auto"/>
          <w:spacing w:val="-12"/>
          <w:sz w:val="24"/>
          <w:szCs w:val="24"/>
          <w:lang w:eastAsia="zh-CN"/>
        </w:rPr>
        <w:t>新疆金斌工程项目管理有限公司</w:t>
      </w:r>
    </w:p>
    <w:p w14:paraId="5DEBEBAD">
      <w:pPr>
        <w:keepNext w:val="0"/>
        <w:keepLines w:val="0"/>
        <w:pageBreakBefore w:val="0"/>
        <w:widowControl w:val="0"/>
        <w:kinsoku/>
        <w:wordWrap/>
        <w:overflowPunct/>
        <w:topLinePunct w:val="0"/>
        <w:autoSpaceDE/>
        <w:autoSpaceDN/>
        <w:bidi w:val="0"/>
        <w:adjustRightInd/>
        <w:snapToGrid/>
        <w:spacing w:before="78" w:line="360" w:lineRule="auto"/>
        <w:ind w:firstLine="476" w:firstLineChars="200"/>
        <w:rPr>
          <w:rFonts w:ascii="宋体" w:hAnsi="宋体" w:eastAsia="宋体" w:cs="宋体"/>
          <w:color w:val="auto"/>
          <w:spacing w:val="-1"/>
          <w:sz w:val="24"/>
          <w:szCs w:val="24"/>
        </w:rPr>
      </w:pPr>
    </w:p>
    <w:p w14:paraId="135EB9DB">
      <w:pPr>
        <w:keepNext w:val="0"/>
        <w:keepLines w:val="0"/>
        <w:pageBreakBefore w:val="0"/>
        <w:widowControl w:val="0"/>
        <w:kinsoku/>
        <w:wordWrap/>
        <w:overflowPunct/>
        <w:topLinePunct w:val="0"/>
        <w:autoSpaceDE/>
        <w:autoSpaceDN/>
        <w:bidi w:val="0"/>
        <w:adjustRightInd/>
        <w:snapToGrid/>
        <w:spacing w:before="78" w:line="360" w:lineRule="auto"/>
        <w:ind w:firstLine="476" w:firstLineChars="200"/>
        <w:rPr>
          <w:rFonts w:ascii="宋体" w:hAnsi="宋体" w:eastAsia="宋体" w:cs="宋体"/>
          <w:color w:val="auto"/>
          <w:spacing w:val="-1"/>
          <w:sz w:val="24"/>
          <w:szCs w:val="24"/>
        </w:rPr>
      </w:pPr>
      <w:r>
        <w:rPr>
          <w:rFonts w:ascii="宋体" w:hAnsi="宋体" w:eastAsia="宋体" w:cs="宋体"/>
          <w:color w:val="auto"/>
          <w:spacing w:val="-1"/>
          <w:sz w:val="24"/>
          <w:szCs w:val="24"/>
        </w:rPr>
        <w:t>我公司在参加本次政府采购活动前，做出以下郑重声明：</w:t>
      </w:r>
    </w:p>
    <w:p w14:paraId="398852EA">
      <w:pPr>
        <w:keepNext w:val="0"/>
        <w:keepLines w:val="0"/>
        <w:pageBreakBefore w:val="0"/>
        <w:widowControl w:val="0"/>
        <w:numPr>
          <w:ilvl w:val="0"/>
          <w:numId w:val="8"/>
        </w:numPr>
        <w:kinsoku/>
        <w:wordWrap/>
        <w:overflowPunct/>
        <w:topLinePunct w:val="0"/>
        <w:autoSpaceDE/>
        <w:autoSpaceDN/>
        <w:bidi w:val="0"/>
        <w:adjustRightInd/>
        <w:snapToGrid/>
        <w:spacing w:before="78" w:line="360" w:lineRule="auto"/>
        <w:ind w:firstLine="476" w:firstLineChars="200"/>
        <w:rPr>
          <w:rFonts w:ascii="宋体" w:hAnsi="宋体" w:eastAsia="宋体" w:cs="宋体"/>
          <w:color w:val="auto"/>
          <w:spacing w:val="-1"/>
          <w:sz w:val="24"/>
          <w:szCs w:val="24"/>
        </w:rPr>
      </w:pPr>
      <w:r>
        <w:rPr>
          <w:rFonts w:ascii="宋体" w:hAnsi="宋体" w:eastAsia="宋体" w:cs="宋体"/>
          <w:color w:val="auto"/>
          <w:spacing w:val="-1"/>
          <w:sz w:val="24"/>
          <w:szCs w:val="24"/>
        </w:rPr>
        <w:t>参加本次政府采购活动前三年内，在经营活动中没有重大违法记录。</w:t>
      </w:r>
    </w:p>
    <w:p w14:paraId="45ADCED4">
      <w:pPr>
        <w:keepNext w:val="0"/>
        <w:keepLines w:val="0"/>
        <w:pageBreakBefore w:val="0"/>
        <w:widowControl w:val="0"/>
        <w:numPr>
          <w:ilvl w:val="0"/>
          <w:numId w:val="0"/>
        </w:numPr>
        <w:kinsoku/>
        <w:wordWrap/>
        <w:overflowPunct/>
        <w:topLinePunct w:val="0"/>
        <w:autoSpaceDE/>
        <w:autoSpaceDN/>
        <w:bidi w:val="0"/>
        <w:adjustRightInd/>
        <w:snapToGrid/>
        <w:spacing w:before="78" w:line="360" w:lineRule="auto"/>
        <w:ind w:firstLine="472" w:firstLineChars="200"/>
        <w:rPr>
          <w:rFonts w:ascii="宋体" w:hAnsi="宋体" w:eastAsia="宋体" w:cs="宋体"/>
          <w:color w:val="auto"/>
          <w:sz w:val="24"/>
          <w:szCs w:val="24"/>
        </w:rPr>
      </w:pPr>
      <w:r>
        <w:rPr>
          <w:rFonts w:ascii="宋体" w:hAnsi="宋体" w:eastAsia="宋体" w:cs="宋体"/>
          <w:color w:val="auto"/>
          <w:spacing w:val="-2"/>
          <w:sz w:val="24"/>
          <w:szCs w:val="24"/>
        </w:rPr>
        <w:t>二、在本次政府采购活动前三年内，我公司在</w:t>
      </w:r>
      <w:r>
        <w:rPr>
          <w:rFonts w:hint="eastAsia" w:ascii="宋体" w:hAnsi="宋体" w:eastAsia="宋体" w:cs="宋体"/>
          <w:color w:val="auto"/>
          <w:spacing w:val="-2"/>
          <w:sz w:val="24"/>
          <w:szCs w:val="24"/>
          <w:lang w:val="en-US" w:eastAsia="zh-CN"/>
        </w:rPr>
        <w:t>“信用中国”及“中国政府采购网”</w:t>
      </w:r>
      <w:r>
        <w:rPr>
          <w:rFonts w:ascii="宋体" w:hAnsi="宋体" w:eastAsia="宋体" w:cs="宋体"/>
          <w:color w:val="auto"/>
          <w:spacing w:val="-2"/>
          <w:sz w:val="24"/>
          <w:szCs w:val="24"/>
        </w:rPr>
        <w:t>等政府采购信息发布</w:t>
      </w:r>
      <w:r>
        <w:rPr>
          <w:rFonts w:ascii="宋体" w:hAnsi="宋体" w:eastAsia="宋体" w:cs="宋体"/>
          <w:color w:val="auto"/>
          <w:spacing w:val="-1"/>
          <w:sz w:val="24"/>
          <w:szCs w:val="24"/>
        </w:rPr>
        <w:t>平台及当地工商局企业信用查询系统中，无任何重大违法记录。若发现我方上述声明与事实不符，愿按照政府采购相关规定接受相关处罚。</w:t>
      </w:r>
    </w:p>
    <w:p w14:paraId="0D90E0BF">
      <w:pPr>
        <w:keepNext w:val="0"/>
        <w:keepLines w:val="0"/>
        <w:pageBreakBefore w:val="0"/>
        <w:widowControl w:val="0"/>
        <w:kinsoku/>
        <w:wordWrap/>
        <w:overflowPunct/>
        <w:topLinePunct w:val="0"/>
        <w:autoSpaceDE/>
        <w:autoSpaceDN/>
        <w:bidi w:val="0"/>
        <w:adjustRightInd/>
        <w:snapToGrid/>
        <w:spacing w:line="360" w:lineRule="auto"/>
        <w:rPr>
          <w:rFonts w:ascii="宋体"/>
          <w:color w:val="auto"/>
          <w:sz w:val="21"/>
        </w:rPr>
      </w:pPr>
    </w:p>
    <w:p w14:paraId="3B82BCF2">
      <w:pPr>
        <w:spacing w:line="281" w:lineRule="auto"/>
        <w:rPr>
          <w:rFonts w:ascii="宋体"/>
          <w:color w:val="auto"/>
          <w:sz w:val="21"/>
        </w:rPr>
      </w:pPr>
    </w:p>
    <w:p w14:paraId="577F2226">
      <w:pPr>
        <w:spacing w:line="282" w:lineRule="auto"/>
        <w:rPr>
          <w:rFonts w:ascii="宋体"/>
          <w:color w:val="auto"/>
          <w:sz w:val="21"/>
        </w:rPr>
      </w:pPr>
    </w:p>
    <w:p w14:paraId="76DF0FFB">
      <w:pPr>
        <w:spacing w:before="78" w:line="185" w:lineRule="auto"/>
        <w:ind w:firstLine="1"/>
        <w:rPr>
          <w:rFonts w:ascii="宋体" w:hAnsi="宋体" w:eastAsia="宋体" w:cs="宋体"/>
          <w:color w:val="auto"/>
          <w:sz w:val="24"/>
          <w:szCs w:val="24"/>
        </w:rPr>
      </w:pPr>
      <w:r>
        <w:rPr>
          <w:rFonts w:ascii="宋体" w:hAnsi="宋体" w:eastAsia="宋体" w:cs="宋体"/>
          <w:color w:val="auto"/>
          <w:spacing w:val="-2"/>
          <w:sz w:val="24"/>
          <w:szCs w:val="24"/>
        </w:rPr>
        <w:t>特此声明。</w:t>
      </w:r>
    </w:p>
    <w:p w14:paraId="7893B360">
      <w:pPr>
        <w:spacing w:line="242" w:lineRule="auto"/>
        <w:rPr>
          <w:rFonts w:ascii="宋体"/>
          <w:color w:val="auto"/>
          <w:sz w:val="21"/>
        </w:rPr>
      </w:pPr>
    </w:p>
    <w:p w14:paraId="69F242D5">
      <w:pPr>
        <w:spacing w:line="242" w:lineRule="auto"/>
        <w:rPr>
          <w:rFonts w:ascii="宋体"/>
          <w:color w:val="auto"/>
          <w:sz w:val="21"/>
        </w:rPr>
      </w:pPr>
    </w:p>
    <w:p w14:paraId="42D2618E">
      <w:pPr>
        <w:spacing w:line="242" w:lineRule="auto"/>
        <w:rPr>
          <w:rFonts w:ascii="宋体"/>
          <w:color w:val="auto"/>
          <w:sz w:val="21"/>
        </w:rPr>
      </w:pPr>
    </w:p>
    <w:p w14:paraId="3BCFBC72">
      <w:pPr>
        <w:spacing w:line="242" w:lineRule="auto"/>
        <w:rPr>
          <w:rFonts w:ascii="宋体"/>
          <w:color w:val="auto"/>
          <w:sz w:val="21"/>
        </w:rPr>
      </w:pPr>
    </w:p>
    <w:p w14:paraId="71276F43">
      <w:pPr>
        <w:spacing w:line="243" w:lineRule="auto"/>
        <w:rPr>
          <w:rFonts w:ascii="宋体"/>
          <w:color w:val="auto"/>
          <w:sz w:val="21"/>
        </w:rPr>
      </w:pPr>
    </w:p>
    <w:p w14:paraId="09437676">
      <w:pPr>
        <w:spacing w:before="78" w:line="185" w:lineRule="auto"/>
        <w:ind w:firstLine="29"/>
        <w:rPr>
          <w:rFonts w:ascii="宋体" w:hAnsi="宋体" w:eastAsia="宋体" w:cs="宋体"/>
          <w:color w:val="auto"/>
          <w:sz w:val="24"/>
          <w:szCs w:val="24"/>
        </w:rPr>
      </w:pPr>
      <w:r>
        <w:rPr>
          <w:rFonts w:hint="eastAsia" w:ascii="宋体" w:hAnsi="宋体" w:eastAsia="宋体" w:cs="宋体"/>
          <w:color w:val="auto"/>
          <w:spacing w:val="3"/>
          <w:sz w:val="24"/>
          <w:szCs w:val="24"/>
          <w:lang w:val="en-US" w:eastAsia="zh-CN"/>
        </w:rPr>
        <w:t>征集对象</w:t>
      </w:r>
      <w:r>
        <w:rPr>
          <w:rFonts w:ascii="宋体" w:hAnsi="宋体" w:eastAsia="宋体" w:cs="宋体"/>
          <w:color w:val="auto"/>
          <w:spacing w:val="-68"/>
          <w:sz w:val="24"/>
          <w:szCs w:val="24"/>
        </w:rPr>
        <w:t>：</w:t>
      </w:r>
      <w:r>
        <w:rPr>
          <w:rFonts w:hint="eastAsia" w:ascii="宋体" w:hAnsi="宋体" w:eastAsia="宋体" w:cs="宋体"/>
          <w:color w:val="auto"/>
          <w:spacing w:val="3"/>
          <w:sz w:val="24"/>
          <w:szCs w:val="24"/>
          <w:lang w:val="en-US" w:eastAsia="zh-CN"/>
        </w:rPr>
        <w:t xml:space="preserve"> </w:t>
      </w:r>
      <w:r>
        <w:rPr>
          <w:rFonts w:hint="eastAsia" w:ascii="宋体" w:hAnsi="宋体" w:eastAsia="宋体" w:cs="宋体"/>
          <w:color w:val="auto"/>
          <w:spacing w:val="3"/>
          <w:sz w:val="24"/>
          <w:szCs w:val="24"/>
          <w:u w:val="single"/>
          <w:lang w:val="en-US" w:eastAsia="zh-CN"/>
        </w:rPr>
        <w:t xml:space="preserve">            </w:t>
      </w:r>
      <w:r>
        <w:rPr>
          <w:rFonts w:ascii="宋体" w:hAnsi="宋体" w:eastAsia="宋体" w:cs="宋体"/>
          <w:color w:val="auto"/>
          <w:spacing w:val="3"/>
          <w:sz w:val="24"/>
          <w:szCs w:val="24"/>
        </w:rPr>
        <w:t>（盖章</w:t>
      </w:r>
      <w:r>
        <w:rPr>
          <w:rFonts w:ascii="宋体" w:hAnsi="宋体" w:eastAsia="宋体" w:cs="宋体"/>
          <w:color w:val="auto"/>
          <w:spacing w:val="-68"/>
          <w:sz w:val="24"/>
          <w:szCs w:val="24"/>
        </w:rPr>
        <w:t>）</w:t>
      </w:r>
      <w:r>
        <w:rPr>
          <w:rFonts w:ascii="宋体" w:hAnsi="宋体" w:eastAsia="宋体" w:cs="宋体"/>
          <w:color w:val="auto"/>
          <w:spacing w:val="-18"/>
          <w:sz w:val="24"/>
          <w:szCs w:val="24"/>
        </w:rPr>
        <w:t xml:space="preserve"> </w:t>
      </w:r>
    </w:p>
    <w:p w14:paraId="4C48ABB6">
      <w:pPr>
        <w:spacing w:line="283" w:lineRule="auto"/>
        <w:rPr>
          <w:rFonts w:ascii="宋体"/>
          <w:color w:val="auto"/>
          <w:sz w:val="21"/>
        </w:rPr>
      </w:pPr>
    </w:p>
    <w:p w14:paraId="4B8440C9">
      <w:pPr>
        <w:spacing w:before="78" w:line="185" w:lineRule="auto"/>
        <w:ind w:firstLine="2"/>
        <w:rPr>
          <w:rFonts w:ascii="宋体" w:hAnsi="宋体" w:eastAsia="宋体" w:cs="宋体"/>
          <w:color w:val="auto"/>
          <w:sz w:val="24"/>
          <w:szCs w:val="24"/>
        </w:rPr>
      </w:pPr>
      <w:r>
        <w:rPr>
          <w:rFonts w:ascii="宋体" w:hAnsi="宋体" w:eastAsia="宋体" w:cs="宋体"/>
          <w:color w:val="auto"/>
          <w:spacing w:val="1"/>
          <w:sz w:val="24"/>
          <w:szCs w:val="24"/>
        </w:rPr>
        <w:t>法定代表人或被授权人（签字或印章</w:t>
      </w:r>
      <w:r>
        <w:rPr>
          <w:rFonts w:ascii="宋体" w:hAnsi="宋体" w:eastAsia="宋体" w:cs="宋体"/>
          <w:color w:val="auto"/>
          <w:spacing w:val="-64"/>
          <w:sz w:val="24"/>
          <w:szCs w:val="24"/>
        </w:rPr>
        <w:t>）</w:t>
      </w:r>
      <w:r>
        <w:rPr>
          <w:rFonts w:ascii="宋体" w:hAnsi="宋体" w:eastAsia="宋体" w:cs="宋体"/>
          <w:color w:val="auto"/>
          <w:spacing w:val="-19"/>
          <w:sz w:val="24"/>
          <w:szCs w:val="24"/>
        </w:rPr>
        <w:t xml:space="preserve"> </w:t>
      </w:r>
      <w:r>
        <w:rPr>
          <w:rFonts w:ascii="宋体" w:hAnsi="宋体" w:eastAsia="宋体" w:cs="宋体"/>
          <w:color w:val="auto"/>
          <w:spacing w:val="-64"/>
          <w:sz w:val="24"/>
          <w:szCs w:val="24"/>
        </w:rPr>
        <w:t>：</w:t>
      </w:r>
    </w:p>
    <w:p w14:paraId="08367C7C">
      <w:pPr>
        <w:spacing w:line="281" w:lineRule="auto"/>
        <w:rPr>
          <w:rFonts w:ascii="宋体"/>
          <w:color w:val="auto"/>
          <w:sz w:val="21"/>
        </w:rPr>
      </w:pPr>
    </w:p>
    <w:p w14:paraId="5582530C">
      <w:pPr>
        <w:spacing w:before="79" w:line="185" w:lineRule="auto"/>
        <w:ind w:firstLine="3936"/>
        <w:rPr>
          <w:rFonts w:ascii="宋体" w:hAnsi="宋体" w:eastAsia="宋体" w:cs="宋体"/>
          <w:color w:val="auto"/>
          <w:sz w:val="24"/>
          <w:szCs w:val="24"/>
        </w:rPr>
      </w:pPr>
      <w:r>
        <w:rPr>
          <w:rFonts w:ascii="宋体" w:hAnsi="宋体" w:eastAsia="宋体" w:cs="宋体"/>
          <w:color w:val="auto"/>
          <w:spacing w:val="-9"/>
          <w:sz w:val="24"/>
          <w:szCs w:val="24"/>
        </w:rPr>
        <w:t>年</w:t>
      </w:r>
      <w:r>
        <w:rPr>
          <w:rFonts w:ascii="宋体" w:hAnsi="宋体" w:eastAsia="宋体" w:cs="宋体"/>
          <w:color w:val="auto"/>
          <w:spacing w:val="8"/>
          <w:sz w:val="24"/>
          <w:szCs w:val="24"/>
        </w:rPr>
        <w:t xml:space="preserve">  </w:t>
      </w:r>
      <w:r>
        <w:rPr>
          <w:rFonts w:ascii="宋体" w:hAnsi="宋体" w:eastAsia="宋体" w:cs="宋体"/>
          <w:color w:val="auto"/>
          <w:spacing w:val="-9"/>
          <w:sz w:val="24"/>
          <w:szCs w:val="24"/>
        </w:rPr>
        <w:t>月</w:t>
      </w:r>
      <w:r>
        <w:rPr>
          <w:rFonts w:ascii="宋体" w:hAnsi="宋体" w:eastAsia="宋体" w:cs="宋体"/>
          <w:color w:val="auto"/>
          <w:spacing w:val="25"/>
          <w:sz w:val="24"/>
          <w:szCs w:val="24"/>
        </w:rPr>
        <w:t xml:space="preserve">  </w:t>
      </w:r>
      <w:r>
        <w:rPr>
          <w:rFonts w:ascii="宋体" w:hAnsi="宋体" w:eastAsia="宋体" w:cs="宋体"/>
          <w:color w:val="auto"/>
          <w:spacing w:val="-9"/>
          <w:sz w:val="24"/>
          <w:szCs w:val="24"/>
        </w:rPr>
        <w:t>日</w:t>
      </w:r>
    </w:p>
    <w:p w14:paraId="30D7F5C1">
      <w:pPr>
        <w:rPr>
          <w:color w:val="auto"/>
        </w:rPr>
        <w:sectPr>
          <w:pgSz w:w="11911" w:h="16849"/>
          <w:pgMar w:top="1423" w:right="1361" w:bottom="1355" w:left="1480" w:header="1077" w:footer="1140" w:gutter="0"/>
          <w:pgNumType w:fmt="decimal"/>
          <w:cols w:space="0" w:num="1"/>
          <w:rtlGutter w:val="0"/>
          <w:docGrid w:linePitch="1" w:charSpace="0"/>
        </w:sectPr>
      </w:pPr>
    </w:p>
    <w:p w14:paraId="7F981B16">
      <w:pPr>
        <w:spacing w:before="104" w:line="185" w:lineRule="auto"/>
        <w:ind w:firstLine="29"/>
        <w:rPr>
          <w:rFonts w:ascii="宋体" w:hAnsi="宋体" w:eastAsia="宋体" w:cs="宋体"/>
          <w:b/>
          <w:bCs/>
          <w:color w:val="auto"/>
          <w:spacing w:val="-15"/>
          <w:sz w:val="32"/>
          <w:szCs w:val="32"/>
        </w:rPr>
      </w:pPr>
    </w:p>
    <w:p w14:paraId="232A64E3">
      <w:pPr>
        <w:spacing w:before="104" w:line="185" w:lineRule="auto"/>
        <w:ind w:firstLine="29"/>
        <w:rPr>
          <w:rFonts w:ascii="宋体" w:hAnsi="宋体" w:eastAsia="宋体" w:cs="宋体"/>
          <w:b/>
          <w:bCs/>
          <w:color w:val="auto"/>
          <w:spacing w:val="-15"/>
          <w:sz w:val="32"/>
          <w:szCs w:val="32"/>
        </w:rPr>
      </w:pPr>
    </w:p>
    <w:p w14:paraId="35CF8385">
      <w:pPr>
        <w:spacing w:before="104" w:line="185" w:lineRule="auto"/>
        <w:ind w:firstLine="29"/>
        <w:rPr>
          <w:rFonts w:ascii="宋体" w:hAnsi="宋体" w:eastAsia="宋体" w:cs="宋体"/>
          <w:b/>
          <w:bCs/>
          <w:color w:val="auto"/>
          <w:spacing w:val="-15"/>
          <w:sz w:val="32"/>
          <w:szCs w:val="32"/>
        </w:rPr>
      </w:pPr>
    </w:p>
    <w:p w14:paraId="15974014">
      <w:pPr>
        <w:spacing w:before="104" w:line="185" w:lineRule="auto"/>
        <w:ind w:firstLine="29"/>
        <w:rPr>
          <w:rFonts w:ascii="宋体" w:hAnsi="宋体" w:eastAsia="宋体" w:cs="宋体"/>
          <w:b/>
          <w:bCs/>
          <w:color w:val="auto"/>
          <w:spacing w:val="-15"/>
          <w:sz w:val="32"/>
          <w:szCs w:val="32"/>
        </w:rPr>
      </w:pPr>
    </w:p>
    <w:p w14:paraId="1113EB4D">
      <w:pPr>
        <w:spacing w:before="104" w:line="185" w:lineRule="auto"/>
        <w:ind w:firstLine="29"/>
        <w:rPr>
          <w:rFonts w:ascii="宋体" w:hAnsi="宋体" w:eastAsia="宋体" w:cs="宋体"/>
          <w:b/>
          <w:bCs/>
          <w:color w:val="auto"/>
          <w:spacing w:val="-15"/>
          <w:sz w:val="32"/>
          <w:szCs w:val="32"/>
        </w:rPr>
      </w:pPr>
    </w:p>
    <w:p w14:paraId="70CE0D42">
      <w:pPr>
        <w:spacing w:before="104" w:line="185" w:lineRule="auto"/>
        <w:ind w:firstLine="29"/>
        <w:rPr>
          <w:rFonts w:ascii="宋体" w:hAnsi="宋体" w:eastAsia="宋体" w:cs="宋体"/>
          <w:b/>
          <w:bCs/>
          <w:color w:val="auto"/>
          <w:spacing w:val="-15"/>
          <w:sz w:val="32"/>
          <w:szCs w:val="32"/>
        </w:rPr>
      </w:pPr>
    </w:p>
    <w:p w14:paraId="117D2D64">
      <w:pPr>
        <w:spacing w:before="104" w:line="185" w:lineRule="auto"/>
        <w:ind w:firstLine="29"/>
        <w:rPr>
          <w:rFonts w:ascii="宋体" w:hAnsi="宋体" w:eastAsia="宋体" w:cs="宋体"/>
          <w:b/>
          <w:bCs/>
          <w:color w:val="auto"/>
          <w:spacing w:val="-15"/>
          <w:sz w:val="32"/>
          <w:szCs w:val="32"/>
        </w:rPr>
      </w:pPr>
    </w:p>
    <w:p w14:paraId="1AED4704">
      <w:pPr>
        <w:spacing w:before="104" w:line="185" w:lineRule="auto"/>
        <w:ind w:firstLine="29"/>
        <w:rPr>
          <w:rFonts w:ascii="宋体" w:hAnsi="宋体" w:eastAsia="宋体" w:cs="宋体"/>
          <w:b/>
          <w:bCs/>
          <w:color w:val="auto"/>
          <w:spacing w:val="-15"/>
          <w:sz w:val="32"/>
          <w:szCs w:val="32"/>
        </w:rPr>
      </w:pPr>
    </w:p>
    <w:p w14:paraId="43C5E832">
      <w:pPr>
        <w:spacing w:before="104" w:line="185" w:lineRule="auto"/>
        <w:ind w:firstLine="29"/>
        <w:rPr>
          <w:rFonts w:ascii="宋体" w:hAnsi="宋体" w:eastAsia="宋体" w:cs="宋体"/>
          <w:b/>
          <w:bCs/>
          <w:color w:val="auto"/>
          <w:spacing w:val="-15"/>
          <w:sz w:val="32"/>
          <w:szCs w:val="32"/>
        </w:rPr>
      </w:pPr>
    </w:p>
    <w:p w14:paraId="760F09CA">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rPr>
          <w:rFonts w:ascii="宋体" w:hAnsi="宋体" w:eastAsia="宋体" w:cs="宋体"/>
          <w:color w:val="auto"/>
          <w:sz w:val="24"/>
          <w:szCs w:val="24"/>
        </w:rPr>
      </w:pPr>
      <w:bookmarkStart w:id="22" w:name="_bookmark47"/>
      <w:bookmarkEnd w:id="22"/>
      <w:bookmarkStart w:id="23" w:name="_bookmark46"/>
      <w:bookmarkEnd w:id="23"/>
    </w:p>
    <w:p w14:paraId="2515D4E0">
      <w:pPr>
        <w:keepNext w:val="0"/>
        <w:keepLines w:val="0"/>
        <w:pageBreakBefore w:val="0"/>
        <w:widowControl w:val="0"/>
        <w:kinsoku/>
        <w:wordWrap/>
        <w:overflowPunct/>
        <w:topLinePunct w:val="0"/>
        <w:autoSpaceDE/>
        <w:autoSpaceDN/>
        <w:bidi w:val="0"/>
        <w:adjustRightInd/>
        <w:snapToGrid/>
        <w:spacing w:line="240" w:lineRule="auto"/>
        <w:jc w:val="center"/>
        <w:outlineLvl w:val="0"/>
        <w:rPr>
          <w:rFonts w:hint="eastAsia" w:ascii="宋体" w:hAnsi="宋体" w:eastAsia="宋体" w:cs="宋体"/>
          <w:b/>
          <w:bCs/>
          <w:color w:val="auto"/>
          <w:spacing w:val="-1"/>
          <w:sz w:val="28"/>
          <w:szCs w:val="28"/>
          <w:lang w:eastAsia="zh-CN"/>
        </w:rPr>
      </w:pPr>
    </w:p>
    <w:p w14:paraId="005A1B79">
      <w:pPr>
        <w:keepNext w:val="0"/>
        <w:keepLines w:val="0"/>
        <w:pageBreakBefore w:val="0"/>
        <w:widowControl w:val="0"/>
        <w:kinsoku/>
        <w:wordWrap/>
        <w:overflowPunct/>
        <w:topLinePunct w:val="0"/>
        <w:autoSpaceDE/>
        <w:autoSpaceDN/>
        <w:bidi w:val="0"/>
        <w:adjustRightInd/>
        <w:snapToGrid/>
        <w:spacing w:line="240" w:lineRule="auto"/>
        <w:jc w:val="center"/>
        <w:outlineLvl w:val="0"/>
        <w:rPr>
          <w:rFonts w:hint="eastAsia" w:ascii="宋体" w:hAnsi="宋体" w:eastAsia="宋体" w:cs="宋体"/>
          <w:b/>
          <w:bCs/>
          <w:color w:val="auto"/>
          <w:spacing w:val="-1"/>
          <w:sz w:val="28"/>
          <w:szCs w:val="28"/>
          <w:lang w:eastAsia="zh-CN"/>
        </w:rPr>
      </w:pPr>
    </w:p>
    <w:p w14:paraId="617E4F7C">
      <w:pPr>
        <w:keepNext w:val="0"/>
        <w:keepLines w:val="0"/>
        <w:pageBreakBefore w:val="0"/>
        <w:widowControl w:val="0"/>
        <w:kinsoku/>
        <w:wordWrap/>
        <w:overflowPunct/>
        <w:topLinePunct w:val="0"/>
        <w:autoSpaceDE/>
        <w:autoSpaceDN/>
        <w:bidi w:val="0"/>
        <w:adjustRightInd/>
        <w:snapToGrid/>
        <w:spacing w:line="240" w:lineRule="auto"/>
        <w:jc w:val="center"/>
        <w:outlineLvl w:val="0"/>
        <w:rPr>
          <w:rFonts w:hint="eastAsia" w:ascii="宋体" w:hAnsi="宋体" w:eastAsia="宋体" w:cs="宋体"/>
          <w:b/>
          <w:bCs/>
          <w:color w:val="auto"/>
          <w:spacing w:val="-1"/>
          <w:sz w:val="28"/>
          <w:szCs w:val="28"/>
          <w:lang w:eastAsia="zh-CN"/>
        </w:rPr>
      </w:pPr>
    </w:p>
    <w:p w14:paraId="00DEAC47">
      <w:pPr>
        <w:keepNext w:val="0"/>
        <w:keepLines w:val="0"/>
        <w:pageBreakBefore w:val="0"/>
        <w:widowControl w:val="0"/>
        <w:kinsoku/>
        <w:wordWrap/>
        <w:overflowPunct/>
        <w:topLinePunct w:val="0"/>
        <w:autoSpaceDE/>
        <w:autoSpaceDN/>
        <w:bidi w:val="0"/>
        <w:adjustRightInd/>
        <w:snapToGrid/>
        <w:spacing w:line="240" w:lineRule="auto"/>
        <w:jc w:val="center"/>
        <w:outlineLvl w:val="0"/>
        <w:rPr>
          <w:rFonts w:hint="eastAsia" w:ascii="宋体" w:hAnsi="宋体" w:eastAsia="宋体" w:cs="宋体"/>
          <w:b/>
          <w:bCs/>
          <w:color w:val="auto"/>
          <w:spacing w:val="-1"/>
          <w:sz w:val="28"/>
          <w:szCs w:val="28"/>
          <w:lang w:eastAsia="zh-CN"/>
        </w:rPr>
      </w:pPr>
      <w:r>
        <w:rPr>
          <w:rFonts w:hint="eastAsia" w:ascii="宋体" w:hAnsi="宋体" w:eastAsia="宋体" w:cs="宋体"/>
          <w:b/>
          <w:bCs/>
          <w:color w:val="auto"/>
          <w:spacing w:val="-1"/>
          <w:sz w:val="28"/>
          <w:szCs w:val="28"/>
          <w:lang w:eastAsia="zh-CN"/>
        </w:rPr>
        <w:t>(</w:t>
      </w:r>
      <w:r>
        <w:rPr>
          <w:rFonts w:hint="eastAsia" w:ascii="宋体" w:hAnsi="宋体" w:eastAsia="宋体" w:cs="宋体"/>
          <w:b/>
          <w:bCs/>
          <w:color w:val="auto"/>
          <w:spacing w:val="-1"/>
          <w:sz w:val="28"/>
          <w:szCs w:val="28"/>
          <w:lang w:val="en-US" w:eastAsia="zh-CN"/>
        </w:rPr>
        <w:t>1</w:t>
      </w:r>
      <w:r>
        <w:rPr>
          <w:rFonts w:hint="eastAsia" w:ascii="宋体" w:hAnsi="宋体" w:cs="宋体"/>
          <w:b/>
          <w:bCs/>
          <w:color w:val="auto"/>
          <w:spacing w:val="-1"/>
          <w:sz w:val="28"/>
          <w:szCs w:val="28"/>
          <w:lang w:val="en-US" w:eastAsia="zh-CN"/>
        </w:rPr>
        <w:t>9</w:t>
      </w:r>
      <w:r>
        <w:rPr>
          <w:rFonts w:hint="eastAsia" w:ascii="宋体" w:hAnsi="宋体" w:eastAsia="宋体" w:cs="宋体"/>
          <w:b/>
          <w:bCs/>
          <w:color w:val="auto"/>
          <w:spacing w:val="-1"/>
          <w:sz w:val="28"/>
          <w:szCs w:val="28"/>
          <w:lang w:eastAsia="zh-CN"/>
        </w:rPr>
        <w:t>)</w:t>
      </w:r>
      <w:r>
        <w:rPr>
          <w:rFonts w:hint="eastAsia" w:ascii="宋体" w:hAnsi="宋体" w:eastAsia="宋体" w:cs="宋体"/>
          <w:b/>
          <w:bCs/>
          <w:color w:val="auto"/>
          <w:spacing w:val="-1"/>
          <w:sz w:val="28"/>
          <w:szCs w:val="28"/>
          <w:lang w:val="en-US" w:eastAsia="zh-CN"/>
        </w:rPr>
        <w:t xml:space="preserve"> </w:t>
      </w:r>
      <w:r>
        <w:rPr>
          <w:rFonts w:hint="eastAsia" w:ascii="宋体" w:hAnsi="宋体" w:eastAsia="宋体" w:cs="宋体"/>
          <w:b/>
          <w:bCs/>
          <w:color w:val="auto"/>
          <w:spacing w:val="-1"/>
          <w:sz w:val="28"/>
          <w:szCs w:val="28"/>
          <w:lang w:eastAsia="zh-CN"/>
        </w:rPr>
        <w:t>同意征集文件条款声明</w:t>
      </w:r>
    </w:p>
    <w:p w14:paraId="315B3418">
      <w:pPr>
        <w:pStyle w:val="20"/>
        <w:rPr>
          <w:color w:val="auto"/>
        </w:rPr>
      </w:pPr>
    </w:p>
    <w:p w14:paraId="7DC2FC1D">
      <w:pPr>
        <w:pStyle w:val="14"/>
      </w:pPr>
    </w:p>
    <w:p w14:paraId="7D9ECB94">
      <w:pPr>
        <w:spacing w:before="78" w:line="185" w:lineRule="auto"/>
        <w:rPr>
          <w:rFonts w:hint="eastAsia" w:ascii="宋体" w:hAnsi="宋体" w:eastAsia="宋体" w:cs="宋体"/>
          <w:color w:val="auto"/>
          <w:spacing w:val="-12"/>
          <w:sz w:val="24"/>
          <w:szCs w:val="24"/>
          <w:lang w:eastAsia="zh-CN"/>
        </w:rPr>
      </w:pPr>
      <w:r>
        <w:rPr>
          <w:rFonts w:ascii="宋体" w:hAnsi="宋体" w:eastAsia="宋体" w:cs="宋体"/>
          <w:color w:val="auto"/>
          <w:spacing w:val="-12"/>
          <w:sz w:val="24"/>
          <w:szCs w:val="24"/>
        </w:rPr>
        <w:t>致：</w:t>
      </w:r>
      <w:r>
        <w:rPr>
          <w:rFonts w:hint="eastAsia" w:ascii="宋体" w:hAnsi="宋体" w:cs="宋体"/>
          <w:color w:val="auto"/>
          <w:spacing w:val="-12"/>
          <w:sz w:val="24"/>
          <w:szCs w:val="24"/>
          <w:lang w:eastAsia="zh-CN"/>
        </w:rPr>
        <w:t>新疆金斌工程项目管理有限公司</w:t>
      </w:r>
    </w:p>
    <w:p w14:paraId="282B9534">
      <w:pPr>
        <w:spacing w:before="78" w:line="185" w:lineRule="auto"/>
        <w:rPr>
          <w:rFonts w:hint="eastAsia" w:ascii="宋体" w:hAnsi="宋体" w:eastAsia="宋体" w:cs="宋体"/>
          <w:color w:val="auto"/>
          <w:spacing w:val="-12"/>
          <w:sz w:val="24"/>
          <w:szCs w:val="24"/>
          <w:lang w:eastAsia="zh-CN"/>
        </w:rPr>
      </w:pPr>
    </w:p>
    <w:p w14:paraId="53D51B1A">
      <w:pPr>
        <w:keepNext w:val="0"/>
        <w:keepLines w:val="0"/>
        <w:pageBreakBefore w:val="0"/>
        <w:widowControl w:val="0"/>
        <w:kinsoku/>
        <w:wordWrap/>
        <w:overflowPunct/>
        <w:topLinePunct w:val="0"/>
        <w:autoSpaceDE/>
        <w:autoSpaceDN/>
        <w:bidi w:val="0"/>
        <w:adjustRightInd/>
        <w:snapToGrid/>
        <w:spacing w:line="360" w:lineRule="auto"/>
        <w:ind w:firstLine="468" w:firstLineChars="200"/>
        <w:rPr>
          <w:rFonts w:ascii="宋体" w:hAnsi="宋体" w:eastAsia="宋体" w:cs="宋体"/>
          <w:color w:val="auto"/>
          <w:sz w:val="24"/>
          <w:szCs w:val="24"/>
        </w:rPr>
      </w:pPr>
      <w:r>
        <w:rPr>
          <w:rFonts w:ascii="宋体" w:hAnsi="宋体" w:eastAsia="宋体" w:cs="宋体"/>
          <w:color w:val="auto"/>
          <w:spacing w:val="-3"/>
          <w:sz w:val="24"/>
          <w:szCs w:val="24"/>
        </w:rPr>
        <w:t>为响应你方组织的</w:t>
      </w:r>
      <w:r>
        <w:rPr>
          <w:rFonts w:ascii="宋体" w:hAnsi="宋体" w:eastAsia="宋体" w:cs="宋体"/>
          <w:color w:val="auto"/>
          <w:sz w:val="24"/>
          <w:szCs w:val="24"/>
          <w:u w:val="single" w:color="auto"/>
        </w:rPr>
        <w:t xml:space="preserve">                    </w:t>
      </w:r>
      <w:r>
        <w:rPr>
          <w:rFonts w:ascii="宋体" w:hAnsi="宋体" w:eastAsia="宋体" w:cs="宋体"/>
          <w:color w:val="auto"/>
          <w:spacing w:val="-3"/>
          <w:sz w:val="24"/>
          <w:szCs w:val="24"/>
        </w:rPr>
        <w:t>采购项目的服务的招标采购，项目编号为</w:t>
      </w:r>
      <w:r>
        <w:rPr>
          <w:rFonts w:ascii="宋体" w:hAnsi="宋体" w:eastAsia="宋体" w:cs="宋体"/>
          <w:color w:val="auto"/>
          <w:spacing w:val="-86"/>
          <w:sz w:val="24"/>
          <w:szCs w:val="24"/>
        </w:rPr>
        <w:t>：</w:t>
      </w:r>
      <w:r>
        <w:rPr>
          <w:rFonts w:ascii="宋体" w:hAnsi="宋体" w:eastAsia="宋体" w:cs="宋体"/>
          <w:color w:val="auto"/>
          <w:spacing w:val="3"/>
          <w:sz w:val="24"/>
          <w:szCs w:val="24"/>
          <w:u w:val="single" w:color="auto"/>
        </w:rPr>
        <w:t xml:space="preserve">                   </w:t>
      </w:r>
      <w:r>
        <w:rPr>
          <w:rFonts w:hint="eastAsia" w:ascii="宋体" w:hAnsi="宋体" w:eastAsia="宋体" w:cs="宋体"/>
          <w:color w:val="auto"/>
          <w:spacing w:val="-86"/>
          <w:sz w:val="24"/>
          <w:szCs w:val="24"/>
          <w:lang w:eastAsia="zh-CN"/>
        </w:rPr>
        <w:t>，</w:t>
      </w:r>
      <w:r>
        <w:rPr>
          <w:rFonts w:ascii="宋体" w:hAnsi="宋体" w:eastAsia="宋体" w:cs="宋体"/>
          <w:color w:val="auto"/>
          <w:spacing w:val="-3"/>
          <w:sz w:val="24"/>
          <w:szCs w:val="24"/>
        </w:rPr>
        <w:t>我方在参与投标前已详细研究了征集文件的所有内容，</w:t>
      </w:r>
      <w:r>
        <w:rPr>
          <w:rFonts w:ascii="宋体" w:hAnsi="宋体" w:eastAsia="宋体" w:cs="宋体"/>
          <w:color w:val="auto"/>
          <w:spacing w:val="-7"/>
          <w:sz w:val="24"/>
          <w:szCs w:val="24"/>
        </w:rPr>
        <w:t>包括修改或更改（正）</w:t>
      </w:r>
      <w:r>
        <w:rPr>
          <w:rFonts w:ascii="宋体" w:hAnsi="宋体" w:eastAsia="宋体" w:cs="宋体"/>
          <w:color w:val="auto"/>
          <w:spacing w:val="-16"/>
          <w:sz w:val="24"/>
          <w:szCs w:val="24"/>
        </w:rPr>
        <w:t xml:space="preserve"> </w:t>
      </w:r>
      <w:r>
        <w:rPr>
          <w:rFonts w:ascii="宋体" w:hAnsi="宋体" w:eastAsia="宋体" w:cs="宋体"/>
          <w:color w:val="auto"/>
          <w:spacing w:val="-7"/>
          <w:sz w:val="24"/>
          <w:szCs w:val="24"/>
        </w:rPr>
        <w:t>文件（如果有的话）</w:t>
      </w:r>
      <w:r>
        <w:rPr>
          <w:rFonts w:ascii="宋体" w:hAnsi="宋体" w:eastAsia="宋体" w:cs="宋体"/>
          <w:color w:val="auto"/>
          <w:spacing w:val="-18"/>
          <w:sz w:val="24"/>
          <w:szCs w:val="24"/>
        </w:rPr>
        <w:t xml:space="preserve"> </w:t>
      </w:r>
      <w:r>
        <w:rPr>
          <w:rFonts w:ascii="宋体" w:hAnsi="宋体" w:eastAsia="宋体" w:cs="宋体"/>
          <w:color w:val="auto"/>
          <w:spacing w:val="-7"/>
          <w:sz w:val="24"/>
          <w:szCs w:val="24"/>
        </w:rPr>
        <w:t>和所有已提供的参考资料以及有关附件，我</w:t>
      </w:r>
      <w:r>
        <w:rPr>
          <w:rFonts w:ascii="宋体" w:hAnsi="宋体" w:eastAsia="宋体" w:cs="宋体"/>
          <w:color w:val="auto"/>
          <w:spacing w:val="-2"/>
          <w:sz w:val="24"/>
          <w:szCs w:val="24"/>
        </w:rPr>
        <w:t>方完全明白并认为此征集文件没有倾向性，也没有存在排斥潜在投标供应商的内容，我</w:t>
      </w:r>
      <w:r>
        <w:rPr>
          <w:rFonts w:ascii="宋体" w:hAnsi="宋体" w:eastAsia="宋体" w:cs="宋体"/>
          <w:color w:val="auto"/>
          <w:spacing w:val="4"/>
          <w:sz w:val="24"/>
          <w:szCs w:val="24"/>
        </w:rPr>
        <w:t>方同意征集文件的相关条款并承诺参与投标后不再对征集文件的任何条款提出质疑或</w:t>
      </w:r>
      <w:r>
        <w:rPr>
          <w:rFonts w:ascii="宋体" w:hAnsi="宋体" w:eastAsia="宋体" w:cs="宋体"/>
          <w:color w:val="auto"/>
          <w:spacing w:val="-4"/>
          <w:sz w:val="24"/>
          <w:szCs w:val="24"/>
        </w:rPr>
        <w:t>异议。</w:t>
      </w:r>
    </w:p>
    <w:p w14:paraId="7F42A0A1">
      <w:pPr>
        <w:keepNext w:val="0"/>
        <w:keepLines w:val="0"/>
        <w:pageBreakBefore w:val="0"/>
        <w:widowControl w:val="0"/>
        <w:kinsoku/>
        <w:wordWrap/>
        <w:overflowPunct/>
        <w:topLinePunct w:val="0"/>
        <w:autoSpaceDE/>
        <w:autoSpaceDN/>
        <w:bidi w:val="0"/>
        <w:adjustRightInd/>
        <w:snapToGrid/>
        <w:spacing w:line="360" w:lineRule="auto"/>
        <w:ind w:firstLine="481"/>
        <w:rPr>
          <w:rFonts w:ascii="宋体" w:hAnsi="宋体" w:eastAsia="宋体" w:cs="宋体"/>
          <w:color w:val="auto"/>
          <w:sz w:val="24"/>
          <w:szCs w:val="24"/>
        </w:rPr>
      </w:pPr>
      <w:r>
        <w:rPr>
          <w:rFonts w:ascii="宋体" w:hAnsi="宋体" w:eastAsia="宋体" w:cs="宋体"/>
          <w:color w:val="auto"/>
          <w:spacing w:val="-3"/>
          <w:sz w:val="24"/>
          <w:szCs w:val="24"/>
        </w:rPr>
        <w:t>特此声明</w:t>
      </w:r>
    </w:p>
    <w:p w14:paraId="777F60F3">
      <w:pPr>
        <w:spacing w:line="282" w:lineRule="auto"/>
        <w:rPr>
          <w:rFonts w:ascii="宋体"/>
          <w:color w:val="auto"/>
          <w:sz w:val="21"/>
        </w:rPr>
      </w:pPr>
    </w:p>
    <w:p w14:paraId="47062C65">
      <w:pPr>
        <w:spacing w:line="282" w:lineRule="auto"/>
        <w:rPr>
          <w:rFonts w:ascii="宋体"/>
          <w:color w:val="auto"/>
          <w:sz w:val="21"/>
        </w:rPr>
      </w:pPr>
    </w:p>
    <w:p w14:paraId="209F3066">
      <w:pPr>
        <w:spacing w:line="282" w:lineRule="auto"/>
        <w:rPr>
          <w:rFonts w:ascii="宋体"/>
          <w:color w:val="auto"/>
          <w:sz w:val="21"/>
        </w:rPr>
      </w:pPr>
    </w:p>
    <w:p w14:paraId="52164EE2">
      <w:pPr>
        <w:spacing w:before="78" w:line="185" w:lineRule="auto"/>
        <w:ind w:firstLine="523" w:firstLineChars="213"/>
        <w:rPr>
          <w:rFonts w:ascii="宋体" w:hAnsi="宋体" w:eastAsia="宋体" w:cs="宋体"/>
          <w:color w:val="auto"/>
          <w:sz w:val="24"/>
          <w:szCs w:val="24"/>
        </w:rPr>
      </w:pPr>
      <w:r>
        <w:rPr>
          <w:rFonts w:hint="eastAsia" w:ascii="宋体" w:hAnsi="宋体" w:eastAsia="宋体" w:cs="宋体"/>
          <w:color w:val="auto"/>
          <w:spacing w:val="3"/>
          <w:sz w:val="24"/>
          <w:szCs w:val="24"/>
          <w:lang w:val="en-US" w:eastAsia="zh-CN"/>
        </w:rPr>
        <w:t>征集对象</w:t>
      </w:r>
      <w:r>
        <w:rPr>
          <w:rFonts w:ascii="宋体" w:hAnsi="宋体" w:eastAsia="宋体" w:cs="宋体"/>
          <w:color w:val="auto"/>
          <w:spacing w:val="-68"/>
          <w:sz w:val="24"/>
          <w:szCs w:val="24"/>
        </w:rPr>
        <w:t>：</w:t>
      </w:r>
      <w:r>
        <w:rPr>
          <w:rFonts w:hint="eastAsia" w:ascii="宋体" w:hAnsi="宋体" w:eastAsia="宋体" w:cs="宋体"/>
          <w:color w:val="auto"/>
          <w:spacing w:val="3"/>
          <w:sz w:val="24"/>
          <w:szCs w:val="24"/>
          <w:lang w:val="en-US" w:eastAsia="zh-CN"/>
        </w:rPr>
        <w:t xml:space="preserve"> </w:t>
      </w:r>
      <w:r>
        <w:rPr>
          <w:rFonts w:hint="eastAsia" w:ascii="宋体" w:hAnsi="宋体" w:eastAsia="宋体" w:cs="宋体"/>
          <w:color w:val="auto"/>
          <w:spacing w:val="3"/>
          <w:sz w:val="24"/>
          <w:szCs w:val="24"/>
          <w:u w:val="single"/>
          <w:lang w:val="en-US" w:eastAsia="zh-CN"/>
        </w:rPr>
        <w:t xml:space="preserve">            </w:t>
      </w:r>
      <w:r>
        <w:rPr>
          <w:rFonts w:ascii="宋体" w:hAnsi="宋体" w:eastAsia="宋体" w:cs="宋体"/>
          <w:color w:val="auto"/>
          <w:spacing w:val="3"/>
          <w:sz w:val="24"/>
          <w:szCs w:val="24"/>
        </w:rPr>
        <w:t>（盖章</w:t>
      </w:r>
      <w:r>
        <w:rPr>
          <w:rFonts w:ascii="宋体" w:hAnsi="宋体" w:eastAsia="宋体" w:cs="宋体"/>
          <w:color w:val="auto"/>
          <w:spacing w:val="-68"/>
          <w:sz w:val="24"/>
          <w:szCs w:val="24"/>
        </w:rPr>
        <w:t>）</w:t>
      </w:r>
      <w:r>
        <w:rPr>
          <w:rFonts w:ascii="宋体" w:hAnsi="宋体" w:eastAsia="宋体" w:cs="宋体"/>
          <w:color w:val="auto"/>
          <w:spacing w:val="-18"/>
          <w:sz w:val="24"/>
          <w:szCs w:val="24"/>
        </w:rPr>
        <w:t xml:space="preserve"> </w:t>
      </w:r>
    </w:p>
    <w:p w14:paraId="070CE700">
      <w:pPr>
        <w:spacing w:line="298" w:lineRule="auto"/>
        <w:rPr>
          <w:rFonts w:ascii="宋体"/>
          <w:color w:val="auto"/>
          <w:sz w:val="21"/>
        </w:rPr>
      </w:pPr>
    </w:p>
    <w:p w14:paraId="694A90A6">
      <w:pPr>
        <w:spacing w:line="299" w:lineRule="auto"/>
        <w:rPr>
          <w:rFonts w:ascii="宋体"/>
          <w:color w:val="auto"/>
          <w:sz w:val="21"/>
        </w:rPr>
      </w:pPr>
    </w:p>
    <w:p w14:paraId="014C6C9E">
      <w:pPr>
        <w:spacing w:before="79" w:line="185" w:lineRule="auto"/>
        <w:ind w:firstLine="482"/>
        <w:rPr>
          <w:rFonts w:ascii="宋体" w:hAnsi="宋体" w:eastAsia="宋体" w:cs="宋体"/>
          <w:color w:val="auto"/>
          <w:sz w:val="24"/>
          <w:szCs w:val="24"/>
        </w:rPr>
      </w:pPr>
      <w:r>
        <w:rPr>
          <w:rFonts w:ascii="宋体" w:hAnsi="宋体" w:eastAsia="宋体" w:cs="宋体"/>
          <w:color w:val="auto"/>
          <w:spacing w:val="1"/>
          <w:sz w:val="24"/>
          <w:szCs w:val="24"/>
        </w:rPr>
        <w:t>法定代表人或被授权人（签字或印章</w:t>
      </w:r>
      <w:r>
        <w:rPr>
          <w:rFonts w:ascii="宋体" w:hAnsi="宋体" w:eastAsia="宋体" w:cs="宋体"/>
          <w:color w:val="auto"/>
          <w:spacing w:val="-64"/>
          <w:sz w:val="24"/>
          <w:szCs w:val="24"/>
        </w:rPr>
        <w:t>）</w:t>
      </w:r>
      <w:r>
        <w:rPr>
          <w:rFonts w:ascii="宋体" w:hAnsi="宋体" w:eastAsia="宋体" w:cs="宋体"/>
          <w:color w:val="auto"/>
          <w:spacing w:val="-19"/>
          <w:sz w:val="24"/>
          <w:szCs w:val="24"/>
        </w:rPr>
        <w:t xml:space="preserve"> </w:t>
      </w:r>
      <w:r>
        <w:rPr>
          <w:rFonts w:ascii="宋体" w:hAnsi="宋体" w:eastAsia="宋体" w:cs="宋体"/>
          <w:color w:val="auto"/>
          <w:spacing w:val="-64"/>
          <w:sz w:val="24"/>
          <w:szCs w:val="24"/>
        </w:rPr>
        <w:t>：</w:t>
      </w:r>
    </w:p>
    <w:p w14:paraId="03B64158">
      <w:pPr>
        <w:spacing w:line="246" w:lineRule="auto"/>
        <w:rPr>
          <w:rFonts w:ascii="宋体"/>
          <w:color w:val="auto"/>
          <w:sz w:val="21"/>
        </w:rPr>
      </w:pPr>
    </w:p>
    <w:p w14:paraId="53D7F6F8">
      <w:pPr>
        <w:spacing w:line="246" w:lineRule="auto"/>
        <w:rPr>
          <w:rFonts w:ascii="宋体"/>
          <w:color w:val="auto"/>
          <w:sz w:val="21"/>
        </w:rPr>
      </w:pPr>
    </w:p>
    <w:p w14:paraId="6BE6422E">
      <w:pPr>
        <w:spacing w:line="246" w:lineRule="auto"/>
        <w:rPr>
          <w:rFonts w:ascii="宋体"/>
          <w:color w:val="auto"/>
          <w:sz w:val="21"/>
        </w:rPr>
      </w:pPr>
    </w:p>
    <w:p w14:paraId="734306EA">
      <w:pPr>
        <w:spacing w:line="247" w:lineRule="auto"/>
        <w:rPr>
          <w:rFonts w:ascii="宋体"/>
          <w:color w:val="auto"/>
          <w:sz w:val="21"/>
        </w:rPr>
      </w:pPr>
    </w:p>
    <w:p w14:paraId="7D2EDF56">
      <w:pPr>
        <w:spacing w:line="247" w:lineRule="auto"/>
        <w:rPr>
          <w:rFonts w:ascii="宋体"/>
          <w:color w:val="auto"/>
          <w:sz w:val="21"/>
        </w:rPr>
      </w:pPr>
    </w:p>
    <w:p w14:paraId="0CF3EC23">
      <w:pPr>
        <w:spacing w:line="247" w:lineRule="auto"/>
        <w:rPr>
          <w:rFonts w:ascii="宋体"/>
          <w:color w:val="auto"/>
          <w:sz w:val="21"/>
        </w:rPr>
      </w:pPr>
    </w:p>
    <w:p w14:paraId="6356BBA5">
      <w:pPr>
        <w:spacing w:before="78" w:line="185" w:lineRule="auto"/>
        <w:ind w:firstLine="1802"/>
        <w:rPr>
          <w:rFonts w:ascii="宋体" w:hAnsi="宋体" w:eastAsia="宋体" w:cs="宋体"/>
          <w:color w:val="auto"/>
          <w:sz w:val="24"/>
          <w:szCs w:val="24"/>
        </w:rPr>
      </w:pPr>
      <w:r>
        <w:rPr>
          <w:rFonts w:ascii="宋体" w:hAnsi="宋体" w:eastAsia="宋体" w:cs="宋体"/>
          <w:color w:val="auto"/>
          <w:spacing w:val="-9"/>
          <w:sz w:val="24"/>
          <w:szCs w:val="24"/>
        </w:rPr>
        <w:t>年</w:t>
      </w:r>
      <w:r>
        <w:rPr>
          <w:rFonts w:ascii="宋体" w:hAnsi="宋体" w:eastAsia="宋体" w:cs="宋体"/>
          <w:color w:val="auto"/>
          <w:spacing w:val="4"/>
          <w:sz w:val="24"/>
          <w:szCs w:val="24"/>
        </w:rPr>
        <w:t xml:space="preserve">    </w:t>
      </w:r>
      <w:r>
        <w:rPr>
          <w:rFonts w:ascii="宋体" w:hAnsi="宋体" w:eastAsia="宋体" w:cs="宋体"/>
          <w:color w:val="auto"/>
          <w:spacing w:val="-9"/>
          <w:sz w:val="24"/>
          <w:szCs w:val="24"/>
        </w:rPr>
        <w:t>月</w:t>
      </w:r>
      <w:r>
        <w:rPr>
          <w:rFonts w:ascii="宋体" w:hAnsi="宋体" w:eastAsia="宋体" w:cs="宋体"/>
          <w:color w:val="auto"/>
          <w:spacing w:val="12"/>
          <w:sz w:val="24"/>
          <w:szCs w:val="24"/>
        </w:rPr>
        <w:t xml:space="preserve">    </w:t>
      </w:r>
      <w:r>
        <w:rPr>
          <w:rFonts w:ascii="宋体" w:hAnsi="宋体" w:eastAsia="宋体" w:cs="宋体"/>
          <w:color w:val="auto"/>
          <w:spacing w:val="-9"/>
          <w:sz w:val="24"/>
          <w:szCs w:val="24"/>
        </w:rPr>
        <w:t>日</w:t>
      </w:r>
    </w:p>
    <w:p w14:paraId="72F9F1B9">
      <w:pPr>
        <w:rPr>
          <w:color w:val="auto"/>
        </w:rPr>
        <w:sectPr>
          <w:footerReference r:id="rId15" w:type="default"/>
          <w:type w:val="continuous"/>
          <w:pgSz w:w="11911" w:h="16849"/>
          <w:pgMar w:top="1423" w:right="1361" w:bottom="1355" w:left="1480" w:header="1077" w:footer="1140" w:gutter="0"/>
          <w:pgNumType w:fmt="decimal"/>
          <w:cols w:space="0" w:num="1"/>
          <w:rtlGutter w:val="0"/>
          <w:docGrid w:linePitch="1" w:charSpace="0"/>
        </w:sectPr>
      </w:pPr>
    </w:p>
    <w:p w14:paraId="3958C41F">
      <w:pPr>
        <w:spacing w:before="104" w:line="185" w:lineRule="auto"/>
        <w:ind w:firstLine="3418"/>
        <w:outlineLvl w:val="0"/>
        <w:rPr>
          <w:rFonts w:ascii="宋体" w:hAnsi="宋体" w:eastAsia="宋体" w:cs="宋体"/>
          <w:b/>
          <w:bCs/>
          <w:color w:val="auto"/>
          <w:spacing w:val="-2"/>
          <w:sz w:val="32"/>
          <w:szCs w:val="32"/>
        </w:rPr>
      </w:pPr>
    </w:p>
    <w:p w14:paraId="1B671B82">
      <w:pPr>
        <w:spacing w:before="104" w:line="185" w:lineRule="auto"/>
        <w:ind w:firstLine="3418"/>
        <w:outlineLvl w:val="0"/>
        <w:rPr>
          <w:rFonts w:ascii="宋体" w:hAnsi="宋体" w:eastAsia="宋体" w:cs="宋体"/>
          <w:b/>
          <w:bCs/>
          <w:color w:val="auto"/>
          <w:spacing w:val="-2"/>
          <w:sz w:val="32"/>
          <w:szCs w:val="32"/>
        </w:rPr>
      </w:pPr>
    </w:p>
    <w:p w14:paraId="3AC04B59">
      <w:pPr>
        <w:spacing w:before="104" w:line="185" w:lineRule="auto"/>
        <w:ind w:firstLine="3418"/>
        <w:outlineLvl w:val="0"/>
        <w:rPr>
          <w:rFonts w:ascii="宋体" w:hAnsi="宋体" w:eastAsia="宋体" w:cs="宋体"/>
          <w:b/>
          <w:bCs/>
          <w:color w:val="auto"/>
          <w:spacing w:val="-2"/>
          <w:sz w:val="32"/>
          <w:szCs w:val="32"/>
        </w:rPr>
      </w:pPr>
    </w:p>
    <w:p w14:paraId="62472A2A">
      <w:pPr>
        <w:spacing w:before="104" w:line="185" w:lineRule="auto"/>
        <w:ind w:firstLine="3418"/>
        <w:outlineLvl w:val="0"/>
        <w:rPr>
          <w:rFonts w:ascii="宋体" w:hAnsi="宋体" w:eastAsia="宋体" w:cs="宋体"/>
          <w:b/>
          <w:bCs/>
          <w:color w:val="auto"/>
          <w:spacing w:val="-2"/>
          <w:sz w:val="32"/>
          <w:szCs w:val="32"/>
        </w:rPr>
      </w:pPr>
    </w:p>
    <w:p w14:paraId="62A975EC">
      <w:pPr>
        <w:spacing w:before="104" w:line="185" w:lineRule="auto"/>
        <w:ind w:firstLine="3418"/>
        <w:outlineLvl w:val="0"/>
        <w:rPr>
          <w:rFonts w:ascii="宋体" w:hAnsi="宋体" w:eastAsia="宋体" w:cs="宋体"/>
          <w:b/>
          <w:bCs/>
          <w:color w:val="auto"/>
          <w:spacing w:val="-2"/>
          <w:sz w:val="32"/>
          <w:szCs w:val="32"/>
        </w:rPr>
      </w:pPr>
    </w:p>
    <w:p w14:paraId="743F9E68">
      <w:pPr>
        <w:spacing w:before="104" w:line="185" w:lineRule="auto"/>
        <w:ind w:firstLine="3418"/>
        <w:outlineLvl w:val="0"/>
        <w:rPr>
          <w:rFonts w:ascii="宋体" w:hAnsi="宋体" w:eastAsia="宋体" w:cs="宋体"/>
          <w:b/>
          <w:bCs/>
          <w:color w:val="auto"/>
          <w:spacing w:val="-2"/>
          <w:sz w:val="32"/>
          <w:szCs w:val="32"/>
        </w:rPr>
      </w:pPr>
    </w:p>
    <w:p w14:paraId="0F30CDB5">
      <w:pPr>
        <w:spacing w:before="104" w:line="185" w:lineRule="auto"/>
        <w:ind w:firstLine="3418"/>
        <w:outlineLvl w:val="0"/>
        <w:rPr>
          <w:rFonts w:ascii="宋体" w:hAnsi="宋体" w:eastAsia="宋体" w:cs="宋体"/>
          <w:b/>
          <w:bCs/>
          <w:color w:val="auto"/>
          <w:spacing w:val="-2"/>
          <w:sz w:val="32"/>
          <w:szCs w:val="32"/>
        </w:rPr>
      </w:pPr>
    </w:p>
    <w:p w14:paraId="464081BE">
      <w:pPr>
        <w:spacing w:before="104" w:line="185" w:lineRule="auto"/>
        <w:ind w:firstLine="3418"/>
        <w:outlineLvl w:val="0"/>
        <w:rPr>
          <w:rFonts w:ascii="宋体" w:hAnsi="宋体" w:eastAsia="宋体" w:cs="宋体"/>
          <w:b/>
          <w:bCs/>
          <w:color w:val="auto"/>
          <w:spacing w:val="-2"/>
          <w:sz w:val="32"/>
          <w:szCs w:val="32"/>
        </w:rPr>
      </w:pPr>
    </w:p>
    <w:p w14:paraId="2149086D">
      <w:pPr>
        <w:spacing w:before="104" w:line="185" w:lineRule="auto"/>
        <w:ind w:firstLine="3418"/>
        <w:outlineLvl w:val="0"/>
        <w:rPr>
          <w:rFonts w:ascii="宋体" w:hAnsi="宋体" w:eastAsia="宋体" w:cs="宋体"/>
          <w:b/>
          <w:bCs/>
          <w:color w:val="auto"/>
          <w:spacing w:val="-2"/>
          <w:sz w:val="32"/>
          <w:szCs w:val="32"/>
        </w:rPr>
      </w:pPr>
    </w:p>
    <w:p w14:paraId="1899ED14">
      <w:pPr>
        <w:spacing w:before="104" w:line="185" w:lineRule="auto"/>
        <w:ind w:firstLine="3418"/>
        <w:outlineLvl w:val="0"/>
        <w:rPr>
          <w:rFonts w:ascii="宋体" w:hAnsi="宋体" w:eastAsia="宋体" w:cs="宋体"/>
          <w:b/>
          <w:bCs/>
          <w:color w:val="auto"/>
          <w:spacing w:val="-2"/>
          <w:sz w:val="32"/>
          <w:szCs w:val="32"/>
        </w:rPr>
      </w:pPr>
    </w:p>
    <w:p w14:paraId="518979B8">
      <w:pPr>
        <w:spacing w:before="104" w:line="185" w:lineRule="auto"/>
        <w:ind w:firstLine="3418"/>
        <w:outlineLvl w:val="0"/>
        <w:rPr>
          <w:rFonts w:ascii="宋体" w:hAnsi="宋体" w:eastAsia="宋体" w:cs="宋体"/>
          <w:b/>
          <w:bCs/>
          <w:color w:val="auto"/>
          <w:spacing w:val="-2"/>
          <w:sz w:val="32"/>
          <w:szCs w:val="32"/>
        </w:rPr>
      </w:pPr>
    </w:p>
    <w:p w14:paraId="076022E6">
      <w:pPr>
        <w:spacing w:before="104" w:line="185" w:lineRule="auto"/>
        <w:ind w:firstLine="3418"/>
        <w:outlineLvl w:val="0"/>
        <w:rPr>
          <w:rFonts w:ascii="宋体" w:hAnsi="宋体" w:eastAsia="宋体" w:cs="宋体"/>
          <w:b/>
          <w:bCs/>
          <w:color w:val="auto"/>
          <w:spacing w:val="-2"/>
          <w:sz w:val="32"/>
          <w:szCs w:val="32"/>
        </w:rPr>
      </w:pPr>
    </w:p>
    <w:p w14:paraId="7CE3C4A9">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rPr>
          <w:rFonts w:ascii="宋体" w:hAnsi="宋体" w:eastAsia="宋体" w:cs="宋体"/>
          <w:b/>
          <w:bCs/>
          <w:color w:val="auto"/>
          <w:sz w:val="28"/>
          <w:szCs w:val="28"/>
        </w:rPr>
      </w:pPr>
      <w:r>
        <w:rPr>
          <w:rFonts w:hint="eastAsia" w:ascii="宋体" w:hAnsi="宋体" w:eastAsia="宋体" w:cs="宋体"/>
          <w:b/>
          <w:bCs/>
          <w:color w:val="auto"/>
          <w:sz w:val="28"/>
          <w:szCs w:val="28"/>
          <w:lang w:val="en-US" w:eastAsia="zh-CN"/>
        </w:rPr>
        <w:t>(</w:t>
      </w:r>
      <w:r>
        <w:rPr>
          <w:rFonts w:hint="eastAsia" w:ascii="宋体" w:hAnsi="宋体" w:cs="宋体"/>
          <w:b/>
          <w:bCs/>
          <w:color w:val="auto"/>
          <w:sz w:val="28"/>
          <w:szCs w:val="28"/>
          <w:lang w:val="en-US" w:eastAsia="zh-CN"/>
        </w:rPr>
        <w:t>20</w:t>
      </w:r>
      <w:r>
        <w:rPr>
          <w:rFonts w:hint="eastAsia" w:ascii="宋体" w:hAnsi="宋体" w:eastAsia="宋体" w:cs="宋体"/>
          <w:b/>
          <w:bCs/>
          <w:color w:val="auto"/>
          <w:sz w:val="28"/>
          <w:szCs w:val="28"/>
          <w:lang w:val="en-US" w:eastAsia="zh-CN"/>
        </w:rPr>
        <w:t xml:space="preserve">) </w:t>
      </w:r>
      <w:r>
        <w:rPr>
          <w:rFonts w:ascii="宋体" w:hAnsi="宋体" w:eastAsia="宋体" w:cs="宋体"/>
          <w:b/>
          <w:bCs/>
          <w:color w:val="auto"/>
          <w:sz w:val="28"/>
          <w:szCs w:val="28"/>
        </w:rPr>
        <w:t>虚假应标承担责任声明等</w:t>
      </w:r>
    </w:p>
    <w:p w14:paraId="234232EE">
      <w:pPr>
        <w:spacing w:before="78" w:line="185" w:lineRule="auto"/>
        <w:ind w:firstLine="1"/>
        <w:rPr>
          <w:rFonts w:ascii="宋体" w:hAnsi="宋体" w:eastAsia="宋体" w:cs="宋体"/>
          <w:color w:val="auto"/>
          <w:spacing w:val="-12"/>
          <w:sz w:val="24"/>
          <w:szCs w:val="24"/>
        </w:rPr>
      </w:pPr>
    </w:p>
    <w:p w14:paraId="01F3E017">
      <w:pPr>
        <w:spacing w:before="78" w:line="185" w:lineRule="auto"/>
        <w:ind w:firstLine="1"/>
        <w:rPr>
          <w:rFonts w:hint="eastAsia" w:ascii="宋体" w:hAnsi="宋体" w:eastAsia="宋体" w:cs="宋体"/>
          <w:color w:val="auto"/>
          <w:spacing w:val="-12"/>
          <w:sz w:val="24"/>
          <w:szCs w:val="24"/>
          <w:lang w:eastAsia="zh-CN"/>
        </w:rPr>
      </w:pPr>
      <w:r>
        <w:rPr>
          <w:rFonts w:ascii="宋体" w:hAnsi="宋体" w:eastAsia="宋体" w:cs="宋体"/>
          <w:color w:val="auto"/>
          <w:spacing w:val="-12"/>
          <w:sz w:val="24"/>
          <w:szCs w:val="24"/>
        </w:rPr>
        <w:t>致：</w:t>
      </w:r>
      <w:r>
        <w:rPr>
          <w:rFonts w:hint="eastAsia" w:ascii="宋体" w:hAnsi="宋体" w:cs="宋体"/>
          <w:color w:val="auto"/>
          <w:spacing w:val="-12"/>
          <w:sz w:val="24"/>
          <w:szCs w:val="24"/>
          <w:lang w:eastAsia="zh-CN"/>
        </w:rPr>
        <w:t>新疆金斌工程项目管理有限公司</w:t>
      </w:r>
    </w:p>
    <w:p w14:paraId="7A174F6E">
      <w:pPr>
        <w:pStyle w:val="20"/>
      </w:pPr>
    </w:p>
    <w:p w14:paraId="7C2BE335">
      <w:pPr>
        <w:keepNext w:val="0"/>
        <w:keepLines w:val="0"/>
        <w:pageBreakBefore w:val="0"/>
        <w:widowControl w:val="0"/>
        <w:kinsoku/>
        <w:wordWrap/>
        <w:overflowPunct/>
        <w:topLinePunct w:val="0"/>
        <w:autoSpaceDE/>
        <w:autoSpaceDN/>
        <w:bidi w:val="0"/>
        <w:adjustRightInd/>
        <w:snapToGrid/>
        <w:spacing w:line="360" w:lineRule="auto"/>
        <w:ind w:left="0" w:firstLine="472" w:firstLineChars="200"/>
        <w:rPr>
          <w:rFonts w:ascii="宋体" w:hAnsi="宋体" w:eastAsia="宋体" w:cs="宋体"/>
          <w:color w:val="auto"/>
          <w:spacing w:val="-1"/>
          <w:sz w:val="24"/>
          <w:szCs w:val="24"/>
        </w:rPr>
      </w:pPr>
      <w:r>
        <w:rPr>
          <w:rFonts w:ascii="宋体" w:hAnsi="宋体" w:eastAsia="宋体" w:cs="宋体"/>
          <w:color w:val="auto"/>
          <w:spacing w:val="-2"/>
          <w:position w:val="19"/>
          <w:sz w:val="24"/>
          <w:szCs w:val="24"/>
        </w:rPr>
        <w:t>我公司认真阅读了</w:t>
      </w:r>
      <w:r>
        <w:rPr>
          <w:rFonts w:ascii="宋体" w:hAnsi="宋体" w:eastAsia="宋体" w:cs="宋体"/>
          <w:color w:val="auto"/>
          <w:position w:val="19"/>
          <w:sz w:val="24"/>
          <w:szCs w:val="24"/>
          <w:u w:val="single" w:color="auto"/>
        </w:rPr>
        <w:t xml:space="preserve">                                  </w:t>
      </w:r>
      <w:r>
        <w:rPr>
          <w:rFonts w:ascii="宋体" w:hAnsi="宋体" w:eastAsia="宋体" w:cs="宋体"/>
          <w:color w:val="auto"/>
          <w:spacing w:val="-2"/>
          <w:position w:val="19"/>
          <w:sz w:val="24"/>
          <w:szCs w:val="24"/>
        </w:rPr>
        <w:t>项目征集文件的内容后，</w:t>
      </w:r>
      <w:r>
        <w:rPr>
          <w:rFonts w:ascii="宋体" w:hAnsi="宋体" w:eastAsia="宋体" w:cs="宋体"/>
          <w:color w:val="auto"/>
          <w:spacing w:val="-1"/>
          <w:sz w:val="24"/>
          <w:szCs w:val="24"/>
        </w:rPr>
        <w:t>决定参加该项目的投标，现承诺如下：</w:t>
      </w:r>
    </w:p>
    <w:p w14:paraId="2F6606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 w:leftChars="0" w:firstLine="452" w:firstLineChars="200"/>
        <w:rPr>
          <w:rFonts w:ascii="宋体" w:hAnsi="宋体" w:eastAsia="宋体" w:cs="宋体"/>
          <w:color w:val="auto"/>
          <w:spacing w:val="-3"/>
          <w:sz w:val="24"/>
          <w:szCs w:val="24"/>
        </w:rPr>
      </w:pPr>
      <w:r>
        <w:rPr>
          <w:rFonts w:hint="eastAsia" w:ascii="宋体" w:hAnsi="宋体" w:eastAsia="宋体" w:cs="宋体"/>
          <w:color w:val="auto"/>
          <w:spacing w:val="-7"/>
          <w:sz w:val="24"/>
          <w:szCs w:val="24"/>
          <w:lang w:val="en-US" w:eastAsia="zh-CN"/>
        </w:rPr>
        <w:t>1、</w:t>
      </w:r>
      <w:r>
        <w:rPr>
          <w:rFonts w:ascii="宋体" w:hAnsi="宋体" w:eastAsia="宋体" w:cs="宋体"/>
          <w:color w:val="auto"/>
          <w:spacing w:val="-7"/>
          <w:sz w:val="24"/>
          <w:szCs w:val="24"/>
        </w:rPr>
        <w:t>自觉遵守《中华人民共和国招标投标法》</w:t>
      </w:r>
      <w:r>
        <w:rPr>
          <w:rFonts w:ascii="宋体" w:hAnsi="宋体" w:eastAsia="宋体" w:cs="宋体"/>
          <w:color w:val="auto"/>
          <w:spacing w:val="-1"/>
          <w:sz w:val="24"/>
          <w:szCs w:val="24"/>
        </w:rPr>
        <w:t xml:space="preserve"> </w:t>
      </w:r>
      <w:r>
        <w:rPr>
          <w:rFonts w:ascii="宋体" w:hAnsi="宋体" w:eastAsia="宋体" w:cs="宋体"/>
          <w:color w:val="auto"/>
          <w:spacing w:val="-7"/>
          <w:sz w:val="24"/>
          <w:szCs w:val="24"/>
        </w:rPr>
        <w:t>及《政府采购法》</w:t>
      </w:r>
      <w:r>
        <w:rPr>
          <w:rFonts w:ascii="宋体" w:hAnsi="宋体" w:eastAsia="宋体" w:cs="宋体"/>
          <w:color w:val="auto"/>
          <w:spacing w:val="-1"/>
          <w:sz w:val="24"/>
          <w:szCs w:val="24"/>
        </w:rPr>
        <w:t xml:space="preserve"> </w:t>
      </w:r>
      <w:r>
        <w:rPr>
          <w:rFonts w:ascii="宋体" w:hAnsi="宋体" w:eastAsia="宋体" w:cs="宋体"/>
          <w:color w:val="auto"/>
          <w:spacing w:val="-7"/>
          <w:sz w:val="24"/>
          <w:szCs w:val="24"/>
        </w:rPr>
        <w:t>等相关法律法规和</w:t>
      </w:r>
      <w:r>
        <w:rPr>
          <w:rFonts w:ascii="宋体" w:hAnsi="宋体" w:eastAsia="宋体" w:cs="宋体"/>
          <w:color w:val="auto"/>
          <w:spacing w:val="-3"/>
          <w:sz w:val="24"/>
          <w:szCs w:val="24"/>
        </w:rPr>
        <w:t>规章制度。</w:t>
      </w:r>
    </w:p>
    <w:p w14:paraId="40646D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 w:leftChars="0" w:firstLine="476" w:firstLineChars="200"/>
        <w:rPr>
          <w:rFonts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2、</w:t>
      </w:r>
      <w:r>
        <w:rPr>
          <w:rFonts w:ascii="宋体" w:hAnsi="宋体" w:eastAsia="宋体" w:cs="宋体"/>
          <w:color w:val="auto"/>
          <w:spacing w:val="-1"/>
          <w:sz w:val="24"/>
          <w:szCs w:val="24"/>
        </w:rPr>
        <w:t>严格遵循公开、公平、公正和诚实信用的原则。</w:t>
      </w:r>
    </w:p>
    <w:p w14:paraId="5F890B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 w:leftChars="0" w:firstLine="476" w:firstLineChars="200"/>
        <w:rPr>
          <w:rFonts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3、</w:t>
      </w:r>
      <w:r>
        <w:rPr>
          <w:rFonts w:ascii="宋体" w:hAnsi="宋体" w:eastAsia="宋体" w:cs="宋体"/>
          <w:color w:val="auto"/>
          <w:spacing w:val="-1"/>
          <w:sz w:val="24"/>
          <w:szCs w:val="24"/>
        </w:rPr>
        <w:t>所提供的一切材料真实、有效、合法。</w:t>
      </w:r>
    </w:p>
    <w:p w14:paraId="27F771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 w:leftChars="0" w:firstLine="476" w:firstLineChars="200"/>
        <w:rPr>
          <w:rFonts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4、</w:t>
      </w:r>
      <w:r>
        <w:rPr>
          <w:rFonts w:ascii="宋体" w:hAnsi="宋体" w:eastAsia="宋体" w:cs="宋体"/>
          <w:color w:val="auto"/>
          <w:spacing w:val="-1"/>
          <w:sz w:val="24"/>
          <w:szCs w:val="24"/>
        </w:rPr>
        <w:t>不以他人名义投标或以其他方式弄虚作假，骗取中标。</w:t>
      </w:r>
    </w:p>
    <w:p w14:paraId="2C2DEC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 w:leftChars="0" w:firstLine="476" w:firstLineChars="200"/>
        <w:rPr>
          <w:rFonts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5、</w:t>
      </w:r>
      <w:r>
        <w:rPr>
          <w:rFonts w:ascii="宋体" w:hAnsi="宋体" w:eastAsia="宋体" w:cs="宋体"/>
          <w:color w:val="auto"/>
          <w:spacing w:val="-1"/>
          <w:sz w:val="24"/>
          <w:szCs w:val="24"/>
        </w:rPr>
        <w:t>不搞围标、串标，不排挤、损害其他供应商利益</w:t>
      </w:r>
    </w:p>
    <w:p w14:paraId="69E62A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 w:leftChars="0" w:firstLine="484" w:firstLineChars="200"/>
        <w:rPr>
          <w:rFonts w:ascii="宋体" w:hAnsi="宋体" w:eastAsia="宋体" w:cs="宋体"/>
          <w:color w:val="auto"/>
          <w:spacing w:val="-5"/>
          <w:sz w:val="24"/>
          <w:szCs w:val="24"/>
        </w:rPr>
      </w:pPr>
      <w:r>
        <w:rPr>
          <w:rFonts w:hint="eastAsia" w:ascii="宋体" w:hAnsi="宋体" w:eastAsia="宋体" w:cs="宋体"/>
          <w:color w:val="auto"/>
          <w:spacing w:val="1"/>
          <w:sz w:val="24"/>
          <w:szCs w:val="24"/>
          <w:lang w:val="en-US" w:eastAsia="zh-CN"/>
        </w:rPr>
        <w:t>6、</w:t>
      </w:r>
      <w:r>
        <w:rPr>
          <w:rFonts w:ascii="宋体" w:hAnsi="宋体" w:eastAsia="宋体" w:cs="宋体"/>
          <w:color w:val="auto"/>
          <w:spacing w:val="1"/>
          <w:sz w:val="24"/>
          <w:szCs w:val="24"/>
        </w:rPr>
        <w:t>不与征集人、招标代理机构串通投标，损害国家利益、社会公共利益和其他人</w:t>
      </w:r>
      <w:r>
        <w:rPr>
          <w:rFonts w:ascii="宋体" w:hAnsi="宋体" w:eastAsia="宋体" w:cs="宋体"/>
          <w:color w:val="auto"/>
          <w:spacing w:val="-5"/>
          <w:sz w:val="24"/>
          <w:szCs w:val="24"/>
        </w:rPr>
        <w:t>的合法利益。</w:t>
      </w:r>
    </w:p>
    <w:p w14:paraId="0B8F51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 w:leftChars="0" w:firstLine="476" w:firstLineChars="200"/>
        <w:rPr>
          <w:rFonts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7、</w:t>
      </w:r>
      <w:r>
        <w:rPr>
          <w:rFonts w:ascii="宋体" w:hAnsi="宋体" w:eastAsia="宋体" w:cs="宋体"/>
          <w:color w:val="auto"/>
          <w:spacing w:val="-1"/>
          <w:sz w:val="24"/>
          <w:szCs w:val="24"/>
        </w:rPr>
        <w:t>不向征集人、招标代理机构或评标委员会成员行贿以谋取中标。</w:t>
      </w:r>
    </w:p>
    <w:p w14:paraId="4278DF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72" w:firstLineChars="200"/>
        <w:rPr>
          <w:rFonts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8、</w:t>
      </w:r>
      <w:r>
        <w:rPr>
          <w:rFonts w:ascii="宋体" w:hAnsi="宋体" w:eastAsia="宋体" w:cs="宋体"/>
          <w:color w:val="auto"/>
          <w:spacing w:val="-2"/>
          <w:sz w:val="24"/>
          <w:szCs w:val="24"/>
        </w:rPr>
        <w:t>保证中标后严格履行合同，绝不分包、转包他人。</w:t>
      </w:r>
    </w:p>
    <w:p w14:paraId="119208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76" w:firstLineChars="200"/>
        <w:rPr>
          <w:rFonts w:ascii="宋体" w:hAnsi="宋体" w:eastAsia="宋体" w:cs="宋体"/>
          <w:color w:val="auto"/>
          <w:sz w:val="24"/>
          <w:szCs w:val="24"/>
        </w:rPr>
      </w:pPr>
      <w:r>
        <w:rPr>
          <w:rFonts w:hint="eastAsia" w:ascii="宋体" w:hAnsi="宋体" w:eastAsia="宋体" w:cs="宋体"/>
          <w:color w:val="auto"/>
          <w:spacing w:val="-1"/>
          <w:sz w:val="24"/>
          <w:szCs w:val="24"/>
          <w:lang w:val="en-US" w:eastAsia="zh-CN"/>
        </w:rPr>
        <w:t>9、</w:t>
      </w:r>
      <w:r>
        <w:rPr>
          <w:rFonts w:ascii="宋体" w:hAnsi="宋体" w:eastAsia="宋体" w:cs="宋体"/>
          <w:color w:val="auto"/>
          <w:spacing w:val="-1"/>
          <w:sz w:val="24"/>
          <w:szCs w:val="24"/>
        </w:rPr>
        <w:t>本公司若有违反承诺内容的行为，自愿接受取消投标资格（中标资格</w:t>
      </w:r>
      <w:r>
        <w:rPr>
          <w:rFonts w:ascii="宋体" w:hAnsi="宋体" w:eastAsia="宋体" w:cs="宋体"/>
          <w:color w:val="auto"/>
          <w:spacing w:val="-72"/>
          <w:sz w:val="24"/>
          <w:szCs w:val="24"/>
        </w:rPr>
        <w:t>）</w:t>
      </w:r>
      <w:r>
        <w:rPr>
          <w:rFonts w:ascii="宋体" w:hAnsi="宋体" w:eastAsia="宋体" w:cs="宋体"/>
          <w:color w:val="auto"/>
          <w:spacing w:val="-3"/>
          <w:sz w:val="24"/>
          <w:szCs w:val="24"/>
        </w:rPr>
        <w:t xml:space="preserve"> </w:t>
      </w:r>
      <w:r>
        <w:rPr>
          <w:rFonts w:ascii="宋体" w:hAnsi="宋体" w:eastAsia="宋体" w:cs="宋体"/>
          <w:color w:val="auto"/>
          <w:spacing w:val="-72"/>
          <w:sz w:val="24"/>
          <w:szCs w:val="24"/>
        </w:rPr>
        <w:t>，</w:t>
      </w:r>
      <w:r>
        <w:rPr>
          <w:rFonts w:ascii="宋体" w:hAnsi="宋体" w:eastAsia="宋体" w:cs="宋体"/>
          <w:color w:val="auto"/>
          <w:spacing w:val="-1"/>
          <w:sz w:val="24"/>
          <w:szCs w:val="24"/>
        </w:rPr>
        <w:t>记入信用档案、没收保证金等相关处理，愿意承担相关法律责任。</w:t>
      </w:r>
    </w:p>
    <w:p w14:paraId="58EBE178">
      <w:pPr>
        <w:keepNext w:val="0"/>
        <w:keepLines w:val="0"/>
        <w:pageBreakBefore w:val="0"/>
        <w:widowControl w:val="0"/>
        <w:kinsoku/>
        <w:wordWrap/>
        <w:overflowPunct/>
        <w:topLinePunct w:val="0"/>
        <w:autoSpaceDE/>
        <w:autoSpaceDN/>
        <w:bidi w:val="0"/>
        <w:adjustRightInd/>
        <w:snapToGrid/>
        <w:spacing w:line="360" w:lineRule="auto"/>
        <w:ind w:left="0"/>
        <w:rPr>
          <w:rFonts w:ascii="宋体"/>
          <w:color w:val="auto"/>
          <w:sz w:val="21"/>
        </w:rPr>
      </w:pPr>
    </w:p>
    <w:p w14:paraId="1F0E48A5">
      <w:pPr>
        <w:spacing w:before="78" w:line="185" w:lineRule="auto"/>
        <w:ind w:firstLine="3721" w:firstLineChars="1513"/>
        <w:rPr>
          <w:rFonts w:ascii="宋体" w:hAnsi="宋体" w:eastAsia="宋体" w:cs="宋体"/>
          <w:color w:val="auto"/>
          <w:sz w:val="24"/>
          <w:szCs w:val="24"/>
        </w:rPr>
      </w:pPr>
      <w:r>
        <w:rPr>
          <w:rFonts w:hint="eastAsia" w:ascii="宋体" w:hAnsi="宋体" w:eastAsia="宋体" w:cs="宋体"/>
          <w:color w:val="auto"/>
          <w:spacing w:val="3"/>
          <w:sz w:val="24"/>
          <w:szCs w:val="24"/>
          <w:lang w:val="en-US" w:eastAsia="zh-CN"/>
        </w:rPr>
        <w:t>征集对象</w:t>
      </w:r>
      <w:r>
        <w:rPr>
          <w:rFonts w:ascii="宋体" w:hAnsi="宋体" w:eastAsia="宋体" w:cs="宋体"/>
          <w:color w:val="auto"/>
          <w:spacing w:val="-68"/>
          <w:sz w:val="24"/>
          <w:szCs w:val="24"/>
        </w:rPr>
        <w:t>：</w:t>
      </w:r>
      <w:r>
        <w:rPr>
          <w:rFonts w:hint="eastAsia" w:ascii="宋体" w:hAnsi="宋体" w:eastAsia="宋体" w:cs="宋体"/>
          <w:color w:val="auto"/>
          <w:spacing w:val="3"/>
          <w:sz w:val="24"/>
          <w:szCs w:val="24"/>
          <w:lang w:val="en-US" w:eastAsia="zh-CN"/>
        </w:rPr>
        <w:t xml:space="preserve"> </w:t>
      </w:r>
      <w:r>
        <w:rPr>
          <w:rFonts w:hint="eastAsia" w:ascii="宋体" w:hAnsi="宋体" w:eastAsia="宋体" w:cs="宋体"/>
          <w:color w:val="auto"/>
          <w:spacing w:val="3"/>
          <w:sz w:val="24"/>
          <w:szCs w:val="24"/>
          <w:u w:val="single"/>
          <w:lang w:val="en-US" w:eastAsia="zh-CN"/>
        </w:rPr>
        <w:t xml:space="preserve">            </w:t>
      </w:r>
      <w:r>
        <w:rPr>
          <w:rFonts w:ascii="宋体" w:hAnsi="宋体" w:eastAsia="宋体" w:cs="宋体"/>
          <w:color w:val="auto"/>
          <w:spacing w:val="3"/>
          <w:sz w:val="24"/>
          <w:szCs w:val="24"/>
        </w:rPr>
        <w:t>（盖章</w:t>
      </w:r>
      <w:r>
        <w:rPr>
          <w:rFonts w:ascii="宋体" w:hAnsi="宋体" w:eastAsia="宋体" w:cs="宋体"/>
          <w:color w:val="auto"/>
          <w:spacing w:val="-68"/>
          <w:sz w:val="24"/>
          <w:szCs w:val="24"/>
        </w:rPr>
        <w:t>）</w:t>
      </w:r>
      <w:r>
        <w:rPr>
          <w:rFonts w:ascii="宋体" w:hAnsi="宋体" w:eastAsia="宋体" w:cs="宋体"/>
          <w:color w:val="auto"/>
          <w:spacing w:val="-18"/>
          <w:sz w:val="24"/>
          <w:szCs w:val="24"/>
        </w:rPr>
        <w:t xml:space="preserve"> </w:t>
      </w:r>
    </w:p>
    <w:p w14:paraId="152D308C">
      <w:pPr>
        <w:spacing w:before="321" w:line="185" w:lineRule="auto"/>
        <w:ind w:firstLine="3630" w:firstLineChars="1500"/>
        <w:rPr>
          <w:rFonts w:ascii="宋体" w:hAnsi="宋体" w:eastAsia="宋体" w:cs="宋体"/>
          <w:color w:val="auto"/>
          <w:sz w:val="24"/>
          <w:szCs w:val="24"/>
        </w:rPr>
      </w:pPr>
      <w:r>
        <w:rPr>
          <w:rFonts w:ascii="宋体" w:hAnsi="宋体" w:eastAsia="宋体" w:cs="宋体"/>
          <w:color w:val="auto"/>
          <w:spacing w:val="1"/>
          <w:sz w:val="24"/>
          <w:szCs w:val="24"/>
        </w:rPr>
        <w:t>法定代表人或被授权人（签字或印章</w:t>
      </w:r>
      <w:r>
        <w:rPr>
          <w:rFonts w:ascii="宋体" w:hAnsi="宋体" w:eastAsia="宋体" w:cs="宋体"/>
          <w:color w:val="auto"/>
          <w:spacing w:val="-64"/>
          <w:sz w:val="24"/>
          <w:szCs w:val="24"/>
        </w:rPr>
        <w:t>）</w:t>
      </w:r>
      <w:r>
        <w:rPr>
          <w:rFonts w:ascii="宋体" w:hAnsi="宋体" w:eastAsia="宋体" w:cs="宋体"/>
          <w:color w:val="auto"/>
          <w:spacing w:val="-19"/>
          <w:sz w:val="24"/>
          <w:szCs w:val="24"/>
        </w:rPr>
        <w:t xml:space="preserve"> </w:t>
      </w:r>
      <w:r>
        <w:rPr>
          <w:rFonts w:ascii="宋体" w:hAnsi="宋体" w:eastAsia="宋体" w:cs="宋体"/>
          <w:color w:val="auto"/>
          <w:spacing w:val="-64"/>
          <w:sz w:val="24"/>
          <w:szCs w:val="24"/>
        </w:rPr>
        <w:t>：</w:t>
      </w:r>
    </w:p>
    <w:p w14:paraId="519F8744">
      <w:pPr>
        <w:spacing w:before="319" w:line="185" w:lineRule="auto"/>
        <w:ind w:firstLine="3936"/>
        <w:rPr>
          <w:rFonts w:ascii="宋体" w:hAnsi="宋体" w:eastAsia="宋体" w:cs="宋体"/>
          <w:color w:val="auto"/>
          <w:sz w:val="24"/>
          <w:szCs w:val="24"/>
        </w:rPr>
      </w:pPr>
      <w:r>
        <w:rPr>
          <w:rFonts w:ascii="宋体" w:hAnsi="宋体" w:eastAsia="宋体" w:cs="宋体"/>
          <w:color w:val="auto"/>
          <w:spacing w:val="-9"/>
          <w:sz w:val="24"/>
          <w:szCs w:val="24"/>
        </w:rPr>
        <w:t>年</w:t>
      </w:r>
      <w:r>
        <w:rPr>
          <w:rFonts w:ascii="宋体" w:hAnsi="宋体" w:eastAsia="宋体" w:cs="宋体"/>
          <w:color w:val="auto"/>
          <w:spacing w:val="8"/>
          <w:sz w:val="24"/>
          <w:szCs w:val="24"/>
        </w:rPr>
        <w:t xml:space="preserve">  </w:t>
      </w:r>
      <w:r>
        <w:rPr>
          <w:rFonts w:ascii="宋体" w:hAnsi="宋体" w:eastAsia="宋体" w:cs="宋体"/>
          <w:color w:val="auto"/>
          <w:spacing w:val="-9"/>
          <w:sz w:val="24"/>
          <w:szCs w:val="24"/>
        </w:rPr>
        <w:t>月</w:t>
      </w:r>
      <w:r>
        <w:rPr>
          <w:rFonts w:ascii="宋体" w:hAnsi="宋体" w:eastAsia="宋体" w:cs="宋体"/>
          <w:color w:val="auto"/>
          <w:spacing w:val="25"/>
          <w:sz w:val="24"/>
          <w:szCs w:val="24"/>
        </w:rPr>
        <w:t xml:space="preserve">  </w:t>
      </w:r>
      <w:r>
        <w:rPr>
          <w:rFonts w:ascii="宋体" w:hAnsi="宋体" w:eastAsia="宋体" w:cs="宋体"/>
          <w:color w:val="auto"/>
          <w:spacing w:val="-9"/>
          <w:sz w:val="24"/>
          <w:szCs w:val="24"/>
        </w:rPr>
        <w:t>日</w:t>
      </w:r>
    </w:p>
    <w:p w14:paraId="1FF4A478">
      <w:pPr>
        <w:spacing w:before="104" w:line="185" w:lineRule="auto"/>
        <w:outlineLvl w:val="0"/>
        <w:rPr>
          <w:rFonts w:hint="eastAsia" w:ascii="宋体" w:hAnsi="宋体" w:eastAsia="宋体" w:cs="宋体"/>
          <w:color w:val="auto"/>
          <w:spacing w:val="-2"/>
          <w:sz w:val="32"/>
          <w:szCs w:val="32"/>
          <w:lang w:eastAsia="zh-CN"/>
        </w:rPr>
      </w:pPr>
    </w:p>
    <w:p w14:paraId="5DFC3A94">
      <w:pPr>
        <w:pStyle w:val="20"/>
        <w:rPr>
          <w:rFonts w:hint="eastAsia"/>
          <w:color w:val="auto"/>
          <w:lang w:eastAsia="zh-CN"/>
        </w:rPr>
      </w:pPr>
    </w:p>
    <w:p w14:paraId="4410DF7A">
      <w:pPr>
        <w:spacing w:before="104" w:line="185" w:lineRule="auto"/>
        <w:outlineLvl w:val="0"/>
        <w:rPr>
          <w:rFonts w:ascii="宋体"/>
          <w:color w:val="auto"/>
          <w:sz w:val="21"/>
        </w:rPr>
      </w:pPr>
    </w:p>
    <w:p w14:paraId="1A1D37F1">
      <w:pPr>
        <w:pStyle w:val="20"/>
        <w:rPr>
          <w:rFonts w:ascii="宋体"/>
          <w:color w:val="auto"/>
          <w:sz w:val="21"/>
        </w:rPr>
      </w:pPr>
    </w:p>
    <w:p w14:paraId="1CB5CCC5">
      <w:pPr>
        <w:pStyle w:val="14"/>
        <w:rPr>
          <w:rFonts w:ascii="宋体"/>
          <w:color w:val="auto"/>
          <w:sz w:val="21"/>
        </w:rPr>
      </w:pPr>
    </w:p>
    <w:p w14:paraId="1487E552">
      <w:pPr>
        <w:rPr>
          <w:rFonts w:ascii="宋体"/>
          <w:color w:val="auto"/>
          <w:sz w:val="21"/>
        </w:rPr>
      </w:pPr>
    </w:p>
    <w:p w14:paraId="27C8D095">
      <w:pPr>
        <w:pStyle w:val="20"/>
        <w:rPr>
          <w:rFonts w:ascii="宋体"/>
          <w:color w:val="auto"/>
          <w:sz w:val="21"/>
        </w:rPr>
      </w:pPr>
    </w:p>
    <w:p w14:paraId="4FC53017">
      <w:pPr>
        <w:pStyle w:val="14"/>
        <w:rPr>
          <w:rFonts w:ascii="宋体"/>
          <w:color w:val="auto"/>
          <w:sz w:val="21"/>
        </w:rPr>
      </w:pPr>
    </w:p>
    <w:p w14:paraId="22911DAA">
      <w:pPr>
        <w:rPr>
          <w:rFonts w:ascii="宋体"/>
          <w:color w:val="auto"/>
          <w:sz w:val="21"/>
        </w:rPr>
      </w:pPr>
    </w:p>
    <w:p w14:paraId="0C1CC579">
      <w:pPr>
        <w:pStyle w:val="20"/>
        <w:rPr>
          <w:rFonts w:ascii="宋体"/>
          <w:color w:val="auto"/>
          <w:sz w:val="21"/>
        </w:rPr>
      </w:pPr>
    </w:p>
    <w:p w14:paraId="3CDD391F">
      <w:pPr>
        <w:pStyle w:val="14"/>
        <w:rPr>
          <w:rFonts w:ascii="宋体"/>
          <w:color w:val="auto"/>
          <w:sz w:val="21"/>
        </w:rPr>
      </w:pPr>
    </w:p>
    <w:p w14:paraId="17AFFD8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rPr>
          <w:rFonts w:hint="eastAsia" w:ascii="宋体" w:hAnsi="宋体" w:eastAsia="宋体" w:cs="宋体"/>
          <w:color w:val="auto"/>
          <w:sz w:val="24"/>
          <w:szCs w:val="24"/>
          <w:lang w:val="en-US" w:eastAsia="zh-CN"/>
        </w:rPr>
      </w:pPr>
    </w:p>
    <w:p w14:paraId="676215D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jc w:val="both"/>
        <w:rPr>
          <w:rFonts w:hint="eastAsia" w:ascii="宋体" w:hAnsi="宋体" w:eastAsia="宋体" w:cs="宋体"/>
          <w:b/>
          <w:bCs/>
          <w:color w:val="auto"/>
          <w:sz w:val="28"/>
          <w:szCs w:val="28"/>
          <w:lang w:val="en-US" w:eastAsia="zh-CN"/>
        </w:rPr>
      </w:pPr>
    </w:p>
    <w:p w14:paraId="4B24F1A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right="0" w:rightChars="0"/>
        <w:jc w:val="center"/>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（21）</w:t>
      </w:r>
      <w:r>
        <w:rPr>
          <w:rFonts w:hint="eastAsia" w:ascii="宋体" w:hAnsi="宋体" w:eastAsia="宋体" w:cs="宋体"/>
          <w:b/>
          <w:bCs/>
          <w:color w:val="auto"/>
          <w:sz w:val="28"/>
          <w:szCs w:val="28"/>
          <w:lang w:val="en-US" w:eastAsia="zh-CN"/>
        </w:rPr>
        <w:t>委托人需要咨询人的技术负责人全天候提供造价咨询方面的有关</w:t>
      </w:r>
    </w:p>
    <w:p w14:paraId="6AD8023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right="0" w:rightChars="0"/>
        <w:jc w:val="cente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服务的承诺函</w:t>
      </w:r>
    </w:p>
    <w:p w14:paraId="3578FED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jc w:val="center"/>
        <w:rPr>
          <w:rFonts w:hint="eastAsia" w:ascii="宋体" w:hAnsi="宋体" w:eastAsia="宋体" w:cs="宋体"/>
          <w:b/>
          <w:bCs/>
          <w:color w:val="auto"/>
          <w:sz w:val="28"/>
          <w:szCs w:val="28"/>
          <w:lang w:val="en-US" w:eastAsia="zh-CN"/>
        </w:rPr>
      </w:pPr>
    </w:p>
    <w:p w14:paraId="2BF242A1">
      <w:pPr>
        <w:pStyle w:val="20"/>
        <w:jc w:val="center"/>
        <w:rPr>
          <w:rFonts w:hint="default"/>
          <w:sz w:val="30"/>
          <w:szCs w:val="30"/>
          <w:lang w:val="en-US" w:eastAsia="zh-CN"/>
        </w:rPr>
      </w:pPr>
      <w:r>
        <w:rPr>
          <w:rFonts w:hint="eastAsia"/>
          <w:sz w:val="30"/>
          <w:szCs w:val="30"/>
          <w:lang w:val="en-US" w:eastAsia="zh-CN"/>
        </w:rPr>
        <w:t>格式自拟</w:t>
      </w:r>
    </w:p>
    <w:p w14:paraId="2226A06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jc w:val="center"/>
        <w:rPr>
          <w:rFonts w:hint="eastAsia" w:ascii="宋体" w:hAnsi="宋体" w:eastAsia="宋体" w:cs="宋体"/>
          <w:b/>
          <w:bCs/>
          <w:color w:val="auto"/>
          <w:sz w:val="28"/>
          <w:szCs w:val="28"/>
          <w:lang w:val="en-US" w:eastAsia="zh-CN"/>
        </w:rPr>
      </w:pPr>
    </w:p>
    <w:p w14:paraId="681B4FF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jc w:val="center"/>
        <w:rPr>
          <w:rFonts w:hint="eastAsia" w:ascii="宋体" w:hAnsi="宋体" w:eastAsia="宋体" w:cs="宋体"/>
          <w:b/>
          <w:bCs/>
          <w:color w:val="auto"/>
          <w:sz w:val="28"/>
          <w:szCs w:val="28"/>
          <w:lang w:val="en-US" w:eastAsia="zh-CN"/>
        </w:rPr>
      </w:pPr>
    </w:p>
    <w:p w14:paraId="6B8F079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jc w:val="center"/>
        <w:rPr>
          <w:rFonts w:hint="eastAsia" w:ascii="宋体" w:hAnsi="宋体" w:eastAsia="宋体" w:cs="宋体"/>
          <w:b/>
          <w:bCs/>
          <w:color w:val="auto"/>
          <w:sz w:val="28"/>
          <w:szCs w:val="28"/>
          <w:lang w:val="en-US" w:eastAsia="zh-CN"/>
        </w:rPr>
      </w:pPr>
    </w:p>
    <w:p w14:paraId="2AA94E5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jc w:val="center"/>
        <w:rPr>
          <w:rFonts w:hint="eastAsia" w:ascii="宋体" w:hAnsi="宋体" w:eastAsia="宋体" w:cs="宋体"/>
          <w:b/>
          <w:bCs/>
          <w:color w:val="auto"/>
          <w:sz w:val="28"/>
          <w:szCs w:val="28"/>
          <w:lang w:val="en-US" w:eastAsia="zh-CN"/>
        </w:rPr>
      </w:pPr>
    </w:p>
    <w:p w14:paraId="1EA1DB6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jc w:val="center"/>
        <w:rPr>
          <w:rFonts w:hint="eastAsia" w:ascii="宋体" w:hAnsi="宋体" w:eastAsia="宋体" w:cs="宋体"/>
          <w:b/>
          <w:bCs/>
          <w:color w:val="auto"/>
          <w:sz w:val="28"/>
          <w:szCs w:val="28"/>
          <w:lang w:val="en-US" w:eastAsia="zh-CN"/>
        </w:rPr>
      </w:pPr>
    </w:p>
    <w:p w14:paraId="2110506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jc w:val="center"/>
        <w:rPr>
          <w:rFonts w:hint="eastAsia" w:ascii="宋体" w:hAnsi="宋体" w:eastAsia="宋体" w:cs="宋体"/>
          <w:b/>
          <w:bCs/>
          <w:color w:val="auto"/>
          <w:sz w:val="28"/>
          <w:szCs w:val="28"/>
          <w:lang w:val="en-US" w:eastAsia="zh-CN"/>
        </w:rPr>
      </w:pPr>
    </w:p>
    <w:p w14:paraId="7B00B64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jc w:val="center"/>
        <w:rPr>
          <w:rFonts w:hint="eastAsia" w:ascii="宋体" w:hAnsi="宋体" w:eastAsia="宋体" w:cs="宋体"/>
          <w:b/>
          <w:bCs/>
          <w:color w:val="auto"/>
          <w:sz w:val="28"/>
          <w:szCs w:val="28"/>
          <w:lang w:val="en-US" w:eastAsia="zh-CN"/>
        </w:rPr>
      </w:pPr>
    </w:p>
    <w:p w14:paraId="7BFA7DC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jc w:val="center"/>
        <w:rPr>
          <w:rFonts w:hint="eastAsia" w:ascii="宋体" w:hAnsi="宋体" w:eastAsia="宋体" w:cs="宋体"/>
          <w:b/>
          <w:bCs/>
          <w:color w:val="auto"/>
          <w:sz w:val="28"/>
          <w:szCs w:val="28"/>
          <w:lang w:val="en-US" w:eastAsia="zh-CN"/>
        </w:rPr>
      </w:pPr>
    </w:p>
    <w:p w14:paraId="2937B49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jc w:val="center"/>
        <w:rPr>
          <w:rFonts w:hint="eastAsia" w:ascii="宋体" w:hAnsi="宋体" w:eastAsia="宋体" w:cs="宋体"/>
          <w:b/>
          <w:bCs/>
          <w:color w:val="auto"/>
          <w:sz w:val="28"/>
          <w:szCs w:val="28"/>
          <w:lang w:val="en-US" w:eastAsia="zh-CN"/>
        </w:rPr>
      </w:pPr>
    </w:p>
    <w:p w14:paraId="74AAA11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jc w:val="center"/>
        <w:rPr>
          <w:rFonts w:hint="eastAsia" w:ascii="宋体" w:hAnsi="宋体" w:eastAsia="宋体" w:cs="宋体"/>
          <w:b/>
          <w:bCs/>
          <w:color w:val="auto"/>
          <w:sz w:val="28"/>
          <w:szCs w:val="28"/>
          <w:lang w:val="en-US" w:eastAsia="zh-CN"/>
        </w:rPr>
      </w:pPr>
    </w:p>
    <w:p w14:paraId="1DDD205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jc w:val="center"/>
        <w:rPr>
          <w:rFonts w:hint="eastAsia" w:ascii="宋体" w:hAnsi="宋体" w:eastAsia="宋体" w:cs="宋体"/>
          <w:b/>
          <w:bCs/>
          <w:color w:val="auto"/>
          <w:sz w:val="28"/>
          <w:szCs w:val="28"/>
          <w:lang w:val="en-US" w:eastAsia="zh-CN"/>
        </w:rPr>
      </w:pPr>
    </w:p>
    <w:p w14:paraId="7CA2FAE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jc w:val="center"/>
        <w:rPr>
          <w:rFonts w:hint="eastAsia" w:ascii="宋体" w:hAnsi="宋体" w:eastAsia="宋体" w:cs="宋体"/>
          <w:b/>
          <w:bCs/>
          <w:color w:val="auto"/>
          <w:sz w:val="28"/>
          <w:szCs w:val="28"/>
          <w:lang w:val="en-US" w:eastAsia="zh-CN"/>
        </w:rPr>
      </w:pPr>
    </w:p>
    <w:p w14:paraId="2F92457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jc w:val="center"/>
        <w:rPr>
          <w:rFonts w:hint="eastAsia" w:ascii="宋体" w:hAnsi="宋体" w:eastAsia="宋体" w:cs="宋体"/>
          <w:b/>
          <w:bCs/>
          <w:color w:val="auto"/>
          <w:sz w:val="28"/>
          <w:szCs w:val="28"/>
          <w:lang w:val="en-US" w:eastAsia="zh-CN"/>
        </w:rPr>
      </w:pPr>
    </w:p>
    <w:p w14:paraId="126F064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jc w:val="center"/>
        <w:rPr>
          <w:rFonts w:hint="eastAsia" w:ascii="宋体" w:hAnsi="宋体" w:eastAsia="宋体" w:cs="宋体"/>
          <w:b/>
          <w:bCs/>
          <w:color w:val="auto"/>
          <w:sz w:val="28"/>
          <w:szCs w:val="28"/>
          <w:lang w:val="en-US" w:eastAsia="zh-CN"/>
        </w:rPr>
      </w:pPr>
    </w:p>
    <w:p w14:paraId="58F3D68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jc w:val="center"/>
        <w:rPr>
          <w:rFonts w:hint="eastAsia" w:ascii="宋体" w:hAnsi="宋体" w:eastAsia="宋体" w:cs="宋体"/>
          <w:b/>
          <w:bCs/>
          <w:color w:val="auto"/>
          <w:sz w:val="28"/>
          <w:szCs w:val="28"/>
          <w:lang w:val="en-US" w:eastAsia="zh-CN"/>
        </w:rPr>
      </w:pPr>
    </w:p>
    <w:p w14:paraId="7859D16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jc w:val="center"/>
        <w:rPr>
          <w:rFonts w:hint="eastAsia" w:ascii="宋体" w:hAnsi="宋体" w:eastAsia="宋体" w:cs="宋体"/>
          <w:b/>
          <w:bCs/>
          <w:color w:val="auto"/>
          <w:sz w:val="28"/>
          <w:szCs w:val="28"/>
          <w:lang w:val="en-US" w:eastAsia="zh-CN"/>
        </w:rPr>
      </w:pPr>
    </w:p>
    <w:p w14:paraId="60A8A74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jc w:val="center"/>
        <w:rPr>
          <w:rFonts w:hint="eastAsia" w:ascii="宋体" w:hAnsi="宋体" w:eastAsia="宋体" w:cs="宋体"/>
          <w:b/>
          <w:bCs/>
          <w:color w:val="auto"/>
          <w:sz w:val="28"/>
          <w:szCs w:val="28"/>
          <w:lang w:val="en-US" w:eastAsia="zh-CN"/>
        </w:rPr>
      </w:pPr>
    </w:p>
    <w:p w14:paraId="040C06E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jc w:val="center"/>
        <w:rPr>
          <w:rFonts w:hint="eastAsia" w:ascii="宋体" w:hAnsi="宋体" w:eastAsia="宋体" w:cs="宋体"/>
          <w:b/>
          <w:bCs/>
          <w:color w:val="auto"/>
          <w:sz w:val="28"/>
          <w:szCs w:val="28"/>
          <w:lang w:val="en-US" w:eastAsia="zh-CN"/>
        </w:rPr>
      </w:pPr>
    </w:p>
    <w:p w14:paraId="3E08EB8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jc w:val="center"/>
        <w:rPr>
          <w:rFonts w:hint="eastAsia" w:ascii="宋体" w:hAnsi="宋体" w:eastAsia="宋体" w:cs="宋体"/>
          <w:b/>
          <w:bCs/>
          <w:color w:val="auto"/>
          <w:sz w:val="28"/>
          <w:szCs w:val="28"/>
          <w:lang w:val="en-US" w:eastAsia="zh-CN"/>
        </w:rPr>
      </w:pPr>
    </w:p>
    <w:p w14:paraId="59B5FE2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jc w:val="center"/>
        <w:rPr>
          <w:rFonts w:hint="eastAsia" w:ascii="宋体" w:hAnsi="宋体" w:eastAsia="宋体" w:cs="宋体"/>
          <w:b/>
          <w:bCs/>
          <w:color w:val="auto"/>
          <w:sz w:val="28"/>
          <w:szCs w:val="28"/>
          <w:lang w:val="en-US" w:eastAsia="zh-CN"/>
        </w:rPr>
      </w:pPr>
    </w:p>
    <w:p w14:paraId="0806E17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jc w:val="both"/>
        <w:rPr>
          <w:rFonts w:hint="eastAsia" w:ascii="宋体" w:hAnsi="宋体" w:eastAsia="宋体" w:cs="宋体"/>
          <w:b/>
          <w:bCs/>
          <w:color w:val="auto"/>
          <w:sz w:val="28"/>
          <w:szCs w:val="28"/>
          <w:lang w:val="en-US" w:eastAsia="zh-CN"/>
        </w:rPr>
      </w:pPr>
    </w:p>
    <w:p w14:paraId="0E25E1E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jc w:val="both"/>
        <w:rPr>
          <w:rFonts w:hint="eastAsia" w:ascii="宋体" w:hAnsi="宋体" w:eastAsia="宋体" w:cs="宋体"/>
          <w:b/>
          <w:bCs/>
          <w:color w:val="auto"/>
          <w:sz w:val="28"/>
          <w:szCs w:val="28"/>
          <w:lang w:val="en-US" w:eastAsia="zh-CN"/>
        </w:rPr>
      </w:pPr>
    </w:p>
    <w:p w14:paraId="79D3C2F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jc w:val="center"/>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（22）</w:t>
      </w:r>
      <w:r>
        <w:rPr>
          <w:rFonts w:hint="eastAsia" w:ascii="宋体" w:hAnsi="宋体" w:eastAsia="宋体" w:cs="宋体"/>
          <w:b/>
          <w:bCs/>
          <w:color w:val="auto"/>
          <w:sz w:val="28"/>
          <w:szCs w:val="28"/>
          <w:lang w:val="en-US" w:eastAsia="zh-CN"/>
        </w:rPr>
        <w:t>接受委托编制成果文件完成的时间承诺</w:t>
      </w:r>
    </w:p>
    <w:p w14:paraId="48F0F14F">
      <w:pPr>
        <w:pStyle w:val="20"/>
        <w:jc w:val="center"/>
        <w:rPr>
          <w:rFonts w:hint="default"/>
          <w:sz w:val="30"/>
          <w:szCs w:val="30"/>
          <w:lang w:val="en-US" w:eastAsia="zh-CN"/>
        </w:rPr>
      </w:pPr>
      <w:r>
        <w:rPr>
          <w:rFonts w:hint="eastAsia"/>
          <w:sz w:val="30"/>
          <w:szCs w:val="30"/>
          <w:lang w:val="en-US" w:eastAsia="zh-CN"/>
        </w:rPr>
        <w:t>格式自拟</w:t>
      </w:r>
    </w:p>
    <w:p w14:paraId="40D52FF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jc w:val="center"/>
        <w:rPr>
          <w:rFonts w:hint="eastAsia" w:ascii="宋体" w:hAnsi="宋体" w:eastAsia="宋体" w:cs="宋体"/>
          <w:b/>
          <w:bCs/>
          <w:color w:val="auto"/>
          <w:sz w:val="28"/>
          <w:szCs w:val="28"/>
          <w:lang w:val="en-US" w:eastAsia="zh-CN"/>
        </w:rPr>
        <w:sectPr>
          <w:footerReference r:id="rId16" w:type="default"/>
          <w:type w:val="continuous"/>
          <w:pgSz w:w="11911" w:h="16849"/>
          <w:pgMar w:top="1423" w:right="1361" w:bottom="1355" w:left="1480" w:header="1077" w:footer="1140" w:gutter="0"/>
          <w:pgNumType w:fmt="decimal"/>
          <w:cols w:space="0" w:num="1"/>
          <w:rtlGutter w:val="0"/>
          <w:docGrid w:linePitch="1" w:charSpace="0"/>
        </w:sectPr>
      </w:pPr>
    </w:p>
    <w:p w14:paraId="391FBEC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jc w:val="both"/>
        <w:rPr>
          <w:rFonts w:hint="eastAsia" w:ascii="宋体" w:hAnsi="宋体" w:eastAsia="宋体" w:cs="宋体"/>
          <w:b/>
          <w:bCs/>
          <w:color w:val="auto"/>
          <w:kern w:val="0"/>
          <w:sz w:val="24"/>
          <w:lang w:val="en-US" w:eastAsia="zh-CN"/>
        </w:rPr>
      </w:pPr>
    </w:p>
    <w:p w14:paraId="4C3592A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jc w:val="both"/>
        <w:rPr>
          <w:rFonts w:hint="eastAsia" w:ascii="宋体" w:hAnsi="宋体" w:eastAsia="宋体" w:cs="宋体"/>
          <w:b/>
          <w:bCs/>
          <w:color w:val="auto"/>
          <w:kern w:val="0"/>
          <w:sz w:val="24"/>
          <w:lang w:val="en-US" w:eastAsia="zh-CN"/>
        </w:rPr>
      </w:pPr>
      <w:r>
        <w:rPr>
          <w:rFonts w:hint="eastAsia" w:ascii="宋体" w:hAnsi="宋体" w:eastAsia="宋体" w:cs="宋体"/>
          <w:b/>
          <w:bCs/>
          <w:color w:val="auto"/>
          <w:kern w:val="0"/>
          <w:sz w:val="24"/>
          <w:lang w:val="en-US" w:eastAsia="zh-CN"/>
        </w:rPr>
        <w:t>（2</w:t>
      </w:r>
      <w:r>
        <w:rPr>
          <w:rFonts w:hint="eastAsia" w:ascii="宋体" w:hAnsi="宋体" w:cs="宋体"/>
          <w:b/>
          <w:bCs/>
          <w:color w:val="auto"/>
          <w:kern w:val="0"/>
          <w:sz w:val="24"/>
          <w:lang w:val="en-US" w:eastAsia="zh-CN"/>
        </w:rPr>
        <w:t>3</w:t>
      </w:r>
      <w:r>
        <w:rPr>
          <w:rFonts w:hint="eastAsia" w:ascii="宋体" w:hAnsi="宋体" w:eastAsia="宋体" w:cs="宋体"/>
          <w:b/>
          <w:bCs/>
          <w:color w:val="auto"/>
          <w:kern w:val="0"/>
          <w:sz w:val="24"/>
          <w:lang w:val="en-US" w:eastAsia="zh-CN"/>
        </w:rPr>
        <w:t>）供应商需提供参加采购活动前三年内，在经营活动中没有重大违法记录声明函</w:t>
      </w:r>
    </w:p>
    <w:p w14:paraId="3D5A5FB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1928" w:firstLineChars="800"/>
        <w:jc w:val="both"/>
        <w:rPr>
          <w:rFonts w:hint="eastAsia" w:ascii="宋体" w:hAnsi="宋体" w:eastAsia="宋体" w:cs="宋体"/>
          <w:b/>
          <w:bCs/>
          <w:color w:val="auto"/>
          <w:kern w:val="0"/>
          <w:sz w:val="24"/>
          <w:lang w:val="en-US" w:eastAsia="zh-CN"/>
        </w:rPr>
      </w:pPr>
      <w:r>
        <w:rPr>
          <w:rFonts w:hint="eastAsia" w:ascii="宋体" w:hAnsi="宋体" w:eastAsia="宋体" w:cs="宋体"/>
          <w:b/>
          <w:bCs/>
          <w:color w:val="auto"/>
          <w:kern w:val="0"/>
          <w:sz w:val="24"/>
          <w:lang w:val="en-US" w:eastAsia="zh-CN"/>
        </w:rPr>
        <w:t>(受行政主管部门的处罚不能参加投标)</w:t>
      </w:r>
    </w:p>
    <w:p w14:paraId="4F5E92B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80" w:firstLineChars="20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供应商不得为“信用中国”网站（网址：www.creditchina.gov.cn）中列入严重失信主体名单信息的供应商；不得为“国家企业信用信息公示系统”网站（网址：http://www.gsxt.gov.cn/corp-query-homepage.html）列入严重违法失信企业名单（黑名单）的供应商；不得为中国政府采购网（www.ccgp.gov.cn）政府采购严重违法失信行为记录名单中被财政部门禁止参加政府采购活动的供应商（处罚决定规定的时间和地域范围内），均须提供查询结果。</w:t>
      </w:r>
    </w:p>
    <w:p w14:paraId="3F54C822">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rPr>
          <w:rFonts w:hint="eastAsia" w:ascii="宋体" w:hAnsi="宋体" w:eastAsia="宋体" w:cs="宋体"/>
          <w:color w:val="auto"/>
          <w:sz w:val="24"/>
          <w:szCs w:val="24"/>
          <w:lang w:val="en-US" w:eastAsia="zh-CN"/>
        </w:rPr>
      </w:pPr>
    </w:p>
    <w:p w14:paraId="6E4FA8DF">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rPr>
          <w:rFonts w:hint="eastAsia" w:ascii="宋体" w:hAnsi="宋体" w:eastAsia="宋体" w:cs="宋体"/>
          <w:color w:val="auto"/>
          <w:sz w:val="24"/>
          <w:szCs w:val="24"/>
          <w:lang w:val="en-US" w:eastAsia="zh-CN"/>
        </w:rPr>
      </w:pPr>
    </w:p>
    <w:p w14:paraId="118E5A1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rPr>
          <w:rFonts w:hint="eastAsia" w:ascii="宋体" w:hAnsi="宋体" w:eastAsia="宋体" w:cs="宋体"/>
          <w:color w:val="auto"/>
          <w:sz w:val="24"/>
          <w:szCs w:val="24"/>
          <w:lang w:val="en-US" w:eastAsia="zh-CN"/>
        </w:rPr>
      </w:pPr>
    </w:p>
    <w:p w14:paraId="173FED13">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rPr>
          <w:rFonts w:hint="eastAsia" w:ascii="宋体" w:hAnsi="宋体" w:eastAsia="宋体" w:cs="宋体"/>
          <w:color w:val="auto"/>
          <w:sz w:val="24"/>
          <w:szCs w:val="24"/>
          <w:lang w:val="en-US" w:eastAsia="zh-CN"/>
        </w:rPr>
      </w:pPr>
    </w:p>
    <w:p w14:paraId="24377CD2">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rPr>
          <w:rFonts w:hint="eastAsia" w:ascii="宋体" w:hAnsi="宋体" w:eastAsia="宋体" w:cs="宋体"/>
          <w:color w:val="auto"/>
          <w:sz w:val="24"/>
          <w:szCs w:val="24"/>
          <w:lang w:val="en-US" w:eastAsia="zh-CN"/>
        </w:rPr>
      </w:pPr>
    </w:p>
    <w:p w14:paraId="0E2A5C67">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rPr>
          <w:rFonts w:hint="eastAsia" w:ascii="宋体" w:hAnsi="宋体" w:eastAsia="宋体" w:cs="宋体"/>
          <w:color w:val="auto"/>
          <w:sz w:val="24"/>
          <w:szCs w:val="24"/>
          <w:lang w:val="en-US" w:eastAsia="zh-CN"/>
        </w:rPr>
      </w:pPr>
    </w:p>
    <w:p w14:paraId="6AB52B4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rPr>
          <w:rFonts w:hint="eastAsia" w:ascii="宋体" w:hAnsi="宋体" w:eastAsia="宋体" w:cs="宋体"/>
          <w:color w:val="auto"/>
          <w:sz w:val="24"/>
          <w:szCs w:val="24"/>
          <w:lang w:val="en-US" w:eastAsia="zh-CN"/>
        </w:rPr>
      </w:pPr>
    </w:p>
    <w:p w14:paraId="68338C67">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rPr>
          <w:rFonts w:hint="eastAsia" w:ascii="宋体" w:hAnsi="宋体" w:eastAsia="宋体" w:cs="宋体"/>
          <w:color w:val="auto"/>
          <w:sz w:val="24"/>
          <w:szCs w:val="24"/>
          <w:lang w:val="en-US" w:eastAsia="zh-CN"/>
        </w:rPr>
      </w:pPr>
    </w:p>
    <w:p w14:paraId="113617D9">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rPr>
          <w:rFonts w:hint="eastAsia" w:ascii="宋体" w:hAnsi="宋体" w:eastAsia="宋体" w:cs="宋体"/>
          <w:color w:val="auto"/>
          <w:sz w:val="24"/>
          <w:szCs w:val="24"/>
          <w:lang w:val="en-US" w:eastAsia="zh-CN"/>
        </w:rPr>
      </w:pPr>
    </w:p>
    <w:p w14:paraId="2DA83DB6">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rPr>
          <w:rFonts w:hint="eastAsia" w:ascii="宋体" w:hAnsi="宋体" w:eastAsia="宋体" w:cs="宋体"/>
          <w:color w:val="auto"/>
          <w:sz w:val="24"/>
          <w:szCs w:val="24"/>
          <w:lang w:val="en-US" w:eastAsia="zh-CN"/>
        </w:rPr>
      </w:pPr>
    </w:p>
    <w:p w14:paraId="608AD5CD">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rPr>
          <w:rFonts w:hint="eastAsia" w:ascii="宋体" w:hAnsi="宋体" w:eastAsia="宋体" w:cs="宋体"/>
          <w:color w:val="auto"/>
          <w:sz w:val="24"/>
          <w:szCs w:val="24"/>
          <w:lang w:val="en-US" w:eastAsia="zh-CN"/>
        </w:rPr>
      </w:pPr>
    </w:p>
    <w:p w14:paraId="0FEA4D1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rPr>
          <w:rFonts w:hint="eastAsia" w:ascii="宋体" w:hAnsi="宋体" w:eastAsia="宋体" w:cs="宋体"/>
          <w:color w:val="auto"/>
          <w:sz w:val="24"/>
          <w:szCs w:val="24"/>
          <w:lang w:val="en-US" w:eastAsia="zh-CN"/>
        </w:rPr>
      </w:pPr>
    </w:p>
    <w:p w14:paraId="1B5D44EC">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rPr>
          <w:rFonts w:hint="eastAsia" w:ascii="宋体" w:hAnsi="宋体" w:eastAsia="宋体" w:cs="宋体"/>
          <w:color w:val="auto"/>
          <w:sz w:val="24"/>
          <w:szCs w:val="24"/>
          <w:lang w:val="en-US" w:eastAsia="zh-CN"/>
        </w:rPr>
      </w:pPr>
    </w:p>
    <w:p w14:paraId="3E34750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rPr>
          <w:rFonts w:hint="eastAsia" w:ascii="宋体" w:hAnsi="宋体" w:eastAsia="宋体" w:cs="宋体"/>
          <w:color w:val="auto"/>
          <w:sz w:val="24"/>
          <w:szCs w:val="24"/>
          <w:lang w:val="en-US" w:eastAsia="zh-CN"/>
        </w:rPr>
      </w:pPr>
    </w:p>
    <w:p w14:paraId="7BEEFEE6">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rPr>
          <w:rFonts w:hint="eastAsia" w:ascii="宋体" w:hAnsi="宋体" w:eastAsia="宋体" w:cs="宋体"/>
          <w:color w:val="auto"/>
          <w:sz w:val="24"/>
          <w:szCs w:val="24"/>
          <w:lang w:val="en-US" w:eastAsia="zh-CN"/>
        </w:rPr>
      </w:pPr>
    </w:p>
    <w:p w14:paraId="2D00A83E">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rPr>
          <w:rFonts w:hint="eastAsia" w:ascii="宋体" w:hAnsi="宋体" w:eastAsia="宋体" w:cs="宋体"/>
          <w:color w:val="auto"/>
          <w:sz w:val="24"/>
          <w:szCs w:val="24"/>
          <w:lang w:val="en-US" w:eastAsia="zh-CN"/>
        </w:rPr>
      </w:pPr>
    </w:p>
    <w:p w14:paraId="4F61572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rPr>
          <w:rFonts w:hint="eastAsia" w:ascii="宋体" w:hAnsi="宋体" w:eastAsia="宋体" w:cs="宋体"/>
          <w:color w:val="auto"/>
          <w:sz w:val="24"/>
          <w:szCs w:val="24"/>
          <w:lang w:val="en-US" w:eastAsia="zh-CN"/>
        </w:rPr>
      </w:pPr>
    </w:p>
    <w:p w14:paraId="48D6FF86">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rPr>
          <w:rFonts w:hint="eastAsia" w:ascii="宋体" w:hAnsi="宋体" w:eastAsia="宋体" w:cs="宋体"/>
          <w:color w:val="auto"/>
          <w:sz w:val="24"/>
          <w:szCs w:val="24"/>
          <w:lang w:val="en-US" w:eastAsia="zh-CN"/>
        </w:rPr>
      </w:pPr>
    </w:p>
    <w:p w14:paraId="1CB79912">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rPr>
          <w:rFonts w:hint="eastAsia" w:ascii="宋体" w:hAnsi="宋体" w:eastAsia="宋体" w:cs="宋体"/>
          <w:color w:val="auto"/>
          <w:sz w:val="24"/>
          <w:szCs w:val="24"/>
          <w:lang w:val="en-US" w:eastAsia="zh-CN"/>
        </w:rPr>
      </w:pPr>
    </w:p>
    <w:p w14:paraId="11C3264E">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rPr>
          <w:rFonts w:hint="eastAsia" w:ascii="宋体" w:hAnsi="宋体" w:eastAsia="宋体" w:cs="宋体"/>
          <w:color w:val="auto"/>
          <w:sz w:val="24"/>
          <w:szCs w:val="24"/>
          <w:lang w:val="en-US" w:eastAsia="zh-CN"/>
        </w:rPr>
      </w:pPr>
    </w:p>
    <w:p w14:paraId="008F96E6">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rPr>
          <w:rFonts w:hint="eastAsia" w:ascii="宋体" w:hAnsi="宋体" w:eastAsia="宋体" w:cs="宋体"/>
          <w:color w:val="auto"/>
          <w:sz w:val="24"/>
          <w:szCs w:val="24"/>
          <w:lang w:val="en-US" w:eastAsia="zh-CN"/>
        </w:rPr>
      </w:pPr>
    </w:p>
    <w:p w14:paraId="53AD126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jc w:val="cente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(2</w:t>
      </w:r>
      <w:r>
        <w:rPr>
          <w:rFonts w:hint="eastAsia" w:ascii="宋体" w:hAnsi="宋体" w:cs="宋体"/>
          <w:b/>
          <w:bCs/>
          <w:color w:val="auto"/>
          <w:sz w:val="28"/>
          <w:szCs w:val="28"/>
          <w:lang w:val="en-US" w:eastAsia="zh-CN"/>
        </w:rPr>
        <w:t>4</w:t>
      </w:r>
      <w:r>
        <w:rPr>
          <w:rFonts w:hint="eastAsia" w:ascii="宋体" w:hAnsi="宋体" w:eastAsia="宋体" w:cs="宋体"/>
          <w:b/>
          <w:bCs/>
          <w:color w:val="auto"/>
          <w:sz w:val="28"/>
          <w:szCs w:val="28"/>
          <w:lang w:val="en-US" w:eastAsia="zh-CN"/>
        </w:rPr>
        <w:t>) 供应商认为需要提供的其他商务资料。</w:t>
      </w:r>
    </w:p>
    <w:p w14:paraId="7A0ACB9C">
      <w:pPr>
        <w:pStyle w:val="20"/>
        <w:rPr>
          <w:rFonts w:hint="eastAsia"/>
          <w:color w:val="auto"/>
        </w:rPr>
      </w:pPr>
    </w:p>
    <w:p w14:paraId="26D9E2EE">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720" w:firstLineChars="300"/>
        <w:rPr>
          <w:rFonts w:ascii="宋体" w:hAnsi="宋体" w:eastAsia="宋体" w:cs="宋体"/>
          <w:color w:val="auto"/>
          <w:sz w:val="24"/>
          <w:szCs w:val="24"/>
        </w:rPr>
      </w:pPr>
    </w:p>
    <w:p w14:paraId="6BBF9985">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720" w:firstLineChars="300"/>
        <w:rPr>
          <w:rFonts w:ascii="宋体" w:hAnsi="宋体" w:eastAsia="宋体" w:cs="宋体"/>
          <w:color w:val="auto"/>
          <w:sz w:val="24"/>
          <w:szCs w:val="24"/>
        </w:rPr>
      </w:pPr>
    </w:p>
    <w:p w14:paraId="3435A7C1">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720" w:firstLineChars="300"/>
        <w:rPr>
          <w:rFonts w:ascii="宋体" w:hAnsi="宋体" w:eastAsia="宋体" w:cs="宋体"/>
          <w:color w:val="auto"/>
          <w:sz w:val="24"/>
          <w:szCs w:val="24"/>
        </w:rPr>
      </w:pPr>
    </w:p>
    <w:p w14:paraId="624E487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720" w:firstLineChars="300"/>
        <w:rPr>
          <w:rFonts w:ascii="宋体" w:hAnsi="宋体" w:eastAsia="宋体" w:cs="宋体"/>
          <w:color w:val="auto"/>
          <w:sz w:val="24"/>
          <w:szCs w:val="24"/>
        </w:rPr>
      </w:pPr>
    </w:p>
    <w:p w14:paraId="209CEEE3">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720" w:firstLineChars="300"/>
        <w:rPr>
          <w:rFonts w:ascii="宋体" w:hAnsi="宋体" w:eastAsia="宋体" w:cs="宋体"/>
          <w:color w:val="auto"/>
          <w:sz w:val="24"/>
          <w:szCs w:val="24"/>
        </w:rPr>
      </w:pPr>
    </w:p>
    <w:p w14:paraId="6497492E">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720" w:firstLineChars="300"/>
        <w:rPr>
          <w:rFonts w:ascii="宋体" w:hAnsi="宋体" w:eastAsia="宋体" w:cs="宋体"/>
          <w:color w:val="auto"/>
          <w:sz w:val="24"/>
          <w:szCs w:val="24"/>
        </w:rPr>
      </w:pPr>
    </w:p>
    <w:p w14:paraId="74E1927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720" w:firstLineChars="300"/>
        <w:rPr>
          <w:rFonts w:ascii="宋体" w:hAnsi="宋体" w:eastAsia="宋体" w:cs="宋体"/>
          <w:color w:val="auto"/>
          <w:sz w:val="24"/>
          <w:szCs w:val="24"/>
        </w:rPr>
      </w:pPr>
    </w:p>
    <w:p w14:paraId="4C03E20F">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720" w:firstLineChars="300"/>
        <w:rPr>
          <w:rFonts w:ascii="宋体" w:hAnsi="宋体" w:eastAsia="宋体" w:cs="宋体"/>
          <w:color w:val="auto"/>
          <w:sz w:val="24"/>
          <w:szCs w:val="24"/>
        </w:rPr>
      </w:pPr>
    </w:p>
    <w:p w14:paraId="0ECCB0B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720" w:firstLineChars="300"/>
        <w:rPr>
          <w:rFonts w:ascii="宋体" w:hAnsi="宋体" w:eastAsia="宋体" w:cs="宋体"/>
          <w:color w:val="auto"/>
          <w:sz w:val="24"/>
          <w:szCs w:val="24"/>
        </w:rPr>
      </w:pPr>
    </w:p>
    <w:p w14:paraId="2EF8AFB3">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720" w:firstLineChars="300"/>
        <w:rPr>
          <w:rFonts w:ascii="宋体" w:hAnsi="宋体" w:eastAsia="宋体" w:cs="宋体"/>
          <w:color w:val="auto"/>
          <w:sz w:val="24"/>
          <w:szCs w:val="24"/>
        </w:rPr>
      </w:pPr>
    </w:p>
    <w:p w14:paraId="74136A9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720" w:firstLineChars="300"/>
        <w:rPr>
          <w:rFonts w:ascii="宋体" w:hAnsi="宋体" w:eastAsia="宋体" w:cs="宋体"/>
          <w:color w:val="auto"/>
          <w:sz w:val="24"/>
          <w:szCs w:val="24"/>
        </w:rPr>
      </w:pPr>
    </w:p>
    <w:p w14:paraId="0193C15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720" w:firstLineChars="300"/>
        <w:rPr>
          <w:rFonts w:ascii="宋体" w:hAnsi="宋体" w:eastAsia="宋体" w:cs="宋体"/>
          <w:color w:val="auto"/>
          <w:sz w:val="24"/>
          <w:szCs w:val="24"/>
        </w:rPr>
      </w:pPr>
    </w:p>
    <w:p w14:paraId="4F0F0ECF">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720" w:firstLineChars="300"/>
        <w:rPr>
          <w:rFonts w:ascii="宋体" w:hAnsi="宋体" w:eastAsia="宋体" w:cs="宋体"/>
          <w:color w:val="auto"/>
          <w:sz w:val="24"/>
          <w:szCs w:val="24"/>
        </w:rPr>
      </w:pPr>
    </w:p>
    <w:p w14:paraId="7EFB8E61">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720" w:firstLineChars="300"/>
        <w:rPr>
          <w:rFonts w:ascii="宋体" w:hAnsi="宋体" w:eastAsia="宋体" w:cs="宋体"/>
          <w:color w:val="auto"/>
          <w:sz w:val="24"/>
          <w:szCs w:val="24"/>
        </w:rPr>
      </w:pPr>
    </w:p>
    <w:p w14:paraId="1C5FCEE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720" w:firstLineChars="300"/>
        <w:rPr>
          <w:rFonts w:ascii="宋体" w:hAnsi="宋体" w:eastAsia="宋体" w:cs="宋体"/>
          <w:color w:val="auto"/>
          <w:sz w:val="24"/>
          <w:szCs w:val="24"/>
        </w:rPr>
      </w:pPr>
    </w:p>
    <w:p w14:paraId="76EA561E">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720" w:firstLineChars="300"/>
        <w:rPr>
          <w:rFonts w:ascii="宋体" w:hAnsi="宋体" w:eastAsia="宋体" w:cs="宋体"/>
          <w:color w:val="auto"/>
          <w:sz w:val="24"/>
          <w:szCs w:val="24"/>
        </w:rPr>
      </w:pPr>
    </w:p>
    <w:p w14:paraId="12DAF21A">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720" w:firstLineChars="300"/>
        <w:rPr>
          <w:rFonts w:ascii="宋体" w:hAnsi="宋体" w:eastAsia="宋体" w:cs="宋体"/>
          <w:color w:val="auto"/>
          <w:sz w:val="24"/>
          <w:szCs w:val="24"/>
        </w:rPr>
      </w:pPr>
    </w:p>
    <w:p w14:paraId="6180300C">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720" w:firstLineChars="300"/>
        <w:rPr>
          <w:rFonts w:ascii="宋体" w:hAnsi="宋体" w:eastAsia="宋体" w:cs="宋体"/>
          <w:color w:val="auto"/>
          <w:sz w:val="24"/>
          <w:szCs w:val="24"/>
        </w:rPr>
      </w:pPr>
    </w:p>
    <w:p w14:paraId="7772402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720" w:firstLineChars="300"/>
        <w:rPr>
          <w:rFonts w:ascii="宋体" w:hAnsi="宋体" w:eastAsia="宋体" w:cs="宋体"/>
          <w:color w:val="auto"/>
          <w:sz w:val="24"/>
          <w:szCs w:val="24"/>
        </w:rPr>
      </w:pPr>
    </w:p>
    <w:p w14:paraId="25A081F2">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720" w:firstLineChars="300"/>
        <w:rPr>
          <w:rFonts w:ascii="宋体" w:hAnsi="宋体" w:eastAsia="宋体" w:cs="宋体"/>
          <w:color w:val="auto"/>
          <w:sz w:val="24"/>
          <w:szCs w:val="24"/>
        </w:rPr>
      </w:pPr>
    </w:p>
    <w:p w14:paraId="4379EE6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720" w:firstLineChars="300"/>
        <w:rPr>
          <w:rFonts w:ascii="宋体" w:hAnsi="宋体" w:eastAsia="宋体" w:cs="宋体"/>
          <w:color w:val="auto"/>
          <w:sz w:val="24"/>
          <w:szCs w:val="24"/>
        </w:rPr>
      </w:pPr>
    </w:p>
    <w:p w14:paraId="133DA509">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720" w:firstLineChars="300"/>
        <w:rPr>
          <w:rFonts w:ascii="宋体" w:hAnsi="宋体" w:eastAsia="宋体" w:cs="宋体"/>
          <w:color w:val="auto"/>
          <w:sz w:val="24"/>
          <w:szCs w:val="24"/>
        </w:rPr>
      </w:pPr>
    </w:p>
    <w:p w14:paraId="4D8C585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720" w:firstLineChars="300"/>
        <w:rPr>
          <w:rFonts w:ascii="宋体" w:hAnsi="宋体" w:eastAsia="宋体" w:cs="宋体"/>
          <w:color w:val="auto"/>
          <w:sz w:val="24"/>
          <w:szCs w:val="24"/>
        </w:rPr>
      </w:pPr>
    </w:p>
    <w:p w14:paraId="22F059D7">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720" w:firstLineChars="300"/>
        <w:rPr>
          <w:rFonts w:ascii="宋体" w:hAnsi="宋体" w:eastAsia="宋体" w:cs="宋体"/>
          <w:color w:val="auto"/>
          <w:sz w:val="24"/>
          <w:szCs w:val="24"/>
        </w:rPr>
      </w:pPr>
    </w:p>
    <w:p w14:paraId="0B8B9EBF">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720" w:firstLineChars="300"/>
        <w:rPr>
          <w:rFonts w:ascii="宋体" w:hAnsi="宋体" w:eastAsia="宋体" w:cs="宋体"/>
          <w:color w:val="auto"/>
          <w:sz w:val="24"/>
          <w:szCs w:val="24"/>
        </w:rPr>
      </w:pPr>
    </w:p>
    <w:p w14:paraId="00DAAB1D">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720" w:firstLineChars="300"/>
        <w:rPr>
          <w:rFonts w:ascii="宋体" w:hAnsi="宋体" w:eastAsia="宋体" w:cs="宋体"/>
          <w:color w:val="auto"/>
          <w:sz w:val="24"/>
          <w:szCs w:val="24"/>
        </w:rPr>
      </w:pPr>
    </w:p>
    <w:p w14:paraId="0D14B53D">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720" w:firstLineChars="300"/>
        <w:rPr>
          <w:rFonts w:ascii="宋体" w:hAnsi="宋体" w:eastAsia="宋体" w:cs="宋体"/>
          <w:color w:val="auto"/>
          <w:sz w:val="24"/>
          <w:szCs w:val="24"/>
        </w:rPr>
      </w:pPr>
    </w:p>
    <w:p w14:paraId="6103BAD5">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720" w:firstLineChars="300"/>
        <w:rPr>
          <w:rFonts w:ascii="宋体" w:hAnsi="宋体" w:eastAsia="宋体" w:cs="宋体"/>
          <w:color w:val="auto"/>
          <w:sz w:val="24"/>
          <w:szCs w:val="24"/>
        </w:rPr>
      </w:pPr>
    </w:p>
    <w:p w14:paraId="1EFF475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720" w:firstLineChars="300"/>
        <w:rPr>
          <w:rFonts w:ascii="宋体" w:hAnsi="宋体" w:eastAsia="宋体" w:cs="宋体"/>
          <w:color w:val="auto"/>
          <w:sz w:val="24"/>
          <w:szCs w:val="24"/>
        </w:rPr>
      </w:pPr>
    </w:p>
    <w:p w14:paraId="6AF45B4A">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rPr>
          <w:rFonts w:hint="eastAsia" w:ascii="宋体" w:hAnsi="宋体" w:eastAsia="宋体" w:cs="宋体"/>
          <w:b/>
          <w:bCs/>
          <w:color w:val="auto"/>
          <w:sz w:val="30"/>
          <w:szCs w:val="30"/>
          <w:lang w:val="en-US" w:eastAsia="zh-CN"/>
        </w:rPr>
      </w:pPr>
      <w:r>
        <w:rPr>
          <w:rFonts w:ascii="宋体" w:hAnsi="宋体" w:eastAsia="宋体" w:cs="宋体"/>
          <w:b/>
          <w:bCs/>
          <w:color w:val="auto"/>
          <w:sz w:val="30"/>
          <w:szCs w:val="30"/>
        </w:rPr>
        <w:t>技术文件部分应包括</w:t>
      </w:r>
      <w:r>
        <w:rPr>
          <w:rFonts w:hint="eastAsia" w:ascii="宋体" w:hAnsi="宋体" w:eastAsia="宋体" w:cs="宋体"/>
          <w:b/>
          <w:bCs/>
          <w:color w:val="auto"/>
          <w:sz w:val="30"/>
          <w:szCs w:val="30"/>
          <w:lang w:val="en-US" w:eastAsia="zh-CN"/>
        </w:rPr>
        <w:t>以下</w:t>
      </w:r>
    </w:p>
    <w:p w14:paraId="195C22FB">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rPr>
          <w:rFonts w:hint="eastAsia" w:ascii="宋体" w:hAnsi="宋体" w:eastAsia="宋体" w:cs="宋体"/>
          <w:color w:val="auto"/>
          <w:sz w:val="28"/>
          <w:szCs w:val="28"/>
          <w:lang w:eastAsia="zh-CN"/>
        </w:rPr>
      </w:pPr>
      <w:r>
        <w:rPr>
          <w:rFonts w:ascii="宋体" w:hAnsi="宋体" w:eastAsia="宋体" w:cs="宋体"/>
          <w:color w:val="auto"/>
          <w:sz w:val="28"/>
          <w:szCs w:val="28"/>
        </w:rPr>
        <w:t>（1）</w:t>
      </w:r>
      <w:r>
        <w:rPr>
          <w:rFonts w:hint="eastAsia" w:ascii="宋体" w:hAnsi="宋体" w:eastAsia="宋体" w:cs="宋体"/>
          <w:spacing w:val="-1"/>
          <w:sz w:val="28"/>
          <w:szCs w:val="28"/>
          <w:lang w:val="en-US" w:eastAsia="zh-CN"/>
        </w:rPr>
        <w:t>服务方案和措施</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格式自拟</w:t>
      </w:r>
      <w:r>
        <w:rPr>
          <w:rFonts w:hint="eastAsia" w:ascii="宋体" w:hAnsi="宋体" w:eastAsia="宋体" w:cs="宋体"/>
          <w:color w:val="auto"/>
          <w:sz w:val="28"/>
          <w:szCs w:val="28"/>
          <w:lang w:eastAsia="zh-CN"/>
        </w:rPr>
        <w:t>）</w:t>
      </w:r>
    </w:p>
    <w:p w14:paraId="0D9F556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60" w:firstLineChars="200"/>
        <w:rPr>
          <w:rFonts w:ascii="宋体" w:hAnsi="宋体" w:eastAsia="宋体" w:cs="宋体"/>
          <w:color w:val="auto"/>
          <w:sz w:val="28"/>
          <w:szCs w:val="28"/>
        </w:rPr>
      </w:pPr>
      <w:r>
        <w:rPr>
          <w:rFonts w:ascii="宋体" w:hAnsi="宋体" w:eastAsia="宋体" w:cs="宋体"/>
          <w:color w:val="auto"/>
          <w:sz w:val="28"/>
          <w:szCs w:val="28"/>
        </w:rPr>
        <w:t>（2）</w:t>
      </w:r>
      <w:r>
        <w:rPr>
          <w:rFonts w:hint="eastAsia" w:ascii="宋体" w:hAnsi="宋体" w:eastAsia="宋体" w:cs="宋体"/>
          <w:spacing w:val="-1"/>
          <w:sz w:val="28"/>
          <w:szCs w:val="28"/>
          <w:lang w:val="en-US" w:eastAsia="zh-CN"/>
        </w:rPr>
        <w:t>服务和进度保障方案和措施</w:t>
      </w:r>
      <w:r>
        <w:rPr>
          <w:rFonts w:ascii="宋体" w:hAnsi="宋体" w:eastAsia="宋体" w:cs="宋体"/>
          <w:color w:val="auto"/>
          <w:sz w:val="28"/>
          <w:szCs w:val="28"/>
        </w:rPr>
        <w:t>；</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格式自拟</w:t>
      </w:r>
      <w:r>
        <w:rPr>
          <w:rFonts w:hint="eastAsia" w:ascii="宋体" w:hAnsi="宋体" w:eastAsia="宋体" w:cs="宋体"/>
          <w:color w:val="auto"/>
          <w:sz w:val="28"/>
          <w:szCs w:val="28"/>
          <w:lang w:eastAsia="zh-CN"/>
        </w:rPr>
        <w:t>）</w:t>
      </w:r>
    </w:p>
    <w:p w14:paraId="58F3BC87">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60" w:firstLineChars="200"/>
        <w:rPr>
          <w:rFonts w:hint="eastAsia" w:ascii="宋体" w:hAnsi="宋体" w:eastAsia="宋体" w:cs="宋体"/>
          <w:color w:val="auto"/>
          <w:sz w:val="28"/>
          <w:szCs w:val="28"/>
          <w:lang w:val="en-US" w:eastAsia="zh-CN"/>
        </w:rPr>
      </w:pPr>
      <w:r>
        <w:rPr>
          <w:rFonts w:ascii="宋体" w:hAnsi="宋体" w:eastAsia="宋体" w:cs="宋体"/>
          <w:color w:val="auto"/>
          <w:sz w:val="28"/>
          <w:szCs w:val="28"/>
        </w:rPr>
        <w:t>（3）</w:t>
      </w:r>
      <w:r>
        <w:rPr>
          <w:rFonts w:hint="eastAsia" w:ascii="宋体" w:hAnsi="宋体" w:eastAsia="宋体" w:cs="宋体"/>
          <w:spacing w:val="-1"/>
          <w:sz w:val="28"/>
          <w:szCs w:val="28"/>
          <w:lang w:val="en-US" w:eastAsia="zh-CN"/>
        </w:rPr>
        <w:t>企业内部管理制度</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格式自拟</w:t>
      </w:r>
      <w:r>
        <w:rPr>
          <w:rFonts w:hint="eastAsia" w:ascii="宋体" w:hAnsi="宋体" w:eastAsia="宋体" w:cs="宋体"/>
          <w:color w:val="auto"/>
          <w:sz w:val="28"/>
          <w:szCs w:val="28"/>
          <w:lang w:eastAsia="zh-CN"/>
        </w:rPr>
        <w:t>）</w:t>
      </w:r>
    </w:p>
    <w:p w14:paraId="20A13DA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w:t>
      </w:r>
      <w:r>
        <w:rPr>
          <w:rFonts w:hint="eastAsia" w:ascii="宋体" w:hAnsi="宋体" w:eastAsia="宋体" w:cs="宋体"/>
          <w:spacing w:val="-1"/>
          <w:sz w:val="28"/>
          <w:szCs w:val="28"/>
          <w:lang w:val="en-US" w:eastAsia="zh-CN"/>
        </w:rPr>
        <w:t>风险和质量控制方案和措施</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格式自拟</w:t>
      </w:r>
      <w:r>
        <w:rPr>
          <w:rFonts w:hint="eastAsia" w:ascii="宋体" w:hAnsi="宋体" w:eastAsia="宋体" w:cs="宋体"/>
          <w:color w:val="auto"/>
          <w:sz w:val="28"/>
          <w:szCs w:val="28"/>
          <w:lang w:eastAsia="zh-CN"/>
        </w:rPr>
        <w:t>）</w:t>
      </w:r>
    </w:p>
    <w:p w14:paraId="6334C98A">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60" w:firstLineChars="20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w:t>
      </w:r>
      <w:r>
        <w:rPr>
          <w:rFonts w:hint="eastAsia" w:ascii="宋体" w:hAnsi="宋体" w:eastAsia="宋体" w:cs="宋体"/>
          <w:spacing w:val="-1"/>
          <w:sz w:val="28"/>
          <w:szCs w:val="28"/>
          <w:lang w:val="en-US" w:eastAsia="zh-CN"/>
        </w:rPr>
        <w:t>保密方案和措施及廉政承诺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格式自拟</w:t>
      </w:r>
      <w:r>
        <w:rPr>
          <w:rFonts w:hint="eastAsia" w:ascii="宋体" w:hAnsi="宋体" w:eastAsia="宋体" w:cs="宋体"/>
          <w:color w:val="auto"/>
          <w:sz w:val="28"/>
          <w:szCs w:val="28"/>
          <w:lang w:eastAsia="zh-CN"/>
        </w:rPr>
        <w:t>）</w:t>
      </w:r>
    </w:p>
    <w:p w14:paraId="48F12FCC">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（6）合理化建议（格式自拟）</w:t>
      </w:r>
    </w:p>
    <w:p w14:paraId="702FCDA5">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（7）服务承诺（格式自拟）</w:t>
      </w:r>
    </w:p>
    <w:p w14:paraId="1A8FFA3E">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rPr>
          <w:rFonts w:ascii="宋体" w:hAnsi="宋体" w:eastAsia="宋体" w:cs="宋体"/>
          <w:color w:val="auto"/>
          <w:sz w:val="24"/>
          <w:szCs w:val="24"/>
        </w:rPr>
      </w:pPr>
    </w:p>
    <w:p w14:paraId="3D3CBF23">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hint="eastAsia" w:ascii="宋体" w:hAnsi="宋体" w:eastAsia="宋体" w:cs="宋体"/>
          <w:color w:val="auto"/>
          <w:sz w:val="24"/>
          <w:szCs w:val="24"/>
          <w:shd w:val="clear" w:color="FFFFFF" w:fill="D9D9D9"/>
        </w:rPr>
      </w:pPr>
    </w:p>
    <w:p w14:paraId="79F32CFB">
      <w:pPr>
        <w:spacing w:before="79" w:line="185" w:lineRule="auto"/>
        <w:rPr>
          <w:rFonts w:ascii="宋体" w:hAnsi="宋体" w:eastAsia="宋体" w:cs="宋体"/>
          <w:color w:val="auto"/>
          <w:sz w:val="24"/>
          <w:szCs w:val="24"/>
        </w:rPr>
      </w:pPr>
    </w:p>
    <w:p w14:paraId="0F32CD25">
      <w:pPr>
        <w:spacing w:line="265" w:lineRule="auto"/>
        <w:rPr>
          <w:rFonts w:ascii="宋体"/>
          <w:color w:val="auto"/>
          <w:sz w:val="21"/>
        </w:rPr>
      </w:pPr>
    </w:p>
    <w:p w14:paraId="431096AF">
      <w:pPr>
        <w:spacing w:line="242" w:lineRule="auto"/>
        <w:rPr>
          <w:rFonts w:ascii="宋体"/>
          <w:color w:val="auto"/>
          <w:sz w:val="21"/>
        </w:rPr>
      </w:pPr>
    </w:p>
    <w:p w14:paraId="47B49BDE">
      <w:pPr>
        <w:pStyle w:val="20"/>
      </w:pPr>
    </w:p>
    <w:p w14:paraId="7DCE8686">
      <w:pPr>
        <w:rPr>
          <w:rFonts w:ascii="宋体" w:hAnsi="宋体" w:cs="宋体"/>
          <w:color w:val="464646"/>
          <w:kern w:val="0"/>
          <w:szCs w:val="21"/>
        </w:rPr>
      </w:pPr>
    </w:p>
    <w:p w14:paraId="756FF51D">
      <w:pPr>
        <w:rPr>
          <w:rFonts w:ascii="宋体" w:hAnsi="宋体" w:cs="宋体"/>
          <w:color w:val="464646"/>
          <w:kern w:val="0"/>
          <w:szCs w:val="21"/>
        </w:rPr>
      </w:pPr>
    </w:p>
    <w:p w14:paraId="6D9E771F">
      <w:pPr>
        <w:rPr>
          <w:rFonts w:ascii="宋体" w:hAnsi="宋体" w:cs="宋体"/>
          <w:color w:val="464646"/>
          <w:kern w:val="0"/>
          <w:szCs w:val="21"/>
        </w:rPr>
      </w:pPr>
    </w:p>
    <w:p w14:paraId="701B9A54">
      <w:pPr>
        <w:rPr>
          <w:rFonts w:ascii="宋体" w:hAnsi="宋体" w:cs="宋体"/>
          <w:color w:val="464646"/>
          <w:kern w:val="0"/>
          <w:szCs w:val="21"/>
        </w:rPr>
      </w:pPr>
    </w:p>
    <w:p w14:paraId="5F329E53">
      <w:pPr>
        <w:rPr>
          <w:rFonts w:ascii="宋体" w:hAnsi="宋体" w:cs="宋体"/>
          <w:color w:val="464646"/>
          <w:kern w:val="0"/>
          <w:szCs w:val="21"/>
        </w:rPr>
      </w:pPr>
    </w:p>
    <w:p w14:paraId="24383330">
      <w:pPr>
        <w:rPr>
          <w:rFonts w:ascii="宋体" w:hAnsi="宋体" w:cs="宋体"/>
          <w:color w:val="464646"/>
          <w:kern w:val="0"/>
          <w:szCs w:val="21"/>
        </w:rPr>
      </w:pPr>
    </w:p>
    <w:p w14:paraId="0B97CB6C">
      <w:pPr>
        <w:rPr>
          <w:rFonts w:ascii="宋体" w:hAnsi="宋体" w:cs="宋体"/>
          <w:color w:val="464646"/>
          <w:kern w:val="0"/>
          <w:szCs w:val="21"/>
        </w:rPr>
      </w:pPr>
    </w:p>
    <w:p w14:paraId="1A672AE4">
      <w:pPr>
        <w:rPr>
          <w:rFonts w:ascii="宋体" w:hAnsi="宋体" w:cs="宋体"/>
          <w:color w:val="464646"/>
          <w:kern w:val="0"/>
          <w:szCs w:val="21"/>
        </w:rPr>
      </w:pPr>
    </w:p>
    <w:p w14:paraId="15672525">
      <w:pPr>
        <w:rPr>
          <w:rFonts w:ascii="宋体" w:hAnsi="宋体" w:cs="宋体"/>
          <w:color w:val="464646"/>
          <w:kern w:val="0"/>
          <w:szCs w:val="21"/>
        </w:rPr>
      </w:pPr>
    </w:p>
    <w:p w14:paraId="6C0068BD">
      <w:pPr>
        <w:rPr>
          <w:rFonts w:ascii="宋体" w:hAnsi="宋体" w:cs="宋体"/>
          <w:color w:val="464646"/>
          <w:kern w:val="0"/>
          <w:szCs w:val="21"/>
        </w:rPr>
      </w:pPr>
    </w:p>
    <w:p w14:paraId="08A55BC9">
      <w:pPr>
        <w:rPr>
          <w:rFonts w:ascii="宋体" w:hAnsi="宋体" w:cs="宋体"/>
          <w:color w:val="464646"/>
          <w:kern w:val="0"/>
          <w:szCs w:val="21"/>
        </w:rPr>
      </w:pPr>
    </w:p>
    <w:p w14:paraId="2730EF76">
      <w:pPr>
        <w:rPr>
          <w:rFonts w:ascii="宋体" w:hAnsi="宋体" w:cs="宋体"/>
          <w:color w:val="464646"/>
          <w:kern w:val="0"/>
          <w:szCs w:val="21"/>
        </w:rPr>
      </w:pPr>
    </w:p>
    <w:p w14:paraId="58742697">
      <w:pPr>
        <w:bidi w:val="0"/>
      </w:pPr>
    </w:p>
    <w:p w14:paraId="0D7FA1D4">
      <w:pPr>
        <w:bidi w:val="0"/>
      </w:pPr>
    </w:p>
    <w:p w14:paraId="5F096192">
      <w:pPr>
        <w:bidi w:val="0"/>
      </w:pPr>
    </w:p>
    <w:p w14:paraId="4561FBB7">
      <w:pPr>
        <w:bidi w:val="0"/>
      </w:pPr>
    </w:p>
    <w:p w14:paraId="3204815F">
      <w:pPr>
        <w:bidi w:val="0"/>
      </w:pPr>
    </w:p>
    <w:p w14:paraId="4D7A8D17">
      <w:pPr>
        <w:bidi w:val="0"/>
      </w:pPr>
    </w:p>
    <w:p w14:paraId="2A049394">
      <w:pPr>
        <w:bidi w:val="0"/>
      </w:pPr>
    </w:p>
    <w:p w14:paraId="734EB9F4">
      <w:pPr>
        <w:bidi w:val="0"/>
      </w:pPr>
    </w:p>
    <w:p w14:paraId="748D74EC">
      <w:pPr>
        <w:bidi w:val="0"/>
      </w:pPr>
    </w:p>
    <w:p w14:paraId="0C92F0D3">
      <w:pPr>
        <w:bidi w:val="0"/>
      </w:pPr>
    </w:p>
    <w:p w14:paraId="148D997B">
      <w:pPr>
        <w:bidi w:val="0"/>
      </w:pPr>
    </w:p>
    <w:p w14:paraId="77945176">
      <w:pPr>
        <w:bidi w:val="0"/>
      </w:pPr>
    </w:p>
    <w:p w14:paraId="7123EF76">
      <w:pPr>
        <w:pStyle w:val="20"/>
      </w:pPr>
    </w:p>
    <w:p w14:paraId="5984DD29">
      <w:pPr>
        <w:pStyle w:val="14"/>
      </w:pPr>
    </w:p>
    <w:p w14:paraId="50ED25F7"/>
    <w:p w14:paraId="5F5BE59A"/>
    <w:p w14:paraId="62C6A9AE"/>
    <w:p w14:paraId="347A9AD5">
      <w:pPr>
        <w:pStyle w:val="20"/>
      </w:pPr>
    </w:p>
    <w:p w14:paraId="0E852859">
      <w:pPr>
        <w:pStyle w:val="14"/>
      </w:pPr>
    </w:p>
    <w:p w14:paraId="575BF2E6">
      <w:pPr>
        <w:bidi w:val="0"/>
      </w:pPr>
    </w:p>
    <w:p w14:paraId="02057C35">
      <w:pPr>
        <w:rPr>
          <w:rFonts w:hint="eastAsia" w:ascii="宋体" w:hAnsi="宋体" w:cs="宋体"/>
          <w:color w:val="auto"/>
          <w:kern w:val="0"/>
          <w:szCs w:val="21"/>
        </w:rPr>
      </w:pPr>
      <w:r>
        <w:rPr>
          <w:rFonts w:ascii="宋体" w:hAnsi="宋体" w:cs="宋体"/>
          <w:b/>
          <w:bCs/>
          <w:color w:val="auto"/>
          <w:kern w:val="0"/>
          <w:sz w:val="28"/>
          <w:szCs w:val="28"/>
        </w:rPr>
        <w:t>附件 ：</w:t>
      </w:r>
      <w:r>
        <w:rPr>
          <w:rFonts w:hint="eastAsia" w:ascii="宋体" w:hAnsi="宋体" w:cs="宋体"/>
          <w:b/>
          <w:bCs/>
          <w:color w:val="auto"/>
          <w:kern w:val="0"/>
          <w:sz w:val="28"/>
          <w:szCs w:val="28"/>
        </w:rPr>
        <w:t xml:space="preserve">  </w:t>
      </w:r>
      <w:r>
        <w:rPr>
          <w:rFonts w:hint="eastAsia" w:ascii="宋体" w:hAnsi="宋体" w:cs="宋体"/>
          <w:color w:val="auto"/>
          <w:kern w:val="0"/>
          <w:szCs w:val="21"/>
        </w:rPr>
        <w:t xml:space="preserve"> </w:t>
      </w:r>
    </w:p>
    <w:p w14:paraId="50F5F8CB">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jc w:val="center"/>
        <w:textAlignment w:val="baseline"/>
        <w:rPr>
          <w:rFonts w:hint="eastAsia" w:ascii="仿宋" w:hAnsi="仿宋" w:eastAsia="仿宋" w:cs="仿宋"/>
          <w:i w:val="0"/>
          <w:iCs w:val="0"/>
          <w:caps w:val="0"/>
          <w:color w:val="auto"/>
          <w:spacing w:val="0"/>
          <w:sz w:val="30"/>
          <w:szCs w:val="30"/>
          <w:vertAlign w:val="baseline"/>
        </w:rPr>
      </w:pPr>
      <w:r>
        <w:rPr>
          <w:rFonts w:hint="eastAsia" w:ascii="仿宋" w:hAnsi="仿宋" w:eastAsia="仿宋" w:cs="仿宋"/>
          <w:i w:val="0"/>
          <w:iCs w:val="0"/>
          <w:caps w:val="0"/>
          <w:color w:val="auto"/>
          <w:spacing w:val="0"/>
          <w:sz w:val="30"/>
          <w:szCs w:val="30"/>
          <w:vertAlign w:val="baseline"/>
        </w:rPr>
        <w:t>关于下达《新疆维吾尔自治区工程造价咨询服务收费管理规定》的</w:t>
      </w:r>
    </w:p>
    <w:p w14:paraId="2A520FFE">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jc w:val="center"/>
        <w:textAlignment w:val="baseline"/>
        <w:rPr>
          <w:rFonts w:hint="eastAsia" w:ascii="仿宋" w:hAnsi="仿宋" w:eastAsia="仿宋" w:cs="仿宋"/>
          <w:color w:val="auto"/>
          <w:sz w:val="30"/>
          <w:szCs w:val="30"/>
        </w:rPr>
      </w:pPr>
      <w:r>
        <w:rPr>
          <w:rFonts w:hint="eastAsia" w:ascii="仿宋" w:hAnsi="仿宋" w:eastAsia="仿宋" w:cs="仿宋"/>
          <w:i w:val="0"/>
          <w:iCs w:val="0"/>
          <w:caps w:val="0"/>
          <w:color w:val="auto"/>
          <w:spacing w:val="0"/>
          <w:sz w:val="30"/>
          <w:szCs w:val="30"/>
          <w:vertAlign w:val="baseline"/>
        </w:rPr>
        <w:t>通知</w:t>
      </w:r>
    </w:p>
    <w:p w14:paraId="5872FD56">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jc w:val="center"/>
        <w:textAlignment w:val="baseline"/>
        <w:rPr>
          <w:rFonts w:hint="eastAsia" w:ascii="仿宋" w:hAnsi="仿宋" w:eastAsia="仿宋" w:cs="仿宋"/>
          <w:i w:val="0"/>
          <w:iCs w:val="0"/>
          <w:caps w:val="0"/>
          <w:color w:val="auto"/>
          <w:spacing w:val="0"/>
          <w:sz w:val="30"/>
          <w:szCs w:val="30"/>
          <w:vertAlign w:val="baseline"/>
        </w:rPr>
      </w:pPr>
      <w:r>
        <w:rPr>
          <w:rFonts w:hint="eastAsia" w:ascii="仿宋" w:hAnsi="仿宋" w:eastAsia="仿宋" w:cs="仿宋"/>
          <w:b/>
          <w:bCs/>
          <w:i w:val="0"/>
          <w:iCs w:val="0"/>
          <w:caps w:val="0"/>
          <w:color w:val="auto"/>
          <w:spacing w:val="0"/>
          <w:sz w:val="30"/>
          <w:szCs w:val="30"/>
          <w:vertAlign w:val="baseline"/>
        </w:rPr>
        <w:t>新计价房［2002］866号</w:t>
      </w:r>
    </w:p>
    <w:p w14:paraId="29090862">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jc w:val="left"/>
        <w:textAlignment w:val="baseline"/>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vertAlign w:val="baseline"/>
        </w:rPr>
        <w:t>伊犁哈萨克自治州计委（物价局）、建设局，各地、州、市计委 (物价局)、建设局：</w:t>
      </w:r>
    </w:p>
    <w:p w14:paraId="39E681B4">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left"/>
        <w:textAlignment w:val="baseline"/>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vertAlign w:val="baseline"/>
        </w:rPr>
        <w:t>按照国务院及建设部有关规定，我区的工程造价咨询单位已完成了脱钩改制工作。为进一步加强对工程造价咨询单位收费的管理，规范收费行为，自治区计委、建设厅制定了《新疆维吾尔自治区工程造价咨询服务收费管理规定》 (以下简称《规定》)，现予以下达，请各地贯彻执行。</w:t>
      </w:r>
    </w:p>
    <w:p w14:paraId="3C69F103">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left"/>
        <w:textAlignment w:val="baseline"/>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vertAlign w:val="baseline"/>
        </w:rPr>
        <w:t>本《规定》施行前，已完成委托合同工作量 50％以上的，工程造价咨询收费仍按原合同执行；已完成委托合同工作量不足50％的，工程造价咨询服务收费由委托双方参照本《规定》协商确定。</w:t>
      </w:r>
    </w:p>
    <w:p w14:paraId="5BC5ED39">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left"/>
        <w:textAlignment w:val="baseline"/>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vertAlign w:val="baseline"/>
        </w:rPr>
        <w:t>新规定施行后，原自治区物价局、计委新价非字［ 1994］30号文件及附件同时废止。</w:t>
      </w:r>
    </w:p>
    <w:p w14:paraId="02F9C7F1">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left"/>
        <w:textAlignment w:val="baseline"/>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vertAlign w:val="baseline"/>
        </w:rPr>
        <w:t>附件：1.新疆维吾尔自治区工程造价咨询服务收费管理规定</w:t>
      </w:r>
    </w:p>
    <w:p w14:paraId="4DA40A32">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left"/>
        <w:textAlignment w:val="baseline"/>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vertAlign w:val="baseline"/>
        </w:rPr>
        <w:t>附件：2.工程造价咨询服务收费标准</w:t>
      </w:r>
    </w:p>
    <w:p w14:paraId="749C05B3">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left"/>
        <w:textAlignment w:val="baseline"/>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vertAlign w:val="baseline"/>
        </w:rPr>
        <w:t>附件1：新疆维吾尔自治区工程造价咨询服务收费管理规定</w:t>
      </w:r>
    </w:p>
    <w:p w14:paraId="29427A10">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left"/>
        <w:textAlignment w:val="baseline"/>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vertAlign w:val="baseline"/>
        </w:rPr>
        <w:t>第一条</w:t>
      </w:r>
      <w:r>
        <w:rPr>
          <w:rFonts w:hint="eastAsia" w:ascii="仿宋" w:hAnsi="仿宋" w:eastAsia="仿宋" w:cs="仿宋"/>
          <w:i w:val="0"/>
          <w:iCs w:val="0"/>
          <w:caps w:val="0"/>
          <w:color w:val="auto"/>
          <w:spacing w:val="0"/>
          <w:sz w:val="28"/>
          <w:szCs w:val="28"/>
          <w:vertAlign w:val="baseline"/>
          <w:lang w:val="en-US" w:eastAsia="zh-CN"/>
        </w:rPr>
        <w:t xml:space="preserve">  </w:t>
      </w:r>
      <w:r>
        <w:rPr>
          <w:rFonts w:hint="eastAsia" w:ascii="仿宋" w:hAnsi="仿宋" w:eastAsia="仿宋" w:cs="仿宋"/>
          <w:i w:val="0"/>
          <w:iCs w:val="0"/>
          <w:caps w:val="0"/>
          <w:color w:val="auto"/>
          <w:spacing w:val="0"/>
          <w:sz w:val="28"/>
          <w:szCs w:val="28"/>
          <w:vertAlign w:val="baseline"/>
        </w:rPr>
        <w:t>为规范工程造价咨询服务收费行为，维护当事人的合法权益，根据《中华人民共和国价格法》及有关法律、法规、规章，结合自治区实际情况，制定本规定。</w:t>
      </w:r>
    </w:p>
    <w:p w14:paraId="4DE28331">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left"/>
        <w:textAlignment w:val="baseline"/>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vertAlign w:val="baseline"/>
        </w:rPr>
        <w:t>第二条</w:t>
      </w:r>
      <w:r>
        <w:rPr>
          <w:rFonts w:hint="eastAsia" w:ascii="仿宋" w:hAnsi="仿宋" w:eastAsia="仿宋" w:cs="仿宋"/>
          <w:i w:val="0"/>
          <w:iCs w:val="0"/>
          <w:caps w:val="0"/>
          <w:color w:val="auto"/>
          <w:spacing w:val="0"/>
          <w:sz w:val="28"/>
          <w:szCs w:val="28"/>
          <w:vertAlign w:val="baseline"/>
          <w:lang w:val="en-US" w:eastAsia="zh-CN"/>
        </w:rPr>
        <w:t xml:space="preserve">  </w:t>
      </w:r>
      <w:r>
        <w:rPr>
          <w:rFonts w:hint="eastAsia" w:ascii="仿宋" w:hAnsi="仿宋" w:eastAsia="仿宋" w:cs="仿宋"/>
          <w:i w:val="0"/>
          <w:iCs w:val="0"/>
          <w:caps w:val="0"/>
          <w:color w:val="auto"/>
          <w:spacing w:val="0"/>
          <w:sz w:val="28"/>
          <w:szCs w:val="28"/>
          <w:vertAlign w:val="baseline"/>
        </w:rPr>
        <w:t>本规定及收费标准适用于自治区境内依法取得相关业务资质的建设工程造价咨询服务收费行为。</w:t>
      </w:r>
    </w:p>
    <w:p w14:paraId="5C41F929">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left"/>
        <w:textAlignment w:val="baseline"/>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vertAlign w:val="baseline"/>
        </w:rPr>
        <w:t>第三条</w:t>
      </w:r>
      <w:r>
        <w:rPr>
          <w:rFonts w:hint="eastAsia" w:ascii="仿宋" w:hAnsi="仿宋" w:eastAsia="仿宋" w:cs="仿宋"/>
          <w:i w:val="0"/>
          <w:iCs w:val="0"/>
          <w:caps w:val="0"/>
          <w:color w:val="auto"/>
          <w:spacing w:val="0"/>
          <w:sz w:val="28"/>
          <w:szCs w:val="28"/>
          <w:vertAlign w:val="baseline"/>
          <w:lang w:val="en-US" w:eastAsia="zh-CN"/>
        </w:rPr>
        <w:t xml:space="preserve">  </w:t>
      </w:r>
      <w:r>
        <w:rPr>
          <w:rFonts w:hint="eastAsia" w:ascii="仿宋" w:hAnsi="仿宋" w:eastAsia="仿宋" w:cs="仿宋"/>
          <w:i w:val="0"/>
          <w:iCs w:val="0"/>
          <w:caps w:val="0"/>
          <w:color w:val="auto"/>
          <w:spacing w:val="0"/>
          <w:sz w:val="28"/>
          <w:szCs w:val="28"/>
          <w:vertAlign w:val="baseline"/>
        </w:rPr>
        <w:t>本规定所称工程造价咨询服务收费包括：建设项目投资估算的编制、审核及项目经济评价；工程概算、预算、结算、竣工决算、工程招标底价、投标报价的编制、审核；工程变更及合同价款的调整和索赔费用的计算；建设项目各阶段的工程造价控制；工程经济纠纷的鉴定以及其它与工程造价业务有关的服务。</w:t>
      </w:r>
    </w:p>
    <w:p w14:paraId="379C7912">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left"/>
        <w:textAlignment w:val="baseline"/>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vertAlign w:val="baseline"/>
        </w:rPr>
        <w:t>第四条</w:t>
      </w:r>
      <w:r>
        <w:rPr>
          <w:rFonts w:hint="eastAsia" w:ascii="仿宋" w:hAnsi="仿宋" w:eastAsia="仿宋" w:cs="仿宋"/>
          <w:i w:val="0"/>
          <w:iCs w:val="0"/>
          <w:caps w:val="0"/>
          <w:color w:val="auto"/>
          <w:spacing w:val="0"/>
          <w:sz w:val="28"/>
          <w:szCs w:val="28"/>
          <w:vertAlign w:val="baseline"/>
          <w:lang w:val="en-US" w:eastAsia="zh-CN"/>
        </w:rPr>
        <w:t xml:space="preserve">  </w:t>
      </w:r>
      <w:r>
        <w:rPr>
          <w:rFonts w:hint="eastAsia" w:ascii="仿宋" w:hAnsi="仿宋" w:eastAsia="仿宋" w:cs="仿宋"/>
          <w:i w:val="0"/>
          <w:iCs w:val="0"/>
          <w:caps w:val="0"/>
          <w:color w:val="auto"/>
          <w:spacing w:val="0"/>
          <w:sz w:val="28"/>
          <w:szCs w:val="28"/>
          <w:vertAlign w:val="baseline"/>
        </w:rPr>
        <w:t>工程造价咨询服务收费根据服务内容分别实行政府指导价和市场调节价。工程概算、预算、竣工结   (决)算、工程招标底价、投标报价的审核以及工程经济纠纷的鉴定收费实行政府指导价。除上述服务内容外，第三条中的其它服务内容实行市场调节价。</w:t>
      </w:r>
    </w:p>
    <w:p w14:paraId="6EF51820">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left"/>
        <w:textAlignment w:val="baseline"/>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vertAlign w:val="baseline"/>
        </w:rPr>
        <w:t>第五条</w:t>
      </w:r>
      <w:r>
        <w:rPr>
          <w:rFonts w:hint="eastAsia" w:ascii="仿宋" w:hAnsi="仿宋" w:eastAsia="仿宋" w:cs="仿宋"/>
          <w:i w:val="0"/>
          <w:iCs w:val="0"/>
          <w:caps w:val="0"/>
          <w:color w:val="auto"/>
          <w:spacing w:val="0"/>
          <w:sz w:val="28"/>
          <w:szCs w:val="28"/>
          <w:vertAlign w:val="baseline"/>
          <w:lang w:val="en-US" w:eastAsia="zh-CN"/>
        </w:rPr>
        <w:t xml:space="preserve">  </w:t>
      </w:r>
      <w:r>
        <w:rPr>
          <w:rFonts w:hint="eastAsia" w:ascii="仿宋" w:hAnsi="仿宋" w:eastAsia="仿宋" w:cs="仿宋"/>
          <w:i w:val="0"/>
          <w:iCs w:val="0"/>
          <w:caps w:val="0"/>
          <w:color w:val="auto"/>
          <w:spacing w:val="0"/>
          <w:sz w:val="28"/>
          <w:szCs w:val="28"/>
          <w:vertAlign w:val="baseline"/>
        </w:rPr>
        <w:t>实行政府指导价的工程造价咨询服务收费标准按差额定率分档累进法计算，基准价见附表。根据工程项目难易程度，委托双方可以在基准价的基础上，上下10％的浮动幅度范围内，协商确定具体收费标准。</w:t>
      </w:r>
    </w:p>
    <w:p w14:paraId="5B57A670">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left"/>
        <w:textAlignment w:val="baseline"/>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vertAlign w:val="baseline"/>
        </w:rPr>
        <w:t>实行市场调节价的工程造价咨询服务收费，由委托双方协商确定收费标准。</w:t>
      </w:r>
    </w:p>
    <w:p w14:paraId="241E3EE5">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left"/>
        <w:textAlignment w:val="baseline"/>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vertAlign w:val="baseline"/>
        </w:rPr>
        <w:t>第六条</w:t>
      </w:r>
      <w:r>
        <w:rPr>
          <w:rFonts w:hint="eastAsia" w:ascii="仿宋" w:hAnsi="仿宋" w:eastAsia="仿宋" w:cs="仿宋"/>
          <w:i w:val="0"/>
          <w:iCs w:val="0"/>
          <w:caps w:val="0"/>
          <w:color w:val="auto"/>
          <w:spacing w:val="0"/>
          <w:sz w:val="28"/>
          <w:szCs w:val="28"/>
          <w:vertAlign w:val="baseline"/>
          <w:lang w:val="en-US" w:eastAsia="zh-CN"/>
        </w:rPr>
        <w:t xml:space="preserve">  </w:t>
      </w:r>
      <w:r>
        <w:rPr>
          <w:rFonts w:hint="eastAsia" w:ascii="仿宋" w:hAnsi="仿宋" w:eastAsia="仿宋" w:cs="仿宋"/>
          <w:i w:val="0"/>
          <w:iCs w:val="0"/>
          <w:caps w:val="0"/>
          <w:color w:val="auto"/>
          <w:spacing w:val="0"/>
          <w:sz w:val="28"/>
          <w:szCs w:val="28"/>
          <w:vertAlign w:val="baseline"/>
        </w:rPr>
        <w:t>对于涉外工程造价咨询业务中有特殊要求的，工程造价单位可与委托方协商确定咨询费用。</w:t>
      </w:r>
    </w:p>
    <w:p w14:paraId="6DEA2961">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left"/>
        <w:textAlignment w:val="baseline"/>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vertAlign w:val="baseline"/>
        </w:rPr>
        <w:t>第七条</w:t>
      </w:r>
      <w:r>
        <w:rPr>
          <w:rFonts w:hint="eastAsia" w:ascii="仿宋" w:hAnsi="仿宋" w:eastAsia="仿宋" w:cs="仿宋"/>
          <w:i w:val="0"/>
          <w:iCs w:val="0"/>
          <w:caps w:val="0"/>
          <w:color w:val="auto"/>
          <w:spacing w:val="0"/>
          <w:sz w:val="28"/>
          <w:szCs w:val="28"/>
          <w:vertAlign w:val="baseline"/>
          <w:lang w:val="en-US" w:eastAsia="zh-CN"/>
        </w:rPr>
        <w:t xml:space="preserve">  </w:t>
      </w:r>
      <w:r>
        <w:rPr>
          <w:rFonts w:hint="eastAsia" w:ascii="仿宋" w:hAnsi="仿宋" w:eastAsia="仿宋" w:cs="仿宋"/>
          <w:i w:val="0"/>
          <w:iCs w:val="0"/>
          <w:caps w:val="0"/>
          <w:color w:val="auto"/>
          <w:spacing w:val="0"/>
          <w:sz w:val="28"/>
          <w:szCs w:val="28"/>
          <w:vertAlign w:val="baseline"/>
        </w:rPr>
        <w:t>工程造价咨询单位实施收费必须具备下列条件：</w:t>
      </w:r>
    </w:p>
    <w:p w14:paraId="559798DC">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left"/>
        <w:textAlignment w:val="baseline"/>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vertAlign w:val="baseline"/>
        </w:rPr>
        <w:t>1．经工商行政管理部门批准，办理注册登记，取得《法人营业执照》；</w:t>
      </w:r>
    </w:p>
    <w:p w14:paraId="1A3DC9CD">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left"/>
        <w:textAlignment w:val="baseline"/>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vertAlign w:val="baseline"/>
        </w:rPr>
        <w:t> 2．持国家或自治区建设行政主管部门核发的《工程造价咨询单位资质证书》；</w:t>
      </w:r>
    </w:p>
    <w:p w14:paraId="2627C110">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left"/>
        <w:textAlignment w:val="baseline"/>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vertAlign w:val="baseline"/>
        </w:rPr>
        <w:t> 3．依法进行税务登记，取得税务登记证书。</w:t>
      </w:r>
    </w:p>
    <w:p w14:paraId="21AD0946">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left"/>
        <w:textAlignment w:val="baseline"/>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vertAlign w:val="baseline"/>
        </w:rPr>
        <w:t>第八条</w:t>
      </w:r>
      <w:r>
        <w:rPr>
          <w:rFonts w:hint="eastAsia" w:ascii="仿宋" w:hAnsi="仿宋" w:eastAsia="仿宋" w:cs="仿宋"/>
          <w:i w:val="0"/>
          <w:iCs w:val="0"/>
          <w:caps w:val="0"/>
          <w:color w:val="auto"/>
          <w:spacing w:val="0"/>
          <w:sz w:val="28"/>
          <w:szCs w:val="28"/>
          <w:vertAlign w:val="baseline"/>
          <w:lang w:val="en-US" w:eastAsia="zh-CN"/>
        </w:rPr>
        <w:t xml:space="preserve">  </w:t>
      </w:r>
      <w:r>
        <w:rPr>
          <w:rFonts w:hint="eastAsia" w:ascii="仿宋" w:hAnsi="仿宋" w:eastAsia="仿宋" w:cs="仿宋"/>
          <w:i w:val="0"/>
          <w:iCs w:val="0"/>
          <w:caps w:val="0"/>
          <w:color w:val="auto"/>
          <w:spacing w:val="0"/>
          <w:sz w:val="28"/>
          <w:szCs w:val="28"/>
          <w:vertAlign w:val="baseline"/>
        </w:rPr>
        <w:t>工程造价咨询单位服务收费时应遵循公开、公正、诚实信用的原则，与委托人签订委托合同，明确服务内容、时限、质量、双方义务和责任、收费的方式、收费标准和付款时间。</w:t>
      </w:r>
    </w:p>
    <w:p w14:paraId="71D06B35">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left"/>
        <w:textAlignment w:val="baseline"/>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vertAlign w:val="baseline"/>
        </w:rPr>
        <w:t>第九条</w:t>
      </w:r>
      <w:r>
        <w:rPr>
          <w:rFonts w:hint="eastAsia" w:ascii="仿宋" w:hAnsi="仿宋" w:eastAsia="仿宋" w:cs="仿宋"/>
          <w:i w:val="0"/>
          <w:iCs w:val="0"/>
          <w:caps w:val="0"/>
          <w:color w:val="auto"/>
          <w:spacing w:val="0"/>
          <w:sz w:val="28"/>
          <w:szCs w:val="28"/>
          <w:vertAlign w:val="baseline"/>
          <w:lang w:val="en-US" w:eastAsia="zh-CN"/>
        </w:rPr>
        <w:t xml:space="preserve">  </w:t>
      </w:r>
      <w:r>
        <w:rPr>
          <w:rFonts w:hint="eastAsia" w:ascii="仿宋" w:hAnsi="仿宋" w:eastAsia="仿宋" w:cs="仿宋"/>
          <w:i w:val="0"/>
          <w:iCs w:val="0"/>
          <w:caps w:val="0"/>
          <w:color w:val="auto"/>
          <w:spacing w:val="0"/>
          <w:sz w:val="28"/>
          <w:szCs w:val="28"/>
          <w:vertAlign w:val="baseline"/>
        </w:rPr>
        <w:t>工程造价咨询单位应当按照国家计委第 8号令《关于商品和服务实行明码标价的规定》，告知委托人有关服务项目、服务内容、收费依据以及收费标准。</w:t>
      </w:r>
    </w:p>
    <w:p w14:paraId="50AF8742">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left"/>
        <w:textAlignment w:val="baseline"/>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vertAlign w:val="baseline"/>
        </w:rPr>
        <w:t>第十条</w:t>
      </w:r>
      <w:r>
        <w:rPr>
          <w:rFonts w:hint="eastAsia" w:ascii="仿宋" w:hAnsi="仿宋" w:eastAsia="仿宋" w:cs="仿宋"/>
          <w:i w:val="0"/>
          <w:iCs w:val="0"/>
          <w:caps w:val="0"/>
          <w:color w:val="auto"/>
          <w:spacing w:val="0"/>
          <w:sz w:val="28"/>
          <w:szCs w:val="28"/>
          <w:vertAlign w:val="baseline"/>
          <w:lang w:val="en-US" w:eastAsia="zh-CN"/>
        </w:rPr>
        <w:t xml:space="preserve">  </w:t>
      </w:r>
      <w:r>
        <w:rPr>
          <w:rFonts w:hint="eastAsia" w:ascii="仿宋" w:hAnsi="仿宋" w:eastAsia="仿宋" w:cs="仿宋"/>
          <w:i w:val="0"/>
          <w:iCs w:val="0"/>
          <w:caps w:val="0"/>
          <w:color w:val="auto"/>
          <w:spacing w:val="0"/>
          <w:sz w:val="28"/>
          <w:szCs w:val="28"/>
          <w:vertAlign w:val="baseline"/>
        </w:rPr>
        <w:t>工程造价咨询实行自愿委托、委托人付费，任何部门、单位和个人都不得强制服务，强行收费。</w:t>
      </w:r>
    </w:p>
    <w:p w14:paraId="4890F2A6">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left"/>
        <w:textAlignment w:val="baseline"/>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vertAlign w:val="baseline"/>
        </w:rPr>
        <w:t>第十一条</w:t>
      </w:r>
      <w:r>
        <w:rPr>
          <w:rFonts w:hint="eastAsia" w:ascii="仿宋" w:hAnsi="仿宋" w:eastAsia="仿宋" w:cs="仿宋"/>
          <w:i w:val="0"/>
          <w:iCs w:val="0"/>
          <w:caps w:val="0"/>
          <w:color w:val="auto"/>
          <w:spacing w:val="0"/>
          <w:sz w:val="28"/>
          <w:szCs w:val="28"/>
          <w:vertAlign w:val="baseline"/>
          <w:lang w:val="en-US" w:eastAsia="zh-CN"/>
        </w:rPr>
        <w:t xml:space="preserve">  </w:t>
      </w:r>
      <w:r>
        <w:rPr>
          <w:rFonts w:hint="eastAsia" w:ascii="仿宋" w:hAnsi="仿宋" w:eastAsia="仿宋" w:cs="仿宋"/>
          <w:i w:val="0"/>
          <w:iCs w:val="0"/>
          <w:caps w:val="0"/>
          <w:color w:val="auto"/>
          <w:spacing w:val="0"/>
          <w:sz w:val="28"/>
          <w:szCs w:val="28"/>
          <w:vertAlign w:val="baseline"/>
        </w:rPr>
        <w:t>工程造价咨询单位应按照国家和自治区有关造价咨询的法规、政策及业务规程提供咨询服务，保证成果文件的合法性和真实性。工程造价咨询结果达不到合同规定的工作内容和深度的，工程造价咨询单位应负责修改完善，委托方不再另支付咨询费。咨询结果造成委托方经济损失的，应按合同法和委托合同承担相应的法律、经济责任。</w:t>
      </w:r>
    </w:p>
    <w:p w14:paraId="489CDB25">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left"/>
        <w:textAlignment w:val="baseline"/>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vertAlign w:val="baseline"/>
        </w:rPr>
        <w:t>第十二条</w:t>
      </w:r>
      <w:r>
        <w:rPr>
          <w:rFonts w:hint="eastAsia" w:ascii="仿宋" w:hAnsi="仿宋" w:eastAsia="仿宋" w:cs="仿宋"/>
          <w:i w:val="0"/>
          <w:iCs w:val="0"/>
          <w:caps w:val="0"/>
          <w:color w:val="auto"/>
          <w:spacing w:val="0"/>
          <w:sz w:val="28"/>
          <w:szCs w:val="28"/>
          <w:vertAlign w:val="baseline"/>
          <w:lang w:val="en-US" w:eastAsia="zh-CN"/>
        </w:rPr>
        <w:t xml:space="preserve">  </w:t>
      </w:r>
      <w:r>
        <w:rPr>
          <w:rFonts w:hint="eastAsia" w:ascii="仿宋" w:hAnsi="仿宋" w:eastAsia="仿宋" w:cs="仿宋"/>
          <w:i w:val="0"/>
          <w:iCs w:val="0"/>
          <w:caps w:val="0"/>
          <w:color w:val="auto"/>
          <w:spacing w:val="0"/>
          <w:sz w:val="28"/>
          <w:szCs w:val="28"/>
          <w:vertAlign w:val="baseline"/>
        </w:rPr>
        <w:t>委托方应按照合同规定及时间向工程造价咨询单位提供咨询业务所必须的工作条件和资料。由于委托方原因造成延长期限的，工程造价咨询单位不承担违约责任。</w:t>
      </w:r>
    </w:p>
    <w:p w14:paraId="2830F0F7">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left"/>
        <w:textAlignment w:val="baseline"/>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vertAlign w:val="baseline"/>
        </w:rPr>
        <w:t>第十三条</w:t>
      </w:r>
      <w:r>
        <w:rPr>
          <w:rFonts w:hint="eastAsia" w:ascii="仿宋" w:hAnsi="仿宋" w:eastAsia="仿宋" w:cs="仿宋"/>
          <w:i w:val="0"/>
          <w:iCs w:val="0"/>
          <w:caps w:val="0"/>
          <w:color w:val="auto"/>
          <w:spacing w:val="0"/>
          <w:sz w:val="28"/>
          <w:szCs w:val="28"/>
          <w:vertAlign w:val="baseline"/>
          <w:lang w:val="en-US" w:eastAsia="zh-CN"/>
        </w:rPr>
        <w:t xml:space="preserve">  </w:t>
      </w:r>
      <w:r>
        <w:rPr>
          <w:rFonts w:hint="eastAsia" w:ascii="仿宋" w:hAnsi="仿宋" w:eastAsia="仿宋" w:cs="仿宋"/>
          <w:i w:val="0"/>
          <w:iCs w:val="0"/>
          <w:caps w:val="0"/>
          <w:color w:val="auto"/>
          <w:spacing w:val="0"/>
          <w:sz w:val="28"/>
          <w:szCs w:val="28"/>
          <w:vertAlign w:val="baseline"/>
        </w:rPr>
        <w:t>委托方对工程造价咨询结果有异议的，可按国家及自治区有关规定提请第三方进行复核。经复核后，确认误差在±3％以内的，由委托方承担复核所造成的费用；误差在±3％以上的，原工程造价咨询单位承担复核所造成的费用，同时应退还收取的服务费，具体金额由双方在合同中约定。</w:t>
      </w:r>
    </w:p>
    <w:p w14:paraId="6E9CBE57">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left"/>
        <w:textAlignment w:val="baseline"/>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vertAlign w:val="baseline"/>
        </w:rPr>
        <w:t>第十四条</w:t>
      </w:r>
      <w:r>
        <w:rPr>
          <w:rFonts w:hint="eastAsia" w:ascii="仿宋" w:hAnsi="仿宋" w:eastAsia="仿宋" w:cs="仿宋"/>
          <w:i w:val="0"/>
          <w:iCs w:val="0"/>
          <w:caps w:val="0"/>
          <w:color w:val="auto"/>
          <w:spacing w:val="0"/>
          <w:sz w:val="28"/>
          <w:szCs w:val="28"/>
          <w:vertAlign w:val="baseline"/>
          <w:lang w:val="en-US" w:eastAsia="zh-CN"/>
        </w:rPr>
        <w:t xml:space="preserve">  </w:t>
      </w:r>
      <w:r>
        <w:rPr>
          <w:rFonts w:hint="eastAsia" w:ascii="仿宋" w:hAnsi="仿宋" w:eastAsia="仿宋" w:cs="仿宋"/>
          <w:i w:val="0"/>
          <w:iCs w:val="0"/>
          <w:caps w:val="0"/>
          <w:color w:val="auto"/>
          <w:spacing w:val="0"/>
          <w:sz w:val="28"/>
          <w:szCs w:val="28"/>
          <w:vertAlign w:val="baseline"/>
        </w:rPr>
        <w:t>违反本规定和国家有关价格法律、法规规定的，由政府价格主管部门依据《中华人民共和国价格法》、《价格违法行为行政处罚规定》予以处罚。</w:t>
      </w:r>
    </w:p>
    <w:p w14:paraId="7D8F0562">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left"/>
        <w:textAlignment w:val="baseline"/>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vertAlign w:val="baseline"/>
        </w:rPr>
        <w:t>第十五条</w:t>
      </w:r>
      <w:r>
        <w:rPr>
          <w:rFonts w:hint="eastAsia" w:ascii="仿宋" w:hAnsi="仿宋" w:eastAsia="仿宋" w:cs="仿宋"/>
          <w:i w:val="0"/>
          <w:iCs w:val="0"/>
          <w:caps w:val="0"/>
          <w:color w:val="auto"/>
          <w:spacing w:val="0"/>
          <w:sz w:val="28"/>
          <w:szCs w:val="28"/>
          <w:vertAlign w:val="baseline"/>
          <w:lang w:val="en-US" w:eastAsia="zh-CN"/>
        </w:rPr>
        <w:t xml:space="preserve"> </w:t>
      </w:r>
      <w:r>
        <w:rPr>
          <w:rFonts w:hint="eastAsia" w:ascii="仿宋" w:hAnsi="仿宋" w:eastAsia="仿宋" w:cs="仿宋"/>
          <w:i w:val="0"/>
          <w:iCs w:val="0"/>
          <w:caps w:val="0"/>
          <w:color w:val="auto"/>
          <w:spacing w:val="0"/>
          <w:sz w:val="28"/>
          <w:szCs w:val="28"/>
          <w:vertAlign w:val="baseline"/>
        </w:rPr>
        <w:t>本规定及所附收费标准由自治区发展计划委员会负责解释。</w:t>
      </w:r>
    </w:p>
    <w:p w14:paraId="169507B2">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left"/>
        <w:textAlignment w:val="baseline"/>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vertAlign w:val="baseline"/>
        </w:rPr>
        <w:t>第十六条</w:t>
      </w:r>
      <w:r>
        <w:rPr>
          <w:rFonts w:hint="eastAsia" w:ascii="仿宋" w:hAnsi="仿宋" w:eastAsia="仿宋" w:cs="仿宋"/>
          <w:i w:val="0"/>
          <w:iCs w:val="0"/>
          <w:caps w:val="0"/>
          <w:color w:val="auto"/>
          <w:spacing w:val="0"/>
          <w:sz w:val="28"/>
          <w:szCs w:val="28"/>
          <w:vertAlign w:val="baseline"/>
          <w:lang w:val="en-US" w:eastAsia="zh-CN"/>
        </w:rPr>
        <w:t xml:space="preserve">  </w:t>
      </w:r>
      <w:r>
        <w:rPr>
          <w:rFonts w:hint="eastAsia" w:ascii="仿宋" w:hAnsi="仿宋" w:eastAsia="仿宋" w:cs="仿宋"/>
          <w:i w:val="0"/>
          <w:iCs w:val="0"/>
          <w:caps w:val="0"/>
          <w:color w:val="auto"/>
          <w:spacing w:val="0"/>
          <w:sz w:val="28"/>
          <w:szCs w:val="28"/>
          <w:vertAlign w:val="baseline"/>
        </w:rPr>
        <w:t>本规定自二○○二年六月一日起施行。</w:t>
      </w:r>
    </w:p>
    <w:p w14:paraId="7313DA8B">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left"/>
        <w:textAlignment w:val="baseline"/>
        <w:rPr>
          <w:rFonts w:hint="eastAsia" w:ascii="仿宋" w:hAnsi="仿宋" w:eastAsia="仿宋" w:cs="仿宋"/>
          <w:i w:val="0"/>
          <w:iCs w:val="0"/>
          <w:caps w:val="0"/>
          <w:color w:val="auto"/>
          <w:spacing w:val="0"/>
          <w:sz w:val="28"/>
          <w:szCs w:val="28"/>
          <w:vertAlign w:val="baseline"/>
        </w:rPr>
      </w:pPr>
    </w:p>
    <w:p w14:paraId="61B70710">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left"/>
        <w:textAlignment w:val="baseline"/>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vertAlign w:val="baseline"/>
        </w:rPr>
        <w:t>附件2：工程造价咨询服务收费标准</w:t>
      </w:r>
    </w:p>
    <w:p w14:paraId="542E3EE8">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left"/>
        <w:textAlignment w:val="baseline"/>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rPr>
        <w:drawing>
          <wp:anchor distT="0" distB="0" distL="114300" distR="114300" simplePos="0" relativeHeight="251664384" behindDoc="0" locked="0" layoutInCell="1" allowOverlap="1">
            <wp:simplePos x="0" y="0"/>
            <wp:positionH relativeFrom="column">
              <wp:posOffset>76200</wp:posOffset>
            </wp:positionH>
            <wp:positionV relativeFrom="paragraph">
              <wp:posOffset>37465</wp:posOffset>
            </wp:positionV>
            <wp:extent cx="5711825" cy="2299335"/>
            <wp:effectExtent l="0" t="0" r="3175" b="1905"/>
            <wp:wrapTopAndBottom/>
            <wp:docPr id="4" name="图片 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57"/>
                    <pic:cNvPicPr>
                      <a:picLocks noChangeAspect="1"/>
                    </pic:cNvPicPr>
                  </pic:nvPicPr>
                  <pic:blipFill>
                    <a:blip r:embed="rId20"/>
                    <a:stretch>
                      <a:fillRect/>
                    </a:stretch>
                  </pic:blipFill>
                  <pic:spPr>
                    <a:xfrm>
                      <a:off x="0" y="0"/>
                      <a:ext cx="5711825" cy="2299335"/>
                    </a:xfrm>
                    <a:prstGeom prst="rect">
                      <a:avLst/>
                    </a:prstGeom>
                    <a:noFill/>
                    <a:ln>
                      <a:noFill/>
                    </a:ln>
                  </pic:spPr>
                </pic:pic>
              </a:graphicData>
            </a:graphic>
          </wp:anchor>
        </w:drawing>
      </w:r>
      <w:r>
        <w:rPr>
          <w:rFonts w:hint="eastAsia" w:ascii="仿宋" w:hAnsi="仿宋" w:eastAsia="仿宋" w:cs="仿宋"/>
          <w:i w:val="0"/>
          <w:iCs w:val="0"/>
          <w:caps w:val="0"/>
          <w:color w:val="auto"/>
          <w:spacing w:val="0"/>
          <w:sz w:val="28"/>
          <w:szCs w:val="28"/>
          <w:vertAlign w:val="baseline"/>
        </w:rPr>
        <w:t>(差额定率分档累进法)</w:t>
      </w:r>
    </w:p>
    <w:p w14:paraId="7B7A67B7">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baseline"/>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vertAlign w:val="baseline"/>
        </w:rPr>
        <w:t>按上述收费标准计算服务费不足 1000元的，按1000元收取。</w:t>
      </w:r>
    </w:p>
    <w:p w14:paraId="31A13F5E">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baseline"/>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vertAlign w:val="baseline"/>
        </w:rPr>
        <w:t>例如：某项目审核竣工结算的建安工程费为8000万元，服务费为200×6.0‰+(500-200)×5.0‰＋(1000-500)×4.5‰+(3000-1000)×4.0‰+(5000-3000)×3.5‰+(8000-5000)×3.0‰＝29.7万元</w:t>
      </w:r>
    </w:p>
    <w:p w14:paraId="7F8A3DF1">
      <w:pPr>
        <w:rPr>
          <w:rFonts w:hint="eastAsia"/>
          <w:lang w:val="en-US" w:eastAsia="zh-CN"/>
        </w:rPr>
      </w:pPr>
    </w:p>
    <w:p w14:paraId="238C92C1">
      <w:pPr>
        <w:tabs>
          <w:tab w:val="left" w:pos="8280"/>
        </w:tabs>
        <w:spacing w:line="600" w:lineRule="exact"/>
        <w:ind w:firstLine="3012"/>
        <w:rPr>
          <w:rFonts w:eastAsia="楷体"/>
          <w:color w:val="auto"/>
        </w:rPr>
      </w:pPr>
      <w:r>
        <w:rPr>
          <w:rFonts w:eastAsia="楷体"/>
          <w:b/>
          <w:color w:val="auto"/>
          <w:highlight w:val="none"/>
        </w:rPr>
        <w:t xml:space="preserve">   </w:t>
      </w:r>
    </w:p>
    <w:p w14:paraId="714605D7">
      <w:pPr>
        <w:rPr>
          <w:color w:val="auto"/>
        </w:rPr>
      </w:pPr>
    </w:p>
    <w:sectPr>
      <w:headerReference r:id="rId17" w:type="default"/>
      <w:footerReference r:id="rId18" w:type="default"/>
      <w:pgSz w:w="11911" w:h="16849"/>
      <w:pgMar w:top="1423" w:right="1361" w:bottom="1355" w:left="1480" w:header="1077" w:footer="1140" w:gutter="0"/>
      <w:cols w:space="0" w:num="1"/>
      <w:rtlGutter w:val="0"/>
      <w:docGrid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34934">
    <w:pPr>
      <w:tabs>
        <w:tab w:val="center" w:pos="4153"/>
        <w:tab w:val="right" w:pos="8306"/>
      </w:tabs>
      <w:snapToGrid w:val="0"/>
      <w:jc w:val="center"/>
    </w:pPr>
    <w:r>
      <w:rPr>
        <w:lang w:bidi="ug-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a:effectLst/>
                    </wps:spPr>
                    <wps:txbx>
                      <w:txbxContent>
                        <w:p w14:paraId="4271CAC7">
                          <w:pPr>
                            <w:pStyle w:val="17"/>
                          </w:pPr>
                        </w:p>
                      </w:txbxContent>
                    </wps:txbx>
                    <wps:bodyPr rot="0" vert="horz" wrap="none" lIns="0" tIns="0" rIns="0" bIns="0" anchor="t" anchorCtr="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ifdr9MAAAAF&#10;AQAADwAAAAAAAAABACAAAAAiAAAAZHJzL2Rvd25yZXYueG1sUEsBAhQAFAAAAAgAh07iQCxXDYXo&#10;AQAA0wMAAA4AAAAAAAAAAQAgAAAAIgEAAGRycy9lMm9Eb2MueG1sUEsFBgAAAAAGAAYAWQEAAHwF&#10;AAAAAA==&#10;">
              <v:fill on="f" focussize="0,0"/>
              <v:stroke on="f" weight="1pt"/>
              <v:imagedata o:title=""/>
              <o:lock v:ext="edit" aspectratio="f"/>
              <v:textbox inset="0mm,0mm,0mm,0mm" style="mso-fit-shape-to-text:t;">
                <w:txbxContent>
                  <w:p w14:paraId="4271CAC7">
                    <w:pPr>
                      <w:pStyle w:val="17"/>
                    </w:pPr>
                  </w:p>
                </w:txbxContent>
              </v:textbox>
            </v:shape>
          </w:pict>
        </mc:Fallback>
      </mc:AlternateContent>
    </w:r>
  </w:p>
  <w:p w14:paraId="14656218">
    <w:pPr>
      <w:ind w:firstLine="370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CDD89">
    <w:pPr>
      <w:spacing w:line="125" w:lineRule="exact"/>
      <w:ind w:firstLine="444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2D2C9D59">
                          <w:pPr>
                            <w:pStyle w:val="17"/>
                            <w:tabs>
                              <w:tab w:val="center" w:pos="4153"/>
                              <w:tab w:val="right" w:pos="8306"/>
                            </w:tabs>
                          </w:pPr>
                          <w:r>
                            <w:fldChar w:fldCharType="begin"/>
                          </w:r>
                          <w:r>
                            <w:instrText xml:space="preserve"> PAGE  \* MERGEFORMAT </w:instrText>
                          </w:r>
                          <w:r>
                            <w:fldChar w:fldCharType="separate"/>
                          </w:r>
                          <w:r>
                            <w:t>68</w:t>
                          </w:r>
                          <w:r>
                            <w:fldChar w:fldCharType="end"/>
                          </w:r>
                        </w:p>
                      </w:txbxContent>
                    </wps:txbx>
                    <wps:bodyPr rot="0" vert="horz" wrap="none" lIns="0" tIns="0" rIns="0" bIns="0" anchor="t" anchorCtr="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cifdr9MAAAAFAQAADwAA&#10;AAAAAAABACAAAAAiAAAAZHJzL2Rvd25yZXYueG1sUEsBAhQAFAAAAAgAh07iQIx2cB3iAQAAxgMA&#10;AA4AAAAAAAAAAQAgAAAAIgEAAGRycy9lMm9Eb2MueG1sUEsFBgAAAAAGAAYAWQEAAHYFAAAAAA==&#10;">
              <v:fill on="f" focussize="0,0"/>
              <v:stroke on="f" weight="1pt"/>
              <v:imagedata o:title=""/>
              <o:lock v:ext="edit" aspectratio="f"/>
              <v:textbox inset="0mm,0mm,0mm,0mm" style="mso-fit-shape-to-text:t;">
                <w:txbxContent>
                  <w:p w14:paraId="2D2C9D59">
                    <w:pPr>
                      <w:pStyle w:val="17"/>
                      <w:tabs>
                        <w:tab w:val="center" w:pos="4153"/>
                        <w:tab w:val="right" w:pos="8306"/>
                      </w:tabs>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45EED">
    <w:pPr>
      <w:spacing w:line="125" w:lineRule="exact"/>
      <w:ind w:firstLine="444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5144CEC5">
                          <w:pPr>
                            <w:pStyle w:val="17"/>
                            <w:tabs>
                              <w:tab w:val="center" w:pos="4153"/>
                              <w:tab w:val="right" w:pos="8306"/>
                            </w:tabs>
                          </w:pPr>
                          <w:r>
                            <w:fldChar w:fldCharType="begin"/>
                          </w:r>
                          <w:r>
                            <w:instrText xml:space="preserve"> PAGE  \* MERGEFORMAT </w:instrText>
                          </w:r>
                          <w:r>
                            <w:fldChar w:fldCharType="separate"/>
                          </w:r>
                          <w:r>
                            <w:t>69</w:t>
                          </w:r>
                          <w:r>
                            <w:fldChar w:fldCharType="end"/>
                          </w:r>
                        </w:p>
                      </w:txbxContent>
                    </wps:txbx>
                    <wps:bodyPr rot="0" vert="horz" wrap="none" lIns="0" tIns="0" rIns="0" bIns="0" anchor="t" anchorCtr="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cifdr9MAAAAFAQAADwAA&#10;AAAAAAABACAAAAAiAAAAZHJzL2Rvd25yZXYueG1sUEsBAhQAFAAAAAgAh07iQPo6ZMniAQAAxgMA&#10;AA4AAAAAAAAAAQAgAAAAIgEAAGRycy9lMm9Eb2MueG1sUEsFBgAAAAAGAAYAWQEAAHYFAAAAAA==&#10;">
              <v:fill on="f" focussize="0,0"/>
              <v:stroke on="f" weight="1pt"/>
              <v:imagedata o:title=""/>
              <o:lock v:ext="edit" aspectratio="f"/>
              <v:textbox inset="0mm,0mm,0mm,0mm" style="mso-fit-shape-to-text:t;">
                <w:txbxContent>
                  <w:p w14:paraId="5144CEC5">
                    <w:pPr>
                      <w:pStyle w:val="17"/>
                      <w:tabs>
                        <w:tab w:val="center" w:pos="4153"/>
                        <w:tab w:val="right" w:pos="8306"/>
                      </w:tabs>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BC04E">
    <w:pPr>
      <w:spacing w:line="176" w:lineRule="auto"/>
      <w:ind w:left="445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540A7">
    <w:pPr>
      <w:tabs>
        <w:tab w:val="center" w:pos="4153"/>
        <w:tab w:val="right" w:pos="8306"/>
      </w:tabs>
      <w:snapToGrid w:val="0"/>
      <w:jc w:val="center"/>
    </w:pPr>
    <w:r>
      <w:rPr>
        <w:lang w:bidi="ug-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a:effectLst/>
                    </wps:spPr>
                    <wps:txbx>
                      <w:txbxContent>
                        <w:p w14:paraId="1F6593C1">
                          <w:pPr>
                            <w:pStyle w:val="17"/>
                          </w:pPr>
                        </w:p>
                      </w:txbxContent>
                    </wps:txbx>
                    <wps:bodyPr rot="0" vert="horz" wrap="none" lIns="0" tIns="0" rIns="0" bIns="0" anchor="t" anchorCtr="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yJ92v0wAAAAUB&#10;AAAPAAAAAAAAAAEAIAAAACIAAABkcnMvZG93bnJldi54bWxQSwECFAAUAAAACACHTuJA3xj62ecB&#10;AADTAwAADgAAAAAAAAABACAAAAAiAQAAZHJzL2Uyb0RvYy54bWxQSwUGAAAAAAYABgBZAQAAewUA&#10;AAAA&#10;">
              <v:fill on="f" focussize="0,0"/>
              <v:stroke on="f" weight="1pt"/>
              <v:imagedata o:title=""/>
              <o:lock v:ext="edit" aspectratio="f"/>
              <v:textbox inset="0mm,0mm,0mm,0mm" style="mso-fit-shape-to-text:t;">
                <w:txbxContent>
                  <w:p w14:paraId="1F6593C1">
                    <w:pPr>
                      <w:pStyle w:val="17"/>
                    </w:pPr>
                  </w:p>
                </w:txbxContent>
              </v:textbox>
            </v:shape>
          </w:pict>
        </mc:Fallback>
      </mc:AlternateContent>
    </w:r>
  </w:p>
  <w:p w14:paraId="70505B51">
    <w:pPr>
      <w:ind w:firstLine="37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9EC1E">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8B459">
    <w:pPr>
      <w:tabs>
        <w:tab w:val="center" w:pos="4153"/>
        <w:tab w:val="right" w:pos="8306"/>
      </w:tabs>
      <w:snapToGrid w:val="0"/>
      <w:jc w:val="center"/>
    </w:pPr>
    <w:r>
      <w:rPr>
        <w:lang w:bidi="ug-CN"/>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0402F15">
                          <w:pPr>
                            <w:pStyle w:val="17"/>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FNE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J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lxTREMQIAAGMEAAAOAAAAAAAAAAEAIAAAAB8BAABkcnMvZTJvRG9jLnhtbFBLBQYA&#10;AAAABgAGAFkBAADCBQAAAAA=&#10;">
              <v:fill on="f" focussize="0,0"/>
              <v:stroke on="f" weight="0.5pt"/>
              <v:imagedata o:title=""/>
              <o:lock v:ext="edit" aspectratio="f"/>
              <v:textbox inset="0mm,0mm,0mm,0mm" style="mso-fit-shape-to-text:t;">
                <w:txbxContent>
                  <w:p w14:paraId="10402F15">
                    <w:pPr>
                      <w:pStyle w:val="17"/>
                    </w:pPr>
                    <w:r>
                      <w:fldChar w:fldCharType="begin"/>
                    </w:r>
                    <w:r>
                      <w:instrText xml:space="preserve"> PAGE  \* MERGEFORMAT </w:instrText>
                    </w:r>
                    <w:r>
                      <w:fldChar w:fldCharType="separate"/>
                    </w:r>
                    <w:r>
                      <w:t>7</w:t>
                    </w:r>
                    <w:r>
                      <w:fldChar w:fldCharType="end"/>
                    </w:r>
                  </w:p>
                </w:txbxContent>
              </v:textbox>
            </v:shape>
          </w:pict>
        </mc:Fallback>
      </mc:AlternateContent>
    </w:r>
    <w:r>
      <w:rPr>
        <w:lang w:bidi="ug-CN"/>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a:effectLst/>
                    </wps:spPr>
                    <wps:txbx>
                      <w:txbxContent>
                        <w:p w14:paraId="7E8C8A73">
                          <w:pPr>
                            <w:pStyle w:val="17"/>
                          </w:pPr>
                        </w:p>
                      </w:txbxContent>
                    </wps:txbx>
                    <wps:bodyPr rot="0" vert="horz" wrap="none" lIns="0" tIns="0" rIns="0" bIns="0" anchor="t" anchorCtr="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In3a/TAAAABQEA&#10;AA8AAAAAAAAAAQAgAAAAIgAAAGRycy9kb3ducmV2LnhtbFBLAQIUABQAAAAIAIdO4kCqgcO25gEA&#10;ANIDAAAOAAAAAAAAAAEAIAAAACIBAABkcnMvZTJvRG9jLnhtbFBLBQYAAAAABgAGAFkBAAB6BQAA&#10;AAA=&#10;">
              <v:fill on="f" focussize="0,0"/>
              <v:stroke on="f" weight="1pt"/>
              <v:imagedata o:title=""/>
              <o:lock v:ext="edit" aspectratio="f"/>
              <v:textbox inset="0mm,0mm,0mm,0mm" style="mso-fit-shape-to-text:t;">
                <w:txbxContent>
                  <w:p w14:paraId="7E8C8A73">
                    <w:pPr>
                      <w:pStyle w:val="17"/>
                    </w:pPr>
                  </w:p>
                </w:txbxContent>
              </v:textbox>
            </v:shape>
          </w:pict>
        </mc:Fallback>
      </mc:AlternateContent>
    </w:r>
  </w:p>
  <w:p w14:paraId="3140D1AD">
    <w:pPr>
      <w:tabs>
        <w:tab w:val="left" w:pos="4954"/>
        <w:tab w:val="left" w:pos="7758"/>
      </w:tabs>
      <w:ind w:firstLine="3700"/>
    </w:pPr>
    <w:r>
      <w:rPr>
        <w:rFonts w:hint="eastAsia"/>
      </w:rPr>
      <w:tab/>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E7038">
    <w:pPr>
      <w:pStyle w:val="17"/>
    </w:pPr>
    <w:r>
      <w:rPr>
        <w:lang w:bidi="ug-CN"/>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a:effectLst/>
                    </wps:spPr>
                    <wps:txbx>
                      <w:txbxContent>
                        <w:p w14:paraId="514D4E7A">
                          <w:pPr>
                            <w:pStyle w:val="17"/>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yJ92v0wAAAAUB&#10;AAAPAAAAAAAAAAEAIAAAACIAAABkcnMvZG93bnJldi54bWxQSwECFAAUAAAACACHTuJAkjXFG+cB&#10;AADUAwAADgAAAAAAAAABACAAAAAiAQAAZHJzL2Uyb0RvYy54bWxQSwUGAAAAAAYABgBZAQAAewUA&#10;AAAA&#10;">
              <v:fill on="f" focussize="0,0"/>
              <v:stroke on="f" weight="1pt"/>
              <v:imagedata o:title=""/>
              <o:lock v:ext="edit" aspectratio="f"/>
              <v:textbox inset="0mm,0mm,0mm,0mm" style="mso-fit-shape-to-text:t;">
                <w:txbxContent>
                  <w:p w14:paraId="514D4E7A">
                    <w:pPr>
                      <w:pStyle w:val="17"/>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B481D">
    <w:pPr>
      <w:tabs>
        <w:tab w:val="center" w:pos="4153"/>
        <w:tab w:val="right" w:pos="8306"/>
      </w:tabs>
      <w:snapToGrid w:val="0"/>
      <w:jc w:val="center"/>
    </w:pPr>
    <w:r>
      <w:rPr>
        <w:lang w:bidi="ug-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47D9E11">
                          <w:pPr>
                            <w:pStyle w:val="17"/>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2UQ8wAgAAZA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S2UQ8wAgAAZAQAAA4AAAAAAAAAAQAgAAAAHwEAAGRycy9lMm9Eb2MueG1sUEsFBgAA&#10;AAAGAAYAWQEAAMEFAAAAAA==&#10;">
              <v:fill on="f" focussize="0,0"/>
              <v:stroke on="f" weight="0.5pt"/>
              <v:imagedata o:title=""/>
              <o:lock v:ext="edit" aspectratio="f"/>
              <v:textbox inset="0mm,0mm,0mm,0mm" style="mso-fit-shape-to-text:t;">
                <w:txbxContent>
                  <w:p w14:paraId="547D9E11">
                    <w:pPr>
                      <w:pStyle w:val="17"/>
                    </w:pPr>
                    <w:r>
                      <w:fldChar w:fldCharType="begin"/>
                    </w:r>
                    <w:r>
                      <w:instrText xml:space="preserve"> PAGE  \* MERGEFORMAT </w:instrText>
                    </w:r>
                    <w:r>
                      <w:fldChar w:fldCharType="separate"/>
                    </w:r>
                    <w:r>
                      <w:t>7</w:t>
                    </w:r>
                    <w:r>
                      <w:fldChar w:fldCharType="end"/>
                    </w:r>
                  </w:p>
                </w:txbxContent>
              </v:textbox>
            </v:shape>
          </w:pict>
        </mc:Fallback>
      </mc:AlternateContent>
    </w:r>
    <w:r>
      <w:rPr>
        <w:lang w:bidi="ug-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a:effectLst/>
                    </wps:spPr>
                    <wps:txbx>
                      <w:txbxContent>
                        <w:p w14:paraId="46B1011C">
                          <w:pPr>
                            <w:pStyle w:val="17"/>
                          </w:pPr>
                        </w:p>
                      </w:txbxContent>
                    </wps:txbx>
                    <wps:bodyPr rot="0" vert="horz" wrap="none" lIns="0" tIns="0" rIns="0" bIns="0" anchor="t" anchorCtr="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In3a/TAAAABQEA&#10;AA8AAAAAAAAAAQAgAAAAIgAAAGRycy9kb3ducmV2LnhtbFBLAQIUABQAAAAIAIdO4kDMUoGv5gEA&#10;ANMDAAAOAAAAAAAAAAEAIAAAACIBAABkcnMvZTJvRG9jLnhtbFBLBQYAAAAABgAGAFkBAAB6BQAA&#10;AAA=&#10;">
              <v:fill on="f" focussize="0,0"/>
              <v:stroke on="f" weight="1pt"/>
              <v:imagedata o:title=""/>
              <o:lock v:ext="edit" aspectratio="f"/>
              <v:textbox inset="0mm,0mm,0mm,0mm" style="mso-fit-shape-to-text:t;">
                <w:txbxContent>
                  <w:p w14:paraId="46B1011C">
                    <w:pPr>
                      <w:pStyle w:val="17"/>
                    </w:pPr>
                  </w:p>
                </w:txbxContent>
              </v:textbox>
            </v:shape>
          </w:pict>
        </mc:Fallback>
      </mc:AlternateContent>
    </w:r>
  </w:p>
  <w:p w14:paraId="1A3D791B">
    <w:pPr>
      <w:tabs>
        <w:tab w:val="left" w:pos="4954"/>
        <w:tab w:val="left" w:pos="7758"/>
      </w:tabs>
      <w:ind w:firstLine="3700"/>
    </w:pPr>
    <w:r>
      <w:rPr>
        <w:rFonts w:hint="eastAsia"/>
      </w:rPr>
      <w:tab/>
    </w:r>
    <w:r>
      <w:rPr>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18EFD">
    <w:pPr>
      <w:tabs>
        <w:tab w:val="center" w:pos="4153"/>
        <w:tab w:val="right" w:pos="8306"/>
      </w:tabs>
      <w:snapToGrid w:val="0"/>
      <w:jc w:val="center"/>
    </w:pPr>
    <w:r>
      <w:rPr>
        <w:lang w:bidi="ug-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95A7B66">
                          <w:pPr>
                            <w:pStyle w:val="17"/>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SeYyAgAAZA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3L5J5jICAABkBAAADgAAAAAAAAABACAAAAAfAQAAZHJzL2Uyb0RvYy54bWxQSwUG&#10;AAAAAAYABgBZAQAAwwUAAAAA&#10;">
              <v:fill on="f" focussize="0,0"/>
              <v:stroke on="f" weight="0.5pt"/>
              <v:imagedata o:title=""/>
              <o:lock v:ext="edit" aspectratio="f"/>
              <v:textbox inset="0mm,0mm,0mm,0mm" style="mso-fit-shape-to-text:t;">
                <w:txbxContent>
                  <w:p w14:paraId="395A7B66">
                    <w:pPr>
                      <w:pStyle w:val="17"/>
                    </w:pPr>
                    <w:r>
                      <w:fldChar w:fldCharType="begin"/>
                    </w:r>
                    <w:r>
                      <w:instrText xml:space="preserve"> PAGE  \* MERGEFORMAT </w:instrText>
                    </w:r>
                    <w:r>
                      <w:fldChar w:fldCharType="separate"/>
                    </w:r>
                    <w:r>
                      <w:t>65</w:t>
                    </w:r>
                    <w:r>
                      <w:fldChar w:fldCharType="end"/>
                    </w:r>
                  </w:p>
                </w:txbxContent>
              </v:textbox>
            </v:shape>
          </w:pict>
        </mc:Fallback>
      </mc:AlternateContent>
    </w:r>
    <w:r>
      <w:rPr>
        <w:lang w:bidi="ug-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a:effectLst/>
                    </wps:spPr>
                    <wps:txbx>
                      <w:txbxContent>
                        <w:p w14:paraId="3BD45506">
                          <w:pPr>
                            <w:pStyle w:val="17"/>
                          </w:pPr>
                        </w:p>
                      </w:txbxContent>
                    </wps:txbx>
                    <wps:bodyPr rot="0" vert="horz" wrap="none" lIns="0" tIns="0" rIns="0" bIns="0" anchor="t" anchorCtr="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yJ92v0wAAAAUB&#10;AAAPAAAAAAAAAAEAIAAAACIAAABkcnMvZG93bnJldi54bWxQSwECFAAUAAAACACHTuJAJ/pPRecB&#10;AADTAwAADgAAAAAAAAABACAAAAAiAQAAZHJzL2Uyb0RvYy54bWxQSwUGAAAAAAYABgBZAQAAewUA&#10;AAAA&#10;">
              <v:fill on="f" focussize="0,0"/>
              <v:stroke on="f" weight="1pt"/>
              <v:imagedata o:title=""/>
              <o:lock v:ext="edit" aspectratio="f"/>
              <v:textbox inset="0mm,0mm,0mm,0mm" style="mso-fit-shape-to-text:t;">
                <w:txbxContent>
                  <w:p w14:paraId="3BD45506">
                    <w:pPr>
                      <w:pStyle w:val="17"/>
                    </w:pPr>
                  </w:p>
                </w:txbxContent>
              </v:textbox>
            </v:shape>
          </w:pict>
        </mc:Fallback>
      </mc:AlternateContent>
    </w:r>
  </w:p>
  <w:p w14:paraId="6856E91A">
    <w:pPr>
      <w:ind w:firstLine="370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F3441">
    <w:pPr>
      <w:spacing w:line="125" w:lineRule="exact"/>
      <w:ind w:firstLine="44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0BEE8F4C">
                          <w:pPr>
                            <w:pStyle w:val="17"/>
                            <w:tabs>
                              <w:tab w:val="center" w:pos="4153"/>
                              <w:tab w:val="right" w:pos="8306"/>
                            </w:tabs>
                          </w:pPr>
                          <w:r>
                            <w:fldChar w:fldCharType="begin"/>
                          </w:r>
                          <w:r>
                            <w:instrText xml:space="preserve"> PAGE  \* MERGEFORMAT </w:instrText>
                          </w:r>
                          <w:r>
                            <w:fldChar w:fldCharType="separate"/>
                          </w:r>
                          <w:r>
                            <w:t>42</w:t>
                          </w:r>
                          <w:r>
                            <w:fldChar w:fldCharType="end"/>
                          </w:r>
                        </w:p>
                      </w:txbxContent>
                    </wps:txbx>
                    <wps:bodyPr rot="0" vert="horz" wrap="none" lIns="0" tIns="0" rIns="0" bIns="0" anchor="t" anchorCtr="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cifdr9MAAAAFAQAADwAA&#10;AAAAAAABACAAAAAiAAAAZHJzL2Rvd25yZXYueG1sUEsBAhQAFAAAAAgAh07iQCHoKW7iAQAAxgMA&#10;AA4AAAAAAAAAAQAgAAAAIgEAAGRycy9lMm9Eb2MueG1sUEsFBgAAAAAGAAYAWQEAAHYFAAAAAA==&#10;">
              <v:fill on="f" focussize="0,0"/>
              <v:stroke on="f" weight="1pt"/>
              <v:imagedata o:title=""/>
              <o:lock v:ext="edit" aspectratio="f"/>
              <v:textbox inset="0mm,0mm,0mm,0mm" style="mso-fit-shape-to-text:t;">
                <w:txbxContent>
                  <w:p w14:paraId="0BEE8F4C">
                    <w:pPr>
                      <w:pStyle w:val="17"/>
                      <w:tabs>
                        <w:tab w:val="center" w:pos="4153"/>
                        <w:tab w:val="right" w:pos="8306"/>
                      </w:tabs>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DDD42">
    <w:pPr>
      <w:spacing w:line="125" w:lineRule="exact"/>
      <w:ind w:firstLine="444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7CEA5BC4">
                          <w:pPr>
                            <w:pStyle w:val="17"/>
                            <w:tabs>
                              <w:tab w:val="center" w:pos="4153"/>
                              <w:tab w:val="right" w:pos="8306"/>
                            </w:tabs>
                          </w:pPr>
                          <w:r>
                            <w:fldChar w:fldCharType="begin"/>
                          </w:r>
                          <w:r>
                            <w:instrText xml:space="preserve"> PAGE  \* MERGEFORMAT </w:instrText>
                          </w:r>
                          <w:r>
                            <w:fldChar w:fldCharType="separate"/>
                          </w:r>
                          <w:r>
                            <w:t>59</w:t>
                          </w:r>
                          <w:r>
                            <w:fldChar w:fldCharType="end"/>
                          </w:r>
                        </w:p>
                      </w:txbxContent>
                    </wps:txbx>
                    <wps:bodyPr rot="0" vert="horz" wrap="none" lIns="0" tIns="0" rIns="0" bIns="0" anchor="t" anchorCtr="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cifdr9MAAAAFAQAADwAA&#10;AAAAAAABACAAAAAiAAAAZHJzL2Rvd25yZXYueG1sUEsBAhQAFAAAAAgAh07iQChlv6jiAQAAxgMA&#10;AA4AAAAAAAAAAQAgAAAAIgEAAGRycy9lMm9Eb2MueG1sUEsFBgAAAAAGAAYAWQEAAHYFAAAAAA==&#10;">
              <v:fill on="f" focussize="0,0"/>
              <v:stroke on="f" weight="1pt"/>
              <v:imagedata o:title=""/>
              <o:lock v:ext="edit" aspectratio="f"/>
              <v:textbox inset="0mm,0mm,0mm,0mm" style="mso-fit-shape-to-text:t;">
                <w:txbxContent>
                  <w:p w14:paraId="7CEA5BC4">
                    <w:pPr>
                      <w:pStyle w:val="17"/>
                      <w:tabs>
                        <w:tab w:val="center" w:pos="4153"/>
                        <w:tab w:val="right" w:pos="8306"/>
                      </w:tabs>
                    </w:pPr>
                    <w:r>
                      <w:fldChar w:fldCharType="begin"/>
                    </w:r>
                    <w:r>
                      <w:instrText xml:space="preserve"> PAGE  \* MERGEFORMAT </w:instrText>
                    </w:r>
                    <w:r>
                      <w:fldChar w:fldCharType="separate"/>
                    </w:r>
                    <w:r>
                      <w:t>59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65AB3">
    <w:pPr>
      <w:pBdr>
        <w:bottom w:val="single" w:color="000000" w:sz="6" w:space="1"/>
      </w:pBdr>
      <w:tabs>
        <w:tab w:val="center" w:pos="4153"/>
        <w:tab w:val="right" w:pos="8306"/>
      </w:tabs>
      <w:snapToGrid w:val="0"/>
      <w:jc w:val="distribute"/>
      <w:rPr>
        <w:sz w:val="18"/>
      </w:rPr>
    </w:pPr>
    <w:r>
      <w:rPr>
        <w:rFonts w:hint="eastAsia"/>
        <w:sz w:val="18"/>
        <w:lang w:eastAsia="zh-CN"/>
      </w:rPr>
      <w:t>新疆金斌工程项目管理有限公司</w:t>
    </w:r>
    <w:r>
      <w:rPr>
        <w:rFonts w:hint="eastAsia"/>
        <w:sz w:val="18"/>
      </w:rPr>
      <w:t xml:space="preserve">                                    </w:t>
    </w:r>
    <w:r>
      <w:rPr>
        <w:rFonts w:hint="eastAsia" w:ascii="楷体" w:hAnsi="楷体" w:eastAsia="楷体"/>
      </w:rPr>
      <w:t>征集文件</w:t>
    </w:r>
  </w:p>
  <w:p w14:paraId="698ED862">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BF3B4">
    <w:pPr>
      <w:pBdr>
        <w:bottom w:val="single" w:color="000000" w:sz="6" w:space="1"/>
      </w:pBdr>
      <w:tabs>
        <w:tab w:val="center" w:pos="4153"/>
        <w:tab w:val="right" w:pos="8306"/>
      </w:tabs>
      <w:snapToGrid w:val="0"/>
      <w:jc w:val="distribute"/>
      <w:rPr>
        <w:sz w:val="18"/>
      </w:rPr>
    </w:pPr>
    <w:r>
      <w:rPr>
        <w:rFonts w:hint="eastAsia"/>
        <w:sz w:val="18"/>
      </w:rPr>
      <w:t xml:space="preserve">                      </w:t>
    </w:r>
  </w:p>
  <w:p w14:paraId="2616F401">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79149">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5A04E">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D87A71"/>
    <w:multiLevelType w:val="singleLevel"/>
    <w:tmpl w:val="BFD87A71"/>
    <w:lvl w:ilvl="0" w:tentative="0">
      <w:start w:val="3"/>
      <w:numFmt w:val="decimal"/>
      <w:suff w:val="nothing"/>
      <w:lvlText w:val="%1．"/>
      <w:lvlJc w:val="left"/>
    </w:lvl>
  </w:abstractNum>
  <w:abstractNum w:abstractNumId="1">
    <w:nsid w:val="C3E4BA9A"/>
    <w:multiLevelType w:val="singleLevel"/>
    <w:tmpl w:val="C3E4BA9A"/>
    <w:lvl w:ilvl="0" w:tentative="0">
      <w:start w:val="1"/>
      <w:numFmt w:val="chineseCounting"/>
      <w:suff w:val="space"/>
      <w:lvlText w:val="第%1部分"/>
      <w:lvlJc w:val="left"/>
      <w:rPr>
        <w:rFonts w:hint="eastAsia"/>
      </w:rPr>
    </w:lvl>
  </w:abstractNum>
  <w:abstractNum w:abstractNumId="2">
    <w:nsid w:val="EED8DB5B"/>
    <w:multiLevelType w:val="singleLevel"/>
    <w:tmpl w:val="EED8DB5B"/>
    <w:lvl w:ilvl="0" w:tentative="0">
      <w:start w:val="1"/>
      <w:numFmt w:val="decimal"/>
      <w:suff w:val="nothing"/>
      <w:lvlText w:val="（%1）"/>
      <w:lvlJc w:val="left"/>
    </w:lvl>
  </w:abstractNum>
  <w:abstractNum w:abstractNumId="3">
    <w:nsid w:val="00000020"/>
    <w:multiLevelType w:val="multilevel"/>
    <w:tmpl w:val="00000020"/>
    <w:lvl w:ilvl="0" w:tentative="0">
      <w:start w:val="1"/>
      <w:numFmt w:val="decimal"/>
      <w:lvlText w:val="6.3.%1"/>
      <w:lvlJc w:val="left"/>
      <w:pPr>
        <w:tabs>
          <w:tab w:val="left" w:pos="720"/>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pStyle w:val="5"/>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0148100F"/>
    <w:multiLevelType w:val="singleLevel"/>
    <w:tmpl w:val="0148100F"/>
    <w:lvl w:ilvl="0" w:tentative="0">
      <w:start w:val="8"/>
      <w:numFmt w:val="decimal"/>
      <w:suff w:val="nothing"/>
      <w:lvlText w:val="（%1）"/>
      <w:lvlJc w:val="left"/>
    </w:lvl>
  </w:abstractNum>
  <w:abstractNum w:abstractNumId="5">
    <w:nsid w:val="29BEF3E2"/>
    <w:multiLevelType w:val="singleLevel"/>
    <w:tmpl w:val="29BEF3E2"/>
    <w:lvl w:ilvl="0" w:tentative="0">
      <w:start w:val="1"/>
      <w:numFmt w:val="chineseCounting"/>
      <w:suff w:val="nothing"/>
      <w:lvlText w:val="%1、"/>
      <w:lvlJc w:val="left"/>
      <w:rPr>
        <w:rFonts w:hint="eastAsia"/>
      </w:rPr>
    </w:lvl>
  </w:abstractNum>
  <w:abstractNum w:abstractNumId="6">
    <w:nsid w:val="47EF7214"/>
    <w:multiLevelType w:val="singleLevel"/>
    <w:tmpl w:val="47EF7214"/>
    <w:lvl w:ilvl="0" w:tentative="0">
      <w:start w:val="1"/>
      <w:numFmt w:val="bullet"/>
      <w:pStyle w:val="13"/>
      <w:lvlText w:val=""/>
      <w:lvlJc w:val="left"/>
      <w:pPr>
        <w:tabs>
          <w:tab w:val="left" w:pos="780"/>
        </w:tabs>
        <w:ind w:left="780" w:hanging="360"/>
      </w:pPr>
      <w:rPr>
        <w:rFonts w:hint="default" w:ascii="Wingdings" w:hAnsi="Wingdings"/>
      </w:rPr>
    </w:lvl>
  </w:abstractNum>
  <w:abstractNum w:abstractNumId="7">
    <w:nsid w:val="7338FF5D"/>
    <w:multiLevelType w:val="singleLevel"/>
    <w:tmpl w:val="7338FF5D"/>
    <w:lvl w:ilvl="0" w:tentative="0">
      <w:start w:val="12"/>
      <w:numFmt w:val="decimal"/>
      <w:suff w:val="space"/>
      <w:lvlText w:val="(%1)"/>
      <w:lvlJc w:val="left"/>
      <w:pPr>
        <w:ind w:left="210"/>
      </w:pPr>
    </w:lvl>
  </w:abstractNum>
  <w:num w:numId="1">
    <w:abstractNumId w:val="3"/>
  </w:num>
  <w:num w:numId="2">
    <w:abstractNumId w:val="6"/>
  </w:num>
  <w:num w:numId="3">
    <w:abstractNumId w:val="1"/>
  </w:num>
  <w:num w:numId="4">
    <w:abstractNumId w:val="0"/>
  </w:num>
  <w:num w:numId="5">
    <w:abstractNumId w:val="2"/>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200"/>
  <w:drawingGridVerticalSpacing w:val="99999992"/>
  <w:displayHorizontalDrawingGridEvery w:val="1"/>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6C3B55"/>
    <w:rsid w:val="021179FE"/>
    <w:rsid w:val="05080FE1"/>
    <w:rsid w:val="0543590B"/>
    <w:rsid w:val="06F15082"/>
    <w:rsid w:val="09E177E6"/>
    <w:rsid w:val="0A2F11F4"/>
    <w:rsid w:val="0A681259"/>
    <w:rsid w:val="0B572983"/>
    <w:rsid w:val="0C435B57"/>
    <w:rsid w:val="0C5E1E2E"/>
    <w:rsid w:val="0C6557E4"/>
    <w:rsid w:val="0CA77331"/>
    <w:rsid w:val="0DD23B65"/>
    <w:rsid w:val="0FD26A77"/>
    <w:rsid w:val="0FE459F3"/>
    <w:rsid w:val="103E0C98"/>
    <w:rsid w:val="11FF5413"/>
    <w:rsid w:val="13A84111"/>
    <w:rsid w:val="13DA74AA"/>
    <w:rsid w:val="18F558C8"/>
    <w:rsid w:val="19120651"/>
    <w:rsid w:val="19A838A8"/>
    <w:rsid w:val="19F22745"/>
    <w:rsid w:val="1A354942"/>
    <w:rsid w:val="1A844D9A"/>
    <w:rsid w:val="1B9C202B"/>
    <w:rsid w:val="1BA535D6"/>
    <w:rsid w:val="1C312C45"/>
    <w:rsid w:val="1CDA4112"/>
    <w:rsid w:val="1D2C4CED"/>
    <w:rsid w:val="1D9242E0"/>
    <w:rsid w:val="1E8506CE"/>
    <w:rsid w:val="1ED81EA5"/>
    <w:rsid w:val="1F465763"/>
    <w:rsid w:val="205E31BB"/>
    <w:rsid w:val="20B86828"/>
    <w:rsid w:val="23735D67"/>
    <w:rsid w:val="247E1C56"/>
    <w:rsid w:val="25086E10"/>
    <w:rsid w:val="25371688"/>
    <w:rsid w:val="255741F8"/>
    <w:rsid w:val="26803658"/>
    <w:rsid w:val="275A0D51"/>
    <w:rsid w:val="28FD1C48"/>
    <w:rsid w:val="29AD5AC8"/>
    <w:rsid w:val="29CC61D1"/>
    <w:rsid w:val="2B5F0A91"/>
    <w:rsid w:val="2BB07198"/>
    <w:rsid w:val="2C6C3B55"/>
    <w:rsid w:val="2C821D89"/>
    <w:rsid w:val="2F394E6F"/>
    <w:rsid w:val="2FDE5325"/>
    <w:rsid w:val="305118D2"/>
    <w:rsid w:val="309711BE"/>
    <w:rsid w:val="314F1BC2"/>
    <w:rsid w:val="324B1648"/>
    <w:rsid w:val="32BA12BD"/>
    <w:rsid w:val="32CE4D68"/>
    <w:rsid w:val="33944B12"/>
    <w:rsid w:val="34463A09"/>
    <w:rsid w:val="360C527F"/>
    <w:rsid w:val="368E7538"/>
    <w:rsid w:val="36A165F4"/>
    <w:rsid w:val="37BC1633"/>
    <w:rsid w:val="388D77A1"/>
    <w:rsid w:val="38B67A98"/>
    <w:rsid w:val="3922196A"/>
    <w:rsid w:val="3956055A"/>
    <w:rsid w:val="39B600FF"/>
    <w:rsid w:val="3C017823"/>
    <w:rsid w:val="3D2F5D97"/>
    <w:rsid w:val="3D45350B"/>
    <w:rsid w:val="3DC15BF5"/>
    <w:rsid w:val="3DF65351"/>
    <w:rsid w:val="3EEB78DB"/>
    <w:rsid w:val="3F016F0A"/>
    <w:rsid w:val="40CE5919"/>
    <w:rsid w:val="40DD79B5"/>
    <w:rsid w:val="41F44DF2"/>
    <w:rsid w:val="444C6CF1"/>
    <w:rsid w:val="45F00180"/>
    <w:rsid w:val="468012B9"/>
    <w:rsid w:val="46867BBA"/>
    <w:rsid w:val="47C702AC"/>
    <w:rsid w:val="49547CFF"/>
    <w:rsid w:val="4A88006B"/>
    <w:rsid w:val="4A8A2589"/>
    <w:rsid w:val="4B351DBC"/>
    <w:rsid w:val="4C4A4FF0"/>
    <w:rsid w:val="4C9B33F3"/>
    <w:rsid w:val="4E6525CD"/>
    <w:rsid w:val="4FC96B8B"/>
    <w:rsid w:val="521401A6"/>
    <w:rsid w:val="54A63CBF"/>
    <w:rsid w:val="554F7C87"/>
    <w:rsid w:val="55DA2D4E"/>
    <w:rsid w:val="58464012"/>
    <w:rsid w:val="59965D30"/>
    <w:rsid w:val="5C197956"/>
    <w:rsid w:val="5C385BF7"/>
    <w:rsid w:val="5CC76963"/>
    <w:rsid w:val="5D6278D7"/>
    <w:rsid w:val="5E5227B4"/>
    <w:rsid w:val="5ECA74C5"/>
    <w:rsid w:val="5F927999"/>
    <w:rsid w:val="5FC45F37"/>
    <w:rsid w:val="5FE03FD9"/>
    <w:rsid w:val="60806EBC"/>
    <w:rsid w:val="61C37B40"/>
    <w:rsid w:val="621974FF"/>
    <w:rsid w:val="62AE40EB"/>
    <w:rsid w:val="633222EE"/>
    <w:rsid w:val="64306D81"/>
    <w:rsid w:val="663A3BA2"/>
    <w:rsid w:val="66E83943"/>
    <w:rsid w:val="676761EF"/>
    <w:rsid w:val="69AC1BA1"/>
    <w:rsid w:val="69AF0D3A"/>
    <w:rsid w:val="6CBD6017"/>
    <w:rsid w:val="6E336B64"/>
    <w:rsid w:val="6E71472A"/>
    <w:rsid w:val="6EEB236B"/>
    <w:rsid w:val="6FB959B3"/>
    <w:rsid w:val="70DC0B34"/>
    <w:rsid w:val="712D011A"/>
    <w:rsid w:val="71466C3C"/>
    <w:rsid w:val="71DC647C"/>
    <w:rsid w:val="72F07ABA"/>
    <w:rsid w:val="74066F72"/>
    <w:rsid w:val="77764C51"/>
    <w:rsid w:val="77D80B88"/>
    <w:rsid w:val="77E518EE"/>
    <w:rsid w:val="79C42DD3"/>
    <w:rsid w:val="7C3F06AA"/>
    <w:rsid w:val="7D142945"/>
    <w:rsid w:val="7F150158"/>
    <w:rsid w:val="7F276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qFormat="1" w:unhideWhenUsed="0" w:uiPriority="0" w:semiHidden="0" w:name="index 2"/>
    <w:lsdException w:unhideWhenUsed="0" w:uiPriority="99" w:semiHidden="0" w:name="index 3"/>
    <w:lsdException w:unhideWhenUsed="0" w:uiPriority="99" w:semiHidden="0" w:name="index 4"/>
    <w:lsdException w:unhideWhenUsed="0" w:uiPriority="99" w:semiHidden="0" w:name="index 5"/>
    <w:lsdException w:qFormat="1" w:unhideWhenUsed="0" w:uiPriority="0" w:semiHidden="0" w:name="index 6"/>
    <w:lsdException w:unhideWhenUsed="0" w:uiPriority="99" w:semiHidden="0" w:name="index 7"/>
    <w:lsdException w:unhideWhenUsed="0" w:uiPriority="99" w:semiHidden="0" w:name="index 8"/>
    <w:lsdException w:qFormat="1" w:unhideWhenUsed="0" w:uiPriority="0" w:semiHidden="0" w:name="index 9"/>
    <w:lsdException w:qFormat="1" w:unhideWhenUsed="0" w:uiPriority="0" w:semiHidden="0" w:name="toc 1"/>
    <w:lsdException w:qFormat="1" w:unhideWhenUsed="0" w:uiPriority="0"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qFormat="1" w:unhideWhenUsed="0" w:uiPriority="0" w:semiHidden="0" w:name="toc 8"/>
    <w:lsdException w:unhideWhenUsed="0" w:uiPriority="99" w:semiHidden="0" w:name="toc 9"/>
    <w:lsdException w:qFormat="1" w:unhideWhenUsed="0" w:uiPriority="0" w:semiHidden="0" w:name="Normal Indent"/>
    <w:lsdException w:qFormat="1" w:unhideWhenUsed="0" w:uiPriority="0"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qFormat="1" w:unhideWhenUsed="0" w:uiPriority="0" w:semiHidden="0" w:name="caption"/>
    <w:lsdException w:qFormat="1" w:unhideWhenUsed="0" w:uiPriority="0"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qFormat="1" w:unhideWhenUsed="0" w:uiPriority="0"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qFormat="1" w:unhideWhenUsed="0" w:uiPriority="0" w:semiHidden="0" w:name="List 5"/>
    <w:lsdException w:qFormat="1" w:unhideWhenUsed="0" w:uiPriority="0"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qFormat="1" w:unhideWhenUsed="0" w:uiPriority="0" w:semiHidden="0" w:name="Title"/>
    <w:lsdException w:unhideWhenUsed="0" w:uiPriority="99" w:semiHidden="0" w:name="Closing"/>
    <w:lsdException w:unhideWhenUsed="0" w:uiPriority="99"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qFormat="1" w:unhideWhenUsed="0" w:uiPriority="0" w:semiHidden="0" w:name="Body Text First Indent 2"/>
    <w:lsdException w:unhideWhenUsed="0" w:uiPriority="99" w:semiHidden="0" w:name="Note Heading"/>
    <w:lsdException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99" w:semiHidden="0" w:name="Block Text"/>
    <w:lsdException w:qFormat="1" w:unhideWhenUsed="0" w:uiPriority="0" w:semiHidden="0" w:name="Hyperlink"/>
    <w:lsdException w:unhideWhenUsed="0" w:uiPriority="99" w:semiHidden="0" w:name="FollowedHyperlink"/>
    <w:lsdException w:qFormat="1" w:unhideWhenUsed="0" w:uiPriority="0" w:semiHidden="0" w:name="Strong"/>
    <w:lsdException w:unhideWhenUsed="0" w:uiPriority="99" w:semiHidden="0" w:name="Emphasis"/>
    <w:lsdException w:qFormat="1" w:unhideWhenUsed="0" w:uiPriority="0" w:name="Document Map"/>
    <w:lsdException w:qFormat="1" w:unhideWhenUsed="0" w:uiPriority="0"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qFormat="1" w:unhideWhenUsed="0" w:uiPriority="0"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paragraph" w:styleId="2">
    <w:name w:val="heading 1"/>
    <w:basedOn w:val="1"/>
    <w:qFormat/>
    <w:uiPriority w:val="0"/>
    <w:pPr>
      <w:widowControl/>
      <w:spacing w:before="280" w:after="280"/>
      <w:outlineLvl w:val="0"/>
    </w:pPr>
    <w:rPr>
      <w:rFonts w:ascii="宋体"/>
      <w:b/>
      <w:color w:val="000000"/>
      <w:sz w:val="39"/>
    </w:rPr>
  </w:style>
  <w:style w:type="paragraph" w:styleId="3">
    <w:name w:val="heading 2"/>
    <w:basedOn w:val="1"/>
    <w:qFormat/>
    <w:uiPriority w:val="0"/>
    <w:pPr>
      <w:spacing w:before="260" w:after="260" w:line="416" w:lineRule="auto"/>
      <w:outlineLvl w:val="1"/>
    </w:pPr>
    <w:rPr>
      <w:b/>
      <w:color w:val="0000FF"/>
    </w:rPr>
  </w:style>
  <w:style w:type="paragraph" w:styleId="4">
    <w:name w:val="heading 3"/>
    <w:basedOn w:val="1"/>
    <w:link w:val="60"/>
    <w:qFormat/>
    <w:uiPriority w:val="0"/>
    <w:pPr>
      <w:spacing w:before="260" w:after="260" w:line="416" w:lineRule="auto"/>
      <w:outlineLvl w:val="2"/>
    </w:pPr>
    <w:rPr>
      <w:b/>
      <w:sz w:val="32"/>
    </w:rPr>
  </w:style>
  <w:style w:type="paragraph" w:styleId="5">
    <w:name w:val="heading 4"/>
    <w:basedOn w:val="1"/>
    <w:qFormat/>
    <w:uiPriority w:val="0"/>
    <w:pPr>
      <w:keepNext/>
      <w:keepLines/>
      <w:numPr>
        <w:ilvl w:val="3"/>
        <w:numId w:val="1"/>
      </w:numPr>
      <w:adjustRightInd w:val="0"/>
      <w:spacing w:before="280" w:beforeLines="0" w:after="290" w:afterLines="0" w:line="376" w:lineRule="atLeast"/>
      <w:outlineLvl w:val="3"/>
    </w:pPr>
    <w:rPr>
      <w:rFonts w:ascii="Arial" w:hAnsi="Arial" w:eastAsia="黑体"/>
      <w:b/>
      <w:kern w:val="0"/>
      <w:sz w:val="28"/>
    </w:rPr>
  </w:style>
  <w:style w:type="character" w:default="1" w:styleId="32">
    <w:name w:val="Default Paragraph Font"/>
    <w:semiHidden/>
    <w:qFormat/>
    <w:uiPriority w:val="0"/>
  </w:style>
  <w:style w:type="table" w:default="1" w:styleId="30">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 w:val="21"/>
    </w:rPr>
  </w:style>
  <w:style w:type="paragraph" w:styleId="7">
    <w:name w:val="caption"/>
    <w:basedOn w:val="1"/>
    <w:qFormat/>
    <w:uiPriority w:val="0"/>
    <w:pPr>
      <w:spacing w:before="152" w:after="160"/>
    </w:pPr>
    <w:rPr>
      <w:rFonts w:ascii="Arial" w:eastAsia="黑体"/>
    </w:rPr>
  </w:style>
  <w:style w:type="paragraph" w:styleId="8">
    <w:name w:val="Document Map"/>
    <w:basedOn w:val="1"/>
    <w:next w:val="1"/>
    <w:semiHidden/>
    <w:qFormat/>
    <w:uiPriority w:val="0"/>
    <w:pPr>
      <w:shd w:val="clear" w:color="auto" w:fill="000080"/>
    </w:pPr>
  </w:style>
  <w:style w:type="paragraph" w:styleId="9">
    <w:name w:val="index 6"/>
    <w:basedOn w:val="1"/>
    <w:qFormat/>
    <w:uiPriority w:val="0"/>
    <w:pPr>
      <w:spacing w:before="50" w:after="50" w:line="360" w:lineRule="auto"/>
      <w:ind w:left="1440" w:hanging="240"/>
    </w:pPr>
    <w:rPr>
      <w:rFonts w:ascii="宋体"/>
    </w:rPr>
  </w:style>
  <w:style w:type="paragraph" w:styleId="10">
    <w:name w:val="Body Text 3"/>
    <w:basedOn w:val="1"/>
    <w:qFormat/>
    <w:uiPriority w:val="0"/>
    <w:pPr>
      <w:spacing w:line="360" w:lineRule="exact"/>
      <w:jc w:val="center"/>
    </w:pPr>
    <w:rPr>
      <w:rFonts w:ascii="楷体_GB2312" w:eastAsia="楷体_GB2312"/>
      <w:sz w:val="24"/>
    </w:rPr>
  </w:style>
  <w:style w:type="paragraph" w:styleId="11">
    <w:name w:val="Body Text"/>
    <w:basedOn w:val="1"/>
    <w:qFormat/>
    <w:uiPriority w:val="0"/>
    <w:rPr>
      <w:sz w:val="28"/>
    </w:rPr>
  </w:style>
  <w:style w:type="paragraph" w:styleId="12">
    <w:name w:val="Body Text Indent"/>
    <w:basedOn w:val="1"/>
    <w:qFormat/>
    <w:uiPriority w:val="0"/>
    <w:pPr>
      <w:spacing w:line="500" w:lineRule="exact"/>
      <w:ind w:firstLine="420"/>
    </w:pPr>
    <w:rPr>
      <w:rFonts w:ascii="楷体_GB2312" w:eastAsia="楷体_GB2312"/>
      <w:sz w:val="24"/>
    </w:rPr>
  </w:style>
  <w:style w:type="paragraph" w:styleId="13">
    <w:name w:val="List Bullet 2"/>
    <w:basedOn w:val="1"/>
    <w:qFormat/>
    <w:uiPriority w:val="0"/>
    <w:pPr>
      <w:numPr>
        <w:ilvl w:val="0"/>
        <w:numId w:val="2"/>
      </w:numPr>
    </w:pPr>
  </w:style>
  <w:style w:type="paragraph" w:styleId="14">
    <w:name w:val="Plain Text"/>
    <w:basedOn w:val="1"/>
    <w:next w:val="8"/>
    <w:qFormat/>
    <w:uiPriority w:val="0"/>
    <w:rPr>
      <w:rFonts w:ascii="宋体" w:hAnsi="Courier New"/>
    </w:rPr>
  </w:style>
  <w:style w:type="paragraph" w:styleId="15">
    <w:name w:val="toc 8"/>
    <w:basedOn w:val="1"/>
    <w:qFormat/>
    <w:uiPriority w:val="0"/>
    <w:pPr>
      <w:ind w:left="1470"/>
    </w:pPr>
    <w:rPr>
      <w:rFonts w:ascii="宋体"/>
    </w:rPr>
  </w:style>
  <w:style w:type="paragraph" w:styleId="16">
    <w:name w:val="Body Text Indent 2"/>
    <w:basedOn w:val="1"/>
    <w:qFormat/>
    <w:uiPriority w:val="0"/>
    <w:pPr>
      <w:spacing w:line="440" w:lineRule="exact"/>
      <w:ind w:firstLine="412"/>
    </w:pPr>
    <w:rPr>
      <w:rFonts w:ascii="宋体"/>
      <w:color w:val="FF0000"/>
      <w:sz w:val="24"/>
    </w:rPr>
  </w:style>
  <w:style w:type="paragraph" w:styleId="17">
    <w:name w:val="footer"/>
    <w:basedOn w:val="1"/>
    <w:qFormat/>
    <w:uiPriority w:val="0"/>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qFormat/>
    <w:uiPriority w:val="0"/>
    <w:pPr>
      <w:spacing w:before="240" w:after="120"/>
      <w:jc w:val="center"/>
    </w:pPr>
    <w:rPr>
      <w:rFonts w:ascii="宋体"/>
      <w:b/>
      <w:sz w:val="48"/>
    </w:rPr>
  </w:style>
  <w:style w:type="paragraph" w:styleId="20">
    <w:name w:val="footnote text"/>
    <w:basedOn w:val="1"/>
    <w:next w:val="14"/>
    <w:qFormat/>
    <w:uiPriority w:val="0"/>
    <w:pPr>
      <w:snapToGrid w:val="0"/>
      <w:jc w:val="left"/>
    </w:pPr>
    <w:rPr>
      <w:sz w:val="18"/>
    </w:rPr>
  </w:style>
  <w:style w:type="paragraph" w:styleId="21">
    <w:name w:val="List 5"/>
    <w:basedOn w:val="1"/>
    <w:qFormat/>
    <w:uiPriority w:val="0"/>
    <w:pPr>
      <w:spacing w:line="360" w:lineRule="auto"/>
      <w:ind w:left="100" w:hanging="200"/>
    </w:pPr>
    <w:rPr>
      <w:rFonts w:ascii="宋体"/>
    </w:rPr>
  </w:style>
  <w:style w:type="paragraph" w:styleId="22">
    <w:name w:val="Body Text Indent 3"/>
    <w:basedOn w:val="1"/>
    <w:qFormat/>
    <w:uiPriority w:val="0"/>
    <w:pPr>
      <w:spacing w:line="620" w:lineRule="exact"/>
      <w:ind w:firstLine="570"/>
    </w:pPr>
    <w:rPr>
      <w:rFonts w:ascii="宋体"/>
      <w:sz w:val="24"/>
    </w:rPr>
  </w:style>
  <w:style w:type="paragraph" w:styleId="23">
    <w:name w:val="index 9"/>
    <w:basedOn w:val="1"/>
    <w:qFormat/>
    <w:uiPriority w:val="0"/>
    <w:pPr>
      <w:spacing w:before="50" w:after="50" w:line="360" w:lineRule="auto"/>
      <w:ind w:left="2160" w:hanging="240"/>
    </w:pPr>
    <w:rPr>
      <w:rFonts w:ascii="宋体"/>
    </w:rPr>
  </w:style>
  <w:style w:type="paragraph" w:styleId="24">
    <w:name w:val="table of figures"/>
    <w:basedOn w:val="1"/>
    <w:qFormat/>
    <w:uiPriority w:val="0"/>
    <w:pPr>
      <w:spacing w:line="360" w:lineRule="auto"/>
      <w:ind w:hanging="200"/>
    </w:pPr>
    <w:rPr>
      <w:rFonts w:ascii="宋体"/>
    </w:rPr>
  </w:style>
  <w:style w:type="paragraph" w:styleId="25">
    <w:name w:val="toc 2"/>
    <w:basedOn w:val="1"/>
    <w:qFormat/>
    <w:uiPriority w:val="0"/>
    <w:pPr>
      <w:spacing w:before="120"/>
      <w:ind w:left="210"/>
    </w:pPr>
    <w:rPr>
      <w:rFonts w:ascii="宋体"/>
      <w:i/>
    </w:rPr>
  </w:style>
  <w:style w:type="paragraph" w:styleId="26">
    <w:name w:val="Normal (Web)"/>
    <w:basedOn w:val="1"/>
    <w:qFormat/>
    <w:uiPriority w:val="0"/>
    <w:pPr>
      <w:widowControl/>
      <w:spacing w:before="280" w:after="280"/>
    </w:pPr>
    <w:rPr>
      <w:rFonts w:ascii="宋体"/>
      <w:sz w:val="24"/>
    </w:rPr>
  </w:style>
  <w:style w:type="paragraph" w:styleId="27">
    <w:name w:val="index 2"/>
    <w:basedOn w:val="1"/>
    <w:qFormat/>
    <w:uiPriority w:val="0"/>
    <w:pPr>
      <w:spacing w:before="50" w:after="50" w:line="360" w:lineRule="auto"/>
      <w:ind w:left="480" w:hanging="240"/>
    </w:pPr>
    <w:rPr>
      <w:rFonts w:ascii="宋体"/>
    </w:rPr>
  </w:style>
  <w:style w:type="paragraph" w:styleId="28">
    <w:name w:val="Title"/>
    <w:basedOn w:val="1"/>
    <w:qFormat/>
    <w:uiPriority w:val="0"/>
    <w:pPr>
      <w:spacing w:before="240" w:after="60"/>
      <w:jc w:val="center"/>
      <w:outlineLvl w:val="0"/>
    </w:pPr>
    <w:rPr>
      <w:rFonts w:ascii="Cambria" w:hAnsi="Cambria"/>
      <w:b/>
      <w:bCs/>
      <w:sz w:val="32"/>
      <w:szCs w:val="32"/>
    </w:rPr>
  </w:style>
  <w:style w:type="paragraph" w:styleId="29">
    <w:name w:val="Body Text First Indent 2"/>
    <w:basedOn w:val="12"/>
    <w:qFormat/>
    <w:uiPriority w:val="0"/>
    <w:pPr>
      <w:widowControl/>
      <w:adjustRightInd/>
      <w:spacing w:after="120" w:afterLines="0" w:line="300" w:lineRule="auto"/>
      <w:ind w:left="420" w:leftChars="200" w:firstLine="200" w:firstLineChars="200"/>
    </w:pPr>
    <w:rPr>
      <w:rFonts w:ascii="Times New Roman" w:hAnsi="Times New Roman"/>
      <w:kern w:val="2"/>
      <w:sz w:val="24"/>
    </w:rPr>
  </w:style>
  <w:style w:type="table" w:styleId="31">
    <w:name w:val="Table Grid"/>
    <w:basedOn w:val="3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qFormat/>
    <w:uiPriority w:val="0"/>
    <w:rPr>
      <w:b/>
      <w:bCs/>
    </w:rPr>
  </w:style>
  <w:style w:type="character" w:styleId="34">
    <w:name w:val="page number"/>
    <w:basedOn w:val="32"/>
    <w:qFormat/>
    <w:uiPriority w:val="0"/>
  </w:style>
  <w:style w:type="character" w:styleId="35">
    <w:name w:val="Hyperlink"/>
    <w:qFormat/>
    <w:uiPriority w:val="0"/>
    <w:rPr>
      <w:color w:val="261CDC"/>
      <w:sz w:val="20"/>
      <w:u w:val="single"/>
    </w:rPr>
  </w:style>
  <w:style w:type="character" w:styleId="36">
    <w:name w:val="HTML Sample"/>
    <w:basedOn w:val="32"/>
    <w:qFormat/>
    <w:uiPriority w:val="0"/>
    <w:rPr>
      <w:rFonts w:ascii="Courier New" w:hAnsi="Courier New" w:eastAsia="Courier New" w:cs="Courier New"/>
    </w:rPr>
  </w:style>
  <w:style w:type="paragraph" w:customStyle="1" w:styleId="37">
    <w:name w:val="123标题下的小点11"/>
    <w:basedOn w:val="1"/>
    <w:qFormat/>
    <w:uiPriority w:val="0"/>
    <w:pPr>
      <w:spacing w:line="360" w:lineRule="auto"/>
      <w:ind w:left="1259" w:hanging="420"/>
    </w:pPr>
    <w:rPr>
      <w:rFonts w:ascii="宋体"/>
    </w:rPr>
  </w:style>
  <w:style w:type="paragraph" w:customStyle="1" w:styleId="38">
    <w:name w:val="xl40"/>
    <w:basedOn w:val="1"/>
    <w:qFormat/>
    <w:uiPriority w:val="0"/>
    <w:pPr>
      <w:widowControl/>
      <w:spacing w:before="280" w:after="280"/>
    </w:pPr>
    <w:rPr>
      <w:rFonts w:ascii="宋体" w:eastAsia="Arial Unicode MS"/>
    </w:rPr>
  </w:style>
  <w:style w:type="paragraph" w:customStyle="1" w:styleId="39">
    <w:name w:val="写作样例1"/>
    <w:basedOn w:val="1"/>
    <w:qFormat/>
    <w:uiPriority w:val="0"/>
    <w:pPr>
      <w:spacing w:line="360" w:lineRule="auto"/>
    </w:pPr>
    <w:rPr>
      <w:rFonts w:ascii="宋体"/>
      <w:color w:val="800080"/>
    </w:rPr>
  </w:style>
  <w:style w:type="paragraph" w:customStyle="1" w:styleId="40">
    <w:name w:val="表文2"/>
    <w:basedOn w:val="1"/>
    <w:qFormat/>
    <w:uiPriority w:val="0"/>
    <w:pPr>
      <w:widowControl/>
      <w:spacing w:before="50" w:after="50"/>
      <w:ind w:firstLine="14"/>
    </w:pPr>
    <w:rPr>
      <w:rFonts w:ascii="宋体" w:eastAsia="PMingLiU"/>
      <w:sz w:val="28"/>
    </w:rPr>
  </w:style>
  <w:style w:type="paragraph" w:customStyle="1" w:styleId="41">
    <w:name w:val="正文黑体项目编号"/>
    <w:basedOn w:val="1"/>
    <w:qFormat/>
    <w:uiPriority w:val="0"/>
    <w:pPr>
      <w:spacing w:line="360" w:lineRule="auto"/>
      <w:ind w:left="620" w:right="200" w:hanging="420"/>
    </w:pPr>
    <w:rPr>
      <w:b/>
      <w:sz w:val="24"/>
    </w:rPr>
  </w:style>
  <w:style w:type="paragraph" w:customStyle="1" w:styleId="42">
    <w:name w:val="Table Text"/>
    <w:qFormat/>
    <w:uiPriority w:val="0"/>
    <w:pPr>
      <w:spacing w:before="80" w:after="80"/>
    </w:pPr>
    <w:rPr>
      <w:rFonts w:ascii="Arial" w:hAnsi="Times New Roman" w:eastAsia="宋体" w:cs="Times New Roman"/>
      <w:sz w:val="18"/>
      <w:lang w:val="en-US" w:eastAsia="zh-CN" w:bidi="ar-SA"/>
    </w:rPr>
  </w:style>
  <w:style w:type="paragraph" w:customStyle="1" w:styleId="43">
    <w:name w:val="正文（小标题）1"/>
    <w:basedOn w:val="1"/>
    <w:qFormat/>
    <w:uiPriority w:val="0"/>
    <w:pPr>
      <w:spacing w:before="156" w:after="156" w:line="360" w:lineRule="auto"/>
    </w:pPr>
    <w:rPr>
      <w:rFonts w:ascii="黑体" w:eastAsia="黑体"/>
      <w:color w:val="0000FF"/>
      <w:sz w:val="24"/>
    </w:rPr>
  </w:style>
  <w:style w:type="paragraph" w:customStyle="1" w:styleId="44">
    <w:name w:val="附录章标题"/>
    <w:qFormat/>
    <w:uiPriority w:val="0"/>
    <w:pPr>
      <w:wordWrap w:val="0"/>
      <w:autoSpaceDE w:val="0"/>
      <w:ind w:left="840" w:hanging="420"/>
      <w:jc w:val="both"/>
      <w:outlineLvl w:val="1"/>
    </w:pPr>
    <w:rPr>
      <w:rFonts w:ascii="黑体" w:hAnsi="Times New Roman" w:eastAsia="黑体" w:cs="Times New Roman"/>
      <w:sz w:val="21"/>
      <w:lang w:val="en-US" w:eastAsia="zh-CN" w:bidi="ar-SA"/>
    </w:rPr>
  </w:style>
  <w:style w:type="paragraph" w:customStyle="1" w:styleId="45">
    <w:name w:val="技术报告章标题11"/>
    <w:basedOn w:val="1"/>
    <w:qFormat/>
    <w:uiPriority w:val="0"/>
    <w:pPr>
      <w:spacing w:before="624" w:after="156" w:line="440" w:lineRule="exact"/>
      <w:jc w:val="center"/>
      <w:outlineLvl w:val="0"/>
    </w:pPr>
    <w:rPr>
      <w:rFonts w:ascii="Arial" w:eastAsia="黑体"/>
      <w:sz w:val="36"/>
    </w:rPr>
  </w:style>
  <w:style w:type="paragraph" w:customStyle="1" w:styleId="46">
    <w:name w:val="样式 标题 3H31.1.1标题 3h3sect1.2.3BOD 03rd levellevel_3PIM 3..."/>
    <w:basedOn w:val="4"/>
    <w:qFormat/>
    <w:uiPriority w:val="0"/>
    <w:pPr>
      <w:autoSpaceDE w:val="0"/>
      <w:autoSpaceDN w:val="0"/>
      <w:spacing w:before="120" w:after="120" w:line="360" w:lineRule="auto"/>
      <w:ind w:left="2060" w:hanging="420"/>
    </w:pPr>
    <w:rPr>
      <w:rFonts w:eastAsia="黑体"/>
      <w:color w:val="000000"/>
      <w:sz w:val="28"/>
    </w:rPr>
  </w:style>
  <w:style w:type="paragraph" w:customStyle="1" w:styleId="47">
    <w:name w:val="样式 标题 1H1Heading 0PIM 1Fab-1h11.Normal + Font: Helvetica..."/>
    <w:basedOn w:val="2"/>
    <w:qFormat/>
    <w:uiPriority w:val="0"/>
    <w:pPr>
      <w:widowControl w:val="0"/>
      <w:spacing w:before="120" w:after="120" w:line="360" w:lineRule="auto"/>
      <w:ind w:left="1220" w:hanging="420"/>
    </w:pPr>
    <w:rPr>
      <w:rFonts w:ascii="Times New Roman" w:eastAsia="黑体"/>
      <w:color w:val="000080"/>
      <w:sz w:val="32"/>
    </w:rPr>
  </w:style>
  <w:style w:type="paragraph" w:customStyle="1" w:styleId="48">
    <w:name w:val="写作说明1"/>
    <w:basedOn w:val="1"/>
    <w:qFormat/>
    <w:uiPriority w:val="0"/>
    <w:pPr>
      <w:spacing w:line="360" w:lineRule="auto"/>
      <w:ind w:left="420" w:hanging="420"/>
    </w:pPr>
    <w:rPr>
      <w:rFonts w:ascii="宋体"/>
      <w:i/>
      <w:color w:val="0000FF"/>
    </w:rPr>
  </w:style>
  <w:style w:type="paragraph" w:customStyle="1" w:styleId="49">
    <w:name w:val="样式 样式 目录 + 段前: 0.5 行 段后: 0.5 行 + 左侧:  2 字符"/>
    <w:qFormat/>
    <w:uiPriority w:val="0"/>
    <w:pPr>
      <w:widowControl w:val="0"/>
      <w:spacing w:before="156" w:after="156" w:line="360" w:lineRule="auto"/>
      <w:ind w:left="480"/>
      <w:jc w:val="center"/>
    </w:pPr>
    <w:rPr>
      <w:rFonts w:ascii="Times New Roman" w:hAnsi="Times New Roman" w:eastAsia="宋体" w:cs="Times New Roman"/>
      <w:b/>
      <w:sz w:val="44"/>
      <w:lang w:val="en-US" w:eastAsia="zh-CN" w:bidi="ar-SA"/>
    </w:rPr>
  </w:style>
  <w:style w:type="paragraph" w:customStyle="1" w:styleId="50">
    <w:name w:val="样式9"/>
    <w:qFormat/>
    <w:uiPriority w:val="0"/>
    <w:pPr>
      <w:widowControl w:val="0"/>
      <w:spacing w:before="120" w:after="120"/>
    </w:pPr>
    <w:rPr>
      <w:rFonts w:ascii="Times New Roman" w:hAnsi="Times New Roman" w:eastAsia="宋体" w:cs="Times New Roman"/>
      <w:sz w:val="18"/>
      <w:lang w:val="en-US" w:eastAsia="zh-CN" w:bidi="ar-SA"/>
    </w:rPr>
  </w:style>
  <w:style w:type="paragraph" w:customStyle="1" w:styleId="51">
    <w:name w:val="普通 (Web)"/>
    <w:basedOn w:val="1"/>
    <w:qFormat/>
    <w:uiPriority w:val="0"/>
    <w:rPr>
      <w:rFonts w:ascii="宋体"/>
    </w:rPr>
  </w:style>
  <w:style w:type="paragraph" w:customStyle="1" w:styleId="52">
    <w:name w:val="正文（缩进） Char Char3"/>
    <w:basedOn w:val="1"/>
    <w:qFormat/>
    <w:uiPriority w:val="0"/>
    <w:pPr>
      <w:spacing w:before="156" w:after="156" w:line="360" w:lineRule="auto"/>
      <w:ind w:firstLine="480"/>
    </w:pPr>
    <w:rPr>
      <w:rFonts w:ascii="宋体"/>
      <w:sz w:val="24"/>
    </w:rPr>
  </w:style>
  <w:style w:type="paragraph" w:customStyle="1" w:styleId="53">
    <w:name w:val="首行缩进"/>
    <w:basedOn w:val="1"/>
    <w:qFormat/>
    <w:uiPriority w:val="0"/>
    <w:pPr>
      <w:spacing w:line="360" w:lineRule="auto"/>
      <w:ind w:firstLine="480" w:firstLineChars="200"/>
    </w:pPr>
    <w:rPr>
      <w:rFonts w:ascii="宋体" w:hAnsi="宋体" w:cs="宋体"/>
      <w:sz w:val="24"/>
    </w:rPr>
  </w:style>
  <w:style w:type="paragraph" w:customStyle="1" w:styleId="54">
    <w:name w:val="正文11"/>
    <w:basedOn w:val="1"/>
    <w:qFormat/>
    <w:uiPriority w:val="0"/>
    <w:rPr>
      <w:sz w:val="24"/>
    </w:rPr>
  </w:style>
  <w:style w:type="paragraph" w:customStyle="1" w:styleId="55">
    <w:name w:val="Default"/>
    <w:qFormat/>
    <w:uiPriority w:val="0"/>
    <w:pPr>
      <w:widowControl w:val="0"/>
      <w:autoSpaceDE w:val="0"/>
      <w:autoSpaceDN w:val="0"/>
    </w:pPr>
    <w:rPr>
      <w:rFonts w:ascii="楷体_GB2312" w:hAnsi="Times New Roman" w:eastAsia="楷体_GB2312" w:cs="Times New Roman"/>
      <w:color w:val="000000"/>
      <w:sz w:val="24"/>
      <w:lang w:val="en-US" w:eastAsia="zh-CN" w:bidi="ar-SA"/>
    </w:rPr>
  </w:style>
  <w:style w:type="paragraph" w:customStyle="1" w:styleId="56">
    <w:name w:val="首行缩进正文"/>
    <w:basedOn w:val="1"/>
    <w:qFormat/>
    <w:uiPriority w:val="0"/>
    <w:pPr>
      <w:spacing w:line="360" w:lineRule="auto"/>
      <w:ind w:firstLine="480"/>
    </w:pPr>
    <w:rPr>
      <w:rFonts w:ascii="宋体"/>
      <w:sz w:val="24"/>
    </w:rPr>
  </w:style>
  <w:style w:type="paragraph" w:styleId="57">
    <w:name w:val="List Paragraph"/>
    <w:basedOn w:val="1"/>
    <w:qFormat/>
    <w:uiPriority w:val="0"/>
    <w:pPr>
      <w:spacing w:before="50" w:after="50" w:line="360" w:lineRule="auto"/>
      <w:ind w:firstLine="420"/>
    </w:pPr>
    <w:rPr>
      <w:rFonts w:ascii="宋体"/>
      <w:sz w:val="24"/>
    </w:rPr>
  </w:style>
  <w:style w:type="paragraph" w:customStyle="1" w:styleId="58">
    <w:name w:val="样式 样式 正文缩进正文（首行缩进两字）正文2 + 首行缩进:  2 字符 + 首行缩进:  2 字符"/>
    <w:basedOn w:val="1"/>
    <w:qFormat/>
    <w:uiPriority w:val="0"/>
    <w:pPr>
      <w:snapToGrid w:val="0"/>
      <w:spacing w:line="324" w:lineRule="auto"/>
      <w:ind w:firstLine="600"/>
    </w:pPr>
    <w:rPr>
      <w:sz w:val="28"/>
    </w:rPr>
  </w:style>
  <w:style w:type="paragraph" w:customStyle="1" w:styleId="59">
    <w:name w:val="Table Paragraph"/>
    <w:basedOn w:val="54"/>
    <w:qFormat/>
    <w:uiPriority w:val="0"/>
    <w:rPr>
      <w:rFonts w:ascii="宋体" w:hAnsi="宋体" w:cs="宋体"/>
      <w:lang w:val="zh-CN" w:bidi="zh-CN"/>
    </w:rPr>
  </w:style>
  <w:style w:type="character" w:customStyle="1" w:styleId="60">
    <w:name w:val="标题 3 Char"/>
    <w:link w:val="4"/>
    <w:qFormat/>
    <w:uiPriority w:val="0"/>
    <w:rPr>
      <w:b/>
      <w:sz w:val="32"/>
    </w:rPr>
  </w:style>
  <w:style w:type="paragraph" w:customStyle="1" w:styleId="61">
    <w:name w:val="Heading3"/>
    <w:basedOn w:val="1"/>
    <w:qFormat/>
    <w:uiPriority w:val="0"/>
    <w:pPr>
      <w:widowControl/>
      <w:spacing w:after="50" w:line="360" w:lineRule="auto"/>
      <w:ind w:left="-4"/>
      <w:jc w:val="left"/>
    </w:pPr>
    <w:rPr>
      <w:rFonts w:ascii="宋体" w:hAnsi="宋体"/>
      <w:b/>
      <w:color w:val="000000"/>
      <w:sz w:val="30"/>
      <w:lang w:val="en-GB"/>
    </w:rPr>
  </w:style>
  <w:style w:type="paragraph" w:customStyle="1" w:styleId="62">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3">
    <w:name w:val="font31"/>
    <w:basedOn w:val="32"/>
    <w:qFormat/>
    <w:uiPriority w:val="0"/>
    <w:rPr>
      <w:rFonts w:ascii="Arial" w:hAnsi="Arial" w:cs="Arial"/>
      <w:color w:val="000000"/>
      <w:sz w:val="18"/>
      <w:szCs w:val="18"/>
      <w:u w:val="none"/>
    </w:rPr>
  </w:style>
  <w:style w:type="character" w:customStyle="1" w:styleId="64">
    <w:name w:val="font41"/>
    <w:basedOn w:val="32"/>
    <w:qFormat/>
    <w:uiPriority w:val="0"/>
    <w:rPr>
      <w:rFonts w:hint="eastAsia" w:ascii="宋体" w:hAnsi="宋体" w:eastAsia="宋体" w:cs="宋体"/>
      <w:color w:val="000000"/>
      <w:sz w:val="18"/>
      <w:szCs w:val="18"/>
      <w:u w:val="none"/>
    </w:rPr>
  </w:style>
  <w:style w:type="character" w:customStyle="1" w:styleId="65">
    <w:name w:val="font21"/>
    <w:basedOn w:val="32"/>
    <w:qFormat/>
    <w:uiPriority w:val="0"/>
    <w:rPr>
      <w:rFonts w:hint="eastAsia" w:ascii="宋体" w:hAnsi="宋体" w:eastAsia="宋体" w:cs="宋体"/>
      <w:color w:val="FF0000"/>
      <w:sz w:val="18"/>
      <w:szCs w:val="18"/>
      <w:u w:val="none"/>
    </w:rPr>
  </w:style>
  <w:style w:type="character" w:customStyle="1" w:styleId="66">
    <w:name w:val="font61"/>
    <w:basedOn w:val="32"/>
    <w:qFormat/>
    <w:uiPriority w:val="0"/>
    <w:rPr>
      <w:rFonts w:hint="default" w:ascii="Arial" w:hAnsi="Arial" w:cs="Arial"/>
      <w:color w:val="FF0000"/>
      <w:sz w:val="18"/>
      <w:szCs w:val="18"/>
      <w:u w:val="none"/>
    </w:rPr>
  </w:style>
  <w:style w:type="character" w:customStyle="1" w:styleId="67">
    <w:name w:val="font01"/>
    <w:basedOn w:val="32"/>
    <w:qFormat/>
    <w:uiPriority w:val="0"/>
    <w:rPr>
      <w:rFonts w:hint="default" w:ascii="Arial" w:hAnsi="Arial" w:cs="Arial"/>
      <w:color w:val="000000"/>
      <w:sz w:val="18"/>
      <w:szCs w:val="18"/>
      <w:u w:val="none"/>
    </w:rPr>
  </w:style>
  <w:style w:type="character" w:customStyle="1" w:styleId="68">
    <w:name w:val="font81"/>
    <w:basedOn w:val="32"/>
    <w:qFormat/>
    <w:uiPriority w:val="0"/>
    <w:rPr>
      <w:rFonts w:hint="eastAsia" w:ascii="宋体" w:hAnsi="宋体" w:eastAsia="宋体" w:cs="宋体"/>
      <w:color w:val="000000"/>
      <w:sz w:val="18"/>
      <w:szCs w:val="18"/>
      <w:u w:val="none"/>
    </w:rPr>
  </w:style>
  <w:style w:type="character" w:customStyle="1" w:styleId="69">
    <w:name w:val="font91"/>
    <w:basedOn w:val="32"/>
    <w:qFormat/>
    <w:uiPriority w:val="0"/>
    <w:rPr>
      <w:rFonts w:hint="eastAsia" w:ascii="宋体" w:hAnsi="宋体" w:eastAsia="宋体" w:cs="宋体"/>
      <w:color w:val="000000"/>
      <w:sz w:val="18"/>
      <w:szCs w:val="18"/>
      <w:u w:val="none"/>
    </w:rPr>
  </w:style>
  <w:style w:type="character" w:customStyle="1" w:styleId="70">
    <w:name w:val="font101"/>
    <w:basedOn w:val="32"/>
    <w:qFormat/>
    <w:uiPriority w:val="0"/>
    <w:rPr>
      <w:rFonts w:hint="eastAsia" w:ascii="宋体" w:hAnsi="宋体" w:eastAsia="宋体" w:cs="宋体"/>
      <w:color w:val="FF0000"/>
      <w:sz w:val="18"/>
      <w:szCs w:val="18"/>
      <w:u w:val="none"/>
    </w:rPr>
  </w:style>
  <w:style w:type="character" w:customStyle="1" w:styleId="71">
    <w:name w:val="font111"/>
    <w:basedOn w:val="32"/>
    <w:qFormat/>
    <w:uiPriority w:val="0"/>
    <w:rPr>
      <w:rFonts w:hint="default" w:ascii="Arial" w:hAnsi="Arial" w:cs="Arial"/>
      <w:color w:val="FF0000"/>
      <w:sz w:val="18"/>
      <w:szCs w:val="18"/>
      <w:u w:val="none"/>
    </w:rPr>
  </w:style>
  <w:style w:type="paragraph" w:customStyle="1" w:styleId="72">
    <w:name w:val="_Style 2"/>
    <w:basedOn w:val="1"/>
    <w:qFormat/>
    <w:uiPriority w:val="34"/>
    <w:pPr>
      <w:ind w:firstLine="420" w:firstLineChars="200"/>
    </w:pPr>
  </w:style>
  <w:style w:type="table" w:customStyle="1" w:styleId="73">
    <w:name w:val="Table Normal"/>
    <w:unhideWhenUsed/>
    <w:qFormat/>
    <w:uiPriority w:val="0"/>
    <w:tblPr>
      <w:tblCellMar>
        <w:top w:w="0" w:type="dxa"/>
        <w:left w:w="0" w:type="dxa"/>
        <w:bottom w:w="0" w:type="dxa"/>
        <w:right w:w="0" w:type="dxa"/>
      </w:tblCellMar>
    </w:tblPr>
  </w:style>
  <w:style w:type="paragraph" w:customStyle="1" w:styleId="74">
    <w:name w:val="样式3"/>
    <w:basedOn w:val="14"/>
    <w:qFormat/>
    <w:uiPriority w:val="0"/>
    <w:pPr>
      <w:spacing w:line="0" w:lineRule="atLeast"/>
      <w:outlineLvl w:val="0"/>
    </w:pPr>
    <w:rPr>
      <w:sz w:val="28"/>
      <w:szCs w:val="24"/>
    </w:rPr>
  </w:style>
  <w:style w:type="paragraph" w:customStyle="1" w:styleId="7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2.xml"/><Relationship Id="rId17" Type="http://schemas.openxmlformats.org/officeDocument/2006/relationships/header" Target="header4.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4695</Words>
  <Characters>5065</Characters>
  <Lines>0</Lines>
  <Paragraphs>0</Paragraphs>
  <TotalTime>17</TotalTime>
  <ScaleCrop>false</ScaleCrop>
  <LinksUpToDate>false</LinksUpToDate>
  <CharactersWithSpaces>5201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2022-12-26T02:55:00Z</dcterms:created>
  <dc:creator>劉</dc:creator>
  <cp:lastModifiedBy>黄晨</cp:lastModifiedBy>
  <dcterms:modified xsi:type="dcterms:W3CDTF">2025-01-20T10:36:37Z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B2FB39E76C0146C291687DB8EF45550C_13</vt:lpwstr>
  </property>
  <property fmtid="{D5CDD505-2E9C-101B-9397-08002B2CF9AE}" pid="4" name="KSOTemplateDocerSaveRecord">
    <vt:lpwstr>eyJoZGlkIjoiN2ZiMWU4NjE2ZThjZWFmNTIyNjY1N2Y2MGM4NGU0YzgiLCJ1c2VySWQiOiIzOTExMjcxNjMifQ==</vt:lpwstr>
  </property>
</Properties>
</file>